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3433886"/>
    <w:bookmarkEnd w:id="0"/>
    <w:p w14:paraId="6EABA72E" w14:textId="630A3F80" w:rsidR="006A6856" w:rsidRDefault="00F51F7F" w:rsidP="006A6856">
      <w:pPr>
        <w:spacing w:before="0" w:after="200"/>
        <w:contextualSpacing/>
        <w:rPr>
          <w:rFonts w:eastAsiaTheme="majorEastAsia" w:cstheme="majorBidi"/>
          <w:b/>
          <w:iCs/>
          <w:color w:val="2E74B5" w:themeColor="accent1" w:themeShade="BF"/>
          <w:spacing w:val="15"/>
          <w:sz w:val="32"/>
          <w:szCs w:val="32"/>
        </w:rPr>
      </w:pPr>
      <w:r>
        <w:rPr>
          <w:rFonts w:eastAsiaTheme="majorEastAsia" w:cstheme="majorBidi"/>
          <w:b/>
          <w:iCs/>
          <w:noProof/>
          <w:color w:val="2E74B5" w:themeColor="accent1" w:themeShade="BF"/>
          <w:spacing w:val="15"/>
          <w:sz w:val="32"/>
          <w:szCs w:val="32"/>
        </w:rPr>
        <mc:AlternateContent>
          <mc:Choice Requires="wpg">
            <w:drawing>
              <wp:anchor distT="0" distB="0" distL="114300" distR="114300" simplePos="0" relativeHeight="251658242" behindDoc="0" locked="0" layoutInCell="1" allowOverlap="1" wp14:anchorId="1B330784" wp14:editId="4D1B4E1C">
                <wp:simplePos x="0" y="0"/>
                <wp:positionH relativeFrom="column">
                  <wp:posOffset>-247650</wp:posOffset>
                </wp:positionH>
                <wp:positionV relativeFrom="paragraph">
                  <wp:posOffset>0</wp:posOffset>
                </wp:positionV>
                <wp:extent cx="5812790" cy="828040"/>
                <wp:effectExtent l="0" t="0" r="0" b="0"/>
                <wp:wrapTight wrapText="bothSides">
                  <wp:wrapPolygon edited="0">
                    <wp:start x="0" y="0"/>
                    <wp:lineTo x="0" y="20871"/>
                    <wp:lineTo x="9910" y="20871"/>
                    <wp:lineTo x="10760" y="15902"/>
                    <wp:lineTo x="21520" y="13914"/>
                    <wp:lineTo x="21520" y="4472"/>
                    <wp:lineTo x="10618"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5812790" cy="828040"/>
                          <a:chOff x="-573269" y="-33376"/>
                          <a:chExt cx="5813827" cy="828064"/>
                        </a:xfrm>
                      </wpg:grpSpPr>
                      <wpg:grpSp>
                        <wpg:cNvPr id="81" name="Group 81"/>
                        <wpg:cNvGrpSpPr>
                          <a:grpSpLocks/>
                        </wpg:cNvGrpSpPr>
                        <wpg:grpSpPr>
                          <a:xfrm>
                            <a:off x="-573269" y="-33376"/>
                            <a:ext cx="2847173" cy="828064"/>
                            <a:chOff x="-233654" y="-104905"/>
                            <a:chExt cx="2847341" cy="829405"/>
                          </a:xfrm>
                        </wpg:grpSpPr>
                        <pic:pic xmlns:pic="http://schemas.openxmlformats.org/drawingml/2006/picture">
                          <pic:nvPicPr>
                            <pic:cNvPr id="73" name="Picture 12" descr="CEWO_logo_inline_LowRes.jpg"/>
                            <pic:cNvPicPr>
                              <a:picLocks noChangeAspect="1"/>
                            </pic:cNvPicPr>
                          </pic:nvPicPr>
                          <pic:blipFill>
                            <a:blip r:embed="rId12" cstate="email"/>
                            <a:stretch>
                              <a:fillRect/>
                            </a:stretch>
                          </pic:blipFill>
                          <pic:spPr>
                            <a:xfrm>
                              <a:off x="-233653" y="-104905"/>
                              <a:ext cx="2847340" cy="606425"/>
                            </a:xfrm>
                            <a:prstGeom prst="rect">
                              <a:avLst/>
                            </a:prstGeom>
                          </pic:spPr>
                        </pic:pic>
                        <pic:pic xmlns:pic="http://schemas.openxmlformats.org/drawingml/2006/picture">
                          <pic:nvPicPr>
                            <pic:cNvPr id="77" name="Picture 77" descr="G:\Environment\Environmental Water\CEWH\SER Section\Stakeholder Engagement\Publications\Color Palette\ColorPalette_symbolsOnly.jpg"/>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233654" y="536540"/>
                              <a:ext cx="2639695" cy="187960"/>
                            </a:xfrm>
                            <a:prstGeom prst="rect">
                              <a:avLst/>
                            </a:prstGeom>
                            <a:noFill/>
                          </pic:spPr>
                        </pic:pic>
                      </wpg:grpSp>
                      <pic:pic xmlns:pic="http://schemas.openxmlformats.org/drawingml/2006/picture">
                        <pic:nvPicPr>
                          <pic:cNvPr id="11" name="Graphic 11"/>
                          <pic:cNvPicPr>
                            <a:picLocks noChangeAspect="1"/>
                          </pic:cNvPicPr>
                        </pic:nvPicPr>
                        <pic:blipFill rotWithShape="1">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rcRect b="35912"/>
                          <a:stretch/>
                        </pic:blipFill>
                        <pic:spPr bwMode="auto">
                          <a:xfrm>
                            <a:off x="3595273" y="157729"/>
                            <a:ext cx="1645285" cy="3524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53AE244" id="Group 14" o:spid="_x0000_s1026" style="position:absolute;margin-left:-19.5pt;margin-top:0;width:457.7pt;height:65.2pt;z-index:251658242;mso-width-relative:margin;mso-height-relative:margin" coordorigin="-5732,-333" coordsize="58138,828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QzRFQTVEOUVFQzE3RTIxMTgxODBBNkNCNDE5&#10;ODdCRjg8L3N0RXZ0Omluc3RhbmNlSUQ+CiAgICAgICAgICAgICAgICAgIDxzdEV2dDp3aGVuPjIw&#10;MTItMTAtMTdUMTQ6MjE6MjQrMTE6MDA8L3N0RXZ0OndoZW4+CiAgICAgICAgICAgICAgICAgIDxz&#10;dEV2dDpzb2Z0d2FyZUFnZW50PkFkb2JlIElsbHVzdHJhdG9yIENTNS4x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10;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">
                <v:group id="Group 81" o:spid="_x0000_s1027" style="position:absolute;left:-5732;top:-333;width:28471;height:8279" coordorigin="-2336,-1049" coordsize="28473,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alt="CEWO_logo_inline_LowRes.jpg" style="position:absolute;left:-2336;top:-1049;width:28472;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">
                    <v:imagedata r:id="rId18" o:title="CEWO_logo_inline_LowRes"/>
                  </v:shape>
                  <v:shape id="Picture 77" o:spid="_x0000_s1029" type="#_x0000_t75" style="position:absolute;left:-2336;top:5365;width:26396;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">
                    <v:imagedata r:id="rId19" o:title="ColorPalette_symbolsOnly"/>
                  </v:shape>
                </v:group>
                <v:shape id="Graphic 11" o:spid="_x0000_s1030" type="#_x0000_t75" style="position:absolute;left:35952;top:1577;width:16453;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">
                  <v:imagedata r:id="rId20" o:title="" cropbottom="23535f"/>
                </v:shape>
                <w10:wrap type="tight"/>
              </v:group>
            </w:pict>
          </mc:Fallback>
        </mc:AlternateContent>
      </w:r>
    </w:p>
    <w:p w14:paraId="53C7E241" w14:textId="77777777" w:rsidR="00F91267" w:rsidRDefault="00F91267" w:rsidP="005B0AA3">
      <w:pPr>
        <w:numPr>
          <w:ilvl w:val="1"/>
          <w:numId w:val="0"/>
        </w:numPr>
        <w:contextualSpacing/>
        <w:jc w:val="center"/>
        <w:rPr>
          <w:rFonts w:eastAsiaTheme="majorEastAsia" w:cstheme="majorBidi"/>
          <w:b/>
          <w:iCs/>
          <w:color w:val="2E74B5" w:themeColor="accent1" w:themeShade="BF"/>
          <w:spacing w:val="15"/>
          <w:sz w:val="32"/>
          <w:szCs w:val="32"/>
        </w:rPr>
      </w:pPr>
    </w:p>
    <w:p w14:paraId="585C00A4" w14:textId="494E16A7" w:rsidR="005B0AA3" w:rsidRDefault="005B0AA3" w:rsidP="005B0AA3">
      <w:pPr>
        <w:numPr>
          <w:ilvl w:val="1"/>
          <w:numId w:val="0"/>
        </w:numPr>
        <w:contextualSpacing/>
        <w:jc w:val="center"/>
        <w:rPr>
          <w:rFonts w:eastAsiaTheme="majorEastAsia" w:cstheme="majorBidi"/>
          <w:b/>
          <w:iCs/>
          <w:color w:val="2E74B5" w:themeColor="accent1" w:themeShade="BF"/>
          <w:spacing w:val="15"/>
          <w:sz w:val="32"/>
          <w:szCs w:val="32"/>
        </w:rPr>
      </w:pPr>
      <w:r w:rsidRPr="00B55660">
        <w:rPr>
          <w:rFonts w:eastAsiaTheme="majorEastAsia" w:cstheme="majorBidi"/>
          <w:b/>
          <w:iCs/>
          <w:color w:val="2E74B5" w:themeColor="accent1" w:themeShade="BF"/>
          <w:spacing w:val="15"/>
          <w:sz w:val="32"/>
          <w:szCs w:val="32"/>
        </w:rPr>
        <w:t xml:space="preserve">Commonwealth Environmental </w:t>
      </w:r>
      <w:r w:rsidR="00EC4D89">
        <w:rPr>
          <w:rFonts w:eastAsiaTheme="majorEastAsia" w:cstheme="majorBidi"/>
          <w:b/>
          <w:iCs/>
          <w:color w:val="2E74B5" w:themeColor="accent1" w:themeShade="BF"/>
          <w:spacing w:val="15"/>
          <w:sz w:val="32"/>
          <w:szCs w:val="32"/>
        </w:rPr>
        <w:t>Water Office Monitoring, Evaluation and Research Project</w:t>
      </w:r>
      <w:r w:rsidR="00541E7C">
        <w:rPr>
          <w:rFonts w:eastAsiaTheme="majorEastAsia" w:cstheme="majorBidi"/>
          <w:b/>
          <w:iCs/>
          <w:color w:val="2E74B5" w:themeColor="accent1" w:themeShade="BF"/>
          <w:spacing w:val="15"/>
          <w:sz w:val="32"/>
          <w:szCs w:val="32"/>
        </w:rPr>
        <w:t>:</w:t>
      </w:r>
    </w:p>
    <w:p w14:paraId="5C916DB7" w14:textId="1DC833A7" w:rsidR="005B0AA3" w:rsidRPr="00B22680" w:rsidRDefault="00DE3CF4"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Lower Murray</w:t>
      </w:r>
    </w:p>
    <w:p w14:paraId="522AF306" w14:textId="247E992B" w:rsidR="005B0AA3" w:rsidRDefault="00541E7C"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20</w:t>
      </w:r>
      <w:r w:rsidR="00CA223C">
        <w:rPr>
          <w:rFonts w:eastAsiaTheme="majorEastAsia" w:cstheme="majorBidi"/>
          <w:iCs/>
          <w:color w:val="2E74B5" w:themeColor="accent1" w:themeShade="BF"/>
          <w:spacing w:val="15"/>
          <w:sz w:val="32"/>
          <w:szCs w:val="32"/>
        </w:rPr>
        <w:t>20</w:t>
      </w:r>
      <w:r>
        <w:rPr>
          <w:rFonts w:eastAsiaTheme="majorEastAsia" w:cstheme="majorBidi"/>
          <w:iCs/>
          <w:color w:val="2E74B5" w:themeColor="accent1" w:themeShade="BF"/>
          <w:spacing w:val="15"/>
          <w:sz w:val="32"/>
          <w:szCs w:val="32"/>
        </w:rPr>
        <w:t>-2</w:t>
      </w:r>
      <w:r w:rsidR="00CA223C">
        <w:rPr>
          <w:rFonts w:eastAsiaTheme="majorEastAsia" w:cstheme="majorBidi"/>
          <w:iCs/>
          <w:color w:val="2E74B5" w:themeColor="accent1" w:themeShade="BF"/>
          <w:spacing w:val="15"/>
          <w:sz w:val="32"/>
          <w:szCs w:val="32"/>
        </w:rPr>
        <w:t>1</w:t>
      </w:r>
      <w:r>
        <w:rPr>
          <w:rFonts w:eastAsiaTheme="majorEastAsia" w:cstheme="majorBidi"/>
          <w:iCs/>
          <w:color w:val="2E74B5" w:themeColor="accent1" w:themeShade="BF"/>
          <w:spacing w:val="15"/>
          <w:sz w:val="32"/>
          <w:szCs w:val="32"/>
        </w:rPr>
        <w:t xml:space="preserve"> </w:t>
      </w:r>
      <w:r w:rsidR="005B0AA3">
        <w:rPr>
          <w:rFonts w:eastAsiaTheme="majorEastAsia" w:cstheme="majorBidi"/>
          <w:iCs/>
          <w:color w:val="2E74B5" w:themeColor="accent1" w:themeShade="BF"/>
          <w:spacing w:val="15"/>
          <w:sz w:val="32"/>
          <w:szCs w:val="32"/>
        </w:rPr>
        <w:t>Technical</w:t>
      </w:r>
      <w:r w:rsidR="005B0AA3" w:rsidRPr="00B22680">
        <w:rPr>
          <w:rFonts w:eastAsiaTheme="majorEastAsia" w:cstheme="majorBidi"/>
          <w:iCs/>
          <w:color w:val="2E74B5" w:themeColor="accent1" w:themeShade="BF"/>
          <w:spacing w:val="15"/>
          <w:sz w:val="32"/>
          <w:szCs w:val="32"/>
        </w:rPr>
        <w:t xml:space="preserve"> Report</w:t>
      </w:r>
      <w:r w:rsidR="00EC4D89">
        <w:rPr>
          <w:rFonts w:eastAsiaTheme="majorEastAsia" w:cstheme="majorBidi"/>
          <w:iCs/>
          <w:color w:val="2E74B5" w:themeColor="accent1" w:themeShade="BF"/>
          <w:spacing w:val="15"/>
          <w:sz w:val="32"/>
          <w:szCs w:val="32"/>
        </w:rPr>
        <w:t xml:space="preserve"> </w:t>
      </w:r>
    </w:p>
    <w:p w14:paraId="7A551D0F" w14:textId="56C7AF00" w:rsidR="00755BBC" w:rsidRPr="00B3181F" w:rsidRDefault="00755BBC" w:rsidP="005B0AA3">
      <w:pPr>
        <w:contextualSpacing/>
        <w:jc w:val="center"/>
        <w:rPr>
          <w:rFonts w:cs="Arial"/>
          <w:color w:val="44546A" w:themeColor="text2"/>
          <w:sz w:val="6"/>
          <w:szCs w:val="2"/>
        </w:rPr>
      </w:pPr>
    </w:p>
    <w:p w14:paraId="459167AB" w14:textId="77777777" w:rsidR="00B3181F" w:rsidRPr="00A67C76" w:rsidRDefault="00B3181F" w:rsidP="005B0AA3">
      <w:pPr>
        <w:contextualSpacing/>
        <w:jc w:val="center"/>
        <w:rPr>
          <w:rFonts w:cs="Arial"/>
          <w:color w:val="44546A" w:themeColor="text2"/>
          <w:sz w:val="24"/>
        </w:rPr>
      </w:pPr>
    </w:p>
    <w:p w14:paraId="02E23781" w14:textId="5320ED36" w:rsidR="005B0AA3" w:rsidRDefault="005B0AA3" w:rsidP="005B0AA3">
      <w:pPr>
        <w:contextualSpacing/>
        <w:jc w:val="center"/>
        <w:rPr>
          <w:rFonts w:cs="Arial"/>
          <w:color w:val="000000" w:themeColor="text1"/>
          <w:sz w:val="22"/>
          <w:szCs w:val="22"/>
        </w:rPr>
      </w:pPr>
      <w:r w:rsidRPr="0089667B">
        <w:rPr>
          <w:rFonts w:cs="Arial"/>
          <w:color w:val="000000" w:themeColor="text1"/>
          <w:sz w:val="22"/>
          <w:szCs w:val="22"/>
        </w:rPr>
        <w:t xml:space="preserve">A </w:t>
      </w:r>
      <w:r w:rsidR="00CA223C" w:rsidRPr="0089667B">
        <w:rPr>
          <w:rFonts w:cs="Arial"/>
          <w:color w:val="000000" w:themeColor="text1"/>
          <w:sz w:val="22"/>
          <w:szCs w:val="22"/>
        </w:rPr>
        <w:t xml:space="preserve">draft </w:t>
      </w:r>
      <w:r w:rsidRPr="0089667B">
        <w:rPr>
          <w:rFonts w:cs="Arial"/>
          <w:color w:val="000000" w:themeColor="text1"/>
          <w:sz w:val="22"/>
          <w:szCs w:val="22"/>
        </w:rPr>
        <w:t>report</w:t>
      </w:r>
      <w:r w:rsidRPr="002A3CE7">
        <w:rPr>
          <w:rFonts w:cs="Arial"/>
          <w:color w:val="000000" w:themeColor="text1"/>
          <w:sz w:val="22"/>
          <w:szCs w:val="22"/>
        </w:rPr>
        <w:t xml:space="preserve"> prepared for the Commonwealth Environmental Water Office by the South Australian </w:t>
      </w:r>
      <w:r w:rsidRPr="00755BBC">
        <w:rPr>
          <w:rFonts w:cs="Arial"/>
          <w:color w:val="000000" w:themeColor="text1"/>
          <w:sz w:val="22"/>
          <w:szCs w:val="22"/>
        </w:rPr>
        <w:t>Research and Development Institute, Aquatic Sciences</w:t>
      </w:r>
    </w:p>
    <w:p w14:paraId="680F4612" w14:textId="77777777" w:rsidR="00755BBC" w:rsidRPr="00755BBC" w:rsidRDefault="00755BBC" w:rsidP="00B3181F">
      <w:pPr>
        <w:contextualSpacing/>
        <w:rPr>
          <w:rFonts w:cs="Arial"/>
          <w:color w:val="000000" w:themeColor="text1"/>
          <w:sz w:val="22"/>
          <w:szCs w:val="22"/>
        </w:rPr>
      </w:pPr>
    </w:p>
    <w:p w14:paraId="69286961" w14:textId="77777777" w:rsidR="00634767" w:rsidRPr="00755BBC" w:rsidRDefault="00634767" w:rsidP="005B0AA3">
      <w:pPr>
        <w:contextualSpacing/>
        <w:jc w:val="center"/>
        <w:rPr>
          <w:rFonts w:cs="Arial"/>
          <w:color w:val="000000" w:themeColor="text1"/>
          <w:szCs w:val="22"/>
        </w:rPr>
      </w:pPr>
    </w:p>
    <w:p w14:paraId="5A406270" w14:textId="505EB33E" w:rsidR="00634767" w:rsidRDefault="00A80430" w:rsidP="00A80430">
      <w:pPr>
        <w:contextualSpacing/>
        <w:jc w:val="right"/>
        <w:rPr>
          <w:noProof/>
        </w:rPr>
      </w:pPr>
      <w:r w:rsidRPr="00E27CFE">
        <w:rPr>
          <w:i/>
          <w:noProof/>
          <w:color w:val="002060"/>
          <w:sz w:val="36"/>
          <w:szCs w:val="36"/>
        </w:rPr>
        <mc:AlternateContent>
          <mc:Choice Requires="wpg">
            <w:drawing>
              <wp:inline distT="0" distB="0" distL="0" distR="0" wp14:anchorId="5C0F346D" wp14:editId="44757784">
                <wp:extent cx="5727700" cy="3729651"/>
                <wp:effectExtent l="0" t="0" r="0" b="4445"/>
                <wp:docPr id="48" name="Group 7"/>
                <wp:cNvGraphicFramePr/>
                <a:graphic xmlns:a="http://schemas.openxmlformats.org/drawingml/2006/main">
                  <a:graphicData uri="http://schemas.microsoft.com/office/word/2010/wordprocessingGroup">
                    <wpg:wgp>
                      <wpg:cNvGrpSpPr/>
                      <wpg:grpSpPr>
                        <a:xfrm>
                          <a:off x="0" y="0"/>
                          <a:ext cx="5727700" cy="3729651"/>
                          <a:chOff x="0" y="0"/>
                          <a:chExt cx="10276245" cy="6692513"/>
                        </a:xfrm>
                      </wpg:grpSpPr>
                      <pic:pic xmlns:pic="http://schemas.openxmlformats.org/drawingml/2006/picture">
                        <pic:nvPicPr>
                          <pic:cNvPr id="49" name="Picture 49"/>
                          <pic:cNvPicPr/>
                        </pic:nvPicPr>
                        <pic:blipFill rotWithShape="1">
                          <a:blip r:embed="rId21"/>
                          <a:srcRect r="2540"/>
                          <a:stretch/>
                        </pic:blipFill>
                        <pic:spPr bwMode="auto">
                          <a:xfrm>
                            <a:off x="5198449" y="1637088"/>
                            <a:ext cx="1917505" cy="146632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pic:nvPicPr>
                        <pic:blipFill rotWithShape="1">
                          <a:blip r:embed="rId22" cstate="print">
                            <a:extLst>
                              <a:ext uri="{28A0092B-C50C-407E-A947-70E740481C1C}">
                                <a14:useLocalDpi xmlns:a14="http://schemas.microsoft.com/office/drawing/2010/main" val="0"/>
                              </a:ext>
                            </a:extLst>
                          </a:blip>
                          <a:srcRect b="9597"/>
                          <a:stretch/>
                        </pic:blipFill>
                        <pic:spPr bwMode="auto">
                          <a:xfrm>
                            <a:off x="6398097" y="125162"/>
                            <a:ext cx="2177987" cy="147600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Picture 54"/>
                          <pic:cNvPicPr>
                            <a:picLocks noChangeAspect="1"/>
                          </pic:cNvPicPr>
                        </pic:nvPicPr>
                        <pic:blipFill rotWithShape="1">
                          <a:blip r:embed="rId23" cstate="print">
                            <a:extLst>
                              <a:ext uri="{28A0092B-C50C-407E-A947-70E740481C1C}">
                                <a14:useLocalDpi xmlns:a14="http://schemas.microsoft.com/office/drawing/2010/main" val="0"/>
                              </a:ext>
                            </a:extLst>
                          </a:blip>
                          <a:srcRect l="10770" t="26163" r="30603" b="357"/>
                          <a:stretch/>
                        </pic:blipFill>
                        <pic:spPr>
                          <a:xfrm>
                            <a:off x="3559056" y="1641992"/>
                            <a:ext cx="1766465" cy="1476000"/>
                          </a:xfrm>
                          <a:prstGeom prst="rect">
                            <a:avLst/>
                          </a:prstGeom>
                        </pic:spPr>
                      </pic:pic>
                      <pic:pic xmlns:pic="http://schemas.openxmlformats.org/drawingml/2006/picture">
                        <pic:nvPicPr>
                          <pic:cNvPr id="57" name="Picture 57"/>
                          <pic:cNvPicPr/>
                        </pic:nvPicPr>
                        <pic:blipFill rotWithShape="1">
                          <a:blip r:embed="rId24" cstate="print">
                            <a:extLst>
                              <a:ext uri="{28A0092B-C50C-407E-A947-70E740481C1C}">
                                <a14:useLocalDpi xmlns:a14="http://schemas.microsoft.com/office/drawing/2010/main" val="0"/>
                              </a:ext>
                            </a:extLst>
                          </a:blip>
                          <a:srcRect l="44604" t="28351" r="31169" b="39180"/>
                          <a:stretch/>
                        </pic:blipFill>
                        <pic:spPr bwMode="auto">
                          <a:xfrm>
                            <a:off x="692912" y="164698"/>
                            <a:ext cx="1651445" cy="147506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Picture 58" descr="A picture containing water, nature, shore&#10;&#10;Description automatically generated"/>
                          <pic:cNvPicPr/>
                        </pic:nvPicPr>
                        <pic:blipFill rotWithShape="1">
                          <a:blip r:embed="rId25"/>
                          <a:srcRect r="12159" b="17928"/>
                          <a:stretch/>
                        </pic:blipFill>
                        <pic:spPr bwMode="auto">
                          <a:xfrm>
                            <a:off x="709208" y="3126386"/>
                            <a:ext cx="4415499" cy="274979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Picture 59" descr="A picture containing plant, tree&#10;&#10;Description automatically generated"/>
                          <pic:cNvPicPr/>
                        </pic:nvPicPr>
                        <pic:blipFill rotWithShape="1">
                          <a:blip r:embed="rId26"/>
                          <a:srcRect l="10193" r="7416"/>
                          <a:stretch/>
                        </pic:blipFill>
                        <pic:spPr>
                          <a:xfrm>
                            <a:off x="6986460" y="1620123"/>
                            <a:ext cx="1612944" cy="1476000"/>
                          </a:xfrm>
                          <a:prstGeom prst="rect">
                            <a:avLst/>
                          </a:prstGeom>
                        </pic:spPr>
                      </pic:pic>
                      <pic:pic xmlns:pic="http://schemas.openxmlformats.org/drawingml/2006/picture">
                        <pic:nvPicPr>
                          <pic:cNvPr id="62" name="Picture 62"/>
                          <pic:cNvPicPr/>
                        </pic:nvPicPr>
                        <pic:blipFill rotWithShape="1">
                          <a:blip r:embed="rId27" cstate="print">
                            <a:extLst>
                              <a:ext uri="{28A0092B-C50C-407E-A947-70E740481C1C}">
                                <a14:useLocalDpi xmlns:a14="http://schemas.microsoft.com/office/drawing/2010/main" val="0"/>
                              </a:ext>
                            </a:extLst>
                          </a:blip>
                          <a:srcRect l="4465"/>
                          <a:stretch/>
                        </pic:blipFill>
                        <pic:spPr bwMode="auto">
                          <a:xfrm>
                            <a:off x="5128808" y="3125777"/>
                            <a:ext cx="3552540" cy="2750400"/>
                          </a:xfrm>
                          <a:prstGeom prst="rect">
                            <a:avLst/>
                          </a:prstGeom>
                          <a:noFill/>
                          <a:ln>
                            <a:noFill/>
                          </a:ln>
                        </pic:spPr>
                      </pic:pic>
                      <wps:wsp>
                        <wps:cNvPr id="64" name="Rectangle 64"/>
                        <wps:cNvSpPr/>
                        <wps:spPr>
                          <a:xfrm rot="5400000">
                            <a:off x="6276522" y="2321711"/>
                            <a:ext cx="1476000" cy="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5" name="Rectangle 65"/>
                        <wps:cNvSpPr/>
                        <wps:spPr>
                          <a:xfrm rot="5400000">
                            <a:off x="9515386" y="2373620"/>
                            <a:ext cx="1476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Rectangle 66"/>
                        <wps:cNvSpPr/>
                        <wps:spPr>
                          <a:xfrm rot="5400000">
                            <a:off x="2137392" y="2347393"/>
                            <a:ext cx="1476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Rectangle 79"/>
                        <wps:cNvSpPr/>
                        <wps:spPr>
                          <a:xfrm rot="5400000">
                            <a:off x="2396654" y="862873"/>
                            <a:ext cx="1476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Rectangle 80"/>
                        <wps:cNvSpPr/>
                        <wps:spPr>
                          <a:xfrm rot="5400000">
                            <a:off x="4181259" y="851906"/>
                            <a:ext cx="1476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 name="Rectangle 82"/>
                        <wps:cNvSpPr/>
                        <wps:spPr>
                          <a:xfrm rot="5400000">
                            <a:off x="5396342" y="861015"/>
                            <a:ext cx="1476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83"/>
                          <pic:cNvPicPr/>
                        </pic:nvPicPr>
                        <pic:blipFill>
                          <a:blip r:embed="rId28"/>
                          <a:stretch>
                            <a:fillRect/>
                          </a:stretch>
                        </pic:blipFill>
                        <pic:spPr>
                          <a:xfrm>
                            <a:off x="4436811" y="155916"/>
                            <a:ext cx="1893035" cy="1437697"/>
                          </a:xfrm>
                          <a:prstGeom prst="rect">
                            <a:avLst/>
                          </a:prstGeom>
                          <a:ln>
                            <a:noFill/>
                          </a:ln>
                        </pic:spPr>
                      </pic:pic>
                      <pic:pic xmlns:pic="http://schemas.openxmlformats.org/drawingml/2006/picture">
                        <pic:nvPicPr>
                          <pic:cNvPr id="84" name="Picture 84" descr="A pair of fish on a table&#10;&#10;Description automatically generated with low confidence"/>
                          <pic:cNvPicPr>
                            <a:picLocks noChangeAspect="1"/>
                          </pic:cNvPicPr>
                        </pic:nvPicPr>
                        <pic:blipFill rotWithShape="1">
                          <a:blip r:embed="rId29" cstate="print">
                            <a:extLst>
                              <a:ext uri="{28A0092B-C50C-407E-A947-70E740481C1C}">
                                <a14:useLocalDpi xmlns:a14="http://schemas.microsoft.com/office/drawing/2010/main" val="0"/>
                              </a:ext>
                            </a:extLst>
                          </a:blip>
                          <a:srcRect l="7524" t="17580" r="7458" b="25115"/>
                          <a:stretch/>
                        </pic:blipFill>
                        <pic:spPr>
                          <a:xfrm>
                            <a:off x="699560" y="1669572"/>
                            <a:ext cx="2793217" cy="1412028"/>
                          </a:xfrm>
                          <a:prstGeom prst="rect">
                            <a:avLst/>
                          </a:prstGeom>
                        </pic:spPr>
                      </pic:pic>
                      <pic:pic xmlns:pic="http://schemas.openxmlformats.org/drawingml/2006/picture">
                        <pic:nvPicPr>
                          <pic:cNvPr id="85" name="Picture 85" descr="A body of water with trees around it&#10;&#10;Description automatically generated with medium confidence"/>
                          <pic:cNvPicPr/>
                        </pic:nvPicPr>
                        <pic:blipFill>
                          <a:blip r:embed="rId30"/>
                          <a:stretch>
                            <a:fillRect/>
                          </a:stretch>
                        </pic:blipFill>
                        <pic:spPr>
                          <a:xfrm>
                            <a:off x="2404305" y="137317"/>
                            <a:ext cx="1972558" cy="1460664"/>
                          </a:xfrm>
                          <a:prstGeom prst="rect">
                            <a:avLst/>
                          </a:prstGeom>
                          <a:ln>
                            <a:noFill/>
                          </a:ln>
                        </pic:spPr>
                      </pic:pic>
                      <wps:wsp>
                        <wps:cNvPr id="87" name="Rectangle 87"/>
                        <wps:cNvSpPr/>
                        <wps:spPr>
                          <a:xfrm flipV="1">
                            <a:off x="137709" y="0"/>
                            <a:ext cx="9144000" cy="153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Rectangle 88"/>
                        <wps:cNvSpPr/>
                        <wps:spPr>
                          <a:xfrm>
                            <a:off x="137709" y="3099732"/>
                            <a:ext cx="9144000" cy="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Rectangle 89"/>
                        <wps:cNvSpPr/>
                        <wps:spPr>
                          <a:xfrm>
                            <a:off x="0" y="1588349"/>
                            <a:ext cx="9144000" cy="5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Rectangle 90"/>
                        <wps:cNvSpPr/>
                        <wps:spPr>
                          <a:xfrm rot="5400000">
                            <a:off x="5724231" y="2988619"/>
                            <a:ext cx="5914030" cy="2103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Rectangle 91"/>
                        <wps:cNvSpPr/>
                        <wps:spPr>
                          <a:xfrm rot="5400000">
                            <a:off x="3328807" y="4869653"/>
                            <a:ext cx="3600000"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 name="Rectangle 93"/>
                        <wps:cNvSpPr/>
                        <wps:spPr>
                          <a:xfrm rot="5400000">
                            <a:off x="4536901" y="2344796"/>
                            <a:ext cx="1533646"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4440415" id="Group 7" o:spid="_x0000_s1026" style="width:451pt;height:293.65pt;mso-position-horizontal-relative:char;mso-position-vertical-relative:line" coordsize="102762,66925" o:gfxdata="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nhtcD0iaHR0cDovL25zLmFkb2JlLmNvbS94YXAvMS4wLyI+PHht&#10;cDpDcmVhdG9yVG9vbD5XaW5kb3dzIFBob3RvIEVkaXRvciAxMC4wLjEwMDExLjE2Mzg0PC94bXA6&#10;Q3JlYXRvclRvb2w+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CFQL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dpbmRvd3MgUGhvdG8gRWRpdG9yIDEwLjAuMTAwMTEuMTYzODQAV2luZG93cyBQaG90&#10;byBFZGl0b3IgMTAuMC4xMDAxMS4xNjM4NAAyMDIxOjA0OjA5IDE1OjI2OjU5AAAGkAMAAgAAABQA&#10;ABEckAQAAgAAABQAABEwkpEAAgAAAAMwMAAAkpIAAgAAAAMwMAAAoAEAAwAAAAEAAQAA6hwABwAA&#10;CAwAAAkQ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vclRvb2w+V2luZG93cyBQaG90byBFZGl0b3IgMTAuMC4xMDAxMS4xNjM4&#10;NDwveG1wOkNyZWF0b3JUb29sPjx4bXA6Q3JlYXRlRGF0ZT4yMDIwLTEyLTA5VDEzOjAwOjEyPC94&#10;bXA6Q3JlYXRlRGF0ZT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8P3hwYWNrZXQgZW5kPSd3Jz8+/9sAQwAD&#10;AgIDAgIDAwMDBAMDBAUIBQUEBAUKBwcGCAwKDAwLCgsLDQ4SEA0OEQ4LCxAWEBETFBUVFQwPFxgW&#10;FBgSFBUU/9sAQwEDBAQFBAUJBQUJFA0LDRQUFBQUFBQUFBQUFBQUFBQUFBQUFBQUFBQUFBQUFBQU&#10;FBQUFBQUFBQUFBQUFBQUFBQU/8AAEQgEQAZ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U9JU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nhtcD0iaHR0cDovL25z&#10;LmFkb2JlLmNvbS94YXAvMS4wLyI+PHhtcDpDcmVhdG9yVG9vbD5XaW5kb3dzIFBob3RvIEVkaXRv&#10;ciAxMC4wLjEwMDExLjE2Mzg0PC94bXA6Q3JlYXRvclRvb2w+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PD94&#10;cGFja2V0IGVuZD0ndyc/Pv/bAEMAAwICAwICAwMDAwQDAwQFCAUFBAQFCgcHBggMCgwMCwoLCw0O&#10;EhANDhEOCwsQFhARExQVFRUMDxcYFhQYEhQVFP/bAEMBAwQEBQQFCQUFCRQNCw0UFBQUFBQUFBQU&#10;FBQUFBQUFBQUFBQUFBQUFBQUFBQUFBQUFBQUFBQUFBQUFBQUFBQUFP/AABEICJgLm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left:51984;top:16370;width:19175;height:1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">
                  <v:imagedata r:id="rId35" o:title="" cropright="1665f"/>
                </v:shape>
                <v:shape id="Picture 51" o:spid="_x0000_s1028" type="#_x0000_t75" style="position:absolute;left:63980;top:1251;width:21780;height:14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">
                  <v:imagedata r:id="rId36" o:title="" cropbottom="6289f"/>
                </v:shape>
                <v:shape id="Picture 54" o:spid="_x0000_s1029" type="#_x0000_t75" style="position:absolute;left:35590;top:16419;width:17665;height:14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">
                  <v:imagedata r:id="rId37" o:title="" croptop="17146f" cropbottom="234f" cropleft="7058f" cropright="20056f"/>
                </v:shape>
                <v:shape id="Picture 57" o:spid="_x0000_s1030" type="#_x0000_t75" style="position:absolute;left:6929;top:1646;width:16514;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">
                  <v:imagedata r:id="rId38" o:title="" croptop="18580f" cropbottom="25677f" cropleft="29232f" cropright="20427f"/>
                </v:shape>
                <v:shape id="Picture 58" o:spid="_x0000_s1031" type="#_x0000_t75" alt="A picture containing water, nature, shore&#10;&#10;Description automatically generated" style="position:absolute;left:7092;top:31263;width:44155;height:2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">
                  <v:imagedata r:id="rId39" o:title="A picture containing water, nature, shore&#10;&#10;Description automatically generated" cropbottom="11749f" cropright="7969f"/>
                </v:shape>
                <v:shape id="Picture 59" o:spid="_x0000_s1032" type="#_x0000_t75" alt="A picture containing plant, tree&#10;&#10;Description automatically generated" style="position:absolute;left:69864;top:16201;width:16130;height:14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">
                  <v:imagedata r:id="rId40" o:title="A picture containing plant, tree&#10;&#10;Description automatically generated" cropleft="6680f" cropright="4860f"/>
                </v:shape>
                <v:shape id="Picture 62" o:spid="_x0000_s1033" type="#_x0000_t75" style="position:absolute;left:51288;top:31257;width:35525;height:27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">
                  <v:imagedata r:id="rId41" o:title="" cropleft="2926f"/>
                </v:shape>
                <v:rect id="Rectangle 64" o:spid="_x0000_s1034" style="position:absolute;left:62765;top:23217;width:14760;height:5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" fillcolor="white [3212]" stroked="f" strokeweight="1pt"/>
                <v:rect id="Rectangle 65" o:spid="_x0000_s1035" style="position:absolute;left:95154;top:23735;width:14760;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" fillcolor="white [3212]" stroked="f" strokeweight="1pt"/>
                <v:rect id="Rectangle 66" o:spid="_x0000_s1036" style="position:absolute;left:21374;top:23473;width:14760;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" fillcolor="white [3212]" stroked="f" strokeweight="1pt"/>
                <v:rect id="Rectangle 79" o:spid="_x0000_s1037" style="position:absolute;left:23966;top:8628;width:14760;height:45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" fillcolor="white [3212]" stroked="f" strokeweight="1pt"/>
                <v:rect id="Rectangle 80" o:spid="_x0000_s1038" style="position:absolute;left:41812;top:8518;width:14760;height:45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" fillcolor="white [3212]" stroked="f" strokeweight="1pt"/>
                <v:rect id="Rectangle 82" o:spid="_x0000_s1039" style="position:absolute;left:53963;top:8609;width:14760;height:45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" fillcolor="white [3212]" stroked="f" strokeweight="1pt"/>
                <v:shape id="Picture 83" o:spid="_x0000_s1040" type="#_x0000_t75" style="position:absolute;left:44368;top:1559;width:18930;height:1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">
                  <v:imagedata r:id="rId42" o:title=""/>
                </v:shape>
                <v:shape id="Picture 84" o:spid="_x0000_s1041" type="#_x0000_t75" alt="A pair of fish on a table&#10;&#10;Description automatically generated with low confidence" style="position:absolute;left:6995;top:16695;width:27932;height:1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">
                  <v:imagedata r:id="rId43" o:title="A pair of fish on a table&#10;&#10;Description automatically generated with low confidence" croptop="11521f" cropbottom="16459f" cropleft="4931f" cropright="4888f"/>
                </v:shape>
                <v:shape id="Picture 85" o:spid="_x0000_s1042" type="#_x0000_t75" alt="A body of water with trees around it&#10;&#10;Description automatically generated with medium confidence" style="position:absolute;left:24043;top:1373;width:19725;height:1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">
                  <v:imagedata r:id="rId44" o:title="A body of water with trees around it&#10;&#10;Description automatically generated with medium confidence"/>
                </v:shape>
                <v:rect id="Rectangle 87" o:spid="_x0000_s1043" style="position:absolute;left:1377;width:91440;height:153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" fillcolor="white [3212]" stroked="f" strokeweight="1pt"/>
                <v:rect id="Rectangle 88" o:spid="_x0000_s1044" style="position:absolute;left:1377;top:30997;width:914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" fillcolor="white [3212]" stroked="f" strokeweight="1pt"/>
                <v:rect id="Rectangle 89" o:spid="_x0000_s1045" style="position:absolute;top:15883;width:914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" fillcolor="white [3212]" stroked="f" strokeweight="1pt"/>
                <v:rect id="Rectangle 90" o:spid="_x0000_s1046" style="position:absolute;left:57242;top:29885;width:59140;height:210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" fillcolor="white [3212]" stroked="f" strokeweight="1pt"/>
                <v:rect id="Rectangle 91" o:spid="_x0000_s1047" style="position:absolute;left:33288;top:48696;width:36000;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" fillcolor="white [3212]" stroked="f" strokeweight="1pt"/>
                <v:rect id="Rectangle 93" o:spid="_x0000_s1048" style="position:absolute;left:45369;top:23447;width:15336;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" fillcolor="white [3212]" stroked="f" strokeweight="1pt"/>
                <w10:anchorlock/>
              </v:group>
            </w:pict>
          </mc:Fallback>
        </mc:AlternateContent>
      </w:r>
    </w:p>
    <w:p w14:paraId="47499B82" w14:textId="6DDFA2A4" w:rsidR="00634767" w:rsidRDefault="00634767" w:rsidP="005B0AA3">
      <w:pPr>
        <w:contextualSpacing/>
        <w:jc w:val="center"/>
        <w:rPr>
          <w:noProof/>
        </w:rPr>
      </w:pPr>
    </w:p>
    <w:p w14:paraId="52760FAF" w14:textId="2D000252" w:rsidR="00541E7C" w:rsidRDefault="00541E7C" w:rsidP="00A80430">
      <w:pPr>
        <w:tabs>
          <w:tab w:val="center" w:pos="4510"/>
          <w:tab w:val="left" w:pos="6205"/>
        </w:tabs>
        <w:contextualSpacing/>
        <w:rPr>
          <w:noProof/>
          <w:lang w:eastAsia="en-AU"/>
        </w:rPr>
      </w:pPr>
    </w:p>
    <w:p w14:paraId="7465DF33" w14:textId="77777777" w:rsidR="00755BBC" w:rsidRPr="00755BBC" w:rsidRDefault="00755BBC" w:rsidP="005B0AA3">
      <w:pPr>
        <w:tabs>
          <w:tab w:val="center" w:pos="4510"/>
          <w:tab w:val="left" w:pos="6205"/>
        </w:tabs>
        <w:contextualSpacing/>
        <w:jc w:val="center"/>
        <w:rPr>
          <w:noProof/>
          <w:lang w:eastAsia="en-AU"/>
        </w:rPr>
      </w:pPr>
    </w:p>
    <w:p w14:paraId="11EFEE8F" w14:textId="6BD15C11" w:rsidR="00F91267" w:rsidRDefault="00A80430" w:rsidP="005B0AA3">
      <w:pPr>
        <w:tabs>
          <w:tab w:val="center" w:pos="4510"/>
          <w:tab w:val="left" w:pos="6205"/>
        </w:tabs>
        <w:contextualSpacing/>
        <w:jc w:val="center"/>
        <w:rPr>
          <w:color w:val="000000" w:themeColor="text1"/>
          <w:sz w:val="24"/>
          <w:szCs w:val="24"/>
        </w:rPr>
      </w:pPr>
      <w:r>
        <w:rPr>
          <w:color w:val="000000" w:themeColor="text1"/>
          <w:sz w:val="24"/>
          <w:szCs w:val="24"/>
        </w:rPr>
        <w:t>April</w:t>
      </w:r>
      <w:r w:rsidR="00A31912" w:rsidRPr="0089667B">
        <w:rPr>
          <w:color w:val="000000" w:themeColor="text1"/>
          <w:sz w:val="24"/>
          <w:szCs w:val="24"/>
        </w:rPr>
        <w:t xml:space="preserve"> 2022</w:t>
      </w:r>
    </w:p>
    <w:p w14:paraId="3BE1D609" w14:textId="4D87C209" w:rsidR="005B0AA3" w:rsidRPr="00630FB0" w:rsidRDefault="00F91267" w:rsidP="005B0AA3">
      <w:pPr>
        <w:tabs>
          <w:tab w:val="center" w:pos="4510"/>
          <w:tab w:val="left" w:pos="6205"/>
        </w:tabs>
        <w:contextualSpacing/>
        <w:jc w:val="center"/>
        <w:rPr>
          <w:rFonts w:cs="Arial"/>
          <w:bCs/>
          <w:i/>
          <w:color w:val="002060"/>
          <w:spacing w:val="40"/>
          <w:sz w:val="24"/>
          <w:szCs w:val="24"/>
          <w:lang w:eastAsia="en-AU"/>
        </w:rPr>
      </w:pPr>
      <w:r>
        <w:rPr>
          <w:noProof/>
        </w:rPr>
        <w:drawing>
          <wp:anchor distT="0" distB="0" distL="114300" distR="114300" simplePos="0" relativeHeight="251658243" behindDoc="0" locked="0" layoutInCell="1" allowOverlap="1" wp14:anchorId="1285BA37" wp14:editId="364DD4E7">
            <wp:simplePos x="0" y="0"/>
            <wp:positionH relativeFrom="column">
              <wp:posOffset>4465320</wp:posOffset>
            </wp:positionH>
            <wp:positionV relativeFrom="paragraph">
              <wp:posOffset>12700</wp:posOffset>
            </wp:positionV>
            <wp:extent cx="1552463" cy="1000125"/>
            <wp:effectExtent l="0" t="0" r="0" b="0"/>
            <wp:wrapNone/>
            <wp:docPr id="23" name="Picture 59" descr="\\cluscbdfs02\USER30\SARDI\Inland Waters\MER 2019-2022\2019-20 Technical Report\report images\SARDI_Lockup_Full_Colour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9" descr="\\cluscbdfs02\USER30\SARDI\Inland Waters\MER 2019-2022\2019-20 Technical Report\report images\SARDI_Lockup_Full_Colour_RGB.pn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52463" cy="1000125"/>
                    </a:xfrm>
                    <a:prstGeom prst="rect">
                      <a:avLst/>
                    </a:prstGeom>
                    <a:noFill/>
                    <a:ln>
                      <a:noFill/>
                    </a:ln>
                  </pic:spPr>
                </pic:pic>
              </a:graphicData>
            </a:graphic>
          </wp:anchor>
        </w:drawing>
      </w:r>
      <w:r w:rsidR="005B0AA3" w:rsidRPr="00630FB0">
        <w:rPr>
          <w:i/>
          <w:color w:val="002060"/>
          <w:sz w:val="24"/>
          <w:szCs w:val="24"/>
        </w:rPr>
        <w:br w:type="page"/>
      </w:r>
    </w:p>
    <w:p w14:paraId="61DCE51E" w14:textId="55D8E0DD" w:rsidR="005B0AA3" w:rsidRPr="001F65AB" w:rsidRDefault="005B0AA3" w:rsidP="00BE0564">
      <w:pPr>
        <w:spacing w:line="240" w:lineRule="auto"/>
        <w:rPr>
          <w:rFonts w:cs="Arial"/>
          <w:b/>
          <w:bCs/>
          <w:color w:val="355F91"/>
          <w:szCs w:val="22"/>
        </w:rPr>
      </w:pPr>
      <w:r w:rsidRPr="007E678C">
        <w:rPr>
          <w:rFonts w:cs="Arial"/>
          <w:b/>
          <w:bCs/>
          <w:color w:val="355F91"/>
          <w:szCs w:val="22"/>
        </w:rPr>
        <w:lastRenderedPageBreak/>
        <w:t>Ye, Q.</w:t>
      </w:r>
      <w:r w:rsidRPr="007E678C">
        <w:rPr>
          <w:rFonts w:cs="Arial"/>
          <w:b/>
          <w:bCs/>
          <w:color w:val="355F91"/>
          <w:szCs w:val="22"/>
          <w:vertAlign w:val="superscript"/>
        </w:rPr>
        <w:t>1</w:t>
      </w:r>
      <w:r w:rsidRPr="007E678C">
        <w:rPr>
          <w:rFonts w:cs="Arial"/>
          <w:b/>
          <w:bCs/>
          <w:color w:val="355F91"/>
          <w:szCs w:val="22"/>
        </w:rPr>
        <w:t>, Giatas, G.</w:t>
      </w:r>
      <w:r w:rsidRPr="007E678C">
        <w:rPr>
          <w:rFonts w:cs="Arial"/>
          <w:b/>
          <w:bCs/>
          <w:color w:val="355F91"/>
          <w:szCs w:val="22"/>
          <w:vertAlign w:val="superscript"/>
        </w:rPr>
        <w:t>1</w:t>
      </w:r>
      <w:r w:rsidRPr="007E678C">
        <w:rPr>
          <w:rFonts w:cs="Arial"/>
          <w:b/>
          <w:bCs/>
          <w:color w:val="355F91"/>
          <w:szCs w:val="22"/>
        </w:rPr>
        <w:t xml:space="preserve">, </w:t>
      </w:r>
      <w:r w:rsidR="00906BCD" w:rsidRPr="007E678C">
        <w:rPr>
          <w:rFonts w:cs="Arial"/>
          <w:b/>
          <w:bCs/>
          <w:color w:val="355F91"/>
          <w:szCs w:val="22"/>
        </w:rPr>
        <w:t>Bice, C.</w:t>
      </w:r>
      <w:r w:rsidR="00906BCD" w:rsidRPr="007E678C">
        <w:rPr>
          <w:rFonts w:cs="Arial"/>
          <w:b/>
          <w:bCs/>
          <w:color w:val="355F91"/>
          <w:szCs w:val="22"/>
          <w:vertAlign w:val="superscript"/>
        </w:rPr>
        <w:t>1</w:t>
      </w:r>
      <w:r w:rsidR="00906BCD" w:rsidRPr="007E678C">
        <w:rPr>
          <w:rFonts w:cs="Arial"/>
          <w:b/>
          <w:bCs/>
          <w:color w:val="355F91"/>
          <w:szCs w:val="22"/>
        </w:rPr>
        <w:t xml:space="preserve">, </w:t>
      </w:r>
      <w:r w:rsidR="002B4901" w:rsidRPr="007E678C">
        <w:rPr>
          <w:rFonts w:cs="Arial"/>
          <w:b/>
          <w:bCs/>
          <w:color w:val="355F91"/>
          <w:szCs w:val="22"/>
        </w:rPr>
        <w:t>Brookes, J.</w:t>
      </w:r>
      <w:r w:rsidR="002B4901" w:rsidRPr="007E678C">
        <w:rPr>
          <w:rFonts w:cs="Arial"/>
          <w:b/>
          <w:bCs/>
          <w:color w:val="355F91"/>
          <w:szCs w:val="22"/>
          <w:vertAlign w:val="superscript"/>
        </w:rPr>
        <w:t>2</w:t>
      </w:r>
      <w:r w:rsidRPr="007E678C">
        <w:rPr>
          <w:rFonts w:cs="Arial"/>
          <w:b/>
          <w:bCs/>
          <w:color w:val="355F91"/>
          <w:szCs w:val="22"/>
        </w:rPr>
        <w:t xml:space="preserve">, </w:t>
      </w:r>
      <w:r w:rsidR="00CC1E80" w:rsidRPr="007E678C">
        <w:rPr>
          <w:rFonts w:cs="Arial"/>
          <w:b/>
          <w:bCs/>
          <w:color w:val="355F91"/>
          <w:szCs w:val="22"/>
        </w:rPr>
        <w:t>Furst, D.</w:t>
      </w:r>
      <w:r w:rsidR="00CC1E80" w:rsidRPr="007E678C">
        <w:rPr>
          <w:rFonts w:cs="Arial"/>
          <w:b/>
          <w:bCs/>
          <w:color w:val="355F91"/>
          <w:szCs w:val="22"/>
          <w:vertAlign w:val="superscript"/>
        </w:rPr>
        <w:t xml:space="preserve"> 2</w:t>
      </w:r>
      <w:r w:rsidR="00CC1E80" w:rsidRPr="007E678C">
        <w:rPr>
          <w:rFonts w:cs="Arial"/>
          <w:b/>
          <w:bCs/>
          <w:color w:val="355F91"/>
          <w:szCs w:val="22"/>
        </w:rPr>
        <w:t xml:space="preserve">, </w:t>
      </w:r>
      <w:r w:rsidRPr="007E678C">
        <w:rPr>
          <w:rFonts w:cs="Arial"/>
          <w:b/>
          <w:bCs/>
          <w:color w:val="355F91"/>
          <w:szCs w:val="22"/>
        </w:rPr>
        <w:t>Gibbs, M.</w:t>
      </w:r>
      <w:r w:rsidRPr="007E678C">
        <w:rPr>
          <w:rFonts w:cs="Arial"/>
          <w:b/>
          <w:bCs/>
          <w:color w:val="355F91"/>
          <w:szCs w:val="22"/>
          <w:vertAlign w:val="superscript"/>
        </w:rPr>
        <w:t>2,</w:t>
      </w:r>
      <w:r w:rsidR="00A47EFB" w:rsidRPr="007E678C">
        <w:rPr>
          <w:rFonts w:cs="Arial"/>
          <w:b/>
          <w:bCs/>
          <w:color w:val="355F91"/>
          <w:szCs w:val="22"/>
          <w:vertAlign w:val="superscript"/>
        </w:rPr>
        <w:t>3</w:t>
      </w:r>
      <w:r w:rsidR="0097724B" w:rsidRPr="007E678C">
        <w:rPr>
          <w:rFonts w:cs="Arial"/>
          <w:b/>
          <w:bCs/>
          <w:color w:val="355F91"/>
          <w:szCs w:val="22"/>
          <w:vertAlign w:val="superscript"/>
        </w:rPr>
        <w:t>,4</w:t>
      </w:r>
      <w:r w:rsidRPr="007E678C">
        <w:rPr>
          <w:rFonts w:cs="Arial"/>
          <w:b/>
          <w:bCs/>
          <w:color w:val="355F91"/>
          <w:szCs w:val="22"/>
        </w:rPr>
        <w:t xml:space="preserve">, </w:t>
      </w:r>
      <w:r w:rsidR="00906BCD" w:rsidRPr="007E678C">
        <w:rPr>
          <w:rFonts w:cs="Arial"/>
          <w:b/>
          <w:bCs/>
          <w:color w:val="355F91"/>
          <w:szCs w:val="22"/>
        </w:rPr>
        <w:t>Nicol, J.</w:t>
      </w:r>
      <w:r w:rsidR="00906BCD" w:rsidRPr="007E678C">
        <w:rPr>
          <w:rFonts w:cs="Arial"/>
          <w:b/>
          <w:bCs/>
          <w:color w:val="355F91"/>
          <w:szCs w:val="22"/>
          <w:vertAlign w:val="superscript"/>
        </w:rPr>
        <w:t>1</w:t>
      </w:r>
      <w:r w:rsidR="00906BCD" w:rsidRPr="007E678C">
        <w:rPr>
          <w:rFonts w:cs="Arial"/>
          <w:b/>
          <w:bCs/>
          <w:color w:val="355F91"/>
          <w:szCs w:val="22"/>
        </w:rPr>
        <w:t>,</w:t>
      </w:r>
      <w:r w:rsidR="00CB5E0F" w:rsidRPr="007E678C">
        <w:rPr>
          <w:rFonts w:cs="Arial"/>
          <w:b/>
          <w:bCs/>
          <w:color w:val="355F91"/>
          <w:szCs w:val="22"/>
        </w:rPr>
        <w:t xml:space="preserve"> </w:t>
      </w:r>
      <w:r w:rsidR="002B4901" w:rsidRPr="007E678C">
        <w:rPr>
          <w:rFonts w:cs="Arial"/>
          <w:b/>
          <w:bCs/>
          <w:color w:val="355F91"/>
          <w:szCs w:val="22"/>
        </w:rPr>
        <w:t>Oliver, R.</w:t>
      </w:r>
      <w:r w:rsidR="002B4901" w:rsidRPr="007E678C">
        <w:rPr>
          <w:rFonts w:cs="Arial"/>
          <w:b/>
          <w:bCs/>
          <w:color w:val="355F91"/>
          <w:szCs w:val="22"/>
          <w:vertAlign w:val="superscript"/>
        </w:rPr>
        <w:t>2</w:t>
      </w:r>
      <w:r w:rsidR="002B4901" w:rsidRPr="007E678C">
        <w:rPr>
          <w:rFonts w:cs="Arial"/>
          <w:b/>
          <w:bCs/>
          <w:color w:val="355F91"/>
          <w:szCs w:val="22"/>
        </w:rPr>
        <w:t>, Zampatti, B.</w:t>
      </w:r>
      <w:r w:rsidR="007A7858" w:rsidRPr="007E678C">
        <w:rPr>
          <w:rFonts w:cs="Arial"/>
          <w:b/>
          <w:bCs/>
          <w:color w:val="355F91"/>
          <w:szCs w:val="22"/>
          <w:vertAlign w:val="superscript"/>
        </w:rPr>
        <w:t>4</w:t>
      </w:r>
      <w:r w:rsidR="002B4901" w:rsidRPr="007E678C">
        <w:rPr>
          <w:rFonts w:cs="Arial"/>
          <w:b/>
          <w:bCs/>
          <w:color w:val="355F91"/>
          <w:szCs w:val="22"/>
        </w:rPr>
        <w:t>, Bucater, L.</w:t>
      </w:r>
      <w:r w:rsidR="002B4901" w:rsidRPr="007E678C">
        <w:rPr>
          <w:rFonts w:cs="Arial"/>
          <w:b/>
          <w:bCs/>
          <w:color w:val="355F91"/>
          <w:szCs w:val="22"/>
          <w:vertAlign w:val="superscript"/>
        </w:rPr>
        <w:t>1</w:t>
      </w:r>
      <w:r w:rsidR="002B4901" w:rsidRPr="007E678C">
        <w:rPr>
          <w:rFonts w:cs="Arial"/>
          <w:b/>
          <w:bCs/>
          <w:color w:val="355F91"/>
          <w:szCs w:val="22"/>
        </w:rPr>
        <w:t xml:space="preserve">, </w:t>
      </w:r>
      <w:r w:rsidR="006C4E7D" w:rsidRPr="007E678C">
        <w:rPr>
          <w:rFonts w:cs="Arial"/>
          <w:b/>
          <w:bCs/>
          <w:color w:val="355F91"/>
          <w:szCs w:val="22"/>
        </w:rPr>
        <w:t>Deane, D.</w:t>
      </w:r>
      <w:r w:rsidR="006C4E7D" w:rsidRPr="007E678C">
        <w:rPr>
          <w:rFonts w:cs="Arial"/>
          <w:b/>
          <w:bCs/>
          <w:color w:val="355F91"/>
          <w:szCs w:val="22"/>
          <w:vertAlign w:val="superscript"/>
        </w:rPr>
        <w:t>2</w:t>
      </w:r>
      <w:r w:rsidR="006C4E7D" w:rsidRPr="007E678C">
        <w:rPr>
          <w:rFonts w:cs="Arial"/>
          <w:b/>
          <w:bCs/>
          <w:color w:val="355F91"/>
          <w:szCs w:val="22"/>
        </w:rPr>
        <w:t>,</w:t>
      </w:r>
      <w:r w:rsidR="002B4901" w:rsidRPr="007E678C">
        <w:rPr>
          <w:rFonts w:cs="Arial"/>
          <w:b/>
          <w:bCs/>
          <w:color w:val="355F91"/>
          <w:szCs w:val="22"/>
        </w:rPr>
        <w:t xml:space="preserve"> </w:t>
      </w:r>
      <w:r w:rsidR="0097724B" w:rsidRPr="007E678C">
        <w:rPr>
          <w:rFonts w:cs="Arial"/>
          <w:b/>
          <w:bCs/>
          <w:color w:val="355F91"/>
          <w:szCs w:val="22"/>
        </w:rPr>
        <w:t>Frahn, K.</w:t>
      </w:r>
      <w:r w:rsidR="0097724B" w:rsidRPr="007E678C">
        <w:rPr>
          <w:rFonts w:cs="Arial Bold"/>
          <w:b/>
          <w:bCs/>
          <w:color w:val="355F91"/>
          <w:szCs w:val="22"/>
          <w:vertAlign w:val="superscript"/>
        </w:rPr>
        <w:t>1</w:t>
      </w:r>
      <w:r w:rsidR="0097724B" w:rsidRPr="007E678C">
        <w:rPr>
          <w:rFonts w:cs="Arial"/>
          <w:b/>
          <w:bCs/>
          <w:color w:val="355F91"/>
          <w:szCs w:val="22"/>
        </w:rPr>
        <w:t xml:space="preserve">, </w:t>
      </w:r>
      <w:r w:rsidRPr="007E678C">
        <w:rPr>
          <w:rFonts w:cs="Arial"/>
          <w:b/>
          <w:bCs/>
          <w:color w:val="355F91"/>
          <w:szCs w:val="22"/>
        </w:rPr>
        <w:t>Hipsey, M.</w:t>
      </w:r>
      <w:r w:rsidR="001229D2" w:rsidRPr="007E678C">
        <w:rPr>
          <w:rFonts w:cs="Arial"/>
          <w:b/>
          <w:bCs/>
          <w:color w:val="355F91"/>
          <w:szCs w:val="22"/>
          <w:vertAlign w:val="superscript"/>
        </w:rPr>
        <w:t>6</w:t>
      </w:r>
      <w:r w:rsidRPr="007E678C">
        <w:rPr>
          <w:rFonts w:cs="Arial"/>
          <w:b/>
          <w:bCs/>
          <w:color w:val="355F91"/>
          <w:szCs w:val="22"/>
        </w:rPr>
        <w:t xml:space="preserve">, </w:t>
      </w:r>
      <w:r w:rsidR="0097724B" w:rsidRPr="007E678C">
        <w:rPr>
          <w:rFonts w:cs="Arial"/>
          <w:b/>
          <w:bCs/>
          <w:color w:val="355F91"/>
          <w:szCs w:val="22"/>
        </w:rPr>
        <w:t>Kok, C.</w:t>
      </w:r>
      <w:r w:rsidR="0097724B" w:rsidRPr="007E678C">
        <w:rPr>
          <w:rFonts w:cs="Arial Bold"/>
          <w:b/>
          <w:bCs/>
          <w:color w:val="355F91"/>
          <w:szCs w:val="22"/>
          <w:vertAlign w:val="superscript"/>
        </w:rPr>
        <w:t>2</w:t>
      </w:r>
      <w:r w:rsidR="0097724B" w:rsidRPr="007E678C">
        <w:rPr>
          <w:rFonts w:cs="Arial"/>
          <w:b/>
          <w:bCs/>
          <w:color w:val="355F91"/>
          <w:szCs w:val="22"/>
        </w:rPr>
        <w:t xml:space="preserve">, </w:t>
      </w:r>
      <w:r w:rsidR="00BE0564" w:rsidRPr="007E678C">
        <w:rPr>
          <w:rFonts w:cs="Arial"/>
          <w:b/>
          <w:bCs/>
          <w:color w:val="355F91"/>
          <w:szCs w:val="22"/>
        </w:rPr>
        <w:t>Huang, P.</w:t>
      </w:r>
      <w:r w:rsidR="00BE0564" w:rsidRPr="007E678C">
        <w:rPr>
          <w:rFonts w:cs="Arial Bold"/>
          <w:b/>
          <w:bCs/>
          <w:color w:val="355F91"/>
          <w:szCs w:val="22"/>
          <w:vertAlign w:val="superscript"/>
        </w:rPr>
        <w:t>6</w:t>
      </w:r>
      <w:r w:rsidR="00BE0564" w:rsidRPr="007E678C">
        <w:rPr>
          <w:rFonts w:cs="Arial"/>
          <w:b/>
          <w:bCs/>
          <w:color w:val="355F91"/>
          <w:szCs w:val="22"/>
        </w:rPr>
        <w:t xml:space="preserve">, </w:t>
      </w:r>
      <w:r w:rsidRPr="007E678C">
        <w:rPr>
          <w:rFonts w:cs="Arial"/>
          <w:b/>
          <w:bCs/>
          <w:color w:val="355F91"/>
          <w:szCs w:val="22"/>
        </w:rPr>
        <w:t>Lorenz, Z.</w:t>
      </w:r>
      <w:r w:rsidRPr="007E678C">
        <w:rPr>
          <w:rFonts w:cs="Arial"/>
          <w:b/>
          <w:bCs/>
          <w:color w:val="355F91"/>
          <w:szCs w:val="22"/>
          <w:vertAlign w:val="superscript"/>
        </w:rPr>
        <w:t>2</w:t>
      </w:r>
      <w:r w:rsidR="007A7858" w:rsidRPr="007E678C">
        <w:rPr>
          <w:rFonts w:cs="Arial"/>
          <w:b/>
          <w:bCs/>
          <w:color w:val="355F91"/>
          <w:szCs w:val="22"/>
        </w:rPr>
        <w:t xml:space="preserve">, </w:t>
      </w:r>
      <w:r w:rsidR="00C655E7" w:rsidRPr="007E678C">
        <w:rPr>
          <w:rFonts w:cs="Arial"/>
          <w:b/>
          <w:bCs/>
          <w:color w:val="355F91"/>
          <w:szCs w:val="22"/>
        </w:rPr>
        <w:t>Mills, J.</w:t>
      </w:r>
      <w:r w:rsidR="00C655E7" w:rsidRPr="007E678C">
        <w:rPr>
          <w:rFonts w:cs="Arial"/>
          <w:b/>
          <w:bCs/>
          <w:color w:val="355F91"/>
          <w:szCs w:val="22"/>
          <w:vertAlign w:val="superscript"/>
        </w:rPr>
        <w:t>2</w:t>
      </w:r>
      <w:r w:rsidR="001147FF" w:rsidRPr="007E678C">
        <w:rPr>
          <w:rFonts w:cs="Arial"/>
          <w:b/>
          <w:bCs/>
          <w:color w:val="355F91"/>
          <w:szCs w:val="22"/>
        </w:rPr>
        <w:t xml:space="preserve">, </w:t>
      </w:r>
      <w:r w:rsidR="007A7858" w:rsidRPr="007E678C">
        <w:rPr>
          <w:rFonts w:cs="Arial"/>
          <w:b/>
          <w:bCs/>
          <w:color w:val="355F91"/>
          <w:szCs w:val="22"/>
        </w:rPr>
        <w:t>Shiel, R.</w:t>
      </w:r>
      <w:r w:rsidR="007A7858" w:rsidRPr="007E678C">
        <w:rPr>
          <w:rFonts w:cs="Arial"/>
          <w:b/>
          <w:bCs/>
          <w:color w:val="355F91"/>
          <w:szCs w:val="22"/>
          <w:vertAlign w:val="superscript"/>
        </w:rPr>
        <w:t>2,5</w:t>
      </w:r>
      <w:r w:rsidR="007A7858" w:rsidRPr="007E678C">
        <w:rPr>
          <w:rFonts w:cs="Arial"/>
          <w:b/>
          <w:bCs/>
          <w:color w:val="355F91"/>
          <w:szCs w:val="22"/>
        </w:rPr>
        <w:t xml:space="preserve"> </w:t>
      </w:r>
      <w:r w:rsidR="00BE0564" w:rsidRPr="007E678C">
        <w:rPr>
          <w:rFonts w:cs="Arial"/>
          <w:b/>
          <w:bCs/>
          <w:color w:val="355F91"/>
          <w:szCs w:val="22"/>
        </w:rPr>
        <w:t>and Zhai, S.</w:t>
      </w:r>
      <w:r w:rsidR="00BE0564" w:rsidRPr="007E678C">
        <w:rPr>
          <w:rFonts w:cs="Arial Bold"/>
          <w:b/>
          <w:bCs/>
          <w:color w:val="355F91"/>
          <w:szCs w:val="22"/>
          <w:vertAlign w:val="superscript"/>
        </w:rPr>
        <w:t xml:space="preserve">6 </w:t>
      </w:r>
      <w:r w:rsidRPr="007E678C">
        <w:rPr>
          <w:rFonts w:cs="Arial"/>
          <w:b/>
          <w:bCs/>
          <w:color w:val="355F91"/>
          <w:szCs w:val="22"/>
        </w:rPr>
        <w:t>(20</w:t>
      </w:r>
      <w:r w:rsidR="00AA0560" w:rsidRPr="007E678C">
        <w:rPr>
          <w:rFonts w:cs="Arial"/>
          <w:b/>
          <w:bCs/>
          <w:color w:val="355F91"/>
          <w:szCs w:val="22"/>
        </w:rPr>
        <w:t>2</w:t>
      </w:r>
      <w:r w:rsidR="0097724B" w:rsidRPr="007E678C">
        <w:rPr>
          <w:rFonts w:cs="Arial"/>
          <w:b/>
          <w:bCs/>
          <w:color w:val="355F91"/>
          <w:szCs w:val="22"/>
        </w:rPr>
        <w:t>2</w:t>
      </w:r>
      <w:r w:rsidRPr="007E678C">
        <w:rPr>
          <w:rFonts w:cs="Arial"/>
          <w:b/>
          <w:bCs/>
          <w:color w:val="355F91"/>
          <w:szCs w:val="22"/>
        </w:rPr>
        <w:t xml:space="preserve">). Commonwealth Environmental Water Office </w:t>
      </w:r>
      <w:r w:rsidR="00541E7C" w:rsidRPr="007E678C">
        <w:rPr>
          <w:rFonts w:cs="Arial"/>
          <w:b/>
          <w:bCs/>
          <w:color w:val="355F91"/>
          <w:szCs w:val="22"/>
        </w:rPr>
        <w:t>Monitoring, Evaluation and Research</w:t>
      </w:r>
      <w:r w:rsidRPr="007E678C">
        <w:rPr>
          <w:rFonts w:cs="Arial"/>
          <w:b/>
          <w:bCs/>
          <w:color w:val="355F91"/>
          <w:szCs w:val="22"/>
        </w:rPr>
        <w:t xml:space="preserve"> Project:</w:t>
      </w:r>
      <w:r w:rsidR="00DE3CF4" w:rsidRPr="007E678C">
        <w:rPr>
          <w:rFonts w:cs="Arial"/>
          <w:b/>
          <w:bCs/>
          <w:color w:val="355F91"/>
          <w:szCs w:val="22"/>
        </w:rPr>
        <w:t xml:space="preserve"> Lower Murray </w:t>
      </w:r>
      <w:r w:rsidR="00541E7C" w:rsidRPr="007E678C">
        <w:rPr>
          <w:rFonts w:cs="Arial"/>
          <w:b/>
          <w:bCs/>
          <w:color w:val="355F91"/>
          <w:szCs w:val="22"/>
        </w:rPr>
        <w:t>20</w:t>
      </w:r>
      <w:r w:rsidR="00634767" w:rsidRPr="007E678C">
        <w:rPr>
          <w:rFonts w:cs="Arial"/>
          <w:b/>
          <w:bCs/>
          <w:color w:val="355F91"/>
          <w:szCs w:val="22"/>
        </w:rPr>
        <w:t>20</w:t>
      </w:r>
      <w:r w:rsidR="00541E7C" w:rsidRPr="007E678C">
        <w:rPr>
          <w:rFonts w:cs="Arial"/>
          <w:b/>
          <w:bCs/>
          <w:color w:val="355F91"/>
          <w:szCs w:val="22"/>
        </w:rPr>
        <w:t>-2</w:t>
      </w:r>
      <w:r w:rsidR="00634767" w:rsidRPr="007E678C">
        <w:rPr>
          <w:rFonts w:cs="Arial"/>
          <w:b/>
          <w:bCs/>
          <w:color w:val="355F91"/>
          <w:szCs w:val="22"/>
        </w:rPr>
        <w:t>1</w:t>
      </w:r>
      <w:r w:rsidR="00541E7C" w:rsidRPr="007E678C">
        <w:rPr>
          <w:rFonts w:cs="Arial"/>
          <w:b/>
          <w:bCs/>
          <w:color w:val="355F91"/>
          <w:szCs w:val="22"/>
        </w:rPr>
        <w:t xml:space="preserve"> </w:t>
      </w:r>
      <w:r w:rsidRPr="007E678C">
        <w:rPr>
          <w:rFonts w:cs="Arial"/>
          <w:b/>
          <w:bCs/>
          <w:color w:val="355F91"/>
          <w:szCs w:val="22"/>
        </w:rPr>
        <w:t>Technical Report. A report prepared for the Commonwealth Environmental Water Office by the South Australian Research and Development Institute, Aquatic Sciences.</w:t>
      </w:r>
      <w:r w:rsidR="00BE0564" w:rsidRPr="00BE0564">
        <w:t xml:space="preserve"> </w:t>
      </w:r>
    </w:p>
    <w:p w14:paraId="724EA588" w14:textId="31D2BDA4" w:rsidR="005B0AA3" w:rsidRPr="00EC460F" w:rsidRDefault="005B0AA3" w:rsidP="005B0AA3">
      <w:pPr>
        <w:spacing w:after="0" w:line="240" w:lineRule="auto"/>
        <w:contextualSpacing/>
        <w:rPr>
          <w:rFonts w:cs="Arial"/>
          <w:bCs/>
          <w:sz w:val="18"/>
        </w:rPr>
      </w:pPr>
      <w:r w:rsidRPr="00EC460F">
        <w:rPr>
          <w:rFonts w:cs="Arial"/>
          <w:bCs/>
          <w:sz w:val="18"/>
          <w:vertAlign w:val="superscript"/>
        </w:rPr>
        <w:t>1</w:t>
      </w:r>
      <w:r w:rsidRPr="00EC460F">
        <w:rPr>
          <w:rFonts w:cs="Arial"/>
          <w:bCs/>
          <w:sz w:val="18"/>
        </w:rPr>
        <w:t xml:space="preserve"> South Australian Research and</w:t>
      </w:r>
      <w:r w:rsidR="00541E7C">
        <w:rPr>
          <w:rFonts w:cs="Arial"/>
          <w:bCs/>
          <w:sz w:val="18"/>
        </w:rPr>
        <w:t xml:space="preserve"> Development Institute (Aquatic</w:t>
      </w:r>
      <w:r w:rsidRPr="00EC460F">
        <w:rPr>
          <w:rFonts w:cs="Arial"/>
          <w:bCs/>
          <w:sz w:val="18"/>
        </w:rPr>
        <w:t xml:space="preserve"> Sciences)</w:t>
      </w:r>
    </w:p>
    <w:p w14:paraId="4E31595A" w14:textId="77777777" w:rsidR="005B0AA3" w:rsidRPr="00EC460F" w:rsidRDefault="005B0AA3" w:rsidP="005B0AA3">
      <w:pPr>
        <w:spacing w:after="0" w:line="240" w:lineRule="auto"/>
        <w:contextualSpacing/>
        <w:rPr>
          <w:rFonts w:cs="Arial"/>
          <w:bCs/>
          <w:sz w:val="18"/>
        </w:rPr>
      </w:pPr>
      <w:r w:rsidRPr="00EC460F">
        <w:rPr>
          <w:rFonts w:cs="Arial"/>
          <w:bCs/>
          <w:sz w:val="18"/>
          <w:vertAlign w:val="superscript"/>
        </w:rPr>
        <w:t>2</w:t>
      </w:r>
      <w:r w:rsidRPr="00EC460F">
        <w:rPr>
          <w:rFonts w:cs="Arial"/>
          <w:bCs/>
          <w:sz w:val="18"/>
        </w:rPr>
        <w:t xml:space="preserve"> The University of Adelaide</w:t>
      </w:r>
    </w:p>
    <w:p w14:paraId="0E619540" w14:textId="77777777" w:rsidR="00A47EFB" w:rsidRPr="00EC460F" w:rsidRDefault="00A47EFB" w:rsidP="00A47EFB">
      <w:pPr>
        <w:spacing w:after="0" w:line="240" w:lineRule="auto"/>
        <w:contextualSpacing/>
        <w:rPr>
          <w:rFonts w:cs="Arial"/>
          <w:bCs/>
          <w:sz w:val="18"/>
        </w:rPr>
      </w:pPr>
      <w:r w:rsidRPr="00EC460F">
        <w:rPr>
          <w:rFonts w:cs="Arial"/>
          <w:bCs/>
          <w:sz w:val="18"/>
          <w:vertAlign w:val="superscript"/>
        </w:rPr>
        <w:t xml:space="preserve">3 </w:t>
      </w:r>
      <w:r w:rsidRPr="00EC460F">
        <w:rPr>
          <w:rFonts w:cs="Arial"/>
          <w:bCs/>
          <w:sz w:val="18"/>
        </w:rPr>
        <w:t>Department for Environment and Water</w:t>
      </w:r>
    </w:p>
    <w:p w14:paraId="0748EA64" w14:textId="31F12C1F" w:rsidR="0097724B" w:rsidRPr="00EC460F" w:rsidRDefault="0097724B" w:rsidP="0097724B">
      <w:pPr>
        <w:spacing w:after="0" w:line="240" w:lineRule="auto"/>
        <w:contextualSpacing/>
        <w:rPr>
          <w:rFonts w:cs="Arial"/>
          <w:bCs/>
          <w:sz w:val="18"/>
        </w:rPr>
      </w:pPr>
      <w:r>
        <w:rPr>
          <w:rFonts w:cs="Arial"/>
          <w:bCs/>
          <w:sz w:val="18"/>
          <w:vertAlign w:val="superscript"/>
        </w:rPr>
        <w:t>4</w:t>
      </w:r>
      <w:r w:rsidRPr="00EC460F">
        <w:rPr>
          <w:rFonts w:cs="Arial"/>
          <w:bCs/>
          <w:sz w:val="18"/>
        </w:rPr>
        <w:t xml:space="preserve"> </w:t>
      </w:r>
      <w:r w:rsidRPr="00807492">
        <w:rPr>
          <w:rFonts w:cs="Arial"/>
          <w:bCs/>
          <w:sz w:val="18"/>
        </w:rPr>
        <w:t>Commonwealth Scientific and Industrial Research Organisation</w:t>
      </w:r>
    </w:p>
    <w:p w14:paraId="682D8B78" w14:textId="21D83DB7" w:rsidR="005B0AA3" w:rsidRPr="00EC460F" w:rsidRDefault="0097724B" w:rsidP="005B0AA3">
      <w:pPr>
        <w:spacing w:after="0" w:line="240" w:lineRule="auto"/>
        <w:contextualSpacing/>
        <w:rPr>
          <w:rFonts w:cs="Arial"/>
          <w:bCs/>
          <w:sz w:val="18"/>
        </w:rPr>
      </w:pPr>
      <w:r>
        <w:rPr>
          <w:rFonts w:cs="Arial"/>
          <w:bCs/>
          <w:sz w:val="18"/>
          <w:vertAlign w:val="superscript"/>
        </w:rPr>
        <w:t>5</w:t>
      </w:r>
      <w:r w:rsidR="005B0AA3" w:rsidRPr="00EC460F">
        <w:rPr>
          <w:rFonts w:cs="Arial"/>
          <w:bCs/>
          <w:sz w:val="18"/>
          <w:vertAlign w:val="superscript"/>
        </w:rPr>
        <w:t xml:space="preserve"> </w:t>
      </w:r>
      <w:r w:rsidR="005B0AA3" w:rsidRPr="00EC460F">
        <w:rPr>
          <w:rFonts w:cs="Arial"/>
          <w:bCs/>
          <w:sz w:val="18"/>
        </w:rPr>
        <w:t>Wetland Research and Management</w:t>
      </w:r>
    </w:p>
    <w:p w14:paraId="08DABD9C" w14:textId="166853A5" w:rsidR="001229D2" w:rsidRPr="00EC460F" w:rsidRDefault="001229D2" w:rsidP="001229D2">
      <w:pPr>
        <w:spacing w:after="0" w:line="240" w:lineRule="auto"/>
        <w:contextualSpacing/>
        <w:rPr>
          <w:rFonts w:cs="Arial"/>
          <w:bCs/>
          <w:sz w:val="18"/>
        </w:rPr>
      </w:pPr>
      <w:r w:rsidRPr="00EC460F">
        <w:rPr>
          <w:rFonts w:cs="Arial"/>
          <w:bCs/>
          <w:sz w:val="18"/>
          <w:vertAlign w:val="superscript"/>
        </w:rPr>
        <w:t>6</w:t>
      </w:r>
      <w:r w:rsidRPr="00EC460F">
        <w:rPr>
          <w:rFonts w:cs="Arial"/>
          <w:bCs/>
          <w:sz w:val="18"/>
        </w:rPr>
        <w:t xml:space="preserve"> The University of Western Australia</w:t>
      </w:r>
    </w:p>
    <w:p w14:paraId="364C5C60" w14:textId="4EF9C160" w:rsidR="005B0AA3" w:rsidRDefault="009757D6" w:rsidP="005249A7">
      <w:pPr>
        <w:pStyle w:val="NoSpacing"/>
        <w:jc w:val="center"/>
        <w:rPr>
          <w:noProof/>
          <w:lang w:eastAsia="en-AU"/>
        </w:rPr>
      </w:pPr>
      <w:r w:rsidRPr="009757D6">
        <w:rPr>
          <w:noProof/>
          <w:lang w:val="en-AU" w:eastAsia="en-AU"/>
        </w:rPr>
        <mc:AlternateContent>
          <mc:Choice Requires="wpg">
            <w:drawing>
              <wp:inline distT="0" distB="0" distL="0" distR="0" wp14:anchorId="5E7C57C4" wp14:editId="66FFB691">
                <wp:extent cx="5229225" cy="1200150"/>
                <wp:effectExtent l="0" t="0" r="0" b="0"/>
                <wp:docPr id="33" name="Group 14"/>
                <wp:cNvGraphicFramePr/>
                <a:graphic xmlns:a="http://schemas.openxmlformats.org/drawingml/2006/main">
                  <a:graphicData uri="http://schemas.microsoft.com/office/word/2010/wordprocessingGroup">
                    <wpg:wgp>
                      <wpg:cNvGrpSpPr/>
                      <wpg:grpSpPr>
                        <a:xfrm>
                          <a:off x="0" y="0"/>
                          <a:ext cx="5229225" cy="1200150"/>
                          <a:chOff x="0" y="0"/>
                          <a:chExt cx="5229225" cy="1200150"/>
                        </a:xfrm>
                      </wpg:grpSpPr>
                      <wpg:grpSp>
                        <wpg:cNvPr id="53" name="Group 53"/>
                        <wpg:cNvGrpSpPr>
                          <a:grpSpLocks noChangeAspect="1"/>
                        </wpg:cNvGrpSpPr>
                        <wpg:grpSpPr bwMode="auto">
                          <a:xfrm>
                            <a:off x="0" y="0"/>
                            <a:ext cx="5229225" cy="1200150"/>
                            <a:chOff x="0" y="0"/>
                            <a:chExt cx="2842" cy="706"/>
                          </a:xfrm>
                        </wpg:grpSpPr>
                        <wps:wsp>
                          <wps:cNvPr id="86" name="AutoShape 3"/>
                          <wps:cNvSpPr>
                            <a:spLocks noChangeAspect="1" noChangeArrowheads="1" noTextEdit="1"/>
                          </wps:cNvSpPr>
                          <wps:spPr bwMode="auto">
                            <a:xfrm>
                              <a:off x="0" y="0"/>
                              <a:ext cx="2842"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pic:pic xmlns:pic="http://schemas.openxmlformats.org/drawingml/2006/picture">
                          <pic:nvPicPr>
                            <pic:cNvPr id="115" name="Picture 1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344" y="85"/>
                              <a:ext cx="749"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43" name="Picture 1043"/>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38117" y="92839"/>
                            <a:ext cx="1798765" cy="1070955"/>
                          </a:xfrm>
                          <a:prstGeom prst="rect">
                            <a:avLst/>
                          </a:prstGeom>
                          <a:noFill/>
                          <a:ln>
                            <a:noFill/>
                          </a:ln>
                        </pic:spPr>
                      </pic:pic>
                      <pic:pic xmlns:pic="http://schemas.openxmlformats.org/drawingml/2006/picture">
                        <pic:nvPicPr>
                          <pic:cNvPr id="1049" name="Picture 1049" descr="Logo&#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4003533" y="188107"/>
                            <a:ext cx="483235" cy="831850"/>
                          </a:xfrm>
                          <a:prstGeom prst="rect">
                            <a:avLst/>
                          </a:prstGeom>
                        </pic:spPr>
                      </pic:pic>
                    </wpg:wgp>
                  </a:graphicData>
                </a:graphic>
              </wp:inline>
            </w:drawing>
          </mc:Choice>
          <mc:Fallback>
            <w:pict>
              <v:group w14:anchorId="2378B391" id="Group 14" o:spid="_x0000_s1026" style="width:411.75pt;height:94.5pt;mso-position-horizontal-relative:char;mso-position-vertical-relative:line" coordsize="52292,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">
                <v:group id="Group 53" o:spid="_x0000_s1027" style="position:absolute;width:52292;height:12001" coordsize="284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o:lock v:ext="edit" aspectratio="t"/>
                  <v:rect id="AutoShape 3" o:spid="_x0000_s1028" style="position:absolute;width:2842;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" filled="f" stroked="f">
                    <o:lock v:ext="edit" aspectratio="t" text="t"/>
                  </v:rect>
                  <v:shape id="Picture 115" o:spid="_x0000_s1029" type="#_x0000_t75" style="position:absolute;left:1344;top:85;width:749;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">
                    <v:imagedata r:id="rId48" o:title=""/>
                  </v:shape>
                </v:group>
                <v:shape id="Picture 1043" o:spid="_x0000_s1030" type="#_x0000_t75" style="position:absolute;left:7381;top:928;width:17987;height:1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">
                  <v:imagedata r:id="rId49" o:title=""/>
                </v:shape>
                <v:shape id="Picture 1049" o:spid="_x0000_s1031" type="#_x0000_t75" alt="Logo&#10;&#10;Description automatically generated" style="position:absolute;left:40035;top:1881;width:4832;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">
                  <v:imagedata r:id="rId50" o:title="Logo&#10;&#10;Description automatically generated"/>
                </v:shape>
                <w10:anchorlock/>
              </v:group>
            </w:pict>
          </mc:Fallback>
        </mc:AlternateContent>
      </w:r>
    </w:p>
    <w:p w14:paraId="1697136F" w14:textId="7638E61B" w:rsidR="005B0AA3" w:rsidRDefault="009300EE" w:rsidP="005B0AA3">
      <w:pPr>
        <w:spacing w:line="240" w:lineRule="auto"/>
        <w:rPr>
          <w:rFonts w:cs="Arial"/>
          <w:bCs/>
          <w:sz w:val="20"/>
        </w:rPr>
      </w:pPr>
      <w:r>
        <w:rPr>
          <w:rFonts w:cs="Arial"/>
          <w:bCs/>
          <w:noProof/>
          <w:sz w:val="20"/>
        </w:rPr>
        <w:drawing>
          <wp:anchor distT="0" distB="0" distL="114300" distR="114300" simplePos="0" relativeHeight="251658244" behindDoc="0" locked="0" layoutInCell="1" allowOverlap="1" wp14:anchorId="195B7927" wp14:editId="7A7B289C">
            <wp:simplePos x="0" y="0"/>
            <wp:positionH relativeFrom="column">
              <wp:posOffset>1038393</wp:posOffset>
            </wp:positionH>
            <wp:positionV relativeFrom="paragraph">
              <wp:posOffset>82597</wp:posOffset>
            </wp:positionV>
            <wp:extent cx="504000" cy="504853"/>
            <wp:effectExtent l="0" t="0" r="0" b="0"/>
            <wp:wrapNone/>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4000" cy="504853"/>
                    </a:xfrm>
                    <a:prstGeom prst="rect">
                      <a:avLst/>
                    </a:prstGeom>
                  </pic:spPr>
                </pic:pic>
              </a:graphicData>
            </a:graphic>
            <wp14:sizeRelH relativeFrom="page">
              <wp14:pctWidth>0</wp14:pctWidth>
            </wp14:sizeRelH>
            <wp14:sizeRelV relativeFrom="page">
              <wp14:pctHeight>0</wp14:pctHeight>
            </wp14:sizeRelV>
          </wp:anchor>
        </w:drawing>
      </w:r>
      <w:r w:rsidR="009757D6">
        <w:rPr>
          <w:noProof/>
          <w:lang w:eastAsia="en-AU"/>
        </w:rPr>
        <w:drawing>
          <wp:anchor distT="0" distB="0" distL="114300" distR="114300" simplePos="0" relativeHeight="251658240" behindDoc="0" locked="0" layoutInCell="1" allowOverlap="1" wp14:anchorId="660D859A" wp14:editId="7FE09B95">
            <wp:simplePos x="0" y="0"/>
            <wp:positionH relativeFrom="column">
              <wp:posOffset>1742293</wp:posOffset>
            </wp:positionH>
            <wp:positionV relativeFrom="paragraph">
              <wp:posOffset>171613</wp:posOffset>
            </wp:positionV>
            <wp:extent cx="1084580" cy="360680"/>
            <wp:effectExtent l="0" t="0" r="1270" b="127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84580" cy="360680"/>
                    </a:xfrm>
                    <a:prstGeom prst="rect">
                      <a:avLst/>
                    </a:prstGeom>
                    <a:noFill/>
                    <a:ln>
                      <a:noFill/>
                    </a:ln>
                  </pic:spPr>
                </pic:pic>
              </a:graphicData>
            </a:graphic>
          </wp:anchor>
        </w:drawing>
      </w:r>
      <w:r w:rsidR="00BE0564">
        <w:rPr>
          <w:noProof/>
          <w:lang w:eastAsia="en-AU"/>
        </w:rPr>
        <w:drawing>
          <wp:anchor distT="0" distB="0" distL="114300" distR="114300" simplePos="0" relativeHeight="251658241" behindDoc="0" locked="0" layoutInCell="1" allowOverlap="1" wp14:anchorId="2C892106" wp14:editId="64CD46A5">
            <wp:simplePos x="0" y="0"/>
            <wp:positionH relativeFrom="margin">
              <wp:posOffset>2981325</wp:posOffset>
            </wp:positionH>
            <wp:positionV relativeFrom="paragraph">
              <wp:posOffset>178435</wp:posOffset>
            </wp:positionV>
            <wp:extent cx="1837426" cy="40502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W-horizontal-CMYK.jpg"/>
                    <pic:cNvPicPr/>
                  </pic:nvPicPr>
                  <pic:blipFill rotWithShape="1">
                    <a:blip r:embed="rId53" cstate="print">
                      <a:extLst>
                        <a:ext uri="{28A0092B-C50C-407E-A947-70E740481C1C}">
                          <a14:useLocalDpi xmlns:a14="http://schemas.microsoft.com/office/drawing/2010/main" val="0"/>
                        </a:ext>
                      </a:extLst>
                    </a:blip>
                    <a:srcRect l="8940" t="22462" r="8171" b="18869"/>
                    <a:stretch/>
                  </pic:blipFill>
                  <pic:spPr bwMode="auto">
                    <a:xfrm>
                      <a:off x="0" y="0"/>
                      <a:ext cx="1837426" cy="405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D157D9" w14:textId="4A3ABEA5" w:rsidR="005B0AA3" w:rsidRDefault="005B0AA3" w:rsidP="005B0AA3">
      <w:pPr>
        <w:spacing w:line="240" w:lineRule="auto"/>
        <w:rPr>
          <w:rFonts w:cs="Arial"/>
          <w:bCs/>
          <w:sz w:val="20"/>
        </w:rPr>
      </w:pPr>
    </w:p>
    <w:p w14:paraId="46240775" w14:textId="1E1283F9" w:rsidR="005B0AA3" w:rsidRDefault="005B0AA3" w:rsidP="005B0AA3">
      <w:pPr>
        <w:spacing w:line="240" w:lineRule="auto"/>
        <w:rPr>
          <w:rFonts w:cs="Arial"/>
          <w:bCs/>
          <w:sz w:val="20"/>
        </w:rPr>
      </w:pPr>
    </w:p>
    <w:p w14:paraId="5D57ACCD" w14:textId="5A07EFE1" w:rsidR="005B0AA3" w:rsidRPr="00F529CD" w:rsidRDefault="005B0AA3" w:rsidP="005B0AA3">
      <w:pPr>
        <w:pStyle w:val="ListBullet"/>
        <w:numPr>
          <w:ilvl w:val="0"/>
          <w:numId w:val="0"/>
        </w:numPr>
        <w:spacing w:line="240" w:lineRule="auto"/>
        <w:rPr>
          <w:bCs/>
          <w:sz w:val="20"/>
        </w:rPr>
      </w:pPr>
      <w:r w:rsidRPr="00C3442D">
        <w:rPr>
          <w:bCs/>
          <w:sz w:val="20"/>
        </w:rPr>
        <w:t>This project was commissioned and funded by Commonwealth Environmental Water Office (CEWO) with additional in-kind support from</w:t>
      </w:r>
      <w:r w:rsidR="00FC3E96" w:rsidRPr="00C3442D">
        <w:rPr>
          <w:bCs/>
          <w:sz w:val="20"/>
        </w:rPr>
        <w:t xml:space="preserve"> the</w:t>
      </w:r>
      <w:r w:rsidRPr="00C3442D">
        <w:rPr>
          <w:bCs/>
          <w:sz w:val="20"/>
        </w:rPr>
        <w:t xml:space="preserve"> South Australian Research and Development Institute (SARDI)</w:t>
      </w:r>
      <w:r w:rsidR="00C3442D" w:rsidRPr="00C3442D">
        <w:rPr>
          <w:sz w:val="20"/>
          <w:szCs w:val="20"/>
        </w:rPr>
        <w:t xml:space="preserve"> and</w:t>
      </w:r>
      <w:r w:rsidRPr="00C3442D">
        <w:rPr>
          <w:bCs/>
          <w:sz w:val="20"/>
        </w:rPr>
        <w:t xml:space="preserve"> South Australian Department for Environment and Water (DEW).</w:t>
      </w:r>
      <w:r w:rsidRPr="00C3442D">
        <w:rPr>
          <w:bCs/>
          <w:sz w:val="20"/>
          <w:szCs w:val="20"/>
        </w:rPr>
        <w:t xml:space="preserve"> </w:t>
      </w:r>
      <w:r w:rsidRPr="00C3442D">
        <w:rPr>
          <w:bCs/>
          <w:sz w:val="20"/>
        </w:rPr>
        <w:t>The authors of this report as well as the CEWO respectfully acknowledge the traditional owners</w:t>
      </w:r>
      <w:r w:rsidRPr="00C8209D">
        <w:rPr>
          <w:bCs/>
          <w:sz w:val="20"/>
        </w:rPr>
        <w:t xml:space="preserve"> of Country in the Murray</w:t>
      </w:r>
      <w:r w:rsidR="00494246">
        <w:rPr>
          <w:bCs/>
          <w:sz w:val="20"/>
        </w:rPr>
        <w:t>–</w:t>
      </w:r>
      <w:r w:rsidRPr="00C8209D">
        <w:rPr>
          <w:bCs/>
          <w:sz w:val="20"/>
        </w:rPr>
        <w:t>Darling Basin, their Elders past and present, their Nations, and their cultural, social, environmental, spiritual and economic connection to their lands and waters</w:t>
      </w:r>
      <w:r w:rsidRPr="0008149F">
        <w:rPr>
          <w:bCs/>
          <w:sz w:val="20"/>
        </w:rPr>
        <w:t>. In particular</w:t>
      </w:r>
      <w:r>
        <w:rPr>
          <w:bCs/>
          <w:sz w:val="20"/>
        </w:rPr>
        <w:t>,</w:t>
      </w:r>
      <w:r w:rsidRPr="0008149F">
        <w:rPr>
          <w:bCs/>
          <w:sz w:val="20"/>
        </w:rPr>
        <w:t xml:space="preserve"> the Ngarrindjeri Nation and the First Peoples of the River Murray and Mallee as traditional ow</w:t>
      </w:r>
      <w:r w:rsidRPr="00F529CD">
        <w:rPr>
          <w:bCs/>
          <w:sz w:val="20"/>
        </w:rPr>
        <w:t>ners of the land and water on which this publication is focused.</w:t>
      </w:r>
    </w:p>
    <w:p w14:paraId="7D8A811F" w14:textId="3BF1B9F9" w:rsidR="00B64817" w:rsidRDefault="00B64817" w:rsidP="005B0AA3">
      <w:pPr>
        <w:pStyle w:val="ListBullet"/>
        <w:numPr>
          <w:ilvl w:val="0"/>
          <w:numId w:val="0"/>
        </w:numPr>
        <w:spacing w:line="240" w:lineRule="auto"/>
        <w:rPr>
          <w:bCs/>
          <w:sz w:val="20"/>
        </w:rPr>
      </w:pPr>
      <w:r w:rsidRPr="00F529CD">
        <w:rPr>
          <w:bCs/>
          <w:sz w:val="20"/>
        </w:rPr>
        <w:t xml:space="preserve">Cover photos: </w:t>
      </w:r>
      <w:r w:rsidR="00F529CD" w:rsidRPr="00F529CD">
        <w:rPr>
          <w:bCs/>
          <w:sz w:val="20"/>
        </w:rPr>
        <w:t>microinvertebrate</w:t>
      </w:r>
      <w:r w:rsidR="00F529CD">
        <w:rPr>
          <w:bCs/>
          <w:sz w:val="20"/>
        </w:rPr>
        <w:t xml:space="preserve"> (Cladocera) – the University of Adelaide; Coorong aerial shot – </w:t>
      </w:r>
      <w:r w:rsidR="00F529CD" w:rsidRPr="00B64817">
        <w:rPr>
          <w:bCs/>
          <w:sz w:val="20"/>
        </w:rPr>
        <w:t>D</w:t>
      </w:r>
      <w:r w:rsidR="00F529CD">
        <w:rPr>
          <w:bCs/>
          <w:sz w:val="20"/>
        </w:rPr>
        <w:t>EW; others – SARDI.</w:t>
      </w:r>
    </w:p>
    <w:p w14:paraId="078D2159" w14:textId="655F0C2E" w:rsidR="005B0AA3" w:rsidRPr="005407E1" w:rsidRDefault="005B0AA3" w:rsidP="005B0AA3">
      <w:pPr>
        <w:spacing w:line="240" w:lineRule="auto"/>
        <w:rPr>
          <w:rFonts w:eastAsiaTheme="majorEastAsia"/>
          <w:b/>
          <w:sz w:val="20"/>
        </w:rPr>
      </w:pPr>
      <w:r w:rsidRPr="005407E1">
        <w:rPr>
          <w:rFonts w:eastAsiaTheme="majorEastAsia"/>
          <w:b/>
          <w:sz w:val="20"/>
        </w:rPr>
        <w:t>D</w:t>
      </w:r>
      <w:r>
        <w:rPr>
          <w:rFonts w:eastAsiaTheme="majorEastAsia"/>
          <w:b/>
          <w:sz w:val="20"/>
        </w:rPr>
        <w:t>isclaimer</w:t>
      </w:r>
    </w:p>
    <w:p w14:paraId="4C4503E3" w14:textId="55E6BC14" w:rsidR="005B0AA3" w:rsidRPr="005407E1" w:rsidRDefault="005B0AA3" w:rsidP="005B0AA3">
      <w:pPr>
        <w:autoSpaceDE w:val="0"/>
        <w:autoSpaceDN w:val="0"/>
        <w:adjustRightInd w:val="0"/>
        <w:spacing w:line="240" w:lineRule="auto"/>
        <w:rPr>
          <w:rFonts w:eastAsiaTheme="majorEastAsia"/>
          <w:b/>
          <w:sz w:val="20"/>
        </w:rPr>
      </w:pPr>
      <w:r w:rsidRPr="005407E1">
        <w:rPr>
          <w:rFonts w:eastAsiaTheme="minorHAnsi" w:cs="Century Gothic"/>
          <w:kern w:val="0"/>
          <w:sz w:val="20"/>
          <w:lang w:val="en-US"/>
        </w:rPr>
        <w:t xml:space="preserve">The views and opinions expressed in this publication are those of the authors and do not necessarily reflect those of the </w:t>
      </w:r>
      <w:bookmarkStart w:id="1" w:name="_Hlk69300183"/>
      <w:r w:rsidRPr="005407E1">
        <w:rPr>
          <w:rFonts w:eastAsiaTheme="minorHAnsi" w:cs="Century Gothic"/>
          <w:kern w:val="0"/>
          <w:sz w:val="20"/>
          <w:lang w:val="en-US"/>
        </w:rPr>
        <w:t xml:space="preserve">Australian Government </w:t>
      </w:r>
      <w:r w:rsidR="00A40048" w:rsidRPr="005407E1">
        <w:rPr>
          <w:rFonts w:eastAsiaTheme="minorHAnsi" w:cs="Century Gothic"/>
          <w:kern w:val="0"/>
          <w:sz w:val="20"/>
          <w:lang w:val="en-US"/>
        </w:rPr>
        <w:t xml:space="preserve">or </w:t>
      </w:r>
      <w:r w:rsidR="00A40048" w:rsidRPr="00EC1DEA">
        <w:rPr>
          <w:rFonts w:eastAsiaTheme="minorHAnsi" w:cs="Century Gothic"/>
          <w:kern w:val="0"/>
          <w:sz w:val="20"/>
          <w:lang w:val="en-US"/>
        </w:rPr>
        <w:t>the Minister for the Environment</w:t>
      </w:r>
      <w:bookmarkEnd w:id="1"/>
      <w:r w:rsidR="00A40048" w:rsidRPr="00EC1DEA">
        <w:rPr>
          <w:rFonts w:eastAsiaTheme="minorHAnsi" w:cs="Century Gothic"/>
          <w:kern w:val="0"/>
          <w:sz w:val="20"/>
          <w:lang w:val="en-US"/>
        </w:rPr>
        <w:t>.</w:t>
      </w:r>
      <w:r w:rsidR="00A40048" w:rsidRPr="005407E1">
        <w:rPr>
          <w:rFonts w:eastAsiaTheme="minorHAnsi" w:cs="Century Gothic"/>
          <w:kern w:val="0"/>
          <w:sz w:val="20"/>
          <w:lang w:val="en-US"/>
        </w:rPr>
        <w:t xml:space="preserve"> </w:t>
      </w:r>
      <w:r w:rsidRPr="005407E1">
        <w:rPr>
          <w:rFonts w:eastAsiaTheme="minorHAnsi" w:cs="Century Gothic"/>
          <w:kern w:val="0"/>
          <w:sz w:val="20"/>
          <w:lang w:val="en-US"/>
        </w:rPr>
        <w:t xml:space="preserve">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0EB2E9EB" w14:textId="73AC84BE" w:rsidR="005B0AA3" w:rsidRPr="005407E1" w:rsidRDefault="005B0AA3" w:rsidP="005B0AA3">
      <w:pPr>
        <w:rPr>
          <w:rFonts w:eastAsiaTheme="minorHAnsi"/>
          <w:color w:val="auto"/>
          <w:kern w:val="0"/>
          <w:sz w:val="18"/>
          <w:szCs w:val="18"/>
          <w:lang w:eastAsia="en-AU"/>
        </w:rPr>
      </w:pPr>
      <w:r w:rsidRPr="005407E1">
        <w:rPr>
          <w:rFonts w:eastAsiaTheme="minorHAnsi"/>
          <w:noProof/>
          <w:color w:val="auto"/>
          <w:kern w:val="0"/>
          <w:sz w:val="18"/>
          <w:szCs w:val="18"/>
          <w:lang w:eastAsia="en-AU"/>
        </w:rPr>
        <w:drawing>
          <wp:inline distT="0" distB="0" distL="0" distR="0" wp14:anchorId="240EECDD" wp14:editId="790DCAFE">
            <wp:extent cx="1247775" cy="433438"/>
            <wp:effectExtent l="0" t="0" r="0" b="5080"/>
            <wp:docPr id="12"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54" r:link="rId55" cstate="print"/>
                    <a:srcRect/>
                    <a:stretch>
                      <a:fillRect/>
                    </a:stretch>
                  </pic:blipFill>
                  <pic:spPr bwMode="auto">
                    <a:xfrm>
                      <a:off x="0" y="0"/>
                      <a:ext cx="1277489" cy="443760"/>
                    </a:xfrm>
                    <a:prstGeom prst="rect">
                      <a:avLst/>
                    </a:prstGeom>
                    <a:noFill/>
                    <a:ln w="9525">
                      <a:noFill/>
                      <a:miter lim="800000"/>
                      <a:headEnd/>
                      <a:tailEnd/>
                    </a:ln>
                  </pic:spPr>
                </pic:pic>
              </a:graphicData>
            </a:graphic>
          </wp:inline>
        </w:drawing>
      </w:r>
      <w:r>
        <w:rPr>
          <w:rFonts w:eastAsiaTheme="minorHAnsi"/>
          <w:b/>
          <w:color w:val="auto"/>
          <w:kern w:val="0"/>
          <w:sz w:val="20"/>
          <w:lang w:eastAsia="en-AU"/>
        </w:rPr>
        <w:t xml:space="preserve">  </w:t>
      </w:r>
      <w:r w:rsidRPr="001F65AB">
        <w:rPr>
          <w:rFonts w:eastAsiaTheme="minorHAnsi"/>
          <w:b/>
          <w:color w:val="auto"/>
          <w:kern w:val="0"/>
          <w:sz w:val="20"/>
          <w:lang w:eastAsia="en-AU"/>
        </w:rPr>
        <w:t>© Copyright</w:t>
      </w:r>
      <w:r w:rsidR="00AA0560">
        <w:rPr>
          <w:rFonts w:eastAsiaTheme="minorHAnsi"/>
          <w:b/>
          <w:color w:val="auto"/>
          <w:kern w:val="0"/>
          <w:sz w:val="20"/>
          <w:lang w:eastAsia="en-AU"/>
        </w:rPr>
        <w:t xml:space="preserve"> Commonwealth of Australia, 202</w:t>
      </w:r>
      <w:r w:rsidR="0097724B">
        <w:rPr>
          <w:rFonts w:eastAsiaTheme="minorHAnsi"/>
          <w:b/>
          <w:color w:val="auto"/>
          <w:kern w:val="0"/>
          <w:sz w:val="20"/>
          <w:lang w:eastAsia="en-AU"/>
        </w:rPr>
        <w:t>2</w:t>
      </w:r>
    </w:p>
    <w:p w14:paraId="00C496AB" w14:textId="6DF01B5E" w:rsidR="005B0AA3" w:rsidRPr="005407E1" w:rsidRDefault="005B0AA3" w:rsidP="005B0AA3">
      <w:pPr>
        <w:rPr>
          <w:rFonts w:eastAsiaTheme="majorEastAsia"/>
          <w:b/>
          <w:sz w:val="20"/>
        </w:rPr>
      </w:pPr>
      <w:r w:rsidRPr="005407E1">
        <w:rPr>
          <w:rFonts w:cs="Arial"/>
          <w:bCs/>
          <w:color w:val="auto"/>
          <w:sz w:val="20"/>
        </w:rPr>
        <w:t>‘</w:t>
      </w:r>
      <w:r w:rsidR="00C209E0" w:rsidRPr="00C209E0">
        <w:rPr>
          <w:rFonts w:cs="Arial"/>
          <w:bCs/>
          <w:color w:val="auto"/>
          <w:sz w:val="20"/>
        </w:rPr>
        <w:t>Commonwealth Environmental Water Office Monitoring, Evaluation and Research Project: Lower Murray 20</w:t>
      </w:r>
      <w:r w:rsidR="0097724B">
        <w:rPr>
          <w:rFonts w:cs="Arial"/>
          <w:bCs/>
          <w:color w:val="auto"/>
          <w:sz w:val="20"/>
        </w:rPr>
        <w:t>20</w:t>
      </w:r>
      <w:r w:rsidR="00C209E0" w:rsidRPr="00C209E0">
        <w:rPr>
          <w:rFonts w:cs="Arial"/>
          <w:bCs/>
          <w:color w:val="auto"/>
          <w:sz w:val="20"/>
        </w:rPr>
        <w:t>-2</w:t>
      </w:r>
      <w:r w:rsidR="0097724B">
        <w:rPr>
          <w:rFonts w:cs="Arial"/>
          <w:bCs/>
          <w:color w:val="auto"/>
          <w:sz w:val="20"/>
        </w:rPr>
        <w:t>1</w:t>
      </w:r>
      <w:r w:rsidR="00C209E0" w:rsidRPr="00C209E0">
        <w:rPr>
          <w:rFonts w:cs="Arial"/>
          <w:bCs/>
          <w:color w:val="auto"/>
          <w:sz w:val="20"/>
        </w:rPr>
        <w:t xml:space="preserve"> Technical Report</w:t>
      </w:r>
      <w:r>
        <w:rPr>
          <w:rFonts w:cs="Arial"/>
          <w:bCs/>
          <w:color w:val="auto"/>
          <w:sz w:val="20"/>
        </w:rPr>
        <w:t xml:space="preserve">’ – this report </w:t>
      </w:r>
      <w:r w:rsidRPr="005407E1">
        <w:rPr>
          <w:rFonts w:eastAsiaTheme="minorHAnsi" w:cs="Century Gothic"/>
          <w:kern w:val="0"/>
          <w:sz w:val="20"/>
          <w:lang w:val="en-US"/>
        </w:rPr>
        <w:t xml:space="preserve">is licensed by the Commonwealth of Australia for use under a Creative Commons By Attribution 3.0 Australia </w:t>
      </w:r>
      <w:r w:rsidRPr="005F4147">
        <w:rPr>
          <w:rFonts w:eastAsiaTheme="minorHAnsi" w:cs="Century Gothic"/>
          <w:kern w:val="0"/>
          <w:sz w:val="20"/>
        </w:rPr>
        <w:t>licence with the exception of the Coat of Arms of the Commonwealth of Australia, the logo of the agency responsible for publishing the report, content supplied by third parties, and any images depicting people. For licence conditions see: http://creativec</w:t>
      </w:r>
      <w:r>
        <w:rPr>
          <w:rFonts w:eastAsiaTheme="minorHAnsi" w:cs="Century Gothic"/>
          <w:kern w:val="0"/>
          <w:sz w:val="20"/>
        </w:rPr>
        <w:t>ommons.org/licenses/by/3.0/au/</w:t>
      </w:r>
    </w:p>
    <w:p w14:paraId="10D4DDBD" w14:textId="77777777" w:rsidR="005B0AA3" w:rsidRPr="00A67C76" w:rsidRDefault="005B0AA3" w:rsidP="005B0AA3">
      <w:pPr>
        <w:pStyle w:val="H1anotincinTOC"/>
        <w:rPr>
          <w:color w:val="44546A" w:themeColor="text2"/>
        </w:rPr>
        <w:sectPr w:rsidR="005B0AA3" w:rsidRPr="00A67C76" w:rsidSect="00D632F9">
          <w:footerReference w:type="default" r:id="rId56"/>
          <w:footnotePr>
            <w:numFmt w:val="lowerLetter"/>
          </w:footnotePr>
          <w:pgSz w:w="11900" w:h="16840"/>
          <w:pgMar w:top="1440" w:right="1440" w:bottom="1440" w:left="1440" w:header="708" w:footer="708" w:gutter="0"/>
          <w:pgNumType w:fmt="lowerRoman" w:start="1"/>
          <w:cols w:space="708"/>
          <w:docGrid w:linePitch="360"/>
        </w:sectPr>
      </w:pPr>
    </w:p>
    <w:bookmarkStart w:id="2" w:name="_Toc101963760" w:displacedByCustomXml="next"/>
    <w:sdt>
      <w:sdtPr>
        <w:rPr>
          <w:rFonts w:cs="Times New Roman"/>
          <w:b w:val="0"/>
          <w:bCs w:val="0"/>
          <w:caps w:val="0"/>
          <w:spacing w:val="0"/>
          <w:sz w:val="22"/>
          <w:szCs w:val="20"/>
          <w:lang w:eastAsia="en-US"/>
        </w:rPr>
        <w:id w:val="-407615464"/>
        <w:docPartObj>
          <w:docPartGallery w:val="Table of Contents"/>
          <w:docPartUnique/>
        </w:docPartObj>
      </w:sdtPr>
      <w:sdtEndPr>
        <w:rPr>
          <w:noProof/>
          <w:sz w:val="21"/>
        </w:rPr>
      </w:sdtEndPr>
      <w:sdtContent>
        <w:bookmarkStart w:id="3" w:name="_Toc441838719" w:displacedByCustomXml="prev"/>
        <w:p w14:paraId="514B574E" w14:textId="10FD846A" w:rsidR="005B0AA3" w:rsidRDefault="005B0AA3" w:rsidP="005B0AA3">
          <w:pPr>
            <w:pStyle w:val="H1anotincinTOC"/>
            <w:outlineLvl w:val="0"/>
          </w:pPr>
          <w:r w:rsidRPr="00A67C76">
            <w:rPr>
              <w:color w:val="44546A" w:themeColor="text2"/>
            </w:rPr>
            <w:t xml:space="preserve">Table of </w:t>
          </w:r>
          <w:bookmarkEnd w:id="3"/>
          <w:r w:rsidR="00FB5EF1" w:rsidRPr="00A67C76">
            <w:rPr>
              <w:color w:val="44546A" w:themeColor="text2"/>
            </w:rPr>
            <w:t>contents</w:t>
          </w:r>
          <w:bookmarkEnd w:id="2"/>
        </w:p>
        <w:p w14:paraId="1AF25ED7" w14:textId="57E7E0C7" w:rsidR="00C16F9D" w:rsidRDefault="005B0AA3">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r>
            <w:rPr>
              <w:b w:val="0"/>
              <w:caps w:val="0"/>
              <w:highlight w:val="yellow"/>
            </w:rPr>
            <w:fldChar w:fldCharType="begin"/>
          </w:r>
          <w:r>
            <w:rPr>
              <w:b w:val="0"/>
              <w:caps w:val="0"/>
              <w:highlight w:val="yellow"/>
            </w:rPr>
            <w:instrText xml:space="preserve"> TOC \o "1-2" \h \z \u </w:instrText>
          </w:r>
          <w:r>
            <w:rPr>
              <w:b w:val="0"/>
              <w:caps w:val="0"/>
              <w:highlight w:val="yellow"/>
            </w:rPr>
            <w:fldChar w:fldCharType="separate"/>
          </w:r>
          <w:hyperlink w:anchor="_Toc101963760" w:history="1">
            <w:r w:rsidR="00C16F9D" w:rsidRPr="00884D51">
              <w:rPr>
                <w:rStyle w:val="Hyperlink"/>
                <w:noProof/>
              </w:rPr>
              <w:t>Table of contents</w:t>
            </w:r>
            <w:r w:rsidR="00C16F9D">
              <w:rPr>
                <w:noProof/>
                <w:webHidden/>
              </w:rPr>
              <w:tab/>
            </w:r>
            <w:r w:rsidR="00C16F9D">
              <w:rPr>
                <w:noProof/>
                <w:webHidden/>
              </w:rPr>
              <w:fldChar w:fldCharType="begin"/>
            </w:r>
            <w:r w:rsidR="00C16F9D">
              <w:rPr>
                <w:noProof/>
                <w:webHidden/>
              </w:rPr>
              <w:instrText xml:space="preserve"> PAGEREF _Toc101963760 \h </w:instrText>
            </w:r>
            <w:r w:rsidR="00C16F9D">
              <w:rPr>
                <w:noProof/>
                <w:webHidden/>
              </w:rPr>
            </w:r>
            <w:r w:rsidR="00C16F9D">
              <w:rPr>
                <w:noProof/>
                <w:webHidden/>
              </w:rPr>
              <w:fldChar w:fldCharType="separate"/>
            </w:r>
            <w:r w:rsidR="00C16F9D">
              <w:rPr>
                <w:noProof/>
                <w:webHidden/>
              </w:rPr>
              <w:t>i</w:t>
            </w:r>
            <w:r w:rsidR="00C16F9D">
              <w:rPr>
                <w:noProof/>
                <w:webHidden/>
              </w:rPr>
              <w:fldChar w:fldCharType="end"/>
            </w:r>
          </w:hyperlink>
        </w:p>
        <w:p w14:paraId="5F2D16D3" w14:textId="3AA96693"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61" w:history="1">
            <w:r w:rsidR="00C16F9D" w:rsidRPr="00884D51">
              <w:rPr>
                <w:rStyle w:val="Hyperlink"/>
                <w:noProof/>
              </w:rPr>
              <w:t>List of figures</w:t>
            </w:r>
            <w:r w:rsidR="00C16F9D">
              <w:rPr>
                <w:noProof/>
                <w:webHidden/>
              </w:rPr>
              <w:tab/>
            </w:r>
            <w:r w:rsidR="00C16F9D">
              <w:rPr>
                <w:noProof/>
                <w:webHidden/>
              </w:rPr>
              <w:fldChar w:fldCharType="begin"/>
            </w:r>
            <w:r w:rsidR="00C16F9D">
              <w:rPr>
                <w:noProof/>
                <w:webHidden/>
              </w:rPr>
              <w:instrText xml:space="preserve"> PAGEREF _Toc101963761 \h </w:instrText>
            </w:r>
            <w:r w:rsidR="00C16F9D">
              <w:rPr>
                <w:noProof/>
                <w:webHidden/>
              </w:rPr>
            </w:r>
            <w:r w:rsidR="00C16F9D">
              <w:rPr>
                <w:noProof/>
                <w:webHidden/>
              </w:rPr>
              <w:fldChar w:fldCharType="separate"/>
            </w:r>
            <w:r w:rsidR="00C16F9D">
              <w:rPr>
                <w:noProof/>
                <w:webHidden/>
              </w:rPr>
              <w:t>ii</w:t>
            </w:r>
            <w:r w:rsidR="00C16F9D">
              <w:rPr>
                <w:noProof/>
                <w:webHidden/>
              </w:rPr>
              <w:fldChar w:fldCharType="end"/>
            </w:r>
          </w:hyperlink>
        </w:p>
        <w:p w14:paraId="5FD189BF" w14:textId="15BD03BD"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62" w:history="1">
            <w:r w:rsidR="00C16F9D" w:rsidRPr="00884D51">
              <w:rPr>
                <w:rStyle w:val="Hyperlink"/>
                <w:noProof/>
              </w:rPr>
              <w:t>List of tables</w:t>
            </w:r>
            <w:r w:rsidR="00C16F9D">
              <w:rPr>
                <w:noProof/>
                <w:webHidden/>
              </w:rPr>
              <w:tab/>
            </w:r>
            <w:r w:rsidR="00C16F9D">
              <w:rPr>
                <w:noProof/>
                <w:webHidden/>
              </w:rPr>
              <w:fldChar w:fldCharType="begin"/>
            </w:r>
            <w:r w:rsidR="00C16F9D">
              <w:rPr>
                <w:noProof/>
                <w:webHidden/>
              </w:rPr>
              <w:instrText xml:space="preserve"> PAGEREF _Toc101963762 \h </w:instrText>
            </w:r>
            <w:r w:rsidR="00C16F9D">
              <w:rPr>
                <w:noProof/>
                <w:webHidden/>
              </w:rPr>
            </w:r>
            <w:r w:rsidR="00C16F9D">
              <w:rPr>
                <w:noProof/>
                <w:webHidden/>
              </w:rPr>
              <w:fldChar w:fldCharType="separate"/>
            </w:r>
            <w:r w:rsidR="00C16F9D">
              <w:rPr>
                <w:noProof/>
                <w:webHidden/>
              </w:rPr>
              <w:t>ix</w:t>
            </w:r>
            <w:r w:rsidR="00C16F9D">
              <w:rPr>
                <w:noProof/>
                <w:webHidden/>
              </w:rPr>
              <w:fldChar w:fldCharType="end"/>
            </w:r>
          </w:hyperlink>
        </w:p>
        <w:p w14:paraId="049E5036" w14:textId="3A3B26A2"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63" w:history="1">
            <w:r w:rsidR="00C16F9D" w:rsidRPr="00884D51">
              <w:rPr>
                <w:rStyle w:val="Hyperlink"/>
                <w:noProof/>
              </w:rPr>
              <w:t>Acknowledgements</w:t>
            </w:r>
            <w:r w:rsidR="00C16F9D">
              <w:rPr>
                <w:noProof/>
                <w:webHidden/>
              </w:rPr>
              <w:tab/>
            </w:r>
            <w:r w:rsidR="00C16F9D">
              <w:rPr>
                <w:noProof/>
                <w:webHidden/>
              </w:rPr>
              <w:fldChar w:fldCharType="begin"/>
            </w:r>
            <w:r w:rsidR="00C16F9D">
              <w:rPr>
                <w:noProof/>
                <w:webHidden/>
              </w:rPr>
              <w:instrText xml:space="preserve"> PAGEREF _Toc101963763 \h </w:instrText>
            </w:r>
            <w:r w:rsidR="00C16F9D">
              <w:rPr>
                <w:noProof/>
                <w:webHidden/>
              </w:rPr>
            </w:r>
            <w:r w:rsidR="00C16F9D">
              <w:rPr>
                <w:noProof/>
                <w:webHidden/>
              </w:rPr>
              <w:fldChar w:fldCharType="separate"/>
            </w:r>
            <w:r w:rsidR="00C16F9D">
              <w:rPr>
                <w:noProof/>
                <w:webHidden/>
              </w:rPr>
              <w:t>xi</w:t>
            </w:r>
            <w:r w:rsidR="00C16F9D">
              <w:rPr>
                <w:noProof/>
                <w:webHidden/>
              </w:rPr>
              <w:fldChar w:fldCharType="end"/>
            </w:r>
          </w:hyperlink>
        </w:p>
        <w:p w14:paraId="4877E9B4" w14:textId="50113756"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64" w:history="1">
            <w:r w:rsidR="00C16F9D" w:rsidRPr="00884D51">
              <w:rPr>
                <w:rStyle w:val="Hyperlink"/>
                <w:noProof/>
              </w:rPr>
              <w:t>Executive summary</w:t>
            </w:r>
            <w:r w:rsidR="00C16F9D">
              <w:rPr>
                <w:noProof/>
                <w:webHidden/>
              </w:rPr>
              <w:tab/>
            </w:r>
            <w:r w:rsidR="00C16F9D">
              <w:rPr>
                <w:noProof/>
                <w:webHidden/>
              </w:rPr>
              <w:fldChar w:fldCharType="begin"/>
            </w:r>
            <w:r w:rsidR="00C16F9D">
              <w:rPr>
                <w:noProof/>
                <w:webHidden/>
              </w:rPr>
              <w:instrText xml:space="preserve"> PAGEREF _Toc101963764 \h </w:instrText>
            </w:r>
            <w:r w:rsidR="00C16F9D">
              <w:rPr>
                <w:noProof/>
                <w:webHidden/>
              </w:rPr>
            </w:r>
            <w:r w:rsidR="00C16F9D">
              <w:rPr>
                <w:noProof/>
                <w:webHidden/>
              </w:rPr>
              <w:fldChar w:fldCharType="separate"/>
            </w:r>
            <w:r w:rsidR="00C16F9D">
              <w:rPr>
                <w:noProof/>
                <w:webHidden/>
              </w:rPr>
              <w:t>1</w:t>
            </w:r>
            <w:r w:rsidR="00C16F9D">
              <w:rPr>
                <w:noProof/>
                <w:webHidden/>
              </w:rPr>
              <w:fldChar w:fldCharType="end"/>
            </w:r>
          </w:hyperlink>
        </w:p>
        <w:p w14:paraId="3B4D802C" w14:textId="616CA0A8"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65" w:history="1">
            <w:r w:rsidR="00C16F9D" w:rsidRPr="00884D51">
              <w:rPr>
                <w:rStyle w:val="Hyperlink"/>
                <w:noProof/>
              </w:rPr>
              <w:t>1</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Introduction</w:t>
            </w:r>
            <w:r w:rsidR="00C16F9D">
              <w:rPr>
                <w:noProof/>
                <w:webHidden/>
              </w:rPr>
              <w:tab/>
            </w:r>
            <w:r w:rsidR="00C16F9D">
              <w:rPr>
                <w:noProof/>
                <w:webHidden/>
              </w:rPr>
              <w:fldChar w:fldCharType="begin"/>
            </w:r>
            <w:r w:rsidR="00C16F9D">
              <w:rPr>
                <w:noProof/>
                <w:webHidden/>
              </w:rPr>
              <w:instrText xml:space="preserve"> PAGEREF _Toc101963765 \h </w:instrText>
            </w:r>
            <w:r w:rsidR="00C16F9D">
              <w:rPr>
                <w:noProof/>
                <w:webHidden/>
              </w:rPr>
            </w:r>
            <w:r w:rsidR="00C16F9D">
              <w:rPr>
                <w:noProof/>
                <w:webHidden/>
              </w:rPr>
              <w:fldChar w:fldCharType="separate"/>
            </w:r>
            <w:r w:rsidR="00C16F9D">
              <w:rPr>
                <w:noProof/>
                <w:webHidden/>
              </w:rPr>
              <w:t>5</w:t>
            </w:r>
            <w:r w:rsidR="00C16F9D">
              <w:rPr>
                <w:noProof/>
                <w:webHidden/>
              </w:rPr>
              <w:fldChar w:fldCharType="end"/>
            </w:r>
          </w:hyperlink>
        </w:p>
        <w:p w14:paraId="273AF366" w14:textId="181B0E47" w:rsidR="00C16F9D" w:rsidRDefault="0070071B">
          <w:pPr>
            <w:pStyle w:val="TOC2"/>
            <w:rPr>
              <w:rFonts w:asciiTheme="minorHAnsi" w:eastAsiaTheme="minorEastAsia" w:hAnsiTheme="minorHAnsi" w:cstheme="minorBidi"/>
              <w:color w:val="auto"/>
              <w:kern w:val="0"/>
              <w:sz w:val="22"/>
              <w:szCs w:val="22"/>
              <w:lang w:eastAsia="en-AU"/>
            </w:rPr>
          </w:pPr>
          <w:hyperlink w:anchor="_Toc101963766" w:history="1">
            <w:r w:rsidR="00C16F9D" w:rsidRPr="00884D51">
              <w:rPr>
                <w:rStyle w:val="Hyperlink"/>
              </w:rPr>
              <w:t>1.1</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Flow regimes and riverine ecology</w:t>
            </w:r>
            <w:r w:rsidR="00C16F9D">
              <w:rPr>
                <w:webHidden/>
              </w:rPr>
              <w:tab/>
            </w:r>
            <w:r w:rsidR="00C16F9D">
              <w:rPr>
                <w:webHidden/>
              </w:rPr>
              <w:fldChar w:fldCharType="begin"/>
            </w:r>
            <w:r w:rsidR="00C16F9D">
              <w:rPr>
                <w:webHidden/>
              </w:rPr>
              <w:instrText xml:space="preserve"> PAGEREF _Toc101963766 \h </w:instrText>
            </w:r>
            <w:r w:rsidR="00C16F9D">
              <w:rPr>
                <w:webHidden/>
              </w:rPr>
            </w:r>
            <w:r w:rsidR="00C16F9D">
              <w:rPr>
                <w:webHidden/>
              </w:rPr>
              <w:fldChar w:fldCharType="separate"/>
            </w:r>
            <w:r w:rsidR="00C16F9D">
              <w:rPr>
                <w:webHidden/>
              </w:rPr>
              <w:t>5</w:t>
            </w:r>
            <w:r w:rsidR="00C16F9D">
              <w:rPr>
                <w:webHidden/>
              </w:rPr>
              <w:fldChar w:fldCharType="end"/>
            </w:r>
          </w:hyperlink>
        </w:p>
        <w:p w14:paraId="1B985A9C" w14:textId="66A5C12B" w:rsidR="00C16F9D" w:rsidRDefault="0070071B">
          <w:pPr>
            <w:pStyle w:val="TOC2"/>
            <w:rPr>
              <w:rFonts w:asciiTheme="minorHAnsi" w:eastAsiaTheme="minorEastAsia" w:hAnsiTheme="minorHAnsi" w:cstheme="minorBidi"/>
              <w:color w:val="auto"/>
              <w:kern w:val="0"/>
              <w:sz w:val="22"/>
              <w:szCs w:val="22"/>
              <w:lang w:eastAsia="en-AU"/>
            </w:rPr>
          </w:pPr>
          <w:hyperlink w:anchor="_Toc101963767" w:history="1">
            <w:r w:rsidR="00C16F9D" w:rsidRPr="00884D51">
              <w:rPr>
                <w:rStyle w:val="Hyperlink"/>
              </w:rPr>
              <w:t>1.2</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CEWO Monitoring, Evaluation and Research Project</w:t>
            </w:r>
            <w:r w:rsidR="00C16F9D">
              <w:rPr>
                <w:webHidden/>
              </w:rPr>
              <w:tab/>
            </w:r>
            <w:r w:rsidR="00C16F9D">
              <w:rPr>
                <w:webHidden/>
              </w:rPr>
              <w:fldChar w:fldCharType="begin"/>
            </w:r>
            <w:r w:rsidR="00C16F9D">
              <w:rPr>
                <w:webHidden/>
              </w:rPr>
              <w:instrText xml:space="preserve"> PAGEREF _Toc101963767 \h </w:instrText>
            </w:r>
            <w:r w:rsidR="00C16F9D">
              <w:rPr>
                <w:webHidden/>
              </w:rPr>
            </w:r>
            <w:r w:rsidR="00C16F9D">
              <w:rPr>
                <w:webHidden/>
              </w:rPr>
              <w:fldChar w:fldCharType="separate"/>
            </w:r>
            <w:r w:rsidR="00C16F9D">
              <w:rPr>
                <w:webHidden/>
              </w:rPr>
              <w:t>5</w:t>
            </w:r>
            <w:r w:rsidR="00C16F9D">
              <w:rPr>
                <w:webHidden/>
              </w:rPr>
              <w:fldChar w:fldCharType="end"/>
            </w:r>
          </w:hyperlink>
        </w:p>
        <w:p w14:paraId="3ED8E23F" w14:textId="0C38FDC9" w:rsidR="00C16F9D" w:rsidRDefault="0070071B">
          <w:pPr>
            <w:pStyle w:val="TOC2"/>
            <w:rPr>
              <w:rFonts w:asciiTheme="minorHAnsi" w:eastAsiaTheme="minorEastAsia" w:hAnsiTheme="minorHAnsi" w:cstheme="minorBidi"/>
              <w:color w:val="auto"/>
              <w:kern w:val="0"/>
              <w:sz w:val="22"/>
              <w:szCs w:val="22"/>
              <w:lang w:eastAsia="en-AU"/>
            </w:rPr>
          </w:pPr>
          <w:hyperlink w:anchor="_Toc101963768" w:history="1">
            <w:r w:rsidR="00C16F9D" w:rsidRPr="00884D51">
              <w:rPr>
                <w:rStyle w:val="Hyperlink"/>
              </w:rPr>
              <w:t>1.3</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Expected outcomes in the Lower Murray</w:t>
            </w:r>
            <w:r w:rsidR="00C16F9D">
              <w:rPr>
                <w:webHidden/>
              </w:rPr>
              <w:tab/>
            </w:r>
            <w:r w:rsidR="00C16F9D">
              <w:rPr>
                <w:webHidden/>
              </w:rPr>
              <w:fldChar w:fldCharType="begin"/>
            </w:r>
            <w:r w:rsidR="00C16F9D">
              <w:rPr>
                <w:webHidden/>
              </w:rPr>
              <w:instrText xml:space="preserve"> PAGEREF _Toc101963768 \h </w:instrText>
            </w:r>
            <w:r w:rsidR="00C16F9D">
              <w:rPr>
                <w:webHidden/>
              </w:rPr>
            </w:r>
            <w:r w:rsidR="00C16F9D">
              <w:rPr>
                <w:webHidden/>
              </w:rPr>
              <w:fldChar w:fldCharType="separate"/>
            </w:r>
            <w:r w:rsidR="00C16F9D">
              <w:rPr>
                <w:webHidden/>
              </w:rPr>
              <w:t>7</w:t>
            </w:r>
            <w:r w:rsidR="00C16F9D">
              <w:rPr>
                <w:webHidden/>
              </w:rPr>
              <w:fldChar w:fldCharType="end"/>
            </w:r>
          </w:hyperlink>
        </w:p>
        <w:p w14:paraId="216C60FB" w14:textId="154DEECE" w:rsidR="00C16F9D" w:rsidRDefault="0070071B">
          <w:pPr>
            <w:pStyle w:val="TOC2"/>
            <w:rPr>
              <w:rFonts w:asciiTheme="minorHAnsi" w:eastAsiaTheme="minorEastAsia" w:hAnsiTheme="minorHAnsi" w:cstheme="minorBidi"/>
              <w:color w:val="auto"/>
              <w:kern w:val="0"/>
              <w:sz w:val="22"/>
              <w:szCs w:val="22"/>
              <w:lang w:eastAsia="en-AU"/>
            </w:rPr>
          </w:pPr>
          <w:hyperlink w:anchor="_Toc101963769" w:history="1">
            <w:r w:rsidR="00C16F9D" w:rsidRPr="00884D51">
              <w:rPr>
                <w:rStyle w:val="Hyperlink"/>
              </w:rPr>
              <w:t>1.4</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Environmental water delivery</w:t>
            </w:r>
            <w:r w:rsidR="00C16F9D">
              <w:rPr>
                <w:webHidden/>
              </w:rPr>
              <w:tab/>
            </w:r>
            <w:r w:rsidR="00C16F9D">
              <w:rPr>
                <w:webHidden/>
              </w:rPr>
              <w:fldChar w:fldCharType="begin"/>
            </w:r>
            <w:r w:rsidR="00C16F9D">
              <w:rPr>
                <w:webHidden/>
              </w:rPr>
              <w:instrText xml:space="preserve"> PAGEREF _Toc101963769 \h </w:instrText>
            </w:r>
            <w:r w:rsidR="00C16F9D">
              <w:rPr>
                <w:webHidden/>
              </w:rPr>
            </w:r>
            <w:r w:rsidR="00C16F9D">
              <w:rPr>
                <w:webHidden/>
              </w:rPr>
              <w:fldChar w:fldCharType="separate"/>
            </w:r>
            <w:r w:rsidR="00C16F9D">
              <w:rPr>
                <w:webHidden/>
              </w:rPr>
              <w:t>9</w:t>
            </w:r>
            <w:r w:rsidR="00C16F9D">
              <w:rPr>
                <w:webHidden/>
              </w:rPr>
              <w:fldChar w:fldCharType="end"/>
            </w:r>
          </w:hyperlink>
        </w:p>
        <w:p w14:paraId="55D14BB5" w14:textId="21D67CDC" w:rsidR="00C16F9D" w:rsidRDefault="0070071B">
          <w:pPr>
            <w:pStyle w:val="TOC2"/>
            <w:rPr>
              <w:rFonts w:asciiTheme="minorHAnsi" w:eastAsiaTheme="minorEastAsia" w:hAnsiTheme="minorHAnsi" w:cstheme="minorBidi"/>
              <w:color w:val="auto"/>
              <w:kern w:val="0"/>
              <w:sz w:val="22"/>
              <w:szCs w:val="22"/>
              <w:lang w:eastAsia="en-AU"/>
            </w:rPr>
          </w:pPr>
          <w:hyperlink w:anchor="_Toc101963770" w:history="1">
            <w:r w:rsidR="00C16F9D" w:rsidRPr="00884D51">
              <w:rPr>
                <w:rStyle w:val="Hyperlink"/>
              </w:rPr>
              <w:t>1.5</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Purpose of the CEWO MER report for 2020-21</w:t>
            </w:r>
            <w:r w:rsidR="00C16F9D">
              <w:rPr>
                <w:webHidden/>
              </w:rPr>
              <w:tab/>
            </w:r>
            <w:r w:rsidR="00C16F9D">
              <w:rPr>
                <w:webHidden/>
              </w:rPr>
              <w:fldChar w:fldCharType="begin"/>
            </w:r>
            <w:r w:rsidR="00C16F9D">
              <w:rPr>
                <w:webHidden/>
              </w:rPr>
              <w:instrText xml:space="preserve"> PAGEREF _Toc101963770 \h </w:instrText>
            </w:r>
            <w:r w:rsidR="00C16F9D">
              <w:rPr>
                <w:webHidden/>
              </w:rPr>
            </w:r>
            <w:r w:rsidR="00C16F9D">
              <w:rPr>
                <w:webHidden/>
              </w:rPr>
              <w:fldChar w:fldCharType="separate"/>
            </w:r>
            <w:r w:rsidR="00C16F9D">
              <w:rPr>
                <w:webHidden/>
              </w:rPr>
              <w:t>13</w:t>
            </w:r>
            <w:r w:rsidR="00C16F9D">
              <w:rPr>
                <w:webHidden/>
              </w:rPr>
              <w:fldChar w:fldCharType="end"/>
            </w:r>
          </w:hyperlink>
        </w:p>
        <w:p w14:paraId="59524661" w14:textId="5FDFE21D"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71" w:history="1">
            <w:r w:rsidR="00C16F9D" w:rsidRPr="00884D51">
              <w:rPr>
                <w:rStyle w:val="Hyperlink"/>
                <w:noProof/>
              </w:rPr>
              <w:t>2</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Indicators</w:t>
            </w:r>
            <w:r w:rsidR="00C16F9D">
              <w:rPr>
                <w:noProof/>
                <w:webHidden/>
              </w:rPr>
              <w:tab/>
            </w:r>
            <w:r w:rsidR="00C16F9D">
              <w:rPr>
                <w:noProof/>
                <w:webHidden/>
              </w:rPr>
              <w:fldChar w:fldCharType="begin"/>
            </w:r>
            <w:r w:rsidR="00C16F9D">
              <w:rPr>
                <w:noProof/>
                <w:webHidden/>
              </w:rPr>
              <w:instrText xml:space="preserve"> PAGEREF _Toc101963771 \h </w:instrText>
            </w:r>
            <w:r w:rsidR="00C16F9D">
              <w:rPr>
                <w:noProof/>
                <w:webHidden/>
              </w:rPr>
            </w:r>
            <w:r w:rsidR="00C16F9D">
              <w:rPr>
                <w:noProof/>
                <w:webHidden/>
              </w:rPr>
              <w:fldChar w:fldCharType="separate"/>
            </w:r>
            <w:r w:rsidR="00C16F9D">
              <w:rPr>
                <w:noProof/>
                <w:webHidden/>
              </w:rPr>
              <w:t>14</w:t>
            </w:r>
            <w:r w:rsidR="00C16F9D">
              <w:rPr>
                <w:noProof/>
                <w:webHidden/>
              </w:rPr>
              <w:fldChar w:fldCharType="end"/>
            </w:r>
          </w:hyperlink>
        </w:p>
        <w:p w14:paraId="4462D918" w14:textId="6D234611" w:rsidR="00C16F9D" w:rsidRDefault="0070071B">
          <w:pPr>
            <w:pStyle w:val="TOC2"/>
            <w:rPr>
              <w:rFonts w:asciiTheme="minorHAnsi" w:eastAsiaTheme="minorEastAsia" w:hAnsiTheme="minorHAnsi" w:cstheme="minorBidi"/>
              <w:color w:val="auto"/>
              <w:kern w:val="0"/>
              <w:sz w:val="22"/>
              <w:szCs w:val="22"/>
              <w:lang w:eastAsia="en-AU"/>
            </w:rPr>
          </w:pPr>
          <w:hyperlink w:anchor="_Toc101963772" w:history="1">
            <w:r w:rsidR="00C16F9D" w:rsidRPr="00884D51">
              <w:rPr>
                <w:rStyle w:val="Hyperlink"/>
              </w:rPr>
              <w:t>2.1</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Hydraulic Regime</w:t>
            </w:r>
            <w:r w:rsidR="00C16F9D">
              <w:rPr>
                <w:webHidden/>
              </w:rPr>
              <w:tab/>
            </w:r>
            <w:r w:rsidR="00C16F9D">
              <w:rPr>
                <w:webHidden/>
              </w:rPr>
              <w:fldChar w:fldCharType="begin"/>
            </w:r>
            <w:r w:rsidR="00C16F9D">
              <w:rPr>
                <w:webHidden/>
              </w:rPr>
              <w:instrText xml:space="preserve"> PAGEREF _Toc101963772 \h </w:instrText>
            </w:r>
            <w:r w:rsidR="00C16F9D">
              <w:rPr>
                <w:webHidden/>
              </w:rPr>
            </w:r>
            <w:r w:rsidR="00C16F9D">
              <w:rPr>
                <w:webHidden/>
              </w:rPr>
              <w:fldChar w:fldCharType="separate"/>
            </w:r>
            <w:r w:rsidR="00C16F9D">
              <w:rPr>
                <w:webHidden/>
              </w:rPr>
              <w:t>14</w:t>
            </w:r>
            <w:r w:rsidR="00C16F9D">
              <w:rPr>
                <w:webHidden/>
              </w:rPr>
              <w:fldChar w:fldCharType="end"/>
            </w:r>
          </w:hyperlink>
        </w:p>
        <w:p w14:paraId="1F2F501A" w14:textId="5B26CE7B" w:rsidR="00C16F9D" w:rsidRDefault="0070071B">
          <w:pPr>
            <w:pStyle w:val="TOC2"/>
            <w:rPr>
              <w:rFonts w:asciiTheme="minorHAnsi" w:eastAsiaTheme="minorEastAsia" w:hAnsiTheme="minorHAnsi" w:cstheme="minorBidi"/>
              <w:color w:val="auto"/>
              <w:kern w:val="0"/>
              <w:sz w:val="22"/>
              <w:szCs w:val="22"/>
              <w:lang w:eastAsia="en-AU"/>
            </w:rPr>
          </w:pPr>
          <w:hyperlink w:anchor="_Toc101963773" w:history="1">
            <w:r w:rsidR="00C16F9D" w:rsidRPr="00884D51">
              <w:rPr>
                <w:rStyle w:val="Hyperlink"/>
              </w:rPr>
              <w:t>2.2</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Stream Metabolism and Water Quality</w:t>
            </w:r>
            <w:r w:rsidR="00C16F9D">
              <w:rPr>
                <w:webHidden/>
              </w:rPr>
              <w:tab/>
            </w:r>
            <w:r w:rsidR="00C16F9D">
              <w:rPr>
                <w:webHidden/>
              </w:rPr>
              <w:fldChar w:fldCharType="begin"/>
            </w:r>
            <w:r w:rsidR="00C16F9D">
              <w:rPr>
                <w:webHidden/>
              </w:rPr>
              <w:instrText xml:space="preserve"> PAGEREF _Toc101963773 \h </w:instrText>
            </w:r>
            <w:r w:rsidR="00C16F9D">
              <w:rPr>
                <w:webHidden/>
              </w:rPr>
            </w:r>
            <w:r w:rsidR="00C16F9D">
              <w:rPr>
                <w:webHidden/>
              </w:rPr>
              <w:fldChar w:fldCharType="separate"/>
            </w:r>
            <w:r w:rsidR="00C16F9D">
              <w:rPr>
                <w:webHidden/>
              </w:rPr>
              <w:t>29</w:t>
            </w:r>
            <w:r w:rsidR="00C16F9D">
              <w:rPr>
                <w:webHidden/>
              </w:rPr>
              <w:fldChar w:fldCharType="end"/>
            </w:r>
          </w:hyperlink>
        </w:p>
        <w:p w14:paraId="7520BBE0" w14:textId="0CA6B69F" w:rsidR="00C16F9D" w:rsidRDefault="0070071B">
          <w:pPr>
            <w:pStyle w:val="TOC2"/>
            <w:rPr>
              <w:rFonts w:asciiTheme="minorHAnsi" w:eastAsiaTheme="minorEastAsia" w:hAnsiTheme="minorHAnsi" w:cstheme="minorBidi"/>
              <w:color w:val="auto"/>
              <w:kern w:val="0"/>
              <w:sz w:val="22"/>
              <w:szCs w:val="22"/>
              <w:lang w:eastAsia="en-AU"/>
            </w:rPr>
          </w:pPr>
          <w:hyperlink w:anchor="_Toc101963774" w:history="1">
            <w:r w:rsidR="00C16F9D" w:rsidRPr="00884D51">
              <w:rPr>
                <w:rStyle w:val="Hyperlink"/>
              </w:rPr>
              <w:t>2.3</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Matter Transport and Coorong Habitat</w:t>
            </w:r>
            <w:r w:rsidR="00C16F9D">
              <w:rPr>
                <w:webHidden/>
              </w:rPr>
              <w:tab/>
            </w:r>
            <w:r w:rsidR="00C16F9D">
              <w:rPr>
                <w:webHidden/>
              </w:rPr>
              <w:fldChar w:fldCharType="begin"/>
            </w:r>
            <w:r w:rsidR="00C16F9D">
              <w:rPr>
                <w:webHidden/>
              </w:rPr>
              <w:instrText xml:space="preserve"> PAGEREF _Toc101963774 \h </w:instrText>
            </w:r>
            <w:r w:rsidR="00C16F9D">
              <w:rPr>
                <w:webHidden/>
              </w:rPr>
            </w:r>
            <w:r w:rsidR="00C16F9D">
              <w:rPr>
                <w:webHidden/>
              </w:rPr>
              <w:fldChar w:fldCharType="separate"/>
            </w:r>
            <w:r w:rsidR="00C16F9D">
              <w:rPr>
                <w:webHidden/>
              </w:rPr>
              <w:t>48</w:t>
            </w:r>
            <w:r w:rsidR="00C16F9D">
              <w:rPr>
                <w:webHidden/>
              </w:rPr>
              <w:fldChar w:fldCharType="end"/>
            </w:r>
          </w:hyperlink>
        </w:p>
        <w:p w14:paraId="03D476B1" w14:textId="75A51671" w:rsidR="00C16F9D" w:rsidRDefault="0070071B">
          <w:pPr>
            <w:pStyle w:val="TOC2"/>
            <w:rPr>
              <w:rFonts w:asciiTheme="minorHAnsi" w:eastAsiaTheme="minorEastAsia" w:hAnsiTheme="minorHAnsi" w:cstheme="minorBidi"/>
              <w:color w:val="auto"/>
              <w:kern w:val="0"/>
              <w:sz w:val="22"/>
              <w:szCs w:val="22"/>
              <w:lang w:eastAsia="en-AU"/>
            </w:rPr>
          </w:pPr>
          <w:hyperlink w:anchor="_Toc101963775" w:history="1">
            <w:r w:rsidR="00C16F9D" w:rsidRPr="00884D51">
              <w:rPr>
                <w:rStyle w:val="Hyperlink"/>
              </w:rPr>
              <w:t>2.3.1   Matter Transport</w:t>
            </w:r>
            <w:r w:rsidR="00C16F9D">
              <w:rPr>
                <w:webHidden/>
              </w:rPr>
              <w:tab/>
            </w:r>
            <w:r w:rsidR="00C16F9D">
              <w:rPr>
                <w:webHidden/>
              </w:rPr>
              <w:fldChar w:fldCharType="begin"/>
            </w:r>
            <w:r w:rsidR="00C16F9D">
              <w:rPr>
                <w:webHidden/>
              </w:rPr>
              <w:instrText xml:space="preserve"> PAGEREF _Toc101963775 \h </w:instrText>
            </w:r>
            <w:r w:rsidR="00C16F9D">
              <w:rPr>
                <w:webHidden/>
              </w:rPr>
            </w:r>
            <w:r w:rsidR="00C16F9D">
              <w:rPr>
                <w:webHidden/>
              </w:rPr>
              <w:fldChar w:fldCharType="separate"/>
            </w:r>
            <w:r w:rsidR="00C16F9D">
              <w:rPr>
                <w:webHidden/>
              </w:rPr>
              <w:t>48</w:t>
            </w:r>
            <w:r w:rsidR="00C16F9D">
              <w:rPr>
                <w:webHidden/>
              </w:rPr>
              <w:fldChar w:fldCharType="end"/>
            </w:r>
          </w:hyperlink>
        </w:p>
        <w:p w14:paraId="08DA1096" w14:textId="10FB69F5" w:rsidR="00C16F9D" w:rsidRDefault="0070071B">
          <w:pPr>
            <w:pStyle w:val="TOC2"/>
            <w:rPr>
              <w:rFonts w:asciiTheme="minorHAnsi" w:eastAsiaTheme="minorEastAsia" w:hAnsiTheme="minorHAnsi" w:cstheme="minorBidi"/>
              <w:color w:val="auto"/>
              <w:kern w:val="0"/>
              <w:sz w:val="22"/>
              <w:szCs w:val="22"/>
              <w:lang w:eastAsia="en-AU"/>
            </w:rPr>
          </w:pPr>
          <w:hyperlink w:anchor="_Toc101963776" w:history="1">
            <w:r w:rsidR="00C16F9D" w:rsidRPr="00884D51">
              <w:rPr>
                <w:rStyle w:val="Hyperlink"/>
              </w:rPr>
              <w:t>2.3.2   Coorong Habitat</w:t>
            </w:r>
            <w:r w:rsidR="00C16F9D">
              <w:rPr>
                <w:webHidden/>
              </w:rPr>
              <w:tab/>
            </w:r>
            <w:r w:rsidR="00C16F9D">
              <w:rPr>
                <w:webHidden/>
              </w:rPr>
              <w:fldChar w:fldCharType="begin"/>
            </w:r>
            <w:r w:rsidR="00C16F9D">
              <w:rPr>
                <w:webHidden/>
              </w:rPr>
              <w:instrText xml:space="preserve"> PAGEREF _Toc101963776 \h </w:instrText>
            </w:r>
            <w:r w:rsidR="00C16F9D">
              <w:rPr>
                <w:webHidden/>
              </w:rPr>
            </w:r>
            <w:r w:rsidR="00C16F9D">
              <w:rPr>
                <w:webHidden/>
              </w:rPr>
              <w:fldChar w:fldCharType="separate"/>
            </w:r>
            <w:r w:rsidR="00C16F9D">
              <w:rPr>
                <w:webHidden/>
              </w:rPr>
              <w:t>62</w:t>
            </w:r>
            <w:r w:rsidR="00C16F9D">
              <w:rPr>
                <w:webHidden/>
              </w:rPr>
              <w:fldChar w:fldCharType="end"/>
            </w:r>
          </w:hyperlink>
        </w:p>
        <w:p w14:paraId="30BB0B62" w14:textId="0FF26942" w:rsidR="00C16F9D" w:rsidRDefault="0070071B">
          <w:pPr>
            <w:pStyle w:val="TOC2"/>
            <w:rPr>
              <w:rFonts w:asciiTheme="minorHAnsi" w:eastAsiaTheme="minorEastAsia" w:hAnsiTheme="minorHAnsi" w:cstheme="minorBidi"/>
              <w:color w:val="auto"/>
              <w:kern w:val="0"/>
              <w:sz w:val="22"/>
              <w:szCs w:val="22"/>
              <w:lang w:eastAsia="en-AU"/>
            </w:rPr>
          </w:pPr>
          <w:hyperlink w:anchor="_Toc101963777" w:history="1">
            <w:r w:rsidR="00C16F9D" w:rsidRPr="00884D51">
              <w:rPr>
                <w:rStyle w:val="Hyperlink"/>
              </w:rPr>
              <w:t>2.4</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Littoral Vegetation Diversity and Productivity</w:t>
            </w:r>
            <w:r w:rsidR="00C16F9D">
              <w:rPr>
                <w:webHidden/>
              </w:rPr>
              <w:tab/>
            </w:r>
            <w:r w:rsidR="00C16F9D">
              <w:rPr>
                <w:webHidden/>
              </w:rPr>
              <w:fldChar w:fldCharType="begin"/>
            </w:r>
            <w:r w:rsidR="00C16F9D">
              <w:rPr>
                <w:webHidden/>
              </w:rPr>
              <w:instrText xml:space="preserve"> PAGEREF _Toc101963777 \h </w:instrText>
            </w:r>
            <w:r w:rsidR="00C16F9D">
              <w:rPr>
                <w:webHidden/>
              </w:rPr>
            </w:r>
            <w:r w:rsidR="00C16F9D">
              <w:rPr>
                <w:webHidden/>
              </w:rPr>
              <w:fldChar w:fldCharType="separate"/>
            </w:r>
            <w:r w:rsidR="00C16F9D">
              <w:rPr>
                <w:webHidden/>
              </w:rPr>
              <w:t>71</w:t>
            </w:r>
            <w:r w:rsidR="00C16F9D">
              <w:rPr>
                <w:webHidden/>
              </w:rPr>
              <w:fldChar w:fldCharType="end"/>
            </w:r>
          </w:hyperlink>
        </w:p>
        <w:p w14:paraId="12B06D9F" w14:textId="00EF2FA2" w:rsidR="00C16F9D" w:rsidRDefault="0070071B">
          <w:pPr>
            <w:pStyle w:val="TOC2"/>
            <w:rPr>
              <w:rFonts w:asciiTheme="minorHAnsi" w:eastAsiaTheme="minorEastAsia" w:hAnsiTheme="minorHAnsi" w:cstheme="minorBidi"/>
              <w:color w:val="auto"/>
              <w:kern w:val="0"/>
              <w:sz w:val="22"/>
              <w:szCs w:val="22"/>
              <w:lang w:eastAsia="en-AU"/>
            </w:rPr>
          </w:pPr>
          <w:hyperlink w:anchor="_Toc101963778" w:history="1">
            <w:r w:rsidR="00C16F9D" w:rsidRPr="00884D51">
              <w:rPr>
                <w:rStyle w:val="Hyperlink"/>
                <w:i/>
              </w:rPr>
              <w:t>2.5</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Microinvertebrate Assemblage</w:t>
            </w:r>
            <w:r w:rsidR="00C16F9D">
              <w:rPr>
                <w:webHidden/>
              </w:rPr>
              <w:tab/>
            </w:r>
            <w:r w:rsidR="00C16F9D">
              <w:rPr>
                <w:webHidden/>
              </w:rPr>
              <w:fldChar w:fldCharType="begin"/>
            </w:r>
            <w:r w:rsidR="00C16F9D">
              <w:rPr>
                <w:webHidden/>
              </w:rPr>
              <w:instrText xml:space="preserve"> PAGEREF _Toc101963778 \h </w:instrText>
            </w:r>
            <w:r w:rsidR="00C16F9D">
              <w:rPr>
                <w:webHidden/>
              </w:rPr>
            </w:r>
            <w:r w:rsidR="00C16F9D">
              <w:rPr>
                <w:webHidden/>
              </w:rPr>
              <w:fldChar w:fldCharType="separate"/>
            </w:r>
            <w:r w:rsidR="00C16F9D">
              <w:rPr>
                <w:webHidden/>
              </w:rPr>
              <w:t>86</w:t>
            </w:r>
            <w:r w:rsidR="00C16F9D">
              <w:rPr>
                <w:webHidden/>
              </w:rPr>
              <w:fldChar w:fldCharType="end"/>
            </w:r>
          </w:hyperlink>
        </w:p>
        <w:p w14:paraId="156A1706" w14:textId="31CEAB28" w:rsidR="00C16F9D" w:rsidRDefault="0070071B">
          <w:pPr>
            <w:pStyle w:val="TOC2"/>
            <w:rPr>
              <w:rFonts w:asciiTheme="minorHAnsi" w:eastAsiaTheme="minorEastAsia" w:hAnsiTheme="minorHAnsi" w:cstheme="minorBidi"/>
              <w:color w:val="auto"/>
              <w:kern w:val="0"/>
              <w:sz w:val="22"/>
              <w:szCs w:val="22"/>
              <w:lang w:eastAsia="en-AU"/>
            </w:rPr>
          </w:pPr>
          <w:hyperlink w:anchor="_Toc101963779" w:history="1">
            <w:r w:rsidR="00C16F9D" w:rsidRPr="00884D51">
              <w:rPr>
                <w:rStyle w:val="Hyperlink"/>
              </w:rPr>
              <w:t>2.6</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Flow-cued Spawning Fish Reproduction</w:t>
            </w:r>
            <w:r w:rsidR="00C16F9D">
              <w:rPr>
                <w:webHidden/>
              </w:rPr>
              <w:tab/>
            </w:r>
            <w:r w:rsidR="00C16F9D">
              <w:rPr>
                <w:webHidden/>
              </w:rPr>
              <w:fldChar w:fldCharType="begin"/>
            </w:r>
            <w:r w:rsidR="00C16F9D">
              <w:rPr>
                <w:webHidden/>
              </w:rPr>
              <w:instrText xml:space="preserve"> PAGEREF _Toc101963779 \h </w:instrText>
            </w:r>
            <w:r w:rsidR="00C16F9D">
              <w:rPr>
                <w:webHidden/>
              </w:rPr>
            </w:r>
            <w:r w:rsidR="00C16F9D">
              <w:rPr>
                <w:webHidden/>
              </w:rPr>
              <w:fldChar w:fldCharType="separate"/>
            </w:r>
            <w:r w:rsidR="00C16F9D">
              <w:rPr>
                <w:webHidden/>
              </w:rPr>
              <w:t>103</w:t>
            </w:r>
            <w:r w:rsidR="00C16F9D">
              <w:rPr>
                <w:webHidden/>
              </w:rPr>
              <w:fldChar w:fldCharType="end"/>
            </w:r>
          </w:hyperlink>
        </w:p>
        <w:p w14:paraId="220205BE" w14:textId="7B2B019C" w:rsidR="00C16F9D" w:rsidRDefault="0070071B">
          <w:pPr>
            <w:pStyle w:val="TOC2"/>
            <w:rPr>
              <w:rFonts w:asciiTheme="minorHAnsi" w:eastAsiaTheme="minorEastAsia" w:hAnsiTheme="minorHAnsi" w:cstheme="minorBidi"/>
              <w:color w:val="auto"/>
              <w:kern w:val="0"/>
              <w:sz w:val="22"/>
              <w:szCs w:val="22"/>
              <w:lang w:eastAsia="en-AU"/>
            </w:rPr>
          </w:pPr>
          <w:hyperlink w:anchor="_Toc101963780" w:history="1">
            <w:r w:rsidR="00C16F9D" w:rsidRPr="00884D51">
              <w:rPr>
                <w:rStyle w:val="Hyperlink"/>
              </w:rPr>
              <w:t>2.7</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Murray Cod Recruitment</w:t>
            </w:r>
            <w:r w:rsidR="00C16F9D">
              <w:rPr>
                <w:webHidden/>
              </w:rPr>
              <w:tab/>
            </w:r>
            <w:r w:rsidR="00C16F9D">
              <w:rPr>
                <w:webHidden/>
              </w:rPr>
              <w:fldChar w:fldCharType="begin"/>
            </w:r>
            <w:r w:rsidR="00C16F9D">
              <w:rPr>
                <w:webHidden/>
              </w:rPr>
              <w:instrText xml:space="preserve"> PAGEREF _Toc101963780 \h </w:instrText>
            </w:r>
            <w:r w:rsidR="00C16F9D">
              <w:rPr>
                <w:webHidden/>
              </w:rPr>
            </w:r>
            <w:r w:rsidR="00C16F9D">
              <w:rPr>
                <w:webHidden/>
              </w:rPr>
              <w:fldChar w:fldCharType="separate"/>
            </w:r>
            <w:r w:rsidR="00C16F9D">
              <w:rPr>
                <w:webHidden/>
              </w:rPr>
              <w:t>118</w:t>
            </w:r>
            <w:r w:rsidR="00C16F9D">
              <w:rPr>
                <w:webHidden/>
              </w:rPr>
              <w:fldChar w:fldCharType="end"/>
            </w:r>
          </w:hyperlink>
        </w:p>
        <w:p w14:paraId="42A30538" w14:textId="4CBF1D52" w:rsidR="00C16F9D" w:rsidRDefault="0070071B">
          <w:pPr>
            <w:pStyle w:val="TOC2"/>
            <w:rPr>
              <w:rFonts w:asciiTheme="minorHAnsi" w:eastAsiaTheme="minorEastAsia" w:hAnsiTheme="minorHAnsi" w:cstheme="minorBidi"/>
              <w:color w:val="auto"/>
              <w:kern w:val="0"/>
              <w:sz w:val="22"/>
              <w:szCs w:val="22"/>
              <w:lang w:eastAsia="en-AU"/>
            </w:rPr>
          </w:pPr>
          <w:hyperlink w:anchor="_Toc101963781" w:history="1">
            <w:r w:rsidR="00C16F9D" w:rsidRPr="00884D51">
              <w:rPr>
                <w:rStyle w:val="Hyperlink"/>
              </w:rPr>
              <w:t>2.8</w:t>
            </w:r>
            <w:r w:rsidR="00C16F9D">
              <w:rPr>
                <w:rFonts w:asciiTheme="minorHAnsi" w:eastAsiaTheme="minorEastAsia" w:hAnsiTheme="minorHAnsi" w:cstheme="minorBidi"/>
                <w:color w:val="auto"/>
                <w:kern w:val="0"/>
                <w:sz w:val="22"/>
                <w:szCs w:val="22"/>
                <w:lang w:eastAsia="en-AU"/>
              </w:rPr>
              <w:tab/>
            </w:r>
            <w:r w:rsidR="00C16F9D" w:rsidRPr="00884D51">
              <w:rPr>
                <w:rStyle w:val="Hyperlink"/>
              </w:rPr>
              <w:t>Fish Assemblage</w:t>
            </w:r>
            <w:r w:rsidR="00C16F9D">
              <w:rPr>
                <w:webHidden/>
              </w:rPr>
              <w:tab/>
            </w:r>
            <w:r w:rsidR="00C16F9D">
              <w:rPr>
                <w:webHidden/>
              </w:rPr>
              <w:fldChar w:fldCharType="begin"/>
            </w:r>
            <w:r w:rsidR="00C16F9D">
              <w:rPr>
                <w:webHidden/>
              </w:rPr>
              <w:instrText xml:space="preserve"> PAGEREF _Toc101963781 \h </w:instrText>
            </w:r>
            <w:r w:rsidR="00C16F9D">
              <w:rPr>
                <w:webHidden/>
              </w:rPr>
            </w:r>
            <w:r w:rsidR="00C16F9D">
              <w:rPr>
                <w:webHidden/>
              </w:rPr>
              <w:fldChar w:fldCharType="separate"/>
            </w:r>
            <w:r w:rsidR="00C16F9D">
              <w:rPr>
                <w:webHidden/>
              </w:rPr>
              <w:t>134</w:t>
            </w:r>
            <w:r w:rsidR="00C16F9D">
              <w:rPr>
                <w:webHidden/>
              </w:rPr>
              <w:fldChar w:fldCharType="end"/>
            </w:r>
          </w:hyperlink>
        </w:p>
        <w:p w14:paraId="030BFBDB" w14:textId="19A4D109"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2" w:history="1">
            <w:r w:rsidR="00C16F9D" w:rsidRPr="00884D51">
              <w:rPr>
                <w:rStyle w:val="Hyperlink"/>
                <w:noProof/>
              </w:rPr>
              <w:t>3</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Synthesis and Evaluation</w:t>
            </w:r>
            <w:r w:rsidR="00C16F9D">
              <w:rPr>
                <w:noProof/>
                <w:webHidden/>
              </w:rPr>
              <w:tab/>
            </w:r>
            <w:r w:rsidR="00C16F9D">
              <w:rPr>
                <w:noProof/>
                <w:webHidden/>
              </w:rPr>
              <w:fldChar w:fldCharType="begin"/>
            </w:r>
            <w:r w:rsidR="00C16F9D">
              <w:rPr>
                <w:noProof/>
                <w:webHidden/>
              </w:rPr>
              <w:instrText xml:space="preserve"> PAGEREF _Toc101963782 \h </w:instrText>
            </w:r>
            <w:r w:rsidR="00C16F9D">
              <w:rPr>
                <w:noProof/>
                <w:webHidden/>
              </w:rPr>
            </w:r>
            <w:r w:rsidR="00C16F9D">
              <w:rPr>
                <w:noProof/>
                <w:webHidden/>
              </w:rPr>
              <w:fldChar w:fldCharType="separate"/>
            </w:r>
            <w:r w:rsidR="00C16F9D">
              <w:rPr>
                <w:noProof/>
                <w:webHidden/>
              </w:rPr>
              <w:t>146</w:t>
            </w:r>
            <w:r w:rsidR="00C16F9D">
              <w:rPr>
                <w:noProof/>
                <w:webHidden/>
              </w:rPr>
              <w:fldChar w:fldCharType="end"/>
            </w:r>
          </w:hyperlink>
        </w:p>
        <w:p w14:paraId="7DC9B11C" w14:textId="57BD0622"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3" w:history="1">
            <w:r w:rsidR="00C16F9D" w:rsidRPr="00884D51">
              <w:rPr>
                <w:rStyle w:val="Hyperlink"/>
                <w:noProof/>
              </w:rPr>
              <w:t>4</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General Management Recommendations</w:t>
            </w:r>
            <w:r w:rsidR="00C16F9D">
              <w:rPr>
                <w:noProof/>
                <w:webHidden/>
              </w:rPr>
              <w:tab/>
            </w:r>
            <w:r w:rsidR="00C16F9D">
              <w:rPr>
                <w:noProof/>
                <w:webHidden/>
              </w:rPr>
              <w:fldChar w:fldCharType="begin"/>
            </w:r>
            <w:r w:rsidR="00C16F9D">
              <w:rPr>
                <w:noProof/>
                <w:webHidden/>
              </w:rPr>
              <w:instrText xml:space="preserve"> PAGEREF _Toc101963783 \h </w:instrText>
            </w:r>
            <w:r w:rsidR="00C16F9D">
              <w:rPr>
                <w:noProof/>
                <w:webHidden/>
              </w:rPr>
            </w:r>
            <w:r w:rsidR="00C16F9D">
              <w:rPr>
                <w:noProof/>
                <w:webHidden/>
              </w:rPr>
              <w:fldChar w:fldCharType="separate"/>
            </w:r>
            <w:r w:rsidR="00C16F9D">
              <w:rPr>
                <w:noProof/>
                <w:webHidden/>
              </w:rPr>
              <w:t>151</w:t>
            </w:r>
            <w:r w:rsidR="00C16F9D">
              <w:rPr>
                <w:noProof/>
                <w:webHidden/>
              </w:rPr>
              <w:fldChar w:fldCharType="end"/>
            </w:r>
          </w:hyperlink>
        </w:p>
        <w:p w14:paraId="3D9C73FD" w14:textId="3229F4B6"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4" w:history="1">
            <w:r w:rsidR="00C16F9D" w:rsidRPr="00884D51">
              <w:rPr>
                <w:rStyle w:val="Hyperlink"/>
                <w:noProof/>
              </w:rPr>
              <w:t>5</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References</w:t>
            </w:r>
            <w:r w:rsidR="00C16F9D">
              <w:rPr>
                <w:noProof/>
                <w:webHidden/>
              </w:rPr>
              <w:tab/>
            </w:r>
            <w:r w:rsidR="00C16F9D">
              <w:rPr>
                <w:noProof/>
                <w:webHidden/>
              </w:rPr>
              <w:fldChar w:fldCharType="begin"/>
            </w:r>
            <w:r w:rsidR="00C16F9D">
              <w:rPr>
                <w:noProof/>
                <w:webHidden/>
              </w:rPr>
              <w:instrText xml:space="preserve"> PAGEREF _Toc101963784 \h </w:instrText>
            </w:r>
            <w:r w:rsidR="00C16F9D">
              <w:rPr>
                <w:noProof/>
                <w:webHidden/>
              </w:rPr>
            </w:r>
            <w:r w:rsidR="00C16F9D">
              <w:rPr>
                <w:noProof/>
                <w:webHidden/>
              </w:rPr>
              <w:fldChar w:fldCharType="separate"/>
            </w:r>
            <w:r w:rsidR="00C16F9D">
              <w:rPr>
                <w:noProof/>
                <w:webHidden/>
              </w:rPr>
              <w:t>156</w:t>
            </w:r>
            <w:r w:rsidR="00C16F9D">
              <w:rPr>
                <w:noProof/>
                <w:webHidden/>
              </w:rPr>
              <w:fldChar w:fldCharType="end"/>
            </w:r>
          </w:hyperlink>
        </w:p>
        <w:p w14:paraId="361A8235" w14:textId="6A326992" w:rsidR="00C16F9D" w:rsidRDefault="0070071B">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5" w:history="1">
            <w:r w:rsidR="00C16F9D" w:rsidRPr="00884D51">
              <w:rPr>
                <w:rStyle w:val="Hyperlink"/>
                <w:noProof/>
              </w:rPr>
              <w:t>6</w:t>
            </w:r>
            <w:r w:rsidR="00C16F9D">
              <w:rPr>
                <w:rFonts w:asciiTheme="minorHAnsi" w:eastAsiaTheme="minorEastAsia" w:hAnsiTheme="minorHAnsi" w:cstheme="minorBidi"/>
                <w:b w:val="0"/>
                <w:caps w:val="0"/>
                <w:noProof/>
                <w:color w:val="auto"/>
                <w:kern w:val="0"/>
                <w:sz w:val="22"/>
                <w:szCs w:val="22"/>
                <w:lang w:eastAsia="en-AU"/>
              </w:rPr>
              <w:tab/>
            </w:r>
            <w:r w:rsidR="00C16F9D" w:rsidRPr="00884D51">
              <w:rPr>
                <w:rStyle w:val="Hyperlink"/>
                <w:noProof/>
              </w:rPr>
              <w:t>Appendices</w:t>
            </w:r>
            <w:r w:rsidR="00C16F9D">
              <w:rPr>
                <w:noProof/>
                <w:webHidden/>
              </w:rPr>
              <w:tab/>
            </w:r>
            <w:r w:rsidR="00C16F9D">
              <w:rPr>
                <w:noProof/>
                <w:webHidden/>
              </w:rPr>
              <w:fldChar w:fldCharType="begin"/>
            </w:r>
            <w:r w:rsidR="00C16F9D">
              <w:rPr>
                <w:noProof/>
                <w:webHidden/>
              </w:rPr>
              <w:instrText xml:space="preserve"> PAGEREF _Toc101963785 \h </w:instrText>
            </w:r>
            <w:r w:rsidR="00C16F9D">
              <w:rPr>
                <w:noProof/>
                <w:webHidden/>
              </w:rPr>
            </w:r>
            <w:r w:rsidR="00C16F9D">
              <w:rPr>
                <w:noProof/>
                <w:webHidden/>
              </w:rPr>
              <w:fldChar w:fldCharType="separate"/>
            </w:r>
            <w:r w:rsidR="00C16F9D">
              <w:rPr>
                <w:noProof/>
                <w:webHidden/>
              </w:rPr>
              <w:t>175</w:t>
            </w:r>
            <w:r w:rsidR="00C16F9D">
              <w:rPr>
                <w:noProof/>
                <w:webHidden/>
              </w:rPr>
              <w:fldChar w:fldCharType="end"/>
            </w:r>
          </w:hyperlink>
        </w:p>
        <w:p w14:paraId="3202082B" w14:textId="5A283331"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6" w:history="1">
            <w:r w:rsidR="00C16F9D" w:rsidRPr="00884D51">
              <w:rPr>
                <w:rStyle w:val="Hyperlink"/>
                <w:noProof/>
              </w:rPr>
              <w:t>Appendix A: Expected outcomes of Commonwealth environmental water in the LOWER MURRAY RIVER, Lower Lakes and Coorong</w:t>
            </w:r>
            <w:r w:rsidR="00C16F9D">
              <w:rPr>
                <w:noProof/>
                <w:webHidden/>
              </w:rPr>
              <w:tab/>
            </w:r>
            <w:r w:rsidR="00C16F9D">
              <w:rPr>
                <w:noProof/>
                <w:webHidden/>
              </w:rPr>
              <w:fldChar w:fldCharType="begin"/>
            </w:r>
            <w:r w:rsidR="00C16F9D">
              <w:rPr>
                <w:noProof/>
                <w:webHidden/>
              </w:rPr>
              <w:instrText xml:space="preserve"> PAGEREF _Toc101963786 \h </w:instrText>
            </w:r>
            <w:r w:rsidR="00C16F9D">
              <w:rPr>
                <w:noProof/>
                <w:webHidden/>
              </w:rPr>
            </w:r>
            <w:r w:rsidR="00C16F9D">
              <w:rPr>
                <w:noProof/>
                <w:webHidden/>
              </w:rPr>
              <w:fldChar w:fldCharType="separate"/>
            </w:r>
            <w:r w:rsidR="00C16F9D">
              <w:rPr>
                <w:noProof/>
                <w:webHidden/>
              </w:rPr>
              <w:t>175</w:t>
            </w:r>
            <w:r w:rsidR="00C16F9D">
              <w:rPr>
                <w:noProof/>
                <w:webHidden/>
              </w:rPr>
              <w:fldChar w:fldCharType="end"/>
            </w:r>
          </w:hyperlink>
        </w:p>
        <w:p w14:paraId="13001617" w14:textId="5664E4B0"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7" w:history="1">
            <w:r w:rsidR="00C16F9D" w:rsidRPr="00884D51">
              <w:rPr>
                <w:rStyle w:val="Hyperlink"/>
                <w:noProof/>
              </w:rPr>
              <w:t>Appendix B: Overview of other management activities during 2020-21</w:t>
            </w:r>
            <w:r w:rsidR="00C16F9D">
              <w:rPr>
                <w:noProof/>
                <w:webHidden/>
              </w:rPr>
              <w:tab/>
            </w:r>
            <w:r w:rsidR="00C16F9D">
              <w:rPr>
                <w:noProof/>
                <w:webHidden/>
              </w:rPr>
              <w:fldChar w:fldCharType="begin"/>
            </w:r>
            <w:r w:rsidR="00C16F9D">
              <w:rPr>
                <w:noProof/>
                <w:webHidden/>
              </w:rPr>
              <w:instrText xml:space="preserve"> PAGEREF _Toc101963787 \h </w:instrText>
            </w:r>
            <w:r w:rsidR="00C16F9D">
              <w:rPr>
                <w:noProof/>
                <w:webHidden/>
              </w:rPr>
            </w:r>
            <w:r w:rsidR="00C16F9D">
              <w:rPr>
                <w:noProof/>
                <w:webHidden/>
              </w:rPr>
              <w:fldChar w:fldCharType="separate"/>
            </w:r>
            <w:r w:rsidR="00C16F9D">
              <w:rPr>
                <w:noProof/>
                <w:webHidden/>
              </w:rPr>
              <w:t>177</w:t>
            </w:r>
            <w:r w:rsidR="00C16F9D">
              <w:rPr>
                <w:noProof/>
                <w:webHidden/>
              </w:rPr>
              <w:fldChar w:fldCharType="end"/>
            </w:r>
          </w:hyperlink>
        </w:p>
        <w:p w14:paraId="055C3A3D" w14:textId="2437720D"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8" w:history="1">
            <w:r w:rsidR="00C16F9D" w:rsidRPr="00884D51">
              <w:rPr>
                <w:rStyle w:val="Hyperlink"/>
                <w:noProof/>
              </w:rPr>
              <w:t>Appendix C: DEW evaluation questions</w:t>
            </w:r>
            <w:r w:rsidR="00C16F9D">
              <w:rPr>
                <w:noProof/>
                <w:webHidden/>
              </w:rPr>
              <w:tab/>
            </w:r>
            <w:r w:rsidR="00C16F9D">
              <w:rPr>
                <w:noProof/>
                <w:webHidden/>
              </w:rPr>
              <w:fldChar w:fldCharType="begin"/>
            </w:r>
            <w:r w:rsidR="00C16F9D">
              <w:rPr>
                <w:noProof/>
                <w:webHidden/>
              </w:rPr>
              <w:instrText xml:space="preserve"> PAGEREF _Toc101963788 \h </w:instrText>
            </w:r>
            <w:r w:rsidR="00C16F9D">
              <w:rPr>
                <w:noProof/>
                <w:webHidden/>
              </w:rPr>
            </w:r>
            <w:r w:rsidR="00C16F9D">
              <w:rPr>
                <w:noProof/>
                <w:webHidden/>
              </w:rPr>
              <w:fldChar w:fldCharType="separate"/>
            </w:r>
            <w:r w:rsidR="00C16F9D">
              <w:rPr>
                <w:noProof/>
                <w:webHidden/>
              </w:rPr>
              <w:t>182</w:t>
            </w:r>
            <w:r w:rsidR="00C16F9D">
              <w:rPr>
                <w:noProof/>
                <w:webHidden/>
              </w:rPr>
              <w:fldChar w:fldCharType="end"/>
            </w:r>
          </w:hyperlink>
        </w:p>
        <w:p w14:paraId="3E32ED62" w14:textId="0371F658"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89" w:history="1">
            <w:r w:rsidR="00C16F9D" w:rsidRPr="00884D51">
              <w:rPr>
                <w:rStyle w:val="Hyperlink"/>
                <w:noProof/>
              </w:rPr>
              <w:t>Appendix D: Supplementary information for indicators</w:t>
            </w:r>
            <w:r w:rsidR="00C16F9D">
              <w:rPr>
                <w:noProof/>
                <w:webHidden/>
              </w:rPr>
              <w:tab/>
            </w:r>
            <w:r w:rsidR="00C16F9D">
              <w:rPr>
                <w:noProof/>
                <w:webHidden/>
              </w:rPr>
              <w:fldChar w:fldCharType="begin"/>
            </w:r>
            <w:r w:rsidR="00C16F9D">
              <w:rPr>
                <w:noProof/>
                <w:webHidden/>
              </w:rPr>
              <w:instrText xml:space="preserve"> PAGEREF _Toc101963789 \h </w:instrText>
            </w:r>
            <w:r w:rsidR="00C16F9D">
              <w:rPr>
                <w:noProof/>
                <w:webHidden/>
              </w:rPr>
            </w:r>
            <w:r w:rsidR="00C16F9D">
              <w:rPr>
                <w:noProof/>
                <w:webHidden/>
              </w:rPr>
              <w:fldChar w:fldCharType="separate"/>
            </w:r>
            <w:r w:rsidR="00C16F9D">
              <w:rPr>
                <w:noProof/>
                <w:webHidden/>
              </w:rPr>
              <w:t>187</w:t>
            </w:r>
            <w:r w:rsidR="00C16F9D">
              <w:rPr>
                <w:noProof/>
                <w:webHidden/>
              </w:rPr>
              <w:fldChar w:fldCharType="end"/>
            </w:r>
          </w:hyperlink>
        </w:p>
        <w:p w14:paraId="42C99D6C" w14:textId="3DF939CC"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90" w:history="1">
            <w:r w:rsidR="00C16F9D" w:rsidRPr="00884D51">
              <w:rPr>
                <w:rStyle w:val="Hyperlink"/>
                <w:noProof/>
              </w:rPr>
              <w:t>Appendix E: Contingency monitoring: Seed bank assessment</w:t>
            </w:r>
            <w:r w:rsidR="00C16F9D">
              <w:rPr>
                <w:noProof/>
                <w:webHidden/>
              </w:rPr>
              <w:tab/>
            </w:r>
            <w:r w:rsidR="00C16F9D">
              <w:rPr>
                <w:noProof/>
                <w:webHidden/>
              </w:rPr>
              <w:fldChar w:fldCharType="begin"/>
            </w:r>
            <w:r w:rsidR="00C16F9D">
              <w:rPr>
                <w:noProof/>
                <w:webHidden/>
              </w:rPr>
              <w:instrText xml:space="preserve"> PAGEREF _Toc101963790 \h </w:instrText>
            </w:r>
            <w:r w:rsidR="00C16F9D">
              <w:rPr>
                <w:noProof/>
                <w:webHidden/>
              </w:rPr>
            </w:r>
            <w:r w:rsidR="00C16F9D">
              <w:rPr>
                <w:noProof/>
                <w:webHidden/>
              </w:rPr>
              <w:fldChar w:fldCharType="separate"/>
            </w:r>
            <w:r w:rsidR="00C16F9D">
              <w:rPr>
                <w:noProof/>
                <w:webHidden/>
              </w:rPr>
              <w:t>225</w:t>
            </w:r>
            <w:r w:rsidR="00C16F9D">
              <w:rPr>
                <w:noProof/>
                <w:webHidden/>
              </w:rPr>
              <w:fldChar w:fldCharType="end"/>
            </w:r>
          </w:hyperlink>
        </w:p>
        <w:p w14:paraId="4BA90363" w14:textId="6C83985F"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91" w:history="1">
            <w:r w:rsidR="00C16F9D" w:rsidRPr="00884D51">
              <w:rPr>
                <w:rStyle w:val="Hyperlink"/>
                <w:noProof/>
              </w:rPr>
              <w:t>Acronyms</w:t>
            </w:r>
            <w:r w:rsidR="00C16F9D">
              <w:rPr>
                <w:noProof/>
                <w:webHidden/>
              </w:rPr>
              <w:tab/>
            </w:r>
            <w:r w:rsidR="00C16F9D">
              <w:rPr>
                <w:noProof/>
                <w:webHidden/>
              </w:rPr>
              <w:fldChar w:fldCharType="begin"/>
            </w:r>
            <w:r w:rsidR="00C16F9D">
              <w:rPr>
                <w:noProof/>
                <w:webHidden/>
              </w:rPr>
              <w:instrText xml:space="preserve"> PAGEREF _Toc101963791 \h </w:instrText>
            </w:r>
            <w:r w:rsidR="00C16F9D">
              <w:rPr>
                <w:noProof/>
                <w:webHidden/>
              </w:rPr>
            </w:r>
            <w:r w:rsidR="00C16F9D">
              <w:rPr>
                <w:noProof/>
                <w:webHidden/>
              </w:rPr>
              <w:fldChar w:fldCharType="separate"/>
            </w:r>
            <w:r w:rsidR="00C16F9D">
              <w:rPr>
                <w:noProof/>
                <w:webHidden/>
              </w:rPr>
              <w:t>235</w:t>
            </w:r>
            <w:r w:rsidR="00C16F9D">
              <w:rPr>
                <w:noProof/>
                <w:webHidden/>
              </w:rPr>
              <w:fldChar w:fldCharType="end"/>
            </w:r>
          </w:hyperlink>
        </w:p>
        <w:p w14:paraId="2DF3CDEC" w14:textId="10D0FCEB" w:rsidR="00C16F9D" w:rsidRDefault="0070071B">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101963792" w:history="1">
            <w:r w:rsidR="00C16F9D" w:rsidRPr="00884D51">
              <w:rPr>
                <w:rStyle w:val="Hyperlink"/>
                <w:noProof/>
              </w:rPr>
              <w:t>Glossary</w:t>
            </w:r>
            <w:r w:rsidR="00C16F9D">
              <w:rPr>
                <w:noProof/>
                <w:webHidden/>
              </w:rPr>
              <w:tab/>
            </w:r>
            <w:r w:rsidR="00C16F9D">
              <w:rPr>
                <w:noProof/>
                <w:webHidden/>
              </w:rPr>
              <w:fldChar w:fldCharType="begin"/>
            </w:r>
            <w:r w:rsidR="00C16F9D">
              <w:rPr>
                <w:noProof/>
                <w:webHidden/>
              </w:rPr>
              <w:instrText xml:space="preserve"> PAGEREF _Toc101963792 \h </w:instrText>
            </w:r>
            <w:r w:rsidR="00C16F9D">
              <w:rPr>
                <w:noProof/>
                <w:webHidden/>
              </w:rPr>
            </w:r>
            <w:r w:rsidR="00C16F9D">
              <w:rPr>
                <w:noProof/>
                <w:webHidden/>
              </w:rPr>
              <w:fldChar w:fldCharType="separate"/>
            </w:r>
            <w:r w:rsidR="00C16F9D">
              <w:rPr>
                <w:noProof/>
                <w:webHidden/>
              </w:rPr>
              <w:t>236</w:t>
            </w:r>
            <w:r w:rsidR="00C16F9D">
              <w:rPr>
                <w:noProof/>
                <w:webHidden/>
              </w:rPr>
              <w:fldChar w:fldCharType="end"/>
            </w:r>
          </w:hyperlink>
        </w:p>
        <w:p w14:paraId="63ECBC03" w14:textId="7D2FB238" w:rsidR="005B0AA3" w:rsidRDefault="005B0AA3" w:rsidP="005B0AA3">
          <w:r>
            <w:rPr>
              <w:b/>
              <w:caps/>
              <w:highlight w:val="yellow"/>
            </w:rPr>
            <w:fldChar w:fldCharType="end"/>
          </w:r>
        </w:p>
      </w:sdtContent>
    </w:sdt>
    <w:p w14:paraId="6974230F" w14:textId="77777777" w:rsidR="005B0AA3" w:rsidRPr="00A67C76" w:rsidRDefault="005B0AA3" w:rsidP="005B0AA3">
      <w:pPr>
        <w:pStyle w:val="H1anotincinTOC"/>
        <w:outlineLvl w:val="0"/>
        <w:rPr>
          <w:color w:val="44546A" w:themeColor="text2"/>
        </w:rPr>
      </w:pPr>
      <w:bookmarkStart w:id="4" w:name="_Toc441838720"/>
      <w:bookmarkStart w:id="5" w:name="_Toc101963761"/>
      <w:r w:rsidRPr="00A67C76">
        <w:rPr>
          <w:color w:val="44546A" w:themeColor="text2"/>
        </w:rPr>
        <w:lastRenderedPageBreak/>
        <w:t>List of figures</w:t>
      </w:r>
      <w:bookmarkEnd w:id="4"/>
      <w:bookmarkEnd w:id="5"/>
    </w:p>
    <w:p w14:paraId="1C507292" w14:textId="08387C71" w:rsidR="00C16F9D" w:rsidRDefault="005B0AA3">
      <w:pPr>
        <w:pStyle w:val="TableofFigures"/>
        <w:rPr>
          <w:rFonts w:asciiTheme="minorHAnsi" w:eastAsiaTheme="minorEastAsia" w:hAnsiTheme="minorHAnsi" w:cstheme="minorBidi"/>
          <w:noProof/>
          <w:color w:val="auto"/>
          <w:sz w:val="22"/>
          <w:szCs w:val="22"/>
        </w:rPr>
      </w:pPr>
      <w:r>
        <w:rPr>
          <w:rStyle w:val="Hyperlink"/>
          <w:rFonts w:eastAsiaTheme="majorEastAsia"/>
          <w:noProof/>
          <w:color w:val="auto"/>
        </w:rPr>
        <w:fldChar w:fldCharType="begin"/>
      </w:r>
      <w:r>
        <w:rPr>
          <w:rStyle w:val="Hyperlink"/>
          <w:rFonts w:eastAsiaTheme="majorEastAsia"/>
          <w:noProof/>
          <w:color w:val="auto"/>
        </w:rPr>
        <w:instrText xml:space="preserve"> TOC \h \z \c "Figure" </w:instrText>
      </w:r>
      <w:r>
        <w:rPr>
          <w:rStyle w:val="Hyperlink"/>
          <w:rFonts w:eastAsiaTheme="majorEastAsia"/>
          <w:noProof/>
          <w:color w:val="auto"/>
        </w:rPr>
        <w:fldChar w:fldCharType="separate"/>
      </w:r>
      <w:hyperlink w:anchor="_Toc101963793" w:history="1">
        <w:r w:rsidR="00C16F9D" w:rsidRPr="006432DE">
          <w:rPr>
            <w:rStyle w:val="Hyperlink"/>
            <w:rFonts w:eastAsiaTheme="majorEastAsia"/>
            <w:noProof/>
          </w:rPr>
          <w:t>Figure 1. Map of the Lower Murray Selected Area showing the Lower Murray River floodplain (blue), gorge (green) and swamplands (orange) geomorphic zones, and the Lower Lakes and Coorong (yellow). Sampling sites are indicated by coloured circles (field monitoring) and triangles (modelling).</w:t>
        </w:r>
        <w:r w:rsidR="00C16F9D">
          <w:rPr>
            <w:noProof/>
            <w:webHidden/>
          </w:rPr>
          <w:tab/>
        </w:r>
        <w:r w:rsidR="00C16F9D">
          <w:rPr>
            <w:noProof/>
            <w:webHidden/>
          </w:rPr>
          <w:fldChar w:fldCharType="begin"/>
        </w:r>
        <w:r w:rsidR="00C16F9D">
          <w:rPr>
            <w:noProof/>
            <w:webHidden/>
          </w:rPr>
          <w:instrText xml:space="preserve"> PAGEREF _Toc101963793 \h </w:instrText>
        </w:r>
        <w:r w:rsidR="00C16F9D">
          <w:rPr>
            <w:noProof/>
            <w:webHidden/>
          </w:rPr>
        </w:r>
        <w:r w:rsidR="00C16F9D">
          <w:rPr>
            <w:noProof/>
            <w:webHidden/>
          </w:rPr>
          <w:fldChar w:fldCharType="separate"/>
        </w:r>
        <w:r w:rsidR="00C16F9D">
          <w:rPr>
            <w:noProof/>
            <w:webHidden/>
          </w:rPr>
          <w:t>7</w:t>
        </w:r>
        <w:r w:rsidR="00C16F9D">
          <w:rPr>
            <w:noProof/>
            <w:webHidden/>
          </w:rPr>
          <w:fldChar w:fldCharType="end"/>
        </w:r>
      </w:hyperlink>
    </w:p>
    <w:p w14:paraId="55480EA0" w14:textId="2FCF5C3C" w:rsidR="00C16F9D" w:rsidRDefault="0070071B">
      <w:pPr>
        <w:pStyle w:val="TableofFigures"/>
        <w:rPr>
          <w:rFonts w:asciiTheme="minorHAnsi" w:eastAsiaTheme="minorEastAsia" w:hAnsiTheme="minorHAnsi" w:cstheme="minorBidi"/>
          <w:noProof/>
          <w:color w:val="auto"/>
          <w:sz w:val="22"/>
          <w:szCs w:val="22"/>
        </w:rPr>
      </w:pPr>
      <w:hyperlink w:anchor="_Toc101963794" w:history="1">
        <w:r w:rsidR="00C16F9D" w:rsidRPr="006432DE">
          <w:rPr>
            <w:rStyle w:val="Hyperlink"/>
            <w:rFonts w:eastAsiaTheme="majorEastAsia"/>
            <w:noProof/>
          </w:rPr>
          <w:t>Figure 2. The various flow types of the Lower Murray River as described in the Murray–Darling Basin Plan (MDBA 2011). This diagram represents an idealised, unconstrained river reach.</w:t>
        </w:r>
        <w:r w:rsidR="00C16F9D">
          <w:rPr>
            <w:noProof/>
            <w:webHidden/>
          </w:rPr>
          <w:tab/>
        </w:r>
        <w:r w:rsidR="00C16F9D">
          <w:rPr>
            <w:noProof/>
            <w:webHidden/>
          </w:rPr>
          <w:fldChar w:fldCharType="begin"/>
        </w:r>
        <w:r w:rsidR="00C16F9D">
          <w:rPr>
            <w:noProof/>
            <w:webHidden/>
          </w:rPr>
          <w:instrText xml:space="preserve"> PAGEREF _Toc101963794 \h </w:instrText>
        </w:r>
        <w:r w:rsidR="00C16F9D">
          <w:rPr>
            <w:noProof/>
            <w:webHidden/>
          </w:rPr>
        </w:r>
        <w:r w:rsidR="00C16F9D">
          <w:rPr>
            <w:noProof/>
            <w:webHidden/>
          </w:rPr>
          <w:fldChar w:fldCharType="separate"/>
        </w:r>
        <w:r w:rsidR="00C16F9D">
          <w:rPr>
            <w:noProof/>
            <w:webHidden/>
          </w:rPr>
          <w:t>8</w:t>
        </w:r>
        <w:r w:rsidR="00C16F9D">
          <w:rPr>
            <w:noProof/>
            <w:webHidden/>
          </w:rPr>
          <w:fldChar w:fldCharType="end"/>
        </w:r>
      </w:hyperlink>
    </w:p>
    <w:p w14:paraId="4865E3D2" w14:textId="28D23F36" w:rsidR="00C16F9D" w:rsidRDefault="0070071B">
      <w:pPr>
        <w:pStyle w:val="TableofFigures"/>
        <w:rPr>
          <w:rFonts w:asciiTheme="minorHAnsi" w:eastAsiaTheme="minorEastAsia" w:hAnsiTheme="minorHAnsi" w:cstheme="minorBidi"/>
          <w:noProof/>
          <w:color w:val="auto"/>
          <w:sz w:val="22"/>
          <w:szCs w:val="22"/>
        </w:rPr>
      </w:pPr>
      <w:hyperlink w:anchor="_Toc101963795" w:history="1">
        <w:r w:rsidR="00C16F9D" w:rsidRPr="006432DE">
          <w:rPr>
            <w:rStyle w:val="Hyperlink"/>
            <w:rFonts w:eastAsiaTheme="majorEastAsia"/>
            <w:noProof/>
          </w:rPr>
          <w:t xml:space="preserve">Figure 3. </w:t>
        </w:r>
        <w:r w:rsidR="00C16F9D" w:rsidRPr="006432DE">
          <w:rPr>
            <w:rStyle w:val="Hyperlink"/>
            <w:rFonts w:eastAsiaTheme="majorEastAsia"/>
            <w:noProof/>
            <w:kern w:val="24"/>
            <w:lang w:val="en-US"/>
          </w:rPr>
          <w:t>Cause and effect diagram of flow for the main channel of the Lower Murray with respect to the proposed indicators. Magnitude, timing and duration are factors of flow (in black). Yellow indicators followed standard protocols to support quantitative Basin-wide and Selected Area evaluation, where applicable. Purple indicators were developed to address objectives and test Selected Area-specific hypotheses with respect to biological/ecological response to environmental flows.</w:t>
        </w:r>
        <w:r w:rsidR="00C16F9D">
          <w:rPr>
            <w:noProof/>
            <w:webHidden/>
          </w:rPr>
          <w:tab/>
        </w:r>
        <w:r w:rsidR="00C16F9D">
          <w:rPr>
            <w:noProof/>
            <w:webHidden/>
          </w:rPr>
          <w:fldChar w:fldCharType="begin"/>
        </w:r>
        <w:r w:rsidR="00C16F9D">
          <w:rPr>
            <w:noProof/>
            <w:webHidden/>
          </w:rPr>
          <w:instrText xml:space="preserve"> PAGEREF _Toc101963795 \h </w:instrText>
        </w:r>
        <w:r w:rsidR="00C16F9D">
          <w:rPr>
            <w:noProof/>
            <w:webHidden/>
          </w:rPr>
        </w:r>
        <w:r w:rsidR="00C16F9D">
          <w:rPr>
            <w:noProof/>
            <w:webHidden/>
          </w:rPr>
          <w:fldChar w:fldCharType="separate"/>
        </w:r>
        <w:r w:rsidR="00C16F9D">
          <w:rPr>
            <w:noProof/>
            <w:webHidden/>
          </w:rPr>
          <w:t>9</w:t>
        </w:r>
        <w:r w:rsidR="00C16F9D">
          <w:rPr>
            <w:noProof/>
            <w:webHidden/>
          </w:rPr>
          <w:fldChar w:fldCharType="end"/>
        </w:r>
      </w:hyperlink>
    </w:p>
    <w:p w14:paraId="07E1C503" w14:textId="231D93EA" w:rsidR="00C16F9D" w:rsidRDefault="0070071B">
      <w:pPr>
        <w:pStyle w:val="TableofFigures"/>
        <w:rPr>
          <w:rFonts w:asciiTheme="minorHAnsi" w:eastAsiaTheme="minorEastAsia" w:hAnsiTheme="minorHAnsi" w:cstheme="minorBidi"/>
          <w:noProof/>
          <w:color w:val="auto"/>
          <w:sz w:val="22"/>
          <w:szCs w:val="22"/>
        </w:rPr>
      </w:pPr>
      <w:hyperlink w:anchor="_Toc101963796" w:history="1">
        <w:r w:rsidR="00C16F9D" w:rsidRPr="006432DE">
          <w:rPr>
            <w:rStyle w:val="Hyperlink"/>
            <w:rFonts w:eastAsiaTheme="majorEastAsia"/>
            <w:noProof/>
          </w:rPr>
          <w:t>Figure 4. Daily flow (ML/d) in the Lower Murray River (LMR) at the South Australian border (blue solid line) from January 1996 to July 2021, compared to modelled flow under natural conditions (grey dashed line). Approximate bankfull flow in the main channel of the LMR is shown (black dashed line).</w:t>
        </w:r>
        <w:r w:rsidR="00C16F9D">
          <w:rPr>
            <w:noProof/>
            <w:webHidden/>
          </w:rPr>
          <w:tab/>
        </w:r>
        <w:r w:rsidR="00C16F9D">
          <w:rPr>
            <w:noProof/>
            <w:webHidden/>
          </w:rPr>
          <w:fldChar w:fldCharType="begin"/>
        </w:r>
        <w:r w:rsidR="00C16F9D">
          <w:rPr>
            <w:noProof/>
            <w:webHidden/>
          </w:rPr>
          <w:instrText xml:space="preserve"> PAGEREF _Toc101963796 \h </w:instrText>
        </w:r>
        <w:r w:rsidR="00C16F9D">
          <w:rPr>
            <w:noProof/>
            <w:webHidden/>
          </w:rPr>
        </w:r>
        <w:r w:rsidR="00C16F9D">
          <w:rPr>
            <w:noProof/>
            <w:webHidden/>
          </w:rPr>
          <w:fldChar w:fldCharType="separate"/>
        </w:r>
        <w:r w:rsidR="00C16F9D">
          <w:rPr>
            <w:noProof/>
            <w:webHidden/>
          </w:rPr>
          <w:t>10</w:t>
        </w:r>
        <w:r w:rsidR="00C16F9D">
          <w:rPr>
            <w:noProof/>
            <w:webHidden/>
          </w:rPr>
          <w:fldChar w:fldCharType="end"/>
        </w:r>
      </w:hyperlink>
    </w:p>
    <w:p w14:paraId="7B4FAFC5" w14:textId="35FC6EA0" w:rsidR="00C16F9D" w:rsidRDefault="0070071B">
      <w:pPr>
        <w:pStyle w:val="TableofFigures"/>
        <w:rPr>
          <w:rFonts w:asciiTheme="minorHAnsi" w:eastAsiaTheme="minorEastAsia" w:hAnsiTheme="minorHAnsi" w:cstheme="minorBidi"/>
          <w:noProof/>
          <w:color w:val="auto"/>
          <w:sz w:val="22"/>
          <w:szCs w:val="22"/>
        </w:rPr>
      </w:pPr>
      <w:hyperlink w:anchor="_Toc101963797" w:history="1">
        <w:r w:rsidR="00C16F9D" w:rsidRPr="006432DE">
          <w:rPr>
            <w:rStyle w:val="Hyperlink"/>
            <w:rFonts w:eastAsiaTheme="majorEastAsia"/>
            <w:noProof/>
          </w:rPr>
          <w:t>Figure 5. Flow to South Australia from July 2020 to June 2021 showing the (a) contribution of environmental water (eWater) and (b) source of all (environmental and consumptive) water (MDBA). CEW = Commonwealth environmental water. Modelled flow under natural conditions is shown by the dotted black line. ‘Bigmod salinity routines’ was used as a proxy for transport of biological matter, to estimate the proportion of the flow that originated at different upstream tributaries.</w:t>
        </w:r>
        <w:r w:rsidR="00C16F9D">
          <w:rPr>
            <w:noProof/>
            <w:webHidden/>
          </w:rPr>
          <w:tab/>
        </w:r>
        <w:r w:rsidR="00C16F9D">
          <w:rPr>
            <w:noProof/>
            <w:webHidden/>
          </w:rPr>
          <w:fldChar w:fldCharType="begin"/>
        </w:r>
        <w:r w:rsidR="00C16F9D">
          <w:rPr>
            <w:noProof/>
            <w:webHidden/>
          </w:rPr>
          <w:instrText xml:space="preserve"> PAGEREF _Toc101963797 \h </w:instrText>
        </w:r>
        <w:r w:rsidR="00C16F9D">
          <w:rPr>
            <w:noProof/>
            <w:webHidden/>
          </w:rPr>
        </w:r>
        <w:r w:rsidR="00C16F9D">
          <w:rPr>
            <w:noProof/>
            <w:webHidden/>
          </w:rPr>
          <w:fldChar w:fldCharType="separate"/>
        </w:r>
        <w:r w:rsidR="00C16F9D">
          <w:rPr>
            <w:noProof/>
            <w:webHidden/>
          </w:rPr>
          <w:t>12</w:t>
        </w:r>
        <w:r w:rsidR="00C16F9D">
          <w:rPr>
            <w:noProof/>
            <w:webHidden/>
          </w:rPr>
          <w:fldChar w:fldCharType="end"/>
        </w:r>
      </w:hyperlink>
    </w:p>
    <w:p w14:paraId="3B1714CC" w14:textId="153D89E2" w:rsidR="00C16F9D" w:rsidRDefault="0070071B">
      <w:pPr>
        <w:pStyle w:val="TableofFigures"/>
        <w:rPr>
          <w:rFonts w:asciiTheme="minorHAnsi" w:eastAsiaTheme="minorEastAsia" w:hAnsiTheme="minorHAnsi" w:cstheme="minorBidi"/>
          <w:noProof/>
          <w:color w:val="auto"/>
          <w:sz w:val="22"/>
          <w:szCs w:val="22"/>
        </w:rPr>
      </w:pPr>
      <w:hyperlink w:anchor="_Toc101963798" w:history="1">
        <w:r w:rsidR="00C16F9D" w:rsidRPr="006432DE">
          <w:rPr>
            <w:rStyle w:val="Hyperlink"/>
            <w:rFonts w:eastAsiaTheme="majorEastAsia"/>
            <w:noProof/>
          </w:rPr>
          <w:t>Figure 6. Discharge (flow to South Australia), surface area between Wellington and Lock 6,  and length of river with faster flowing velocities (v&gt;0.2 m/s and v&gt;0.3 m/s) for the Lower Murray River (LMR) between Locks 1 &amp; 6 (excluding anabranches). Total length of river assessed for the length of river metrics in the LMR = 345 km.</w:t>
        </w:r>
        <w:r w:rsidR="00C16F9D">
          <w:rPr>
            <w:noProof/>
            <w:webHidden/>
          </w:rPr>
          <w:tab/>
        </w:r>
        <w:r w:rsidR="00C16F9D">
          <w:rPr>
            <w:noProof/>
            <w:webHidden/>
          </w:rPr>
          <w:fldChar w:fldCharType="begin"/>
        </w:r>
        <w:r w:rsidR="00C16F9D">
          <w:rPr>
            <w:noProof/>
            <w:webHidden/>
          </w:rPr>
          <w:instrText xml:space="preserve"> PAGEREF _Toc101963798 \h </w:instrText>
        </w:r>
        <w:r w:rsidR="00C16F9D">
          <w:rPr>
            <w:noProof/>
            <w:webHidden/>
          </w:rPr>
        </w:r>
        <w:r w:rsidR="00C16F9D">
          <w:rPr>
            <w:noProof/>
            <w:webHidden/>
          </w:rPr>
          <w:fldChar w:fldCharType="separate"/>
        </w:r>
        <w:r w:rsidR="00C16F9D">
          <w:rPr>
            <w:noProof/>
            <w:webHidden/>
          </w:rPr>
          <w:t>18</w:t>
        </w:r>
        <w:r w:rsidR="00C16F9D">
          <w:rPr>
            <w:noProof/>
            <w:webHidden/>
          </w:rPr>
          <w:fldChar w:fldCharType="end"/>
        </w:r>
      </w:hyperlink>
    </w:p>
    <w:p w14:paraId="7F85B63D" w14:textId="0C7CBA57" w:rsidR="00C16F9D" w:rsidRDefault="0070071B">
      <w:pPr>
        <w:pStyle w:val="TableofFigures"/>
        <w:rPr>
          <w:rFonts w:asciiTheme="minorHAnsi" w:eastAsiaTheme="minorEastAsia" w:hAnsiTheme="minorHAnsi" w:cstheme="minorBidi"/>
          <w:noProof/>
          <w:color w:val="auto"/>
          <w:sz w:val="22"/>
          <w:szCs w:val="22"/>
        </w:rPr>
      </w:pPr>
      <w:hyperlink w:anchor="_Toc101963799" w:history="1">
        <w:r w:rsidR="00C16F9D" w:rsidRPr="006432DE">
          <w:rPr>
            <w:rStyle w:val="Hyperlink"/>
            <w:rFonts w:eastAsiaTheme="majorEastAsia"/>
            <w:noProof/>
          </w:rPr>
          <w:t xml:space="preserve">Figure 7. Median modelled velocity in each weir pool (line), with the range in velocities </w:t>
        </w:r>
        <w:r w:rsidR="00C16F9D" w:rsidRPr="006432DE">
          <w:rPr>
            <w:rStyle w:val="Hyperlink"/>
            <w:noProof/>
            <w:kern w:val="28"/>
          </w:rPr>
          <w:t>within the weir pool (the shaded</w:t>
        </w:r>
        <w:r w:rsidR="00C16F9D" w:rsidRPr="006432DE">
          <w:rPr>
            <w:rStyle w:val="Hyperlink"/>
            <w:rFonts w:eastAsiaTheme="minorHAnsi" w:cs="CenturyGothic"/>
            <w:noProof/>
          </w:rPr>
          <w:t xml:space="preserve"> area</w:t>
        </w:r>
        <w:r w:rsidR="00C16F9D" w:rsidRPr="006432DE">
          <w:rPr>
            <w:rStyle w:val="Hyperlink"/>
            <w:rFonts w:ascii="CenturyGothic" w:eastAsiaTheme="minorHAnsi" w:hAnsi="CenturyGothic" w:cs="CenturyGothic"/>
            <w:noProof/>
          </w:rPr>
          <w:t>)</w:t>
        </w:r>
        <w:r w:rsidR="00C16F9D" w:rsidRPr="006432DE">
          <w:rPr>
            <w:rStyle w:val="Hyperlink"/>
            <w:noProof/>
            <w:kern w:val="28"/>
          </w:rPr>
          <w:t>, defined by the 10</w:t>
        </w:r>
        <w:r w:rsidR="00C16F9D" w:rsidRPr="006432DE">
          <w:rPr>
            <w:rStyle w:val="Hyperlink"/>
            <w:noProof/>
            <w:kern w:val="28"/>
            <w:vertAlign w:val="superscript"/>
          </w:rPr>
          <w:t>th</w:t>
        </w:r>
        <w:r w:rsidR="00C16F9D" w:rsidRPr="006432DE">
          <w:rPr>
            <w:rStyle w:val="Hyperlink"/>
            <w:noProof/>
            <w:kern w:val="28"/>
          </w:rPr>
          <w:t xml:space="preserve"> and 90</w:t>
        </w:r>
        <w:r w:rsidR="00C16F9D" w:rsidRPr="006432DE">
          <w:rPr>
            <w:rStyle w:val="Hyperlink"/>
            <w:noProof/>
            <w:kern w:val="28"/>
            <w:vertAlign w:val="superscript"/>
          </w:rPr>
          <w:t>th</w:t>
        </w:r>
        <w:r w:rsidR="00C16F9D" w:rsidRPr="006432DE">
          <w:rPr>
            <w:rStyle w:val="Hyperlink"/>
            <w:noProof/>
            <w:kern w:val="28"/>
          </w:rPr>
          <w:t xml:space="preserve"> percentiles, in the Lower Murray River.</w:t>
        </w:r>
        <w:r w:rsidR="00C16F9D">
          <w:rPr>
            <w:noProof/>
            <w:webHidden/>
          </w:rPr>
          <w:tab/>
        </w:r>
        <w:r w:rsidR="00C16F9D">
          <w:rPr>
            <w:noProof/>
            <w:webHidden/>
          </w:rPr>
          <w:fldChar w:fldCharType="begin"/>
        </w:r>
        <w:r w:rsidR="00C16F9D">
          <w:rPr>
            <w:noProof/>
            <w:webHidden/>
          </w:rPr>
          <w:instrText xml:space="preserve"> PAGEREF _Toc101963799 \h </w:instrText>
        </w:r>
        <w:r w:rsidR="00C16F9D">
          <w:rPr>
            <w:noProof/>
            <w:webHidden/>
          </w:rPr>
        </w:r>
        <w:r w:rsidR="00C16F9D">
          <w:rPr>
            <w:noProof/>
            <w:webHidden/>
          </w:rPr>
          <w:fldChar w:fldCharType="separate"/>
        </w:r>
        <w:r w:rsidR="00C16F9D">
          <w:rPr>
            <w:noProof/>
            <w:webHidden/>
          </w:rPr>
          <w:t>19</w:t>
        </w:r>
        <w:r w:rsidR="00C16F9D">
          <w:rPr>
            <w:noProof/>
            <w:webHidden/>
          </w:rPr>
          <w:fldChar w:fldCharType="end"/>
        </w:r>
      </w:hyperlink>
    </w:p>
    <w:p w14:paraId="47AD4416" w14:textId="63ED0491" w:rsidR="00C16F9D" w:rsidRDefault="0070071B">
      <w:pPr>
        <w:pStyle w:val="TableofFigures"/>
        <w:rPr>
          <w:rFonts w:asciiTheme="minorHAnsi" w:eastAsiaTheme="minorEastAsia" w:hAnsiTheme="minorHAnsi" w:cstheme="minorBidi"/>
          <w:noProof/>
          <w:color w:val="auto"/>
          <w:sz w:val="22"/>
          <w:szCs w:val="22"/>
        </w:rPr>
      </w:pPr>
      <w:hyperlink w:anchor="_Toc101963800" w:history="1">
        <w:r w:rsidR="00C16F9D" w:rsidRPr="006432DE">
          <w:rPr>
            <w:rStyle w:val="Hyperlink"/>
            <w:rFonts w:eastAsiaTheme="majorEastAsia"/>
            <w:noProof/>
          </w:rPr>
          <w:t>Figure 8. Modelled water level at the downstream end (i.e. above the Lock and Weir 1 for Weir Pool 1, and at Wellington for below Lock 1) of each weir pool in the Lower Murray River.</w:t>
        </w:r>
        <w:r w:rsidR="00C16F9D">
          <w:rPr>
            <w:noProof/>
            <w:webHidden/>
          </w:rPr>
          <w:tab/>
        </w:r>
        <w:r w:rsidR="00C16F9D">
          <w:rPr>
            <w:noProof/>
            <w:webHidden/>
          </w:rPr>
          <w:fldChar w:fldCharType="begin"/>
        </w:r>
        <w:r w:rsidR="00C16F9D">
          <w:rPr>
            <w:noProof/>
            <w:webHidden/>
          </w:rPr>
          <w:instrText xml:space="preserve"> PAGEREF _Toc101963800 \h </w:instrText>
        </w:r>
        <w:r w:rsidR="00C16F9D">
          <w:rPr>
            <w:noProof/>
            <w:webHidden/>
          </w:rPr>
        </w:r>
        <w:r w:rsidR="00C16F9D">
          <w:rPr>
            <w:noProof/>
            <w:webHidden/>
          </w:rPr>
          <w:fldChar w:fldCharType="separate"/>
        </w:r>
        <w:r w:rsidR="00C16F9D">
          <w:rPr>
            <w:noProof/>
            <w:webHidden/>
          </w:rPr>
          <w:t>20</w:t>
        </w:r>
        <w:r w:rsidR="00C16F9D">
          <w:rPr>
            <w:noProof/>
            <w:webHidden/>
          </w:rPr>
          <w:fldChar w:fldCharType="end"/>
        </w:r>
      </w:hyperlink>
    </w:p>
    <w:p w14:paraId="5D19D8A2" w14:textId="60B8D5D9" w:rsidR="00C16F9D" w:rsidRDefault="0070071B">
      <w:pPr>
        <w:pStyle w:val="TableofFigures"/>
        <w:rPr>
          <w:rFonts w:asciiTheme="minorHAnsi" w:eastAsiaTheme="minorEastAsia" w:hAnsiTheme="minorHAnsi" w:cstheme="minorBidi"/>
          <w:noProof/>
          <w:color w:val="auto"/>
          <w:sz w:val="22"/>
          <w:szCs w:val="22"/>
        </w:rPr>
      </w:pPr>
      <w:hyperlink w:anchor="_Toc101963801" w:history="1">
        <w:r w:rsidR="00C16F9D" w:rsidRPr="006432DE">
          <w:rPr>
            <w:rStyle w:val="Hyperlink"/>
            <w:rFonts w:eastAsiaTheme="majorEastAsia"/>
            <w:noProof/>
          </w:rPr>
          <w:t>Figure 9. Modelled water level at the upstream end of each weir pool (i.e. downstream of Lock 2 for Weir Pool 1) in the Lower Murray River. The subplot for each Weir Pool has a y axis range of 3 m.</w:t>
        </w:r>
        <w:r w:rsidR="00C16F9D">
          <w:rPr>
            <w:noProof/>
            <w:webHidden/>
          </w:rPr>
          <w:tab/>
        </w:r>
        <w:r w:rsidR="00C16F9D">
          <w:rPr>
            <w:noProof/>
            <w:webHidden/>
          </w:rPr>
          <w:fldChar w:fldCharType="begin"/>
        </w:r>
        <w:r w:rsidR="00C16F9D">
          <w:rPr>
            <w:noProof/>
            <w:webHidden/>
          </w:rPr>
          <w:instrText xml:space="preserve"> PAGEREF _Toc101963801 \h </w:instrText>
        </w:r>
        <w:r w:rsidR="00C16F9D">
          <w:rPr>
            <w:noProof/>
            <w:webHidden/>
          </w:rPr>
        </w:r>
        <w:r w:rsidR="00C16F9D">
          <w:rPr>
            <w:noProof/>
            <w:webHidden/>
          </w:rPr>
          <w:fldChar w:fldCharType="separate"/>
        </w:r>
        <w:r w:rsidR="00C16F9D">
          <w:rPr>
            <w:noProof/>
            <w:webHidden/>
          </w:rPr>
          <w:t>21</w:t>
        </w:r>
        <w:r w:rsidR="00C16F9D">
          <w:rPr>
            <w:noProof/>
            <w:webHidden/>
          </w:rPr>
          <w:fldChar w:fldCharType="end"/>
        </w:r>
      </w:hyperlink>
    </w:p>
    <w:p w14:paraId="4398941F" w14:textId="2CC767D0" w:rsidR="00C16F9D" w:rsidRDefault="0070071B">
      <w:pPr>
        <w:pStyle w:val="TableofFigures"/>
        <w:rPr>
          <w:rFonts w:asciiTheme="minorHAnsi" w:eastAsiaTheme="minorEastAsia" w:hAnsiTheme="minorHAnsi" w:cstheme="minorBidi"/>
          <w:noProof/>
          <w:color w:val="auto"/>
          <w:sz w:val="22"/>
          <w:szCs w:val="22"/>
        </w:rPr>
      </w:pPr>
      <w:hyperlink w:anchor="_Toc101963802" w:history="1">
        <w:r w:rsidR="00C16F9D" w:rsidRPr="006432DE">
          <w:rPr>
            <w:rStyle w:val="Hyperlink"/>
            <w:rFonts w:eastAsiaTheme="majorEastAsia"/>
            <w:noProof/>
          </w:rPr>
          <w:t>Figure 10. Flow to South Australia over the past seven years, where events of similar magnitude and duration have occurred in four of the seven years. The high flow year of 2016-17 peaked at 94,350 ML/d.</w:t>
        </w:r>
        <w:r w:rsidR="00C16F9D">
          <w:rPr>
            <w:noProof/>
            <w:webHidden/>
          </w:rPr>
          <w:tab/>
        </w:r>
        <w:r w:rsidR="00C16F9D">
          <w:rPr>
            <w:noProof/>
            <w:webHidden/>
          </w:rPr>
          <w:fldChar w:fldCharType="begin"/>
        </w:r>
        <w:r w:rsidR="00C16F9D">
          <w:rPr>
            <w:noProof/>
            <w:webHidden/>
          </w:rPr>
          <w:instrText xml:space="preserve"> PAGEREF _Toc101963802 \h </w:instrText>
        </w:r>
        <w:r w:rsidR="00C16F9D">
          <w:rPr>
            <w:noProof/>
            <w:webHidden/>
          </w:rPr>
        </w:r>
        <w:r w:rsidR="00C16F9D">
          <w:rPr>
            <w:noProof/>
            <w:webHidden/>
          </w:rPr>
          <w:fldChar w:fldCharType="separate"/>
        </w:r>
        <w:r w:rsidR="00C16F9D">
          <w:rPr>
            <w:noProof/>
            <w:webHidden/>
          </w:rPr>
          <w:t>25</w:t>
        </w:r>
        <w:r w:rsidR="00C16F9D">
          <w:rPr>
            <w:noProof/>
            <w:webHidden/>
          </w:rPr>
          <w:fldChar w:fldCharType="end"/>
        </w:r>
      </w:hyperlink>
    </w:p>
    <w:p w14:paraId="4F7737DC" w14:textId="4514DFC9" w:rsidR="00C16F9D" w:rsidRDefault="0070071B">
      <w:pPr>
        <w:pStyle w:val="TableofFigures"/>
        <w:rPr>
          <w:rFonts w:asciiTheme="minorHAnsi" w:eastAsiaTheme="minorEastAsia" w:hAnsiTheme="minorHAnsi" w:cstheme="minorBidi"/>
          <w:noProof/>
          <w:color w:val="auto"/>
          <w:sz w:val="22"/>
          <w:szCs w:val="22"/>
        </w:rPr>
      </w:pPr>
      <w:hyperlink w:anchor="_Toc101963803" w:history="1">
        <w:r w:rsidR="00C16F9D" w:rsidRPr="006432DE">
          <w:rPr>
            <w:rStyle w:val="Hyperlink"/>
            <w:rFonts w:eastAsiaTheme="majorEastAsia"/>
            <w:noProof/>
          </w:rPr>
          <w:t>Figure 11. Source of flow at the South Australian border, coordinated water delivery with Murrumbidgee River (Balranald) providing base flow and peaks from upper Murray (Yarrawonga) and Goulburn Rivers (McCoy’s Bridge) reaching the South Australian border to create the peak at 17,926 ML/d. Yarrawonga was at capacity from 16 Oct to 13 Nov (15,000 ML/d), and the Goulburn also reaching capacity at McCoy’s bridge (9,000 ML/d) during a short peak around 15 Oct, arriving at the South Australian border over a month later. Lake Victoria commenced releases at outlet capacity (approximately 8500 ML/d) on Nov 26, the day of the peak flow.</w:t>
        </w:r>
        <w:r w:rsidR="00C16F9D">
          <w:rPr>
            <w:noProof/>
            <w:webHidden/>
          </w:rPr>
          <w:tab/>
        </w:r>
        <w:r w:rsidR="00C16F9D">
          <w:rPr>
            <w:noProof/>
            <w:webHidden/>
          </w:rPr>
          <w:fldChar w:fldCharType="begin"/>
        </w:r>
        <w:r w:rsidR="00C16F9D">
          <w:rPr>
            <w:noProof/>
            <w:webHidden/>
          </w:rPr>
          <w:instrText xml:space="preserve"> PAGEREF _Toc101963803 \h </w:instrText>
        </w:r>
        <w:r w:rsidR="00C16F9D">
          <w:rPr>
            <w:noProof/>
            <w:webHidden/>
          </w:rPr>
        </w:r>
        <w:r w:rsidR="00C16F9D">
          <w:rPr>
            <w:noProof/>
            <w:webHidden/>
          </w:rPr>
          <w:fldChar w:fldCharType="separate"/>
        </w:r>
        <w:r w:rsidR="00C16F9D">
          <w:rPr>
            <w:noProof/>
            <w:webHidden/>
          </w:rPr>
          <w:t>26</w:t>
        </w:r>
        <w:r w:rsidR="00C16F9D">
          <w:rPr>
            <w:noProof/>
            <w:webHidden/>
          </w:rPr>
          <w:fldChar w:fldCharType="end"/>
        </w:r>
      </w:hyperlink>
    </w:p>
    <w:p w14:paraId="2BA6E185" w14:textId="36F0A53E" w:rsidR="00C16F9D" w:rsidRDefault="0070071B">
      <w:pPr>
        <w:pStyle w:val="TableofFigures"/>
        <w:rPr>
          <w:rFonts w:asciiTheme="minorHAnsi" w:eastAsiaTheme="minorEastAsia" w:hAnsiTheme="minorHAnsi" w:cstheme="minorBidi"/>
          <w:noProof/>
          <w:color w:val="auto"/>
          <w:sz w:val="22"/>
          <w:szCs w:val="22"/>
        </w:rPr>
      </w:pPr>
      <w:hyperlink w:anchor="_Toc101963804" w:history="1">
        <w:r w:rsidR="00C16F9D" w:rsidRPr="006432DE">
          <w:rPr>
            <w:rStyle w:val="Hyperlink"/>
            <w:rFonts w:eastAsiaTheme="majorEastAsia"/>
            <w:noProof/>
          </w:rPr>
          <w:t>Figure 12. Length of river with velocities greater than 0.2 m/s (top) and 0.3 m/s (bottom) for scenarios that represent planned operations in 2020, a scenario that removed weir pool raising at Locks 4 and 5, and instead lowered Weir Pools 1–5 (0.1 m WPL), a scenario with full weir removal at Locks 1 – 5 (No Locks), and the actual conditions. The dashed vertical lines indicate the period with weir pools operations (raising or lowerings).</w:t>
        </w:r>
        <w:r w:rsidR="00C16F9D">
          <w:rPr>
            <w:noProof/>
            <w:webHidden/>
          </w:rPr>
          <w:tab/>
        </w:r>
        <w:r w:rsidR="00C16F9D">
          <w:rPr>
            <w:noProof/>
            <w:webHidden/>
          </w:rPr>
          <w:fldChar w:fldCharType="begin"/>
        </w:r>
        <w:r w:rsidR="00C16F9D">
          <w:rPr>
            <w:noProof/>
            <w:webHidden/>
          </w:rPr>
          <w:instrText xml:space="preserve"> PAGEREF _Toc101963804 \h </w:instrText>
        </w:r>
        <w:r w:rsidR="00C16F9D">
          <w:rPr>
            <w:noProof/>
            <w:webHidden/>
          </w:rPr>
        </w:r>
        <w:r w:rsidR="00C16F9D">
          <w:rPr>
            <w:noProof/>
            <w:webHidden/>
          </w:rPr>
          <w:fldChar w:fldCharType="separate"/>
        </w:r>
        <w:r w:rsidR="00C16F9D">
          <w:rPr>
            <w:noProof/>
            <w:webHidden/>
          </w:rPr>
          <w:t>28</w:t>
        </w:r>
        <w:r w:rsidR="00C16F9D">
          <w:rPr>
            <w:noProof/>
            <w:webHidden/>
          </w:rPr>
          <w:fldChar w:fldCharType="end"/>
        </w:r>
      </w:hyperlink>
    </w:p>
    <w:p w14:paraId="3C2662B0" w14:textId="04E0E895" w:rsidR="00C16F9D" w:rsidRDefault="0070071B">
      <w:pPr>
        <w:pStyle w:val="TableofFigures"/>
        <w:rPr>
          <w:rFonts w:asciiTheme="minorHAnsi" w:eastAsiaTheme="minorEastAsia" w:hAnsiTheme="minorHAnsi" w:cstheme="minorBidi"/>
          <w:noProof/>
          <w:color w:val="auto"/>
          <w:sz w:val="22"/>
          <w:szCs w:val="22"/>
        </w:rPr>
      </w:pPr>
      <w:hyperlink w:anchor="_Toc101963805" w:history="1">
        <w:r w:rsidR="00C16F9D" w:rsidRPr="006432DE">
          <w:rPr>
            <w:rStyle w:val="Hyperlink"/>
            <w:rFonts w:eastAsiaTheme="majorEastAsia"/>
            <w:noProof/>
          </w:rPr>
          <w:t>Figure 13. Dissolved (●) and saturated (●) oxygen concentrations, temperature (●), the daily discharge observed (●), and the daily discharge modelled without CEW (●) and modelled without environmental water (●) at monitoring sites downstream(ds) of Locks (Lk) 6, 4 and 1.</w:t>
        </w:r>
        <w:r w:rsidR="00C16F9D">
          <w:rPr>
            <w:noProof/>
            <w:webHidden/>
          </w:rPr>
          <w:tab/>
        </w:r>
        <w:r w:rsidR="00C16F9D">
          <w:rPr>
            <w:noProof/>
            <w:webHidden/>
          </w:rPr>
          <w:fldChar w:fldCharType="begin"/>
        </w:r>
        <w:r w:rsidR="00C16F9D">
          <w:rPr>
            <w:noProof/>
            <w:webHidden/>
          </w:rPr>
          <w:instrText xml:space="preserve"> PAGEREF _Toc101963805 \h </w:instrText>
        </w:r>
        <w:r w:rsidR="00C16F9D">
          <w:rPr>
            <w:noProof/>
            <w:webHidden/>
          </w:rPr>
        </w:r>
        <w:r w:rsidR="00C16F9D">
          <w:rPr>
            <w:noProof/>
            <w:webHidden/>
          </w:rPr>
          <w:fldChar w:fldCharType="separate"/>
        </w:r>
        <w:r w:rsidR="00C16F9D">
          <w:rPr>
            <w:noProof/>
            <w:webHidden/>
          </w:rPr>
          <w:t>33</w:t>
        </w:r>
        <w:r w:rsidR="00C16F9D">
          <w:rPr>
            <w:noProof/>
            <w:webHidden/>
          </w:rPr>
          <w:fldChar w:fldCharType="end"/>
        </w:r>
      </w:hyperlink>
    </w:p>
    <w:p w14:paraId="27A4DCB2" w14:textId="2EC7EA0E" w:rsidR="00C16F9D" w:rsidRDefault="0070071B">
      <w:pPr>
        <w:pStyle w:val="TableofFigures"/>
        <w:rPr>
          <w:rFonts w:asciiTheme="minorHAnsi" w:eastAsiaTheme="minorEastAsia" w:hAnsiTheme="minorHAnsi" w:cstheme="minorBidi"/>
          <w:noProof/>
          <w:color w:val="auto"/>
          <w:sz w:val="22"/>
          <w:szCs w:val="22"/>
        </w:rPr>
      </w:pPr>
      <w:hyperlink w:anchor="_Toc101963806" w:history="1">
        <w:r w:rsidR="00C16F9D" w:rsidRPr="006432DE">
          <w:rPr>
            <w:rStyle w:val="Hyperlink"/>
            <w:rFonts w:eastAsiaTheme="majorEastAsia"/>
            <w:noProof/>
          </w:rPr>
          <w:t>Figure 14. The relationship between the gas exchange velocity (K) and water velocity downstream of Lock 6 (●), Lock 4 (●) and Lock 1 (●) during 2020-21 and compared with previous years (●).</w:t>
        </w:r>
        <w:r w:rsidR="00C16F9D">
          <w:rPr>
            <w:noProof/>
            <w:webHidden/>
          </w:rPr>
          <w:tab/>
        </w:r>
        <w:r w:rsidR="00C16F9D">
          <w:rPr>
            <w:noProof/>
            <w:webHidden/>
          </w:rPr>
          <w:fldChar w:fldCharType="begin"/>
        </w:r>
        <w:r w:rsidR="00C16F9D">
          <w:rPr>
            <w:noProof/>
            <w:webHidden/>
          </w:rPr>
          <w:instrText xml:space="preserve"> PAGEREF _Toc101963806 \h </w:instrText>
        </w:r>
        <w:r w:rsidR="00C16F9D">
          <w:rPr>
            <w:noProof/>
            <w:webHidden/>
          </w:rPr>
        </w:r>
        <w:r w:rsidR="00C16F9D">
          <w:rPr>
            <w:noProof/>
            <w:webHidden/>
          </w:rPr>
          <w:fldChar w:fldCharType="separate"/>
        </w:r>
        <w:r w:rsidR="00C16F9D">
          <w:rPr>
            <w:noProof/>
            <w:webHidden/>
          </w:rPr>
          <w:t>34</w:t>
        </w:r>
        <w:r w:rsidR="00C16F9D">
          <w:rPr>
            <w:noProof/>
            <w:webHidden/>
          </w:rPr>
          <w:fldChar w:fldCharType="end"/>
        </w:r>
      </w:hyperlink>
    </w:p>
    <w:p w14:paraId="7AB35B92" w14:textId="3977B2A4" w:rsidR="00C16F9D" w:rsidRDefault="0070071B">
      <w:pPr>
        <w:pStyle w:val="TableofFigures"/>
        <w:rPr>
          <w:rFonts w:asciiTheme="minorHAnsi" w:eastAsiaTheme="minorEastAsia" w:hAnsiTheme="minorHAnsi" w:cstheme="minorBidi"/>
          <w:noProof/>
          <w:color w:val="auto"/>
          <w:sz w:val="22"/>
          <w:szCs w:val="22"/>
        </w:rPr>
      </w:pPr>
      <w:hyperlink w:anchor="_Toc101963807" w:history="1">
        <w:r w:rsidR="00C16F9D" w:rsidRPr="006432DE">
          <w:rPr>
            <w:rStyle w:val="Hyperlink"/>
            <w:rFonts w:eastAsiaTheme="majorEastAsia"/>
            <w:noProof/>
          </w:rPr>
          <w:t xml:space="preserve">Figure 15. Time series of the gas exchange velocity (K) (●), water level (●) and discharge (●) during 2020-21 (a) and 2017-18 (b) at the downstream of </w:t>
        </w:r>
        <w:r w:rsidR="00C16F9D" w:rsidRPr="006432DE">
          <w:rPr>
            <w:rStyle w:val="Hyperlink"/>
            <w:rFonts w:eastAsiaTheme="majorEastAsia"/>
            <w:noProof/>
            <w:lang w:val="en-US"/>
          </w:rPr>
          <w:t>Lock</w:t>
        </w:r>
        <w:r w:rsidR="00C16F9D" w:rsidRPr="006432DE">
          <w:rPr>
            <w:rStyle w:val="Hyperlink"/>
            <w:rFonts w:eastAsiaTheme="majorEastAsia"/>
            <w:noProof/>
          </w:rPr>
          <w:t xml:space="preserve"> 6 site.</w:t>
        </w:r>
        <w:r w:rsidR="00C16F9D">
          <w:rPr>
            <w:noProof/>
            <w:webHidden/>
          </w:rPr>
          <w:tab/>
        </w:r>
        <w:r w:rsidR="00C16F9D">
          <w:rPr>
            <w:noProof/>
            <w:webHidden/>
          </w:rPr>
          <w:fldChar w:fldCharType="begin"/>
        </w:r>
        <w:r w:rsidR="00C16F9D">
          <w:rPr>
            <w:noProof/>
            <w:webHidden/>
          </w:rPr>
          <w:instrText xml:space="preserve"> PAGEREF _Toc101963807 \h </w:instrText>
        </w:r>
        <w:r w:rsidR="00C16F9D">
          <w:rPr>
            <w:noProof/>
            <w:webHidden/>
          </w:rPr>
        </w:r>
        <w:r w:rsidR="00C16F9D">
          <w:rPr>
            <w:noProof/>
            <w:webHidden/>
          </w:rPr>
          <w:fldChar w:fldCharType="separate"/>
        </w:r>
        <w:r w:rsidR="00C16F9D">
          <w:rPr>
            <w:noProof/>
            <w:webHidden/>
          </w:rPr>
          <w:t>35</w:t>
        </w:r>
        <w:r w:rsidR="00C16F9D">
          <w:rPr>
            <w:noProof/>
            <w:webHidden/>
          </w:rPr>
          <w:fldChar w:fldCharType="end"/>
        </w:r>
      </w:hyperlink>
    </w:p>
    <w:p w14:paraId="4DCCF81C" w14:textId="19F41F56" w:rsidR="00C16F9D" w:rsidRDefault="0070071B">
      <w:pPr>
        <w:pStyle w:val="TableofFigures"/>
        <w:rPr>
          <w:rFonts w:asciiTheme="minorHAnsi" w:eastAsiaTheme="minorEastAsia" w:hAnsiTheme="minorHAnsi" w:cstheme="minorBidi"/>
          <w:noProof/>
          <w:color w:val="auto"/>
          <w:sz w:val="22"/>
          <w:szCs w:val="22"/>
        </w:rPr>
      </w:pPr>
      <w:hyperlink w:anchor="_Toc101963808" w:history="1">
        <w:r w:rsidR="00C16F9D" w:rsidRPr="006432DE">
          <w:rPr>
            <w:rStyle w:val="Hyperlink"/>
            <w:rFonts w:eastAsiaTheme="majorEastAsia"/>
            <w:noProof/>
          </w:rPr>
          <w:t>Figure 16. Daily gross photosynthesis (GPP, positive rates) and ecosystem respiration (ER, negative rates downstream of Lock 6 (●), Lock 4 (●) and Lock 1 (●) during 2020-21, with discharge at Lock 6 (●) and water quality sampling dates (●).</w:t>
        </w:r>
        <w:r w:rsidR="00C16F9D">
          <w:rPr>
            <w:noProof/>
            <w:webHidden/>
          </w:rPr>
          <w:tab/>
        </w:r>
        <w:r w:rsidR="00C16F9D">
          <w:rPr>
            <w:noProof/>
            <w:webHidden/>
          </w:rPr>
          <w:fldChar w:fldCharType="begin"/>
        </w:r>
        <w:r w:rsidR="00C16F9D">
          <w:rPr>
            <w:noProof/>
            <w:webHidden/>
          </w:rPr>
          <w:instrText xml:space="preserve"> PAGEREF _Toc101963808 \h </w:instrText>
        </w:r>
        <w:r w:rsidR="00C16F9D">
          <w:rPr>
            <w:noProof/>
            <w:webHidden/>
          </w:rPr>
        </w:r>
        <w:r w:rsidR="00C16F9D">
          <w:rPr>
            <w:noProof/>
            <w:webHidden/>
          </w:rPr>
          <w:fldChar w:fldCharType="separate"/>
        </w:r>
        <w:r w:rsidR="00C16F9D">
          <w:rPr>
            <w:noProof/>
            <w:webHidden/>
          </w:rPr>
          <w:t>35</w:t>
        </w:r>
        <w:r w:rsidR="00C16F9D">
          <w:rPr>
            <w:noProof/>
            <w:webHidden/>
          </w:rPr>
          <w:fldChar w:fldCharType="end"/>
        </w:r>
      </w:hyperlink>
    </w:p>
    <w:p w14:paraId="4B571E9E" w14:textId="471512F9" w:rsidR="00C16F9D" w:rsidRDefault="0070071B">
      <w:pPr>
        <w:pStyle w:val="TableofFigures"/>
        <w:rPr>
          <w:rFonts w:asciiTheme="minorHAnsi" w:eastAsiaTheme="minorEastAsia" w:hAnsiTheme="minorHAnsi" w:cstheme="minorBidi"/>
          <w:noProof/>
          <w:color w:val="auto"/>
          <w:sz w:val="22"/>
          <w:szCs w:val="22"/>
        </w:rPr>
      </w:pPr>
      <w:hyperlink w:anchor="_Toc101963809" w:history="1">
        <w:r w:rsidR="00C16F9D" w:rsidRPr="006432DE">
          <w:rPr>
            <w:rStyle w:val="Hyperlink"/>
            <w:rFonts w:eastAsiaTheme="majorEastAsia"/>
            <w:noProof/>
          </w:rPr>
          <w:t>Figure 17. The relationship during 2020-21 of gross primary production per unit chlorophyll (GPP(b)) to the mean irradiance (lm) of the water column downstream of Locks 6 (●), 4 (●) and 1 (●), compared with all previous years and sites (●), for when water velocities were greater than 0.18 m/s, with an indicative line of the mean ratio of GPP(b)/Im (1.04 SE±0.03).</w:t>
        </w:r>
        <w:r w:rsidR="00C16F9D">
          <w:rPr>
            <w:noProof/>
            <w:webHidden/>
          </w:rPr>
          <w:tab/>
        </w:r>
        <w:r w:rsidR="00C16F9D">
          <w:rPr>
            <w:noProof/>
            <w:webHidden/>
          </w:rPr>
          <w:fldChar w:fldCharType="begin"/>
        </w:r>
        <w:r w:rsidR="00C16F9D">
          <w:rPr>
            <w:noProof/>
            <w:webHidden/>
          </w:rPr>
          <w:instrText xml:space="preserve"> PAGEREF _Toc101963809 \h </w:instrText>
        </w:r>
        <w:r w:rsidR="00C16F9D">
          <w:rPr>
            <w:noProof/>
            <w:webHidden/>
          </w:rPr>
        </w:r>
        <w:r w:rsidR="00C16F9D">
          <w:rPr>
            <w:noProof/>
            <w:webHidden/>
          </w:rPr>
          <w:fldChar w:fldCharType="separate"/>
        </w:r>
        <w:r w:rsidR="00C16F9D">
          <w:rPr>
            <w:noProof/>
            <w:webHidden/>
          </w:rPr>
          <w:t>36</w:t>
        </w:r>
        <w:r w:rsidR="00C16F9D">
          <w:rPr>
            <w:noProof/>
            <w:webHidden/>
          </w:rPr>
          <w:fldChar w:fldCharType="end"/>
        </w:r>
      </w:hyperlink>
    </w:p>
    <w:p w14:paraId="683E6212" w14:textId="5A92AC0A" w:rsidR="00C16F9D" w:rsidRDefault="0070071B">
      <w:pPr>
        <w:pStyle w:val="TableofFigures"/>
        <w:rPr>
          <w:rFonts w:asciiTheme="minorHAnsi" w:eastAsiaTheme="minorEastAsia" w:hAnsiTheme="minorHAnsi" w:cstheme="minorBidi"/>
          <w:noProof/>
          <w:color w:val="auto"/>
          <w:sz w:val="22"/>
          <w:szCs w:val="22"/>
        </w:rPr>
      </w:pPr>
      <w:hyperlink w:anchor="_Toc101963810" w:history="1">
        <w:r w:rsidR="00C16F9D" w:rsidRPr="006432DE">
          <w:rPr>
            <w:rStyle w:val="Hyperlink"/>
            <w:rFonts w:eastAsiaTheme="majorEastAsia"/>
            <w:noProof/>
          </w:rPr>
          <w:t>Figure 18. Changes downstream of (a) Lock 6, (b) Lock 4 and (c) Lock 1 in: (Left) the average depths observed (●), and modelled for flows without CEW (●), and without environmental water (EW) (●), and the fractional reduction in volumetric GPP predicted due to the increased depths associated with CEW (●) and EW (●). (Right) The fractional change in cross-sectional area due to additional flows modelled for CEW (●), and all environmental water (EW) (●), and the fractional change in cross-sectional GPP due to the combined change in depth and cross-sectional area for modelled flows of CEW (●) and all EW (●).</w:t>
        </w:r>
        <w:r w:rsidR="00C16F9D">
          <w:rPr>
            <w:noProof/>
            <w:webHidden/>
          </w:rPr>
          <w:tab/>
        </w:r>
        <w:r w:rsidR="00C16F9D">
          <w:rPr>
            <w:noProof/>
            <w:webHidden/>
          </w:rPr>
          <w:fldChar w:fldCharType="begin"/>
        </w:r>
        <w:r w:rsidR="00C16F9D">
          <w:rPr>
            <w:noProof/>
            <w:webHidden/>
          </w:rPr>
          <w:instrText xml:space="preserve"> PAGEREF _Toc101963810 \h </w:instrText>
        </w:r>
        <w:r w:rsidR="00C16F9D">
          <w:rPr>
            <w:noProof/>
            <w:webHidden/>
          </w:rPr>
        </w:r>
        <w:r w:rsidR="00C16F9D">
          <w:rPr>
            <w:noProof/>
            <w:webHidden/>
          </w:rPr>
          <w:fldChar w:fldCharType="separate"/>
        </w:r>
        <w:r w:rsidR="00C16F9D">
          <w:rPr>
            <w:noProof/>
            <w:webHidden/>
          </w:rPr>
          <w:t>37</w:t>
        </w:r>
        <w:r w:rsidR="00C16F9D">
          <w:rPr>
            <w:noProof/>
            <w:webHidden/>
          </w:rPr>
          <w:fldChar w:fldCharType="end"/>
        </w:r>
      </w:hyperlink>
    </w:p>
    <w:p w14:paraId="3C45421A" w14:textId="727FC8D5" w:rsidR="00C16F9D" w:rsidRDefault="0070071B">
      <w:pPr>
        <w:pStyle w:val="TableofFigures"/>
        <w:rPr>
          <w:rFonts w:asciiTheme="minorHAnsi" w:eastAsiaTheme="minorEastAsia" w:hAnsiTheme="minorHAnsi" w:cstheme="minorBidi"/>
          <w:noProof/>
          <w:color w:val="auto"/>
          <w:sz w:val="22"/>
          <w:szCs w:val="22"/>
        </w:rPr>
      </w:pPr>
      <w:hyperlink w:anchor="_Toc101963811" w:history="1">
        <w:r w:rsidR="00C16F9D" w:rsidRPr="006432DE">
          <w:rPr>
            <w:rStyle w:val="Hyperlink"/>
            <w:rFonts w:eastAsiaTheme="majorEastAsia"/>
            <w:noProof/>
          </w:rPr>
          <w:t>Figure 19. Respiration (a) and net production rates (b) of phytoplankton (●), bacteria (●) and net production of both combined (●) for all sites during 2020-21.</w:t>
        </w:r>
        <w:r w:rsidR="00C16F9D">
          <w:rPr>
            <w:noProof/>
            <w:webHidden/>
          </w:rPr>
          <w:tab/>
        </w:r>
        <w:r w:rsidR="00C16F9D">
          <w:rPr>
            <w:noProof/>
            <w:webHidden/>
          </w:rPr>
          <w:fldChar w:fldCharType="begin"/>
        </w:r>
        <w:r w:rsidR="00C16F9D">
          <w:rPr>
            <w:noProof/>
            <w:webHidden/>
          </w:rPr>
          <w:instrText xml:space="preserve"> PAGEREF _Toc101963811 \h </w:instrText>
        </w:r>
        <w:r w:rsidR="00C16F9D">
          <w:rPr>
            <w:noProof/>
            <w:webHidden/>
          </w:rPr>
        </w:r>
        <w:r w:rsidR="00C16F9D">
          <w:rPr>
            <w:noProof/>
            <w:webHidden/>
          </w:rPr>
          <w:fldChar w:fldCharType="separate"/>
        </w:r>
        <w:r w:rsidR="00C16F9D">
          <w:rPr>
            <w:noProof/>
            <w:webHidden/>
          </w:rPr>
          <w:t>39</w:t>
        </w:r>
        <w:r w:rsidR="00C16F9D">
          <w:rPr>
            <w:noProof/>
            <w:webHidden/>
          </w:rPr>
          <w:fldChar w:fldCharType="end"/>
        </w:r>
      </w:hyperlink>
    </w:p>
    <w:p w14:paraId="4805B90F" w14:textId="0443E541" w:rsidR="00C16F9D" w:rsidRDefault="0070071B">
      <w:pPr>
        <w:pStyle w:val="TableofFigures"/>
        <w:rPr>
          <w:rFonts w:asciiTheme="minorHAnsi" w:eastAsiaTheme="minorEastAsia" w:hAnsiTheme="minorHAnsi" w:cstheme="minorBidi"/>
          <w:noProof/>
          <w:color w:val="auto"/>
          <w:sz w:val="22"/>
          <w:szCs w:val="22"/>
        </w:rPr>
      </w:pPr>
      <w:hyperlink w:anchor="_Toc101963812" w:history="1">
        <w:r w:rsidR="00C16F9D" w:rsidRPr="006432DE">
          <w:rPr>
            <w:rStyle w:val="Hyperlink"/>
            <w:rFonts w:eastAsiaTheme="majorEastAsia"/>
            <w:noProof/>
          </w:rPr>
          <w:t>Figure 20. (a) Contributions of water sources to total flow (●) at the South Australian border due to: Darling River (●), Campaspe River (●) Broken Creek (●), Murrumbidgee River (●), Lake Victoria (●), Goulburn (●), and the Murray River (●). (b) Chlorophyll-a concentrations (c), Turbidity (d) vertical attenuation (</w:t>
        </w:r>
        <w:r w:rsidR="00C16F9D" w:rsidRPr="006432DE">
          <w:rPr>
            <w:rStyle w:val="Hyperlink"/>
            <w:rFonts w:eastAsiaTheme="majorEastAsia"/>
            <w:i/>
            <w:iCs/>
            <w:noProof/>
          </w:rPr>
          <w:t>k</w:t>
        </w:r>
        <w:r w:rsidR="00C16F9D" w:rsidRPr="006432DE">
          <w:rPr>
            <w:rStyle w:val="Hyperlink"/>
            <w:rFonts w:eastAsiaTheme="majorEastAsia"/>
            <w:i/>
            <w:iCs/>
            <w:noProof/>
            <w:vertAlign w:val="subscript"/>
          </w:rPr>
          <w:t>d</w:t>
        </w:r>
        <w:r w:rsidR="00C16F9D" w:rsidRPr="006432DE">
          <w:rPr>
            <w:rStyle w:val="Hyperlink"/>
            <w:rFonts w:eastAsiaTheme="majorEastAsia"/>
            <w:noProof/>
          </w:rPr>
          <w:t>), (e) Dissolved organic carbon (f) Total phosphorus and (g) Total nitrogen below Locks 6 (●),4 (●) and 1 (●).</w:t>
        </w:r>
        <w:r w:rsidR="00C16F9D">
          <w:rPr>
            <w:noProof/>
            <w:webHidden/>
          </w:rPr>
          <w:tab/>
        </w:r>
        <w:r w:rsidR="00C16F9D">
          <w:rPr>
            <w:noProof/>
            <w:webHidden/>
          </w:rPr>
          <w:fldChar w:fldCharType="begin"/>
        </w:r>
        <w:r w:rsidR="00C16F9D">
          <w:rPr>
            <w:noProof/>
            <w:webHidden/>
          </w:rPr>
          <w:instrText xml:space="preserve"> PAGEREF _Toc101963812 \h </w:instrText>
        </w:r>
        <w:r w:rsidR="00C16F9D">
          <w:rPr>
            <w:noProof/>
            <w:webHidden/>
          </w:rPr>
        </w:r>
        <w:r w:rsidR="00C16F9D">
          <w:rPr>
            <w:noProof/>
            <w:webHidden/>
          </w:rPr>
          <w:fldChar w:fldCharType="separate"/>
        </w:r>
        <w:r w:rsidR="00C16F9D">
          <w:rPr>
            <w:noProof/>
            <w:webHidden/>
          </w:rPr>
          <w:t>41</w:t>
        </w:r>
        <w:r w:rsidR="00C16F9D">
          <w:rPr>
            <w:noProof/>
            <w:webHidden/>
          </w:rPr>
          <w:fldChar w:fldCharType="end"/>
        </w:r>
      </w:hyperlink>
    </w:p>
    <w:p w14:paraId="1E995795" w14:textId="27AEDBC2" w:rsidR="00C16F9D" w:rsidRDefault="0070071B">
      <w:pPr>
        <w:pStyle w:val="TableofFigures"/>
        <w:rPr>
          <w:rFonts w:asciiTheme="minorHAnsi" w:eastAsiaTheme="minorEastAsia" w:hAnsiTheme="minorHAnsi" w:cstheme="minorBidi"/>
          <w:noProof/>
          <w:color w:val="auto"/>
          <w:sz w:val="22"/>
          <w:szCs w:val="22"/>
        </w:rPr>
      </w:pPr>
      <w:hyperlink w:anchor="_Toc101963813" w:history="1">
        <w:r w:rsidR="00C16F9D" w:rsidRPr="006432DE">
          <w:rPr>
            <w:rStyle w:val="Hyperlink"/>
            <w:rFonts w:eastAsiaTheme="majorEastAsia"/>
            <w:noProof/>
          </w:rPr>
          <w:t xml:space="preserve">Figure 21. Summary of history of flow through the barrages, from July 2015 until June 2021, spanning the large 2016 flow event and a pulse of natural flow in July </w:t>
        </w:r>
        <w:r w:rsidR="00C16F9D" w:rsidRPr="006432DE">
          <w:rPr>
            <w:rStyle w:val="Hyperlink"/>
            <w:rFonts w:ascii="Calibri" w:eastAsiaTheme="majorEastAsia" w:hAnsi="Calibri" w:cs="Calibri"/>
            <w:noProof/>
          </w:rPr>
          <w:t xml:space="preserve">– </w:t>
        </w:r>
        <w:r w:rsidR="00C16F9D" w:rsidRPr="006432DE">
          <w:rPr>
            <w:rStyle w:val="Hyperlink"/>
            <w:rFonts w:eastAsiaTheme="majorEastAsia"/>
            <w:noProof/>
          </w:rPr>
          <w:t>October 2020, categorised based on water source.</w:t>
        </w:r>
        <w:r w:rsidR="00C16F9D">
          <w:rPr>
            <w:noProof/>
            <w:webHidden/>
          </w:rPr>
          <w:tab/>
        </w:r>
        <w:r w:rsidR="00C16F9D">
          <w:rPr>
            <w:noProof/>
            <w:webHidden/>
          </w:rPr>
          <w:fldChar w:fldCharType="begin"/>
        </w:r>
        <w:r w:rsidR="00C16F9D">
          <w:rPr>
            <w:noProof/>
            <w:webHidden/>
          </w:rPr>
          <w:instrText xml:space="preserve"> PAGEREF _Toc101963813 \h </w:instrText>
        </w:r>
        <w:r w:rsidR="00C16F9D">
          <w:rPr>
            <w:noProof/>
            <w:webHidden/>
          </w:rPr>
        </w:r>
        <w:r w:rsidR="00C16F9D">
          <w:rPr>
            <w:noProof/>
            <w:webHidden/>
          </w:rPr>
          <w:fldChar w:fldCharType="separate"/>
        </w:r>
        <w:r w:rsidR="00C16F9D">
          <w:rPr>
            <w:noProof/>
            <w:webHidden/>
          </w:rPr>
          <w:t>51</w:t>
        </w:r>
        <w:r w:rsidR="00C16F9D">
          <w:rPr>
            <w:noProof/>
            <w:webHidden/>
          </w:rPr>
          <w:fldChar w:fldCharType="end"/>
        </w:r>
      </w:hyperlink>
    </w:p>
    <w:p w14:paraId="7BC1AE84" w14:textId="679559E6" w:rsidR="00C16F9D" w:rsidRDefault="0070071B">
      <w:pPr>
        <w:pStyle w:val="TableofFigures"/>
        <w:rPr>
          <w:rFonts w:asciiTheme="minorHAnsi" w:eastAsiaTheme="minorEastAsia" w:hAnsiTheme="minorHAnsi" w:cstheme="minorBidi"/>
          <w:noProof/>
          <w:color w:val="auto"/>
          <w:sz w:val="22"/>
          <w:szCs w:val="22"/>
        </w:rPr>
      </w:pPr>
      <w:hyperlink w:anchor="_Toc101963814" w:history="1">
        <w:r w:rsidR="00C16F9D" w:rsidRPr="006432DE">
          <w:rPr>
            <w:rStyle w:val="Hyperlink"/>
            <w:rFonts w:eastAsiaTheme="majorEastAsia"/>
            <w:noProof/>
          </w:rPr>
          <w:t xml:space="preserve">Figure 22. Comparison of </w:t>
        </w:r>
        <w:r w:rsidR="00C16F9D" w:rsidRPr="006432DE">
          <w:rPr>
            <w:rStyle w:val="Hyperlink"/>
            <w:rFonts w:eastAsiaTheme="majorEastAsia"/>
            <w:i/>
            <w:noProof/>
          </w:rPr>
          <w:t>daily</w:t>
        </w:r>
        <w:r w:rsidR="00C16F9D" w:rsidRPr="006432DE">
          <w:rPr>
            <w:rStyle w:val="Hyperlink"/>
            <w:rFonts w:eastAsiaTheme="majorEastAsia"/>
            <w:noProof/>
          </w:rPr>
          <w:t xml:space="preserve"> barrage flow between the datasets from environmental water accounting (upper panel) and from local estimates of barrage flow (lower panel), spanning the modelling period from July 2017 to June 2021.</w:t>
        </w:r>
        <w:r w:rsidR="00C16F9D">
          <w:rPr>
            <w:noProof/>
            <w:webHidden/>
          </w:rPr>
          <w:tab/>
        </w:r>
        <w:r w:rsidR="00C16F9D">
          <w:rPr>
            <w:noProof/>
            <w:webHidden/>
          </w:rPr>
          <w:fldChar w:fldCharType="begin"/>
        </w:r>
        <w:r w:rsidR="00C16F9D">
          <w:rPr>
            <w:noProof/>
            <w:webHidden/>
          </w:rPr>
          <w:instrText xml:space="preserve"> PAGEREF _Toc101963814 \h </w:instrText>
        </w:r>
        <w:r w:rsidR="00C16F9D">
          <w:rPr>
            <w:noProof/>
            <w:webHidden/>
          </w:rPr>
        </w:r>
        <w:r w:rsidR="00C16F9D">
          <w:rPr>
            <w:noProof/>
            <w:webHidden/>
          </w:rPr>
          <w:fldChar w:fldCharType="separate"/>
        </w:r>
        <w:r w:rsidR="00C16F9D">
          <w:rPr>
            <w:noProof/>
            <w:webHidden/>
          </w:rPr>
          <w:t>51</w:t>
        </w:r>
        <w:r w:rsidR="00C16F9D">
          <w:rPr>
            <w:noProof/>
            <w:webHidden/>
          </w:rPr>
          <w:fldChar w:fldCharType="end"/>
        </w:r>
      </w:hyperlink>
    </w:p>
    <w:p w14:paraId="5050F16B" w14:textId="2484A553" w:rsidR="00C16F9D" w:rsidRDefault="0070071B">
      <w:pPr>
        <w:pStyle w:val="TableofFigures"/>
        <w:rPr>
          <w:rFonts w:asciiTheme="minorHAnsi" w:eastAsiaTheme="minorEastAsia" w:hAnsiTheme="minorHAnsi" w:cstheme="minorBidi"/>
          <w:noProof/>
          <w:color w:val="auto"/>
          <w:sz w:val="22"/>
          <w:szCs w:val="22"/>
        </w:rPr>
      </w:pPr>
      <w:hyperlink w:anchor="_Toc101963815" w:history="1">
        <w:r w:rsidR="00C16F9D" w:rsidRPr="006432DE">
          <w:rPr>
            <w:rStyle w:val="Hyperlink"/>
            <w:rFonts w:eastAsiaTheme="majorEastAsia"/>
            <w:noProof/>
          </w:rPr>
          <w:t xml:space="preserve">Figure 23. Comparison of </w:t>
        </w:r>
        <w:r w:rsidR="00C16F9D" w:rsidRPr="006432DE">
          <w:rPr>
            <w:rStyle w:val="Hyperlink"/>
            <w:rFonts w:eastAsiaTheme="majorEastAsia"/>
            <w:i/>
            <w:noProof/>
          </w:rPr>
          <w:t>monthly</w:t>
        </w:r>
        <w:r w:rsidR="00C16F9D" w:rsidRPr="006432DE">
          <w:rPr>
            <w:rStyle w:val="Hyperlink"/>
            <w:rFonts w:eastAsiaTheme="majorEastAsia"/>
            <w:noProof/>
          </w:rPr>
          <w:t xml:space="preserve"> barrage flow between the datasets from environmental water accounting (upper panel) and from local estimates of barrage flow (lower panel), spanning the modelling period from July 2017 to June 2021.</w:t>
        </w:r>
        <w:r w:rsidR="00C16F9D">
          <w:rPr>
            <w:noProof/>
            <w:webHidden/>
          </w:rPr>
          <w:tab/>
        </w:r>
        <w:r w:rsidR="00C16F9D">
          <w:rPr>
            <w:noProof/>
            <w:webHidden/>
          </w:rPr>
          <w:fldChar w:fldCharType="begin"/>
        </w:r>
        <w:r w:rsidR="00C16F9D">
          <w:rPr>
            <w:noProof/>
            <w:webHidden/>
          </w:rPr>
          <w:instrText xml:space="preserve"> PAGEREF _Toc101963815 \h </w:instrText>
        </w:r>
        <w:r w:rsidR="00C16F9D">
          <w:rPr>
            <w:noProof/>
            <w:webHidden/>
          </w:rPr>
        </w:r>
        <w:r w:rsidR="00C16F9D">
          <w:rPr>
            <w:noProof/>
            <w:webHidden/>
          </w:rPr>
          <w:fldChar w:fldCharType="separate"/>
        </w:r>
        <w:r w:rsidR="00C16F9D">
          <w:rPr>
            <w:noProof/>
            <w:webHidden/>
          </w:rPr>
          <w:t>52</w:t>
        </w:r>
        <w:r w:rsidR="00C16F9D">
          <w:rPr>
            <w:noProof/>
            <w:webHidden/>
          </w:rPr>
          <w:fldChar w:fldCharType="end"/>
        </w:r>
      </w:hyperlink>
    </w:p>
    <w:p w14:paraId="4C4A6C43" w14:textId="6AB56BC2" w:rsidR="00C16F9D" w:rsidRDefault="0070071B">
      <w:pPr>
        <w:pStyle w:val="TableofFigures"/>
        <w:rPr>
          <w:rFonts w:asciiTheme="minorHAnsi" w:eastAsiaTheme="minorEastAsia" w:hAnsiTheme="minorHAnsi" w:cstheme="minorBidi"/>
          <w:noProof/>
          <w:color w:val="auto"/>
          <w:sz w:val="22"/>
          <w:szCs w:val="22"/>
        </w:rPr>
      </w:pPr>
      <w:hyperlink w:anchor="_Toc101963816" w:history="1">
        <w:r w:rsidR="00C16F9D" w:rsidRPr="006432DE">
          <w:rPr>
            <w:rStyle w:val="Hyperlink"/>
            <w:rFonts w:eastAsiaTheme="majorEastAsia"/>
            <w:noProof/>
          </w:rPr>
          <w:t>Figure 24. Summary of flow over each barrage, spanning the modelling period from July 2017 to June 2021.</w:t>
        </w:r>
        <w:r w:rsidR="00C16F9D">
          <w:rPr>
            <w:noProof/>
            <w:webHidden/>
          </w:rPr>
          <w:tab/>
        </w:r>
        <w:r w:rsidR="00C16F9D">
          <w:rPr>
            <w:noProof/>
            <w:webHidden/>
          </w:rPr>
          <w:fldChar w:fldCharType="begin"/>
        </w:r>
        <w:r w:rsidR="00C16F9D">
          <w:rPr>
            <w:noProof/>
            <w:webHidden/>
          </w:rPr>
          <w:instrText xml:space="preserve"> PAGEREF _Toc101963816 \h </w:instrText>
        </w:r>
        <w:r w:rsidR="00C16F9D">
          <w:rPr>
            <w:noProof/>
            <w:webHidden/>
          </w:rPr>
        </w:r>
        <w:r w:rsidR="00C16F9D">
          <w:rPr>
            <w:noProof/>
            <w:webHidden/>
          </w:rPr>
          <w:fldChar w:fldCharType="separate"/>
        </w:r>
        <w:r w:rsidR="00C16F9D">
          <w:rPr>
            <w:noProof/>
            <w:webHidden/>
          </w:rPr>
          <w:t>52</w:t>
        </w:r>
        <w:r w:rsidR="00C16F9D">
          <w:rPr>
            <w:noProof/>
            <w:webHidden/>
          </w:rPr>
          <w:fldChar w:fldCharType="end"/>
        </w:r>
      </w:hyperlink>
    </w:p>
    <w:p w14:paraId="5E2830BD" w14:textId="2FA062AF" w:rsidR="00C16F9D" w:rsidRDefault="0070071B">
      <w:pPr>
        <w:pStyle w:val="TableofFigures"/>
        <w:rPr>
          <w:rFonts w:asciiTheme="minorHAnsi" w:eastAsiaTheme="minorEastAsia" w:hAnsiTheme="minorHAnsi" w:cstheme="minorBidi"/>
          <w:noProof/>
          <w:color w:val="auto"/>
          <w:sz w:val="22"/>
          <w:szCs w:val="22"/>
        </w:rPr>
      </w:pPr>
      <w:hyperlink w:anchor="_Toc101963817" w:history="1">
        <w:r w:rsidR="00C16F9D" w:rsidRPr="006432DE">
          <w:rPr>
            <w:rStyle w:val="Hyperlink"/>
            <w:rFonts w:eastAsiaTheme="majorEastAsia"/>
            <w:noProof/>
          </w:rPr>
          <w:t>Figure 25. Transect comparison of measured and simulated salinity along the Coorong lagoon in July-September 2020 (upper panel) and April-June 2021 (lower panel). The boxplots indicate the field observations; the solid lines indicate the median values and the shaded area indicate the 25</w:t>
        </w:r>
        <w:r w:rsidR="00C16F9D" w:rsidRPr="006432DE">
          <w:rPr>
            <w:rStyle w:val="Hyperlink"/>
            <w:rFonts w:eastAsiaTheme="majorEastAsia"/>
            <w:noProof/>
            <w:vertAlign w:val="superscript"/>
          </w:rPr>
          <w:t>th</w:t>
        </w:r>
        <w:r w:rsidR="00C16F9D" w:rsidRPr="006432DE">
          <w:rPr>
            <w:rStyle w:val="Hyperlink"/>
            <w:rFonts w:eastAsiaTheme="majorEastAsia"/>
            <w:noProof/>
          </w:rPr>
          <w:t xml:space="preserve"> to 75</w:t>
        </w:r>
        <w:r w:rsidR="00C16F9D" w:rsidRPr="006432DE">
          <w:rPr>
            <w:rStyle w:val="Hyperlink"/>
            <w:rFonts w:eastAsiaTheme="majorEastAsia"/>
            <w:noProof/>
            <w:vertAlign w:val="superscript"/>
          </w:rPr>
          <w:t>th</w:t>
        </w:r>
        <w:r w:rsidR="00C16F9D" w:rsidRPr="006432DE">
          <w:rPr>
            <w:rStyle w:val="Hyperlink"/>
            <w:rFonts w:eastAsiaTheme="majorEastAsia"/>
            <w:noProof/>
          </w:rPr>
          <w:t xml:space="preserve"> percentile from the modelling assessment.</w:t>
        </w:r>
        <w:r w:rsidR="00C16F9D">
          <w:rPr>
            <w:noProof/>
            <w:webHidden/>
          </w:rPr>
          <w:tab/>
        </w:r>
        <w:r w:rsidR="00C16F9D">
          <w:rPr>
            <w:noProof/>
            <w:webHidden/>
          </w:rPr>
          <w:fldChar w:fldCharType="begin"/>
        </w:r>
        <w:r w:rsidR="00C16F9D">
          <w:rPr>
            <w:noProof/>
            <w:webHidden/>
          </w:rPr>
          <w:instrText xml:space="preserve"> PAGEREF _Toc101963817 \h </w:instrText>
        </w:r>
        <w:r w:rsidR="00C16F9D">
          <w:rPr>
            <w:noProof/>
            <w:webHidden/>
          </w:rPr>
        </w:r>
        <w:r w:rsidR="00C16F9D">
          <w:rPr>
            <w:noProof/>
            <w:webHidden/>
          </w:rPr>
          <w:fldChar w:fldCharType="separate"/>
        </w:r>
        <w:r w:rsidR="00C16F9D">
          <w:rPr>
            <w:noProof/>
            <w:webHidden/>
          </w:rPr>
          <w:t>53</w:t>
        </w:r>
        <w:r w:rsidR="00C16F9D">
          <w:rPr>
            <w:noProof/>
            <w:webHidden/>
          </w:rPr>
          <w:fldChar w:fldCharType="end"/>
        </w:r>
      </w:hyperlink>
    </w:p>
    <w:p w14:paraId="46E299CD" w14:textId="47F2B060" w:rsidR="00C16F9D" w:rsidRDefault="0070071B">
      <w:pPr>
        <w:pStyle w:val="TableofFigures"/>
        <w:rPr>
          <w:rFonts w:asciiTheme="minorHAnsi" w:eastAsiaTheme="minorEastAsia" w:hAnsiTheme="minorHAnsi" w:cstheme="minorBidi"/>
          <w:noProof/>
          <w:color w:val="auto"/>
          <w:sz w:val="22"/>
          <w:szCs w:val="22"/>
        </w:rPr>
      </w:pPr>
      <w:hyperlink w:anchor="_Toc101963818" w:history="1">
        <w:r w:rsidR="00C16F9D" w:rsidRPr="006432DE">
          <w:rPr>
            <w:rStyle w:val="Hyperlink"/>
            <w:rFonts w:eastAsiaTheme="majorEastAsia"/>
            <w:noProof/>
          </w:rPr>
          <w:t>Figure 26. Cumulative salt flux with and without environmental water delivery through the Long Point and Parnka Point for July 2017–June 2021.</w:t>
        </w:r>
        <w:r w:rsidR="00C16F9D">
          <w:rPr>
            <w:noProof/>
            <w:webHidden/>
          </w:rPr>
          <w:tab/>
        </w:r>
        <w:r w:rsidR="00C16F9D">
          <w:rPr>
            <w:noProof/>
            <w:webHidden/>
          </w:rPr>
          <w:fldChar w:fldCharType="begin"/>
        </w:r>
        <w:r w:rsidR="00C16F9D">
          <w:rPr>
            <w:noProof/>
            <w:webHidden/>
          </w:rPr>
          <w:instrText xml:space="preserve"> PAGEREF _Toc101963818 \h </w:instrText>
        </w:r>
        <w:r w:rsidR="00C16F9D">
          <w:rPr>
            <w:noProof/>
            <w:webHidden/>
          </w:rPr>
        </w:r>
        <w:r w:rsidR="00C16F9D">
          <w:rPr>
            <w:noProof/>
            <w:webHidden/>
          </w:rPr>
          <w:fldChar w:fldCharType="separate"/>
        </w:r>
        <w:r w:rsidR="00C16F9D">
          <w:rPr>
            <w:noProof/>
            <w:webHidden/>
          </w:rPr>
          <w:t>55</w:t>
        </w:r>
        <w:r w:rsidR="00C16F9D">
          <w:rPr>
            <w:noProof/>
            <w:webHidden/>
          </w:rPr>
          <w:fldChar w:fldCharType="end"/>
        </w:r>
      </w:hyperlink>
    </w:p>
    <w:p w14:paraId="7E3330D3" w14:textId="4E8E6100" w:rsidR="00C16F9D" w:rsidRDefault="0070071B">
      <w:pPr>
        <w:pStyle w:val="TableofFigures"/>
        <w:rPr>
          <w:rFonts w:asciiTheme="minorHAnsi" w:eastAsiaTheme="minorEastAsia" w:hAnsiTheme="minorHAnsi" w:cstheme="minorBidi"/>
          <w:noProof/>
          <w:color w:val="auto"/>
          <w:sz w:val="22"/>
          <w:szCs w:val="22"/>
        </w:rPr>
      </w:pPr>
      <w:hyperlink w:anchor="_Toc101963819" w:history="1">
        <w:r w:rsidR="00C16F9D" w:rsidRPr="006432DE">
          <w:rPr>
            <w:rStyle w:val="Hyperlink"/>
            <w:rFonts w:eastAsiaTheme="majorEastAsia"/>
            <w:noProof/>
          </w:rPr>
          <w:t>Figure 27. Cumulative TN flux with and without environmental water delivery through the Long Point and Parnka Point for July 2017–July 2021.</w:t>
        </w:r>
        <w:r w:rsidR="00C16F9D">
          <w:rPr>
            <w:noProof/>
            <w:webHidden/>
          </w:rPr>
          <w:tab/>
        </w:r>
        <w:r w:rsidR="00C16F9D">
          <w:rPr>
            <w:noProof/>
            <w:webHidden/>
          </w:rPr>
          <w:fldChar w:fldCharType="begin"/>
        </w:r>
        <w:r w:rsidR="00C16F9D">
          <w:rPr>
            <w:noProof/>
            <w:webHidden/>
          </w:rPr>
          <w:instrText xml:space="preserve"> PAGEREF _Toc101963819 \h </w:instrText>
        </w:r>
        <w:r w:rsidR="00C16F9D">
          <w:rPr>
            <w:noProof/>
            <w:webHidden/>
          </w:rPr>
        </w:r>
        <w:r w:rsidR="00C16F9D">
          <w:rPr>
            <w:noProof/>
            <w:webHidden/>
          </w:rPr>
          <w:fldChar w:fldCharType="separate"/>
        </w:r>
        <w:r w:rsidR="00C16F9D">
          <w:rPr>
            <w:noProof/>
            <w:webHidden/>
          </w:rPr>
          <w:t>58</w:t>
        </w:r>
        <w:r w:rsidR="00C16F9D">
          <w:rPr>
            <w:noProof/>
            <w:webHidden/>
          </w:rPr>
          <w:fldChar w:fldCharType="end"/>
        </w:r>
      </w:hyperlink>
    </w:p>
    <w:p w14:paraId="0CE50950" w14:textId="786920F5" w:rsidR="00C16F9D" w:rsidRDefault="0070071B">
      <w:pPr>
        <w:pStyle w:val="TableofFigures"/>
        <w:rPr>
          <w:rFonts w:asciiTheme="minorHAnsi" w:eastAsiaTheme="minorEastAsia" w:hAnsiTheme="minorHAnsi" w:cstheme="minorBidi"/>
          <w:noProof/>
          <w:color w:val="auto"/>
          <w:sz w:val="22"/>
          <w:szCs w:val="22"/>
        </w:rPr>
      </w:pPr>
      <w:hyperlink w:anchor="_Toc101963820" w:history="1">
        <w:r w:rsidR="00C16F9D" w:rsidRPr="006432DE">
          <w:rPr>
            <w:rStyle w:val="Hyperlink"/>
            <w:rFonts w:eastAsiaTheme="majorEastAsia"/>
            <w:noProof/>
          </w:rPr>
          <w:t xml:space="preserve">Figure 28. Habitat area suitable for </w:t>
        </w:r>
        <w:r w:rsidR="00C16F9D" w:rsidRPr="006432DE">
          <w:rPr>
            <w:rStyle w:val="Hyperlink"/>
            <w:rFonts w:eastAsiaTheme="majorEastAsia"/>
            <w:i/>
            <w:noProof/>
          </w:rPr>
          <w:t>Ruppia tuberosa</w:t>
        </w:r>
        <w:r w:rsidR="00C16F9D" w:rsidRPr="006432DE">
          <w:rPr>
            <w:rStyle w:val="Hyperlink"/>
            <w:rFonts w:eastAsiaTheme="majorEastAsia"/>
            <w:noProof/>
          </w:rPr>
          <w:t xml:space="preserve"> (overall and individual life stages), comparing the “All water” (base-case) and “no CEW”/”no eWater” scenarios.</w:t>
        </w:r>
        <w:r w:rsidR="00C16F9D">
          <w:rPr>
            <w:noProof/>
            <w:webHidden/>
          </w:rPr>
          <w:tab/>
        </w:r>
        <w:r w:rsidR="00C16F9D">
          <w:rPr>
            <w:noProof/>
            <w:webHidden/>
          </w:rPr>
          <w:fldChar w:fldCharType="begin"/>
        </w:r>
        <w:r w:rsidR="00C16F9D">
          <w:rPr>
            <w:noProof/>
            <w:webHidden/>
          </w:rPr>
          <w:instrText xml:space="preserve"> PAGEREF _Toc101963820 \h </w:instrText>
        </w:r>
        <w:r w:rsidR="00C16F9D">
          <w:rPr>
            <w:noProof/>
            <w:webHidden/>
          </w:rPr>
        </w:r>
        <w:r w:rsidR="00C16F9D">
          <w:rPr>
            <w:noProof/>
            <w:webHidden/>
          </w:rPr>
          <w:fldChar w:fldCharType="separate"/>
        </w:r>
        <w:r w:rsidR="00C16F9D">
          <w:rPr>
            <w:noProof/>
            <w:webHidden/>
          </w:rPr>
          <w:t>64</w:t>
        </w:r>
        <w:r w:rsidR="00C16F9D">
          <w:rPr>
            <w:noProof/>
            <w:webHidden/>
          </w:rPr>
          <w:fldChar w:fldCharType="end"/>
        </w:r>
      </w:hyperlink>
    </w:p>
    <w:p w14:paraId="49A302E0" w14:textId="46A9EB89" w:rsidR="00C16F9D" w:rsidRDefault="0070071B">
      <w:pPr>
        <w:pStyle w:val="TableofFigures"/>
        <w:rPr>
          <w:rFonts w:asciiTheme="minorHAnsi" w:eastAsiaTheme="minorEastAsia" w:hAnsiTheme="minorHAnsi" w:cstheme="minorBidi"/>
          <w:noProof/>
          <w:color w:val="auto"/>
          <w:sz w:val="22"/>
          <w:szCs w:val="22"/>
        </w:rPr>
      </w:pPr>
      <w:hyperlink w:anchor="_Toc101963821" w:history="1">
        <w:r w:rsidR="00C16F9D" w:rsidRPr="006432DE">
          <w:rPr>
            <w:rStyle w:val="Hyperlink"/>
            <w:rFonts w:eastAsiaTheme="majorEastAsia"/>
            <w:noProof/>
          </w:rPr>
          <w:t xml:space="preserve">Figure 29. Differences of </w:t>
        </w:r>
        <w:r w:rsidR="00C16F9D" w:rsidRPr="006432DE">
          <w:rPr>
            <w:rStyle w:val="Hyperlink"/>
            <w:rFonts w:eastAsiaTheme="majorEastAsia"/>
            <w:i/>
            <w:iCs/>
            <w:noProof/>
          </w:rPr>
          <w:t>Ruppia</w:t>
        </w:r>
        <w:r w:rsidR="00C16F9D" w:rsidRPr="006432DE">
          <w:rPr>
            <w:rStyle w:val="Hyperlink"/>
            <w:rFonts w:eastAsiaTheme="majorEastAsia"/>
            <w:noProof/>
          </w:rPr>
          <w:t xml:space="preserve"> HSI (habitat suitability index) values between the no environmental water since 2017 (No eWater 4 years) and the “All water” (base-case) conditions. The index is computed for each stage (adult, flower, seed) of the life-cycle, and the overall suitability (HSI sexual) is based on where all life-stage requirements are met. More saline conditions in the ‘no eWater 4 years” scenario led to a loss of good habitat in the South Lagoon (blue indicates contraction, orange indicates expansion) that meets the requirements of all life-stages.</w:t>
        </w:r>
        <w:r w:rsidR="00C16F9D">
          <w:rPr>
            <w:noProof/>
            <w:webHidden/>
          </w:rPr>
          <w:tab/>
        </w:r>
        <w:r w:rsidR="00C16F9D">
          <w:rPr>
            <w:noProof/>
            <w:webHidden/>
          </w:rPr>
          <w:fldChar w:fldCharType="begin"/>
        </w:r>
        <w:r w:rsidR="00C16F9D">
          <w:rPr>
            <w:noProof/>
            <w:webHidden/>
          </w:rPr>
          <w:instrText xml:space="preserve"> PAGEREF _Toc101963821 \h </w:instrText>
        </w:r>
        <w:r w:rsidR="00C16F9D">
          <w:rPr>
            <w:noProof/>
            <w:webHidden/>
          </w:rPr>
        </w:r>
        <w:r w:rsidR="00C16F9D">
          <w:rPr>
            <w:noProof/>
            <w:webHidden/>
          </w:rPr>
          <w:fldChar w:fldCharType="separate"/>
        </w:r>
        <w:r w:rsidR="00C16F9D">
          <w:rPr>
            <w:noProof/>
            <w:webHidden/>
          </w:rPr>
          <w:t>65</w:t>
        </w:r>
        <w:r w:rsidR="00C16F9D">
          <w:rPr>
            <w:noProof/>
            <w:webHidden/>
          </w:rPr>
          <w:fldChar w:fldCharType="end"/>
        </w:r>
      </w:hyperlink>
    </w:p>
    <w:p w14:paraId="0DB229CA" w14:textId="1BD39012" w:rsidR="00C16F9D" w:rsidRDefault="0070071B">
      <w:pPr>
        <w:pStyle w:val="TableofFigures"/>
        <w:rPr>
          <w:rFonts w:asciiTheme="minorHAnsi" w:eastAsiaTheme="minorEastAsia" w:hAnsiTheme="minorHAnsi" w:cstheme="minorBidi"/>
          <w:noProof/>
          <w:color w:val="auto"/>
          <w:sz w:val="22"/>
          <w:szCs w:val="22"/>
        </w:rPr>
      </w:pPr>
      <w:hyperlink w:anchor="_Toc101963822" w:history="1">
        <w:r w:rsidR="00C16F9D" w:rsidRPr="006432DE">
          <w:rPr>
            <w:rStyle w:val="Hyperlink"/>
            <w:rFonts w:eastAsiaTheme="majorEastAsia"/>
            <w:noProof/>
          </w:rPr>
          <w:t xml:space="preserve">Figure 30. Habitat area of juvenile stages of key fish species for the scenarios (top). Change in area (%) that would have been in the case of no environmental </w:t>
        </w:r>
        <w:r w:rsidR="00C16F9D" w:rsidRPr="006432DE">
          <w:rPr>
            <w:rStyle w:val="Hyperlink"/>
            <w:rFonts w:eastAsiaTheme="majorEastAsia"/>
            <w:noProof/>
          </w:rPr>
          <w:lastRenderedPageBreak/>
          <w:t>water is shown in the bottom panel. Environmental water gives a large habitat expansion for all species and this increases year on year.</w:t>
        </w:r>
        <w:r w:rsidR="00C16F9D">
          <w:rPr>
            <w:noProof/>
            <w:webHidden/>
          </w:rPr>
          <w:tab/>
        </w:r>
        <w:r w:rsidR="00C16F9D">
          <w:rPr>
            <w:noProof/>
            <w:webHidden/>
          </w:rPr>
          <w:fldChar w:fldCharType="begin"/>
        </w:r>
        <w:r w:rsidR="00C16F9D">
          <w:rPr>
            <w:noProof/>
            <w:webHidden/>
          </w:rPr>
          <w:instrText xml:space="preserve"> PAGEREF _Toc101963822 \h </w:instrText>
        </w:r>
        <w:r w:rsidR="00C16F9D">
          <w:rPr>
            <w:noProof/>
            <w:webHidden/>
          </w:rPr>
        </w:r>
        <w:r w:rsidR="00C16F9D">
          <w:rPr>
            <w:noProof/>
            <w:webHidden/>
          </w:rPr>
          <w:fldChar w:fldCharType="separate"/>
        </w:r>
        <w:r w:rsidR="00C16F9D">
          <w:rPr>
            <w:noProof/>
            <w:webHidden/>
          </w:rPr>
          <w:t>66</w:t>
        </w:r>
        <w:r w:rsidR="00C16F9D">
          <w:rPr>
            <w:noProof/>
            <w:webHidden/>
          </w:rPr>
          <w:fldChar w:fldCharType="end"/>
        </w:r>
      </w:hyperlink>
    </w:p>
    <w:p w14:paraId="06F9D8C4" w14:textId="37785497" w:rsidR="00C16F9D" w:rsidRDefault="0070071B">
      <w:pPr>
        <w:pStyle w:val="TableofFigures"/>
        <w:rPr>
          <w:rFonts w:asciiTheme="minorHAnsi" w:eastAsiaTheme="minorEastAsia" w:hAnsiTheme="minorHAnsi" w:cstheme="minorBidi"/>
          <w:noProof/>
          <w:color w:val="auto"/>
          <w:sz w:val="22"/>
          <w:szCs w:val="22"/>
        </w:rPr>
      </w:pPr>
      <w:hyperlink w:anchor="_Toc101963823" w:history="1">
        <w:r w:rsidR="00C16F9D" w:rsidRPr="006432DE">
          <w:rPr>
            <w:rStyle w:val="Hyperlink"/>
            <w:rFonts w:eastAsiaTheme="majorEastAsia"/>
            <w:noProof/>
          </w:rPr>
          <w:t>Figure 31. Monthly habitat area “lost” for smallmouth hardyhead during 07/2020 – 07/2021 if there was no environmental water delivery in 2020-21 (calculated as the difference between habitat in the “All water” (base-case) and “no eWater 1 year” scenario. Large areas of the South Lagoon have a decrease in habitat quality, highlighting areas that have benefited from environmental water since 07/2020.</w:t>
        </w:r>
        <w:r w:rsidR="00C16F9D">
          <w:rPr>
            <w:noProof/>
            <w:webHidden/>
          </w:rPr>
          <w:tab/>
        </w:r>
        <w:r w:rsidR="00C16F9D">
          <w:rPr>
            <w:noProof/>
            <w:webHidden/>
          </w:rPr>
          <w:fldChar w:fldCharType="begin"/>
        </w:r>
        <w:r w:rsidR="00C16F9D">
          <w:rPr>
            <w:noProof/>
            <w:webHidden/>
          </w:rPr>
          <w:instrText xml:space="preserve"> PAGEREF _Toc101963823 \h </w:instrText>
        </w:r>
        <w:r w:rsidR="00C16F9D">
          <w:rPr>
            <w:noProof/>
            <w:webHidden/>
          </w:rPr>
        </w:r>
        <w:r w:rsidR="00C16F9D">
          <w:rPr>
            <w:noProof/>
            <w:webHidden/>
          </w:rPr>
          <w:fldChar w:fldCharType="separate"/>
        </w:r>
        <w:r w:rsidR="00C16F9D">
          <w:rPr>
            <w:noProof/>
            <w:webHidden/>
          </w:rPr>
          <w:t>67</w:t>
        </w:r>
        <w:r w:rsidR="00C16F9D">
          <w:rPr>
            <w:noProof/>
            <w:webHidden/>
          </w:rPr>
          <w:fldChar w:fldCharType="end"/>
        </w:r>
      </w:hyperlink>
    </w:p>
    <w:p w14:paraId="39FD9B63" w14:textId="23C854ED" w:rsidR="00C16F9D" w:rsidRDefault="0070071B">
      <w:pPr>
        <w:pStyle w:val="TableofFigures"/>
        <w:rPr>
          <w:rFonts w:asciiTheme="minorHAnsi" w:eastAsiaTheme="minorEastAsia" w:hAnsiTheme="minorHAnsi" w:cstheme="minorBidi"/>
          <w:noProof/>
          <w:color w:val="auto"/>
          <w:sz w:val="22"/>
          <w:szCs w:val="22"/>
        </w:rPr>
      </w:pPr>
      <w:hyperlink w:anchor="_Toc101963824" w:history="1">
        <w:r w:rsidR="00C16F9D" w:rsidRPr="006432DE">
          <w:rPr>
            <w:rStyle w:val="Hyperlink"/>
            <w:rFonts w:eastAsiaTheme="majorEastAsia"/>
            <w:noProof/>
          </w:rPr>
          <w:t>Figure 32. Observed and modelled (without Commonwealth environmental water and without any environmental water) water levels in upper weir pools (tailwaters) a. below Lock 1, b. Weir Pool 3 (below Lock 4) and c. Weir Pool 5 (below Lock 6).</w:t>
        </w:r>
        <w:r w:rsidR="00C16F9D">
          <w:rPr>
            <w:noProof/>
            <w:webHidden/>
          </w:rPr>
          <w:tab/>
        </w:r>
        <w:r w:rsidR="00C16F9D">
          <w:rPr>
            <w:noProof/>
            <w:webHidden/>
          </w:rPr>
          <w:fldChar w:fldCharType="begin"/>
        </w:r>
        <w:r w:rsidR="00C16F9D">
          <w:rPr>
            <w:noProof/>
            <w:webHidden/>
          </w:rPr>
          <w:instrText xml:space="preserve"> PAGEREF _Toc101963824 \h </w:instrText>
        </w:r>
        <w:r w:rsidR="00C16F9D">
          <w:rPr>
            <w:noProof/>
            <w:webHidden/>
          </w:rPr>
        </w:r>
        <w:r w:rsidR="00C16F9D">
          <w:rPr>
            <w:noProof/>
            <w:webHidden/>
          </w:rPr>
          <w:fldChar w:fldCharType="separate"/>
        </w:r>
        <w:r w:rsidR="00C16F9D">
          <w:rPr>
            <w:noProof/>
            <w:webHidden/>
          </w:rPr>
          <w:t>74</w:t>
        </w:r>
        <w:r w:rsidR="00C16F9D">
          <w:rPr>
            <w:noProof/>
            <w:webHidden/>
          </w:rPr>
          <w:fldChar w:fldCharType="end"/>
        </w:r>
      </w:hyperlink>
    </w:p>
    <w:p w14:paraId="513F0A0B" w14:textId="0C96B45D" w:rsidR="00C16F9D" w:rsidRDefault="0070071B">
      <w:pPr>
        <w:pStyle w:val="TableofFigures"/>
        <w:rPr>
          <w:rFonts w:asciiTheme="minorHAnsi" w:eastAsiaTheme="minorEastAsia" w:hAnsiTheme="minorHAnsi" w:cstheme="minorBidi"/>
          <w:noProof/>
          <w:color w:val="auto"/>
          <w:sz w:val="22"/>
          <w:szCs w:val="22"/>
        </w:rPr>
      </w:pPr>
      <w:hyperlink w:anchor="_Toc101963825" w:history="1">
        <w:r w:rsidR="00C16F9D" w:rsidRPr="006432DE">
          <w:rPr>
            <w:rStyle w:val="Hyperlink"/>
            <w:rFonts w:eastAsiaTheme="majorEastAsia"/>
            <w:noProof/>
          </w:rPr>
          <w:t>Figure 33. Position of quadrats in relation to maximum water level when sampled in February 2021.</w:t>
        </w:r>
        <w:r w:rsidR="00C16F9D">
          <w:rPr>
            <w:noProof/>
            <w:webHidden/>
          </w:rPr>
          <w:tab/>
        </w:r>
        <w:r w:rsidR="00C16F9D">
          <w:rPr>
            <w:noProof/>
            <w:webHidden/>
          </w:rPr>
          <w:fldChar w:fldCharType="begin"/>
        </w:r>
        <w:r w:rsidR="00C16F9D">
          <w:rPr>
            <w:noProof/>
            <w:webHidden/>
          </w:rPr>
          <w:instrText xml:space="preserve"> PAGEREF _Toc101963825 \h </w:instrText>
        </w:r>
        <w:r w:rsidR="00C16F9D">
          <w:rPr>
            <w:noProof/>
            <w:webHidden/>
          </w:rPr>
        </w:r>
        <w:r w:rsidR="00C16F9D">
          <w:rPr>
            <w:noProof/>
            <w:webHidden/>
          </w:rPr>
          <w:fldChar w:fldCharType="separate"/>
        </w:r>
        <w:r w:rsidR="00C16F9D">
          <w:rPr>
            <w:noProof/>
            <w:webHidden/>
          </w:rPr>
          <w:t>75</w:t>
        </w:r>
        <w:r w:rsidR="00C16F9D">
          <w:rPr>
            <w:noProof/>
            <w:webHidden/>
          </w:rPr>
          <w:fldChar w:fldCharType="end"/>
        </w:r>
      </w:hyperlink>
    </w:p>
    <w:p w14:paraId="7A71231B" w14:textId="3B9235E1" w:rsidR="00C16F9D" w:rsidRDefault="0070071B">
      <w:pPr>
        <w:pStyle w:val="TableofFigures"/>
        <w:rPr>
          <w:rFonts w:asciiTheme="minorHAnsi" w:eastAsiaTheme="minorEastAsia" w:hAnsiTheme="minorHAnsi" w:cstheme="minorBidi"/>
          <w:noProof/>
          <w:color w:val="auto"/>
          <w:sz w:val="22"/>
          <w:szCs w:val="22"/>
        </w:rPr>
      </w:pPr>
      <w:hyperlink w:anchor="_Toc101963826" w:history="1">
        <w:r w:rsidR="00C16F9D" w:rsidRPr="006432DE">
          <w:rPr>
            <w:rStyle w:val="Hyperlink"/>
            <w:rFonts w:eastAsiaTheme="majorEastAsia"/>
            <w:noProof/>
          </w:rPr>
          <w:t>Figure 34. Native species richness in each inundation zone in each reach in February 2021.</w:t>
        </w:r>
        <w:r w:rsidR="00C16F9D">
          <w:rPr>
            <w:noProof/>
            <w:webHidden/>
          </w:rPr>
          <w:tab/>
        </w:r>
        <w:r w:rsidR="00C16F9D">
          <w:rPr>
            <w:noProof/>
            <w:webHidden/>
          </w:rPr>
          <w:fldChar w:fldCharType="begin"/>
        </w:r>
        <w:r w:rsidR="00C16F9D">
          <w:rPr>
            <w:noProof/>
            <w:webHidden/>
          </w:rPr>
          <w:instrText xml:space="preserve"> PAGEREF _Toc101963826 \h </w:instrText>
        </w:r>
        <w:r w:rsidR="00C16F9D">
          <w:rPr>
            <w:noProof/>
            <w:webHidden/>
          </w:rPr>
        </w:r>
        <w:r w:rsidR="00C16F9D">
          <w:rPr>
            <w:noProof/>
            <w:webHidden/>
          </w:rPr>
          <w:fldChar w:fldCharType="separate"/>
        </w:r>
        <w:r w:rsidR="00C16F9D">
          <w:rPr>
            <w:noProof/>
            <w:webHidden/>
          </w:rPr>
          <w:t>77</w:t>
        </w:r>
        <w:r w:rsidR="00C16F9D">
          <w:rPr>
            <w:noProof/>
            <w:webHidden/>
          </w:rPr>
          <w:fldChar w:fldCharType="end"/>
        </w:r>
      </w:hyperlink>
    </w:p>
    <w:p w14:paraId="615CBE37" w14:textId="2FBB1F43" w:rsidR="00C16F9D" w:rsidRDefault="0070071B">
      <w:pPr>
        <w:pStyle w:val="TableofFigures"/>
        <w:rPr>
          <w:rFonts w:asciiTheme="minorHAnsi" w:eastAsiaTheme="minorEastAsia" w:hAnsiTheme="minorHAnsi" w:cstheme="minorBidi"/>
          <w:noProof/>
          <w:color w:val="auto"/>
          <w:sz w:val="22"/>
          <w:szCs w:val="22"/>
        </w:rPr>
      </w:pPr>
      <w:hyperlink w:anchor="_Toc101963827" w:history="1">
        <w:r w:rsidR="00C16F9D" w:rsidRPr="006432DE">
          <w:rPr>
            <w:rStyle w:val="Hyperlink"/>
            <w:rFonts w:eastAsiaTheme="majorEastAsia"/>
            <w:noProof/>
          </w:rPr>
          <w:t>Figure 35. Percentage of cells occupied by each functional group in each inundation zone in in the Lower Murray River in February 2021</w:t>
        </w:r>
        <w:r w:rsidR="00C16F9D">
          <w:rPr>
            <w:noProof/>
            <w:webHidden/>
          </w:rPr>
          <w:tab/>
        </w:r>
        <w:r w:rsidR="00C16F9D">
          <w:rPr>
            <w:noProof/>
            <w:webHidden/>
          </w:rPr>
          <w:fldChar w:fldCharType="begin"/>
        </w:r>
        <w:r w:rsidR="00C16F9D">
          <w:rPr>
            <w:noProof/>
            <w:webHidden/>
          </w:rPr>
          <w:instrText xml:space="preserve"> PAGEREF _Toc101963827 \h </w:instrText>
        </w:r>
        <w:r w:rsidR="00C16F9D">
          <w:rPr>
            <w:noProof/>
            <w:webHidden/>
          </w:rPr>
        </w:r>
        <w:r w:rsidR="00C16F9D">
          <w:rPr>
            <w:noProof/>
            <w:webHidden/>
          </w:rPr>
          <w:fldChar w:fldCharType="separate"/>
        </w:r>
        <w:r w:rsidR="00C16F9D">
          <w:rPr>
            <w:noProof/>
            <w:webHidden/>
          </w:rPr>
          <w:t>78</w:t>
        </w:r>
        <w:r w:rsidR="00C16F9D">
          <w:rPr>
            <w:noProof/>
            <w:webHidden/>
          </w:rPr>
          <w:fldChar w:fldCharType="end"/>
        </w:r>
      </w:hyperlink>
    </w:p>
    <w:p w14:paraId="3DFA241D" w14:textId="39C4B7D4" w:rsidR="00C16F9D" w:rsidRDefault="0070071B">
      <w:pPr>
        <w:pStyle w:val="TableofFigures"/>
        <w:rPr>
          <w:rFonts w:asciiTheme="minorHAnsi" w:eastAsiaTheme="minorEastAsia" w:hAnsiTheme="minorHAnsi" w:cstheme="minorBidi"/>
          <w:noProof/>
          <w:color w:val="auto"/>
          <w:sz w:val="22"/>
          <w:szCs w:val="22"/>
        </w:rPr>
      </w:pPr>
      <w:hyperlink w:anchor="_Toc101963828" w:history="1">
        <w:r w:rsidR="00C16F9D" w:rsidRPr="006432DE">
          <w:rPr>
            <w:rStyle w:val="Hyperlink"/>
            <w:rFonts w:eastAsiaTheme="majorEastAsia"/>
            <w:noProof/>
          </w:rPr>
          <w:t>Figure 36. nMDS Ordination comparing the plant community in each inundation zone in each reach in February 2021.</w:t>
        </w:r>
        <w:r w:rsidR="00C16F9D">
          <w:rPr>
            <w:noProof/>
            <w:webHidden/>
          </w:rPr>
          <w:tab/>
        </w:r>
        <w:r w:rsidR="00C16F9D">
          <w:rPr>
            <w:noProof/>
            <w:webHidden/>
          </w:rPr>
          <w:fldChar w:fldCharType="begin"/>
        </w:r>
        <w:r w:rsidR="00C16F9D">
          <w:rPr>
            <w:noProof/>
            <w:webHidden/>
          </w:rPr>
          <w:instrText xml:space="preserve"> PAGEREF _Toc101963828 \h </w:instrText>
        </w:r>
        <w:r w:rsidR="00C16F9D">
          <w:rPr>
            <w:noProof/>
            <w:webHidden/>
          </w:rPr>
        </w:r>
        <w:r w:rsidR="00C16F9D">
          <w:rPr>
            <w:noProof/>
            <w:webHidden/>
          </w:rPr>
          <w:fldChar w:fldCharType="separate"/>
        </w:r>
        <w:r w:rsidR="00C16F9D">
          <w:rPr>
            <w:noProof/>
            <w:webHidden/>
          </w:rPr>
          <w:t>79</w:t>
        </w:r>
        <w:r w:rsidR="00C16F9D">
          <w:rPr>
            <w:noProof/>
            <w:webHidden/>
          </w:rPr>
          <w:fldChar w:fldCharType="end"/>
        </w:r>
      </w:hyperlink>
    </w:p>
    <w:p w14:paraId="40484819" w14:textId="2472BB99" w:rsidR="00C16F9D" w:rsidRDefault="0070071B">
      <w:pPr>
        <w:pStyle w:val="TableofFigures"/>
        <w:rPr>
          <w:rFonts w:asciiTheme="minorHAnsi" w:eastAsiaTheme="minorEastAsia" w:hAnsiTheme="minorHAnsi" w:cstheme="minorBidi"/>
          <w:noProof/>
          <w:color w:val="auto"/>
          <w:sz w:val="22"/>
          <w:szCs w:val="22"/>
        </w:rPr>
      </w:pPr>
      <w:hyperlink w:anchor="_Toc101963829" w:history="1">
        <w:r w:rsidR="00C16F9D" w:rsidRPr="006432DE">
          <w:rPr>
            <w:rStyle w:val="Hyperlink"/>
            <w:rFonts w:eastAsiaTheme="majorEastAsia"/>
            <w:noProof/>
          </w:rPr>
          <w:t>Figure 37. Above ground biomass in each inundation zone in each reach in February 2021 (error bars = ± 1 SE).</w:t>
        </w:r>
        <w:r w:rsidR="00C16F9D">
          <w:rPr>
            <w:noProof/>
            <w:webHidden/>
          </w:rPr>
          <w:tab/>
        </w:r>
        <w:r w:rsidR="00C16F9D">
          <w:rPr>
            <w:noProof/>
            <w:webHidden/>
          </w:rPr>
          <w:fldChar w:fldCharType="begin"/>
        </w:r>
        <w:r w:rsidR="00C16F9D">
          <w:rPr>
            <w:noProof/>
            <w:webHidden/>
          </w:rPr>
          <w:instrText xml:space="preserve"> PAGEREF _Toc101963829 \h </w:instrText>
        </w:r>
        <w:r w:rsidR="00C16F9D">
          <w:rPr>
            <w:noProof/>
            <w:webHidden/>
          </w:rPr>
        </w:r>
        <w:r w:rsidR="00C16F9D">
          <w:rPr>
            <w:noProof/>
            <w:webHidden/>
          </w:rPr>
          <w:fldChar w:fldCharType="separate"/>
        </w:r>
        <w:r w:rsidR="00C16F9D">
          <w:rPr>
            <w:noProof/>
            <w:webHidden/>
          </w:rPr>
          <w:t>80</w:t>
        </w:r>
        <w:r w:rsidR="00C16F9D">
          <w:rPr>
            <w:noProof/>
            <w:webHidden/>
          </w:rPr>
          <w:fldChar w:fldCharType="end"/>
        </w:r>
      </w:hyperlink>
    </w:p>
    <w:p w14:paraId="3002BF93" w14:textId="794C0521" w:rsidR="00C16F9D" w:rsidRDefault="0070071B">
      <w:pPr>
        <w:pStyle w:val="TableofFigures"/>
        <w:rPr>
          <w:rFonts w:asciiTheme="minorHAnsi" w:eastAsiaTheme="minorEastAsia" w:hAnsiTheme="minorHAnsi" w:cstheme="minorBidi"/>
          <w:noProof/>
          <w:color w:val="auto"/>
          <w:sz w:val="22"/>
          <w:szCs w:val="22"/>
        </w:rPr>
      </w:pPr>
      <w:hyperlink w:anchor="_Toc101963830" w:history="1">
        <w:r w:rsidR="00C16F9D" w:rsidRPr="006432DE">
          <w:rPr>
            <w:rStyle w:val="Hyperlink"/>
            <w:rFonts w:eastAsiaTheme="majorEastAsia"/>
            <w:noProof/>
          </w:rPr>
          <w:t>Figure 38. Observed density and taxonomic richness for 2020-21 sampling at each lock. (a) mean density of three sub-samples at each site (lock, indicated by colour) and date. Error bars show 95% confidence limits and horizontal black lines show mean for the water year.</w:t>
        </w:r>
        <w:r w:rsidR="00C16F9D">
          <w:rPr>
            <w:noProof/>
            <w:webHidden/>
          </w:rPr>
          <w:tab/>
        </w:r>
        <w:r w:rsidR="00C16F9D">
          <w:rPr>
            <w:noProof/>
            <w:webHidden/>
          </w:rPr>
          <w:fldChar w:fldCharType="begin"/>
        </w:r>
        <w:r w:rsidR="00C16F9D">
          <w:rPr>
            <w:noProof/>
            <w:webHidden/>
          </w:rPr>
          <w:instrText xml:space="preserve"> PAGEREF _Toc101963830 \h </w:instrText>
        </w:r>
        <w:r w:rsidR="00C16F9D">
          <w:rPr>
            <w:noProof/>
            <w:webHidden/>
          </w:rPr>
        </w:r>
        <w:r w:rsidR="00C16F9D">
          <w:rPr>
            <w:noProof/>
            <w:webHidden/>
          </w:rPr>
          <w:fldChar w:fldCharType="separate"/>
        </w:r>
        <w:r w:rsidR="00C16F9D">
          <w:rPr>
            <w:noProof/>
            <w:webHidden/>
          </w:rPr>
          <w:t>91</w:t>
        </w:r>
        <w:r w:rsidR="00C16F9D">
          <w:rPr>
            <w:noProof/>
            <w:webHidden/>
          </w:rPr>
          <w:fldChar w:fldCharType="end"/>
        </w:r>
      </w:hyperlink>
    </w:p>
    <w:p w14:paraId="747C31BB" w14:textId="726033B7" w:rsidR="00C16F9D" w:rsidRDefault="0070071B">
      <w:pPr>
        <w:pStyle w:val="TableofFigures"/>
        <w:rPr>
          <w:rFonts w:asciiTheme="minorHAnsi" w:eastAsiaTheme="minorEastAsia" w:hAnsiTheme="minorHAnsi" w:cstheme="minorBidi"/>
          <w:noProof/>
          <w:color w:val="auto"/>
          <w:sz w:val="22"/>
          <w:szCs w:val="22"/>
        </w:rPr>
      </w:pPr>
      <w:hyperlink w:anchor="_Toc101963831" w:history="1">
        <w:r w:rsidR="00C16F9D" w:rsidRPr="006432DE">
          <w:rPr>
            <w:rStyle w:val="Hyperlink"/>
            <w:rFonts w:eastAsiaTheme="majorEastAsia"/>
            <w:noProof/>
          </w:rPr>
          <w:t>Figure 39. Functional group density by sampling date and lock for the 2020-21 season. Three sub-samples were collected at a single sample site located 5 km downstream of each lock shown in the panel caption.</w:t>
        </w:r>
        <w:r w:rsidR="00C16F9D">
          <w:rPr>
            <w:noProof/>
            <w:webHidden/>
          </w:rPr>
          <w:tab/>
        </w:r>
        <w:r w:rsidR="00C16F9D">
          <w:rPr>
            <w:noProof/>
            <w:webHidden/>
          </w:rPr>
          <w:fldChar w:fldCharType="begin"/>
        </w:r>
        <w:r w:rsidR="00C16F9D">
          <w:rPr>
            <w:noProof/>
            <w:webHidden/>
          </w:rPr>
          <w:instrText xml:space="preserve"> PAGEREF _Toc101963831 \h </w:instrText>
        </w:r>
        <w:r w:rsidR="00C16F9D">
          <w:rPr>
            <w:noProof/>
            <w:webHidden/>
          </w:rPr>
        </w:r>
        <w:r w:rsidR="00C16F9D">
          <w:rPr>
            <w:noProof/>
            <w:webHidden/>
          </w:rPr>
          <w:fldChar w:fldCharType="separate"/>
        </w:r>
        <w:r w:rsidR="00C16F9D">
          <w:rPr>
            <w:noProof/>
            <w:webHidden/>
          </w:rPr>
          <w:t>92</w:t>
        </w:r>
        <w:r w:rsidR="00C16F9D">
          <w:rPr>
            <w:noProof/>
            <w:webHidden/>
          </w:rPr>
          <w:fldChar w:fldCharType="end"/>
        </w:r>
      </w:hyperlink>
    </w:p>
    <w:p w14:paraId="5B8CD023" w14:textId="113E9261" w:rsidR="00C16F9D" w:rsidRDefault="0070071B">
      <w:pPr>
        <w:pStyle w:val="TableofFigures"/>
        <w:rPr>
          <w:rFonts w:asciiTheme="minorHAnsi" w:eastAsiaTheme="minorEastAsia" w:hAnsiTheme="minorHAnsi" w:cstheme="minorBidi"/>
          <w:noProof/>
          <w:color w:val="auto"/>
          <w:sz w:val="22"/>
          <w:szCs w:val="22"/>
        </w:rPr>
      </w:pPr>
      <w:hyperlink w:anchor="_Toc101963832" w:history="1">
        <w:r w:rsidR="00C16F9D" w:rsidRPr="006432DE">
          <w:rPr>
            <w:rStyle w:val="Hyperlink"/>
            <w:rFonts w:eastAsiaTheme="majorEastAsia"/>
            <w:noProof/>
          </w:rPr>
          <w:t>Figure 40. Observed and modelled (a) microinvertebrate density (individuals/litre, ind/L) and (b) taxonomic richness (number of taxa) by water year over the period 2014−2020 (2018-19 not sampled). In each panel, observed data (‘</w:t>
        </w:r>
        <w:r w:rsidR="00C16F9D" w:rsidRPr="006432DE">
          <w:rPr>
            <w:rStyle w:val="Hyperlink"/>
            <w:rFonts w:eastAsiaTheme="majorEastAsia"/>
            <w:i/>
            <w:iCs/>
            <w:noProof/>
          </w:rPr>
          <w:t>Observed</w:t>
        </w:r>
        <w:r w:rsidR="00C16F9D" w:rsidRPr="006432DE">
          <w:rPr>
            <w:rStyle w:val="Hyperlink"/>
            <w:rFonts w:eastAsiaTheme="majorEastAsia"/>
            <w:noProof/>
          </w:rPr>
          <w:t xml:space="preserve">’; blue bars) for all samples in the water year shown on the </w:t>
        </w:r>
        <w:r w:rsidR="00C16F9D" w:rsidRPr="006432DE">
          <w:rPr>
            <w:rStyle w:val="Hyperlink"/>
            <w:rFonts w:eastAsiaTheme="majorEastAsia"/>
            <w:i/>
            <w:iCs/>
            <w:noProof/>
          </w:rPr>
          <w:t>x</w:t>
        </w:r>
        <w:r w:rsidR="00C16F9D" w:rsidRPr="006432DE">
          <w:rPr>
            <w:rStyle w:val="Hyperlink"/>
            <w:rFonts w:eastAsiaTheme="majorEastAsia"/>
            <w:noProof/>
          </w:rPr>
          <w:t>-axis are compared with modelled expectations under two environmental flow scenarios: Under no Commonwealth environmental water delivery (‘</w:t>
        </w:r>
        <w:r w:rsidR="00C16F9D" w:rsidRPr="006432DE">
          <w:rPr>
            <w:rStyle w:val="Hyperlink"/>
            <w:rFonts w:eastAsiaTheme="majorEastAsia"/>
            <w:i/>
            <w:iCs/>
            <w:noProof/>
          </w:rPr>
          <w:t>No CEW’</w:t>
        </w:r>
        <w:r w:rsidR="00C16F9D" w:rsidRPr="006432DE">
          <w:rPr>
            <w:rStyle w:val="Hyperlink"/>
            <w:rFonts w:eastAsiaTheme="majorEastAsia"/>
            <w:noProof/>
          </w:rPr>
          <w:t>; orange bars) and if no environmental water were provided at all (‘</w:t>
        </w:r>
        <w:r w:rsidR="00C16F9D" w:rsidRPr="006432DE">
          <w:rPr>
            <w:rStyle w:val="Hyperlink"/>
            <w:rFonts w:eastAsiaTheme="majorEastAsia"/>
            <w:i/>
            <w:iCs/>
            <w:noProof/>
          </w:rPr>
          <w:t>No eWater</w:t>
        </w:r>
        <w:r w:rsidR="00C16F9D" w:rsidRPr="006432DE">
          <w:rPr>
            <w:rStyle w:val="Hyperlink"/>
            <w:rFonts w:eastAsiaTheme="majorEastAsia"/>
            <w:noProof/>
          </w:rPr>
          <w:t>’; grey bars). Black diamonds represent mean values. Results of the generalised linear models used to run the scenarios are given in Tables D7 (density) and D8 (taxonomic richness) in Appendix D.</w:t>
        </w:r>
        <w:r w:rsidR="00C16F9D">
          <w:rPr>
            <w:noProof/>
            <w:webHidden/>
          </w:rPr>
          <w:tab/>
        </w:r>
        <w:r w:rsidR="00C16F9D">
          <w:rPr>
            <w:noProof/>
            <w:webHidden/>
          </w:rPr>
          <w:fldChar w:fldCharType="begin"/>
        </w:r>
        <w:r w:rsidR="00C16F9D">
          <w:rPr>
            <w:noProof/>
            <w:webHidden/>
          </w:rPr>
          <w:instrText xml:space="preserve"> PAGEREF _Toc101963832 \h </w:instrText>
        </w:r>
        <w:r w:rsidR="00C16F9D">
          <w:rPr>
            <w:noProof/>
            <w:webHidden/>
          </w:rPr>
        </w:r>
        <w:r w:rsidR="00C16F9D">
          <w:rPr>
            <w:noProof/>
            <w:webHidden/>
          </w:rPr>
          <w:fldChar w:fldCharType="separate"/>
        </w:r>
        <w:r w:rsidR="00C16F9D">
          <w:rPr>
            <w:noProof/>
            <w:webHidden/>
          </w:rPr>
          <w:t>93</w:t>
        </w:r>
        <w:r w:rsidR="00C16F9D">
          <w:rPr>
            <w:noProof/>
            <w:webHidden/>
          </w:rPr>
          <w:fldChar w:fldCharType="end"/>
        </w:r>
      </w:hyperlink>
    </w:p>
    <w:p w14:paraId="4419BCA2" w14:textId="2A7A6211" w:rsidR="00C16F9D" w:rsidRDefault="0070071B">
      <w:pPr>
        <w:pStyle w:val="TableofFigures"/>
        <w:rPr>
          <w:rFonts w:asciiTheme="minorHAnsi" w:eastAsiaTheme="minorEastAsia" w:hAnsiTheme="minorHAnsi" w:cstheme="minorBidi"/>
          <w:noProof/>
          <w:color w:val="auto"/>
          <w:sz w:val="22"/>
          <w:szCs w:val="22"/>
        </w:rPr>
      </w:pPr>
      <w:hyperlink w:anchor="_Toc101963833" w:history="1">
        <w:r w:rsidR="00C16F9D" w:rsidRPr="006432DE">
          <w:rPr>
            <w:rStyle w:val="Hyperlink"/>
            <w:rFonts w:eastAsiaTheme="majorEastAsia"/>
            <w:noProof/>
          </w:rPr>
          <w:t xml:space="preserve">Figure 41. Observed and modelled density (individuals per litre, ind/L) with and without environmental water (a) microinvertebrate taxa associated with lateral connectivity to floodplains and backwaters and (b) microinvertebrate taxa </w:t>
        </w:r>
        <w:r w:rsidR="00C16F9D" w:rsidRPr="006432DE">
          <w:rPr>
            <w:rStyle w:val="Hyperlink"/>
            <w:rFonts w:eastAsiaTheme="majorEastAsia"/>
            <w:noProof/>
          </w:rPr>
          <w:lastRenderedPageBreak/>
          <w:t>associated with longitudinal transport and connectivity with upstream areas by water year over the period 2014−2021 (2018-19 not sampled). In each panel, observed data (‘</w:t>
        </w:r>
        <w:r w:rsidR="00C16F9D" w:rsidRPr="006432DE">
          <w:rPr>
            <w:rStyle w:val="Hyperlink"/>
            <w:rFonts w:eastAsiaTheme="majorEastAsia"/>
            <w:i/>
            <w:iCs/>
            <w:noProof/>
          </w:rPr>
          <w:t>Observed</w:t>
        </w:r>
        <w:r w:rsidR="00C16F9D" w:rsidRPr="006432DE">
          <w:rPr>
            <w:rStyle w:val="Hyperlink"/>
            <w:rFonts w:eastAsiaTheme="majorEastAsia"/>
            <w:noProof/>
          </w:rPr>
          <w:t>’; blue bars) for all samples in the water year shown on the x-axis are compared with modelled expectations under two environmental flow scenarios: Under no Commonwealth environmental water delivery (‘</w:t>
        </w:r>
        <w:r w:rsidR="00C16F9D" w:rsidRPr="006432DE">
          <w:rPr>
            <w:rStyle w:val="Hyperlink"/>
            <w:rFonts w:eastAsiaTheme="majorEastAsia"/>
            <w:i/>
            <w:iCs/>
            <w:noProof/>
          </w:rPr>
          <w:t>No CEW</w:t>
        </w:r>
        <w:r w:rsidR="00C16F9D" w:rsidRPr="006432DE">
          <w:rPr>
            <w:rStyle w:val="Hyperlink"/>
            <w:rFonts w:eastAsiaTheme="majorEastAsia"/>
            <w:noProof/>
          </w:rPr>
          <w:t>’; orange bars) and if no environmental water were provided at all (‘</w:t>
        </w:r>
        <w:r w:rsidR="00C16F9D" w:rsidRPr="006432DE">
          <w:rPr>
            <w:rStyle w:val="Hyperlink"/>
            <w:rFonts w:eastAsiaTheme="majorEastAsia"/>
            <w:i/>
            <w:iCs/>
            <w:noProof/>
          </w:rPr>
          <w:t>No eWater</w:t>
        </w:r>
        <w:r w:rsidR="00C16F9D" w:rsidRPr="006432DE">
          <w:rPr>
            <w:rStyle w:val="Hyperlink"/>
            <w:rFonts w:eastAsiaTheme="majorEastAsia"/>
            <w:noProof/>
          </w:rPr>
          <w:t>’; grey bars). Black diamonds represent mean values. Results of the generalised linear models used to run the scenarios are given in Tables D9 (taxa associated with lateral connectivity to floodplains and backwaters) and D10 (taxa associated with longitudinal transport and connectivity) in Appendix D.</w:t>
        </w:r>
        <w:r w:rsidR="00C16F9D">
          <w:rPr>
            <w:noProof/>
            <w:webHidden/>
          </w:rPr>
          <w:tab/>
        </w:r>
        <w:r w:rsidR="00C16F9D">
          <w:rPr>
            <w:noProof/>
            <w:webHidden/>
          </w:rPr>
          <w:fldChar w:fldCharType="begin"/>
        </w:r>
        <w:r w:rsidR="00C16F9D">
          <w:rPr>
            <w:noProof/>
            <w:webHidden/>
          </w:rPr>
          <w:instrText xml:space="preserve"> PAGEREF _Toc101963833 \h </w:instrText>
        </w:r>
        <w:r w:rsidR="00C16F9D">
          <w:rPr>
            <w:noProof/>
            <w:webHidden/>
          </w:rPr>
        </w:r>
        <w:r w:rsidR="00C16F9D">
          <w:rPr>
            <w:noProof/>
            <w:webHidden/>
          </w:rPr>
          <w:fldChar w:fldCharType="separate"/>
        </w:r>
        <w:r w:rsidR="00C16F9D">
          <w:rPr>
            <w:noProof/>
            <w:webHidden/>
          </w:rPr>
          <w:t>94</w:t>
        </w:r>
        <w:r w:rsidR="00C16F9D">
          <w:rPr>
            <w:noProof/>
            <w:webHidden/>
          </w:rPr>
          <w:fldChar w:fldCharType="end"/>
        </w:r>
      </w:hyperlink>
    </w:p>
    <w:p w14:paraId="2A667E9A" w14:textId="6A031504" w:rsidR="00C16F9D" w:rsidRDefault="0070071B">
      <w:pPr>
        <w:pStyle w:val="TableofFigures"/>
        <w:rPr>
          <w:rFonts w:asciiTheme="minorHAnsi" w:eastAsiaTheme="minorEastAsia" w:hAnsiTheme="minorHAnsi" w:cstheme="minorBidi"/>
          <w:noProof/>
          <w:color w:val="auto"/>
          <w:sz w:val="22"/>
          <w:szCs w:val="22"/>
        </w:rPr>
      </w:pPr>
      <w:hyperlink w:anchor="_Toc101963834" w:history="1">
        <w:r w:rsidR="00C16F9D" w:rsidRPr="006432DE">
          <w:rPr>
            <w:rStyle w:val="Hyperlink"/>
            <w:rFonts w:eastAsiaTheme="majorEastAsia"/>
            <w:noProof/>
          </w:rPr>
          <w:t>Figure 42. Observed and modelled density (individuals per litre, ind/L) of microinvertebrate prey taxa for large-bodied fish larvae in the Lower Murray during spring–early summer (mid-October to late-December). In each panel, observed data (‘</w:t>
        </w:r>
        <w:r w:rsidR="00C16F9D" w:rsidRPr="006432DE">
          <w:rPr>
            <w:rStyle w:val="Hyperlink"/>
            <w:rFonts w:eastAsiaTheme="majorEastAsia"/>
            <w:i/>
            <w:iCs/>
            <w:noProof/>
          </w:rPr>
          <w:t>Observed</w:t>
        </w:r>
        <w:r w:rsidR="00C16F9D" w:rsidRPr="006432DE">
          <w:rPr>
            <w:rStyle w:val="Hyperlink"/>
            <w:rFonts w:eastAsiaTheme="majorEastAsia"/>
            <w:noProof/>
          </w:rPr>
          <w:t>’; blue bars) for all samples in the water year shown on the x-axis are compared with modelled expectations under two environmental flow scenarios: Under no Commonwealth environmental water delivery (‘</w:t>
        </w:r>
        <w:r w:rsidR="00C16F9D" w:rsidRPr="006432DE">
          <w:rPr>
            <w:rStyle w:val="Hyperlink"/>
            <w:rFonts w:eastAsiaTheme="majorEastAsia"/>
            <w:i/>
            <w:iCs/>
            <w:noProof/>
          </w:rPr>
          <w:t>No CEW</w:t>
        </w:r>
        <w:r w:rsidR="00C16F9D" w:rsidRPr="006432DE">
          <w:rPr>
            <w:rStyle w:val="Hyperlink"/>
            <w:rFonts w:eastAsiaTheme="majorEastAsia"/>
            <w:noProof/>
          </w:rPr>
          <w:t>’; orange bars) and if no environmental water were provided at all (‘</w:t>
        </w:r>
        <w:r w:rsidR="00C16F9D" w:rsidRPr="006432DE">
          <w:rPr>
            <w:rStyle w:val="Hyperlink"/>
            <w:rFonts w:eastAsiaTheme="majorEastAsia"/>
            <w:i/>
            <w:iCs/>
            <w:noProof/>
          </w:rPr>
          <w:t>No eWater</w:t>
        </w:r>
        <w:r w:rsidR="00C16F9D" w:rsidRPr="006432DE">
          <w:rPr>
            <w:rStyle w:val="Hyperlink"/>
            <w:rFonts w:eastAsiaTheme="majorEastAsia"/>
            <w:noProof/>
          </w:rPr>
          <w:t>’; grey bars). Black diamonds represent mean values. Results of the generalised linear models used to run the scenarios are given in Table D11 in Appendix D.</w:t>
        </w:r>
        <w:r w:rsidR="00C16F9D">
          <w:rPr>
            <w:noProof/>
            <w:webHidden/>
          </w:rPr>
          <w:tab/>
        </w:r>
        <w:r w:rsidR="00C16F9D">
          <w:rPr>
            <w:noProof/>
            <w:webHidden/>
          </w:rPr>
          <w:fldChar w:fldCharType="begin"/>
        </w:r>
        <w:r w:rsidR="00C16F9D">
          <w:rPr>
            <w:noProof/>
            <w:webHidden/>
          </w:rPr>
          <w:instrText xml:space="preserve"> PAGEREF _Toc101963834 \h </w:instrText>
        </w:r>
        <w:r w:rsidR="00C16F9D">
          <w:rPr>
            <w:noProof/>
            <w:webHidden/>
          </w:rPr>
        </w:r>
        <w:r w:rsidR="00C16F9D">
          <w:rPr>
            <w:noProof/>
            <w:webHidden/>
          </w:rPr>
          <w:fldChar w:fldCharType="separate"/>
        </w:r>
        <w:r w:rsidR="00C16F9D">
          <w:rPr>
            <w:noProof/>
            <w:webHidden/>
          </w:rPr>
          <w:t>95</w:t>
        </w:r>
        <w:r w:rsidR="00C16F9D">
          <w:rPr>
            <w:noProof/>
            <w:webHidden/>
          </w:rPr>
          <w:fldChar w:fldCharType="end"/>
        </w:r>
      </w:hyperlink>
    </w:p>
    <w:p w14:paraId="39139511" w14:textId="40E73263" w:rsidR="00C16F9D" w:rsidRDefault="0070071B">
      <w:pPr>
        <w:pStyle w:val="TableofFigures"/>
        <w:rPr>
          <w:rFonts w:asciiTheme="minorHAnsi" w:eastAsiaTheme="minorEastAsia" w:hAnsiTheme="minorHAnsi" w:cstheme="minorBidi"/>
          <w:noProof/>
          <w:color w:val="auto"/>
          <w:sz w:val="22"/>
          <w:szCs w:val="22"/>
        </w:rPr>
      </w:pPr>
      <w:hyperlink w:anchor="_Toc101963835" w:history="1">
        <w:r w:rsidR="00C16F9D" w:rsidRPr="006432DE">
          <w:rPr>
            <w:rStyle w:val="Hyperlink"/>
            <w:rFonts w:eastAsiaTheme="majorEastAsia"/>
            <w:noProof/>
          </w:rPr>
          <w:t>Figure 43. Map showing the location of the Murray–Darling Basin and the major rivers that comprise the southern Murray-Darling Basin, the numbered Locks (L) and Weirs (up to Lock 26, Torrumbarry), the Darling, Lachlan, Murrumbidgee, Edward–Wakool, Campaspe and Goulburn rivers and Lake Victoria, an off-stream storage used to regulate flows in the Murray River below Lock 9.</w:t>
        </w:r>
        <w:r w:rsidR="00C16F9D">
          <w:rPr>
            <w:noProof/>
            <w:webHidden/>
          </w:rPr>
          <w:tab/>
        </w:r>
        <w:r w:rsidR="00C16F9D">
          <w:rPr>
            <w:noProof/>
            <w:webHidden/>
          </w:rPr>
          <w:fldChar w:fldCharType="begin"/>
        </w:r>
        <w:r w:rsidR="00C16F9D">
          <w:rPr>
            <w:noProof/>
            <w:webHidden/>
          </w:rPr>
          <w:instrText xml:space="preserve"> PAGEREF _Toc101963835 \h </w:instrText>
        </w:r>
        <w:r w:rsidR="00C16F9D">
          <w:rPr>
            <w:noProof/>
            <w:webHidden/>
          </w:rPr>
        </w:r>
        <w:r w:rsidR="00C16F9D">
          <w:rPr>
            <w:noProof/>
            <w:webHidden/>
          </w:rPr>
          <w:fldChar w:fldCharType="separate"/>
        </w:r>
        <w:r w:rsidR="00C16F9D">
          <w:rPr>
            <w:noProof/>
            <w:webHidden/>
          </w:rPr>
          <w:t>104</w:t>
        </w:r>
        <w:r w:rsidR="00C16F9D">
          <w:rPr>
            <w:noProof/>
            <w:webHidden/>
          </w:rPr>
          <w:fldChar w:fldCharType="end"/>
        </w:r>
      </w:hyperlink>
    </w:p>
    <w:p w14:paraId="3F4A6CB7" w14:textId="2F4A5B21" w:rsidR="00C16F9D" w:rsidRDefault="0070071B">
      <w:pPr>
        <w:pStyle w:val="TableofFigures"/>
        <w:rPr>
          <w:rFonts w:asciiTheme="minorHAnsi" w:eastAsiaTheme="minorEastAsia" w:hAnsiTheme="minorHAnsi" w:cstheme="minorBidi"/>
          <w:noProof/>
          <w:color w:val="auto"/>
          <w:sz w:val="22"/>
          <w:szCs w:val="22"/>
        </w:rPr>
      </w:pPr>
      <w:hyperlink w:anchor="_Toc101963836" w:history="1">
        <w:r w:rsidR="00C16F9D" w:rsidRPr="006432DE">
          <w:rPr>
            <w:rStyle w:val="Hyperlink"/>
            <w:rFonts w:eastAsiaTheme="majorEastAsia"/>
            <w:noProof/>
          </w:rPr>
          <w:t>Figure 44. Mean catch-per-unit-effort (CPUE, individuals per trip) ± standard error of golden perch and silver perch larvae downstream of Locks 1 (a), 4 (b) and 6 (c) in the LMR from November 2020 to January 2021. Detections of golden perch eggs are indicated by asterisks. Daily flow at Lock 1 (red line), Lock 4 (grey line) and to South Australia (SA) (blue line) are shown.</w:t>
        </w:r>
        <w:r w:rsidR="00C16F9D">
          <w:rPr>
            <w:noProof/>
            <w:webHidden/>
          </w:rPr>
          <w:tab/>
        </w:r>
        <w:r w:rsidR="00C16F9D">
          <w:rPr>
            <w:noProof/>
            <w:webHidden/>
          </w:rPr>
          <w:fldChar w:fldCharType="begin"/>
        </w:r>
        <w:r w:rsidR="00C16F9D">
          <w:rPr>
            <w:noProof/>
            <w:webHidden/>
          </w:rPr>
          <w:instrText xml:space="preserve"> PAGEREF _Toc101963836 \h </w:instrText>
        </w:r>
        <w:r w:rsidR="00C16F9D">
          <w:rPr>
            <w:noProof/>
            <w:webHidden/>
          </w:rPr>
        </w:r>
        <w:r w:rsidR="00C16F9D">
          <w:rPr>
            <w:noProof/>
            <w:webHidden/>
          </w:rPr>
          <w:fldChar w:fldCharType="separate"/>
        </w:r>
        <w:r w:rsidR="00C16F9D">
          <w:rPr>
            <w:noProof/>
            <w:webHidden/>
          </w:rPr>
          <w:t>108</w:t>
        </w:r>
        <w:r w:rsidR="00C16F9D">
          <w:rPr>
            <w:noProof/>
            <w:webHidden/>
          </w:rPr>
          <w:fldChar w:fldCharType="end"/>
        </w:r>
      </w:hyperlink>
    </w:p>
    <w:p w14:paraId="25398385" w14:textId="1C504DC7" w:rsidR="00C16F9D" w:rsidRDefault="0070071B">
      <w:pPr>
        <w:pStyle w:val="TableofFigures"/>
        <w:rPr>
          <w:rFonts w:asciiTheme="minorHAnsi" w:eastAsiaTheme="minorEastAsia" w:hAnsiTheme="minorHAnsi" w:cstheme="minorBidi"/>
          <w:noProof/>
          <w:color w:val="auto"/>
          <w:sz w:val="22"/>
          <w:szCs w:val="22"/>
        </w:rPr>
      </w:pPr>
      <w:hyperlink w:anchor="_Toc101963837" w:history="1">
        <w:r w:rsidR="00C16F9D" w:rsidRPr="006432DE">
          <w:rPr>
            <w:rStyle w:val="Hyperlink"/>
            <w:rFonts w:eastAsiaTheme="majorEastAsia"/>
            <w:noProof/>
          </w:rPr>
          <w:t>Figure 45. Back-calculated spawn dates for (a) golden perch larvae (</w:t>
        </w:r>
        <w:r w:rsidR="00C16F9D" w:rsidRPr="006432DE">
          <w:rPr>
            <w:rStyle w:val="Hyperlink"/>
            <w:rFonts w:eastAsiaTheme="majorEastAsia"/>
            <w:i/>
            <w:noProof/>
          </w:rPr>
          <w:t>n</w:t>
        </w:r>
        <w:r w:rsidR="00C16F9D" w:rsidRPr="006432DE">
          <w:rPr>
            <w:rStyle w:val="Hyperlink"/>
            <w:rFonts w:eastAsiaTheme="majorEastAsia"/>
            <w:noProof/>
          </w:rPr>
          <w:t xml:space="preserve"> = 20) and (b) silver perch larvae (</w:t>
        </w:r>
        <w:r w:rsidR="00C16F9D" w:rsidRPr="006432DE">
          <w:rPr>
            <w:rStyle w:val="Hyperlink"/>
            <w:rFonts w:eastAsiaTheme="majorEastAsia"/>
            <w:i/>
            <w:noProof/>
          </w:rPr>
          <w:t>n</w:t>
        </w:r>
        <w:r w:rsidR="00C16F9D" w:rsidRPr="006432DE">
          <w:rPr>
            <w:rStyle w:val="Hyperlink"/>
            <w:rFonts w:eastAsiaTheme="majorEastAsia"/>
            <w:noProof/>
          </w:rPr>
          <w:t xml:space="preserve"> = 56) captured below Lock 6 (blue bars), Lock 4 (grey bars) and Lock 1 (red bars) in the LMR during 2020-21, plotted against discharge (ML/d) at the South Australian border (solid blue line) and Euston (solid grey line), and water temperature (°C) (dotted black line). Golden perch egg collection dates are shown for Lock 6 (blue asterisk), Lock 4 (grey asterisk) and Lock 1 (red asterisk).</w:t>
        </w:r>
        <w:r w:rsidR="00C16F9D">
          <w:rPr>
            <w:noProof/>
            <w:webHidden/>
          </w:rPr>
          <w:tab/>
        </w:r>
        <w:r w:rsidR="00C16F9D">
          <w:rPr>
            <w:noProof/>
            <w:webHidden/>
          </w:rPr>
          <w:fldChar w:fldCharType="begin"/>
        </w:r>
        <w:r w:rsidR="00C16F9D">
          <w:rPr>
            <w:noProof/>
            <w:webHidden/>
          </w:rPr>
          <w:instrText xml:space="preserve"> PAGEREF _Toc101963837 \h </w:instrText>
        </w:r>
        <w:r w:rsidR="00C16F9D">
          <w:rPr>
            <w:noProof/>
            <w:webHidden/>
          </w:rPr>
        </w:r>
        <w:r w:rsidR="00C16F9D">
          <w:rPr>
            <w:noProof/>
            <w:webHidden/>
          </w:rPr>
          <w:fldChar w:fldCharType="separate"/>
        </w:r>
        <w:r w:rsidR="00C16F9D">
          <w:rPr>
            <w:noProof/>
            <w:webHidden/>
          </w:rPr>
          <w:t>109</w:t>
        </w:r>
        <w:r w:rsidR="00C16F9D">
          <w:rPr>
            <w:noProof/>
            <w:webHidden/>
          </w:rPr>
          <w:fldChar w:fldCharType="end"/>
        </w:r>
      </w:hyperlink>
    </w:p>
    <w:p w14:paraId="2A775365" w14:textId="558B30EF" w:rsidR="00C16F9D" w:rsidRDefault="0070071B">
      <w:pPr>
        <w:pStyle w:val="TableofFigures"/>
        <w:rPr>
          <w:rFonts w:asciiTheme="minorHAnsi" w:eastAsiaTheme="minorEastAsia" w:hAnsiTheme="minorHAnsi" w:cstheme="minorBidi"/>
          <w:noProof/>
          <w:color w:val="auto"/>
          <w:sz w:val="22"/>
          <w:szCs w:val="22"/>
        </w:rPr>
      </w:pPr>
      <w:hyperlink w:anchor="_Toc101963838" w:history="1">
        <w:r w:rsidR="00C16F9D" w:rsidRPr="006432DE">
          <w:rPr>
            <w:rStyle w:val="Hyperlink"/>
            <w:rFonts w:eastAsiaTheme="majorEastAsia"/>
            <w:noProof/>
          </w:rPr>
          <w:t xml:space="preserve">Figure 46.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in water samples collected from early November 2020 to mid-January 2021 at sites in the southern MDB.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in the Darling River (0.7076) and Murray River at Barmah (0.7192) are presented as dashed straight lines and based on long-term (2012–2019) averages (Ye </w:t>
        </w:r>
        <w:r w:rsidR="00C16F9D" w:rsidRPr="006432DE">
          <w:rPr>
            <w:rStyle w:val="Hyperlink"/>
            <w:rFonts w:eastAsiaTheme="majorEastAsia"/>
            <w:i/>
            <w:iCs/>
            <w:noProof/>
          </w:rPr>
          <w:t xml:space="preserve">et al. </w:t>
        </w:r>
        <w:r w:rsidR="00C16F9D" w:rsidRPr="006432DE">
          <w:rPr>
            <w:rStyle w:val="Hyperlink"/>
            <w:rFonts w:eastAsiaTheme="majorEastAsia"/>
            <w:noProof/>
          </w:rPr>
          <w:t xml:space="preserve">2020a). Water from the Rufus River (upwards grey triangle) was only sampled on one occasion (3 replicates averaged) in late December 2020-21. Coloured symbols represent spawn date and otolith core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Sr of larval golden perch (red triangles) and silver perch (blue circles) collected in the LMR from November 2020 to January 2021.</w:t>
        </w:r>
        <w:r w:rsidR="00C16F9D">
          <w:rPr>
            <w:noProof/>
            <w:webHidden/>
          </w:rPr>
          <w:tab/>
        </w:r>
        <w:r w:rsidR="00C16F9D">
          <w:rPr>
            <w:noProof/>
            <w:webHidden/>
          </w:rPr>
          <w:fldChar w:fldCharType="begin"/>
        </w:r>
        <w:r w:rsidR="00C16F9D">
          <w:rPr>
            <w:noProof/>
            <w:webHidden/>
          </w:rPr>
          <w:instrText xml:space="preserve"> PAGEREF _Toc101963838 \h </w:instrText>
        </w:r>
        <w:r w:rsidR="00C16F9D">
          <w:rPr>
            <w:noProof/>
            <w:webHidden/>
          </w:rPr>
        </w:r>
        <w:r w:rsidR="00C16F9D">
          <w:rPr>
            <w:noProof/>
            <w:webHidden/>
          </w:rPr>
          <w:fldChar w:fldCharType="separate"/>
        </w:r>
        <w:r w:rsidR="00C16F9D">
          <w:rPr>
            <w:noProof/>
            <w:webHidden/>
          </w:rPr>
          <w:t>110</w:t>
        </w:r>
        <w:r w:rsidR="00C16F9D">
          <w:rPr>
            <w:noProof/>
            <w:webHidden/>
          </w:rPr>
          <w:fldChar w:fldCharType="end"/>
        </w:r>
      </w:hyperlink>
    </w:p>
    <w:p w14:paraId="3EC70782" w14:textId="0B3F2E40" w:rsidR="00C16F9D" w:rsidRDefault="0070071B">
      <w:pPr>
        <w:pStyle w:val="TableofFigures"/>
        <w:rPr>
          <w:rFonts w:asciiTheme="minorHAnsi" w:eastAsiaTheme="minorEastAsia" w:hAnsiTheme="minorHAnsi" w:cstheme="minorBidi"/>
          <w:noProof/>
          <w:color w:val="auto"/>
          <w:sz w:val="22"/>
          <w:szCs w:val="22"/>
        </w:rPr>
      </w:pPr>
      <w:hyperlink w:anchor="_Toc101963839" w:history="1">
        <w:r w:rsidR="00C16F9D" w:rsidRPr="006432DE">
          <w:rPr>
            <w:rStyle w:val="Hyperlink"/>
            <w:rFonts w:eastAsiaTheme="majorEastAsia"/>
            <w:noProof/>
          </w:rPr>
          <w:t xml:space="preserve">Figure 47. Individual life history profiles based on otolith Sr isotope transects (core to edge) for silver perch (a-c) and golden perch (d) larvae collected in the Lower Murray River. Age at capture and capture location are provide above each transect. Dashed lines denote minimum and maximum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ratios in the Lower Murray River downstream of the Darling River junction (i.e. Lock 1 to Lock 9, blue) and mid-Murray River (i.e. Lock 11 to Torrumbarry, red) for the 2020-21 spring/summer period. Green dashed line indicates the temporally stable water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Sr of the lower Darling River (i.e. ~0.7075).</w:t>
        </w:r>
        <w:r w:rsidR="00C16F9D">
          <w:rPr>
            <w:noProof/>
            <w:webHidden/>
          </w:rPr>
          <w:tab/>
        </w:r>
        <w:r w:rsidR="00C16F9D">
          <w:rPr>
            <w:noProof/>
            <w:webHidden/>
          </w:rPr>
          <w:fldChar w:fldCharType="begin"/>
        </w:r>
        <w:r w:rsidR="00C16F9D">
          <w:rPr>
            <w:noProof/>
            <w:webHidden/>
          </w:rPr>
          <w:instrText xml:space="preserve"> PAGEREF _Toc101963839 \h </w:instrText>
        </w:r>
        <w:r w:rsidR="00C16F9D">
          <w:rPr>
            <w:noProof/>
            <w:webHidden/>
          </w:rPr>
        </w:r>
        <w:r w:rsidR="00C16F9D">
          <w:rPr>
            <w:noProof/>
            <w:webHidden/>
          </w:rPr>
          <w:fldChar w:fldCharType="separate"/>
        </w:r>
        <w:r w:rsidR="00C16F9D">
          <w:rPr>
            <w:noProof/>
            <w:webHidden/>
          </w:rPr>
          <w:t>111</w:t>
        </w:r>
        <w:r w:rsidR="00C16F9D">
          <w:rPr>
            <w:noProof/>
            <w:webHidden/>
          </w:rPr>
          <w:fldChar w:fldCharType="end"/>
        </w:r>
      </w:hyperlink>
    </w:p>
    <w:p w14:paraId="7477DA71" w14:textId="7C2298E4" w:rsidR="00C16F9D" w:rsidRDefault="0070071B">
      <w:pPr>
        <w:pStyle w:val="TableofFigures"/>
        <w:rPr>
          <w:rFonts w:asciiTheme="minorHAnsi" w:eastAsiaTheme="minorEastAsia" w:hAnsiTheme="minorHAnsi" w:cstheme="minorBidi"/>
          <w:noProof/>
          <w:color w:val="auto"/>
          <w:sz w:val="22"/>
          <w:szCs w:val="22"/>
        </w:rPr>
      </w:pPr>
      <w:hyperlink w:anchor="_Toc101963840" w:history="1">
        <w:r w:rsidR="00C16F9D" w:rsidRPr="006432DE">
          <w:rPr>
            <w:rStyle w:val="Hyperlink"/>
            <w:rFonts w:eastAsiaTheme="majorEastAsia"/>
            <w:noProof/>
          </w:rPr>
          <w:t>Figure 48. Mean catch-per-unit-effort (CPUE) ± standard error of (a) golden perch and (b) silver perch captured during Category 1 Fish Assemblage electrofishing (individuals per 90 second shot) in the gorge geomorphic zone (10 sites) of the LMR in autumn from 2015–2021. CPUE data from five sites are presented for 2017 as other sites were sampled during winter 2017.</w:t>
        </w:r>
        <w:r w:rsidR="00C16F9D">
          <w:rPr>
            <w:noProof/>
            <w:webHidden/>
          </w:rPr>
          <w:tab/>
        </w:r>
        <w:r w:rsidR="00C16F9D">
          <w:rPr>
            <w:noProof/>
            <w:webHidden/>
          </w:rPr>
          <w:fldChar w:fldCharType="begin"/>
        </w:r>
        <w:r w:rsidR="00C16F9D">
          <w:rPr>
            <w:noProof/>
            <w:webHidden/>
          </w:rPr>
          <w:instrText xml:space="preserve"> PAGEREF _Toc101963840 \h </w:instrText>
        </w:r>
        <w:r w:rsidR="00C16F9D">
          <w:rPr>
            <w:noProof/>
            <w:webHidden/>
          </w:rPr>
        </w:r>
        <w:r w:rsidR="00C16F9D">
          <w:rPr>
            <w:noProof/>
            <w:webHidden/>
          </w:rPr>
          <w:fldChar w:fldCharType="separate"/>
        </w:r>
        <w:r w:rsidR="00C16F9D">
          <w:rPr>
            <w:noProof/>
            <w:webHidden/>
          </w:rPr>
          <w:t>112</w:t>
        </w:r>
        <w:r w:rsidR="00C16F9D">
          <w:rPr>
            <w:noProof/>
            <w:webHidden/>
          </w:rPr>
          <w:fldChar w:fldCharType="end"/>
        </w:r>
      </w:hyperlink>
    </w:p>
    <w:p w14:paraId="3504278C" w14:textId="06472E51" w:rsidR="00C16F9D" w:rsidRDefault="0070071B">
      <w:pPr>
        <w:pStyle w:val="TableofFigures"/>
        <w:rPr>
          <w:rFonts w:asciiTheme="minorHAnsi" w:eastAsiaTheme="minorEastAsia" w:hAnsiTheme="minorHAnsi" w:cstheme="minorBidi"/>
          <w:noProof/>
          <w:color w:val="auto"/>
          <w:sz w:val="22"/>
          <w:szCs w:val="22"/>
        </w:rPr>
      </w:pPr>
      <w:hyperlink w:anchor="_Toc101963841" w:history="1">
        <w:r w:rsidR="00C16F9D" w:rsidRPr="006432DE">
          <w:rPr>
            <w:rStyle w:val="Hyperlink"/>
            <w:rFonts w:eastAsiaTheme="majorEastAsia"/>
            <w:noProof/>
          </w:rPr>
          <w:t>Figure 49. Age frequency distribution of (a) golden perch and (b) silver perch from the main channel of the LMR in 2021. Note the y-axis scales are different.</w:t>
        </w:r>
        <w:r w:rsidR="00C16F9D">
          <w:rPr>
            <w:noProof/>
            <w:webHidden/>
          </w:rPr>
          <w:tab/>
        </w:r>
        <w:r w:rsidR="00C16F9D">
          <w:rPr>
            <w:noProof/>
            <w:webHidden/>
          </w:rPr>
          <w:fldChar w:fldCharType="begin"/>
        </w:r>
        <w:r w:rsidR="00C16F9D">
          <w:rPr>
            <w:noProof/>
            <w:webHidden/>
          </w:rPr>
          <w:instrText xml:space="preserve"> PAGEREF _Toc101963841 \h </w:instrText>
        </w:r>
        <w:r w:rsidR="00C16F9D">
          <w:rPr>
            <w:noProof/>
            <w:webHidden/>
          </w:rPr>
        </w:r>
        <w:r w:rsidR="00C16F9D">
          <w:rPr>
            <w:noProof/>
            <w:webHidden/>
          </w:rPr>
          <w:fldChar w:fldCharType="separate"/>
        </w:r>
        <w:r w:rsidR="00C16F9D">
          <w:rPr>
            <w:noProof/>
            <w:webHidden/>
          </w:rPr>
          <w:t>113</w:t>
        </w:r>
        <w:r w:rsidR="00C16F9D">
          <w:rPr>
            <w:noProof/>
            <w:webHidden/>
          </w:rPr>
          <w:fldChar w:fldCharType="end"/>
        </w:r>
      </w:hyperlink>
    </w:p>
    <w:p w14:paraId="7B6E017E" w14:textId="4ACE2563" w:rsidR="00C16F9D" w:rsidRDefault="0070071B">
      <w:pPr>
        <w:pStyle w:val="TableofFigures"/>
        <w:rPr>
          <w:rFonts w:asciiTheme="minorHAnsi" w:eastAsiaTheme="minorEastAsia" w:hAnsiTheme="minorHAnsi" w:cstheme="minorBidi"/>
          <w:noProof/>
          <w:color w:val="auto"/>
          <w:sz w:val="22"/>
          <w:szCs w:val="22"/>
        </w:rPr>
      </w:pPr>
      <w:hyperlink w:anchor="_Toc101963842" w:history="1">
        <w:r w:rsidR="00C16F9D" w:rsidRPr="006432DE">
          <w:rPr>
            <w:rStyle w:val="Hyperlink"/>
            <w:rFonts w:eastAsiaTheme="majorEastAsia"/>
            <w:noProof/>
          </w:rPr>
          <w:t xml:space="preserve">Figure 50. Individual life history profiles based on transect analysis of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from the core to edge of otoliths from age 0+–4+ golden perch and silver perch captured in the Lower Murray River during 2021. Green dashed line indicates the temporally stable water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of the lower Darling River (i.e. ~0.7075) and the blue dashed lines represent the range of water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 xml:space="preserve">Sr in the Lower Murray River downstream of the Darling River junction (i.e. ~0.7080–0.7160). Red dashed lines represent the range of water </w:t>
        </w:r>
        <w:r w:rsidR="00C16F9D" w:rsidRPr="006432DE">
          <w:rPr>
            <w:rStyle w:val="Hyperlink"/>
            <w:rFonts w:eastAsiaTheme="majorEastAsia"/>
            <w:noProof/>
            <w:vertAlign w:val="superscript"/>
          </w:rPr>
          <w:t>87</w:t>
        </w:r>
        <w:r w:rsidR="00C16F9D" w:rsidRPr="006432DE">
          <w:rPr>
            <w:rStyle w:val="Hyperlink"/>
            <w:rFonts w:eastAsiaTheme="majorEastAsia"/>
            <w:noProof/>
          </w:rPr>
          <w:t>Sr/</w:t>
        </w:r>
        <w:r w:rsidR="00C16F9D" w:rsidRPr="006432DE">
          <w:rPr>
            <w:rStyle w:val="Hyperlink"/>
            <w:rFonts w:eastAsiaTheme="majorEastAsia"/>
            <w:noProof/>
            <w:vertAlign w:val="superscript"/>
          </w:rPr>
          <w:t>86</w:t>
        </w:r>
        <w:r w:rsidR="00C16F9D" w:rsidRPr="006432DE">
          <w:rPr>
            <w:rStyle w:val="Hyperlink"/>
            <w:rFonts w:eastAsiaTheme="majorEastAsia"/>
            <w:noProof/>
          </w:rPr>
          <w:t>Sr in the mid-Murray River (Lock 11–Torrumbarry, ~0.7160–0.7190).</w:t>
        </w:r>
        <w:r w:rsidR="00C16F9D">
          <w:rPr>
            <w:noProof/>
            <w:webHidden/>
          </w:rPr>
          <w:tab/>
        </w:r>
        <w:r w:rsidR="00C16F9D">
          <w:rPr>
            <w:noProof/>
            <w:webHidden/>
          </w:rPr>
          <w:fldChar w:fldCharType="begin"/>
        </w:r>
        <w:r w:rsidR="00C16F9D">
          <w:rPr>
            <w:noProof/>
            <w:webHidden/>
          </w:rPr>
          <w:instrText xml:space="preserve"> PAGEREF _Toc101963842 \h </w:instrText>
        </w:r>
        <w:r w:rsidR="00C16F9D">
          <w:rPr>
            <w:noProof/>
            <w:webHidden/>
          </w:rPr>
        </w:r>
        <w:r w:rsidR="00C16F9D">
          <w:rPr>
            <w:noProof/>
            <w:webHidden/>
          </w:rPr>
          <w:fldChar w:fldCharType="separate"/>
        </w:r>
        <w:r w:rsidR="00C16F9D">
          <w:rPr>
            <w:noProof/>
            <w:webHidden/>
          </w:rPr>
          <w:t>114</w:t>
        </w:r>
        <w:r w:rsidR="00C16F9D">
          <w:rPr>
            <w:noProof/>
            <w:webHidden/>
          </w:rPr>
          <w:fldChar w:fldCharType="end"/>
        </w:r>
      </w:hyperlink>
    </w:p>
    <w:p w14:paraId="463C4498" w14:textId="23E5CFC1" w:rsidR="00C16F9D" w:rsidRDefault="0070071B">
      <w:pPr>
        <w:pStyle w:val="TableofFigures"/>
        <w:rPr>
          <w:rFonts w:asciiTheme="minorHAnsi" w:eastAsiaTheme="minorEastAsia" w:hAnsiTheme="minorHAnsi" w:cstheme="minorBidi"/>
          <w:noProof/>
          <w:color w:val="auto"/>
          <w:sz w:val="22"/>
          <w:szCs w:val="22"/>
        </w:rPr>
      </w:pPr>
      <w:hyperlink w:anchor="_Toc101963843" w:history="1">
        <w:r w:rsidR="00C16F9D" w:rsidRPr="006432DE">
          <w:rPr>
            <w:rStyle w:val="Hyperlink"/>
            <w:rFonts w:eastAsiaTheme="majorEastAsia"/>
            <w:noProof/>
          </w:rPr>
          <w:t>Figure 51. Length frequency distributions of larval/juvenile Murray cod collected in the Lower Murray River main channel and anabranches (sites pooled) from November 2020 to May 2021.</w:t>
        </w:r>
        <w:r w:rsidR="00C16F9D">
          <w:rPr>
            <w:noProof/>
            <w:webHidden/>
          </w:rPr>
          <w:tab/>
        </w:r>
        <w:r w:rsidR="00C16F9D">
          <w:rPr>
            <w:noProof/>
            <w:webHidden/>
          </w:rPr>
          <w:fldChar w:fldCharType="begin"/>
        </w:r>
        <w:r w:rsidR="00C16F9D">
          <w:rPr>
            <w:noProof/>
            <w:webHidden/>
          </w:rPr>
          <w:instrText xml:space="preserve"> PAGEREF _Toc101963843 \h </w:instrText>
        </w:r>
        <w:r w:rsidR="00C16F9D">
          <w:rPr>
            <w:noProof/>
            <w:webHidden/>
          </w:rPr>
        </w:r>
        <w:r w:rsidR="00C16F9D">
          <w:rPr>
            <w:noProof/>
            <w:webHidden/>
          </w:rPr>
          <w:fldChar w:fldCharType="separate"/>
        </w:r>
        <w:r w:rsidR="00C16F9D">
          <w:rPr>
            <w:noProof/>
            <w:webHidden/>
          </w:rPr>
          <w:t>123</w:t>
        </w:r>
        <w:r w:rsidR="00C16F9D">
          <w:rPr>
            <w:noProof/>
            <w:webHidden/>
          </w:rPr>
          <w:fldChar w:fldCharType="end"/>
        </w:r>
      </w:hyperlink>
    </w:p>
    <w:p w14:paraId="112064F2" w14:textId="72BBB1B4" w:rsidR="00C16F9D" w:rsidRDefault="0070071B">
      <w:pPr>
        <w:pStyle w:val="TableofFigures"/>
        <w:rPr>
          <w:rFonts w:asciiTheme="minorHAnsi" w:eastAsiaTheme="minorEastAsia" w:hAnsiTheme="minorHAnsi" w:cstheme="minorBidi"/>
          <w:noProof/>
          <w:color w:val="auto"/>
          <w:sz w:val="22"/>
          <w:szCs w:val="22"/>
        </w:rPr>
      </w:pPr>
      <w:hyperlink w:anchor="_Toc101963844" w:history="1">
        <w:r w:rsidR="00C16F9D" w:rsidRPr="006432DE">
          <w:rPr>
            <w:rStyle w:val="Hyperlink"/>
            <w:rFonts w:eastAsiaTheme="majorEastAsia"/>
            <w:noProof/>
          </w:rPr>
          <w:t>Figure 52. Estimated spawn date frequency distributions of (a) larval Murray cod captured in November 2020 and (b) juvenile Murray cod captured from February to April 2021, in Lower Murray River main channel and anabranches.</w:t>
        </w:r>
        <w:r w:rsidR="00C16F9D">
          <w:rPr>
            <w:noProof/>
            <w:webHidden/>
          </w:rPr>
          <w:tab/>
        </w:r>
        <w:r w:rsidR="00C16F9D">
          <w:rPr>
            <w:noProof/>
            <w:webHidden/>
          </w:rPr>
          <w:fldChar w:fldCharType="begin"/>
        </w:r>
        <w:r w:rsidR="00C16F9D">
          <w:rPr>
            <w:noProof/>
            <w:webHidden/>
          </w:rPr>
          <w:instrText xml:space="preserve"> PAGEREF _Toc101963844 \h </w:instrText>
        </w:r>
        <w:r w:rsidR="00C16F9D">
          <w:rPr>
            <w:noProof/>
            <w:webHidden/>
          </w:rPr>
        </w:r>
        <w:r w:rsidR="00C16F9D">
          <w:rPr>
            <w:noProof/>
            <w:webHidden/>
          </w:rPr>
          <w:fldChar w:fldCharType="separate"/>
        </w:r>
        <w:r w:rsidR="00C16F9D">
          <w:rPr>
            <w:noProof/>
            <w:webHidden/>
          </w:rPr>
          <w:t>124</w:t>
        </w:r>
        <w:r w:rsidR="00C16F9D">
          <w:rPr>
            <w:noProof/>
            <w:webHidden/>
          </w:rPr>
          <w:fldChar w:fldCharType="end"/>
        </w:r>
      </w:hyperlink>
    </w:p>
    <w:p w14:paraId="22CD56B5" w14:textId="56C7C5FA" w:rsidR="00C16F9D" w:rsidRDefault="0070071B">
      <w:pPr>
        <w:pStyle w:val="TableofFigures"/>
        <w:rPr>
          <w:rFonts w:asciiTheme="minorHAnsi" w:eastAsiaTheme="minorEastAsia" w:hAnsiTheme="minorHAnsi" w:cstheme="minorBidi"/>
          <w:noProof/>
          <w:color w:val="auto"/>
          <w:sz w:val="22"/>
          <w:szCs w:val="22"/>
        </w:rPr>
      </w:pPr>
      <w:hyperlink w:anchor="_Toc101963845" w:history="1">
        <w:r w:rsidR="00C16F9D" w:rsidRPr="006432DE">
          <w:rPr>
            <w:rStyle w:val="Hyperlink"/>
            <w:rFonts w:eastAsiaTheme="majorEastAsia"/>
            <w:noProof/>
          </w:rPr>
          <w:t>Figure 53. The relationship between weight and total length (TL) of YOY (&lt;160 mm) Murray cod in the Lower Murray River predicted by a cubic linear regression model (y=-0.5326–0.1716x–0.0010x</w:t>
        </w:r>
        <w:r w:rsidR="00C16F9D" w:rsidRPr="006432DE">
          <w:rPr>
            <w:rStyle w:val="Hyperlink"/>
            <w:rFonts w:eastAsiaTheme="majorEastAsia"/>
            <w:noProof/>
            <w:vertAlign w:val="superscript"/>
          </w:rPr>
          <w:t>2</w:t>
        </w:r>
        <w:r w:rsidR="00C16F9D" w:rsidRPr="006432DE">
          <w:rPr>
            <w:rStyle w:val="Hyperlink"/>
            <w:rFonts w:eastAsiaTheme="majorEastAsia"/>
            <w:noProof/>
          </w:rPr>
          <w:t>–0.0000066155x</w:t>
        </w:r>
        <w:r w:rsidR="00C16F9D" w:rsidRPr="006432DE">
          <w:rPr>
            <w:rStyle w:val="Hyperlink"/>
            <w:rFonts w:eastAsiaTheme="majorEastAsia"/>
            <w:noProof/>
            <w:vertAlign w:val="superscript"/>
          </w:rPr>
          <w:t>3</w:t>
        </w:r>
        <w:r w:rsidR="00C16F9D" w:rsidRPr="006432DE">
          <w:rPr>
            <w:rStyle w:val="Hyperlink"/>
            <w:rFonts w:eastAsiaTheme="majorEastAsia"/>
            <w:noProof/>
          </w:rPr>
          <w:t xml:space="preserve">) for 2020-21 (black line and circles, </w:t>
        </w:r>
        <w:r w:rsidR="00C16F9D" w:rsidRPr="006432DE">
          <w:rPr>
            <w:rStyle w:val="Hyperlink"/>
            <w:rFonts w:eastAsiaTheme="majorEastAsia"/>
            <w:i/>
            <w:iCs/>
            <w:noProof/>
          </w:rPr>
          <w:t>n</w:t>
        </w:r>
        <w:r w:rsidR="00C16F9D" w:rsidRPr="006432DE">
          <w:rPr>
            <w:rStyle w:val="Hyperlink"/>
            <w:rFonts w:eastAsiaTheme="majorEastAsia"/>
            <w:noProof/>
          </w:rPr>
          <w:t xml:space="preserve"> = 154), 2019-20 (blue line, Ye </w:t>
        </w:r>
        <w:r w:rsidR="00C16F9D" w:rsidRPr="006432DE">
          <w:rPr>
            <w:rStyle w:val="Hyperlink"/>
            <w:rFonts w:eastAsiaTheme="majorEastAsia"/>
            <w:i/>
            <w:iCs/>
            <w:noProof/>
          </w:rPr>
          <w:t>et al.</w:t>
        </w:r>
        <w:r w:rsidR="00C16F9D" w:rsidRPr="006432DE">
          <w:rPr>
            <w:rStyle w:val="Hyperlink"/>
            <w:rFonts w:eastAsiaTheme="majorEastAsia"/>
            <w:noProof/>
          </w:rPr>
          <w:t xml:space="preserve"> 2021) and all years (2004–2021, ‘stocked’ fish removed, red line). See Table D13 in Appendix D for statistics.</w:t>
        </w:r>
        <w:r w:rsidR="00C16F9D">
          <w:rPr>
            <w:noProof/>
            <w:webHidden/>
          </w:rPr>
          <w:tab/>
        </w:r>
        <w:r w:rsidR="00C16F9D">
          <w:rPr>
            <w:noProof/>
            <w:webHidden/>
          </w:rPr>
          <w:fldChar w:fldCharType="begin"/>
        </w:r>
        <w:r w:rsidR="00C16F9D">
          <w:rPr>
            <w:noProof/>
            <w:webHidden/>
          </w:rPr>
          <w:instrText xml:space="preserve"> PAGEREF _Toc101963845 \h </w:instrText>
        </w:r>
        <w:r w:rsidR="00C16F9D">
          <w:rPr>
            <w:noProof/>
            <w:webHidden/>
          </w:rPr>
        </w:r>
        <w:r w:rsidR="00C16F9D">
          <w:rPr>
            <w:noProof/>
            <w:webHidden/>
          </w:rPr>
          <w:fldChar w:fldCharType="separate"/>
        </w:r>
        <w:r w:rsidR="00C16F9D">
          <w:rPr>
            <w:noProof/>
            <w:webHidden/>
          </w:rPr>
          <w:t>125</w:t>
        </w:r>
        <w:r w:rsidR="00C16F9D">
          <w:rPr>
            <w:noProof/>
            <w:webHidden/>
          </w:rPr>
          <w:fldChar w:fldCharType="end"/>
        </w:r>
      </w:hyperlink>
    </w:p>
    <w:p w14:paraId="3A841979" w14:textId="41F980B1" w:rsidR="00C16F9D" w:rsidRDefault="0070071B">
      <w:pPr>
        <w:pStyle w:val="TableofFigures"/>
        <w:rPr>
          <w:rFonts w:asciiTheme="minorHAnsi" w:eastAsiaTheme="minorEastAsia" w:hAnsiTheme="minorHAnsi" w:cstheme="minorBidi"/>
          <w:noProof/>
          <w:color w:val="auto"/>
          <w:sz w:val="22"/>
          <w:szCs w:val="22"/>
        </w:rPr>
      </w:pPr>
      <w:hyperlink w:anchor="_Toc101963846" w:history="1">
        <w:r w:rsidR="00C16F9D" w:rsidRPr="006432DE">
          <w:rPr>
            <w:rStyle w:val="Hyperlink"/>
            <w:rFonts w:eastAsiaTheme="majorEastAsia"/>
            <w:noProof/>
          </w:rPr>
          <w:t>Figure 54. Mean relative condition index (K</w:t>
        </w:r>
        <w:r w:rsidR="00C16F9D" w:rsidRPr="006432DE">
          <w:rPr>
            <w:rStyle w:val="Hyperlink"/>
            <w:rFonts w:eastAsiaTheme="majorEastAsia"/>
            <w:i/>
            <w:noProof/>
          </w:rPr>
          <w:t>rel</w:t>
        </w:r>
        <w:r w:rsidR="00C16F9D" w:rsidRPr="006432DE">
          <w:rPr>
            <w:rStyle w:val="Hyperlink"/>
            <w:rFonts w:eastAsiaTheme="majorEastAsia"/>
            <w:noProof/>
          </w:rPr>
          <w:t>) ± S.E. of YOY (&lt;160 mm) Murray cod in the Lower Murray River (excludes Chowilla anabranch) during autumn/winter 2015 (</w:t>
        </w:r>
        <w:r w:rsidR="00C16F9D" w:rsidRPr="006432DE">
          <w:rPr>
            <w:rStyle w:val="Hyperlink"/>
            <w:rFonts w:eastAsiaTheme="majorEastAsia"/>
            <w:i/>
            <w:noProof/>
          </w:rPr>
          <w:t>n</w:t>
        </w:r>
        <w:r w:rsidR="00C16F9D" w:rsidRPr="006432DE">
          <w:rPr>
            <w:rStyle w:val="Hyperlink"/>
            <w:rFonts w:eastAsiaTheme="majorEastAsia"/>
            <w:noProof/>
          </w:rPr>
          <w:t xml:space="preserve"> = 11), 2016 (</w:t>
        </w:r>
        <w:r w:rsidR="00C16F9D" w:rsidRPr="006432DE">
          <w:rPr>
            <w:rStyle w:val="Hyperlink"/>
            <w:rFonts w:eastAsiaTheme="majorEastAsia"/>
            <w:i/>
            <w:noProof/>
          </w:rPr>
          <w:t>n</w:t>
        </w:r>
        <w:r w:rsidR="00C16F9D" w:rsidRPr="006432DE">
          <w:rPr>
            <w:rStyle w:val="Hyperlink"/>
            <w:rFonts w:eastAsiaTheme="majorEastAsia"/>
            <w:noProof/>
          </w:rPr>
          <w:t xml:space="preserve"> = 14), 2017 (</w:t>
        </w:r>
        <w:r w:rsidR="00C16F9D" w:rsidRPr="006432DE">
          <w:rPr>
            <w:rStyle w:val="Hyperlink"/>
            <w:rFonts w:eastAsiaTheme="majorEastAsia"/>
            <w:i/>
            <w:noProof/>
          </w:rPr>
          <w:t>n</w:t>
        </w:r>
        <w:r w:rsidR="00C16F9D" w:rsidRPr="006432DE">
          <w:rPr>
            <w:rStyle w:val="Hyperlink"/>
            <w:rFonts w:eastAsiaTheme="majorEastAsia"/>
            <w:noProof/>
          </w:rPr>
          <w:t xml:space="preserve"> = 6), 2018 (</w:t>
        </w:r>
        <w:r w:rsidR="00C16F9D" w:rsidRPr="006432DE">
          <w:rPr>
            <w:rStyle w:val="Hyperlink"/>
            <w:rFonts w:eastAsiaTheme="majorEastAsia"/>
            <w:i/>
            <w:noProof/>
          </w:rPr>
          <w:t>n</w:t>
        </w:r>
        <w:r w:rsidR="00C16F9D" w:rsidRPr="006432DE">
          <w:rPr>
            <w:rStyle w:val="Hyperlink"/>
            <w:rFonts w:eastAsiaTheme="majorEastAsia"/>
            <w:noProof/>
          </w:rPr>
          <w:t xml:space="preserve"> = 11), 2019 (</w:t>
        </w:r>
        <w:r w:rsidR="00C16F9D" w:rsidRPr="006432DE">
          <w:rPr>
            <w:rStyle w:val="Hyperlink"/>
            <w:rFonts w:eastAsiaTheme="majorEastAsia"/>
            <w:i/>
            <w:noProof/>
          </w:rPr>
          <w:t>n</w:t>
        </w:r>
        <w:r w:rsidR="00C16F9D" w:rsidRPr="006432DE">
          <w:rPr>
            <w:rStyle w:val="Hyperlink"/>
            <w:rFonts w:eastAsiaTheme="majorEastAsia"/>
            <w:noProof/>
          </w:rPr>
          <w:t xml:space="preserve"> = 25), 2020 (</w:t>
        </w:r>
        <w:r w:rsidR="00C16F9D" w:rsidRPr="006432DE">
          <w:rPr>
            <w:rStyle w:val="Hyperlink"/>
            <w:rFonts w:eastAsiaTheme="majorEastAsia"/>
            <w:i/>
            <w:noProof/>
          </w:rPr>
          <w:t>n</w:t>
        </w:r>
        <w:r w:rsidR="00C16F9D" w:rsidRPr="006432DE">
          <w:rPr>
            <w:rStyle w:val="Hyperlink"/>
            <w:rFonts w:eastAsiaTheme="majorEastAsia"/>
            <w:noProof/>
          </w:rPr>
          <w:t xml:space="preserve"> = 51) and 2021 (</w:t>
        </w:r>
        <w:r w:rsidR="00C16F9D" w:rsidRPr="006432DE">
          <w:rPr>
            <w:rStyle w:val="Hyperlink"/>
            <w:rFonts w:eastAsiaTheme="majorEastAsia"/>
            <w:i/>
            <w:iCs/>
            <w:noProof/>
          </w:rPr>
          <w:t>n</w:t>
        </w:r>
        <w:r w:rsidR="00C16F9D" w:rsidRPr="006432DE">
          <w:rPr>
            <w:rStyle w:val="Hyperlink"/>
            <w:rFonts w:eastAsiaTheme="majorEastAsia"/>
            <w:noProof/>
          </w:rPr>
          <w:t xml:space="preserve"> = 9). See Table D14 in Appendix D for statistics.</w:t>
        </w:r>
        <w:r w:rsidR="00C16F9D">
          <w:rPr>
            <w:noProof/>
            <w:webHidden/>
          </w:rPr>
          <w:tab/>
        </w:r>
        <w:r w:rsidR="00C16F9D">
          <w:rPr>
            <w:noProof/>
            <w:webHidden/>
          </w:rPr>
          <w:fldChar w:fldCharType="begin"/>
        </w:r>
        <w:r w:rsidR="00C16F9D">
          <w:rPr>
            <w:noProof/>
            <w:webHidden/>
          </w:rPr>
          <w:instrText xml:space="preserve"> PAGEREF _Toc101963846 \h </w:instrText>
        </w:r>
        <w:r w:rsidR="00C16F9D">
          <w:rPr>
            <w:noProof/>
            <w:webHidden/>
          </w:rPr>
        </w:r>
        <w:r w:rsidR="00C16F9D">
          <w:rPr>
            <w:noProof/>
            <w:webHidden/>
          </w:rPr>
          <w:fldChar w:fldCharType="separate"/>
        </w:r>
        <w:r w:rsidR="00C16F9D">
          <w:rPr>
            <w:noProof/>
            <w:webHidden/>
          </w:rPr>
          <w:t>125</w:t>
        </w:r>
        <w:r w:rsidR="00C16F9D">
          <w:rPr>
            <w:noProof/>
            <w:webHidden/>
          </w:rPr>
          <w:fldChar w:fldCharType="end"/>
        </w:r>
      </w:hyperlink>
    </w:p>
    <w:p w14:paraId="78D207E0" w14:textId="75C70DA1" w:rsidR="00C16F9D" w:rsidRDefault="0070071B">
      <w:pPr>
        <w:pStyle w:val="TableofFigures"/>
        <w:rPr>
          <w:rFonts w:asciiTheme="minorHAnsi" w:eastAsiaTheme="minorEastAsia" w:hAnsiTheme="minorHAnsi" w:cstheme="minorBidi"/>
          <w:noProof/>
          <w:color w:val="auto"/>
          <w:sz w:val="22"/>
          <w:szCs w:val="22"/>
        </w:rPr>
      </w:pPr>
      <w:hyperlink w:anchor="_Toc101963847" w:history="1">
        <w:r w:rsidR="00C16F9D" w:rsidRPr="006432DE">
          <w:rPr>
            <w:rStyle w:val="Hyperlink"/>
            <w:rFonts w:eastAsiaTheme="majorEastAsia"/>
            <w:noProof/>
          </w:rPr>
          <w:t>Figure 55. The relationship between total length (TL) and estimated age of YOY (&lt;160 mm) Murray cod in the Lower Murray River from 2017–2021, predicted by the Gompertz model. See Table D15 in Appendix D for statistics.</w:t>
        </w:r>
        <w:r w:rsidR="00C16F9D">
          <w:rPr>
            <w:noProof/>
            <w:webHidden/>
          </w:rPr>
          <w:tab/>
        </w:r>
        <w:r w:rsidR="00C16F9D">
          <w:rPr>
            <w:noProof/>
            <w:webHidden/>
          </w:rPr>
          <w:fldChar w:fldCharType="begin"/>
        </w:r>
        <w:r w:rsidR="00C16F9D">
          <w:rPr>
            <w:noProof/>
            <w:webHidden/>
          </w:rPr>
          <w:instrText xml:space="preserve"> PAGEREF _Toc101963847 \h </w:instrText>
        </w:r>
        <w:r w:rsidR="00C16F9D">
          <w:rPr>
            <w:noProof/>
            <w:webHidden/>
          </w:rPr>
        </w:r>
        <w:r w:rsidR="00C16F9D">
          <w:rPr>
            <w:noProof/>
            <w:webHidden/>
          </w:rPr>
          <w:fldChar w:fldCharType="separate"/>
        </w:r>
        <w:r w:rsidR="00C16F9D">
          <w:rPr>
            <w:noProof/>
            <w:webHidden/>
          </w:rPr>
          <w:t>126</w:t>
        </w:r>
        <w:r w:rsidR="00C16F9D">
          <w:rPr>
            <w:noProof/>
            <w:webHidden/>
          </w:rPr>
          <w:fldChar w:fldCharType="end"/>
        </w:r>
      </w:hyperlink>
    </w:p>
    <w:p w14:paraId="2C85232C" w14:textId="6B65D03E" w:rsidR="00C16F9D" w:rsidRDefault="0070071B">
      <w:pPr>
        <w:pStyle w:val="TableofFigures"/>
        <w:rPr>
          <w:rFonts w:asciiTheme="minorHAnsi" w:eastAsiaTheme="minorEastAsia" w:hAnsiTheme="minorHAnsi" w:cstheme="minorBidi"/>
          <w:noProof/>
          <w:color w:val="auto"/>
          <w:sz w:val="22"/>
          <w:szCs w:val="22"/>
        </w:rPr>
      </w:pPr>
      <w:hyperlink w:anchor="_Toc101963848" w:history="1">
        <w:r w:rsidR="00C16F9D" w:rsidRPr="006432DE">
          <w:rPr>
            <w:rStyle w:val="Hyperlink"/>
            <w:rFonts w:eastAsiaTheme="majorEastAsia"/>
            <w:noProof/>
          </w:rPr>
          <w:t xml:space="preserve">Figure 56. Mean non-targeted (top) and targeted (bottom) electrofishing catch-per-unit-effort (CPUE) ± S.E. of Murray cod in the weir pools downstream of Locks 2, 3, 4 </w:t>
        </w:r>
        <w:r w:rsidR="00C16F9D" w:rsidRPr="006432DE">
          <w:rPr>
            <w:rStyle w:val="Hyperlink"/>
            <w:rFonts w:eastAsiaTheme="majorEastAsia"/>
            <w:noProof/>
          </w:rPr>
          <w:lastRenderedPageBreak/>
          <w:t>and 5 of the Lower Murray River. Dashed bars represent the proportion of YOY to the total CPUE. Note the different scales on the CPUE-axis for the different methods of electrofishing. See Tables D16 and D17 in Appendix D for statistics.</w:t>
        </w:r>
        <w:r w:rsidR="00C16F9D">
          <w:rPr>
            <w:noProof/>
            <w:webHidden/>
          </w:rPr>
          <w:tab/>
        </w:r>
        <w:r w:rsidR="00C16F9D">
          <w:rPr>
            <w:noProof/>
            <w:webHidden/>
          </w:rPr>
          <w:fldChar w:fldCharType="begin"/>
        </w:r>
        <w:r w:rsidR="00C16F9D">
          <w:rPr>
            <w:noProof/>
            <w:webHidden/>
          </w:rPr>
          <w:instrText xml:space="preserve"> PAGEREF _Toc101963848 \h </w:instrText>
        </w:r>
        <w:r w:rsidR="00C16F9D">
          <w:rPr>
            <w:noProof/>
            <w:webHidden/>
          </w:rPr>
        </w:r>
        <w:r w:rsidR="00C16F9D">
          <w:rPr>
            <w:noProof/>
            <w:webHidden/>
          </w:rPr>
          <w:fldChar w:fldCharType="separate"/>
        </w:r>
        <w:r w:rsidR="00C16F9D">
          <w:rPr>
            <w:noProof/>
            <w:webHidden/>
          </w:rPr>
          <w:t>127</w:t>
        </w:r>
        <w:r w:rsidR="00C16F9D">
          <w:rPr>
            <w:noProof/>
            <w:webHidden/>
          </w:rPr>
          <w:fldChar w:fldCharType="end"/>
        </w:r>
      </w:hyperlink>
    </w:p>
    <w:p w14:paraId="0AA32023" w14:textId="7CA6ACEA" w:rsidR="00C16F9D" w:rsidRDefault="0070071B">
      <w:pPr>
        <w:pStyle w:val="TableofFigures"/>
        <w:rPr>
          <w:rFonts w:asciiTheme="minorHAnsi" w:eastAsiaTheme="minorEastAsia" w:hAnsiTheme="minorHAnsi" w:cstheme="minorBidi"/>
          <w:noProof/>
          <w:color w:val="auto"/>
          <w:sz w:val="22"/>
          <w:szCs w:val="22"/>
        </w:rPr>
      </w:pPr>
      <w:hyperlink w:anchor="_Toc101963849" w:history="1">
        <w:r w:rsidR="00C16F9D" w:rsidRPr="006432DE">
          <w:rPr>
            <w:rStyle w:val="Hyperlink"/>
            <w:rFonts w:eastAsiaTheme="majorEastAsia"/>
            <w:noProof/>
          </w:rPr>
          <w:t>Figure 57. Total length (TL) frequencies of Murray cod in the main channel of the Lower Murray River during autumn/winter from 2013–2021.</w:t>
        </w:r>
        <w:r w:rsidR="00C16F9D">
          <w:rPr>
            <w:noProof/>
            <w:webHidden/>
          </w:rPr>
          <w:tab/>
        </w:r>
        <w:r w:rsidR="00C16F9D">
          <w:rPr>
            <w:noProof/>
            <w:webHidden/>
          </w:rPr>
          <w:fldChar w:fldCharType="begin"/>
        </w:r>
        <w:r w:rsidR="00C16F9D">
          <w:rPr>
            <w:noProof/>
            <w:webHidden/>
          </w:rPr>
          <w:instrText xml:space="preserve"> PAGEREF _Toc101963849 \h </w:instrText>
        </w:r>
        <w:r w:rsidR="00C16F9D">
          <w:rPr>
            <w:noProof/>
            <w:webHidden/>
          </w:rPr>
        </w:r>
        <w:r w:rsidR="00C16F9D">
          <w:rPr>
            <w:noProof/>
            <w:webHidden/>
          </w:rPr>
          <w:fldChar w:fldCharType="separate"/>
        </w:r>
        <w:r w:rsidR="00C16F9D">
          <w:rPr>
            <w:noProof/>
            <w:webHidden/>
          </w:rPr>
          <w:t>128</w:t>
        </w:r>
        <w:r w:rsidR="00C16F9D">
          <w:rPr>
            <w:noProof/>
            <w:webHidden/>
          </w:rPr>
          <w:fldChar w:fldCharType="end"/>
        </w:r>
      </w:hyperlink>
    </w:p>
    <w:p w14:paraId="2F148754" w14:textId="5672F0D0" w:rsidR="00C16F9D" w:rsidRDefault="0070071B">
      <w:pPr>
        <w:pStyle w:val="TableofFigures"/>
        <w:rPr>
          <w:rFonts w:asciiTheme="minorHAnsi" w:eastAsiaTheme="minorEastAsia" w:hAnsiTheme="minorHAnsi" w:cstheme="minorBidi"/>
          <w:noProof/>
          <w:color w:val="auto"/>
          <w:sz w:val="22"/>
          <w:szCs w:val="22"/>
        </w:rPr>
      </w:pPr>
      <w:hyperlink w:anchor="_Toc101963850" w:history="1">
        <w:r w:rsidR="00C16F9D" w:rsidRPr="006432DE">
          <w:rPr>
            <w:rStyle w:val="Hyperlink"/>
            <w:rFonts w:eastAsiaTheme="majorEastAsia"/>
            <w:noProof/>
          </w:rPr>
          <w:t>Figure 58. Increases in lotic habitat (length of river with velocities &gt;0.3 m/s) in the weir pools below Lock 3 (a,b) and Lock 4 (c,d) from July 2019 to June 2021. The Murray cod peak spawning period for South Australia (i.e. mid-October to mid-November) is indicated by a grey shaded bar. Simultaneous improvements of lotic conditions also occurred in the other weir pools (Section 2.1). WoD = Without Development, a representation of natural conditions, which has the locks removed and a modelled flow representing no storage or diversions across the Murray River.</w:t>
        </w:r>
        <w:r w:rsidR="00C16F9D">
          <w:rPr>
            <w:noProof/>
            <w:webHidden/>
          </w:rPr>
          <w:tab/>
        </w:r>
        <w:r w:rsidR="00C16F9D">
          <w:rPr>
            <w:noProof/>
            <w:webHidden/>
          </w:rPr>
          <w:fldChar w:fldCharType="begin"/>
        </w:r>
        <w:r w:rsidR="00C16F9D">
          <w:rPr>
            <w:noProof/>
            <w:webHidden/>
          </w:rPr>
          <w:instrText xml:space="preserve"> PAGEREF _Toc101963850 \h </w:instrText>
        </w:r>
        <w:r w:rsidR="00C16F9D">
          <w:rPr>
            <w:noProof/>
            <w:webHidden/>
          </w:rPr>
        </w:r>
        <w:r w:rsidR="00C16F9D">
          <w:rPr>
            <w:noProof/>
            <w:webHidden/>
          </w:rPr>
          <w:fldChar w:fldCharType="separate"/>
        </w:r>
        <w:r w:rsidR="00C16F9D">
          <w:rPr>
            <w:noProof/>
            <w:webHidden/>
          </w:rPr>
          <w:t>132</w:t>
        </w:r>
        <w:r w:rsidR="00C16F9D">
          <w:rPr>
            <w:noProof/>
            <w:webHidden/>
          </w:rPr>
          <w:fldChar w:fldCharType="end"/>
        </w:r>
      </w:hyperlink>
    </w:p>
    <w:p w14:paraId="4198663A" w14:textId="6050F713" w:rsidR="00C16F9D" w:rsidRDefault="0070071B">
      <w:pPr>
        <w:pStyle w:val="TableofFigures"/>
        <w:rPr>
          <w:rFonts w:asciiTheme="minorHAnsi" w:eastAsiaTheme="minorEastAsia" w:hAnsiTheme="minorHAnsi" w:cstheme="minorBidi"/>
          <w:noProof/>
          <w:color w:val="auto"/>
          <w:sz w:val="22"/>
          <w:szCs w:val="22"/>
        </w:rPr>
      </w:pPr>
      <w:hyperlink w:anchor="_Toc101963851" w:history="1">
        <w:r w:rsidR="00C16F9D" w:rsidRPr="006432DE">
          <w:rPr>
            <w:rStyle w:val="Hyperlink"/>
            <w:rFonts w:eastAsiaTheme="majorEastAsia"/>
            <w:noProof/>
          </w:rPr>
          <w:t>Figure 59. Target species for the Lower Murray River: (a) Murray cod and (b) freshwater catfish (equilibrium life history); (c) golden perch and (d) silver perch (periodic life history); and (e) carp gudgeon, (f) Murray rainbowfish and (g) bony herring (opportunistic life history).</w:t>
        </w:r>
        <w:r w:rsidR="00C16F9D">
          <w:rPr>
            <w:noProof/>
            <w:webHidden/>
          </w:rPr>
          <w:tab/>
        </w:r>
        <w:r w:rsidR="00C16F9D">
          <w:rPr>
            <w:noProof/>
            <w:webHidden/>
          </w:rPr>
          <w:fldChar w:fldCharType="begin"/>
        </w:r>
        <w:r w:rsidR="00C16F9D">
          <w:rPr>
            <w:noProof/>
            <w:webHidden/>
          </w:rPr>
          <w:instrText xml:space="preserve"> PAGEREF _Toc101963851 \h </w:instrText>
        </w:r>
        <w:r w:rsidR="00C16F9D">
          <w:rPr>
            <w:noProof/>
            <w:webHidden/>
          </w:rPr>
        </w:r>
        <w:r w:rsidR="00C16F9D">
          <w:rPr>
            <w:noProof/>
            <w:webHidden/>
          </w:rPr>
          <w:fldChar w:fldCharType="separate"/>
        </w:r>
        <w:r w:rsidR="00C16F9D">
          <w:rPr>
            <w:noProof/>
            <w:webHidden/>
          </w:rPr>
          <w:t>134</w:t>
        </w:r>
        <w:r w:rsidR="00C16F9D">
          <w:rPr>
            <w:noProof/>
            <w:webHidden/>
          </w:rPr>
          <w:fldChar w:fldCharType="end"/>
        </w:r>
      </w:hyperlink>
    </w:p>
    <w:p w14:paraId="0E968834" w14:textId="233D3927" w:rsidR="00C16F9D" w:rsidRDefault="0070071B">
      <w:pPr>
        <w:pStyle w:val="TableofFigures"/>
        <w:rPr>
          <w:rFonts w:asciiTheme="minorHAnsi" w:eastAsiaTheme="minorEastAsia" w:hAnsiTheme="minorHAnsi" w:cstheme="minorBidi"/>
          <w:noProof/>
          <w:color w:val="auto"/>
          <w:sz w:val="22"/>
          <w:szCs w:val="22"/>
        </w:rPr>
      </w:pPr>
      <w:hyperlink w:anchor="_Toc101963852" w:history="1">
        <w:r w:rsidR="00C16F9D" w:rsidRPr="006432DE">
          <w:rPr>
            <w:rStyle w:val="Hyperlink"/>
            <w:rFonts w:eastAsiaTheme="majorEastAsia"/>
            <w:noProof/>
          </w:rPr>
          <w:t xml:space="preserve">Figure 60. Mean catch-per-unit-effort (CPUE) </w:t>
        </w:r>
        <w:r w:rsidR="00C16F9D" w:rsidRPr="006432DE">
          <w:rPr>
            <w:rStyle w:val="Hyperlink"/>
            <w:rFonts w:eastAsiaTheme="majorEastAsia" w:cstheme="minorHAnsi"/>
            <w:noProof/>
          </w:rPr>
          <w:t>±</w:t>
        </w:r>
        <w:r w:rsidR="00C16F9D" w:rsidRPr="006432DE">
          <w:rPr>
            <w:rStyle w:val="Hyperlink"/>
            <w:rFonts w:eastAsiaTheme="majorEastAsia"/>
            <w:noProof/>
          </w:rPr>
          <w:t xml:space="preserve"> standard error of (a) large-bodied fish species captured using electrofishing (individuals per 90 second shot) and (b) small-bodied fish species captured using fine-mesh fyke nets (individuals per net per hour) in the gorge geomorphic zone (10 sites) of the Lower Murray River in autumn from 2015–2021. Electrofishing CPUE data from five sites are presented for 2017 as other sites were sampled during winter 2017. See Table D18 in Appendix for statistics.</w:t>
        </w:r>
        <w:r w:rsidR="00C16F9D">
          <w:rPr>
            <w:noProof/>
            <w:webHidden/>
          </w:rPr>
          <w:tab/>
        </w:r>
        <w:r w:rsidR="00C16F9D">
          <w:rPr>
            <w:noProof/>
            <w:webHidden/>
          </w:rPr>
          <w:fldChar w:fldCharType="begin"/>
        </w:r>
        <w:r w:rsidR="00C16F9D">
          <w:rPr>
            <w:noProof/>
            <w:webHidden/>
          </w:rPr>
          <w:instrText xml:space="preserve"> PAGEREF _Toc101963852 \h </w:instrText>
        </w:r>
        <w:r w:rsidR="00C16F9D">
          <w:rPr>
            <w:noProof/>
            <w:webHidden/>
          </w:rPr>
        </w:r>
        <w:r w:rsidR="00C16F9D">
          <w:rPr>
            <w:noProof/>
            <w:webHidden/>
          </w:rPr>
          <w:fldChar w:fldCharType="separate"/>
        </w:r>
        <w:r w:rsidR="00C16F9D">
          <w:rPr>
            <w:noProof/>
            <w:webHidden/>
          </w:rPr>
          <w:t>136</w:t>
        </w:r>
        <w:r w:rsidR="00C16F9D">
          <w:rPr>
            <w:noProof/>
            <w:webHidden/>
          </w:rPr>
          <w:fldChar w:fldCharType="end"/>
        </w:r>
      </w:hyperlink>
    </w:p>
    <w:p w14:paraId="3FF3F128" w14:textId="62D674A9" w:rsidR="00C16F9D" w:rsidRDefault="0070071B">
      <w:pPr>
        <w:pStyle w:val="TableofFigures"/>
        <w:rPr>
          <w:rFonts w:asciiTheme="minorHAnsi" w:eastAsiaTheme="minorEastAsia" w:hAnsiTheme="minorHAnsi" w:cstheme="minorBidi"/>
          <w:noProof/>
          <w:color w:val="auto"/>
          <w:sz w:val="22"/>
          <w:szCs w:val="22"/>
        </w:rPr>
      </w:pPr>
      <w:hyperlink w:anchor="_Toc101963853" w:history="1">
        <w:r w:rsidR="00C16F9D" w:rsidRPr="006432DE">
          <w:rPr>
            <w:rStyle w:val="Hyperlink"/>
            <w:rFonts w:eastAsiaTheme="majorEastAsia"/>
            <w:noProof/>
          </w:rPr>
          <w:t>Figure 61. Non-metric multi-dimensional scaling (MDS) plot of (a) large-bodied fish assemblages sampled by electrofishing and (b) small-bodied fish assemblages sampled by fyke netting in the gorge geomorphic zone of the Lower Murray River from 2015–2021. Sites (</w:t>
        </w:r>
        <w:r w:rsidR="00C16F9D" w:rsidRPr="006432DE">
          <w:rPr>
            <w:rStyle w:val="Hyperlink"/>
            <w:rFonts w:eastAsiaTheme="majorEastAsia"/>
            <w:i/>
            <w:noProof/>
          </w:rPr>
          <w:t>n</w:t>
        </w:r>
        <w:r w:rsidR="00C16F9D" w:rsidRPr="006432DE">
          <w:rPr>
            <w:rStyle w:val="Hyperlink"/>
            <w:rFonts w:eastAsiaTheme="majorEastAsia"/>
            <w:noProof/>
          </w:rPr>
          <w:t xml:space="preserve"> = 5) sampled in winter 2017 were removed from the ordination.</w:t>
        </w:r>
        <w:r w:rsidR="00C16F9D">
          <w:rPr>
            <w:noProof/>
            <w:webHidden/>
          </w:rPr>
          <w:tab/>
        </w:r>
        <w:r w:rsidR="00C16F9D">
          <w:rPr>
            <w:noProof/>
            <w:webHidden/>
          </w:rPr>
          <w:fldChar w:fldCharType="begin"/>
        </w:r>
        <w:r w:rsidR="00C16F9D">
          <w:rPr>
            <w:noProof/>
            <w:webHidden/>
          </w:rPr>
          <w:instrText xml:space="preserve"> PAGEREF _Toc101963853 \h </w:instrText>
        </w:r>
        <w:r w:rsidR="00C16F9D">
          <w:rPr>
            <w:noProof/>
            <w:webHidden/>
          </w:rPr>
        </w:r>
        <w:r w:rsidR="00C16F9D">
          <w:rPr>
            <w:noProof/>
            <w:webHidden/>
          </w:rPr>
          <w:fldChar w:fldCharType="separate"/>
        </w:r>
        <w:r w:rsidR="00C16F9D">
          <w:rPr>
            <w:noProof/>
            <w:webHidden/>
          </w:rPr>
          <w:t>137</w:t>
        </w:r>
        <w:r w:rsidR="00C16F9D">
          <w:rPr>
            <w:noProof/>
            <w:webHidden/>
          </w:rPr>
          <w:fldChar w:fldCharType="end"/>
        </w:r>
      </w:hyperlink>
    </w:p>
    <w:p w14:paraId="0C776333" w14:textId="478C5C3A" w:rsidR="00C16F9D" w:rsidRDefault="0070071B">
      <w:pPr>
        <w:pStyle w:val="TableofFigures"/>
        <w:rPr>
          <w:rFonts w:asciiTheme="minorHAnsi" w:eastAsiaTheme="minorEastAsia" w:hAnsiTheme="minorHAnsi" w:cstheme="minorBidi"/>
          <w:noProof/>
          <w:color w:val="auto"/>
          <w:sz w:val="22"/>
          <w:szCs w:val="22"/>
        </w:rPr>
      </w:pPr>
      <w:hyperlink w:anchor="_Toc101963854" w:history="1">
        <w:r w:rsidR="00C16F9D" w:rsidRPr="006432DE">
          <w:rPr>
            <w:rStyle w:val="Hyperlink"/>
            <w:rFonts w:eastAsiaTheme="majorEastAsia"/>
            <w:noProof/>
          </w:rPr>
          <w:t>Figure 62. Length frequency distributions of golden perch collected from the gorge geomorphic zone of the Lower Murray River from 2015–2021.</w:t>
        </w:r>
        <w:r w:rsidR="00C16F9D">
          <w:rPr>
            <w:noProof/>
            <w:webHidden/>
          </w:rPr>
          <w:tab/>
        </w:r>
        <w:r w:rsidR="00C16F9D">
          <w:rPr>
            <w:noProof/>
            <w:webHidden/>
          </w:rPr>
          <w:fldChar w:fldCharType="begin"/>
        </w:r>
        <w:r w:rsidR="00C16F9D">
          <w:rPr>
            <w:noProof/>
            <w:webHidden/>
          </w:rPr>
          <w:instrText xml:space="preserve"> PAGEREF _Toc101963854 \h </w:instrText>
        </w:r>
        <w:r w:rsidR="00C16F9D">
          <w:rPr>
            <w:noProof/>
            <w:webHidden/>
          </w:rPr>
        </w:r>
        <w:r w:rsidR="00C16F9D">
          <w:rPr>
            <w:noProof/>
            <w:webHidden/>
          </w:rPr>
          <w:fldChar w:fldCharType="separate"/>
        </w:r>
        <w:r w:rsidR="00C16F9D">
          <w:rPr>
            <w:noProof/>
            <w:webHidden/>
          </w:rPr>
          <w:t>139</w:t>
        </w:r>
        <w:r w:rsidR="00C16F9D">
          <w:rPr>
            <w:noProof/>
            <w:webHidden/>
          </w:rPr>
          <w:fldChar w:fldCharType="end"/>
        </w:r>
      </w:hyperlink>
    </w:p>
    <w:p w14:paraId="5B2562EF" w14:textId="64AF0FE7" w:rsidR="00C16F9D" w:rsidRDefault="0070071B">
      <w:pPr>
        <w:pStyle w:val="TableofFigures"/>
        <w:rPr>
          <w:rFonts w:asciiTheme="minorHAnsi" w:eastAsiaTheme="minorEastAsia" w:hAnsiTheme="minorHAnsi" w:cstheme="minorBidi"/>
          <w:noProof/>
          <w:color w:val="auto"/>
          <w:sz w:val="22"/>
          <w:szCs w:val="22"/>
        </w:rPr>
      </w:pPr>
      <w:hyperlink w:anchor="_Toc101963855" w:history="1">
        <w:r w:rsidR="00C16F9D" w:rsidRPr="006432DE">
          <w:rPr>
            <w:rStyle w:val="Hyperlink"/>
            <w:rFonts w:eastAsiaTheme="majorEastAsia"/>
            <w:noProof/>
          </w:rPr>
          <w:t>Figure 63. Length frequency distributions of silver perch collected from the gorge geomorphic zone of the Lower Murray River from 2015–2021.</w:t>
        </w:r>
        <w:r w:rsidR="00C16F9D">
          <w:rPr>
            <w:noProof/>
            <w:webHidden/>
          </w:rPr>
          <w:tab/>
        </w:r>
        <w:r w:rsidR="00C16F9D">
          <w:rPr>
            <w:noProof/>
            <w:webHidden/>
          </w:rPr>
          <w:fldChar w:fldCharType="begin"/>
        </w:r>
        <w:r w:rsidR="00C16F9D">
          <w:rPr>
            <w:noProof/>
            <w:webHidden/>
          </w:rPr>
          <w:instrText xml:space="preserve"> PAGEREF _Toc101963855 \h </w:instrText>
        </w:r>
        <w:r w:rsidR="00C16F9D">
          <w:rPr>
            <w:noProof/>
            <w:webHidden/>
          </w:rPr>
        </w:r>
        <w:r w:rsidR="00C16F9D">
          <w:rPr>
            <w:noProof/>
            <w:webHidden/>
          </w:rPr>
          <w:fldChar w:fldCharType="separate"/>
        </w:r>
        <w:r w:rsidR="00C16F9D">
          <w:rPr>
            <w:noProof/>
            <w:webHidden/>
          </w:rPr>
          <w:t>140</w:t>
        </w:r>
        <w:r w:rsidR="00C16F9D">
          <w:rPr>
            <w:noProof/>
            <w:webHidden/>
          </w:rPr>
          <w:fldChar w:fldCharType="end"/>
        </w:r>
      </w:hyperlink>
    </w:p>
    <w:p w14:paraId="445148A2" w14:textId="31B4A05E" w:rsidR="00C16F9D" w:rsidRDefault="0070071B">
      <w:pPr>
        <w:pStyle w:val="TableofFigures"/>
        <w:rPr>
          <w:rFonts w:asciiTheme="minorHAnsi" w:eastAsiaTheme="minorEastAsia" w:hAnsiTheme="minorHAnsi" w:cstheme="minorBidi"/>
          <w:noProof/>
          <w:color w:val="auto"/>
          <w:sz w:val="22"/>
          <w:szCs w:val="22"/>
        </w:rPr>
      </w:pPr>
      <w:hyperlink w:anchor="_Toc101963856" w:history="1">
        <w:r w:rsidR="00C16F9D" w:rsidRPr="006432DE">
          <w:rPr>
            <w:rStyle w:val="Hyperlink"/>
            <w:rFonts w:eastAsiaTheme="majorEastAsia"/>
            <w:noProof/>
          </w:rPr>
          <w:t>Figure 64. Length frequency distributions of freshwater catfish collected from the gorge geomorphic zone of the Lower Murray River from 2015–2021.</w:t>
        </w:r>
        <w:r w:rsidR="00C16F9D">
          <w:rPr>
            <w:noProof/>
            <w:webHidden/>
          </w:rPr>
          <w:tab/>
        </w:r>
        <w:r w:rsidR="00C16F9D">
          <w:rPr>
            <w:noProof/>
            <w:webHidden/>
          </w:rPr>
          <w:fldChar w:fldCharType="begin"/>
        </w:r>
        <w:r w:rsidR="00C16F9D">
          <w:rPr>
            <w:noProof/>
            <w:webHidden/>
          </w:rPr>
          <w:instrText xml:space="preserve"> PAGEREF _Toc101963856 \h </w:instrText>
        </w:r>
        <w:r w:rsidR="00C16F9D">
          <w:rPr>
            <w:noProof/>
            <w:webHidden/>
          </w:rPr>
        </w:r>
        <w:r w:rsidR="00C16F9D">
          <w:rPr>
            <w:noProof/>
            <w:webHidden/>
          </w:rPr>
          <w:fldChar w:fldCharType="separate"/>
        </w:r>
        <w:r w:rsidR="00C16F9D">
          <w:rPr>
            <w:noProof/>
            <w:webHidden/>
          </w:rPr>
          <w:t>141</w:t>
        </w:r>
        <w:r w:rsidR="00C16F9D">
          <w:rPr>
            <w:noProof/>
            <w:webHidden/>
          </w:rPr>
          <w:fldChar w:fldCharType="end"/>
        </w:r>
      </w:hyperlink>
    </w:p>
    <w:p w14:paraId="7D5C5892" w14:textId="67BE436B" w:rsidR="00C16F9D" w:rsidRDefault="0070071B">
      <w:pPr>
        <w:pStyle w:val="TableofFigures"/>
        <w:rPr>
          <w:rFonts w:asciiTheme="minorHAnsi" w:eastAsiaTheme="minorEastAsia" w:hAnsiTheme="minorHAnsi" w:cstheme="minorBidi"/>
          <w:noProof/>
          <w:color w:val="auto"/>
          <w:sz w:val="22"/>
          <w:szCs w:val="22"/>
        </w:rPr>
      </w:pPr>
      <w:hyperlink w:anchor="_Toc101963857" w:history="1">
        <w:r w:rsidR="00C16F9D" w:rsidRPr="006432DE">
          <w:rPr>
            <w:rStyle w:val="Hyperlink"/>
            <w:rFonts w:eastAsiaTheme="majorEastAsia"/>
            <w:noProof/>
          </w:rPr>
          <w:t>Figure 65. Length frequency distributions and age structures of bony herring collected from the gorge geomorphic zone of the Lower Murray River from 2016–2021.</w:t>
        </w:r>
        <w:r w:rsidR="00C16F9D">
          <w:rPr>
            <w:noProof/>
            <w:webHidden/>
          </w:rPr>
          <w:tab/>
        </w:r>
        <w:r w:rsidR="00C16F9D">
          <w:rPr>
            <w:noProof/>
            <w:webHidden/>
          </w:rPr>
          <w:fldChar w:fldCharType="begin"/>
        </w:r>
        <w:r w:rsidR="00C16F9D">
          <w:rPr>
            <w:noProof/>
            <w:webHidden/>
          </w:rPr>
          <w:instrText xml:space="preserve"> PAGEREF _Toc101963857 \h </w:instrText>
        </w:r>
        <w:r w:rsidR="00C16F9D">
          <w:rPr>
            <w:noProof/>
            <w:webHidden/>
          </w:rPr>
        </w:r>
        <w:r w:rsidR="00C16F9D">
          <w:rPr>
            <w:noProof/>
            <w:webHidden/>
          </w:rPr>
          <w:fldChar w:fldCharType="separate"/>
        </w:r>
        <w:r w:rsidR="00C16F9D">
          <w:rPr>
            <w:noProof/>
            <w:webHidden/>
          </w:rPr>
          <w:t>142</w:t>
        </w:r>
        <w:r w:rsidR="00C16F9D">
          <w:rPr>
            <w:noProof/>
            <w:webHidden/>
          </w:rPr>
          <w:fldChar w:fldCharType="end"/>
        </w:r>
      </w:hyperlink>
    </w:p>
    <w:p w14:paraId="5ABEE48E" w14:textId="1ADF494E" w:rsidR="00C16F9D" w:rsidRDefault="0070071B">
      <w:pPr>
        <w:pStyle w:val="TableofFigures"/>
        <w:rPr>
          <w:rFonts w:asciiTheme="minorHAnsi" w:eastAsiaTheme="minorEastAsia" w:hAnsiTheme="minorHAnsi" w:cstheme="minorBidi"/>
          <w:noProof/>
          <w:color w:val="auto"/>
          <w:sz w:val="22"/>
          <w:szCs w:val="22"/>
        </w:rPr>
      </w:pPr>
      <w:hyperlink w:anchor="_Toc101963858" w:history="1">
        <w:r w:rsidR="00C16F9D" w:rsidRPr="006432DE">
          <w:rPr>
            <w:rStyle w:val="Hyperlink"/>
            <w:rFonts w:eastAsiaTheme="majorEastAsia"/>
            <w:noProof/>
          </w:rPr>
          <w:t>Figure 66. Length frequency distributions of common carp collected from the gorge geomorphic zone of the Lower Murray River from 2015–2021.</w:t>
        </w:r>
        <w:r w:rsidR="00C16F9D">
          <w:rPr>
            <w:noProof/>
            <w:webHidden/>
          </w:rPr>
          <w:tab/>
        </w:r>
        <w:r w:rsidR="00C16F9D">
          <w:rPr>
            <w:noProof/>
            <w:webHidden/>
          </w:rPr>
          <w:fldChar w:fldCharType="begin"/>
        </w:r>
        <w:r w:rsidR="00C16F9D">
          <w:rPr>
            <w:noProof/>
            <w:webHidden/>
          </w:rPr>
          <w:instrText xml:space="preserve"> PAGEREF _Toc101963858 \h </w:instrText>
        </w:r>
        <w:r w:rsidR="00C16F9D">
          <w:rPr>
            <w:noProof/>
            <w:webHidden/>
          </w:rPr>
        </w:r>
        <w:r w:rsidR="00C16F9D">
          <w:rPr>
            <w:noProof/>
            <w:webHidden/>
          </w:rPr>
          <w:fldChar w:fldCharType="separate"/>
        </w:r>
        <w:r w:rsidR="00C16F9D">
          <w:rPr>
            <w:noProof/>
            <w:webHidden/>
          </w:rPr>
          <w:t>143</w:t>
        </w:r>
        <w:r w:rsidR="00C16F9D">
          <w:rPr>
            <w:noProof/>
            <w:webHidden/>
          </w:rPr>
          <w:fldChar w:fldCharType="end"/>
        </w:r>
      </w:hyperlink>
    </w:p>
    <w:p w14:paraId="5A19644D" w14:textId="6852FDD1" w:rsidR="00A31912" w:rsidRDefault="005B0AA3" w:rsidP="002C2611">
      <w:pPr>
        <w:rPr>
          <w:rStyle w:val="Hyperlink"/>
          <w:rFonts w:eastAsiaTheme="majorEastAsia"/>
          <w:noProof/>
          <w:color w:val="auto"/>
        </w:rPr>
      </w:pPr>
      <w:r>
        <w:rPr>
          <w:rStyle w:val="Hyperlink"/>
          <w:rFonts w:eastAsiaTheme="majorEastAsia"/>
          <w:noProof/>
          <w:color w:val="auto"/>
        </w:rPr>
        <w:fldChar w:fldCharType="end"/>
      </w:r>
      <w:bookmarkStart w:id="6" w:name="_Toc441838721"/>
    </w:p>
    <w:p w14:paraId="0EC482C2" w14:textId="77777777" w:rsidR="00A31912" w:rsidRDefault="00A31912">
      <w:pPr>
        <w:spacing w:before="0" w:after="160" w:line="259" w:lineRule="auto"/>
        <w:jc w:val="left"/>
        <w:rPr>
          <w:rStyle w:val="Hyperlink"/>
          <w:rFonts w:eastAsiaTheme="majorEastAsia"/>
          <w:noProof/>
          <w:color w:val="auto"/>
        </w:rPr>
      </w:pPr>
      <w:r>
        <w:rPr>
          <w:rStyle w:val="Hyperlink"/>
          <w:rFonts w:eastAsiaTheme="majorEastAsia"/>
          <w:noProof/>
          <w:color w:val="auto"/>
        </w:rPr>
        <w:br w:type="page"/>
      </w:r>
    </w:p>
    <w:p w14:paraId="1B29C0A8" w14:textId="079EB936" w:rsidR="005B0AA3" w:rsidRPr="00A67C76" w:rsidRDefault="005B0AA3" w:rsidP="005B0AA3">
      <w:pPr>
        <w:pStyle w:val="H1anotincinTOC"/>
        <w:outlineLvl w:val="0"/>
        <w:rPr>
          <w:color w:val="44546A" w:themeColor="text2"/>
        </w:rPr>
      </w:pPr>
      <w:bookmarkStart w:id="7" w:name="_Toc101963762"/>
      <w:r w:rsidRPr="00A67C76">
        <w:rPr>
          <w:color w:val="44546A" w:themeColor="text2"/>
        </w:rPr>
        <w:lastRenderedPageBreak/>
        <w:t>List of tables</w:t>
      </w:r>
      <w:bookmarkEnd w:id="6"/>
      <w:bookmarkEnd w:id="7"/>
    </w:p>
    <w:p w14:paraId="52AA589A" w14:textId="57B0A3B9" w:rsidR="00C16F9D" w:rsidRDefault="005B0AA3">
      <w:pPr>
        <w:pStyle w:val="TableofFigures"/>
        <w:rPr>
          <w:rFonts w:asciiTheme="minorHAnsi" w:eastAsiaTheme="minorEastAsia" w:hAnsiTheme="minorHAnsi" w:cstheme="minorBidi"/>
          <w:noProof/>
          <w:color w:val="auto"/>
          <w:sz w:val="22"/>
          <w:szCs w:val="22"/>
        </w:rPr>
      </w:pPr>
      <w:r w:rsidRPr="00C04A54">
        <w:rPr>
          <w:noProof/>
        </w:rPr>
        <w:fldChar w:fldCharType="begin"/>
      </w:r>
      <w:r w:rsidRPr="00C04A54">
        <w:rPr>
          <w:noProof/>
        </w:rPr>
        <w:instrText xml:space="preserve"> TOC \h \z \c "Table" </w:instrText>
      </w:r>
      <w:r w:rsidRPr="00C04A54">
        <w:rPr>
          <w:noProof/>
        </w:rPr>
        <w:fldChar w:fldCharType="separate"/>
      </w:r>
      <w:hyperlink w:anchor="_Toc101963859" w:history="1">
        <w:r w:rsidR="00C16F9D" w:rsidRPr="00EC12B9">
          <w:rPr>
            <w:rStyle w:val="Hyperlink"/>
            <w:rFonts w:eastAsiaTheme="majorEastAsia"/>
            <w:noProof/>
          </w:rPr>
          <w:t>Table 1. Total annual volumes (gigalitres, GL) of environmental water (eWater), including Commonwealth environmental water (CEW), delivered to the Lower Murray River (LMR) channel (excludes wetland use*) and the proportion contribution towards total flow to the LMR (QSA). Accounted volumes are provided by the CEWO, include the environmental components of the South Australian entitlement (Ent.) and exclude environmental water delivered from the SA Minister for Environment and Water and Accolade Wines (predominantly for wetlands). TLM = The Living Murray, VEWH = Victorian Environmental Water Holder, RMIF = River Murray Increased Flows, NSW DPIE = New South Wales Department of Planning, Industry and Environment.</w:t>
        </w:r>
        <w:r w:rsidR="00C16F9D">
          <w:rPr>
            <w:noProof/>
            <w:webHidden/>
          </w:rPr>
          <w:tab/>
        </w:r>
        <w:r w:rsidR="00C16F9D">
          <w:rPr>
            <w:noProof/>
            <w:webHidden/>
          </w:rPr>
          <w:fldChar w:fldCharType="begin"/>
        </w:r>
        <w:r w:rsidR="00C16F9D">
          <w:rPr>
            <w:noProof/>
            <w:webHidden/>
          </w:rPr>
          <w:instrText xml:space="preserve"> PAGEREF _Toc101963859 \h </w:instrText>
        </w:r>
        <w:r w:rsidR="00C16F9D">
          <w:rPr>
            <w:noProof/>
            <w:webHidden/>
          </w:rPr>
        </w:r>
        <w:r w:rsidR="00C16F9D">
          <w:rPr>
            <w:noProof/>
            <w:webHidden/>
          </w:rPr>
          <w:fldChar w:fldCharType="separate"/>
        </w:r>
        <w:r w:rsidR="00C16F9D">
          <w:rPr>
            <w:noProof/>
            <w:webHidden/>
          </w:rPr>
          <w:t>10</w:t>
        </w:r>
        <w:r w:rsidR="00C16F9D">
          <w:rPr>
            <w:noProof/>
            <w:webHidden/>
          </w:rPr>
          <w:fldChar w:fldCharType="end"/>
        </w:r>
      </w:hyperlink>
    </w:p>
    <w:p w14:paraId="6C15E4F5" w14:textId="4329BA01" w:rsidR="00C16F9D" w:rsidRDefault="0070071B">
      <w:pPr>
        <w:pStyle w:val="TableofFigures"/>
        <w:rPr>
          <w:rFonts w:asciiTheme="minorHAnsi" w:eastAsiaTheme="minorEastAsia" w:hAnsiTheme="minorHAnsi" w:cstheme="minorBidi"/>
          <w:noProof/>
          <w:color w:val="auto"/>
          <w:sz w:val="22"/>
          <w:szCs w:val="22"/>
        </w:rPr>
      </w:pPr>
      <w:hyperlink w:anchor="_Toc101963860" w:history="1">
        <w:r w:rsidR="00C16F9D" w:rsidRPr="00EC12B9">
          <w:rPr>
            <w:rStyle w:val="Hyperlink"/>
            <w:rFonts w:eastAsiaTheme="majorEastAsia"/>
            <w:noProof/>
          </w:rPr>
          <w:t>Table 2. Annual flow over the Murray barrages (total volume, GL) from 2014-15 to 2020-21, showing contribution by Commonwealth environmental water (CEW). CEW and total flow volumes are based on South Australian barrage dashboard accounting data. Matter transport results in Section 2.3.1 are based on barrage-specific modelled data, and may differ slightly compared to the accounted data presented here.</w:t>
        </w:r>
        <w:r w:rsidR="00C16F9D">
          <w:rPr>
            <w:noProof/>
            <w:webHidden/>
          </w:rPr>
          <w:tab/>
        </w:r>
        <w:r w:rsidR="00C16F9D">
          <w:rPr>
            <w:noProof/>
            <w:webHidden/>
          </w:rPr>
          <w:fldChar w:fldCharType="begin"/>
        </w:r>
        <w:r w:rsidR="00C16F9D">
          <w:rPr>
            <w:noProof/>
            <w:webHidden/>
          </w:rPr>
          <w:instrText xml:space="preserve"> PAGEREF _Toc101963860 \h </w:instrText>
        </w:r>
        <w:r w:rsidR="00C16F9D">
          <w:rPr>
            <w:noProof/>
            <w:webHidden/>
          </w:rPr>
        </w:r>
        <w:r w:rsidR="00C16F9D">
          <w:rPr>
            <w:noProof/>
            <w:webHidden/>
          </w:rPr>
          <w:fldChar w:fldCharType="separate"/>
        </w:r>
        <w:r w:rsidR="00C16F9D">
          <w:rPr>
            <w:noProof/>
            <w:webHidden/>
          </w:rPr>
          <w:t>11</w:t>
        </w:r>
        <w:r w:rsidR="00C16F9D">
          <w:rPr>
            <w:noProof/>
            <w:webHidden/>
          </w:rPr>
          <w:fldChar w:fldCharType="end"/>
        </w:r>
      </w:hyperlink>
    </w:p>
    <w:p w14:paraId="1EFD831E" w14:textId="75DB326F" w:rsidR="00C16F9D" w:rsidRDefault="0070071B">
      <w:pPr>
        <w:pStyle w:val="TableofFigures"/>
        <w:rPr>
          <w:rFonts w:asciiTheme="minorHAnsi" w:eastAsiaTheme="minorEastAsia" w:hAnsiTheme="minorHAnsi" w:cstheme="minorBidi"/>
          <w:noProof/>
          <w:color w:val="auto"/>
          <w:sz w:val="22"/>
          <w:szCs w:val="22"/>
        </w:rPr>
      </w:pPr>
      <w:hyperlink w:anchor="_Toc101963861" w:history="1">
        <w:r w:rsidR="00C16F9D" w:rsidRPr="00EC12B9">
          <w:rPr>
            <w:rStyle w:val="Hyperlink"/>
            <w:rFonts w:eastAsiaTheme="majorEastAsia"/>
            <w:noProof/>
          </w:rPr>
          <w:t>Table 3. Hydraulic Regime evaluation questions and answers. CEW = Commonwealth environmental water, eWater = environmental water.</w:t>
        </w:r>
        <w:r w:rsidR="00C16F9D">
          <w:rPr>
            <w:noProof/>
            <w:webHidden/>
          </w:rPr>
          <w:tab/>
        </w:r>
        <w:r w:rsidR="00C16F9D">
          <w:rPr>
            <w:noProof/>
            <w:webHidden/>
          </w:rPr>
          <w:fldChar w:fldCharType="begin"/>
        </w:r>
        <w:r w:rsidR="00C16F9D">
          <w:rPr>
            <w:noProof/>
            <w:webHidden/>
          </w:rPr>
          <w:instrText xml:space="preserve"> PAGEREF _Toc101963861 \h </w:instrText>
        </w:r>
        <w:r w:rsidR="00C16F9D">
          <w:rPr>
            <w:noProof/>
            <w:webHidden/>
          </w:rPr>
        </w:r>
        <w:r w:rsidR="00C16F9D">
          <w:rPr>
            <w:noProof/>
            <w:webHidden/>
          </w:rPr>
          <w:fldChar w:fldCharType="separate"/>
        </w:r>
        <w:r w:rsidR="00C16F9D">
          <w:rPr>
            <w:noProof/>
            <w:webHidden/>
          </w:rPr>
          <w:t>23</w:t>
        </w:r>
        <w:r w:rsidR="00C16F9D">
          <w:rPr>
            <w:noProof/>
            <w:webHidden/>
          </w:rPr>
          <w:fldChar w:fldCharType="end"/>
        </w:r>
      </w:hyperlink>
    </w:p>
    <w:p w14:paraId="7E9BCFF7" w14:textId="1E87702E" w:rsidR="00C16F9D" w:rsidRDefault="0070071B">
      <w:pPr>
        <w:pStyle w:val="TableofFigures"/>
        <w:rPr>
          <w:rFonts w:asciiTheme="minorHAnsi" w:eastAsiaTheme="minorEastAsia" w:hAnsiTheme="minorHAnsi" w:cstheme="minorBidi"/>
          <w:noProof/>
          <w:color w:val="auto"/>
          <w:sz w:val="22"/>
          <w:szCs w:val="22"/>
        </w:rPr>
      </w:pPr>
      <w:hyperlink w:anchor="_Toc101963862" w:history="1">
        <w:r w:rsidR="00C16F9D" w:rsidRPr="00EC12B9">
          <w:rPr>
            <w:rStyle w:val="Hyperlink"/>
            <w:rFonts w:eastAsiaTheme="majorEastAsia"/>
            <w:noProof/>
          </w:rPr>
          <w:t>Table 4. Stream Metabolism evaluation questions and answers relating to Commonwealth environmental water (CEW) and environmental water (eWater). DS = downstream.</w:t>
        </w:r>
        <w:r w:rsidR="00C16F9D">
          <w:rPr>
            <w:noProof/>
            <w:webHidden/>
          </w:rPr>
          <w:tab/>
        </w:r>
        <w:r w:rsidR="00C16F9D">
          <w:rPr>
            <w:noProof/>
            <w:webHidden/>
          </w:rPr>
          <w:fldChar w:fldCharType="begin"/>
        </w:r>
        <w:r w:rsidR="00C16F9D">
          <w:rPr>
            <w:noProof/>
            <w:webHidden/>
          </w:rPr>
          <w:instrText xml:space="preserve"> PAGEREF _Toc101963862 \h </w:instrText>
        </w:r>
        <w:r w:rsidR="00C16F9D">
          <w:rPr>
            <w:noProof/>
            <w:webHidden/>
          </w:rPr>
        </w:r>
        <w:r w:rsidR="00C16F9D">
          <w:rPr>
            <w:noProof/>
            <w:webHidden/>
          </w:rPr>
          <w:fldChar w:fldCharType="separate"/>
        </w:r>
        <w:r w:rsidR="00C16F9D">
          <w:rPr>
            <w:noProof/>
            <w:webHidden/>
          </w:rPr>
          <w:t>42</w:t>
        </w:r>
        <w:r w:rsidR="00C16F9D">
          <w:rPr>
            <w:noProof/>
            <w:webHidden/>
          </w:rPr>
          <w:fldChar w:fldCharType="end"/>
        </w:r>
      </w:hyperlink>
    </w:p>
    <w:p w14:paraId="3A862E2B" w14:textId="13B64A52" w:rsidR="00C16F9D" w:rsidRDefault="0070071B">
      <w:pPr>
        <w:pStyle w:val="TableofFigures"/>
        <w:rPr>
          <w:rFonts w:asciiTheme="minorHAnsi" w:eastAsiaTheme="minorEastAsia" w:hAnsiTheme="minorHAnsi" w:cstheme="minorBidi"/>
          <w:noProof/>
          <w:color w:val="auto"/>
          <w:sz w:val="22"/>
          <w:szCs w:val="22"/>
        </w:rPr>
      </w:pPr>
      <w:hyperlink w:anchor="_Toc101963863" w:history="1">
        <w:r w:rsidR="00C16F9D" w:rsidRPr="00EC12B9">
          <w:rPr>
            <w:rStyle w:val="Hyperlink"/>
            <w:rFonts w:eastAsiaTheme="majorEastAsia"/>
            <w:noProof/>
          </w:rPr>
          <w:t>Table 5. Summary of salt flux (tonnes) though barrages, Murray mouth, Long Point (North Lagoon) and Parnka Point (South Lagoon) in 2020-21.</w:t>
        </w:r>
        <w:r w:rsidR="00C16F9D">
          <w:rPr>
            <w:noProof/>
            <w:webHidden/>
          </w:rPr>
          <w:tab/>
        </w:r>
        <w:r w:rsidR="00C16F9D">
          <w:rPr>
            <w:noProof/>
            <w:webHidden/>
          </w:rPr>
          <w:fldChar w:fldCharType="begin"/>
        </w:r>
        <w:r w:rsidR="00C16F9D">
          <w:rPr>
            <w:noProof/>
            <w:webHidden/>
          </w:rPr>
          <w:instrText xml:space="preserve"> PAGEREF _Toc101963863 \h </w:instrText>
        </w:r>
        <w:r w:rsidR="00C16F9D">
          <w:rPr>
            <w:noProof/>
            <w:webHidden/>
          </w:rPr>
        </w:r>
        <w:r w:rsidR="00C16F9D">
          <w:rPr>
            <w:noProof/>
            <w:webHidden/>
          </w:rPr>
          <w:fldChar w:fldCharType="separate"/>
        </w:r>
        <w:r w:rsidR="00C16F9D">
          <w:rPr>
            <w:noProof/>
            <w:webHidden/>
          </w:rPr>
          <w:t>54</w:t>
        </w:r>
        <w:r w:rsidR="00C16F9D">
          <w:rPr>
            <w:noProof/>
            <w:webHidden/>
          </w:rPr>
          <w:fldChar w:fldCharType="end"/>
        </w:r>
      </w:hyperlink>
    </w:p>
    <w:p w14:paraId="48A5EFC7" w14:textId="0D692371" w:rsidR="00C16F9D" w:rsidRDefault="0070071B">
      <w:pPr>
        <w:pStyle w:val="TableofFigures"/>
        <w:rPr>
          <w:rFonts w:asciiTheme="minorHAnsi" w:eastAsiaTheme="minorEastAsia" w:hAnsiTheme="minorHAnsi" w:cstheme="minorBidi"/>
          <w:noProof/>
          <w:color w:val="auto"/>
          <w:sz w:val="22"/>
          <w:szCs w:val="22"/>
        </w:rPr>
      </w:pPr>
      <w:hyperlink w:anchor="_Toc101963864" w:history="1">
        <w:r w:rsidR="00C16F9D" w:rsidRPr="00EC12B9">
          <w:rPr>
            <w:rStyle w:val="Hyperlink"/>
            <w:rFonts w:eastAsiaTheme="majorEastAsia"/>
            <w:noProof/>
          </w:rPr>
          <w:t>Table 6. Summary of mean and median salinity, concentrations at the Murray Mouth, North Lagoon, and South Lagoon between July 2020 – June 2021.</w:t>
        </w:r>
        <w:r w:rsidR="00C16F9D">
          <w:rPr>
            <w:noProof/>
            <w:webHidden/>
          </w:rPr>
          <w:tab/>
        </w:r>
        <w:r w:rsidR="00C16F9D">
          <w:rPr>
            <w:noProof/>
            <w:webHidden/>
          </w:rPr>
          <w:fldChar w:fldCharType="begin"/>
        </w:r>
        <w:r w:rsidR="00C16F9D">
          <w:rPr>
            <w:noProof/>
            <w:webHidden/>
          </w:rPr>
          <w:instrText xml:space="preserve"> PAGEREF _Toc101963864 \h </w:instrText>
        </w:r>
        <w:r w:rsidR="00C16F9D">
          <w:rPr>
            <w:noProof/>
            <w:webHidden/>
          </w:rPr>
        </w:r>
        <w:r w:rsidR="00C16F9D">
          <w:rPr>
            <w:noProof/>
            <w:webHidden/>
          </w:rPr>
          <w:fldChar w:fldCharType="separate"/>
        </w:r>
        <w:r w:rsidR="00C16F9D">
          <w:rPr>
            <w:noProof/>
            <w:webHidden/>
          </w:rPr>
          <w:t>56</w:t>
        </w:r>
        <w:r w:rsidR="00C16F9D">
          <w:rPr>
            <w:noProof/>
            <w:webHidden/>
          </w:rPr>
          <w:fldChar w:fldCharType="end"/>
        </w:r>
      </w:hyperlink>
    </w:p>
    <w:p w14:paraId="20EC7C10" w14:textId="126C14A4" w:rsidR="00C16F9D" w:rsidRDefault="0070071B">
      <w:pPr>
        <w:pStyle w:val="TableofFigures"/>
        <w:rPr>
          <w:rFonts w:asciiTheme="minorHAnsi" w:eastAsiaTheme="minorEastAsia" w:hAnsiTheme="minorHAnsi" w:cstheme="minorBidi"/>
          <w:noProof/>
          <w:color w:val="auto"/>
          <w:sz w:val="22"/>
          <w:szCs w:val="22"/>
        </w:rPr>
      </w:pPr>
      <w:hyperlink w:anchor="_Toc101963865" w:history="1">
        <w:r w:rsidR="00C16F9D" w:rsidRPr="00EC12B9">
          <w:rPr>
            <w:rStyle w:val="Hyperlink"/>
            <w:rFonts w:eastAsiaTheme="majorEastAsia"/>
            <w:noProof/>
          </w:rPr>
          <w:t>Table 7. Total loads of inorganic and organic matter (tonnes) in 2020-21. Chl-a= chlorphyll-a, ON = organic nitrogen, OP = organic phosphorus.</w:t>
        </w:r>
        <w:r w:rsidR="00C16F9D">
          <w:rPr>
            <w:noProof/>
            <w:webHidden/>
          </w:rPr>
          <w:tab/>
        </w:r>
        <w:r w:rsidR="00C16F9D">
          <w:rPr>
            <w:noProof/>
            <w:webHidden/>
          </w:rPr>
          <w:fldChar w:fldCharType="begin"/>
        </w:r>
        <w:r w:rsidR="00C16F9D">
          <w:rPr>
            <w:noProof/>
            <w:webHidden/>
          </w:rPr>
          <w:instrText xml:space="preserve"> PAGEREF _Toc101963865 \h </w:instrText>
        </w:r>
        <w:r w:rsidR="00C16F9D">
          <w:rPr>
            <w:noProof/>
            <w:webHidden/>
          </w:rPr>
        </w:r>
        <w:r w:rsidR="00C16F9D">
          <w:rPr>
            <w:noProof/>
            <w:webHidden/>
          </w:rPr>
          <w:fldChar w:fldCharType="separate"/>
        </w:r>
        <w:r w:rsidR="00C16F9D">
          <w:rPr>
            <w:noProof/>
            <w:webHidden/>
          </w:rPr>
          <w:t>57</w:t>
        </w:r>
        <w:r w:rsidR="00C16F9D">
          <w:rPr>
            <w:noProof/>
            <w:webHidden/>
          </w:rPr>
          <w:fldChar w:fldCharType="end"/>
        </w:r>
      </w:hyperlink>
    </w:p>
    <w:p w14:paraId="2B603254" w14:textId="5DE4FDBA" w:rsidR="00C16F9D" w:rsidRDefault="0070071B">
      <w:pPr>
        <w:pStyle w:val="TableofFigures"/>
        <w:rPr>
          <w:rFonts w:asciiTheme="minorHAnsi" w:eastAsiaTheme="minorEastAsia" w:hAnsiTheme="minorHAnsi" w:cstheme="minorBidi"/>
          <w:noProof/>
          <w:color w:val="auto"/>
          <w:sz w:val="22"/>
          <w:szCs w:val="22"/>
        </w:rPr>
      </w:pPr>
      <w:hyperlink w:anchor="_Toc101963866" w:history="1">
        <w:r w:rsidR="00C16F9D" w:rsidRPr="00EC12B9">
          <w:rPr>
            <w:rStyle w:val="Hyperlink"/>
            <w:rFonts w:eastAsiaTheme="majorEastAsia"/>
            <w:noProof/>
          </w:rPr>
          <w:t>Table 8. Matter Transport evaluation questions and answers. CEW = Commonwealth environmental water.</w:t>
        </w:r>
        <w:r w:rsidR="00C16F9D">
          <w:rPr>
            <w:noProof/>
            <w:webHidden/>
          </w:rPr>
          <w:tab/>
        </w:r>
        <w:r w:rsidR="00C16F9D">
          <w:rPr>
            <w:noProof/>
            <w:webHidden/>
          </w:rPr>
          <w:fldChar w:fldCharType="begin"/>
        </w:r>
        <w:r w:rsidR="00C16F9D">
          <w:rPr>
            <w:noProof/>
            <w:webHidden/>
          </w:rPr>
          <w:instrText xml:space="preserve"> PAGEREF _Toc101963866 \h </w:instrText>
        </w:r>
        <w:r w:rsidR="00C16F9D">
          <w:rPr>
            <w:noProof/>
            <w:webHidden/>
          </w:rPr>
        </w:r>
        <w:r w:rsidR="00C16F9D">
          <w:rPr>
            <w:noProof/>
            <w:webHidden/>
          </w:rPr>
          <w:fldChar w:fldCharType="separate"/>
        </w:r>
        <w:r w:rsidR="00C16F9D">
          <w:rPr>
            <w:noProof/>
            <w:webHidden/>
          </w:rPr>
          <w:t>59</w:t>
        </w:r>
        <w:r w:rsidR="00C16F9D">
          <w:rPr>
            <w:noProof/>
            <w:webHidden/>
          </w:rPr>
          <w:fldChar w:fldCharType="end"/>
        </w:r>
      </w:hyperlink>
    </w:p>
    <w:p w14:paraId="2477830E" w14:textId="1EAE93D8" w:rsidR="00C16F9D" w:rsidRDefault="0070071B">
      <w:pPr>
        <w:pStyle w:val="TableofFigures"/>
        <w:rPr>
          <w:rFonts w:asciiTheme="minorHAnsi" w:eastAsiaTheme="minorEastAsia" w:hAnsiTheme="minorHAnsi" w:cstheme="minorBidi"/>
          <w:noProof/>
          <w:color w:val="auto"/>
          <w:sz w:val="22"/>
          <w:szCs w:val="22"/>
        </w:rPr>
      </w:pPr>
      <w:hyperlink w:anchor="_Toc101963867" w:history="1">
        <w:r w:rsidR="00C16F9D" w:rsidRPr="00EC12B9">
          <w:rPr>
            <w:rStyle w:val="Hyperlink"/>
            <w:rFonts w:eastAsiaTheme="majorEastAsia"/>
            <w:noProof/>
          </w:rPr>
          <w:t>Table 9. Coorong habitat evaluation questions and answers. CEW = Commonwealth environmental water, eWater = environmental water.</w:t>
        </w:r>
        <w:r w:rsidR="00C16F9D">
          <w:rPr>
            <w:noProof/>
            <w:webHidden/>
          </w:rPr>
          <w:tab/>
        </w:r>
        <w:r w:rsidR="00C16F9D">
          <w:rPr>
            <w:noProof/>
            <w:webHidden/>
          </w:rPr>
          <w:fldChar w:fldCharType="begin"/>
        </w:r>
        <w:r w:rsidR="00C16F9D">
          <w:rPr>
            <w:noProof/>
            <w:webHidden/>
          </w:rPr>
          <w:instrText xml:space="preserve"> PAGEREF _Toc101963867 \h </w:instrText>
        </w:r>
        <w:r w:rsidR="00C16F9D">
          <w:rPr>
            <w:noProof/>
            <w:webHidden/>
          </w:rPr>
        </w:r>
        <w:r w:rsidR="00C16F9D">
          <w:rPr>
            <w:noProof/>
            <w:webHidden/>
          </w:rPr>
          <w:fldChar w:fldCharType="separate"/>
        </w:r>
        <w:r w:rsidR="00C16F9D">
          <w:rPr>
            <w:noProof/>
            <w:webHidden/>
          </w:rPr>
          <w:t>68</w:t>
        </w:r>
        <w:r w:rsidR="00C16F9D">
          <w:rPr>
            <w:noProof/>
            <w:webHidden/>
          </w:rPr>
          <w:fldChar w:fldCharType="end"/>
        </w:r>
      </w:hyperlink>
    </w:p>
    <w:p w14:paraId="17EB6EF4" w14:textId="53F8BF85" w:rsidR="00C16F9D" w:rsidRDefault="0070071B">
      <w:pPr>
        <w:pStyle w:val="TableofFigures"/>
        <w:rPr>
          <w:rFonts w:asciiTheme="minorHAnsi" w:eastAsiaTheme="minorEastAsia" w:hAnsiTheme="minorHAnsi" w:cstheme="minorBidi"/>
          <w:noProof/>
          <w:color w:val="auto"/>
          <w:sz w:val="22"/>
          <w:szCs w:val="22"/>
        </w:rPr>
      </w:pPr>
      <w:hyperlink w:anchor="_Toc101963868" w:history="1">
        <w:r w:rsidR="00C16F9D" w:rsidRPr="00EC12B9">
          <w:rPr>
            <w:rStyle w:val="Hyperlink"/>
            <w:rFonts w:eastAsiaTheme="majorEastAsia"/>
            <w:noProof/>
          </w:rPr>
          <w:t>Table 10. PERMANOVA results comparing plant community in each inundation zone in each reach in February 2021.</w:t>
        </w:r>
        <w:r w:rsidR="00C16F9D">
          <w:rPr>
            <w:noProof/>
            <w:webHidden/>
          </w:rPr>
          <w:tab/>
        </w:r>
        <w:r w:rsidR="00C16F9D">
          <w:rPr>
            <w:noProof/>
            <w:webHidden/>
          </w:rPr>
          <w:fldChar w:fldCharType="begin"/>
        </w:r>
        <w:r w:rsidR="00C16F9D">
          <w:rPr>
            <w:noProof/>
            <w:webHidden/>
          </w:rPr>
          <w:instrText xml:space="preserve"> PAGEREF _Toc101963868 \h </w:instrText>
        </w:r>
        <w:r w:rsidR="00C16F9D">
          <w:rPr>
            <w:noProof/>
            <w:webHidden/>
          </w:rPr>
        </w:r>
        <w:r w:rsidR="00C16F9D">
          <w:rPr>
            <w:noProof/>
            <w:webHidden/>
          </w:rPr>
          <w:fldChar w:fldCharType="separate"/>
        </w:r>
        <w:r w:rsidR="00C16F9D">
          <w:rPr>
            <w:noProof/>
            <w:webHidden/>
          </w:rPr>
          <w:t>79</w:t>
        </w:r>
        <w:r w:rsidR="00C16F9D">
          <w:rPr>
            <w:noProof/>
            <w:webHidden/>
          </w:rPr>
          <w:fldChar w:fldCharType="end"/>
        </w:r>
      </w:hyperlink>
    </w:p>
    <w:p w14:paraId="3E0C4954" w14:textId="74C94CDA" w:rsidR="00C16F9D" w:rsidRDefault="0070071B">
      <w:pPr>
        <w:pStyle w:val="TableofFigures"/>
        <w:rPr>
          <w:rFonts w:asciiTheme="minorHAnsi" w:eastAsiaTheme="minorEastAsia" w:hAnsiTheme="minorHAnsi" w:cstheme="minorBidi"/>
          <w:noProof/>
          <w:color w:val="auto"/>
          <w:sz w:val="22"/>
          <w:szCs w:val="22"/>
        </w:rPr>
      </w:pPr>
      <w:hyperlink w:anchor="_Toc101963869" w:history="1">
        <w:r w:rsidR="00C16F9D" w:rsidRPr="00EC12B9">
          <w:rPr>
            <w:rStyle w:val="Hyperlink"/>
            <w:rFonts w:eastAsiaTheme="majorEastAsia"/>
            <w:noProof/>
          </w:rPr>
          <w:t>Table 11. PERMANOVA results comparing above ground biomass in each inundation zone in each reach in February 2021.</w:t>
        </w:r>
        <w:r w:rsidR="00C16F9D">
          <w:rPr>
            <w:noProof/>
            <w:webHidden/>
          </w:rPr>
          <w:tab/>
        </w:r>
        <w:r w:rsidR="00C16F9D">
          <w:rPr>
            <w:noProof/>
            <w:webHidden/>
          </w:rPr>
          <w:fldChar w:fldCharType="begin"/>
        </w:r>
        <w:r w:rsidR="00C16F9D">
          <w:rPr>
            <w:noProof/>
            <w:webHidden/>
          </w:rPr>
          <w:instrText xml:space="preserve"> PAGEREF _Toc101963869 \h </w:instrText>
        </w:r>
        <w:r w:rsidR="00C16F9D">
          <w:rPr>
            <w:noProof/>
            <w:webHidden/>
          </w:rPr>
        </w:r>
        <w:r w:rsidR="00C16F9D">
          <w:rPr>
            <w:noProof/>
            <w:webHidden/>
          </w:rPr>
          <w:fldChar w:fldCharType="separate"/>
        </w:r>
        <w:r w:rsidR="00C16F9D">
          <w:rPr>
            <w:noProof/>
            <w:webHidden/>
          </w:rPr>
          <w:t>81</w:t>
        </w:r>
        <w:r w:rsidR="00C16F9D">
          <w:rPr>
            <w:noProof/>
            <w:webHidden/>
          </w:rPr>
          <w:fldChar w:fldCharType="end"/>
        </w:r>
      </w:hyperlink>
    </w:p>
    <w:p w14:paraId="7865E850" w14:textId="17F39B51" w:rsidR="00C16F9D" w:rsidRDefault="0070071B">
      <w:pPr>
        <w:pStyle w:val="TableofFigures"/>
        <w:rPr>
          <w:rFonts w:asciiTheme="minorHAnsi" w:eastAsiaTheme="minorEastAsia" w:hAnsiTheme="minorHAnsi" w:cstheme="minorBidi"/>
          <w:noProof/>
          <w:color w:val="auto"/>
          <w:sz w:val="22"/>
          <w:szCs w:val="22"/>
        </w:rPr>
      </w:pPr>
      <w:hyperlink w:anchor="_Toc101963870" w:history="1">
        <w:r w:rsidR="00C16F9D" w:rsidRPr="00EC12B9">
          <w:rPr>
            <w:rStyle w:val="Hyperlink"/>
            <w:rFonts w:eastAsiaTheme="majorEastAsia"/>
            <w:noProof/>
          </w:rPr>
          <w:t>Table 12. Littoral Vegetation Diversity and Productivity evaluation questions and answers. CEW = Commonwealth environmental water, eWater = environmental water.</w:t>
        </w:r>
        <w:r w:rsidR="00C16F9D">
          <w:rPr>
            <w:noProof/>
            <w:webHidden/>
          </w:rPr>
          <w:tab/>
        </w:r>
        <w:r w:rsidR="00C16F9D">
          <w:rPr>
            <w:noProof/>
            <w:webHidden/>
          </w:rPr>
          <w:fldChar w:fldCharType="begin"/>
        </w:r>
        <w:r w:rsidR="00C16F9D">
          <w:rPr>
            <w:noProof/>
            <w:webHidden/>
          </w:rPr>
          <w:instrText xml:space="preserve"> PAGEREF _Toc101963870 \h </w:instrText>
        </w:r>
        <w:r w:rsidR="00C16F9D">
          <w:rPr>
            <w:noProof/>
            <w:webHidden/>
          </w:rPr>
        </w:r>
        <w:r w:rsidR="00C16F9D">
          <w:rPr>
            <w:noProof/>
            <w:webHidden/>
          </w:rPr>
          <w:fldChar w:fldCharType="separate"/>
        </w:r>
        <w:r w:rsidR="00C16F9D">
          <w:rPr>
            <w:noProof/>
            <w:webHidden/>
          </w:rPr>
          <w:t>82</w:t>
        </w:r>
        <w:r w:rsidR="00C16F9D">
          <w:rPr>
            <w:noProof/>
            <w:webHidden/>
          </w:rPr>
          <w:fldChar w:fldCharType="end"/>
        </w:r>
      </w:hyperlink>
    </w:p>
    <w:p w14:paraId="788E4C3B" w14:textId="272CFA2B" w:rsidR="00C16F9D" w:rsidRDefault="0070071B">
      <w:pPr>
        <w:pStyle w:val="TableofFigures"/>
        <w:rPr>
          <w:rFonts w:asciiTheme="minorHAnsi" w:eastAsiaTheme="minorEastAsia" w:hAnsiTheme="minorHAnsi" w:cstheme="minorBidi"/>
          <w:noProof/>
          <w:color w:val="auto"/>
          <w:sz w:val="22"/>
          <w:szCs w:val="22"/>
        </w:rPr>
      </w:pPr>
      <w:hyperlink w:anchor="_Toc101963871" w:history="1">
        <w:r w:rsidR="00C16F9D" w:rsidRPr="00EC12B9">
          <w:rPr>
            <w:rStyle w:val="Hyperlink"/>
            <w:rFonts w:eastAsiaTheme="majorEastAsia"/>
            <w:noProof/>
          </w:rPr>
          <w:t>Table 13. Microinvertebrate sampling dates from 2020-21 in the Lower Murray River.</w:t>
        </w:r>
        <w:r w:rsidR="00C16F9D">
          <w:rPr>
            <w:noProof/>
            <w:webHidden/>
          </w:rPr>
          <w:tab/>
        </w:r>
        <w:r w:rsidR="00C16F9D">
          <w:rPr>
            <w:noProof/>
            <w:webHidden/>
          </w:rPr>
          <w:fldChar w:fldCharType="begin"/>
        </w:r>
        <w:r w:rsidR="00C16F9D">
          <w:rPr>
            <w:noProof/>
            <w:webHidden/>
          </w:rPr>
          <w:instrText xml:space="preserve"> PAGEREF _Toc101963871 \h </w:instrText>
        </w:r>
        <w:r w:rsidR="00C16F9D">
          <w:rPr>
            <w:noProof/>
            <w:webHidden/>
          </w:rPr>
        </w:r>
        <w:r w:rsidR="00C16F9D">
          <w:rPr>
            <w:noProof/>
            <w:webHidden/>
          </w:rPr>
          <w:fldChar w:fldCharType="separate"/>
        </w:r>
        <w:r w:rsidR="00C16F9D">
          <w:rPr>
            <w:noProof/>
            <w:webHidden/>
          </w:rPr>
          <w:t>87</w:t>
        </w:r>
        <w:r w:rsidR="00C16F9D">
          <w:rPr>
            <w:noProof/>
            <w:webHidden/>
          </w:rPr>
          <w:fldChar w:fldCharType="end"/>
        </w:r>
      </w:hyperlink>
    </w:p>
    <w:p w14:paraId="060F675A" w14:textId="76082194" w:rsidR="00C16F9D" w:rsidRDefault="0070071B">
      <w:pPr>
        <w:pStyle w:val="TableofFigures"/>
        <w:rPr>
          <w:rFonts w:asciiTheme="minorHAnsi" w:eastAsiaTheme="minorEastAsia" w:hAnsiTheme="minorHAnsi" w:cstheme="minorBidi"/>
          <w:noProof/>
          <w:color w:val="auto"/>
          <w:sz w:val="22"/>
          <w:szCs w:val="22"/>
        </w:rPr>
      </w:pPr>
      <w:hyperlink w:anchor="_Toc101963872" w:history="1">
        <w:r w:rsidR="00C16F9D" w:rsidRPr="00EC12B9">
          <w:rPr>
            <w:rStyle w:val="Hyperlink"/>
            <w:rFonts w:eastAsiaTheme="majorEastAsia"/>
            <w:noProof/>
          </w:rPr>
          <w:t>Table 14</w:t>
        </w:r>
        <w:r w:rsidR="00C16F9D" w:rsidRPr="00EC12B9">
          <w:rPr>
            <w:rStyle w:val="Hyperlink"/>
            <w:rFonts w:eastAsiaTheme="majorEastAsia"/>
            <w:iCs/>
            <w:noProof/>
          </w:rPr>
          <w:t>.</w:t>
        </w:r>
        <w:r w:rsidR="00C16F9D" w:rsidRPr="00EC12B9">
          <w:rPr>
            <w:rStyle w:val="Hyperlink"/>
            <w:rFonts w:eastAsiaTheme="majorEastAsia"/>
            <w:noProof/>
          </w:rPr>
          <w:t xml:space="preserve"> Details of microinvertebrate sampling sites in the Lower Murray River.</w:t>
        </w:r>
        <w:r w:rsidR="00C16F9D">
          <w:rPr>
            <w:noProof/>
            <w:webHidden/>
          </w:rPr>
          <w:tab/>
        </w:r>
        <w:r w:rsidR="00C16F9D">
          <w:rPr>
            <w:noProof/>
            <w:webHidden/>
          </w:rPr>
          <w:fldChar w:fldCharType="begin"/>
        </w:r>
        <w:r w:rsidR="00C16F9D">
          <w:rPr>
            <w:noProof/>
            <w:webHidden/>
          </w:rPr>
          <w:instrText xml:space="preserve"> PAGEREF _Toc101963872 \h </w:instrText>
        </w:r>
        <w:r w:rsidR="00C16F9D">
          <w:rPr>
            <w:noProof/>
            <w:webHidden/>
          </w:rPr>
        </w:r>
        <w:r w:rsidR="00C16F9D">
          <w:rPr>
            <w:noProof/>
            <w:webHidden/>
          </w:rPr>
          <w:fldChar w:fldCharType="separate"/>
        </w:r>
        <w:r w:rsidR="00C16F9D">
          <w:rPr>
            <w:noProof/>
            <w:webHidden/>
          </w:rPr>
          <w:t>88</w:t>
        </w:r>
        <w:r w:rsidR="00C16F9D">
          <w:rPr>
            <w:noProof/>
            <w:webHidden/>
          </w:rPr>
          <w:fldChar w:fldCharType="end"/>
        </w:r>
      </w:hyperlink>
    </w:p>
    <w:p w14:paraId="17FC9B2C" w14:textId="4D3E7DDE" w:rsidR="00C16F9D" w:rsidRDefault="0070071B">
      <w:pPr>
        <w:pStyle w:val="TableofFigures"/>
        <w:rPr>
          <w:rFonts w:asciiTheme="minorHAnsi" w:eastAsiaTheme="minorEastAsia" w:hAnsiTheme="minorHAnsi" w:cstheme="minorBidi"/>
          <w:noProof/>
          <w:color w:val="auto"/>
          <w:sz w:val="22"/>
          <w:szCs w:val="22"/>
        </w:rPr>
      </w:pPr>
      <w:hyperlink w:anchor="_Toc101963873" w:history="1">
        <w:r w:rsidR="00C16F9D" w:rsidRPr="00EC12B9">
          <w:rPr>
            <w:rStyle w:val="Hyperlink"/>
            <w:rFonts w:eastAsiaTheme="majorEastAsia"/>
            <w:noProof/>
          </w:rPr>
          <w:t>Table 15. Taxa used to quantify the influence of environmental water on.</w:t>
        </w:r>
        <w:r w:rsidR="00C16F9D">
          <w:rPr>
            <w:noProof/>
            <w:webHidden/>
          </w:rPr>
          <w:tab/>
        </w:r>
        <w:r w:rsidR="00C16F9D">
          <w:rPr>
            <w:noProof/>
            <w:webHidden/>
          </w:rPr>
          <w:fldChar w:fldCharType="begin"/>
        </w:r>
        <w:r w:rsidR="00C16F9D">
          <w:rPr>
            <w:noProof/>
            <w:webHidden/>
          </w:rPr>
          <w:instrText xml:space="preserve"> PAGEREF _Toc101963873 \h </w:instrText>
        </w:r>
        <w:r w:rsidR="00C16F9D">
          <w:rPr>
            <w:noProof/>
            <w:webHidden/>
          </w:rPr>
        </w:r>
        <w:r w:rsidR="00C16F9D">
          <w:rPr>
            <w:noProof/>
            <w:webHidden/>
          </w:rPr>
          <w:fldChar w:fldCharType="separate"/>
        </w:r>
        <w:r w:rsidR="00C16F9D">
          <w:rPr>
            <w:noProof/>
            <w:webHidden/>
          </w:rPr>
          <w:t>89</w:t>
        </w:r>
        <w:r w:rsidR="00C16F9D">
          <w:rPr>
            <w:noProof/>
            <w:webHidden/>
          </w:rPr>
          <w:fldChar w:fldCharType="end"/>
        </w:r>
      </w:hyperlink>
    </w:p>
    <w:p w14:paraId="50D9B8A8" w14:textId="662F7711" w:rsidR="00C16F9D" w:rsidRDefault="0070071B">
      <w:pPr>
        <w:pStyle w:val="TableofFigures"/>
        <w:rPr>
          <w:rFonts w:asciiTheme="minorHAnsi" w:eastAsiaTheme="minorEastAsia" w:hAnsiTheme="minorHAnsi" w:cstheme="minorBidi"/>
          <w:noProof/>
          <w:color w:val="auto"/>
          <w:sz w:val="22"/>
          <w:szCs w:val="22"/>
        </w:rPr>
      </w:pPr>
      <w:hyperlink w:anchor="_Toc101963874" w:history="1">
        <w:r w:rsidR="00C16F9D" w:rsidRPr="00EC12B9">
          <w:rPr>
            <w:rStyle w:val="Hyperlink"/>
            <w:rFonts w:eastAsiaTheme="majorEastAsia"/>
            <w:noProof/>
          </w:rPr>
          <w:t>Table 16. Microinvertebrate prey species for fish larvae of large-bodied native species (Murray cod, golden perch and silver perch) identified from gut content analysis used in modelling fish prey species density.</w:t>
        </w:r>
        <w:r w:rsidR="00C16F9D">
          <w:rPr>
            <w:noProof/>
            <w:webHidden/>
          </w:rPr>
          <w:tab/>
        </w:r>
        <w:r w:rsidR="00C16F9D">
          <w:rPr>
            <w:noProof/>
            <w:webHidden/>
          </w:rPr>
          <w:fldChar w:fldCharType="begin"/>
        </w:r>
        <w:r w:rsidR="00C16F9D">
          <w:rPr>
            <w:noProof/>
            <w:webHidden/>
          </w:rPr>
          <w:instrText xml:space="preserve"> PAGEREF _Toc101963874 \h </w:instrText>
        </w:r>
        <w:r w:rsidR="00C16F9D">
          <w:rPr>
            <w:noProof/>
            <w:webHidden/>
          </w:rPr>
        </w:r>
        <w:r w:rsidR="00C16F9D">
          <w:rPr>
            <w:noProof/>
            <w:webHidden/>
          </w:rPr>
          <w:fldChar w:fldCharType="separate"/>
        </w:r>
        <w:r w:rsidR="00C16F9D">
          <w:rPr>
            <w:noProof/>
            <w:webHidden/>
          </w:rPr>
          <w:t>89</w:t>
        </w:r>
        <w:r w:rsidR="00C16F9D">
          <w:rPr>
            <w:noProof/>
            <w:webHidden/>
          </w:rPr>
          <w:fldChar w:fldCharType="end"/>
        </w:r>
      </w:hyperlink>
    </w:p>
    <w:p w14:paraId="4B8DDE6C" w14:textId="26F15F75" w:rsidR="00C16F9D" w:rsidRDefault="0070071B">
      <w:pPr>
        <w:pStyle w:val="TableofFigures"/>
        <w:rPr>
          <w:rFonts w:asciiTheme="minorHAnsi" w:eastAsiaTheme="minorEastAsia" w:hAnsiTheme="minorHAnsi" w:cstheme="minorBidi"/>
          <w:noProof/>
          <w:color w:val="auto"/>
          <w:sz w:val="22"/>
          <w:szCs w:val="22"/>
        </w:rPr>
      </w:pPr>
      <w:hyperlink w:anchor="_Toc101963875" w:history="1">
        <w:r w:rsidR="00C16F9D" w:rsidRPr="00EC12B9">
          <w:rPr>
            <w:rStyle w:val="Hyperlink"/>
            <w:rFonts w:eastAsiaTheme="majorEastAsia"/>
            <w:noProof/>
          </w:rPr>
          <w:t>Table 17. Microinvertebrate Assemblage evaluation questions and answers. CEW = Commonwealth environmental water, eWater = environmental water. Hypotheses: H1a, H1b, H2a, H2b and H3. The mean [95% CI] and % attributable to CEW contributions for each water year are detailed for each evaluation question and each water year. The significance of the contribution was classified as none-negligible if the contribution was 0–9%, minor = 10–19%, moderate =20–29% and substantial = ≥30%.</w:t>
        </w:r>
        <w:r w:rsidR="00C16F9D">
          <w:rPr>
            <w:noProof/>
            <w:webHidden/>
          </w:rPr>
          <w:tab/>
        </w:r>
        <w:r w:rsidR="00C16F9D">
          <w:rPr>
            <w:noProof/>
            <w:webHidden/>
          </w:rPr>
          <w:fldChar w:fldCharType="begin"/>
        </w:r>
        <w:r w:rsidR="00C16F9D">
          <w:rPr>
            <w:noProof/>
            <w:webHidden/>
          </w:rPr>
          <w:instrText xml:space="preserve"> PAGEREF _Toc101963875 \h </w:instrText>
        </w:r>
        <w:r w:rsidR="00C16F9D">
          <w:rPr>
            <w:noProof/>
            <w:webHidden/>
          </w:rPr>
        </w:r>
        <w:r w:rsidR="00C16F9D">
          <w:rPr>
            <w:noProof/>
            <w:webHidden/>
          </w:rPr>
          <w:fldChar w:fldCharType="separate"/>
        </w:r>
        <w:r w:rsidR="00C16F9D">
          <w:rPr>
            <w:noProof/>
            <w:webHidden/>
          </w:rPr>
          <w:t>96</w:t>
        </w:r>
        <w:r w:rsidR="00C16F9D">
          <w:rPr>
            <w:noProof/>
            <w:webHidden/>
          </w:rPr>
          <w:fldChar w:fldCharType="end"/>
        </w:r>
      </w:hyperlink>
    </w:p>
    <w:p w14:paraId="1C9AA376" w14:textId="17FCF789" w:rsidR="00C16F9D" w:rsidRDefault="0070071B">
      <w:pPr>
        <w:pStyle w:val="TableofFigures"/>
        <w:rPr>
          <w:rFonts w:asciiTheme="minorHAnsi" w:eastAsiaTheme="minorEastAsia" w:hAnsiTheme="minorHAnsi" w:cstheme="minorBidi"/>
          <w:noProof/>
          <w:color w:val="auto"/>
          <w:sz w:val="22"/>
          <w:szCs w:val="22"/>
        </w:rPr>
      </w:pPr>
      <w:hyperlink w:anchor="_Toc101963876" w:history="1">
        <w:r w:rsidR="00C16F9D" w:rsidRPr="00EC12B9">
          <w:rPr>
            <w:rStyle w:val="Hyperlink"/>
            <w:rFonts w:eastAsiaTheme="majorEastAsia"/>
            <w:noProof/>
          </w:rPr>
          <w:t xml:space="preserve">Table 18. Location of water sample collection for </w:t>
        </w:r>
        <w:r w:rsidR="00C16F9D" w:rsidRPr="00EC12B9">
          <w:rPr>
            <w:rStyle w:val="Hyperlink"/>
            <w:rFonts w:eastAsiaTheme="majorEastAsia"/>
            <w:noProof/>
            <w:vertAlign w:val="superscript"/>
          </w:rPr>
          <w:t>87</w:t>
        </w:r>
        <w:r w:rsidR="00C16F9D" w:rsidRPr="00EC12B9">
          <w:rPr>
            <w:rStyle w:val="Hyperlink"/>
            <w:rFonts w:eastAsiaTheme="majorEastAsia"/>
            <w:noProof/>
          </w:rPr>
          <w:t>Sr/</w:t>
        </w:r>
        <w:r w:rsidR="00C16F9D" w:rsidRPr="00EC12B9">
          <w:rPr>
            <w:rStyle w:val="Hyperlink"/>
            <w:rFonts w:eastAsiaTheme="majorEastAsia"/>
            <w:noProof/>
            <w:vertAlign w:val="superscript"/>
          </w:rPr>
          <w:t>86</w:t>
        </w:r>
        <w:r w:rsidR="00C16F9D" w:rsidRPr="00EC12B9">
          <w:rPr>
            <w:rStyle w:val="Hyperlink"/>
            <w:rFonts w:eastAsiaTheme="majorEastAsia"/>
            <w:noProof/>
          </w:rPr>
          <w:t>Sr analysis in 2020-21.</w:t>
        </w:r>
        <w:r w:rsidR="00C16F9D">
          <w:rPr>
            <w:noProof/>
            <w:webHidden/>
          </w:rPr>
          <w:tab/>
        </w:r>
        <w:r w:rsidR="00C16F9D">
          <w:rPr>
            <w:noProof/>
            <w:webHidden/>
          </w:rPr>
          <w:fldChar w:fldCharType="begin"/>
        </w:r>
        <w:r w:rsidR="00C16F9D">
          <w:rPr>
            <w:noProof/>
            <w:webHidden/>
          </w:rPr>
          <w:instrText xml:space="preserve"> PAGEREF _Toc101963876 \h </w:instrText>
        </w:r>
        <w:r w:rsidR="00C16F9D">
          <w:rPr>
            <w:noProof/>
            <w:webHidden/>
          </w:rPr>
        </w:r>
        <w:r w:rsidR="00C16F9D">
          <w:rPr>
            <w:noProof/>
            <w:webHidden/>
          </w:rPr>
          <w:fldChar w:fldCharType="separate"/>
        </w:r>
        <w:r w:rsidR="00C16F9D">
          <w:rPr>
            <w:noProof/>
            <w:webHidden/>
          </w:rPr>
          <w:t>105</w:t>
        </w:r>
        <w:r w:rsidR="00C16F9D">
          <w:rPr>
            <w:noProof/>
            <w:webHidden/>
          </w:rPr>
          <w:fldChar w:fldCharType="end"/>
        </w:r>
      </w:hyperlink>
    </w:p>
    <w:p w14:paraId="737DB19E" w14:textId="5EFD639C" w:rsidR="00C16F9D" w:rsidRDefault="0070071B">
      <w:pPr>
        <w:pStyle w:val="TableofFigures"/>
        <w:rPr>
          <w:rFonts w:asciiTheme="minorHAnsi" w:eastAsiaTheme="minorEastAsia" w:hAnsiTheme="minorHAnsi" w:cstheme="minorBidi"/>
          <w:noProof/>
          <w:color w:val="auto"/>
          <w:sz w:val="22"/>
          <w:szCs w:val="22"/>
        </w:rPr>
      </w:pPr>
      <w:hyperlink w:anchor="_Toc101963877" w:history="1">
        <w:r w:rsidR="00C16F9D" w:rsidRPr="00EC12B9">
          <w:rPr>
            <w:rStyle w:val="Hyperlink"/>
            <w:rFonts w:eastAsiaTheme="majorEastAsia"/>
            <w:noProof/>
          </w:rPr>
          <w:t>Table 19. Capture details for larval golden perch and silver perch collected from the LMR by larval tows. * indicates that age was estimated based on historical ages of golden perch with similar total lengths. TL = total length. n = total number of larvae sampled.</w:t>
        </w:r>
        <w:r w:rsidR="00C16F9D">
          <w:rPr>
            <w:noProof/>
            <w:webHidden/>
          </w:rPr>
          <w:tab/>
        </w:r>
        <w:r w:rsidR="00C16F9D">
          <w:rPr>
            <w:noProof/>
            <w:webHidden/>
          </w:rPr>
          <w:fldChar w:fldCharType="begin"/>
        </w:r>
        <w:r w:rsidR="00C16F9D">
          <w:rPr>
            <w:noProof/>
            <w:webHidden/>
          </w:rPr>
          <w:instrText xml:space="preserve"> PAGEREF _Toc101963877 \h </w:instrText>
        </w:r>
        <w:r w:rsidR="00C16F9D">
          <w:rPr>
            <w:noProof/>
            <w:webHidden/>
          </w:rPr>
        </w:r>
        <w:r w:rsidR="00C16F9D">
          <w:rPr>
            <w:noProof/>
            <w:webHidden/>
          </w:rPr>
          <w:fldChar w:fldCharType="separate"/>
        </w:r>
        <w:r w:rsidR="00C16F9D">
          <w:rPr>
            <w:noProof/>
            <w:webHidden/>
          </w:rPr>
          <w:t>107</w:t>
        </w:r>
        <w:r w:rsidR="00C16F9D">
          <w:rPr>
            <w:noProof/>
            <w:webHidden/>
          </w:rPr>
          <w:fldChar w:fldCharType="end"/>
        </w:r>
      </w:hyperlink>
    </w:p>
    <w:p w14:paraId="3813ECBD" w14:textId="1301137C" w:rsidR="00C16F9D" w:rsidRDefault="0070071B">
      <w:pPr>
        <w:pStyle w:val="TableofFigures"/>
        <w:rPr>
          <w:rFonts w:asciiTheme="minorHAnsi" w:eastAsiaTheme="minorEastAsia" w:hAnsiTheme="minorHAnsi" w:cstheme="minorBidi"/>
          <w:noProof/>
          <w:color w:val="auto"/>
          <w:sz w:val="22"/>
          <w:szCs w:val="22"/>
        </w:rPr>
      </w:pPr>
      <w:hyperlink w:anchor="_Toc101963878" w:history="1">
        <w:r w:rsidR="00C16F9D" w:rsidRPr="00EC12B9">
          <w:rPr>
            <w:rStyle w:val="Hyperlink"/>
            <w:rFonts w:eastAsiaTheme="majorEastAsia"/>
            <w:noProof/>
          </w:rPr>
          <w:t>Table 20. Flow-cued Spawning Fish Reproduction evaluation questions and answers. YOY = young-of-year.</w:t>
        </w:r>
        <w:r w:rsidR="00C16F9D">
          <w:rPr>
            <w:noProof/>
            <w:webHidden/>
          </w:rPr>
          <w:tab/>
        </w:r>
        <w:r w:rsidR="00C16F9D">
          <w:rPr>
            <w:noProof/>
            <w:webHidden/>
          </w:rPr>
          <w:fldChar w:fldCharType="begin"/>
        </w:r>
        <w:r w:rsidR="00C16F9D">
          <w:rPr>
            <w:noProof/>
            <w:webHidden/>
          </w:rPr>
          <w:instrText xml:space="preserve"> PAGEREF _Toc101963878 \h </w:instrText>
        </w:r>
        <w:r w:rsidR="00C16F9D">
          <w:rPr>
            <w:noProof/>
            <w:webHidden/>
          </w:rPr>
        </w:r>
        <w:r w:rsidR="00C16F9D">
          <w:rPr>
            <w:noProof/>
            <w:webHidden/>
          </w:rPr>
          <w:fldChar w:fldCharType="separate"/>
        </w:r>
        <w:r w:rsidR="00C16F9D">
          <w:rPr>
            <w:noProof/>
            <w:webHidden/>
          </w:rPr>
          <w:t>115</w:t>
        </w:r>
        <w:r w:rsidR="00C16F9D">
          <w:rPr>
            <w:noProof/>
            <w:webHidden/>
          </w:rPr>
          <w:fldChar w:fldCharType="end"/>
        </w:r>
      </w:hyperlink>
    </w:p>
    <w:p w14:paraId="6F6DEFB1" w14:textId="2463ABA4" w:rsidR="00C16F9D" w:rsidRDefault="0070071B">
      <w:pPr>
        <w:pStyle w:val="TableofFigures"/>
        <w:rPr>
          <w:rFonts w:asciiTheme="minorHAnsi" w:eastAsiaTheme="minorEastAsia" w:hAnsiTheme="minorHAnsi" w:cstheme="minorBidi"/>
          <w:noProof/>
          <w:color w:val="auto"/>
          <w:sz w:val="22"/>
          <w:szCs w:val="22"/>
        </w:rPr>
      </w:pPr>
      <w:hyperlink w:anchor="_Toc101963879" w:history="1">
        <w:r w:rsidR="00C16F9D" w:rsidRPr="00EC12B9">
          <w:rPr>
            <w:rStyle w:val="Hyperlink"/>
            <w:rFonts w:eastAsiaTheme="majorEastAsia"/>
            <w:noProof/>
          </w:rPr>
          <w:t>Table 21. Sampling trips targeting Murray cod in the main channel of the LMR during 2020-21.</w:t>
        </w:r>
        <w:r w:rsidR="00C16F9D">
          <w:rPr>
            <w:noProof/>
            <w:webHidden/>
          </w:rPr>
          <w:tab/>
        </w:r>
        <w:r w:rsidR="00C16F9D">
          <w:rPr>
            <w:noProof/>
            <w:webHidden/>
          </w:rPr>
          <w:fldChar w:fldCharType="begin"/>
        </w:r>
        <w:r w:rsidR="00C16F9D">
          <w:rPr>
            <w:noProof/>
            <w:webHidden/>
          </w:rPr>
          <w:instrText xml:space="preserve"> PAGEREF _Toc101963879 \h </w:instrText>
        </w:r>
        <w:r w:rsidR="00C16F9D">
          <w:rPr>
            <w:noProof/>
            <w:webHidden/>
          </w:rPr>
        </w:r>
        <w:r w:rsidR="00C16F9D">
          <w:rPr>
            <w:noProof/>
            <w:webHidden/>
          </w:rPr>
          <w:fldChar w:fldCharType="separate"/>
        </w:r>
        <w:r w:rsidR="00C16F9D">
          <w:rPr>
            <w:noProof/>
            <w:webHidden/>
          </w:rPr>
          <w:t>120</w:t>
        </w:r>
        <w:r w:rsidR="00C16F9D">
          <w:rPr>
            <w:noProof/>
            <w:webHidden/>
          </w:rPr>
          <w:fldChar w:fldCharType="end"/>
        </w:r>
      </w:hyperlink>
    </w:p>
    <w:p w14:paraId="67913BC1" w14:textId="3B1B6404" w:rsidR="00C16F9D" w:rsidRDefault="0070071B">
      <w:pPr>
        <w:pStyle w:val="TableofFigures"/>
        <w:rPr>
          <w:rFonts w:asciiTheme="minorHAnsi" w:eastAsiaTheme="minorEastAsia" w:hAnsiTheme="minorHAnsi" w:cstheme="minorBidi"/>
          <w:noProof/>
          <w:color w:val="auto"/>
          <w:sz w:val="22"/>
          <w:szCs w:val="22"/>
        </w:rPr>
      </w:pPr>
      <w:hyperlink w:anchor="_Toc101963880" w:history="1">
        <w:r w:rsidR="00C16F9D" w:rsidRPr="00EC12B9">
          <w:rPr>
            <w:rStyle w:val="Hyperlink"/>
            <w:rFonts w:eastAsiaTheme="majorEastAsia"/>
            <w:noProof/>
          </w:rPr>
          <w:t>Table 22. Catch summary of age 0+ Murray cod in the main channel of the Lower Murray River and Chowilla anabranch from sampling of the MER project (Table 21) and other projects (e.g. Chowilla and Katarapko monitoring) in 2020-21. Data are not comparable between sites due to varying sampling effort. NS = not sampled.</w:t>
        </w:r>
        <w:r w:rsidR="00C16F9D">
          <w:rPr>
            <w:noProof/>
            <w:webHidden/>
          </w:rPr>
          <w:tab/>
        </w:r>
        <w:r w:rsidR="00C16F9D">
          <w:rPr>
            <w:noProof/>
            <w:webHidden/>
          </w:rPr>
          <w:fldChar w:fldCharType="begin"/>
        </w:r>
        <w:r w:rsidR="00C16F9D">
          <w:rPr>
            <w:noProof/>
            <w:webHidden/>
          </w:rPr>
          <w:instrText xml:space="preserve"> PAGEREF _Toc101963880 \h </w:instrText>
        </w:r>
        <w:r w:rsidR="00C16F9D">
          <w:rPr>
            <w:noProof/>
            <w:webHidden/>
          </w:rPr>
        </w:r>
        <w:r w:rsidR="00C16F9D">
          <w:rPr>
            <w:noProof/>
            <w:webHidden/>
          </w:rPr>
          <w:fldChar w:fldCharType="separate"/>
        </w:r>
        <w:r w:rsidR="00C16F9D">
          <w:rPr>
            <w:noProof/>
            <w:webHidden/>
          </w:rPr>
          <w:t>122</w:t>
        </w:r>
        <w:r w:rsidR="00C16F9D">
          <w:rPr>
            <w:noProof/>
            <w:webHidden/>
          </w:rPr>
          <w:fldChar w:fldCharType="end"/>
        </w:r>
      </w:hyperlink>
    </w:p>
    <w:p w14:paraId="49AE4F07" w14:textId="6CA87839" w:rsidR="00C16F9D" w:rsidRDefault="0070071B">
      <w:pPr>
        <w:pStyle w:val="TableofFigures"/>
        <w:rPr>
          <w:rFonts w:asciiTheme="minorHAnsi" w:eastAsiaTheme="minorEastAsia" w:hAnsiTheme="minorHAnsi" w:cstheme="minorBidi"/>
          <w:noProof/>
          <w:color w:val="auto"/>
          <w:sz w:val="22"/>
          <w:szCs w:val="22"/>
        </w:rPr>
      </w:pPr>
      <w:hyperlink w:anchor="_Toc101963881" w:history="1">
        <w:r w:rsidR="00C16F9D" w:rsidRPr="00EC12B9">
          <w:rPr>
            <w:rStyle w:val="Hyperlink"/>
            <w:rFonts w:eastAsiaTheme="majorEastAsia"/>
            <w:noProof/>
          </w:rPr>
          <w:t>Table 23. Murray Cod Recruitment evaluation questions and answers. CEW = Commonwealth environmental water, eWater = environmental water.</w:t>
        </w:r>
        <w:r w:rsidR="00C16F9D">
          <w:rPr>
            <w:noProof/>
            <w:webHidden/>
          </w:rPr>
          <w:tab/>
        </w:r>
        <w:r w:rsidR="00C16F9D">
          <w:rPr>
            <w:noProof/>
            <w:webHidden/>
          </w:rPr>
          <w:fldChar w:fldCharType="begin"/>
        </w:r>
        <w:r w:rsidR="00C16F9D">
          <w:rPr>
            <w:noProof/>
            <w:webHidden/>
          </w:rPr>
          <w:instrText xml:space="preserve"> PAGEREF _Toc101963881 \h </w:instrText>
        </w:r>
        <w:r w:rsidR="00C16F9D">
          <w:rPr>
            <w:noProof/>
            <w:webHidden/>
          </w:rPr>
        </w:r>
        <w:r w:rsidR="00C16F9D">
          <w:rPr>
            <w:noProof/>
            <w:webHidden/>
          </w:rPr>
          <w:fldChar w:fldCharType="separate"/>
        </w:r>
        <w:r w:rsidR="00C16F9D">
          <w:rPr>
            <w:noProof/>
            <w:webHidden/>
          </w:rPr>
          <w:t>129</w:t>
        </w:r>
        <w:r w:rsidR="00C16F9D">
          <w:rPr>
            <w:noProof/>
            <w:webHidden/>
          </w:rPr>
          <w:fldChar w:fldCharType="end"/>
        </w:r>
      </w:hyperlink>
    </w:p>
    <w:p w14:paraId="3F1A994F" w14:textId="62E94603" w:rsidR="00C16F9D" w:rsidRDefault="0070071B">
      <w:pPr>
        <w:pStyle w:val="TableofFigures"/>
        <w:rPr>
          <w:rFonts w:asciiTheme="minorHAnsi" w:eastAsiaTheme="minorEastAsia" w:hAnsiTheme="minorHAnsi" w:cstheme="minorBidi"/>
          <w:noProof/>
          <w:color w:val="auto"/>
          <w:sz w:val="22"/>
          <w:szCs w:val="22"/>
        </w:rPr>
      </w:pPr>
      <w:hyperlink w:anchor="_Toc101963882" w:history="1">
        <w:r w:rsidR="00C16F9D" w:rsidRPr="00EC12B9">
          <w:rPr>
            <w:rStyle w:val="Hyperlink"/>
            <w:rFonts w:eastAsiaTheme="majorEastAsia"/>
            <w:noProof/>
          </w:rPr>
          <w:t xml:space="preserve">Table 24. CEWO evaluation questions by indicators for the Lower Murray, which includes the Lower Murray River (LMR) and the Coorong, Lower Lakes and Murray Mouth (CLLMM). Evaluation questions are sourced or adapted from Gawne </w:t>
        </w:r>
        <w:r w:rsidR="00C16F9D" w:rsidRPr="00EC12B9">
          <w:rPr>
            <w:rStyle w:val="Hyperlink"/>
            <w:rFonts w:eastAsiaTheme="majorEastAsia"/>
            <w:i/>
            <w:noProof/>
          </w:rPr>
          <w:t>et al.</w:t>
        </w:r>
        <w:r w:rsidR="00C16F9D" w:rsidRPr="00EC12B9">
          <w:rPr>
            <w:rStyle w:val="Hyperlink"/>
            <w:rFonts w:eastAsiaTheme="majorEastAsia"/>
            <w:noProof/>
          </w:rPr>
          <w:t xml:space="preserve"> (2014). Evaluation of CEW for hydraulic and matter transport questions is based on modelled data. CEW = Commonwealth environmental water. Refer to the evaluation in respective indicator sections (Section 2) for more detail.</w:t>
        </w:r>
        <w:r w:rsidR="00C16F9D">
          <w:rPr>
            <w:noProof/>
            <w:webHidden/>
          </w:rPr>
          <w:tab/>
        </w:r>
        <w:r w:rsidR="00C16F9D">
          <w:rPr>
            <w:noProof/>
            <w:webHidden/>
          </w:rPr>
          <w:fldChar w:fldCharType="begin"/>
        </w:r>
        <w:r w:rsidR="00C16F9D">
          <w:rPr>
            <w:noProof/>
            <w:webHidden/>
          </w:rPr>
          <w:instrText xml:space="preserve"> PAGEREF _Toc101963882 \h </w:instrText>
        </w:r>
        <w:r w:rsidR="00C16F9D">
          <w:rPr>
            <w:noProof/>
            <w:webHidden/>
          </w:rPr>
        </w:r>
        <w:r w:rsidR="00C16F9D">
          <w:rPr>
            <w:noProof/>
            <w:webHidden/>
          </w:rPr>
          <w:fldChar w:fldCharType="separate"/>
        </w:r>
        <w:r w:rsidR="00C16F9D">
          <w:rPr>
            <w:noProof/>
            <w:webHidden/>
          </w:rPr>
          <w:t>150</w:t>
        </w:r>
        <w:r w:rsidR="00C16F9D">
          <w:rPr>
            <w:noProof/>
            <w:webHidden/>
          </w:rPr>
          <w:fldChar w:fldCharType="end"/>
        </w:r>
      </w:hyperlink>
    </w:p>
    <w:p w14:paraId="7A783666" w14:textId="5AA323E4" w:rsidR="00C16F9D" w:rsidRDefault="0070071B">
      <w:pPr>
        <w:pStyle w:val="TableofFigures"/>
        <w:rPr>
          <w:rFonts w:asciiTheme="minorHAnsi" w:eastAsiaTheme="minorEastAsia" w:hAnsiTheme="minorHAnsi" w:cstheme="minorBidi"/>
          <w:noProof/>
          <w:color w:val="auto"/>
          <w:sz w:val="22"/>
          <w:szCs w:val="22"/>
        </w:rPr>
      </w:pPr>
      <w:hyperlink w:anchor="_Toc101963883" w:history="1">
        <w:r w:rsidR="00C16F9D" w:rsidRPr="00EC12B9">
          <w:rPr>
            <w:rStyle w:val="Hyperlink"/>
            <w:rFonts w:eastAsiaTheme="majorEastAsia"/>
            <w:noProof/>
          </w:rPr>
          <w:t>Table 25</w:t>
        </w:r>
        <w:r w:rsidR="00C16F9D" w:rsidRPr="00EC12B9">
          <w:rPr>
            <w:rStyle w:val="Hyperlink"/>
            <w:rFonts w:eastAsiaTheme="majorEastAsia"/>
            <w:noProof/>
            <w:lang w:val="en-US"/>
          </w:rPr>
          <w:t>. The magnitude, timing and duration of the main spring</w:t>
        </w:r>
        <w:r w:rsidR="00C16F9D" w:rsidRPr="00EC12B9">
          <w:rPr>
            <w:rStyle w:val="Hyperlink"/>
            <w:rFonts w:eastAsiaTheme="majorEastAsia" w:cs="Calibri"/>
            <w:noProof/>
          </w:rPr>
          <w:t>–</w:t>
        </w:r>
        <w:r w:rsidR="00C16F9D" w:rsidRPr="00EC12B9">
          <w:rPr>
            <w:rStyle w:val="Hyperlink"/>
            <w:rFonts w:eastAsiaTheme="majorEastAsia"/>
            <w:noProof/>
          </w:rPr>
          <w:t>summer flow pulses from 2014-15 to 2020-21.</w:t>
        </w:r>
        <w:r w:rsidR="00C16F9D">
          <w:rPr>
            <w:noProof/>
            <w:webHidden/>
          </w:rPr>
          <w:tab/>
        </w:r>
        <w:r w:rsidR="00C16F9D">
          <w:rPr>
            <w:noProof/>
            <w:webHidden/>
          </w:rPr>
          <w:fldChar w:fldCharType="begin"/>
        </w:r>
        <w:r w:rsidR="00C16F9D">
          <w:rPr>
            <w:noProof/>
            <w:webHidden/>
          </w:rPr>
          <w:instrText xml:space="preserve"> PAGEREF _Toc101963883 \h </w:instrText>
        </w:r>
        <w:r w:rsidR="00C16F9D">
          <w:rPr>
            <w:noProof/>
            <w:webHidden/>
          </w:rPr>
        </w:r>
        <w:r w:rsidR="00C16F9D">
          <w:rPr>
            <w:noProof/>
            <w:webHidden/>
          </w:rPr>
          <w:fldChar w:fldCharType="separate"/>
        </w:r>
        <w:r w:rsidR="00C16F9D">
          <w:rPr>
            <w:noProof/>
            <w:webHidden/>
          </w:rPr>
          <w:t>153</w:t>
        </w:r>
        <w:r w:rsidR="00C16F9D">
          <w:rPr>
            <w:noProof/>
            <w:webHidden/>
          </w:rPr>
          <w:fldChar w:fldCharType="end"/>
        </w:r>
      </w:hyperlink>
    </w:p>
    <w:p w14:paraId="7C8A29B2" w14:textId="70CBEAED" w:rsidR="005B0AA3" w:rsidRDefault="005B0AA3" w:rsidP="005B0AA3">
      <w:pPr>
        <w:pStyle w:val="TableofFigures"/>
        <w:ind w:left="907" w:hanging="907"/>
        <w:rPr>
          <w:noProof/>
        </w:rPr>
      </w:pPr>
      <w:r w:rsidRPr="00C04A54">
        <w:rPr>
          <w:noProof/>
        </w:rPr>
        <w:fldChar w:fldCharType="end"/>
      </w:r>
    </w:p>
    <w:p w14:paraId="5B6E7C96" w14:textId="77777777" w:rsidR="005B0AA3" w:rsidRDefault="005B0AA3" w:rsidP="005B0AA3">
      <w:pPr>
        <w:spacing w:before="0" w:after="200"/>
        <w:jc w:val="left"/>
        <w:rPr>
          <w:noProof/>
          <w:kern w:val="0"/>
          <w:lang w:eastAsia="en-AU"/>
        </w:rPr>
      </w:pPr>
      <w:r>
        <w:rPr>
          <w:noProof/>
        </w:rPr>
        <w:br w:type="page"/>
      </w:r>
    </w:p>
    <w:p w14:paraId="38AE6820" w14:textId="77777777" w:rsidR="005B0AA3" w:rsidRPr="00A67C76" w:rsidRDefault="005B0AA3" w:rsidP="005B0AA3">
      <w:pPr>
        <w:pStyle w:val="Heading1"/>
        <w:numPr>
          <w:ilvl w:val="0"/>
          <w:numId w:val="0"/>
        </w:numPr>
        <w:ind w:left="851" w:hanging="851"/>
      </w:pPr>
      <w:bookmarkStart w:id="8" w:name="_Toc441838722"/>
      <w:bookmarkStart w:id="9" w:name="_Toc101963763"/>
      <w:r w:rsidRPr="00A67C76">
        <w:lastRenderedPageBreak/>
        <w:t>Acknowledgements</w:t>
      </w:r>
      <w:bookmarkEnd w:id="8"/>
      <w:bookmarkEnd w:id="9"/>
    </w:p>
    <w:p w14:paraId="15DD611B" w14:textId="3385DF78" w:rsidR="005B0AA3" w:rsidRPr="005D111C" w:rsidRDefault="005B0AA3" w:rsidP="005B0AA3">
      <w:pPr>
        <w:pStyle w:val="ListBullet"/>
        <w:numPr>
          <w:ilvl w:val="0"/>
          <w:numId w:val="0"/>
        </w:numPr>
        <w:rPr>
          <w:bCs/>
        </w:rPr>
      </w:pPr>
      <w:r w:rsidRPr="005D111C">
        <w:t xml:space="preserve">This </w:t>
      </w:r>
      <w:r w:rsidR="00B250BE" w:rsidRPr="005D111C">
        <w:t xml:space="preserve">project </w:t>
      </w:r>
      <w:r w:rsidRPr="005D111C">
        <w:t xml:space="preserve">was funded by the Commonwealth Environmental Water Office (CEWO) </w:t>
      </w:r>
      <w:r w:rsidR="001B09A2" w:rsidRPr="005D111C">
        <w:t xml:space="preserve">from </w:t>
      </w:r>
      <w:r w:rsidRPr="005D111C">
        <w:t>201</w:t>
      </w:r>
      <w:r w:rsidR="00914358" w:rsidRPr="005D111C">
        <w:t>9</w:t>
      </w:r>
      <w:r w:rsidR="001B09A2" w:rsidRPr="005D111C">
        <w:t>–20</w:t>
      </w:r>
      <w:r w:rsidR="00914358" w:rsidRPr="005D111C">
        <w:t>22</w:t>
      </w:r>
      <w:r w:rsidRPr="005D111C">
        <w:t xml:space="preserve"> with in</w:t>
      </w:r>
      <w:r w:rsidR="00333722" w:rsidRPr="005D111C">
        <w:t>-</w:t>
      </w:r>
      <w:r w:rsidRPr="005D111C">
        <w:t xml:space="preserve">kind contributions from </w:t>
      </w:r>
      <w:r w:rsidR="001B09A2" w:rsidRPr="005D111C">
        <w:t xml:space="preserve">the </w:t>
      </w:r>
      <w:r w:rsidRPr="005D111C">
        <w:rPr>
          <w:bCs/>
        </w:rPr>
        <w:t>South Australian Research and Development Institute (SARDI)</w:t>
      </w:r>
      <w:r w:rsidR="001B09A2" w:rsidRPr="005D111C">
        <w:rPr>
          <w:bCs/>
        </w:rPr>
        <w:t xml:space="preserve"> </w:t>
      </w:r>
      <w:r w:rsidR="00914358" w:rsidRPr="005D111C">
        <w:rPr>
          <w:bCs/>
        </w:rPr>
        <w:t>and</w:t>
      </w:r>
      <w:r w:rsidRPr="005D111C">
        <w:rPr>
          <w:bCs/>
        </w:rPr>
        <w:t xml:space="preserve"> South Australian Department for Environment and Water (DEW). SARDI provided project leadership, undertook the fish</w:t>
      </w:r>
      <w:r w:rsidR="00C3442D" w:rsidRPr="005D111C">
        <w:rPr>
          <w:bCs/>
        </w:rPr>
        <w:t xml:space="preserve"> and vegetation</w:t>
      </w:r>
      <w:r w:rsidRPr="005D111C">
        <w:rPr>
          <w:bCs/>
        </w:rPr>
        <w:t xml:space="preserve"> components of this </w:t>
      </w:r>
      <w:r w:rsidR="00B250BE" w:rsidRPr="005D111C">
        <w:rPr>
          <w:bCs/>
        </w:rPr>
        <w:t xml:space="preserve">study </w:t>
      </w:r>
      <w:r w:rsidRPr="005D111C">
        <w:rPr>
          <w:bCs/>
        </w:rPr>
        <w:t xml:space="preserve">and sub-contracted other components to the University of Adelaide (UoA), </w:t>
      </w:r>
      <w:r w:rsidR="00807492" w:rsidRPr="00807492">
        <w:rPr>
          <w:bCs/>
        </w:rPr>
        <w:t xml:space="preserve">Commonwealth Scientific and Industrial Research Organisation </w:t>
      </w:r>
      <w:r w:rsidR="00807492">
        <w:rPr>
          <w:bCs/>
        </w:rPr>
        <w:t>(</w:t>
      </w:r>
      <w:r w:rsidR="001B09A2" w:rsidRPr="005D111C">
        <w:rPr>
          <w:bCs/>
        </w:rPr>
        <w:t>CSIRO</w:t>
      </w:r>
      <w:r w:rsidR="00807492">
        <w:rPr>
          <w:bCs/>
        </w:rPr>
        <w:t>)</w:t>
      </w:r>
      <w:r w:rsidR="001B09A2" w:rsidRPr="005D111C">
        <w:rPr>
          <w:bCs/>
        </w:rPr>
        <w:t>,</w:t>
      </w:r>
      <w:r w:rsidRPr="005D111C">
        <w:rPr>
          <w:bCs/>
        </w:rPr>
        <w:t xml:space="preserve"> University of Western Australia and Australian Limnological Services (ALS) (Wetland Research and Management, WRM). SA Water and DEW provided water quality data for the </w:t>
      </w:r>
      <w:r w:rsidR="00B250BE" w:rsidRPr="005D111C">
        <w:rPr>
          <w:bCs/>
        </w:rPr>
        <w:t>indicators of ‘</w:t>
      </w:r>
      <w:r w:rsidRPr="005D111C">
        <w:rPr>
          <w:bCs/>
        </w:rPr>
        <w:t>Matter Transport</w:t>
      </w:r>
      <w:r w:rsidR="00DE3CF4" w:rsidRPr="005D111C">
        <w:rPr>
          <w:bCs/>
        </w:rPr>
        <w:t xml:space="preserve"> and Coorong Habitat</w:t>
      </w:r>
      <w:r w:rsidR="00B250BE" w:rsidRPr="005D111C">
        <w:rPr>
          <w:bCs/>
        </w:rPr>
        <w:t>’</w:t>
      </w:r>
      <w:r w:rsidRPr="005D111C">
        <w:rPr>
          <w:bCs/>
        </w:rPr>
        <w:t xml:space="preserve"> </w:t>
      </w:r>
      <w:r w:rsidR="00600D79" w:rsidRPr="005D111C">
        <w:rPr>
          <w:bCs/>
        </w:rPr>
        <w:t xml:space="preserve">and </w:t>
      </w:r>
      <w:r w:rsidR="00B250BE" w:rsidRPr="005D111C">
        <w:rPr>
          <w:bCs/>
        </w:rPr>
        <w:t>‘</w:t>
      </w:r>
      <w:r w:rsidR="00600D79" w:rsidRPr="005D111C">
        <w:rPr>
          <w:bCs/>
        </w:rPr>
        <w:t>Stream Metabolism</w:t>
      </w:r>
      <w:r w:rsidR="00C3442D" w:rsidRPr="005D111C">
        <w:rPr>
          <w:bCs/>
        </w:rPr>
        <w:t xml:space="preserve"> and Water Quality</w:t>
      </w:r>
      <w:r w:rsidR="00B250BE" w:rsidRPr="005D111C">
        <w:rPr>
          <w:bCs/>
        </w:rPr>
        <w:t>’</w:t>
      </w:r>
      <w:r w:rsidRPr="005D111C">
        <w:rPr>
          <w:bCs/>
        </w:rPr>
        <w:t xml:space="preserve">. </w:t>
      </w:r>
    </w:p>
    <w:p w14:paraId="68E2F53D" w14:textId="21598F0B" w:rsidR="005B0AA3" w:rsidRDefault="005B0AA3" w:rsidP="005B0AA3">
      <w:pPr>
        <w:pStyle w:val="ListBullet"/>
        <w:numPr>
          <w:ilvl w:val="0"/>
          <w:numId w:val="0"/>
        </w:numPr>
        <w:rPr>
          <w:highlight w:val="yellow"/>
        </w:rPr>
      </w:pPr>
      <w:r w:rsidRPr="00321B37">
        <w:t>Thanks to numerous SARDI staff</w:t>
      </w:r>
      <w:r w:rsidR="004B5711">
        <w:t>, including David Fleer, Arron Strawbridge, David Short and Kate Frahn</w:t>
      </w:r>
      <w:r w:rsidRPr="00321B37">
        <w:t xml:space="preserve"> for providing technical assistance in the field or laboratory.</w:t>
      </w:r>
      <w:r w:rsidR="00285C97" w:rsidRPr="00321B37">
        <w:t xml:space="preserve"> </w:t>
      </w:r>
      <w:r w:rsidR="00321B37" w:rsidRPr="00321B37">
        <w:t xml:space="preserve">SA Water, Goulburn–Murray Water, Water NSW and NSW Department of Primary Industries staff assisted with collecting water samples for </w:t>
      </w:r>
      <w:r w:rsidR="00321B37" w:rsidRPr="00321B37">
        <w:rPr>
          <w:vertAlign w:val="superscript"/>
        </w:rPr>
        <w:t>87</w:t>
      </w:r>
      <w:r w:rsidR="00321B37" w:rsidRPr="00321B37">
        <w:t>Sr/</w:t>
      </w:r>
      <w:r w:rsidR="00321B37" w:rsidRPr="00321B37">
        <w:rPr>
          <w:vertAlign w:val="superscript"/>
        </w:rPr>
        <w:t>86</w:t>
      </w:r>
      <w:r w:rsidR="00321B37" w:rsidRPr="00321B37">
        <w:t xml:space="preserve">Sr analysis. </w:t>
      </w:r>
      <w:r w:rsidR="006841BB">
        <w:t>Dr Roland Maas from t</w:t>
      </w:r>
      <w:r w:rsidR="00321B37" w:rsidRPr="00321B37">
        <w:t xml:space="preserve">he University of Melbourne conducted water </w:t>
      </w:r>
      <w:r w:rsidR="00321B37" w:rsidRPr="00321B37">
        <w:rPr>
          <w:vertAlign w:val="superscript"/>
        </w:rPr>
        <w:t>87</w:t>
      </w:r>
      <w:r w:rsidR="00321B37" w:rsidRPr="00321B37">
        <w:t>Sr/</w:t>
      </w:r>
      <w:r w:rsidR="00321B37" w:rsidRPr="00321B37">
        <w:rPr>
          <w:vertAlign w:val="superscript"/>
        </w:rPr>
        <w:t>86</w:t>
      </w:r>
      <w:r w:rsidR="00321B37" w:rsidRPr="00321B37">
        <w:t xml:space="preserve">Sr analysis, while Dr Aleksey Sadekov and Dr Peter Scott from the University of Western Australia (2018–2019) conducted otolith </w:t>
      </w:r>
      <w:r w:rsidR="00321B37" w:rsidRPr="00321B37">
        <w:rPr>
          <w:vertAlign w:val="superscript"/>
        </w:rPr>
        <w:t>87</w:t>
      </w:r>
      <w:r w:rsidR="00321B37" w:rsidRPr="00321B37">
        <w:t>Sr/</w:t>
      </w:r>
      <w:r w:rsidR="00321B37" w:rsidRPr="00321B37">
        <w:rPr>
          <w:vertAlign w:val="superscript"/>
        </w:rPr>
        <w:t>86</w:t>
      </w:r>
      <w:r w:rsidR="00321B37" w:rsidRPr="00321B37">
        <w:t>Sr analysis.</w:t>
      </w:r>
      <w:r w:rsidR="00190FF1">
        <w:t xml:space="preserve"> </w:t>
      </w:r>
      <w:bookmarkStart w:id="10" w:name="_Hlk95384713"/>
      <w:r w:rsidR="00E7540C" w:rsidRPr="00E7540C">
        <w:t>Dr Sarah Catalano from the SARDI Molecular Sciences Laboratory performed the DNA extraction, polymerase chain reaction (PCR) and gel electrophoresis steps. Positive amplicons were sequenced by the Australian Genome Research Facility (</w:t>
      </w:r>
      <w:r w:rsidR="00E7540C" w:rsidRPr="002F1970">
        <w:t>AGRF)</w:t>
      </w:r>
      <w:r w:rsidR="00190FF1" w:rsidRPr="002F1970">
        <w:t>.</w:t>
      </w:r>
      <w:r w:rsidR="00321B37" w:rsidRPr="002F1970">
        <w:t xml:space="preserve"> </w:t>
      </w:r>
      <w:bookmarkEnd w:id="10"/>
      <w:r w:rsidRPr="002F1970">
        <w:t xml:space="preserve">Dr Daniel McCullough and Mahdi Montazeri (DEW) provided hydraulic model outputs that support the analysis undertaken for the </w:t>
      </w:r>
      <w:r w:rsidR="001522FE" w:rsidRPr="002F1970">
        <w:t>H</w:t>
      </w:r>
      <w:r w:rsidRPr="002F1970">
        <w:t>ydr</w:t>
      </w:r>
      <w:r w:rsidR="001522FE" w:rsidRPr="002F1970">
        <w:t>aulic</w:t>
      </w:r>
      <w:r w:rsidRPr="002F1970">
        <w:t xml:space="preserve"> </w:t>
      </w:r>
      <w:r w:rsidR="001522FE" w:rsidRPr="002F1970">
        <w:t>R</w:t>
      </w:r>
      <w:r w:rsidRPr="002F1970">
        <w:t xml:space="preserve">egime indicator. </w:t>
      </w:r>
    </w:p>
    <w:p w14:paraId="03D16653" w14:textId="11D92DDD" w:rsidR="004071D3" w:rsidRPr="002D5EA4" w:rsidRDefault="004071D3" w:rsidP="005B0AA3">
      <w:pPr>
        <w:pStyle w:val="ListBullet"/>
        <w:numPr>
          <w:ilvl w:val="0"/>
          <w:numId w:val="0"/>
        </w:numPr>
      </w:pPr>
      <w:r w:rsidRPr="002D5EA4">
        <w:t xml:space="preserve">Additional samples of Murray cod larvae and juveniles for analysis in the Murray cod recruitment indicator were accessed from sampling undertaken in the Katarapko, Pike and Chowilla Anabranches. This sampling was funded by the </w:t>
      </w:r>
      <w:r w:rsidR="002D5EA4" w:rsidRPr="002D5EA4">
        <w:t>Murray–Darling Basin Authority (</w:t>
      </w:r>
      <w:r w:rsidRPr="002D5EA4">
        <w:t>MDBA</w:t>
      </w:r>
      <w:r w:rsidR="002D5EA4" w:rsidRPr="002D5EA4">
        <w:t>)</w:t>
      </w:r>
      <w:r w:rsidRPr="002D5EA4">
        <w:t xml:space="preserve"> and DEW.</w:t>
      </w:r>
    </w:p>
    <w:p w14:paraId="65E71A59" w14:textId="2BAA52EC" w:rsidR="005B0AA3" w:rsidRPr="00C757C7" w:rsidRDefault="005B0AA3" w:rsidP="00AB7743">
      <w:pPr>
        <w:pStyle w:val="ListBullet"/>
        <w:numPr>
          <w:ilvl w:val="0"/>
          <w:numId w:val="0"/>
        </w:numPr>
        <w:sectPr w:rsidR="005B0AA3" w:rsidRPr="00C757C7" w:rsidSect="00D632F9">
          <w:footerReference w:type="default" r:id="rId57"/>
          <w:footnotePr>
            <w:numFmt w:val="lowerLetter"/>
          </w:footnotePr>
          <w:pgSz w:w="11900" w:h="16840" w:code="9"/>
          <w:pgMar w:top="1440" w:right="1440" w:bottom="1440" w:left="1440" w:header="709" w:footer="709" w:gutter="0"/>
          <w:pgNumType w:fmt="lowerRoman" w:start="1"/>
          <w:cols w:space="708"/>
          <w:docGrid w:linePitch="360"/>
        </w:sectPr>
      </w:pPr>
      <w:r w:rsidRPr="007A5CC4">
        <w:t xml:space="preserve">Thanks to </w:t>
      </w:r>
      <w:r w:rsidR="00DE3CF4" w:rsidRPr="007A5CC4">
        <w:t xml:space="preserve">Anthony </w:t>
      </w:r>
      <w:r w:rsidR="00DE3CF4" w:rsidRPr="008E0E76">
        <w:t>Moore</w:t>
      </w:r>
      <w:r w:rsidR="00EC1F85" w:rsidRPr="008E0E76">
        <w:t>,</w:t>
      </w:r>
      <w:r w:rsidRPr="008E0E76">
        <w:t xml:space="preserve"> </w:t>
      </w:r>
      <w:r w:rsidR="00EC1F85" w:rsidRPr="007A5CC4">
        <w:t>Lucy Carlile</w:t>
      </w:r>
      <w:r w:rsidR="008E0E76">
        <w:t xml:space="preserve"> and </w:t>
      </w:r>
      <w:r w:rsidR="008E0E76" w:rsidRPr="008E0E76">
        <w:t xml:space="preserve">Michelle Campbell </w:t>
      </w:r>
      <w:r w:rsidRPr="007A5CC4">
        <w:t>(CEWO)</w:t>
      </w:r>
      <w:r w:rsidR="00EC21B8" w:rsidRPr="007A5CC4">
        <w:t xml:space="preserve"> </w:t>
      </w:r>
      <w:r w:rsidRPr="007A5CC4">
        <w:t>for providing project management and support to the Lower Murray Selected Area</w:t>
      </w:r>
      <w:r w:rsidRPr="008E0E76">
        <w:t>. Jim Foreman and Aftab Ahmad (MDBA) provided detaile</w:t>
      </w:r>
      <w:r w:rsidRPr="003A4BF2">
        <w:t xml:space="preserve">d flow and environmental flow data. The </w:t>
      </w:r>
      <w:r w:rsidR="00A01FD1" w:rsidRPr="003A4BF2">
        <w:t xml:space="preserve">Lower Murray </w:t>
      </w:r>
      <w:r w:rsidRPr="003A4BF2">
        <w:t xml:space="preserve">Selected Area Working Group </w:t>
      </w:r>
      <w:r w:rsidRPr="003A4BF2">
        <w:rPr>
          <w:color w:val="auto"/>
          <w:kern w:val="0"/>
        </w:rPr>
        <w:t xml:space="preserve">provided a forum for the exchange of information and intelligence that supported the CEWO </w:t>
      </w:r>
      <w:r w:rsidR="00906BCD" w:rsidRPr="003A4BF2">
        <w:rPr>
          <w:color w:val="auto"/>
          <w:kern w:val="0"/>
        </w:rPr>
        <w:t>MER</w:t>
      </w:r>
      <w:r w:rsidRPr="003A4BF2">
        <w:rPr>
          <w:color w:val="auto"/>
          <w:kern w:val="0"/>
        </w:rPr>
        <w:t xml:space="preserve"> </w:t>
      </w:r>
      <w:r w:rsidR="00003DB2" w:rsidRPr="003A4BF2">
        <w:rPr>
          <w:color w:val="auto"/>
          <w:kern w:val="0"/>
        </w:rPr>
        <w:t>P</w:t>
      </w:r>
      <w:r w:rsidRPr="003A4BF2">
        <w:rPr>
          <w:color w:val="auto"/>
          <w:kern w:val="0"/>
        </w:rPr>
        <w:t>roject, through effective coordination of environmental watering, and monitoring and evaluation</w:t>
      </w:r>
      <w:r w:rsidR="00AB7743" w:rsidRPr="003A4BF2">
        <w:rPr>
          <w:color w:val="auto"/>
          <w:kern w:val="0"/>
        </w:rPr>
        <w:t xml:space="preserve">. The authors also thank the Lower Murray Selected Area Working Group including </w:t>
      </w:r>
      <w:r w:rsidR="003A4BF2" w:rsidRPr="003A4BF2">
        <w:rPr>
          <w:color w:val="auto"/>
          <w:kern w:val="0"/>
        </w:rPr>
        <w:t xml:space="preserve">staff from the </w:t>
      </w:r>
      <w:r w:rsidR="00AB7743" w:rsidRPr="003A4BF2">
        <w:rPr>
          <w:color w:val="auto"/>
          <w:kern w:val="0"/>
        </w:rPr>
        <w:t>CEWO</w:t>
      </w:r>
      <w:r w:rsidR="003A4BF2" w:rsidRPr="003A4BF2">
        <w:rPr>
          <w:color w:val="auto"/>
          <w:kern w:val="0"/>
        </w:rPr>
        <w:t xml:space="preserve">, </w:t>
      </w:r>
      <w:r w:rsidR="00AB7743" w:rsidRPr="003A4BF2">
        <w:rPr>
          <w:color w:val="auto"/>
          <w:kern w:val="0"/>
        </w:rPr>
        <w:t>MDBA</w:t>
      </w:r>
      <w:r w:rsidR="003A4BF2" w:rsidRPr="003A4BF2">
        <w:rPr>
          <w:color w:val="auto"/>
          <w:kern w:val="0"/>
        </w:rPr>
        <w:t xml:space="preserve"> and </w:t>
      </w:r>
      <w:r w:rsidR="00AB7743" w:rsidRPr="003A4BF2">
        <w:rPr>
          <w:color w:val="auto"/>
          <w:kern w:val="0"/>
        </w:rPr>
        <w:t>DEW for providing most welcome and constructive feedback on the draft report.</w:t>
      </w:r>
      <w:r w:rsidR="00AB7743" w:rsidRPr="00C757C7">
        <w:t xml:space="preserve"> </w:t>
      </w:r>
      <w:r w:rsidR="00EC1F85">
        <w:t xml:space="preserve"> </w:t>
      </w:r>
    </w:p>
    <w:p w14:paraId="6DEAA577" w14:textId="77777777" w:rsidR="005B0AA3" w:rsidRPr="00C757C7" w:rsidRDefault="005B0AA3" w:rsidP="005B0AA3">
      <w:pPr>
        <w:pStyle w:val="Heading1"/>
        <w:numPr>
          <w:ilvl w:val="0"/>
          <w:numId w:val="0"/>
        </w:numPr>
        <w:ind w:left="851" w:hanging="851"/>
      </w:pPr>
      <w:bookmarkStart w:id="11" w:name="_Toc441838723"/>
      <w:bookmarkStart w:id="12" w:name="_Toc101963764"/>
      <w:r w:rsidRPr="00CF3DA2">
        <w:lastRenderedPageBreak/>
        <w:t>Executive summary</w:t>
      </w:r>
      <w:bookmarkEnd w:id="11"/>
      <w:bookmarkEnd w:id="12"/>
    </w:p>
    <w:p w14:paraId="289D3E36" w14:textId="27FF7B4D" w:rsidR="00CF3DA2" w:rsidRDefault="00CF3DA2" w:rsidP="00CE0AA9">
      <w:pPr>
        <w:spacing w:line="266" w:lineRule="auto"/>
      </w:pPr>
      <w:r>
        <w:t xml:space="preserve">From 2019-20 to </w:t>
      </w:r>
      <w:r w:rsidR="00263649">
        <w:t>2022-23</w:t>
      </w:r>
      <w:r>
        <w:t xml:space="preserve">, the </w:t>
      </w:r>
      <w:r w:rsidRPr="00F30DB5">
        <w:t xml:space="preserve">Commonwealth Environmental Water Office (CEWO) </w:t>
      </w:r>
      <w:r>
        <w:t xml:space="preserve">Monitoring, Evaluation and Research (MER) Project will monitor and evaluate ecological outcomes of environmental water delivery in the Lower Murray, along with six other Selected Areas in the Murray–Darling Basin (MDB). This project, with an integrated research component, extends the monitoring activities of the Long-term Intervention Monitoring Project (2014-15 to 2018-19) and aims to demonstrate the ecological outcomes of Commonwealth environmental water delivery and support adaptive management. </w:t>
      </w:r>
    </w:p>
    <w:p w14:paraId="33687296" w14:textId="1F4214A1" w:rsidR="00CF3DA2" w:rsidRPr="00656B7B" w:rsidRDefault="00713981" w:rsidP="00CE0AA9">
      <w:pPr>
        <w:spacing w:line="266" w:lineRule="auto"/>
      </w:pPr>
      <w:r>
        <w:t>During 2020-21, ~687 GL</w:t>
      </w:r>
      <w:r>
        <w:rPr>
          <w:rStyle w:val="FootnoteReference"/>
        </w:rPr>
        <w:footnoteReference w:id="2"/>
      </w:r>
      <w:r>
        <w:t xml:space="preserve"> of Commonwealth environmental water was delivered to the main channel of the Lower Murray River </w:t>
      </w:r>
      <w:r w:rsidR="00CF3DA2">
        <w:t>(LMR)</w:t>
      </w:r>
      <w:r w:rsidR="00961847">
        <w:t xml:space="preserve"> in South Australia</w:t>
      </w:r>
      <w:r w:rsidR="00CF3DA2">
        <w:t xml:space="preserve">, in conjunction with </w:t>
      </w:r>
      <w:r w:rsidR="00CF3DA2" w:rsidRPr="0084613B">
        <w:t>~247</w:t>
      </w:r>
      <w:r w:rsidR="00235487">
        <w:t> </w:t>
      </w:r>
      <w:r w:rsidR="00CF3DA2" w:rsidRPr="0084613B">
        <w:t>GL</w:t>
      </w:r>
      <w:r w:rsidR="00CF3DA2">
        <w:t xml:space="preserve"> of other environmental flows (e.g. the Murray–Darling Basin Authority’s The Living Murray Initiative). Overall environmental water comprised </w:t>
      </w:r>
      <w:r w:rsidR="00CF3DA2" w:rsidRPr="0008692E">
        <w:t>3</w:t>
      </w:r>
      <w:r w:rsidR="008D02BF">
        <w:t>1</w:t>
      </w:r>
      <w:r w:rsidR="00CF3DA2" w:rsidRPr="0008692E">
        <w:t>% of the total annual flow volume to the LMR</w:t>
      </w:r>
      <w:r w:rsidR="00CF3DA2">
        <w:t xml:space="preserve">. Following winter unregulated flows, environmental water was delivered to the LMR from September to mid-December 2020, via coordinated watering events across the southern MDB, with return flows from the </w:t>
      </w:r>
      <w:r>
        <w:t>Murray, Goulburn</w:t>
      </w:r>
      <w:r w:rsidR="00377978">
        <w:t>,</w:t>
      </w:r>
      <w:r>
        <w:t xml:space="preserve"> Murrumbidgee</w:t>
      </w:r>
      <w:r w:rsidR="00377978">
        <w:t xml:space="preserve"> and Darling</w:t>
      </w:r>
      <w:r>
        <w:t xml:space="preserve"> rivers. The water delivery promoted flow variability and contributed to a spring</w:t>
      </w:r>
      <w:r>
        <w:rPr>
          <w:rFonts w:ascii="Calibri" w:hAnsi="Calibri" w:cs="Calibri"/>
        </w:rPr>
        <w:t>–</w:t>
      </w:r>
      <w:r>
        <w:t>early summer flow pulse, peaking at ~17,900 ML/d in late November</w:t>
      </w:r>
      <w:r w:rsidR="00961847">
        <w:t xml:space="preserve"> at the South Australian border</w:t>
      </w:r>
      <w:r>
        <w:t xml:space="preserve">. </w:t>
      </w:r>
      <w:r w:rsidRPr="00487BD0">
        <w:t>Environmental water</w:t>
      </w:r>
      <w:r>
        <w:t xml:space="preserve"> was delivered</w:t>
      </w:r>
      <w:r w:rsidRPr="00487BD0">
        <w:t xml:space="preserve"> </w:t>
      </w:r>
      <w:r>
        <w:t>to the LMR during</w:t>
      </w:r>
      <w:r w:rsidRPr="00487BD0">
        <w:t xml:space="preserve"> summer–late autumn</w:t>
      </w:r>
      <w:r>
        <w:t xml:space="preserve"> via direct trades, mainly to support continuous flows to the Lakes and Coorong.</w:t>
      </w:r>
      <w:r w:rsidRPr="00487BD0">
        <w:t xml:space="preserve"> </w:t>
      </w:r>
      <w:r>
        <w:t>E</w:t>
      </w:r>
      <w:r w:rsidRPr="00656B7B">
        <w:t>nvironmental water</w:t>
      </w:r>
      <w:r>
        <w:t xml:space="preserve"> contributed to </w:t>
      </w:r>
      <w:r w:rsidRPr="003C6571">
        <w:t xml:space="preserve">71% of the total volume of barrage </w:t>
      </w:r>
      <w:r>
        <w:t>flows</w:t>
      </w:r>
      <w:r w:rsidRPr="003C6571">
        <w:t xml:space="preserve"> (including fishway releases), </w:t>
      </w:r>
      <w:r w:rsidR="00E62859">
        <w:t xml:space="preserve">while </w:t>
      </w:r>
      <w:r w:rsidRPr="003C6571">
        <w:t>Commonwealth environmental water</w:t>
      </w:r>
      <w:r w:rsidR="00E62859">
        <w:t xml:space="preserve"> contributed 65% to the total volume</w:t>
      </w:r>
      <w:r w:rsidRPr="003C6571">
        <w:t>.</w:t>
      </w:r>
    </w:p>
    <w:p w14:paraId="4900BD95" w14:textId="77777777" w:rsidR="00CF3DA2" w:rsidRPr="00656B7B" w:rsidRDefault="00CF3DA2" w:rsidP="00CE0AA9">
      <w:pPr>
        <w:spacing w:line="266" w:lineRule="auto"/>
        <w:rPr>
          <w:rFonts w:cstheme="minorHAnsi"/>
          <w:szCs w:val="24"/>
        </w:rPr>
      </w:pPr>
      <w:r w:rsidRPr="00656B7B">
        <w:t>Nine indicators were used to evaluate the ecological response to Commonwealth environmental water in the Lower Murray. Three indicators (</w:t>
      </w:r>
      <w:r w:rsidRPr="00656B7B">
        <w:rPr>
          <w:i/>
        </w:rPr>
        <w:t>Hydrology (channel)</w:t>
      </w:r>
      <w:r w:rsidRPr="00656B7B">
        <w:t xml:space="preserve">, </w:t>
      </w:r>
      <w:r w:rsidRPr="00656B7B">
        <w:rPr>
          <w:i/>
        </w:rPr>
        <w:t xml:space="preserve">Stream Metabolism and Water Quality </w:t>
      </w:r>
      <w:r w:rsidRPr="00656B7B">
        <w:t xml:space="preserve">and </w:t>
      </w:r>
      <w:r w:rsidRPr="00656B7B">
        <w:rPr>
          <w:i/>
        </w:rPr>
        <w:t>Fish (channel)</w:t>
      </w:r>
      <w:r w:rsidRPr="00656B7B">
        <w:t>) primarily aimed to evaluate Basin-scale objectives and outcomes, and in some instances, also local (Selected Area) objectives, following basin-wide standard protocols. Six indicators (</w:t>
      </w:r>
      <w:r w:rsidRPr="00656B7B">
        <w:rPr>
          <w:i/>
        </w:rPr>
        <w:t>Hydraulic Regime</w:t>
      </w:r>
      <w:r w:rsidRPr="00656B7B">
        <w:t xml:space="preserve">, </w:t>
      </w:r>
      <w:r w:rsidRPr="00656B7B">
        <w:rPr>
          <w:i/>
        </w:rPr>
        <w:t>Matter Transport and Coorong Habitat</w:t>
      </w:r>
      <w:r w:rsidRPr="00656B7B">
        <w:t xml:space="preserve">, </w:t>
      </w:r>
      <w:r w:rsidRPr="00656B7B">
        <w:rPr>
          <w:i/>
        </w:rPr>
        <w:t>Littoral Vegetation Diversity and Productivity, Microinvertebrate Assemblage,</w:t>
      </w:r>
      <w:r w:rsidRPr="00656B7B">
        <w:t xml:space="preserve"> </w:t>
      </w:r>
      <w:r w:rsidRPr="00656B7B">
        <w:rPr>
          <w:i/>
        </w:rPr>
        <w:t xml:space="preserve">Murray Cod Recruitment </w:t>
      </w:r>
      <w:r w:rsidRPr="00656B7B">
        <w:t xml:space="preserve">and </w:t>
      </w:r>
      <w:r w:rsidRPr="00656B7B">
        <w:rPr>
          <w:i/>
        </w:rPr>
        <w:t>Flow-cued Spawning Fish Re</w:t>
      </w:r>
      <w:r>
        <w:rPr>
          <w:i/>
        </w:rPr>
        <w:t>production</w:t>
      </w:r>
      <w:r w:rsidRPr="00656B7B">
        <w:t>) aimed to address local evaluation questions, using area</w:t>
      </w:r>
      <w:r>
        <w:t>-</w:t>
      </w:r>
      <w:r w:rsidRPr="00656B7B">
        <w:t>specific methods. Additiona</w:t>
      </w:r>
      <w:r>
        <w:t>l assessment of the littoral zone soil seed bank was conducted in 2020-21 through</w:t>
      </w:r>
      <w:r w:rsidRPr="00656B7B">
        <w:t xml:space="preserve"> contingency monitoring </w:t>
      </w:r>
      <w:r>
        <w:t xml:space="preserve">to establish a baseline for future evaluation of the contribution of Commonwealth environmental water </w:t>
      </w:r>
      <w:r w:rsidRPr="0023673D">
        <w:t>to the resilience of littoral plant communities</w:t>
      </w:r>
      <w:r>
        <w:t>.</w:t>
      </w:r>
    </w:p>
    <w:p w14:paraId="3C75D5D8" w14:textId="77777777" w:rsidR="00CF3DA2" w:rsidRPr="00F30DB5" w:rsidRDefault="00CF3DA2" w:rsidP="00CE0AA9">
      <w:pPr>
        <w:spacing w:line="266" w:lineRule="auto"/>
        <w:rPr>
          <w:b/>
          <w:color w:val="44546A" w:themeColor="text2"/>
        </w:rPr>
      </w:pPr>
      <w:r w:rsidRPr="00F30DB5">
        <w:rPr>
          <w:b/>
          <w:color w:val="44546A" w:themeColor="text2"/>
        </w:rPr>
        <w:t xml:space="preserve">Key </w:t>
      </w:r>
      <w:r>
        <w:rPr>
          <w:b/>
          <w:color w:val="44546A" w:themeColor="text2"/>
        </w:rPr>
        <w:t xml:space="preserve">findings and </w:t>
      </w:r>
      <w:r w:rsidRPr="00F30DB5">
        <w:rPr>
          <w:b/>
          <w:color w:val="44546A" w:themeColor="text2"/>
        </w:rPr>
        <w:t>ecological outcomes</w:t>
      </w:r>
    </w:p>
    <w:p w14:paraId="0F999BB5" w14:textId="77777777" w:rsidR="00CF3DA2" w:rsidRDefault="00CF3DA2" w:rsidP="00CE0AA9">
      <w:pPr>
        <w:spacing w:line="266" w:lineRule="auto"/>
        <w:rPr>
          <w:rFonts w:eastAsiaTheme="majorEastAsia"/>
          <w:color w:val="auto"/>
          <w:szCs w:val="22"/>
        </w:rPr>
      </w:pPr>
      <w:r>
        <w:rPr>
          <w:rFonts w:eastAsiaTheme="majorEastAsia"/>
          <w:color w:val="auto"/>
          <w:szCs w:val="22"/>
        </w:rPr>
        <w:t>E</w:t>
      </w:r>
      <w:r w:rsidRPr="001A2F68">
        <w:rPr>
          <w:rFonts w:eastAsiaTheme="majorEastAsia"/>
          <w:color w:val="auto"/>
          <w:szCs w:val="22"/>
        </w:rPr>
        <w:t xml:space="preserve">nvironmental water delivery </w:t>
      </w:r>
      <w:r>
        <w:rPr>
          <w:rFonts w:eastAsiaTheme="majorEastAsia"/>
          <w:color w:val="auto"/>
          <w:szCs w:val="22"/>
        </w:rPr>
        <w:t xml:space="preserve">contributed to some ecological improvements </w:t>
      </w:r>
      <w:r w:rsidRPr="001A2F68">
        <w:rPr>
          <w:rFonts w:eastAsiaTheme="majorEastAsia"/>
          <w:color w:val="auto"/>
          <w:szCs w:val="22"/>
        </w:rPr>
        <w:t>in the L</w:t>
      </w:r>
      <w:r>
        <w:rPr>
          <w:rFonts w:eastAsiaTheme="majorEastAsia"/>
          <w:color w:val="auto"/>
          <w:szCs w:val="22"/>
        </w:rPr>
        <w:t>ower Murray</w:t>
      </w:r>
      <w:r w:rsidRPr="001A2F68">
        <w:rPr>
          <w:rFonts w:eastAsiaTheme="majorEastAsia"/>
          <w:color w:val="auto"/>
          <w:szCs w:val="22"/>
        </w:rPr>
        <w:t xml:space="preserve"> Selected Area</w:t>
      </w:r>
      <w:r>
        <w:rPr>
          <w:rFonts w:eastAsiaTheme="majorEastAsia"/>
          <w:color w:val="auto"/>
          <w:szCs w:val="22"/>
        </w:rPr>
        <w:t xml:space="preserve"> in 2020-21:</w:t>
      </w:r>
      <w:r w:rsidRPr="001A2F68">
        <w:rPr>
          <w:rFonts w:eastAsiaTheme="majorEastAsia"/>
          <w:color w:val="auto"/>
          <w:szCs w:val="22"/>
        </w:rPr>
        <w:t xml:space="preserve"> </w:t>
      </w:r>
    </w:p>
    <w:p w14:paraId="12F7393C" w14:textId="2FB84DDE" w:rsidR="00CF3DA2" w:rsidRPr="00786253" w:rsidRDefault="00CF3DA2" w:rsidP="00CE0AA9">
      <w:pPr>
        <w:pStyle w:val="ListParagraph"/>
        <w:numPr>
          <w:ilvl w:val="0"/>
          <w:numId w:val="40"/>
        </w:numPr>
        <w:spacing w:line="266" w:lineRule="auto"/>
        <w:rPr>
          <w:rFonts w:eastAsiaTheme="majorEastAsia"/>
          <w:color w:val="auto"/>
          <w:szCs w:val="22"/>
        </w:rPr>
      </w:pPr>
      <w:r w:rsidRPr="00786253">
        <w:rPr>
          <w:rFonts w:eastAsiaTheme="majorEastAsia"/>
          <w:b/>
          <w:bCs/>
          <w:color w:val="auto"/>
          <w:szCs w:val="22"/>
        </w:rPr>
        <w:t>Connectivity</w:t>
      </w:r>
      <w:r w:rsidRPr="00786253">
        <w:rPr>
          <w:rFonts w:eastAsiaTheme="majorEastAsia"/>
          <w:color w:val="auto"/>
          <w:szCs w:val="22"/>
        </w:rPr>
        <w:t xml:space="preserve">: Environmental water improved </w:t>
      </w:r>
      <w:r w:rsidR="00DA62CA">
        <w:rPr>
          <w:rFonts w:eastAsiaTheme="majorEastAsia"/>
          <w:color w:val="auto"/>
          <w:szCs w:val="22"/>
        </w:rPr>
        <w:t xml:space="preserve">(modelled) </w:t>
      </w:r>
      <w:r w:rsidRPr="00786253">
        <w:rPr>
          <w:rFonts w:eastAsiaTheme="majorEastAsia"/>
          <w:color w:val="auto"/>
          <w:szCs w:val="22"/>
        </w:rPr>
        <w:t xml:space="preserve">longitudinal hydrological connectivity via increasing annual flow by </w:t>
      </w:r>
      <w:r w:rsidRPr="0008692E">
        <w:rPr>
          <w:rFonts w:eastAsiaTheme="majorEastAsia"/>
          <w:color w:val="auto"/>
          <w:szCs w:val="22"/>
        </w:rPr>
        <w:t>31% in the LMR</w:t>
      </w:r>
      <w:r w:rsidRPr="00786253">
        <w:rPr>
          <w:rFonts w:eastAsiaTheme="majorEastAsia"/>
          <w:color w:val="auto"/>
          <w:szCs w:val="22"/>
        </w:rPr>
        <w:t xml:space="preserve">, meeting the Basin-wide environmental watering target of </w:t>
      </w:r>
      <w:r w:rsidR="00713981" w:rsidRPr="00786253">
        <w:rPr>
          <w:rFonts w:eastAsiaTheme="majorEastAsia"/>
          <w:color w:val="auto"/>
          <w:szCs w:val="22"/>
        </w:rPr>
        <w:t>&gt;30% increase in flow</w:t>
      </w:r>
      <w:r w:rsidR="00713981">
        <w:rPr>
          <w:rFonts w:eastAsiaTheme="majorEastAsia"/>
          <w:color w:val="auto"/>
          <w:szCs w:val="22"/>
        </w:rPr>
        <w:t xml:space="preserve"> volume</w:t>
      </w:r>
      <w:r w:rsidR="00713981" w:rsidRPr="00786253">
        <w:rPr>
          <w:rFonts w:eastAsiaTheme="majorEastAsia"/>
          <w:color w:val="auto"/>
          <w:szCs w:val="22"/>
        </w:rPr>
        <w:t xml:space="preserve"> in the Murray River (calculated at the SA border). Commonwealth environmental water </w:t>
      </w:r>
      <w:r w:rsidR="00B458BF" w:rsidRPr="75B84456">
        <w:rPr>
          <w:rFonts w:eastAsiaTheme="majorEastAsia"/>
          <w:color w:val="auto"/>
        </w:rPr>
        <w:t>provided an additional</w:t>
      </w:r>
      <w:r w:rsidR="00713981" w:rsidRPr="00786253">
        <w:rPr>
          <w:rFonts w:eastAsiaTheme="majorEastAsia"/>
          <w:color w:val="auto"/>
          <w:szCs w:val="22"/>
        </w:rPr>
        <w:t xml:space="preserve"> </w:t>
      </w:r>
      <w:r w:rsidR="00CB19BE">
        <w:rPr>
          <w:rFonts w:eastAsiaTheme="majorEastAsia"/>
          <w:color w:val="auto"/>
          <w:szCs w:val="22"/>
        </w:rPr>
        <w:t>10,392</w:t>
      </w:r>
      <w:r w:rsidR="00713981" w:rsidRPr="00786253">
        <w:rPr>
          <w:rFonts w:eastAsiaTheme="majorEastAsia"/>
          <w:color w:val="auto"/>
          <w:szCs w:val="22"/>
        </w:rPr>
        <w:t xml:space="preserve"> </w:t>
      </w:r>
      <w:r w:rsidR="008F1D94">
        <w:rPr>
          <w:rFonts w:eastAsiaTheme="majorEastAsia"/>
          <w:color w:val="auto"/>
          <w:szCs w:val="22"/>
        </w:rPr>
        <w:t>kilometre days (</w:t>
      </w:r>
      <w:r w:rsidR="00713981" w:rsidRPr="00786253">
        <w:rPr>
          <w:rFonts w:eastAsiaTheme="majorEastAsia"/>
          <w:color w:val="auto"/>
          <w:szCs w:val="22"/>
        </w:rPr>
        <w:t>km d</w:t>
      </w:r>
      <w:r w:rsidR="008F1D94">
        <w:rPr>
          <w:rFonts w:eastAsiaTheme="majorEastAsia"/>
          <w:color w:val="auto"/>
          <w:szCs w:val="22"/>
        </w:rPr>
        <w:t>)</w:t>
      </w:r>
      <w:r w:rsidR="00713981" w:rsidRPr="00786253">
        <w:rPr>
          <w:rFonts w:eastAsiaTheme="majorEastAsia"/>
          <w:color w:val="auto"/>
          <w:szCs w:val="22"/>
        </w:rPr>
        <w:t xml:space="preserve"> of</w:t>
      </w:r>
      <w:r w:rsidR="007A5A2C" w:rsidRPr="007A5A2C">
        <w:t xml:space="preserve"> </w:t>
      </w:r>
      <w:r w:rsidR="007A5A2C" w:rsidRPr="007A5A2C">
        <w:rPr>
          <w:rFonts w:eastAsiaTheme="majorEastAsia"/>
          <w:color w:val="auto"/>
          <w:szCs w:val="22"/>
        </w:rPr>
        <w:t xml:space="preserve">river distance and time period </w:t>
      </w:r>
      <w:r w:rsidR="007A5A2C" w:rsidRPr="007A5A2C">
        <w:rPr>
          <w:rFonts w:eastAsiaTheme="majorEastAsia"/>
          <w:color w:val="auto"/>
          <w:szCs w:val="22"/>
        </w:rPr>
        <w:lastRenderedPageBreak/>
        <w:t xml:space="preserve">characterised by </w:t>
      </w:r>
      <w:r w:rsidRPr="00786253">
        <w:rPr>
          <w:rFonts w:eastAsiaTheme="majorEastAsia"/>
          <w:color w:val="auto"/>
          <w:szCs w:val="22"/>
        </w:rPr>
        <w:t>flow</w:t>
      </w:r>
      <w:r w:rsidR="007A5A2C">
        <w:rPr>
          <w:rFonts w:eastAsiaTheme="majorEastAsia"/>
          <w:color w:val="auto"/>
          <w:szCs w:val="22"/>
        </w:rPr>
        <w:t xml:space="preserve"> </w:t>
      </w:r>
      <w:r w:rsidRPr="00786253">
        <w:rPr>
          <w:rFonts w:eastAsiaTheme="majorEastAsia"/>
          <w:color w:val="auto"/>
          <w:szCs w:val="22"/>
        </w:rPr>
        <w:t>velocity &gt;0.2</w:t>
      </w:r>
      <w:r w:rsidR="008F1D94">
        <w:rPr>
          <w:rFonts w:eastAsiaTheme="majorEastAsia"/>
          <w:color w:val="auto"/>
          <w:szCs w:val="22"/>
        </w:rPr>
        <w:t> </w:t>
      </w:r>
      <w:r w:rsidRPr="00786253">
        <w:rPr>
          <w:rFonts w:eastAsiaTheme="majorEastAsia"/>
          <w:color w:val="auto"/>
          <w:szCs w:val="22"/>
        </w:rPr>
        <w:t>m/s</w:t>
      </w:r>
      <w:r w:rsidR="0074216E">
        <w:rPr>
          <w:rFonts w:eastAsiaTheme="majorEastAsia"/>
          <w:color w:val="auto"/>
          <w:szCs w:val="22"/>
        </w:rPr>
        <w:t>, likely benefiting downstream transport of plankton and fish eggs/larvae,</w:t>
      </w:r>
      <w:r w:rsidRPr="00786253">
        <w:rPr>
          <w:rFonts w:eastAsiaTheme="majorEastAsia"/>
          <w:color w:val="auto"/>
          <w:szCs w:val="22"/>
        </w:rPr>
        <w:t xml:space="preserve"> and contributed to lateral connectivity</w:t>
      </w:r>
      <w:r>
        <w:rPr>
          <w:rFonts w:eastAsiaTheme="majorEastAsia"/>
          <w:color w:val="auto"/>
          <w:szCs w:val="22"/>
        </w:rPr>
        <w:t xml:space="preserve"> through increasing the</w:t>
      </w:r>
      <w:r w:rsidRPr="00786253">
        <w:rPr>
          <w:rFonts w:eastAsiaTheme="majorEastAsia"/>
          <w:color w:val="auto"/>
          <w:szCs w:val="22"/>
        </w:rPr>
        <w:t xml:space="preserve"> maximum inundation area</w:t>
      </w:r>
      <w:r>
        <w:rPr>
          <w:rFonts w:eastAsiaTheme="majorEastAsia"/>
          <w:color w:val="auto"/>
          <w:szCs w:val="22"/>
        </w:rPr>
        <w:t xml:space="preserve"> by 1,397 ha</w:t>
      </w:r>
      <w:r w:rsidRPr="00786253">
        <w:rPr>
          <w:rFonts w:eastAsiaTheme="majorEastAsia"/>
          <w:color w:val="auto"/>
          <w:szCs w:val="22"/>
        </w:rPr>
        <w:t xml:space="preserve"> in </w:t>
      </w:r>
      <w:r>
        <w:rPr>
          <w:rFonts w:eastAsiaTheme="majorEastAsia"/>
          <w:color w:val="auto"/>
          <w:szCs w:val="22"/>
        </w:rPr>
        <w:t>late November</w:t>
      </w:r>
      <w:r w:rsidRPr="00786253">
        <w:rPr>
          <w:rFonts w:eastAsiaTheme="majorEastAsia"/>
          <w:color w:val="auto"/>
          <w:szCs w:val="22"/>
        </w:rPr>
        <w:t xml:space="preserve"> </w:t>
      </w:r>
      <w:r>
        <w:rPr>
          <w:rFonts w:eastAsiaTheme="majorEastAsia"/>
          <w:color w:val="auto"/>
          <w:szCs w:val="22"/>
        </w:rPr>
        <w:t>2020.</w:t>
      </w:r>
    </w:p>
    <w:p w14:paraId="315B7B67" w14:textId="5A9A6D27" w:rsidR="00CF3DA2" w:rsidRPr="000B45E8" w:rsidRDefault="00CF3DA2" w:rsidP="00CE0AA9">
      <w:pPr>
        <w:pStyle w:val="ListParagraph"/>
        <w:numPr>
          <w:ilvl w:val="0"/>
          <w:numId w:val="40"/>
        </w:numPr>
        <w:spacing w:line="266" w:lineRule="auto"/>
        <w:rPr>
          <w:rFonts w:eastAsiaTheme="majorEastAsia"/>
          <w:color w:val="auto"/>
          <w:szCs w:val="22"/>
        </w:rPr>
      </w:pPr>
      <w:r w:rsidRPr="001C7CC1">
        <w:rPr>
          <w:rFonts w:eastAsiaTheme="majorEastAsia"/>
          <w:b/>
          <w:bCs/>
          <w:color w:val="auto"/>
          <w:szCs w:val="22"/>
        </w:rPr>
        <w:t>Hydraulic diversity</w:t>
      </w:r>
      <w:r w:rsidRPr="000B45E8">
        <w:rPr>
          <w:rFonts w:eastAsiaTheme="majorEastAsia"/>
          <w:color w:val="auto"/>
          <w:szCs w:val="22"/>
        </w:rPr>
        <w:t xml:space="preserve">: </w:t>
      </w:r>
      <w:r>
        <w:rPr>
          <w:rFonts w:eastAsiaTheme="majorEastAsia"/>
          <w:color w:val="auto"/>
          <w:szCs w:val="22"/>
        </w:rPr>
        <w:t>Commonwealth e</w:t>
      </w:r>
      <w:r w:rsidRPr="000B45E8">
        <w:rPr>
          <w:rFonts w:eastAsiaTheme="majorEastAsia"/>
          <w:color w:val="auto"/>
          <w:szCs w:val="22"/>
        </w:rPr>
        <w:t xml:space="preserve">nvironmental water increased </w:t>
      </w:r>
      <w:r w:rsidR="00DA62CA">
        <w:rPr>
          <w:rFonts w:eastAsiaTheme="majorEastAsia"/>
          <w:color w:val="auto"/>
          <w:szCs w:val="22"/>
        </w:rPr>
        <w:t xml:space="preserve">(modelled) </w:t>
      </w:r>
      <w:r w:rsidRPr="000B45E8">
        <w:rPr>
          <w:rFonts w:eastAsiaTheme="majorEastAsia"/>
          <w:color w:val="auto"/>
          <w:szCs w:val="22"/>
        </w:rPr>
        <w:t>the duration and extent o</w:t>
      </w:r>
      <w:r w:rsidR="00713981" w:rsidRPr="000B45E8">
        <w:rPr>
          <w:rFonts w:eastAsiaTheme="majorEastAsia"/>
          <w:color w:val="auto"/>
          <w:szCs w:val="22"/>
        </w:rPr>
        <w:t xml:space="preserve">f ‘flowing water’ </w:t>
      </w:r>
      <w:r w:rsidR="00713981">
        <w:rPr>
          <w:rFonts w:eastAsiaTheme="majorEastAsia"/>
          <w:color w:val="auto"/>
          <w:szCs w:val="22"/>
        </w:rPr>
        <w:t xml:space="preserve">(lotic) </w:t>
      </w:r>
      <w:r w:rsidRPr="000B45E8">
        <w:rPr>
          <w:rFonts w:eastAsiaTheme="majorEastAsia"/>
          <w:color w:val="auto"/>
          <w:szCs w:val="22"/>
        </w:rPr>
        <w:t>habitat</w:t>
      </w:r>
      <w:r>
        <w:rPr>
          <w:rFonts w:eastAsiaTheme="majorEastAsia"/>
          <w:color w:val="auto"/>
          <w:szCs w:val="22"/>
        </w:rPr>
        <w:t xml:space="preserve">, </w:t>
      </w:r>
      <w:r w:rsidRPr="000B45E8">
        <w:rPr>
          <w:szCs w:val="21"/>
          <w:lang w:eastAsia="en-AU"/>
        </w:rPr>
        <w:t>with an extra 3</w:t>
      </w:r>
      <w:r>
        <w:rPr>
          <w:szCs w:val="21"/>
          <w:lang w:eastAsia="en-AU"/>
        </w:rPr>
        <w:t>1</w:t>
      </w:r>
      <w:r w:rsidRPr="000B45E8">
        <w:rPr>
          <w:szCs w:val="21"/>
          <w:lang w:eastAsia="en-AU"/>
        </w:rPr>
        <w:t xml:space="preserve"> km (</w:t>
      </w:r>
      <w:r>
        <w:rPr>
          <w:szCs w:val="21"/>
          <w:lang w:eastAsia="en-AU"/>
        </w:rPr>
        <w:t>9</w:t>
      </w:r>
      <w:r w:rsidRPr="000B45E8">
        <w:rPr>
          <w:szCs w:val="21"/>
          <w:lang w:eastAsia="en-AU"/>
        </w:rPr>
        <w:t xml:space="preserve">%) of </w:t>
      </w:r>
      <w:r>
        <w:rPr>
          <w:szCs w:val="21"/>
          <w:lang w:eastAsia="en-AU"/>
        </w:rPr>
        <w:t>the LMR characterised by mean water</w:t>
      </w:r>
      <w:r w:rsidRPr="000B45E8">
        <w:rPr>
          <w:szCs w:val="21"/>
          <w:lang w:eastAsia="en-AU"/>
        </w:rPr>
        <w:t xml:space="preserve"> </w:t>
      </w:r>
      <w:r w:rsidRPr="000B45E8">
        <w:rPr>
          <w:rFonts w:eastAsiaTheme="majorEastAsia"/>
          <w:color w:val="auto"/>
          <w:szCs w:val="22"/>
        </w:rPr>
        <w:t>velocities &gt;0.3 m/s</w:t>
      </w:r>
      <w:r w:rsidRPr="000B45E8">
        <w:rPr>
          <w:szCs w:val="21"/>
          <w:lang w:eastAsia="en-AU"/>
        </w:rPr>
        <w:t xml:space="preserve"> for at least 30 days.</w:t>
      </w:r>
      <w:r w:rsidRPr="000B45E8">
        <w:rPr>
          <w:szCs w:val="21"/>
        </w:rPr>
        <w:t xml:space="preserve"> </w:t>
      </w:r>
      <w:r w:rsidRPr="000B45E8">
        <w:rPr>
          <w:rFonts w:eastAsiaTheme="majorEastAsia"/>
          <w:color w:val="auto"/>
          <w:szCs w:val="22"/>
        </w:rPr>
        <w:t xml:space="preserve">This hydraulic variability </w:t>
      </w:r>
      <w:r>
        <w:rPr>
          <w:rFonts w:eastAsiaTheme="majorEastAsia"/>
          <w:color w:val="auto"/>
          <w:szCs w:val="22"/>
        </w:rPr>
        <w:t>may have</w:t>
      </w:r>
      <w:r w:rsidRPr="000B45E8">
        <w:rPr>
          <w:rFonts w:eastAsiaTheme="majorEastAsia"/>
          <w:color w:val="auto"/>
          <w:szCs w:val="22"/>
        </w:rPr>
        <w:t xml:space="preserve"> benefited native animals </w:t>
      </w:r>
      <w:r>
        <w:rPr>
          <w:rFonts w:eastAsiaTheme="majorEastAsia"/>
          <w:color w:val="auto"/>
          <w:szCs w:val="22"/>
        </w:rPr>
        <w:t xml:space="preserve">(e.g. Murray cod) </w:t>
      </w:r>
      <w:r w:rsidRPr="000B45E8">
        <w:rPr>
          <w:rFonts w:eastAsiaTheme="majorEastAsia"/>
          <w:color w:val="auto"/>
          <w:szCs w:val="22"/>
        </w:rPr>
        <w:t xml:space="preserve">adapted to </w:t>
      </w:r>
      <w:r>
        <w:rPr>
          <w:rFonts w:eastAsiaTheme="majorEastAsia"/>
          <w:color w:val="auto"/>
          <w:szCs w:val="22"/>
        </w:rPr>
        <w:t>lotic</w:t>
      </w:r>
      <w:r w:rsidRPr="000B45E8">
        <w:rPr>
          <w:rFonts w:eastAsiaTheme="majorEastAsia"/>
          <w:color w:val="auto"/>
          <w:szCs w:val="22"/>
        </w:rPr>
        <w:t xml:space="preserve"> riverine environment</w:t>
      </w:r>
      <w:r>
        <w:rPr>
          <w:rFonts w:eastAsiaTheme="majorEastAsia"/>
          <w:color w:val="auto"/>
          <w:szCs w:val="22"/>
        </w:rPr>
        <w:t>s</w:t>
      </w:r>
      <w:r w:rsidRPr="000B45E8">
        <w:rPr>
          <w:rFonts w:eastAsiaTheme="majorEastAsia"/>
          <w:color w:val="auto"/>
          <w:szCs w:val="22"/>
        </w:rPr>
        <w:t xml:space="preserve">. </w:t>
      </w:r>
    </w:p>
    <w:p w14:paraId="1D99F8A2" w14:textId="0DAEFF89" w:rsidR="00CF3DA2" w:rsidRDefault="00CF3DA2" w:rsidP="00CE0AA9">
      <w:pPr>
        <w:pStyle w:val="ListParagraph"/>
        <w:numPr>
          <w:ilvl w:val="0"/>
          <w:numId w:val="40"/>
        </w:numPr>
        <w:spacing w:line="266" w:lineRule="auto"/>
        <w:rPr>
          <w:rFonts w:eastAsiaTheme="majorEastAsia"/>
          <w:color w:val="auto"/>
          <w:szCs w:val="22"/>
        </w:rPr>
      </w:pPr>
      <w:r w:rsidRPr="001C7CC1">
        <w:rPr>
          <w:rFonts w:eastAsiaTheme="majorEastAsia"/>
          <w:b/>
          <w:bCs/>
          <w:color w:val="auto"/>
          <w:szCs w:val="22"/>
        </w:rPr>
        <w:t>Water level variability</w:t>
      </w:r>
      <w:r>
        <w:rPr>
          <w:rFonts w:eastAsiaTheme="majorEastAsia"/>
          <w:color w:val="auto"/>
          <w:szCs w:val="22"/>
        </w:rPr>
        <w:t xml:space="preserve">: </w:t>
      </w:r>
      <w:r w:rsidR="00A16ABC">
        <w:rPr>
          <w:rFonts w:eastAsiaTheme="majorEastAsia"/>
          <w:color w:val="auto"/>
          <w:szCs w:val="22"/>
        </w:rPr>
        <w:t>Commonwealth environmental water</w:t>
      </w:r>
      <w:r w:rsidRPr="000B45E8">
        <w:rPr>
          <w:rFonts w:eastAsiaTheme="majorEastAsia"/>
          <w:color w:val="auto"/>
          <w:szCs w:val="22"/>
        </w:rPr>
        <w:t xml:space="preserve">, in combination with weir pool </w:t>
      </w:r>
      <w:r>
        <w:rPr>
          <w:rFonts w:eastAsiaTheme="majorEastAsia"/>
          <w:color w:val="auto"/>
          <w:szCs w:val="22"/>
        </w:rPr>
        <w:t>manipulations</w:t>
      </w:r>
      <w:r w:rsidRPr="000B45E8">
        <w:rPr>
          <w:rFonts w:eastAsiaTheme="majorEastAsia"/>
          <w:color w:val="auto"/>
          <w:szCs w:val="22"/>
        </w:rPr>
        <w:t xml:space="preserve">, increased </w:t>
      </w:r>
      <w:r w:rsidR="00DA62CA">
        <w:rPr>
          <w:rFonts w:eastAsiaTheme="majorEastAsia"/>
          <w:color w:val="auto"/>
          <w:szCs w:val="22"/>
        </w:rPr>
        <w:t xml:space="preserve">(modelled) </w:t>
      </w:r>
      <w:r w:rsidRPr="000B45E8">
        <w:rPr>
          <w:rFonts w:eastAsiaTheme="majorEastAsia"/>
          <w:color w:val="auto"/>
          <w:szCs w:val="22"/>
        </w:rPr>
        <w:t xml:space="preserve">water level </w:t>
      </w:r>
      <w:r w:rsidRPr="00791084">
        <w:rPr>
          <w:rFonts w:eastAsiaTheme="majorEastAsia"/>
          <w:color w:val="auto"/>
          <w:szCs w:val="21"/>
        </w:rPr>
        <w:t>variability (interquartile range</w:t>
      </w:r>
      <w:r w:rsidR="00DF5E18">
        <w:rPr>
          <w:rStyle w:val="FootnoteReference"/>
          <w:rFonts w:eastAsiaTheme="majorEastAsia"/>
          <w:color w:val="auto"/>
          <w:szCs w:val="21"/>
        </w:rPr>
        <w:footnoteReference w:id="3"/>
      </w:r>
      <w:r w:rsidRPr="00791084">
        <w:rPr>
          <w:rFonts w:eastAsiaTheme="majorEastAsia"/>
          <w:color w:val="auto"/>
          <w:szCs w:val="21"/>
        </w:rPr>
        <w:t>) by 0.1</w:t>
      </w:r>
      <w:r w:rsidR="00A16ABC">
        <w:rPr>
          <w:rFonts w:eastAsiaTheme="majorEastAsia"/>
          <w:color w:val="auto"/>
          <w:szCs w:val="21"/>
        </w:rPr>
        <w:t>2</w:t>
      </w:r>
      <w:r w:rsidRPr="00791084">
        <w:rPr>
          <w:rFonts w:eastAsiaTheme="majorEastAsia"/>
          <w:color w:val="auto"/>
          <w:szCs w:val="21"/>
        </w:rPr>
        <w:t xml:space="preserve"> m in the tailwaters </w:t>
      </w:r>
      <w:r w:rsidRPr="00791084">
        <w:rPr>
          <w:szCs w:val="21"/>
        </w:rPr>
        <w:t>(i.e. just downstream of each weir)</w:t>
      </w:r>
      <w:r w:rsidRPr="00791084">
        <w:rPr>
          <w:rFonts w:eastAsiaTheme="majorEastAsia"/>
          <w:color w:val="auto"/>
          <w:szCs w:val="21"/>
        </w:rPr>
        <w:t xml:space="preserve"> of the LMR.</w:t>
      </w:r>
    </w:p>
    <w:p w14:paraId="36E42D01" w14:textId="0FD64B64" w:rsidR="00CF3DA2" w:rsidRPr="0049085A" w:rsidRDefault="00CF3DA2" w:rsidP="00CE0AA9">
      <w:pPr>
        <w:pStyle w:val="ListParagraph"/>
        <w:numPr>
          <w:ilvl w:val="0"/>
          <w:numId w:val="40"/>
        </w:numPr>
        <w:spacing w:line="266" w:lineRule="auto"/>
        <w:rPr>
          <w:rFonts w:eastAsiaTheme="majorEastAsia"/>
          <w:color w:val="auto"/>
          <w:szCs w:val="22"/>
        </w:rPr>
      </w:pPr>
      <w:bookmarkStart w:id="13" w:name="_Hlk96894860"/>
      <w:r w:rsidRPr="0049085A">
        <w:rPr>
          <w:rFonts w:eastAsiaTheme="majorEastAsia"/>
          <w:b/>
          <w:bCs/>
          <w:color w:val="auto"/>
          <w:szCs w:val="22"/>
        </w:rPr>
        <w:t xml:space="preserve">Littoral </w:t>
      </w:r>
      <w:bookmarkStart w:id="14" w:name="_Hlk66263190"/>
      <w:bookmarkStart w:id="15" w:name="_Hlk64620524"/>
      <w:r w:rsidRPr="0049085A">
        <w:rPr>
          <w:rFonts w:eastAsiaTheme="majorEastAsia"/>
          <w:b/>
          <w:bCs/>
          <w:color w:val="auto"/>
          <w:szCs w:val="22"/>
        </w:rPr>
        <w:t>vegetation</w:t>
      </w:r>
      <w:r w:rsidRPr="0049085A">
        <w:rPr>
          <w:rFonts w:eastAsiaTheme="majorEastAsia"/>
          <w:color w:val="auto"/>
          <w:szCs w:val="22"/>
        </w:rPr>
        <w:t xml:space="preserve">: Native </w:t>
      </w:r>
      <w:bookmarkEnd w:id="14"/>
      <w:r w:rsidRPr="0049085A">
        <w:rPr>
          <w:rFonts w:eastAsiaTheme="majorEastAsia"/>
          <w:color w:val="auto"/>
          <w:szCs w:val="22"/>
        </w:rPr>
        <w:t xml:space="preserve">plant species diversity </w:t>
      </w:r>
      <w:r w:rsidRPr="001D043F">
        <w:rPr>
          <w:rFonts w:eastAsiaTheme="majorEastAsia"/>
          <w:color w:val="auto"/>
          <w:szCs w:val="22"/>
        </w:rPr>
        <w:t xml:space="preserve">increased </w:t>
      </w:r>
      <w:r>
        <w:rPr>
          <w:rFonts w:eastAsiaTheme="majorEastAsia"/>
          <w:color w:val="auto"/>
          <w:szCs w:val="22"/>
        </w:rPr>
        <w:t xml:space="preserve">by </w:t>
      </w:r>
      <w:r w:rsidRPr="001D043F">
        <w:rPr>
          <w:rFonts w:eastAsiaTheme="majorEastAsia"/>
          <w:color w:val="auto"/>
          <w:szCs w:val="22"/>
        </w:rPr>
        <w:t>42–82% across all reaches following the inundation of littoral zones by spring–early summer flows</w:t>
      </w:r>
      <w:r>
        <w:rPr>
          <w:rFonts w:eastAsiaTheme="majorEastAsia"/>
          <w:color w:val="auto"/>
          <w:szCs w:val="22"/>
        </w:rPr>
        <w:t>.</w:t>
      </w:r>
      <w:r w:rsidRPr="001D043F">
        <w:rPr>
          <w:rFonts w:eastAsiaTheme="majorEastAsia"/>
          <w:color w:val="auto"/>
          <w:szCs w:val="22"/>
        </w:rPr>
        <w:t xml:space="preserve"> </w:t>
      </w:r>
      <w:r>
        <w:rPr>
          <w:rFonts w:eastAsiaTheme="majorEastAsia"/>
          <w:color w:val="auto"/>
          <w:szCs w:val="22"/>
        </w:rPr>
        <w:t>T</w:t>
      </w:r>
      <w:r w:rsidRPr="001D043F">
        <w:rPr>
          <w:rFonts w:eastAsiaTheme="majorEastAsia"/>
          <w:color w:val="auto"/>
          <w:szCs w:val="22"/>
        </w:rPr>
        <w:t xml:space="preserve">he above-ground biomass of understory vegetation also increased </w:t>
      </w:r>
      <w:r>
        <w:rPr>
          <w:rFonts w:eastAsiaTheme="majorEastAsia"/>
          <w:color w:val="auto"/>
          <w:szCs w:val="22"/>
        </w:rPr>
        <w:t>by 121</w:t>
      </w:r>
      <w:r w:rsidRPr="001D043F">
        <w:rPr>
          <w:rFonts w:eastAsiaTheme="majorEastAsia"/>
          <w:color w:val="auto"/>
          <w:szCs w:val="22"/>
        </w:rPr>
        <w:t>–</w:t>
      </w:r>
      <w:r>
        <w:rPr>
          <w:rFonts w:eastAsiaTheme="majorEastAsia"/>
          <w:color w:val="auto"/>
          <w:szCs w:val="22"/>
        </w:rPr>
        <w:t>292</w:t>
      </w:r>
      <w:r w:rsidRPr="001D043F">
        <w:rPr>
          <w:rFonts w:eastAsiaTheme="majorEastAsia"/>
          <w:color w:val="auto"/>
          <w:szCs w:val="22"/>
        </w:rPr>
        <w:t xml:space="preserve">% due to increased soil moisture, indicating increased productivity. River red gum survival was supported </w:t>
      </w:r>
      <w:r>
        <w:rPr>
          <w:rFonts w:eastAsiaTheme="majorEastAsia"/>
          <w:color w:val="auto"/>
          <w:szCs w:val="22"/>
        </w:rPr>
        <w:t>whereby</w:t>
      </w:r>
      <w:r w:rsidRPr="001D043F">
        <w:rPr>
          <w:rFonts w:eastAsiaTheme="majorEastAsia"/>
          <w:color w:val="auto"/>
          <w:szCs w:val="22"/>
        </w:rPr>
        <w:t xml:space="preserve"> many seedlings, geminated in 2019-20, develop</w:t>
      </w:r>
      <w:r w:rsidR="005E6B46">
        <w:rPr>
          <w:rFonts w:eastAsiaTheme="majorEastAsia"/>
          <w:color w:val="auto"/>
          <w:szCs w:val="22"/>
        </w:rPr>
        <w:t>ed</w:t>
      </w:r>
      <w:r w:rsidRPr="001D043F">
        <w:rPr>
          <w:rFonts w:eastAsiaTheme="majorEastAsia"/>
          <w:color w:val="auto"/>
          <w:szCs w:val="22"/>
        </w:rPr>
        <w:t xml:space="preserve"> into saplings in 2020-21. Variable water levels also produced conditions suitable for the recruitment of specialised riparian species, increasing plant functional diversity.          </w:t>
      </w:r>
    </w:p>
    <w:bookmarkEnd w:id="13"/>
    <w:bookmarkEnd w:id="15"/>
    <w:p w14:paraId="6A9F4425" w14:textId="5D016284" w:rsidR="00CF3DA2" w:rsidRPr="006A2FD4" w:rsidRDefault="00CF3DA2" w:rsidP="00CE0AA9">
      <w:pPr>
        <w:pStyle w:val="ListParagraph"/>
        <w:numPr>
          <w:ilvl w:val="0"/>
          <w:numId w:val="40"/>
        </w:numPr>
        <w:spacing w:line="266" w:lineRule="auto"/>
        <w:rPr>
          <w:rFonts w:eastAsiaTheme="majorEastAsia"/>
          <w:color w:val="auto"/>
          <w:szCs w:val="22"/>
        </w:rPr>
      </w:pPr>
      <w:r w:rsidRPr="001C7CC1">
        <w:rPr>
          <w:rFonts w:eastAsiaTheme="majorEastAsia"/>
          <w:b/>
          <w:bCs/>
          <w:color w:val="auto"/>
          <w:szCs w:val="22"/>
        </w:rPr>
        <w:t>Water quality</w:t>
      </w:r>
      <w:r>
        <w:rPr>
          <w:rFonts w:eastAsiaTheme="majorEastAsia"/>
          <w:color w:val="auto"/>
          <w:szCs w:val="22"/>
        </w:rPr>
        <w:t xml:space="preserve">: </w:t>
      </w:r>
      <w:r w:rsidR="00B458BF" w:rsidRPr="75B84456">
        <w:rPr>
          <w:rFonts w:eastAsiaTheme="majorEastAsia"/>
          <w:color w:val="auto"/>
        </w:rPr>
        <w:t>Commonwealth</w:t>
      </w:r>
      <w:r w:rsidR="00B458BF">
        <w:t xml:space="preserve"> </w:t>
      </w:r>
      <w:r>
        <w:rPr>
          <w:rFonts w:eastAsiaTheme="majorEastAsia"/>
          <w:color w:val="auto"/>
          <w:szCs w:val="22"/>
        </w:rPr>
        <w:t>environmental water</w:t>
      </w:r>
      <w:r w:rsidRPr="00FC25E9">
        <w:rPr>
          <w:rFonts w:eastAsiaTheme="majorEastAsia"/>
          <w:color w:val="auto"/>
          <w:szCs w:val="22"/>
        </w:rPr>
        <w:t xml:space="preserve"> </w:t>
      </w:r>
      <w:r>
        <w:rPr>
          <w:rFonts w:eastAsiaTheme="majorEastAsia"/>
          <w:color w:val="auto"/>
          <w:szCs w:val="22"/>
        </w:rPr>
        <w:t>i</w:t>
      </w:r>
      <w:r w:rsidRPr="00FC25E9">
        <w:rPr>
          <w:rFonts w:eastAsiaTheme="majorEastAsia"/>
          <w:color w:val="auto"/>
          <w:szCs w:val="22"/>
        </w:rPr>
        <w:t xml:space="preserve">ncreased water mixing (velocities &gt;0.2 m/s) and oxygen exchange at the </w:t>
      </w:r>
      <w:r>
        <w:rPr>
          <w:rFonts w:eastAsiaTheme="majorEastAsia"/>
          <w:color w:val="auto"/>
          <w:szCs w:val="22"/>
        </w:rPr>
        <w:t xml:space="preserve">water </w:t>
      </w:r>
      <w:r w:rsidRPr="00FC25E9">
        <w:rPr>
          <w:rFonts w:eastAsiaTheme="majorEastAsia"/>
          <w:color w:val="auto"/>
          <w:szCs w:val="22"/>
        </w:rPr>
        <w:t>surface</w:t>
      </w:r>
      <w:r>
        <w:rPr>
          <w:rFonts w:eastAsiaTheme="majorEastAsia"/>
          <w:color w:val="auto"/>
          <w:szCs w:val="22"/>
        </w:rPr>
        <w:t>,</w:t>
      </w:r>
      <w:r w:rsidRPr="00FC25E9">
        <w:rPr>
          <w:rFonts w:eastAsiaTheme="majorEastAsia"/>
          <w:color w:val="auto"/>
          <w:szCs w:val="22"/>
        </w:rPr>
        <w:t xml:space="preserve"> reduc</w:t>
      </w:r>
      <w:r>
        <w:rPr>
          <w:rFonts w:eastAsiaTheme="majorEastAsia"/>
          <w:color w:val="auto"/>
          <w:szCs w:val="22"/>
        </w:rPr>
        <w:t>ing</w:t>
      </w:r>
      <w:r w:rsidRPr="00FC25E9">
        <w:rPr>
          <w:rFonts w:eastAsiaTheme="majorEastAsia"/>
          <w:color w:val="auto"/>
          <w:szCs w:val="22"/>
        </w:rPr>
        <w:t xml:space="preserve"> the </w:t>
      </w:r>
      <w:r>
        <w:rPr>
          <w:rFonts w:eastAsiaTheme="majorEastAsia"/>
          <w:color w:val="auto"/>
          <w:szCs w:val="22"/>
        </w:rPr>
        <w:t xml:space="preserve">potential low </w:t>
      </w:r>
      <w:r w:rsidRPr="00FC25E9">
        <w:rPr>
          <w:rFonts w:eastAsiaTheme="majorEastAsia"/>
          <w:color w:val="auto"/>
          <w:szCs w:val="22"/>
        </w:rPr>
        <w:t>dissolved oxygen</w:t>
      </w:r>
      <w:r>
        <w:rPr>
          <w:rFonts w:eastAsiaTheme="majorEastAsia"/>
          <w:color w:val="auto"/>
          <w:szCs w:val="22"/>
        </w:rPr>
        <w:t xml:space="preserve"> (DO) period</w:t>
      </w:r>
      <w:r w:rsidRPr="00B11615">
        <w:rPr>
          <w:rFonts w:eastAsiaTheme="majorEastAsia"/>
          <w:color w:val="auto"/>
          <w:szCs w:val="22"/>
        </w:rPr>
        <w:t xml:space="preserve"> </w:t>
      </w:r>
      <w:r>
        <w:rPr>
          <w:rFonts w:eastAsiaTheme="majorEastAsia"/>
          <w:color w:val="auto"/>
          <w:szCs w:val="22"/>
        </w:rPr>
        <w:t xml:space="preserve">by </w:t>
      </w:r>
      <w:r w:rsidRPr="00F47AF6">
        <w:rPr>
          <w:rFonts w:eastAsiaTheme="majorEastAsia"/>
          <w:color w:val="auto"/>
          <w:szCs w:val="22"/>
        </w:rPr>
        <w:t>5</w:t>
      </w:r>
      <w:r>
        <w:rPr>
          <w:rFonts w:eastAsiaTheme="majorEastAsia"/>
          <w:color w:val="auto"/>
          <w:szCs w:val="22"/>
        </w:rPr>
        <w:t>2</w:t>
      </w:r>
      <w:r w:rsidRPr="00F47AF6">
        <w:rPr>
          <w:rFonts w:eastAsiaTheme="majorEastAsia"/>
          <w:color w:val="auto"/>
          <w:szCs w:val="22"/>
        </w:rPr>
        <w:t>–</w:t>
      </w:r>
      <w:r>
        <w:rPr>
          <w:rFonts w:eastAsiaTheme="majorEastAsia"/>
          <w:color w:val="auto"/>
          <w:szCs w:val="22"/>
        </w:rPr>
        <w:t>79</w:t>
      </w:r>
      <w:r w:rsidRPr="00F47AF6">
        <w:rPr>
          <w:rFonts w:eastAsiaTheme="majorEastAsia"/>
          <w:color w:val="auto"/>
          <w:szCs w:val="22"/>
        </w:rPr>
        <w:t xml:space="preserve"> days </w:t>
      </w:r>
      <w:r>
        <w:rPr>
          <w:rFonts w:eastAsiaTheme="majorEastAsia"/>
          <w:color w:val="auto"/>
          <w:szCs w:val="22"/>
        </w:rPr>
        <w:t xml:space="preserve">(varying among </w:t>
      </w:r>
      <w:r w:rsidRPr="00F47AF6">
        <w:rPr>
          <w:rFonts w:eastAsiaTheme="majorEastAsia"/>
          <w:color w:val="auto"/>
          <w:szCs w:val="22"/>
        </w:rPr>
        <w:t>reaches)</w:t>
      </w:r>
      <w:r>
        <w:rPr>
          <w:rFonts w:eastAsiaTheme="majorEastAsia"/>
          <w:color w:val="auto"/>
          <w:szCs w:val="22"/>
        </w:rPr>
        <w:t xml:space="preserve"> in the LMR. </w:t>
      </w:r>
      <w:r w:rsidRPr="006A2FD4">
        <w:rPr>
          <w:rFonts w:eastAsiaTheme="majorEastAsia"/>
          <w:color w:val="auto"/>
          <w:szCs w:val="22"/>
        </w:rPr>
        <w:t xml:space="preserve">This </w:t>
      </w:r>
      <w:r>
        <w:rPr>
          <w:rFonts w:eastAsiaTheme="majorEastAsia"/>
          <w:color w:val="auto"/>
          <w:szCs w:val="22"/>
        </w:rPr>
        <w:t xml:space="preserve">mainly occurred within the </w:t>
      </w:r>
      <w:r w:rsidRPr="006A2FD4">
        <w:rPr>
          <w:rFonts w:eastAsiaTheme="majorEastAsia"/>
          <w:color w:val="auto"/>
          <w:szCs w:val="22"/>
        </w:rPr>
        <w:t>spring–summer period</w:t>
      </w:r>
      <w:r>
        <w:rPr>
          <w:rFonts w:eastAsiaTheme="majorEastAsia"/>
          <w:color w:val="auto"/>
          <w:szCs w:val="22"/>
        </w:rPr>
        <w:t>, which</w:t>
      </w:r>
      <w:r w:rsidRPr="006A2FD4">
        <w:rPr>
          <w:rFonts w:eastAsiaTheme="majorEastAsia"/>
          <w:color w:val="auto"/>
          <w:szCs w:val="22"/>
        </w:rPr>
        <w:t xml:space="preserve"> corresponds with highest ecosystem respiration rates and the primary reproductive season of many species </w:t>
      </w:r>
      <w:r w:rsidRPr="006A2FD4">
        <w:rPr>
          <w:szCs w:val="21"/>
        </w:rPr>
        <w:t>that generally favour DO &gt;5 mg/L.</w:t>
      </w:r>
      <w:r w:rsidRPr="00F47AF6">
        <w:t xml:space="preserve"> </w:t>
      </w:r>
    </w:p>
    <w:p w14:paraId="7B0635E6" w14:textId="0DC437E1" w:rsidR="00CF3DA2" w:rsidRDefault="00CF3DA2" w:rsidP="00CE0AA9">
      <w:pPr>
        <w:pStyle w:val="ListParagraph"/>
        <w:numPr>
          <w:ilvl w:val="0"/>
          <w:numId w:val="40"/>
        </w:numPr>
        <w:spacing w:line="266" w:lineRule="auto"/>
        <w:rPr>
          <w:rFonts w:eastAsiaTheme="majorEastAsia"/>
          <w:color w:val="auto"/>
          <w:szCs w:val="22"/>
        </w:rPr>
      </w:pPr>
      <w:bookmarkStart w:id="16" w:name="_Hlk66263358"/>
      <w:r w:rsidRPr="001C7CC1">
        <w:rPr>
          <w:rFonts w:eastAsiaTheme="majorEastAsia"/>
          <w:b/>
          <w:bCs/>
          <w:color w:val="auto"/>
          <w:szCs w:val="22"/>
        </w:rPr>
        <w:t>River productivity</w:t>
      </w:r>
      <w:r>
        <w:rPr>
          <w:rFonts w:eastAsiaTheme="majorEastAsia"/>
          <w:color w:val="auto"/>
          <w:szCs w:val="22"/>
        </w:rPr>
        <w:t xml:space="preserve">: Primary </w:t>
      </w:r>
      <w:r w:rsidRPr="00FC25E9">
        <w:rPr>
          <w:rFonts w:eastAsiaTheme="majorEastAsia"/>
          <w:color w:val="auto"/>
          <w:szCs w:val="22"/>
        </w:rPr>
        <w:t xml:space="preserve">production, which supports aquatic food webs (e.g. invertebrates and fish), </w:t>
      </w:r>
      <w:r>
        <w:rPr>
          <w:rFonts w:eastAsiaTheme="majorEastAsia"/>
          <w:color w:val="auto"/>
          <w:szCs w:val="22"/>
        </w:rPr>
        <w:t>slightly increased (</w:t>
      </w:r>
      <w:r w:rsidR="00A16ABC">
        <w:rPr>
          <w:rFonts w:eastAsiaTheme="majorEastAsia"/>
          <w:color w:val="auto"/>
          <w:szCs w:val="22"/>
        </w:rPr>
        <w:t>0</w:t>
      </w:r>
      <w:r>
        <w:rPr>
          <w:rFonts w:ascii="Calibri" w:eastAsiaTheme="majorEastAsia" w:hAnsi="Calibri" w:cs="Calibri"/>
          <w:color w:val="auto"/>
          <w:szCs w:val="22"/>
        </w:rPr>
        <w:t>–</w:t>
      </w:r>
      <w:r>
        <w:rPr>
          <w:rFonts w:eastAsiaTheme="majorEastAsia" w:cs="Calibri"/>
          <w:color w:val="auto"/>
          <w:szCs w:val="22"/>
        </w:rPr>
        <w:t>3</w:t>
      </w:r>
      <w:r>
        <w:rPr>
          <w:rFonts w:eastAsiaTheme="majorEastAsia"/>
          <w:color w:val="auto"/>
          <w:szCs w:val="22"/>
        </w:rPr>
        <w:t>% across sites)</w:t>
      </w:r>
      <w:r w:rsidRPr="00FC25E9">
        <w:rPr>
          <w:rFonts w:eastAsiaTheme="majorEastAsia"/>
          <w:color w:val="auto"/>
          <w:szCs w:val="22"/>
        </w:rPr>
        <w:t xml:space="preserve"> </w:t>
      </w:r>
      <w:r w:rsidRPr="00E651A2">
        <w:rPr>
          <w:rFonts w:eastAsiaTheme="majorEastAsia"/>
          <w:color w:val="auto"/>
          <w:szCs w:val="22"/>
        </w:rPr>
        <w:t>in response to the physical changes</w:t>
      </w:r>
      <w:r>
        <w:rPr>
          <w:rFonts w:eastAsiaTheme="majorEastAsia"/>
          <w:color w:val="auto"/>
          <w:szCs w:val="22"/>
        </w:rPr>
        <w:t xml:space="preserve"> in the LMR</w:t>
      </w:r>
      <w:r w:rsidRPr="00E651A2">
        <w:rPr>
          <w:rFonts w:eastAsiaTheme="majorEastAsia"/>
          <w:color w:val="auto"/>
          <w:szCs w:val="22"/>
        </w:rPr>
        <w:t xml:space="preserve"> </w:t>
      </w:r>
      <w:r>
        <w:rPr>
          <w:rFonts w:eastAsiaTheme="majorEastAsia"/>
          <w:color w:val="auto"/>
          <w:szCs w:val="22"/>
        </w:rPr>
        <w:t xml:space="preserve">generated by </w:t>
      </w:r>
      <w:r w:rsidR="00A16ABC">
        <w:rPr>
          <w:rFonts w:eastAsiaTheme="majorEastAsia"/>
          <w:color w:val="auto"/>
          <w:szCs w:val="22"/>
        </w:rPr>
        <w:t xml:space="preserve">Commonwealth </w:t>
      </w:r>
      <w:r w:rsidRPr="00E651A2">
        <w:rPr>
          <w:rFonts w:eastAsiaTheme="majorEastAsia"/>
          <w:color w:val="auto"/>
          <w:szCs w:val="22"/>
        </w:rPr>
        <w:t xml:space="preserve">environmental </w:t>
      </w:r>
      <w:r w:rsidR="00A16ABC">
        <w:rPr>
          <w:rFonts w:eastAsiaTheme="majorEastAsia"/>
          <w:color w:val="auto"/>
          <w:szCs w:val="22"/>
        </w:rPr>
        <w:t>water</w:t>
      </w:r>
      <w:r>
        <w:rPr>
          <w:rFonts w:eastAsiaTheme="majorEastAsia"/>
          <w:color w:val="auto"/>
          <w:szCs w:val="22"/>
        </w:rPr>
        <w:t>. This was relatively low</w:t>
      </w:r>
      <w:r w:rsidRPr="00E651A2">
        <w:rPr>
          <w:rFonts w:eastAsiaTheme="majorEastAsia"/>
          <w:color w:val="auto"/>
          <w:szCs w:val="22"/>
        </w:rPr>
        <w:t xml:space="preserve"> </w:t>
      </w:r>
      <w:r>
        <w:rPr>
          <w:rFonts w:eastAsiaTheme="majorEastAsia"/>
          <w:color w:val="auto"/>
          <w:szCs w:val="22"/>
        </w:rPr>
        <w:t>because</w:t>
      </w:r>
      <w:r w:rsidRPr="00E651A2">
        <w:rPr>
          <w:rFonts w:eastAsiaTheme="majorEastAsia"/>
          <w:color w:val="auto"/>
          <w:szCs w:val="22"/>
        </w:rPr>
        <w:t xml:space="preserve"> the influence on channel volume </w:t>
      </w:r>
      <w:r>
        <w:rPr>
          <w:rFonts w:eastAsiaTheme="majorEastAsia"/>
          <w:color w:val="auto"/>
          <w:szCs w:val="22"/>
        </w:rPr>
        <w:t>is</w:t>
      </w:r>
      <w:r w:rsidRPr="00E651A2">
        <w:rPr>
          <w:rFonts w:eastAsiaTheme="majorEastAsia"/>
          <w:color w:val="auto"/>
          <w:szCs w:val="22"/>
        </w:rPr>
        <w:t xml:space="preserve"> constrained </w:t>
      </w:r>
      <w:r>
        <w:rPr>
          <w:rFonts w:eastAsiaTheme="majorEastAsia"/>
          <w:color w:val="auto"/>
          <w:szCs w:val="22"/>
        </w:rPr>
        <w:t>by generally stable weir pool levels</w:t>
      </w:r>
      <w:r w:rsidRPr="00E651A2">
        <w:rPr>
          <w:rFonts w:eastAsiaTheme="majorEastAsia"/>
          <w:color w:val="auto"/>
          <w:szCs w:val="22"/>
        </w:rPr>
        <w:t xml:space="preserve"> </w:t>
      </w:r>
      <w:r w:rsidRPr="00FC25E9">
        <w:rPr>
          <w:rFonts w:eastAsiaTheme="majorEastAsia"/>
          <w:color w:val="auto"/>
          <w:szCs w:val="22"/>
        </w:rPr>
        <w:t xml:space="preserve">in the regulated LMR. </w:t>
      </w:r>
      <w:r>
        <w:rPr>
          <w:rFonts w:eastAsiaTheme="majorEastAsia"/>
          <w:color w:val="auto"/>
          <w:szCs w:val="22"/>
        </w:rPr>
        <w:t xml:space="preserve">However, decomposition rates increased by </w:t>
      </w:r>
      <w:r w:rsidR="00A16ABC">
        <w:rPr>
          <w:rFonts w:eastAsiaTheme="majorEastAsia"/>
          <w:color w:val="auto"/>
          <w:szCs w:val="22"/>
        </w:rPr>
        <w:t>5</w:t>
      </w:r>
      <w:r>
        <w:rPr>
          <w:rFonts w:ascii="Calibri" w:eastAsiaTheme="majorEastAsia" w:hAnsi="Calibri" w:cs="Calibri"/>
          <w:color w:val="auto"/>
          <w:szCs w:val="22"/>
        </w:rPr>
        <w:t>–</w:t>
      </w:r>
      <w:r>
        <w:rPr>
          <w:rFonts w:eastAsiaTheme="majorEastAsia" w:cs="Calibri"/>
          <w:color w:val="auto"/>
          <w:szCs w:val="22"/>
        </w:rPr>
        <w:t>1</w:t>
      </w:r>
      <w:r w:rsidR="00A16ABC">
        <w:rPr>
          <w:rFonts w:eastAsiaTheme="majorEastAsia" w:cs="Calibri"/>
          <w:color w:val="auto"/>
          <w:szCs w:val="22"/>
        </w:rPr>
        <w:t>3</w:t>
      </w:r>
      <w:r>
        <w:rPr>
          <w:rFonts w:eastAsiaTheme="majorEastAsia"/>
          <w:color w:val="auto"/>
          <w:szCs w:val="22"/>
        </w:rPr>
        <w:t>%, suggesting increased basal food resources to the river.</w:t>
      </w:r>
    </w:p>
    <w:bookmarkEnd w:id="16"/>
    <w:p w14:paraId="384EBF6D" w14:textId="57AF2C7C" w:rsidR="00CF3DA2" w:rsidRDefault="00CF3DA2" w:rsidP="00CE0AA9">
      <w:pPr>
        <w:pStyle w:val="ListParagraph"/>
        <w:numPr>
          <w:ilvl w:val="0"/>
          <w:numId w:val="40"/>
        </w:numPr>
        <w:spacing w:line="266" w:lineRule="auto"/>
        <w:rPr>
          <w:rFonts w:eastAsiaTheme="majorEastAsia"/>
          <w:color w:val="auto"/>
          <w:szCs w:val="22"/>
        </w:rPr>
      </w:pPr>
      <w:r w:rsidRPr="001C7CC1">
        <w:rPr>
          <w:rFonts w:eastAsiaTheme="majorEastAsia"/>
          <w:b/>
          <w:bCs/>
          <w:color w:val="auto"/>
          <w:szCs w:val="22"/>
        </w:rPr>
        <w:t>Microinvertebrates</w:t>
      </w:r>
      <w:r>
        <w:rPr>
          <w:rFonts w:eastAsiaTheme="majorEastAsia"/>
          <w:color w:val="auto"/>
          <w:szCs w:val="22"/>
        </w:rPr>
        <w:t>: There was</w:t>
      </w:r>
      <w:r w:rsidRPr="003E6126">
        <w:rPr>
          <w:rFonts w:eastAsiaTheme="majorEastAsia"/>
          <w:color w:val="auto"/>
          <w:szCs w:val="22"/>
        </w:rPr>
        <w:t xml:space="preserve"> </w:t>
      </w:r>
      <w:r>
        <w:rPr>
          <w:rFonts w:eastAsiaTheme="majorEastAsia"/>
          <w:color w:val="auto"/>
          <w:szCs w:val="22"/>
        </w:rPr>
        <w:t>a 24</w:t>
      </w:r>
      <w:r w:rsidRPr="003E6126">
        <w:rPr>
          <w:rFonts w:eastAsiaTheme="majorEastAsia"/>
          <w:color w:val="auto"/>
          <w:szCs w:val="22"/>
        </w:rPr>
        <w:t xml:space="preserve">% </w:t>
      </w:r>
      <w:r>
        <w:rPr>
          <w:rFonts w:eastAsiaTheme="majorEastAsia"/>
          <w:color w:val="auto"/>
          <w:szCs w:val="22"/>
        </w:rPr>
        <w:t xml:space="preserve">(modelled) </w:t>
      </w:r>
      <w:r w:rsidRPr="003E6126">
        <w:rPr>
          <w:rFonts w:eastAsiaTheme="majorEastAsia"/>
          <w:color w:val="auto"/>
          <w:szCs w:val="22"/>
        </w:rPr>
        <w:t xml:space="preserve">increase in microinvertebrate density and </w:t>
      </w:r>
      <w:r>
        <w:rPr>
          <w:rFonts w:eastAsiaTheme="majorEastAsia"/>
          <w:color w:val="auto"/>
          <w:szCs w:val="22"/>
        </w:rPr>
        <w:t>9</w:t>
      </w:r>
      <w:r w:rsidRPr="003E6126">
        <w:rPr>
          <w:rFonts w:eastAsiaTheme="majorEastAsia"/>
          <w:color w:val="auto"/>
          <w:szCs w:val="22"/>
        </w:rPr>
        <w:t>% increase in taxa richness</w:t>
      </w:r>
      <w:r>
        <w:rPr>
          <w:rFonts w:eastAsiaTheme="majorEastAsia"/>
          <w:color w:val="auto"/>
          <w:szCs w:val="22"/>
        </w:rPr>
        <w:t xml:space="preserve"> due to Commonwealth environmental water delivery</w:t>
      </w:r>
      <w:r w:rsidRPr="003E6126">
        <w:rPr>
          <w:rFonts w:eastAsiaTheme="majorEastAsia"/>
          <w:color w:val="auto"/>
          <w:szCs w:val="22"/>
        </w:rPr>
        <w:t xml:space="preserve">. </w:t>
      </w:r>
      <w:r>
        <w:rPr>
          <w:rFonts w:eastAsiaTheme="majorEastAsia"/>
          <w:color w:val="auto"/>
          <w:szCs w:val="22"/>
        </w:rPr>
        <w:t>Further, th</w:t>
      </w:r>
      <w:r w:rsidRPr="003E6126">
        <w:rPr>
          <w:rFonts w:eastAsiaTheme="majorEastAsia"/>
          <w:color w:val="auto"/>
          <w:szCs w:val="22"/>
        </w:rPr>
        <w:t xml:space="preserve">e density of taxa transported downstream </w:t>
      </w:r>
      <w:r>
        <w:rPr>
          <w:rFonts w:eastAsiaTheme="majorEastAsia"/>
          <w:color w:val="auto"/>
          <w:szCs w:val="22"/>
        </w:rPr>
        <w:t xml:space="preserve">to the LMR increased by 40%, supported by </w:t>
      </w:r>
      <w:r w:rsidRPr="003E6126">
        <w:rPr>
          <w:rFonts w:eastAsiaTheme="majorEastAsia"/>
          <w:color w:val="auto"/>
          <w:szCs w:val="22"/>
        </w:rPr>
        <w:t>improved longitudinal connectivity</w:t>
      </w:r>
      <w:r w:rsidR="00713981">
        <w:rPr>
          <w:rFonts w:eastAsiaTheme="majorEastAsia"/>
          <w:color w:val="auto"/>
          <w:szCs w:val="22"/>
        </w:rPr>
        <w:t xml:space="preserve">. </w:t>
      </w:r>
      <w:r w:rsidR="00713981" w:rsidRPr="004816BE">
        <w:rPr>
          <w:rFonts w:eastAsiaTheme="majorEastAsia"/>
          <w:color w:val="auto"/>
          <w:szCs w:val="22"/>
        </w:rPr>
        <w:t xml:space="preserve">However, </w:t>
      </w:r>
      <w:r w:rsidR="00713981">
        <w:rPr>
          <w:rFonts w:eastAsiaTheme="majorEastAsia"/>
          <w:color w:val="auto"/>
          <w:szCs w:val="22"/>
        </w:rPr>
        <w:t xml:space="preserve">the water delivery resulted in </w:t>
      </w:r>
      <w:r w:rsidR="00713981" w:rsidRPr="004816BE">
        <w:rPr>
          <w:rFonts w:eastAsiaTheme="majorEastAsia"/>
          <w:color w:val="auto"/>
          <w:szCs w:val="22"/>
        </w:rPr>
        <w:t xml:space="preserve">density decreases </w:t>
      </w:r>
      <w:r w:rsidR="00713981">
        <w:rPr>
          <w:rFonts w:eastAsiaTheme="majorEastAsia"/>
          <w:color w:val="auto"/>
          <w:szCs w:val="22"/>
        </w:rPr>
        <w:t>for</w:t>
      </w:r>
      <w:r w:rsidR="00713981" w:rsidRPr="004816BE">
        <w:rPr>
          <w:rFonts w:eastAsiaTheme="majorEastAsia"/>
          <w:color w:val="auto"/>
          <w:szCs w:val="22"/>
        </w:rPr>
        <w:t xml:space="preserve"> floodplain/littoral habitat associated taxa (</w:t>
      </w:r>
      <w:r w:rsidR="00713981">
        <w:rPr>
          <w:rFonts w:eastAsiaTheme="majorEastAsia"/>
          <w:color w:val="auto"/>
          <w:szCs w:val="22"/>
        </w:rPr>
        <w:t>27</w:t>
      </w:r>
      <w:r w:rsidR="00713981" w:rsidRPr="004816BE">
        <w:rPr>
          <w:rFonts w:eastAsiaTheme="majorEastAsia"/>
          <w:color w:val="auto"/>
          <w:szCs w:val="22"/>
        </w:rPr>
        <w:t>%) and preferred prey species (4</w:t>
      </w:r>
      <w:r w:rsidR="00713981">
        <w:rPr>
          <w:rFonts w:eastAsiaTheme="majorEastAsia"/>
          <w:color w:val="auto"/>
          <w:szCs w:val="22"/>
        </w:rPr>
        <w:t>0</w:t>
      </w:r>
      <w:r w:rsidR="00713981" w:rsidRPr="004816BE">
        <w:rPr>
          <w:rFonts w:eastAsiaTheme="majorEastAsia"/>
          <w:color w:val="auto"/>
          <w:szCs w:val="22"/>
        </w:rPr>
        <w:t>%) of large-bodied native fish larvae</w:t>
      </w:r>
      <w:r w:rsidR="00713981">
        <w:rPr>
          <w:rFonts w:eastAsiaTheme="majorEastAsia"/>
          <w:color w:val="auto"/>
          <w:szCs w:val="22"/>
        </w:rPr>
        <w:t xml:space="preserve"> in this season. </w:t>
      </w:r>
    </w:p>
    <w:p w14:paraId="401290A4" w14:textId="424A8E4D" w:rsidR="00CF3DA2" w:rsidRDefault="00CF3DA2" w:rsidP="00CE0AA9">
      <w:pPr>
        <w:pStyle w:val="ListParagraph"/>
        <w:numPr>
          <w:ilvl w:val="0"/>
          <w:numId w:val="40"/>
        </w:numPr>
        <w:spacing w:line="266" w:lineRule="auto"/>
        <w:rPr>
          <w:szCs w:val="21"/>
          <w:lang w:eastAsia="en-AU"/>
        </w:rPr>
      </w:pPr>
      <w:r w:rsidRPr="00C10C75">
        <w:rPr>
          <w:b/>
          <w:bCs/>
          <w:szCs w:val="21"/>
          <w:lang w:eastAsia="en-AU"/>
        </w:rPr>
        <w:t>Flow-cued spawning fish</w:t>
      </w:r>
      <w:r w:rsidRPr="00C10C75">
        <w:rPr>
          <w:szCs w:val="21"/>
          <w:lang w:eastAsia="en-AU"/>
        </w:rPr>
        <w:t xml:space="preserve">: </w:t>
      </w:r>
      <w:r>
        <w:rPr>
          <w:szCs w:val="21"/>
          <w:lang w:eastAsia="en-AU"/>
        </w:rPr>
        <w:t>Substantial numbers of silver perch larvae were collected in the LMR during spring–summer. S</w:t>
      </w:r>
      <w:r w:rsidRPr="00C22084">
        <w:rPr>
          <w:szCs w:val="21"/>
          <w:lang w:eastAsia="en-AU"/>
        </w:rPr>
        <w:t xml:space="preserve">ilver perch </w:t>
      </w:r>
      <w:r>
        <w:rPr>
          <w:szCs w:val="21"/>
          <w:lang w:eastAsia="en-AU"/>
        </w:rPr>
        <w:t xml:space="preserve">and golden perch </w:t>
      </w:r>
      <w:r w:rsidRPr="00C22084">
        <w:rPr>
          <w:szCs w:val="21"/>
          <w:lang w:eastAsia="en-AU"/>
        </w:rPr>
        <w:t>spawning, and downstream larval drift</w:t>
      </w:r>
      <w:r>
        <w:rPr>
          <w:szCs w:val="21"/>
          <w:lang w:eastAsia="en-AU"/>
        </w:rPr>
        <w:t>,</w:t>
      </w:r>
      <w:r w:rsidRPr="00C22084">
        <w:rPr>
          <w:szCs w:val="21"/>
          <w:lang w:eastAsia="en-AU"/>
        </w:rPr>
        <w:t xml:space="preserve"> </w:t>
      </w:r>
      <w:r>
        <w:rPr>
          <w:szCs w:val="21"/>
          <w:lang w:eastAsia="en-AU"/>
        </w:rPr>
        <w:t xml:space="preserve">were </w:t>
      </w:r>
      <w:r w:rsidR="00A16ABC">
        <w:rPr>
          <w:szCs w:val="21"/>
          <w:lang w:eastAsia="en-AU"/>
        </w:rPr>
        <w:t xml:space="preserve">likely </w:t>
      </w:r>
      <w:r>
        <w:rPr>
          <w:szCs w:val="21"/>
          <w:lang w:eastAsia="en-AU"/>
        </w:rPr>
        <w:t xml:space="preserve">supported by environmental water delivery </w:t>
      </w:r>
      <w:r w:rsidRPr="00C22084">
        <w:rPr>
          <w:szCs w:val="21"/>
          <w:lang w:eastAsia="en-AU"/>
        </w:rPr>
        <w:t xml:space="preserve">in the </w:t>
      </w:r>
      <w:r w:rsidR="008D6911">
        <w:rPr>
          <w:szCs w:val="21"/>
          <w:lang w:eastAsia="en-AU"/>
        </w:rPr>
        <w:t>Murray River</w:t>
      </w:r>
      <w:r w:rsidR="00EA1B9C">
        <w:rPr>
          <w:szCs w:val="21"/>
          <w:lang w:eastAsia="en-AU"/>
        </w:rPr>
        <w:t xml:space="preserve"> between Lock 1 and Lock 11</w:t>
      </w:r>
      <w:r w:rsidR="00D921DF">
        <w:rPr>
          <w:szCs w:val="21"/>
          <w:lang w:eastAsia="en-AU"/>
        </w:rPr>
        <w:t xml:space="preserve"> (mid-</w:t>
      </w:r>
      <w:r w:rsidR="005C1F4F">
        <w:rPr>
          <w:szCs w:val="21"/>
          <w:lang w:eastAsia="en-AU"/>
        </w:rPr>
        <w:t>Murray</w:t>
      </w:r>
      <w:r w:rsidR="00D921DF">
        <w:rPr>
          <w:szCs w:val="21"/>
          <w:lang w:eastAsia="en-AU"/>
        </w:rPr>
        <w:t xml:space="preserve"> to the LMR)</w:t>
      </w:r>
      <w:r>
        <w:rPr>
          <w:szCs w:val="21"/>
          <w:lang w:eastAsia="en-AU"/>
        </w:rPr>
        <w:t xml:space="preserve">. However, </w:t>
      </w:r>
      <w:r w:rsidRPr="00C22084">
        <w:rPr>
          <w:szCs w:val="21"/>
          <w:lang w:eastAsia="en-AU"/>
        </w:rPr>
        <w:t xml:space="preserve">no </w:t>
      </w:r>
      <w:r w:rsidRPr="00012EC3">
        <w:rPr>
          <w:szCs w:val="21"/>
          <w:lang w:eastAsia="en-AU"/>
        </w:rPr>
        <w:t xml:space="preserve">young-of-year </w:t>
      </w:r>
      <w:r>
        <w:rPr>
          <w:szCs w:val="21"/>
          <w:lang w:eastAsia="en-AU"/>
        </w:rPr>
        <w:t>(</w:t>
      </w:r>
      <w:r w:rsidRPr="00C22084">
        <w:rPr>
          <w:szCs w:val="21"/>
          <w:lang w:eastAsia="en-AU"/>
        </w:rPr>
        <w:t>YOY</w:t>
      </w:r>
      <w:r>
        <w:rPr>
          <w:szCs w:val="21"/>
          <w:lang w:eastAsia="en-AU"/>
        </w:rPr>
        <w:t>, age 0+)</w:t>
      </w:r>
      <w:r w:rsidRPr="00C22084">
        <w:rPr>
          <w:szCs w:val="21"/>
          <w:lang w:eastAsia="en-AU"/>
        </w:rPr>
        <w:t xml:space="preserve"> </w:t>
      </w:r>
      <w:r>
        <w:rPr>
          <w:szCs w:val="21"/>
          <w:lang w:eastAsia="en-AU"/>
        </w:rPr>
        <w:t>of either species</w:t>
      </w:r>
      <w:r w:rsidRPr="00C22084">
        <w:rPr>
          <w:szCs w:val="21"/>
          <w:lang w:eastAsia="en-AU"/>
        </w:rPr>
        <w:t xml:space="preserve"> were detected in the LMR</w:t>
      </w:r>
      <w:r w:rsidRPr="00012EC3">
        <w:rPr>
          <w:szCs w:val="21"/>
          <w:lang w:eastAsia="en-AU"/>
        </w:rPr>
        <w:t xml:space="preserve"> </w:t>
      </w:r>
      <w:r>
        <w:rPr>
          <w:szCs w:val="21"/>
          <w:lang w:eastAsia="en-AU"/>
        </w:rPr>
        <w:t>during autumn 2021</w:t>
      </w:r>
      <w:r w:rsidRPr="00C22084">
        <w:rPr>
          <w:szCs w:val="21"/>
          <w:lang w:eastAsia="en-AU"/>
        </w:rPr>
        <w:t xml:space="preserve">, suggesting </w:t>
      </w:r>
      <w:r>
        <w:rPr>
          <w:szCs w:val="21"/>
          <w:lang w:eastAsia="en-AU"/>
        </w:rPr>
        <w:t xml:space="preserve">negligible </w:t>
      </w:r>
      <w:r w:rsidR="008A03A8">
        <w:rPr>
          <w:szCs w:val="21"/>
          <w:lang w:eastAsia="en-AU"/>
        </w:rPr>
        <w:t xml:space="preserve">or low-level </w:t>
      </w:r>
      <w:r w:rsidRPr="00C22084">
        <w:rPr>
          <w:szCs w:val="21"/>
          <w:lang w:eastAsia="en-AU"/>
        </w:rPr>
        <w:t>recruitment</w:t>
      </w:r>
      <w:r>
        <w:rPr>
          <w:szCs w:val="21"/>
          <w:lang w:eastAsia="en-AU"/>
        </w:rPr>
        <w:t>, although future sampling will strengthen the assessment</w:t>
      </w:r>
      <w:r w:rsidRPr="00C22084">
        <w:rPr>
          <w:szCs w:val="21"/>
          <w:lang w:eastAsia="en-AU"/>
        </w:rPr>
        <w:t xml:space="preserve">. </w:t>
      </w:r>
    </w:p>
    <w:p w14:paraId="2343A777" w14:textId="764C8737" w:rsidR="00CF3DA2" w:rsidRPr="00F0766A" w:rsidRDefault="00CF3DA2" w:rsidP="00CE0AA9">
      <w:pPr>
        <w:pStyle w:val="ListParagraph"/>
        <w:numPr>
          <w:ilvl w:val="0"/>
          <w:numId w:val="40"/>
        </w:numPr>
        <w:spacing w:line="266" w:lineRule="auto"/>
        <w:rPr>
          <w:szCs w:val="21"/>
          <w:lang w:eastAsia="en-AU"/>
        </w:rPr>
      </w:pPr>
      <w:r w:rsidRPr="00012EC3">
        <w:rPr>
          <w:b/>
          <w:bCs/>
          <w:szCs w:val="21"/>
          <w:lang w:eastAsia="en-AU"/>
        </w:rPr>
        <w:lastRenderedPageBreak/>
        <w:t>Murray cod recruitment</w:t>
      </w:r>
      <w:r w:rsidRPr="00012EC3">
        <w:rPr>
          <w:szCs w:val="21"/>
          <w:lang w:eastAsia="en-AU"/>
        </w:rPr>
        <w:t xml:space="preserve">: There was </w:t>
      </w:r>
      <w:r>
        <w:rPr>
          <w:szCs w:val="21"/>
          <w:lang w:eastAsia="en-AU"/>
        </w:rPr>
        <w:t xml:space="preserve">poor </w:t>
      </w:r>
      <w:r w:rsidRPr="00012EC3">
        <w:rPr>
          <w:szCs w:val="21"/>
          <w:lang w:eastAsia="en-AU"/>
        </w:rPr>
        <w:t xml:space="preserve">recruitment of Murray cod </w:t>
      </w:r>
      <w:r>
        <w:rPr>
          <w:szCs w:val="21"/>
          <w:lang w:eastAsia="en-AU"/>
        </w:rPr>
        <w:t xml:space="preserve">in the LMR. During this year, </w:t>
      </w:r>
      <w:r w:rsidRPr="00F0766A">
        <w:rPr>
          <w:szCs w:val="21"/>
          <w:lang w:eastAsia="en-AU"/>
        </w:rPr>
        <w:t xml:space="preserve">enhanced lotic conditions occurred from late November to mid-December, after the key spawning period. </w:t>
      </w:r>
      <w:r w:rsidR="00E0142F" w:rsidRPr="09875D2A">
        <w:rPr>
          <w:lang w:eastAsia="en-AU"/>
        </w:rPr>
        <w:t>While the</w:t>
      </w:r>
      <w:r w:rsidR="00F529CD">
        <w:rPr>
          <w:lang w:eastAsia="en-AU"/>
        </w:rPr>
        <w:t xml:space="preserve"> increase of river experiencing</w:t>
      </w:r>
      <w:r w:rsidR="00E0142F" w:rsidRPr="09875D2A">
        <w:rPr>
          <w:lang w:eastAsia="en-AU"/>
        </w:rPr>
        <w:t xml:space="preserve"> lotic</w:t>
      </w:r>
      <w:r w:rsidR="00F529CD">
        <w:rPr>
          <w:lang w:eastAsia="en-AU"/>
        </w:rPr>
        <w:t xml:space="preserve"> (velocities &gt; 0.3 m/s) </w:t>
      </w:r>
      <w:r w:rsidR="00E0142F" w:rsidRPr="09875D2A">
        <w:rPr>
          <w:lang w:eastAsia="en-AU"/>
        </w:rPr>
        <w:t>conditions were unlikely to benefit spawning as indicated by low numbers of larvae collected in November 2020, the increase in favourable (lotic) habitat during the larval/juvenile</w:t>
      </w:r>
      <w:r w:rsidRPr="00F0766A">
        <w:rPr>
          <w:szCs w:val="21"/>
          <w:lang w:eastAsia="en-AU"/>
        </w:rPr>
        <w:t xml:space="preserve"> period may have helped support the survival and body condition of new recruits.</w:t>
      </w:r>
    </w:p>
    <w:p w14:paraId="757C496F" w14:textId="77777777" w:rsidR="00CF3DA2" w:rsidRPr="00721167" w:rsidRDefault="00CF3DA2" w:rsidP="00CE0AA9">
      <w:pPr>
        <w:pStyle w:val="ListParagraph"/>
        <w:numPr>
          <w:ilvl w:val="0"/>
          <w:numId w:val="40"/>
        </w:numPr>
        <w:spacing w:line="266" w:lineRule="auto"/>
        <w:rPr>
          <w:szCs w:val="21"/>
          <w:lang w:eastAsia="en-AU"/>
        </w:rPr>
      </w:pPr>
      <w:r w:rsidRPr="001C7CC1">
        <w:rPr>
          <w:b/>
          <w:bCs/>
          <w:szCs w:val="21"/>
          <w:lang w:eastAsia="en-AU"/>
        </w:rPr>
        <w:t>Fish assemblage</w:t>
      </w:r>
      <w:r>
        <w:rPr>
          <w:szCs w:val="21"/>
          <w:lang w:eastAsia="en-AU"/>
        </w:rPr>
        <w:t xml:space="preserve">: </w:t>
      </w:r>
      <w:r w:rsidRPr="00721167">
        <w:rPr>
          <w:szCs w:val="21"/>
          <w:lang w:eastAsia="en-AU"/>
        </w:rPr>
        <w:t xml:space="preserve">With low in-channel flows (&lt;18,000 ML/d) </w:t>
      </w:r>
      <w:r>
        <w:rPr>
          <w:szCs w:val="21"/>
          <w:lang w:eastAsia="en-AU"/>
        </w:rPr>
        <w:t xml:space="preserve">in the LMR </w:t>
      </w:r>
      <w:r w:rsidRPr="00721167">
        <w:rPr>
          <w:szCs w:val="21"/>
          <w:lang w:eastAsia="en-AU"/>
        </w:rPr>
        <w:t xml:space="preserve">since </w:t>
      </w:r>
      <w:r>
        <w:rPr>
          <w:szCs w:val="21"/>
          <w:lang w:eastAsia="en-AU"/>
        </w:rPr>
        <w:t>the 2016-17 flood</w:t>
      </w:r>
      <w:r w:rsidRPr="00721167">
        <w:rPr>
          <w:szCs w:val="21"/>
          <w:lang w:eastAsia="en-AU"/>
        </w:rPr>
        <w:t>, the current (202</w:t>
      </w:r>
      <w:r>
        <w:rPr>
          <w:szCs w:val="21"/>
          <w:lang w:eastAsia="en-AU"/>
        </w:rPr>
        <w:t>1</w:t>
      </w:r>
      <w:r w:rsidRPr="00721167">
        <w:rPr>
          <w:szCs w:val="21"/>
          <w:lang w:eastAsia="en-AU"/>
        </w:rPr>
        <w:t>) fish assemblage in the main channel represents one typical of low flows, with high abundances of small-bodied species, and a lack of recruitment of native, large-bodied flow-cued spawners.</w:t>
      </w:r>
      <w:r w:rsidRPr="00FE22AA">
        <w:t xml:space="preserve"> </w:t>
      </w:r>
      <w:r w:rsidRPr="00FE22AA">
        <w:rPr>
          <w:szCs w:val="21"/>
          <w:lang w:eastAsia="en-AU"/>
        </w:rPr>
        <w:t>However, there was an increase in abundance of Murray cod</w:t>
      </w:r>
      <w:r>
        <w:rPr>
          <w:szCs w:val="21"/>
          <w:lang w:eastAsia="en-AU"/>
        </w:rPr>
        <w:t>,</w:t>
      </w:r>
      <w:r w:rsidRPr="00FE22AA">
        <w:rPr>
          <w:szCs w:val="21"/>
          <w:lang w:eastAsia="en-AU"/>
        </w:rPr>
        <w:t xml:space="preserve"> </w:t>
      </w:r>
      <w:bookmarkStart w:id="17" w:name="_Hlk97070369"/>
      <w:r w:rsidRPr="00FE22AA">
        <w:rPr>
          <w:szCs w:val="21"/>
          <w:lang w:eastAsia="en-AU"/>
        </w:rPr>
        <w:t xml:space="preserve">mainly driven by the </w:t>
      </w:r>
      <w:r>
        <w:rPr>
          <w:szCs w:val="21"/>
          <w:lang w:eastAsia="en-AU"/>
        </w:rPr>
        <w:t xml:space="preserve">survival of fish, now age 1+, from the </w:t>
      </w:r>
      <w:r w:rsidRPr="00FE22AA">
        <w:rPr>
          <w:szCs w:val="21"/>
          <w:lang w:eastAsia="en-AU"/>
        </w:rPr>
        <w:t xml:space="preserve">2019-20 cohort.  </w:t>
      </w:r>
      <w:bookmarkEnd w:id="17"/>
    </w:p>
    <w:p w14:paraId="3C1A12EC" w14:textId="6A36F147" w:rsidR="00CF3DA2" w:rsidRPr="00D02D3C" w:rsidRDefault="00CF3DA2" w:rsidP="00CE0AA9">
      <w:pPr>
        <w:pStyle w:val="ListParagraph"/>
        <w:numPr>
          <w:ilvl w:val="0"/>
          <w:numId w:val="40"/>
        </w:numPr>
        <w:spacing w:line="266" w:lineRule="auto"/>
        <w:rPr>
          <w:szCs w:val="21"/>
          <w:lang w:eastAsia="en-AU"/>
        </w:rPr>
      </w:pPr>
      <w:r w:rsidRPr="001C7CC1">
        <w:rPr>
          <w:rFonts w:eastAsiaTheme="majorEastAsia"/>
          <w:b/>
          <w:bCs/>
          <w:color w:val="auto"/>
          <w:szCs w:val="22"/>
        </w:rPr>
        <w:t>Barrage flows</w:t>
      </w:r>
      <w:r w:rsidRPr="00D02D3C">
        <w:rPr>
          <w:rFonts w:eastAsiaTheme="majorEastAsia"/>
          <w:color w:val="auto"/>
          <w:szCs w:val="22"/>
        </w:rPr>
        <w:t>: Commonwealth environmental water</w:t>
      </w:r>
      <w:r>
        <w:rPr>
          <w:rFonts w:eastAsiaTheme="majorEastAsia"/>
          <w:color w:val="auto"/>
          <w:szCs w:val="22"/>
        </w:rPr>
        <w:t xml:space="preserve"> supported continuous </w:t>
      </w:r>
      <w:r w:rsidRPr="00D02D3C">
        <w:rPr>
          <w:rFonts w:eastAsiaTheme="majorEastAsia"/>
          <w:color w:val="auto"/>
          <w:szCs w:val="22"/>
        </w:rPr>
        <w:t>barrage flows (including for fishway operations)</w:t>
      </w:r>
      <w:r>
        <w:rPr>
          <w:rFonts w:eastAsiaTheme="majorEastAsia"/>
          <w:color w:val="auto"/>
          <w:szCs w:val="22"/>
        </w:rPr>
        <w:t xml:space="preserve">, which </w:t>
      </w:r>
      <w:r w:rsidR="00713981">
        <w:rPr>
          <w:rFonts w:eastAsiaTheme="majorEastAsia"/>
          <w:color w:val="auto"/>
          <w:szCs w:val="22"/>
        </w:rPr>
        <w:t xml:space="preserve">comprised 65% </w:t>
      </w:r>
      <w:r>
        <w:rPr>
          <w:rFonts w:eastAsiaTheme="majorEastAsia"/>
          <w:color w:val="auto"/>
          <w:szCs w:val="22"/>
        </w:rPr>
        <w:t>of the total volume in</w:t>
      </w:r>
      <w:r w:rsidRPr="00D02D3C">
        <w:rPr>
          <w:rFonts w:eastAsiaTheme="majorEastAsia"/>
          <w:color w:val="auto"/>
          <w:szCs w:val="22"/>
        </w:rPr>
        <w:t xml:space="preserve"> this year. </w:t>
      </w:r>
    </w:p>
    <w:p w14:paraId="4F54BB47" w14:textId="10CC10FC" w:rsidR="00CF3DA2" w:rsidRDefault="00CF3DA2" w:rsidP="00CE0AA9">
      <w:pPr>
        <w:pStyle w:val="ListParagraph"/>
        <w:numPr>
          <w:ilvl w:val="0"/>
          <w:numId w:val="40"/>
        </w:numPr>
        <w:spacing w:line="266" w:lineRule="auto"/>
        <w:rPr>
          <w:rFonts w:eastAsiaTheme="majorEastAsia"/>
          <w:color w:val="auto"/>
          <w:szCs w:val="22"/>
        </w:rPr>
      </w:pPr>
      <w:r w:rsidRPr="001C7CC1">
        <w:rPr>
          <w:rFonts w:eastAsiaTheme="majorEastAsia"/>
          <w:b/>
          <w:bCs/>
          <w:color w:val="auto"/>
          <w:szCs w:val="22"/>
        </w:rPr>
        <w:t>Salt export and reducing import</w:t>
      </w:r>
      <w:r>
        <w:rPr>
          <w:rFonts w:eastAsiaTheme="majorEastAsia"/>
          <w:color w:val="auto"/>
          <w:szCs w:val="22"/>
        </w:rPr>
        <w:t>: Commonwealth environmental water</w:t>
      </w:r>
      <w:r w:rsidRPr="00FC25E9">
        <w:rPr>
          <w:rFonts w:eastAsiaTheme="majorEastAsia"/>
          <w:color w:val="auto"/>
          <w:szCs w:val="22"/>
        </w:rPr>
        <w:t xml:space="preserve"> substantially increased </w:t>
      </w:r>
      <w:r>
        <w:rPr>
          <w:rFonts w:eastAsiaTheme="majorEastAsia"/>
          <w:color w:val="auto"/>
          <w:szCs w:val="22"/>
        </w:rPr>
        <w:t xml:space="preserve">(modelled) </w:t>
      </w:r>
      <w:r w:rsidRPr="00FC25E9">
        <w:rPr>
          <w:rFonts w:eastAsiaTheme="majorEastAsia"/>
          <w:color w:val="auto"/>
          <w:szCs w:val="22"/>
        </w:rPr>
        <w:t>salt export out of the Basin</w:t>
      </w:r>
      <w:r>
        <w:rPr>
          <w:rFonts w:eastAsiaTheme="majorEastAsia"/>
          <w:color w:val="auto"/>
          <w:szCs w:val="22"/>
        </w:rPr>
        <w:t xml:space="preserve"> by ~1.1 million tonnes and</w:t>
      </w:r>
      <w:r w:rsidRPr="00FC25E9">
        <w:rPr>
          <w:rFonts w:eastAsiaTheme="majorEastAsia"/>
          <w:color w:val="auto"/>
          <w:szCs w:val="22"/>
        </w:rPr>
        <w:t xml:space="preserve"> reduced salt import into the Coorong</w:t>
      </w:r>
      <w:r>
        <w:rPr>
          <w:rFonts w:eastAsiaTheme="majorEastAsia"/>
          <w:color w:val="auto"/>
          <w:szCs w:val="22"/>
        </w:rPr>
        <w:t xml:space="preserve"> estuary by ~4.2 million tonnes. S</w:t>
      </w:r>
      <w:r w:rsidRPr="008B0F3D">
        <w:rPr>
          <w:rFonts w:eastAsiaTheme="majorEastAsia"/>
          <w:color w:val="auto"/>
          <w:szCs w:val="22"/>
        </w:rPr>
        <w:t xml:space="preserve">alt flux into the North and South lagoons </w:t>
      </w:r>
      <w:r>
        <w:rPr>
          <w:rFonts w:eastAsiaTheme="majorEastAsia"/>
          <w:color w:val="auto"/>
          <w:szCs w:val="22"/>
        </w:rPr>
        <w:t xml:space="preserve">was also reduced </w:t>
      </w:r>
      <w:r w:rsidRPr="008B0F3D">
        <w:rPr>
          <w:rFonts w:eastAsiaTheme="majorEastAsia"/>
          <w:color w:val="auto"/>
          <w:szCs w:val="22"/>
        </w:rPr>
        <w:t xml:space="preserve">by </w:t>
      </w:r>
      <w:r w:rsidR="00713981" w:rsidRPr="008B0F3D">
        <w:rPr>
          <w:rFonts w:eastAsiaTheme="majorEastAsia"/>
          <w:color w:val="auto"/>
          <w:szCs w:val="22"/>
        </w:rPr>
        <w:t>~</w:t>
      </w:r>
      <w:r w:rsidR="00713981">
        <w:rPr>
          <w:rFonts w:eastAsiaTheme="majorEastAsia"/>
          <w:color w:val="auto"/>
          <w:szCs w:val="22"/>
        </w:rPr>
        <w:t>3.6</w:t>
      </w:r>
      <w:r w:rsidR="00713981" w:rsidRPr="008B0F3D">
        <w:rPr>
          <w:rFonts w:eastAsiaTheme="majorEastAsia"/>
          <w:color w:val="auto"/>
          <w:szCs w:val="22"/>
        </w:rPr>
        <w:t xml:space="preserve"> million</w:t>
      </w:r>
      <w:r w:rsidRPr="008B0F3D">
        <w:rPr>
          <w:rFonts w:eastAsiaTheme="majorEastAsia"/>
          <w:color w:val="auto"/>
          <w:szCs w:val="22"/>
        </w:rPr>
        <w:t xml:space="preserve"> tonnes.</w:t>
      </w:r>
      <w:r>
        <w:rPr>
          <w:rFonts w:eastAsiaTheme="majorEastAsia"/>
          <w:color w:val="auto"/>
          <w:szCs w:val="22"/>
        </w:rPr>
        <w:t xml:space="preserve"> These led to </w:t>
      </w:r>
      <w:r w:rsidRPr="00FC25E9">
        <w:rPr>
          <w:rFonts w:eastAsiaTheme="majorEastAsia"/>
          <w:color w:val="auto"/>
          <w:szCs w:val="22"/>
        </w:rPr>
        <w:t xml:space="preserve">reduced salinity levels in the Coorong, </w:t>
      </w:r>
      <w:r>
        <w:rPr>
          <w:rFonts w:eastAsiaTheme="majorEastAsia"/>
          <w:color w:val="auto"/>
          <w:szCs w:val="22"/>
        </w:rPr>
        <w:t xml:space="preserve">which is crucial for maintaining ecosystem health and species diversity. </w:t>
      </w:r>
    </w:p>
    <w:p w14:paraId="00A180F1" w14:textId="595AE796" w:rsidR="00CF3DA2" w:rsidRPr="00566F81" w:rsidRDefault="00CF3DA2" w:rsidP="00CE0AA9">
      <w:pPr>
        <w:pStyle w:val="ListParagraph"/>
        <w:numPr>
          <w:ilvl w:val="0"/>
          <w:numId w:val="40"/>
        </w:numPr>
        <w:spacing w:line="266" w:lineRule="auto"/>
        <w:rPr>
          <w:rFonts w:eastAsiaTheme="majorEastAsia"/>
          <w:color w:val="auto"/>
          <w:szCs w:val="22"/>
        </w:rPr>
      </w:pPr>
      <w:r w:rsidRPr="00566F81">
        <w:rPr>
          <w:rFonts w:eastAsiaTheme="majorEastAsia"/>
          <w:b/>
          <w:bCs/>
          <w:i/>
          <w:iCs/>
          <w:color w:val="auto"/>
          <w:szCs w:val="22"/>
        </w:rPr>
        <w:t>Ruppia</w:t>
      </w:r>
      <w:r w:rsidRPr="00566F81">
        <w:rPr>
          <w:rFonts w:eastAsiaTheme="majorEastAsia"/>
          <w:b/>
          <w:bCs/>
          <w:color w:val="auto"/>
          <w:szCs w:val="22"/>
        </w:rPr>
        <w:t xml:space="preserve"> and fish habitats</w:t>
      </w:r>
      <w:r w:rsidRPr="00566F81">
        <w:rPr>
          <w:rFonts w:eastAsiaTheme="majorEastAsia"/>
          <w:color w:val="auto"/>
          <w:szCs w:val="22"/>
        </w:rPr>
        <w:t xml:space="preserve">: Without Commonwealth environmental water delivery </w:t>
      </w:r>
      <w:r w:rsidR="00221987">
        <w:rPr>
          <w:rFonts w:eastAsiaTheme="majorEastAsia"/>
          <w:color w:val="auto"/>
          <w:szCs w:val="22"/>
        </w:rPr>
        <w:t xml:space="preserve">in </w:t>
      </w:r>
      <w:r w:rsidR="00713981" w:rsidRPr="00566F81">
        <w:rPr>
          <w:rFonts w:eastAsiaTheme="majorEastAsia"/>
          <w:color w:val="auto"/>
          <w:szCs w:val="22"/>
        </w:rPr>
        <w:t>2020-21</w:t>
      </w:r>
      <w:r w:rsidRPr="00566F81">
        <w:rPr>
          <w:rFonts w:eastAsiaTheme="majorEastAsia"/>
          <w:color w:val="auto"/>
          <w:szCs w:val="22"/>
        </w:rPr>
        <w:t xml:space="preserve">, the suitable habitat </w:t>
      </w:r>
      <w:r w:rsidR="00713981" w:rsidRPr="00566F81">
        <w:rPr>
          <w:rFonts w:eastAsiaTheme="majorEastAsia"/>
          <w:color w:val="auto"/>
          <w:szCs w:val="22"/>
        </w:rPr>
        <w:t>area for mulloway</w:t>
      </w:r>
      <w:r w:rsidRPr="00566F81">
        <w:rPr>
          <w:rFonts w:eastAsiaTheme="majorEastAsia"/>
          <w:color w:val="auto"/>
          <w:szCs w:val="22"/>
        </w:rPr>
        <w:t xml:space="preserve">, congolli and smallmouth hardyhead would have decreased by </w:t>
      </w:r>
      <w:r w:rsidR="00221987">
        <w:rPr>
          <w:rFonts w:eastAsiaTheme="majorEastAsia"/>
          <w:color w:val="auto"/>
          <w:szCs w:val="22"/>
        </w:rPr>
        <w:t>8%, 7% and 6% (modelled), respectively</w:t>
      </w:r>
      <w:r w:rsidR="001012BF">
        <w:rPr>
          <w:rFonts w:eastAsiaTheme="majorEastAsia"/>
          <w:color w:val="auto"/>
          <w:szCs w:val="22"/>
        </w:rPr>
        <w:t xml:space="preserve">; whereas there was little effect on </w:t>
      </w:r>
      <w:r w:rsidR="001012BF" w:rsidRPr="001012BF">
        <w:rPr>
          <w:rFonts w:eastAsiaTheme="majorEastAsia"/>
          <w:i/>
          <w:iCs/>
          <w:color w:val="auto"/>
          <w:szCs w:val="22"/>
        </w:rPr>
        <w:t>Ruppia</w:t>
      </w:r>
      <w:r w:rsidR="001012BF">
        <w:rPr>
          <w:rFonts w:eastAsiaTheme="majorEastAsia"/>
          <w:color w:val="auto"/>
          <w:szCs w:val="22"/>
        </w:rPr>
        <w:t xml:space="preserve"> habitat</w:t>
      </w:r>
      <w:r w:rsidR="00221987">
        <w:rPr>
          <w:rFonts w:eastAsiaTheme="majorEastAsia"/>
          <w:color w:val="auto"/>
          <w:szCs w:val="22"/>
        </w:rPr>
        <w:t>.</w:t>
      </w:r>
      <w:r w:rsidRPr="00566F81">
        <w:rPr>
          <w:rFonts w:eastAsiaTheme="majorEastAsia"/>
          <w:color w:val="auto"/>
          <w:szCs w:val="22"/>
        </w:rPr>
        <w:t xml:space="preserve"> </w:t>
      </w:r>
      <w:r w:rsidR="001012BF">
        <w:rPr>
          <w:rFonts w:eastAsiaTheme="majorEastAsia"/>
          <w:color w:val="auto"/>
          <w:szCs w:val="22"/>
        </w:rPr>
        <w:t>However</w:t>
      </w:r>
      <w:r w:rsidRPr="00566F81">
        <w:rPr>
          <w:rFonts w:eastAsiaTheme="majorEastAsia"/>
          <w:color w:val="auto"/>
          <w:szCs w:val="22"/>
        </w:rPr>
        <w:t xml:space="preserve">, the water delivery </w:t>
      </w:r>
      <w:r w:rsidR="001012BF">
        <w:rPr>
          <w:rFonts w:eastAsiaTheme="majorEastAsia"/>
          <w:color w:val="auto"/>
          <w:szCs w:val="22"/>
        </w:rPr>
        <w:t>over four years (2017-18 to 2020-21)</w:t>
      </w:r>
      <w:r w:rsidRPr="00566F81">
        <w:rPr>
          <w:rFonts w:eastAsiaTheme="majorEastAsia"/>
          <w:color w:val="auto"/>
          <w:szCs w:val="22"/>
        </w:rPr>
        <w:t xml:space="preserve"> led to a 70% (modelled) increase in the suitable habitat</w:t>
      </w:r>
      <w:r w:rsidR="0080280F">
        <w:rPr>
          <w:rFonts w:eastAsiaTheme="majorEastAsia"/>
          <w:color w:val="auto"/>
          <w:szCs w:val="22"/>
        </w:rPr>
        <w:t xml:space="preserve"> area</w:t>
      </w:r>
      <w:r w:rsidRPr="00566F81">
        <w:rPr>
          <w:rFonts w:eastAsiaTheme="majorEastAsia"/>
          <w:color w:val="auto"/>
          <w:szCs w:val="22"/>
        </w:rPr>
        <w:t xml:space="preserve"> for </w:t>
      </w:r>
      <w:r w:rsidRPr="00566F81">
        <w:rPr>
          <w:rFonts w:eastAsiaTheme="majorEastAsia"/>
          <w:i/>
          <w:iCs/>
          <w:color w:val="auto"/>
          <w:szCs w:val="22"/>
        </w:rPr>
        <w:t>Ruppia</w:t>
      </w:r>
      <w:r w:rsidRPr="00566F81">
        <w:rPr>
          <w:rFonts w:eastAsiaTheme="majorEastAsia"/>
          <w:color w:val="auto"/>
          <w:szCs w:val="22"/>
        </w:rPr>
        <w:t xml:space="preserve"> sexual reproduction and life-cycle completion in the Coorong. </w:t>
      </w:r>
    </w:p>
    <w:p w14:paraId="4EDC517A" w14:textId="77777777" w:rsidR="00CF3DA2" w:rsidRPr="00C757C7" w:rsidRDefault="00CF3DA2" w:rsidP="00CE0AA9">
      <w:pPr>
        <w:spacing w:line="266" w:lineRule="auto"/>
        <w:rPr>
          <w:b/>
          <w:color w:val="44546A" w:themeColor="text2"/>
        </w:rPr>
      </w:pPr>
      <w:r w:rsidRPr="000160B0">
        <w:rPr>
          <w:b/>
          <w:color w:val="44546A" w:themeColor="text2"/>
        </w:rPr>
        <w:t>Key learnings and management implications</w:t>
      </w:r>
    </w:p>
    <w:p w14:paraId="752E8A70" w14:textId="1A5C99C8" w:rsidR="00CF3DA2" w:rsidRPr="0029627B" w:rsidRDefault="00CF3DA2" w:rsidP="00CE0AA9">
      <w:pPr>
        <w:pStyle w:val="ListParagraph"/>
        <w:numPr>
          <w:ilvl w:val="0"/>
          <w:numId w:val="39"/>
        </w:numPr>
        <w:spacing w:line="266" w:lineRule="auto"/>
        <w:rPr>
          <w:szCs w:val="21"/>
        </w:rPr>
      </w:pPr>
      <w:r>
        <w:rPr>
          <w:bCs/>
          <w:szCs w:val="21"/>
        </w:rPr>
        <w:t>In</w:t>
      </w:r>
      <w:r w:rsidRPr="0029627B">
        <w:rPr>
          <w:szCs w:val="21"/>
        </w:rPr>
        <w:t xml:space="preserve"> the highly regulated LMR</w:t>
      </w:r>
      <w:r>
        <w:rPr>
          <w:szCs w:val="21"/>
        </w:rPr>
        <w:t>, e</w:t>
      </w:r>
      <w:r w:rsidRPr="0029627B">
        <w:rPr>
          <w:szCs w:val="21"/>
        </w:rPr>
        <w:t xml:space="preserve">nvironmental water </w:t>
      </w:r>
      <w:r>
        <w:rPr>
          <w:szCs w:val="21"/>
        </w:rPr>
        <w:t xml:space="preserve">can be used </w:t>
      </w:r>
      <w:r w:rsidRPr="0029627B">
        <w:rPr>
          <w:szCs w:val="21"/>
        </w:rPr>
        <w:t xml:space="preserve">to </w:t>
      </w:r>
      <w:r>
        <w:rPr>
          <w:szCs w:val="21"/>
        </w:rPr>
        <w:t xml:space="preserve">help </w:t>
      </w:r>
      <w:r w:rsidRPr="0029627B">
        <w:rPr>
          <w:szCs w:val="21"/>
        </w:rPr>
        <w:t xml:space="preserve">reinstate key features of the natural hydrograph to support hydrodynamic and ecosystem restoration; for example, in-channel spring–early summer flow pulses </w:t>
      </w:r>
      <w:r w:rsidR="00C31FD7">
        <w:rPr>
          <w:szCs w:val="21"/>
        </w:rPr>
        <w:t>up to 18</w:t>
      </w:r>
      <w:r w:rsidRPr="0029627B">
        <w:rPr>
          <w:szCs w:val="21"/>
        </w:rPr>
        <w:t>,000 ML/d</w:t>
      </w:r>
      <w:r>
        <w:rPr>
          <w:szCs w:val="21"/>
        </w:rPr>
        <w:t xml:space="preserve"> have been reinstated during relatively dry years since 2014-15.</w:t>
      </w:r>
      <w:r w:rsidRPr="0029627B">
        <w:rPr>
          <w:szCs w:val="21"/>
        </w:rPr>
        <w:t xml:space="preserve">  </w:t>
      </w:r>
    </w:p>
    <w:p w14:paraId="1581DD2E" w14:textId="0C8952E4" w:rsidR="00CF3DA2" w:rsidRPr="008F2EF2" w:rsidRDefault="00CF3DA2" w:rsidP="00CE0AA9">
      <w:pPr>
        <w:pStyle w:val="ListParagraph"/>
        <w:numPr>
          <w:ilvl w:val="0"/>
          <w:numId w:val="39"/>
        </w:numPr>
        <w:spacing w:line="266" w:lineRule="auto"/>
        <w:rPr>
          <w:szCs w:val="21"/>
        </w:rPr>
      </w:pPr>
      <w:r w:rsidRPr="00532576">
        <w:rPr>
          <w:szCs w:val="21"/>
        </w:rPr>
        <w:t xml:space="preserve">It is increasingly evident that </w:t>
      </w:r>
      <w:r w:rsidRPr="006475AC">
        <w:rPr>
          <w:szCs w:val="21"/>
        </w:rPr>
        <w:t>under regulated conditions</w:t>
      </w:r>
      <w:r>
        <w:rPr>
          <w:szCs w:val="21"/>
        </w:rPr>
        <w:t>,</w:t>
      </w:r>
      <w:r w:rsidRPr="006475AC">
        <w:rPr>
          <w:szCs w:val="21"/>
        </w:rPr>
        <w:t xml:space="preserve"> </w:t>
      </w:r>
      <w:r w:rsidRPr="00532576">
        <w:rPr>
          <w:szCs w:val="21"/>
        </w:rPr>
        <w:t>reaching and sustaining flows &gt;20,000 ML/d in the LMR is</w:t>
      </w:r>
      <w:r>
        <w:rPr>
          <w:szCs w:val="21"/>
        </w:rPr>
        <w:t xml:space="preserve"> </w:t>
      </w:r>
      <w:r w:rsidRPr="00532576">
        <w:rPr>
          <w:szCs w:val="21"/>
        </w:rPr>
        <w:t>challenging with existing volumes of environmental water and delivery constraints</w:t>
      </w:r>
      <w:r>
        <w:rPr>
          <w:szCs w:val="21"/>
        </w:rPr>
        <w:t>, and may only be possible</w:t>
      </w:r>
      <w:r w:rsidRPr="006475AC">
        <w:rPr>
          <w:szCs w:val="21"/>
        </w:rPr>
        <w:t xml:space="preserve"> </w:t>
      </w:r>
      <w:r>
        <w:rPr>
          <w:szCs w:val="21"/>
        </w:rPr>
        <w:t xml:space="preserve">via </w:t>
      </w:r>
      <w:r w:rsidRPr="00532576">
        <w:rPr>
          <w:szCs w:val="21"/>
        </w:rPr>
        <w:t>coordinating flow deliveries across the southern MDB</w:t>
      </w:r>
      <w:r w:rsidR="005B0640">
        <w:rPr>
          <w:szCs w:val="21"/>
        </w:rPr>
        <w:t>,</w:t>
      </w:r>
      <w:r w:rsidR="005B0640" w:rsidRPr="005B0640">
        <w:t xml:space="preserve"> </w:t>
      </w:r>
      <w:r w:rsidR="005B0640" w:rsidRPr="005B0640">
        <w:rPr>
          <w:szCs w:val="21"/>
        </w:rPr>
        <w:t>and through water delivery that is responsive and flexible to rain events</w:t>
      </w:r>
      <w:r w:rsidRPr="00532576">
        <w:rPr>
          <w:szCs w:val="21"/>
        </w:rPr>
        <w:t>.</w:t>
      </w:r>
      <w:r>
        <w:rPr>
          <w:szCs w:val="21"/>
        </w:rPr>
        <w:t xml:space="preserve"> </w:t>
      </w:r>
      <w:r w:rsidRPr="008F2EF2">
        <w:rPr>
          <w:szCs w:val="21"/>
        </w:rPr>
        <w:t xml:space="preserve">Under wetter scenarios, flows &gt;20,000 ML/d may be achieved by delivering environmental water in conjunction with unregulated flows. </w:t>
      </w:r>
    </w:p>
    <w:p w14:paraId="320EF62B" w14:textId="0CF5A0D3" w:rsidR="00CF3DA2" w:rsidRPr="00682C77" w:rsidRDefault="00CF3DA2" w:rsidP="00CE0AA9">
      <w:pPr>
        <w:pStyle w:val="ListParagraph"/>
        <w:numPr>
          <w:ilvl w:val="0"/>
          <w:numId w:val="39"/>
        </w:numPr>
        <w:spacing w:line="266" w:lineRule="auto"/>
        <w:rPr>
          <w:szCs w:val="21"/>
        </w:rPr>
      </w:pPr>
      <w:r>
        <w:rPr>
          <w:szCs w:val="21"/>
        </w:rPr>
        <w:t>I</w:t>
      </w:r>
      <w:r w:rsidRPr="0029627B">
        <w:rPr>
          <w:szCs w:val="21"/>
        </w:rPr>
        <w:t>n the LMR</w:t>
      </w:r>
      <w:r>
        <w:rPr>
          <w:szCs w:val="21"/>
        </w:rPr>
        <w:t>,</w:t>
      </w:r>
      <w:r w:rsidRPr="0029627B">
        <w:rPr>
          <w:szCs w:val="21"/>
        </w:rPr>
        <w:t xml:space="preserve"> </w:t>
      </w:r>
      <w:r>
        <w:rPr>
          <w:szCs w:val="21"/>
        </w:rPr>
        <w:t>i</w:t>
      </w:r>
      <w:r w:rsidRPr="0029627B">
        <w:rPr>
          <w:szCs w:val="21"/>
        </w:rPr>
        <w:t xml:space="preserve">ncreasing flows to </w:t>
      </w:r>
      <w:r w:rsidR="00023690">
        <w:rPr>
          <w:szCs w:val="21"/>
        </w:rPr>
        <w:t>&gt;</w:t>
      </w:r>
      <w:r w:rsidR="00636199" w:rsidRPr="0029627B">
        <w:rPr>
          <w:szCs w:val="21"/>
        </w:rPr>
        <w:t>20,000</w:t>
      </w:r>
      <w:r w:rsidR="003B3AB5">
        <w:rPr>
          <w:szCs w:val="21"/>
        </w:rPr>
        <w:t xml:space="preserve"> ML/d</w:t>
      </w:r>
      <w:r w:rsidR="00636199" w:rsidRPr="0029627B">
        <w:rPr>
          <w:szCs w:val="21"/>
        </w:rPr>
        <w:t xml:space="preserve"> significantly </w:t>
      </w:r>
      <w:r w:rsidRPr="0029627B">
        <w:rPr>
          <w:szCs w:val="21"/>
        </w:rPr>
        <w:t xml:space="preserve">improves hydraulic conditions (e.g. </w:t>
      </w:r>
      <w:r>
        <w:rPr>
          <w:szCs w:val="21"/>
        </w:rPr>
        <w:t xml:space="preserve">increased </w:t>
      </w:r>
      <w:r w:rsidRPr="0029627B">
        <w:rPr>
          <w:szCs w:val="21"/>
        </w:rPr>
        <w:t xml:space="preserve">velocity and </w:t>
      </w:r>
      <w:bookmarkStart w:id="18" w:name="_Hlk67391198"/>
      <w:r w:rsidRPr="0029627B">
        <w:rPr>
          <w:szCs w:val="21"/>
        </w:rPr>
        <w:t>water level</w:t>
      </w:r>
      <w:r>
        <w:rPr>
          <w:szCs w:val="21"/>
        </w:rPr>
        <w:t xml:space="preserve"> variability</w:t>
      </w:r>
      <w:r w:rsidRPr="0029627B">
        <w:rPr>
          <w:szCs w:val="21"/>
        </w:rPr>
        <w:t xml:space="preserve">). </w:t>
      </w:r>
      <w:bookmarkEnd w:id="18"/>
      <w:r>
        <w:rPr>
          <w:szCs w:val="21"/>
        </w:rPr>
        <w:t>Weir</w:t>
      </w:r>
      <w:r w:rsidRPr="0029627B">
        <w:rPr>
          <w:szCs w:val="21"/>
        </w:rPr>
        <w:t xml:space="preserve"> </w:t>
      </w:r>
      <w:r>
        <w:rPr>
          <w:szCs w:val="21"/>
        </w:rPr>
        <w:t>poo</w:t>
      </w:r>
      <w:r w:rsidR="0098324B">
        <w:rPr>
          <w:szCs w:val="21"/>
        </w:rPr>
        <w:t>l</w:t>
      </w:r>
      <w:r>
        <w:rPr>
          <w:szCs w:val="21"/>
        </w:rPr>
        <w:t xml:space="preserve"> </w:t>
      </w:r>
      <w:r w:rsidRPr="0029627B">
        <w:rPr>
          <w:szCs w:val="21"/>
        </w:rPr>
        <w:t>management</w:t>
      </w:r>
      <w:r>
        <w:rPr>
          <w:szCs w:val="21"/>
        </w:rPr>
        <w:t>, particularly</w:t>
      </w:r>
      <w:r w:rsidRPr="0029627B">
        <w:rPr>
          <w:szCs w:val="21"/>
        </w:rPr>
        <w:t xml:space="preserve"> lo</w:t>
      </w:r>
      <w:r w:rsidRPr="0029627B">
        <w:rPr>
          <w:bCs/>
          <w:szCs w:val="21"/>
        </w:rPr>
        <w:t>wering</w:t>
      </w:r>
      <w:r>
        <w:rPr>
          <w:bCs/>
          <w:szCs w:val="21"/>
        </w:rPr>
        <w:t>,</w:t>
      </w:r>
      <w:r w:rsidRPr="0029627B">
        <w:rPr>
          <w:bCs/>
          <w:szCs w:val="21"/>
        </w:rPr>
        <w:t xml:space="preserve"> </w:t>
      </w:r>
      <w:r>
        <w:rPr>
          <w:bCs/>
          <w:szCs w:val="21"/>
        </w:rPr>
        <w:t>could</w:t>
      </w:r>
      <w:r w:rsidRPr="0029627B">
        <w:rPr>
          <w:bCs/>
          <w:szCs w:val="21"/>
        </w:rPr>
        <w:t xml:space="preserve"> also complement flows to achieve hydraulic re</w:t>
      </w:r>
      <w:r>
        <w:rPr>
          <w:bCs/>
          <w:szCs w:val="21"/>
        </w:rPr>
        <w:t xml:space="preserve">habilitation </w:t>
      </w:r>
      <w:r w:rsidR="00E0142F">
        <w:t>and promote lotic conditions</w:t>
      </w:r>
      <w:r w:rsidRPr="0029627B">
        <w:rPr>
          <w:bCs/>
          <w:szCs w:val="21"/>
        </w:rPr>
        <w:t xml:space="preserve">. To </w:t>
      </w:r>
      <w:r w:rsidRPr="008B6A0A">
        <w:rPr>
          <w:bCs/>
          <w:szCs w:val="21"/>
        </w:rPr>
        <w:t xml:space="preserve">inform flow management and </w:t>
      </w:r>
      <w:r w:rsidRPr="0029627B">
        <w:rPr>
          <w:bCs/>
          <w:szCs w:val="21"/>
        </w:rPr>
        <w:t xml:space="preserve">maximise ecological outcomes, we need to better understand the effect of specific </w:t>
      </w:r>
      <w:r>
        <w:rPr>
          <w:bCs/>
          <w:szCs w:val="21"/>
        </w:rPr>
        <w:t xml:space="preserve">aspects of </w:t>
      </w:r>
      <w:r w:rsidRPr="0029627B">
        <w:rPr>
          <w:bCs/>
          <w:szCs w:val="21"/>
        </w:rPr>
        <w:t xml:space="preserve">flow (e.g. timing, magnitude and duration) on ecological processes and </w:t>
      </w:r>
      <w:r>
        <w:rPr>
          <w:bCs/>
          <w:szCs w:val="21"/>
        </w:rPr>
        <w:t xml:space="preserve">the </w:t>
      </w:r>
      <w:r w:rsidRPr="0029627B">
        <w:rPr>
          <w:bCs/>
          <w:szCs w:val="21"/>
        </w:rPr>
        <w:t>hydraulic requirements of flow-dependant species.</w:t>
      </w:r>
    </w:p>
    <w:p w14:paraId="0F82199D" w14:textId="7515D864" w:rsidR="00A1616B" w:rsidRPr="00A1616B" w:rsidRDefault="00A1616B" w:rsidP="00CE0AA9">
      <w:pPr>
        <w:pStyle w:val="ListParagraph"/>
        <w:numPr>
          <w:ilvl w:val="0"/>
          <w:numId w:val="39"/>
        </w:numPr>
        <w:spacing w:line="266" w:lineRule="auto"/>
        <w:rPr>
          <w:bCs/>
          <w:szCs w:val="21"/>
        </w:rPr>
      </w:pPr>
      <w:bookmarkStart w:id="19" w:name="_Hlk67497317"/>
      <w:r w:rsidRPr="00A1616B">
        <w:rPr>
          <w:bCs/>
          <w:szCs w:val="21"/>
        </w:rPr>
        <w:lastRenderedPageBreak/>
        <w:t>Small to moderate increases in flowing water habitat within weir pools and increased riverine connectivity, assicated with spring flows of 10,000–18,000</w:t>
      </w:r>
      <w:r>
        <w:rPr>
          <w:bCs/>
          <w:szCs w:val="21"/>
        </w:rPr>
        <w:t> </w:t>
      </w:r>
      <w:r w:rsidRPr="00A1616B">
        <w:rPr>
          <w:bCs/>
          <w:szCs w:val="21"/>
        </w:rPr>
        <w:t xml:space="preserve">ML/d, supported a range of ecological outcomes in the LMR. This included reach-scale responses like mitigating the risk of low dissolved oxygen in water, benefiting littoral vegetation in tailwaters and Murray cod recruitment, and broader-scale responses like low-level spawning of flow-cued spawning fishes, and downstream transport of fish larvae and microinvertebrates. Notably, such ecological improvements associated with elevated flows may have been important, playing a ‘maintenance’ role for populations and the LMR ecosystem during periods between natural high flows. </w:t>
      </w:r>
    </w:p>
    <w:p w14:paraId="2F979CF3" w14:textId="0D1D476C" w:rsidR="00CF3DA2" w:rsidRDefault="00A1616B" w:rsidP="00CE0AA9">
      <w:pPr>
        <w:pStyle w:val="ListParagraph"/>
        <w:numPr>
          <w:ilvl w:val="0"/>
          <w:numId w:val="39"/>
        </w:numPr>
        <w:spacing w:line="266" w:lineRule="auto"/>
        <w:rPr>
          <w:bCs/>
          <w:szCs w:val="21"/>
        </w:rPr>
      </w:pPr>
      <w:r w:rsidRPr="00A1616B">
        <w:rPr>
          <w:bCs/>
          <w:szCs w:val="21"/>
        </w:rPr>
        <w:t>Larger flow pulses &gt;20,000 ML/d, supported by environmental water, are required to substantially restore riverine characteristics to the LMR and achieve ecological outcomes of greater magnitude (e.g. significant spawning and recruitment of golden perch).</w:t>
      </w:r>
    </w:p>
    <w:p w14:paraId="666CDA50" w14:textId="77777777" w:rsidR="00CF3DA2" w:rsidRDefault="00CF3DA2" w:rsidP="00CE0AA9">
      <w:pPr>
        <w:pStyle w:val="ListParagraph"/>
        <w:numPr>
          <w:ilvl w:val="0"/>
          <w:numId w:val="39"/>
        </w:numPr>
        <w:spacing w:line="266" w:lineRule="auto"/>
        <w:ind w:left="714" w:hanging="357"/>
        <w:rPr>
          <w:bCs/>
          <w:szCs w:val="21"/>
        </w:rPr>
      </w:pPr>
      <w:r w:rsidRPr="00D722E3">
        <w:rPr>
          <w:bCs/>
          <w:szCs w:val="21"/>
        </w:rPr>
        <w:t>The timing of flow delivery is important and should continue to align with ecological objectives and consider biological processes and species’ life history requirements. To achieve multiple species outcomes, a holistic approach in flow regime design will be required.</w:t>
      </w:r>
    </w:p>
    <w:p w14:paraId="79001D34" w14:textId="77777777" w:rsidR="00CF3DA2" w:rsidRPr="0029627B" w:rsidRDefault="00CF3DA2" w:rsidP="00CE0AA9">
      <w:pPr>
        <w:pStyle w:val="ListParagraph"/>
        <w:numPr>
          <w:ilvl w:val="0"/>
          <w:numId w:val="39"/>
        </w:numPr>
        <w:spacing w:line="266" w:lineRule="auto"/>
        <w:ind w:left="714" w:hanging="357"/>
        <w:rPr>
          <w:bCs/>
          <w:szCs w:val="21"/>
        </w:rPr>
      </w:pPr>
      <w:r w:rsidRPr="0029627B">
        <w:rPr>
          <w:bCs/>
          <w:szCs w:val="21"/>
        </w:rPr>
        <w:t xml:space="preserve">Environmental water delivery that promotes </w:t>
      </w:r>
      <w:bookmarkEnd w:id="19"/>
      <w:r w:rsidRPr="0029627B">
        <w:rPr>
          <w:bCs/>
          <w:szCs w:val="21"/>
        </w:rPr>
        <w:t>longitudinal and lateral connectivity will enhance productivity in the LMR</w:t>
      </w:r>
      <w:r>
        <w:rPr>
          <w:bCs/>
          <w:szCs w:val="21"/>
        </w:rPr>
        <w:t>. Lateral connectivity may</w:t>
      </w:r>
      <w:r w:rsidRPr="0029627B">
        <w:rPr>
          <w:bCs/>
          <w:szCs w:val="21"/>
        </w:rPr>
        <w:t xml:space="preserve"> increase carbon and nutrient inputs </w:t>
      </w:r>
      <w:r>
        <w:rPr>
          <w:bCs/>
          <w:szCs w:val="21"/>
        </w:rPr>
        <w:t>while</w:t>
      </w:r>
      <w:r w:rsidRPr="0029627B">
        <w:rPr>
          <w:bCs/>
          <w:szCs w:val="21"/>
        </w:rPr>
        <w:t xml:space="preserve"> </w:t>
      </w:r>
      <w:r>
        <w:rPr>
          <w:bCs/>
          <w:szCs w:val="21"/>
        </w:rPr>
        <w:t xml:space="preserve">longitudinal connectivity will help </w:t>
      </w:r>
      <w:r w:rsidRPr="0029627B">
        <w:rPr>
          <w:bCs/>
          <w:szCs w:val="21"/>
        </w:rPr>
        <w:t>facilitate the transport and dispersal of</w:t>
      </w:r>
      <w:r>
        <w:rPr>
          <w:bCs/>
          <w:szCs w:val="21"/>
        </w:rPr>
        <w:t xml:space="preserve"> matter and</w:t>
      </w:r>
      <w:r w:rsidRPr="0029627B">
        <w:rPr>
          <w:bCs/>
          <w:szCs w:val="21"/>
        </w:rPr>
        <w:t xml:space="preserve"> aquatic biota (e.g. </w:t>
      </w:r>
      <w:r>
        <w:rPr>
          <w:bCs/>
          <w:szCs w:val="21"/>
        </w:rPr>
        <w:t xml:space="preserve">aquatic plant propagules, </w:t>
      </w:r>
      <w:r w:rsidRPr="0029627B">
        <w:rPr>
          <w:bCs/>
          <w:szCs w:val="21"/>
        </w:rPr>
        <w:t>microinvertebrates, larvae</w:t>
      </w:r>
      <w:r>
        <w:rPr>
          <w:bCs/>
          <w:szCs w:val="21"/>
        </w:rPr>
        <w:t xml:space="preserve"> of flow cued spawning species</w:t>
      </w:r>
      <w:r w:rsidRPr="0029627B">
        <w:rPr>
          <w:bCs/>
          <w:szCs w:val="21"/>
        </w:rPr>
        <w:t xml:space="preserve">). </w:t>
      </w:r>
    </w:p>
    <w:p w14:paraId="146D548C" w14:textId="77777777" w:rsidR="00CF3DA2" w:rsidRDefault="00CF3DA2" w:rsidP="00CE0AA9">
      <w:pPr>
        <w:pStyle w:val="ListParagraph"/>
        <w:numPr>
          <w:ilvl w:val="0"/>
          <w:numId w:val="39"/>
        </w:numPr>
        <w:spacing w:line="266" w:lineRule="auto"/>
        <w:ind w:left="714" w:hanging="357"/>
        <w:rPr>
          <w:bCs/>
          <w:szCs w:val="21"/>
        </w:rPr>
      </w:pPr>
      <w:r w:rsidRPr="00CA1594">
        <w:rPr>
          <w:bCs/>
          <w:szCs w:val="21"/>
        </w:rPr>
        <w:t xml:space="preserve">In the regulated LMR, </w:t>
      </w:r>
      <w:r>
        <w:rPr>
          <w:bCs/>
          <w:szCs w:val="21"/>
        </w:rPr>
        <w:t xml:space="preserve">the </w:t>
      </w:r>
      <w:r w:rsidRPr="00CA1594">
        <w:rPr>
          <w:bCs/>
          <w:szCs w:val="21"/>
        </w:rPr>
        <w:t xml:space="preserve">influence of environmental </w:t>
      </w:r>
      <w:r>
        <w:rPr>
          <w:bCs/>
          <w:szCs w:val="21"/>
        </w:rPr>
        <w:t>flows</w:t>
      </w:r>
      <w:r w:rsidRPr="00CA1594">
        <w:rPr>
          <w:bCs/>
          <w:szCs w:val="21"/>
        </w:rPr>
        <w:t xml:space="preserve"> on riverine production </w:t>
      </w:r>
      <w:r>
        <w:rPr>
          <w:bCs/>
          <w:szCs w:val="21"/>
        </w:rPr>
        <w:t xml:space="preserve">is largely restricted </w:t>
      </w:r>
      <w:r w:rsidRPr="00CA1594">
        <w:rPr>
          <w:bCs/>
          <w:szCs w:val="21"/>
        </w:rPr>
        <w:t xml:space="preserve">by </w:t>
      </w:r>
      <w:r>
        <w:rPr>
          <w:bCs/>
          <w:szCs w:val="21"/>
        </w:rPr>
        <w:t>stable</w:t>
      </w:r>
      <w:r w:rsidRPr="00CA1594">
        <w:rPr>
          <w:bCs/>
          <w:szCs w:val="21"/>
        </w:rPr>
        <w:t xml:space="preserve"> water levels</w:t>
      </w:r>
      <w:r>
        <w:rPr>
          <w:bCs/>
          <w:szCs w:val="21"/>
        </w:rPr>
        <w:t xml:space="preserve"> regulated by </w:t>
      </w:r>
      <w:r w:rsidRPr="00CA1594">
        <w:rPr>
          <w:bCs/>
          <w:szCs w:val="21"/>
        </w:rPr>
        <w:t>weirs.</w:t>
      </w:r>
      <w:r>
        <w:rPr>
          <w:bCs/>
          <w:szCs w:val="21"/>
        </w:rPr>
        <w:t xml:space="preserve"> </w:t>
      </w:r>
      <w:r w:rsidRPr="0029627B">
        <w:rPr>
          <w:bCs/>
          <w:szCs w:val="21"/>
        </w:rPr>
        <w:t>To improve riverine productivity</w:t>
      </w:r>
      <w:r>
        <w:rPr>
          <w:bCs/>
          <w:szCs w:val="21"/>
        </w:rPr>
        <w:t>, water</w:t>
      </w:r>
      <w:r w:rsidRPr="0029627B">
        <w:rPr>
          <w:bCs/>
          <w:szCs w:val="21"/>
        </w:rPr>
        <w:t xml:space="preserve"> deliver</w:t>
      </w:r>
      <w:r>
        <w:rPr>
          <w:bCs/>
          <w:szCs w:val="21"/>
        </w:rPr>
        <w:t>ies</w:t>
      </w:r>
      <w:r w:rsidRPr="0029627B">
        <w:rPr>
          <w:bCs/>
          <w:szCs w:val="21"/>
        </w:rPr>
        <w:t xml:space="preserve"> in conjunction with</w:t>
      </w:r>
      <w:r>
        <w:rPr>
          <w:bCs/>
          <w:szCs w:val="21"/>
        </w:rPr>
        <w:t xml:space="preserve"> weir management to promote</w:t>
      </w:r>
      <w:r w:rsidRPr="0029627B">
        <w:rPr>
          <w:bCs/>
          <w:szCs w:val="21"/>
        </w:rPr>
        <w:t xml:space="preserve"> more natural water level </w:t>
      </w:r>
      <w:r>
        <w:rPr>
          <w:bCs/>
          <w:szCs w:val="21"/>
        </w:rPr>
        <w:t>variations</w:t>
      </w:r>
      <w:r w:rsidRPr="0029627B">
        <w:rPr>
          <w:bCs/>
          <w:szCs w:val="21"/>
        </w:rPr>
        <w:t xml:space="preserve"> are desirable. </w:t>
      </w:r>
    </w:p>
    <w:p w14:paraId="41512DB1" w14:textId="7C98BB0F" w:rsidR="00CF3DA2" w:rsidRPr="0029627B" w:rsidRDefault="00CF3DA2" w:rsidP="00CE0AA9">
      <w:pPr>
        <w:pStyle w:val="ListParagraph"/>
        <w:numPr>
          <w:ilvl w:val="0"/>
          <w:numId w:val="39"/>
        </w:numPr>
        <w:spacing w:line="266" w:lineRule="auto"/>
        <w:ind w:left="714" w:hanging="357"/>
        <w:rPr>
          <w:bCs/>
          <w:szCs w:val="21"/>
        </w:rPr>
      </w:pPr>
      <w:r w:rsidRPr="00254CB6">
        <w:rPr>
          <w:bCs/>
          <w:szCs w:val="21"/>
        </w:rPr>
        <w:t>Flow management to increase connection and inundation of littoral habitats, wetlands and floodplain, and provide return flows to the main channel, may enhance food subsidy for riverine species via mobilising microinvertebrates</w:t>
      </w:r>
      <w:r>
        <w:rPr>
          <w:bCs/>
          <w:szCs w:val="21"/>
        </w:rPr>
        <w:t xml:space="preserve">, particularly </w:t>
      </w:r>
      <w:r w:rsidRPr="00254CB6">
        <w:rPr>
          <w:bCs/>
          <w:szCs w:val="21"/>
        </w:rPr>
        <w:t>microcrustaceans</w:t>
      </w:r>
      <w:r>
        <w:rPr>
          <w:bCs/>
          <w:szCs w:val="21"/>
        </w:rPr>
        <w:t xml:space="preserve">, important </w:t>
      </w:r>
      <w:r w:rsidRPr="00254CB6">
        <w:rPr>
          <w:bCs/>
          <w:szCs w:val="21"/>
        </w:rPr>
        <w:t>prey for large-bodied native fish larvae (e.g. Murray cod, golden perch</w:t>
      </w:r>
      <w:r w:rsidR="00E16464">
        <w:rPr>
          <w:bCs/>
          <w:szCs w:val="21"/>
        </w:rPr>
        <w:t>, silver perch</w:t>
      </w:r>
      <w:r w:rsidRPr="00254CB6">
        <w:rPr>
          <w:bCs/>
          <w:szCs w:val="21"/>
        </w:rPr>
        <w:t xml:space="preserve">). </w:t>
      </w:r>
      <w:r w:rsidR="00636199">
        <w:rPr>
          <w:bCs/>
          <w:szCs w:val="21"/>
        </w:rPr>
        <w:t>A f</w:t>
      </w:r>
      <w:r w:rsidRPr="00254CB6">
        <w:rPr>
          <w:bCs/>
          <w:szCs w:val="21"/>
        </w:rPr>
        <w:t xml:space="preserve">low regime that promotes the delivery of abundant prey during and </w:t>
      </w:r>
      <w:r w:rsidR="00CE0AA9">
        <w:rPr>
          <w:bCs/>
          <w:szCs w:val="21"/>
        </w:rPr>
        <w:t xml:space="preserve">immediately </w:t>
      </w:r>
      <w:r w:rsidRPr="00254CB6">
        <w:rPr>
          <w:bCs/>
          <w:szCs w:val="21"/>
        </w:rPr>
        <w:t xml:space="preserve">following the </w:t>
      </w:r>
      <w:r w:rsidR="00142F24">
        <w:rPr>
          <w:bCs/>
          <w:szCs w:val="21"/>
        </w:rPr>
        <w:t>spawning</w:t>
      </w:r>
      <w:r w:rsidRPr="00254CB6">
        <w:rPr>
          <w:bCs/>
          <w:szCs w:val="21"/>
        </w:rPr>
        <w:t xml:space="preserve"> season</w:t>
      </w:r>
      <w:r w:rsidR="00CE0AA9">
        <w:rPr>
          <w:bCs/>
          <w:szCs w:val="21"/>
        </w:rPr>
        <w:t xml:space="preserve"> (i.e. mid-October to </w:t>
      </w:r>
      <w:r w:rsidR="005C1F4F">
        <w:rPr>
          <w:bCs/>
          <w:szCs w:val="21"/>
        </w:rPr>
        <w:t>January</w:t>
      </w:r>
      <w:r w:rsidR="00CE0AA9">
        <w:rPr>
          <w:bCs/>
          <w:szCs w:val="21"/>
        </w:rPr>
        <w:t>)</w:t>
      </w:r>
      <w:r w:rsidRPr="00254CB6">
        <w:rPr>
          <w:bCs/>
          <w:szCs w:val="21"/>
        </w:rPr>
        <w:t xml:space="preserve"> of these fish species, along with favourable hydraulic conditions, are </w:t>
      </w:r>
      <w:r>
        <w:rPr>
          <w:bCs/>
          <w:szCs w:val="21"/>
        </w:rPr>
        <w:t>vital</w:t>
      </w:r>
      <w:r w:rsidRPr="00254CB6">
        <w:rPr>
          <w:bCs/>
          <w:szCs w:val="21"/>
        </w:rPr>
        <w:t xml:space="preserve"> for their recruitment.</w:t>
      </w:r>
    </w:p>
    <w:p w14:paraId="6252A6EE" w14:textId="77777777" w:rsidR="00CF3DA2" w:rsidRDefault="00CF3DA2" w:rsidP="00CE0AA9">
      <w:pPr>
        <w:pStyle w:val="ListParagraph"/>
        <w:numPr>
          <w:ilvl w:val="0"/>
          <w:numId w:val="39"/>
        </w:numPr>
        <w:spacing w:line="266" w:lineRule="auto"/>
        <w:ind w:left="714" w:hanging="357"/>
        <w:rPr>
          <w:szCs w:val="21"/>
        </w:rPr>
      </w:pPr>
      <w:r w:rsidRPr="0029627B">
        <w:rPr>
          <w:szCs w:val="21"/>
        </w:rPr>
        <w:t xml:space="preserve">Environmental flows are pivotal in maintaining barrage flows and end-of-system connectivity in the MDB, particularly during low flow periods, when there would otherwise be negligible water and matter exchange between the Lower Lakes and Coorong. </w:t>
      </w:r>
      <w:r>
        <w:rPr>
          <w:szCs w:val="21"/>
        </w:rPr>
        <w:t xml:space="preserve">This is critical for </w:t>
      </w:r>
      <w:r>
        <w:t>a functioning river system and supporting species’ life history processes (e.g. migration of diadromous fish).</w:t>
      </w:r>
    </w:p>
    <w:p w14:paraId="17DAEB2E" w14:textId="6D851466" w:rsidR="00CF3DA2" w:rsidRPr="0029627B" w:rsidRDefault="00636199" w:rsidP="00CE0AA9">
      <w:pPr>
        <w:pStyle w:val="ListParagraph"/>
        <w:numPr>
          <w:ilvl w:val="0"/>
          <w:numId w:val="39"/>
        </w:numPr>
        <w:spacing w:line="266" w:lineRule="auto"/>
        <w:ind w:left="714" w:hanging="357"/>
        <w:rPr>
          <w:szCs w:val="21"/>
        </w:rPr>
      </w:pPr>
      <w:r w:rsidRPr="0029627B">
        <w:rPr>
          <w:szCs w:val="21"/>
        </w:rPr>
        <w:t xml:space="preserve">Barrage flows play a </w:t>
      </w:r>
      <w:r>
        <w:rPr>
          <w:szCs w:val="21"/>
        </w:rPr>
        <w:t>key</w:t>
      </w:r>
      <w:r w:rsidRPr="0029627B">
        <w:rPr>
          <w:szCs w:val="21"/>
        </w:rPr>
        <w:t xml:space="preserve"> role in salt export </w:t>
      </w:r>
      <w:r>
        <w:rPr>
          <w:szCs w:val="21"/>
        </w:rPr>
        <w:t xml:space="preserve">out of the MDB and </w:t>
      </w:r>
      <w:r w:rsidRPr="0029627B">
        <w:rPr>
          <w:szCs w:val="21"/>
        </w:rPr>
        <w:t xml:space="preserve">reducing salt import to the </w:t>
      </w:r>
      <w:r>
        <w:rPr>
          <w:szCs w:val="21"/>
        </w:rPr>
        <w:t xml:space="preserve">Coorong estuary. They also help reduce salt flux into the North and South lagoons. Reducing </w:t>
      </w:r>
      <w:r w:rsidR="00CF3DA2">
        <w:rPr>
          <w:szCs w:val="21"/>
        </w:rPr>
        <w:t xml:space="preserve">salt import and flux are essential for reducing salinity levels, </w:t>
      </w:r>
      <w:r w:rsidR="00CF3DA2" w:rsidRPr="0029627B">
        <w:rPr>
          <w:szCs w:val="21"/>
        </w:rPr>
        <w:t>maintaining estuarine</w:t>
      </w:r>
      <w:r w:rsidR="00CF3DA2">
        <w:rPr>
          <w:szCs w:val="21"/>
        </w:rPr>
        <w:t xml:space="preserve"> habitat (e.g. for </w:t>
      </w:r>
      <w:r w:rsidR="00CF3DA2" w:rsidRPr="00933FB5">
        <w:rPr>
          <w:i/>
          <w:iCs/>
          <w:szCs w:val="21"/>
        </w:rPr>
        <w:t>Ruppia</w:t>
      </w:r>
      <w:r w:rsidR="00CF3DA2">
        <w:rPr>
          <w:szCs w:val="21"/>
        </w:rPr>
        <w:t xml:space="preserve"> and fish), ecosystem functions and biodiversity</w:t>
      </w:r>
      <w:r w:rsidR="00CF3DA2" w:rsidRPr="0029627B">
        <w:rPr>
          <w:szCs w:val="21"/>
        </w:rPr>
        <w:t xml:space="preserve"> in the Coorong</w:t>
      </w:r>
      <w:r w:rsidR="00CF3DA2">
        <w:rPr>
          <w:szCs w:val="21"/>
        </w:rPr>
        <w:t>. Barrage flows also reduce</w:t>
      </w:r>
      <w:r w:rsidR="00CF3DA2" w:rsidRPr="0029627B">
        <w:rPr>
          <w:szCs w:val="21"/>
        </w:rPr>
        <w:t xml:space="preserve"> the risk of Murray Mouth closure. </w:t>
      </w:r>
    </w:p>
    <w:p w14:paraId="09531595" w14:textId="558CFC6D" w:rsidR="00986C11" w:rsidRPr="0029627B" w:rsidRDefault="00CF3DA2" w:rsidP="005C1F4F">
      <w:pPr>
        <w:spacing w:line="266" w:lineRule="auto"/>
        <w:rPr>
          <w:szCs w:val="21"/>
        </w:rPr>
      </w:pPr>
      <w:r w:rsidRPr="0029627B">
        <w:rPr>
          <w:szCs w:val="21"/>
        </w:rPr>
        <w:t>More specific management considerations are provided in Section 2, based on ecological outcomes and findings from indicators.</w:t>
      </w:r>
      <w:r w:rsidR="00986C11" w:rsidRPr="0029627B">
        <w:rPr>
          <w:szCs w:val="21"/>
        </w:rPr>
        <w:br w:type="page"/>
      </w:r>
    </w:p>
    <w:p w14:paraId="14FCE93B" w14:textId="77777777" w:rsidR="00986C11" w:rsidRPr="00C757C7" w:rsidRDefault="00986C11" w:rsidP="00986C11">
      <w:pPr>
        <w:pStyle w:val="Heading1"/>
      </w:pPr>
      <w:bookmarkStart w:id="20" w:name="_Toc3558331"/>
      <w:bookmarkStart w:id="21" w:name="_Toc101963765"/>
      <w:bookmarkStart w:id="22" w:name="_Toc381776097"/>
      <w:bookmarkStart w:id="23" w:name="_Toc441838725"/>
      <w:bookmarkStart w:id="24" w:name="_Toc3558332"/>
      <w:r w:rsidRPr="00C757C7">
        <w:lastRenderedPageBreak/>
        <w:t>Introduction</w:t>
      </w:r>
      <w:bookmarkEnd w:id="20"/>
      <w:bookmarkEnd w:id="21"/>
    </w:p>
    <w:p w14:paraId="6E151718" w14:textId="00B9BEEF" w:rsidR="00FE1764" w:rsidRDefault="00FE2195" w:rsidP="00986C11">
      <w:pPr>
        <w:pStyle w:val="Heading2"/>
      </w:pPr>
      <w:bookmarkStart w:id="25" w:name="_Ref25308922"/>
      <w:bookmarkStart w:id="26" w:name="_Ref88730764"/>
      <w:bookmarkStart w:id="27" w:name="_Toc101963766"/>
      <w:r>
        <w:t>Flow regimes and riverine ecology</w:t>
      </w:r>
      <w:bookmarkEnd w:id="25"/>
      <w:bookmarkEnd w:id="26"/>
      <w:bookmarkEnd w:id="27"/>
    </w:p>
    <w:p w14:paraId="0A470812" w14:textId="27E94692" w:rsidR="00FE1764" w:rsidRPr="00C72497" w:rsidRDefault="00AB3997" w:rsidP="00FE1764">
      <w:r w:rsidRPr="00C72497">
        <w:t xml:space="preserve">River regulation and flow modification have severely impacted riverine ecosystems throughout the world, including the Murray–Darling Basin (MDB) (Maheshwari </w:t>
      </w:r>
      <w:r w:rsidRPr="00C72497">
        <w:rPr>
          <w:i/>
        </w:rPr>
        <w:t>et al.</w:t>
      </w:r>
      <w:r w:rsidRPr="00C72497">
        <w:t xml:space="preserve"> 1995; Kingsford 2000</w:t>
      </w:r>
      <w:r w:rsidR="005920AE">
        <w:t xml:space="preserve">; Grill </w:t>
      </w:r>
      <w:r w:rsidR="005920AE" w:rsidRPr="00915155">
        <w:rPr>
          <w:i/>
          <w:iCs/>
        </w:rPr>
        <w:t>et al.</w:t>
      </w:r>
      <w:r w:rsidR="005920AE">
        <w:t xml:space="preserve"> 2019</w:t>
      </w:r>
      <w:r w:rsidRPr="00C72497">
        <w:t xml:space="preserve">). The southern MDB is highly regulated, where natural flow regimes have been substantially altered, leading to decreased hydrological (e.g. discharge) and hydraulic (e.g. water level and velocity) variability, and reduced floodplain inundation (Maheshwari </w:t>
      </w:r>
      <w:r w:rsidRPr="00C72497">
        <w:rPr>
          <w:i/>
        </w:rPr>
        <w:t>et al.</w:t>
      </w:r>
      <w:r w:rsidRPr="00C72497">
        <w:t xml:space="preserve"> 1995; Bice </w:t>
      </w:r>
      <w:r w:rsidRPr="00C72497">
        <w:rPr>
          <w:i/>
        </w:rPr>
        <w:t>et al.</w:t>
      </w:r>
      <w:r w:rsidRPr="00C72497">
        <w:t xml:space="preserve"> 2017).</w:t>
      </w:r>
      <w:r w:rsidR="008126EF" w:rsidRPr="00C72497">
        <w:t xml:space="preserve"> </w:t>
      </w:r>
      <w:bookmarkStart w:id="28" w:name="_Hlk64644717"/>
      <w:r w:rsidR="008126EF" w:rsidRPr="00C72497">
        <w:t xml:space="preserve">The Murray River downstream of the Darling River junction is modified </w:t>
      </w:r>
      <w:bookmarkEnd w:id="28"/>
      <w:r w:rsidR="008126EF" w:rsidRPr="00C72497">
        <w:t>by a series of low-level (&lt;3 m) weirs (</w:t>
      </w:r>
      <w:r w:rsidR="00C01115" w:rsidRPr="00C72497">
        <w:fldChar w:fldCharType="begin"/>
      </w:r>
      <w:r w:rsidR="00C01115" w:rsidRPr="00C72497">
        <w:instrText xml:space="preserve"> REF _Ref469926522 \h </w:instrText>
      </w:r>
      <w:r w:rsidR="00C72497">
        <w:instrText xml:space="preserve"> \* MERGEFORMAT </w:instrText>
      </w:r>
      <w:r w:rsidR="00C01115" w:rsidRPr="00C72497">
        <w:fldChar w:fldCharType="separate"/>
      </w:r>
      <w:r w:rsidR="003C13F6">
        <w:t xml:space="preserve">Figure </w:t>
      </w:r>
      <w:r w:rsidR="003C13F6">
        <w:rPr>
          <w:noProof/>
        </w:rPr>
        <w:t>1</w:t>
      </w:r>
      <w:r w:rsidR="00C01115" w:rsidRPr="00C72497">
        <w:fldChar w:fldCharType="end"/>
      </w:r>
      <w:r w:rsidR="008126EF" w:rsidRPr="00C72497">
        <w:t xml:space="preserve">), changing a connected flowing river to a series of weir pools (Walker 2006). The </w:t>
      </w:r>
      <w:r w:rsidR="002E5F65" w:rsidRPr="00C72497">
        <w:t>flow</w:t>
      </w:r>
      <w:r w:rsidR="008126EF" w:rsidRPr="00C72497">
        <w:t xml:space="preserve"> regime has been further exacerbated by upstream dive</w:t>
      </w:r>
      <w:r w:rsidR="008271EF" w:rsidRPr="00C72497">
        <w:t xml:space="preserve">rsions and increased extraction. </w:t>
      </w:r>
      <w:r w:rsidR="008126EF" w:rsidRPr="00C72497">
        <w:t xml:space="preserve">These have had profound impacts on riverine processes and ecosystems (Walker 1985; Walker and Thoms 1993; Wallace </w:t>
      </w:r>
      <w:r w:rsidR="008126EF" w:rsidRPr="00C72497">
        <w:rPr>
          <w:i/>
        </w:rPr>
        <w:t>et al.</w:t>
      </w:r>
      <w:r w:rsidR="008126EF" w:rsidRPr="00C72497">
        <w:t xml:space="preserve"> 2014).</w:t>
      </w:r>
    </w:p>
    <w:p w14:paraId="6CDA2A7A" w14:textId="38E39C6A" w:rsidR="00924AAE" w:rsidRPr="00C72497" w:rsidRDefault="00F64316" w:rsidP="00FE1764">
      <w:r>
        <w:t>F</w:t>
      </w:r>
      <w:r w:rsidRPr="00C72497">
        <w:t xml:space="preserve">low regimes play a critical role in </w:t>
      </w:r>
      <w:r>
        <w:t>determin</w:t>
      </w:r>
      <w:r w:rsidRPr="00C72497">
        <w:t xml:space="preserve">ing the </w:t>
      </w:r>
      <w:r w:rsidR="002E5F65" w:rsidRPr="00C72497">
        <w:t xml:space="preserve">distribution and abundance of </w:t>
      </w:r>
      <w:r w:rsidR="00985E52" w:rsidRPr="00C72497">
        <w:t xml:space="preserve">native </w:t>
      </w:r>
      <w:r w:rsidR="002E5F65" w:rsidRPr="00C72497">
        <w:t>aquatic biota</w:t>
      </w:r>
      <w:r w:rsidR="002170C9">
        <w:t xml:space="preserve"> (Koehn </w:t>
      </w:r>
      <w:r w:rsidR="002170C9" w:rsidRPr="00543FFB">
        <w:rPr>
          <w:i/>
          <w:iCs/>
        </w:rPr>
        <w:t>et al.</w:t>
      </w:r>
      <w:r w:rsidR="002170C9">
        <w:t xml:space="preserve"> 2020</w:t>
      </w:r>
      <w:r w:rsidR="00543FFB">
        <w:t xml:space="preserve">a; </w:t>
      </w:r>
      <w:r w:rsidR="00E36347">
        <w:t>2020</w:t>
      </w:r>
      <w:r w:rsidR="00543FFB">
        <w:t>b</w:t>
      </w:r>
      <w:r w:rsidR="002170C9">
        <w:t>)</w:t>
      </w:r>
      <w:r w:rsidR="002E5F65" w:rsidRPr="00C72497">
        <w:t xml:space="preserve">, and the ecological integrity of floodplain rivers (Junk </w:t>
      </w:r>
      <w:r w:rsidR="002E5F65" w:rsidRPr="00C72497">
        <w:rPr>
          <w:i/>
        </w:rPr>
        <w:t>et al.</w:t>
      </w:r>
      <w:r w:rsidR="002E5F65" w:rsidRPr="00C72497">
        <w:t xml:space="preserve"> 1989; Poff </w:t>
      </w:r>
      <w:r w:rsidR="002E5F65" w:rsidRPr="00C72497">
        <w:rPr>
          <w:i/>
        </w:rPr>
        <w:t>et al.</w:t>
      </w:r>
      <w:r w:rsidR="002E5F65" w:rsidRPr="00C72497">
        <w:t xml:space="preserve"> 1997; </w:t>
      </w:r>
      <w:r w:rsidR="001E24F9" w:rsidRPr="00C72497">
        <w:t>Bunn and</w:t>
      </w:r>
      <w:r w:rsidR="001D74F2" w:rsidRPr="00C72497">
        <w:t xml:space="preserve"> Arthington 2002</w:t>
      </w:r>
      <w:r w:rsidR="002E5F65" w:rsidRPr="00C72497">
        <w:t xml:space="preserve">). Lotic (flowing water) </w:t>
      </w:r>
      <w:r w:rsidR="00565E48" w:rsidRPr="00C72497">
        <w:t>habitats</w:t>
      </w:r>
      <w:r w:rsidR="00565E48">
        <w:t>, characteristic of the Murray River before weir construction,</w:t>
      </w:r>
      <w:r w:rsidR="00565E48" w:rsidRPr="00C72497">
        <w:t xml:space="preserve"> are </w:t>
      </w:r>
      <w:r w:rsidR="00565E48">
        <w:t>integral to</w:t>
      </w:r>
      <w:r w:rsidR="00565E48" w:rsidRPr="00C72497">
        <w:t xml:space="preserve"> </w:t>
      </w:r>
      <w:r w:rsidR="00565E48">
        <w:t xml:space="preserve">the </w:t>
      </w:r>
      <w:r w:rsidR="00565E48" w:rsidRPr="00C72497">
        <w:t xml:space="preserve">ecological and life history processes </w:t>
      </w:r>
      <w:r w:rsidR="00565E48">
        <w:t>of</w:t>
      </w:r>
      <w:r w:rsidR="00565E48" w:rsidRPr="00C72497">
        <w:t xml:space="preserve"> many native biota that are adapted to flowing riverine environments. </w:t>
      </w:r>
      <w:r w:rsidR="00517FD6" w:rsidRPr="00C72497">
        <w:t xml:space="preserve">For example, they provide stimuli for </w:t>
      </w:r>
      <w:r w:rsidR="00517FD6">
        <w:t xml:space="preserve">the </w:t>
      </w:r>
      <w:r w:rsidR="00517FD6" w:rsidRPr="00C72497">
        <w:t>spawning of flow-cued species</w:t>
      </w:r>
      <w:r w:rsidR="00924AAE" w:rsidRPr="00C72497">
        <w:t xml:space="preserve"> (e.g. </w:t>
      </w:r>
      <w:r w:rsidR="00E36347">
        <w:t>silver perch</w:t>
      </w:r>
      <w:r w:rsidR="00A7193C">
        <w:t xml:space="preserve"> </w:t>
      </w:r>
      <w:r w:rsidR="00A7193C" w:rsidRPr="00A7193C">
        <w:rPr>
          <w:i/>
          <w:iCs/>
        </w:rPr>
        <w:t>Bidyanus bidyanus</w:t>
      </w:r>
      <w:r w:rsidR="00565E48" w:rsidRPr="00C72497">
        <w:t>) (</w:t>
      </w:r>
      <w:r w:rsidR="00E36347">
        <w:t xml:space="preserve">Tonkin </w:t>
      </w:r>
      <w:r w:rsidR="00E36347" w:rsidRPr="00E36347">
        <w:rPr>
          <w:i/>
          <w:iCs/>
        </w:rPr>
        <w:t>et al.</w:t>
      </w:r>
      <w:r w:rsidR="00E36347">
        <w:t xml:space="preserve"> 2019</w:t>
      </w:r>
      <w:r w:rsidR="00565E48" w:rsidRPr="00C72497">
        <w:t xml:space="preserve">), </w:t>
      </w:r>
      <w:bookmarkStart w:id="29" w:name="_Hlk96209008"/>
      <w:r w:rsidR="00924AAE" w:rsidRPr="00C72497">
        <w:t xml:space="preserve">facilitate downstream drift and transportation of plankton, macroinvertebrates and fish larvae, </w:t>
      </w:r>
      <w:bookmarkEnd w:id="29"/>
      <w:r w:rsidR="00924AAE" w:rsidRPr="00C72497">
        <w:t>and provide diverse hydraulic habitats that are suitable for a range of species (e.g. Murray cod</w:t>
      </w:r>
      <w:r w:rsidR="001E24F9" w:rsidRPr="00C72497">
        <w:t xml:space="preserve">, </w:t>
      </w:r>
      <w:r w:rsidR="001E24F9" w:rsidRPr="00C72497">
        <w:rPr>
          <w:i/>
        </w:rPr>
        <w:t>Maccullochella peelii</w:t>
      </w:r>
      <w:r w:rsidR="00C834F8" w:rsidRPr="00C72497">
        <w:t xml:space="preserve"> and</w:t>
      </w:r>
      <w:r w:rsidR="00BF33CC" w:rsidRPr="00C72497">
        <w:rPr>
          <w:lang w:val="en-US"/>
        </w:rPr>
        <w:t xml:space="preserve"> Murray crayfish</w:t>
      </w:r>
      <w:r w:rsidR="00003D93" w:rsidRPr="00C72497">
        <w:rPr>
          <w:lang w:val="en-US"/>
        </w:rPr>
        <w:t>,</w:t>
      </w:r>
      <w:r w:rsidR="00BF33CC" w:rsidRPr="00C72497">
        <w:rPr>
          <w:lang w:val="en-US"/>
        </w:rPr>
        <w:t xml:space="preserve"> </w:t>
      </w:r>
      <w:r w:rsidR="00BF33CC" w:rsidRPr="00C72497">
        <w:rPr>
          <w:i/>
          <w:lang w:val="en-US"/>
        </w:rPr>
        <w:t>Euastacus armatus</w:t>
      </w:r>
      <w:r w:rsidR="00003D93" w:rsidRPr="00C72497">
        <w:rPr>
          <w:lang w:val="en-US"/>
        </w:rPr>
        <w:t>)</w:t>
      </w:r>
      <w:r w:rsidR="00924AAE" w:rsidRPr="00C72497">
        <w:t xml:space="preserve"> (</w:t>
      </w:r>
      <w:r w:rsidR="00C834F8" w:rsidRPr="00C72497">
        <w:t xml:space="preserve">Mallen-Cooper and </w:t>
      </w:r>
      <w:r w:rsidR="00354670" w:rsidRPr="00C72497">
        <w:t xml:space="preserve">Zampatti </w:t>
      </w:r>
      <w:r w:rsidR="00924AAE" w:rsidRPr="00C72497">
        <w:t>201</w:t>
      </w:r>
      <w:r w:rsidR="00C834F8" w:rsidRPr="00C72497">
        <w:t>8</w:t>
      </w:r>
      <w:r w:rsidR="00924AAE" w:rsidRPr="00C72497">
        <w:t xml:space="preserve">). </w:t>
      </w:r>
      <w:r w:rsidR="00493D35" w:rsidRPr="00C72497">
        <w:t>Increased variability in water levels improve lateral connectivity and</w:t>
      </w:r>
      <w:r w:rsidR="00F31343" w:rsidRPr="00C72497">
        <w:t xml:space="preserve"> increase</w:t>
      </w:r>
      <w:r w:rsidR="00493D35" w:rsidRPr="00C72497">
        <w:t xml:space="preserve"> transport of material from off-channel habitats</w:t>
      </w:r>
      <w:r w:rsidR="001E24F9" w:rsidRPr="00C72497">
        <w:t xml:space="preserve"> to enhance </w:t>
      </w:r>
      <w:r w:rsidR="00003D93" w:rsidRPr="00C72497">
        <w:t xml:space="preserve">productivity and support </w:t>
      </w:r>
      <w:r w:rsidR="001E24F9" w:rsidRPr="00C72497">
        <w:t>food webs (</w:t>
      </w:r>
      <w:r w:rsidR="00985E52" w:rsidRPr="00C72497">
        <w:t xml:space="preserve">Baldwin </w:t>
      </w:r>
      <w:r w:rsidR="00985E52" w:rsidRPr="00C72497">
        <w:rPr>
          <w:i/>
        </w:rPr>
        <w:t>et al.</w:t>
      </w:r>
      <w:r w:rsidR="00985E52" w:rsidRPr="00C72497">
        <w:t xml:space="preserve"> 2016</w:t>
      </w:r>
      <w:r w:rsidR="001E24F9" w:rsidRPr="00C72497">
        <w:t>)</w:t>
      </w:r>
      <w:r w:rsidR="00493D35" w:rsidRPr="00C72497">
        <w:t>, benefit fringing and floodplain vegetation (</w:t>
      </w:r>
      <w:r w:rsidR="00301B07" w:rsidRPr="00C72497">
        <w:t xml:space="preserve">e.g. </w:t>
      </w:r>
      <w:r w:rsidR="00985E52" w:rsidRPr="00C72497">
        <w:t xml:space="preserve">Cooling </w:t>
      </w:r>
      <w:r w:rsidR="00985E52" w:rsidRPr="00C72497">
        <w:rPr>
          <w:i/>
        </w:rPr>
        <w:t>et al.</w:t>
      </w:r>
      <w:r w:rsidR="00985E52" w:rsidRPr="00C72497">
        <w:t xml:space="preserve"> 2010</w:t>
      </w:r>
      <w:r w:rsidR="00493D35" w:rsidRPr="00C72497">
        <w:t>)</w:t>
      </w:r>
      <w:r w:rsidR="001E24F9" w:rsidRPr="00C72497">
        <w:t>, and assist</w:t>
      </w:r>
      <w:r w:rsidR="00924AAE" w:rsidRPr="00C72497">
        <w:t xml:space="preserve"> in the regular “re-setting” of biofil</w:t>
      </w:r>
      <w:r w:rsidR="002E5F65" w:rsidRPr="00C72497">
        <w:t>ms (Steinman and McIntire 1990), which</w:t>
      </w:r>
      <w:r w:rsidR="00924AAE" w:rsidRPr="00C72497">
        <w:t xml:space="preserve"> a</w:t>
      </w:r>
      <w:r w:rsidR="002E5F65" w:rsidRPr="00C72497">
        <w:t>re</w:t>
      </w:r>
      <w:r w:rsidR="00924AAE" w:rsidRPr="00C72497">
        <w:t xml:space="preserve"> key </w:t>
      </w:r>
      <w:r w:rsidR="002E5F65" w:rsidRPr="00C72497">
        <w:t>component</w:t>
      </w:r>
      <w:r w:rsidR="003060EC" w:rsidRPr="00C72497">
        <w:t>s</w:t>
      </w:r>
      <w:r w:rsidR="002E5F65" w:rsidRPr="00C72497">
        <w:t xml:space="preserve"> of riverine food webs.</w:t>
      </w:r>
    </w:p>
    <w:p w14:paraId="2F297AAE" w14:textId="2A0C3677" w:rsidR="00AB3997" w:rsidRDefault="00565E48" w:rsidP="00FE1764">
      <w:r>
        <w:t>In the MDB, e</w:t>
      </w:r>
      <w:r w:rsidRPr="00C72497">
        <w:t>nvironmental flows have been used to re-establish key features of the natural flow regime (MDBA</w:t>
      </w:r>
      <w:r>
        <w:t xml:space="preserve"> 2012</w:t>
      </w:r>
      <w:r w:rsidR="00AB3997" w:rsidRPr="00C72497">
        <w:t xml:space="preserve">; Koehn </w:t>
      </w:r>
      <w:r w:rsidR="00AB3997" w:rsidRPr="00C72497">
        <w:rPr>
          <w:i/>
        </w:rPr>
        <w:t>et al.</w:t>
      </w:r>
      <w:r w:rsidR="00AB3997" w:rsidRPr="00C72497">
        <w:t xml:space="preserve"> 2014; Webb </w:t>
      </w:r>
      <w:r w:rsidR="00AB3997" w:rsidRPr="00C72497">
        <w:rPr>
          <w:i/>
        </w:rPr>
        <w:t>et al.</w:t>
      </w:r>
      <w:r w:rsidR="00AB3997" w:rsidRPr="00C72497">
        <w:t xml:space="preserve"> 2017). </w:t>
      </w:r>
      <w:r w:rsidR="001624D8">
        <w:t>In South Australia, t</w:t>
      </w:r>
      <w:r w:rsidR="00AB3997" w:rsidRPr="00C72497">
        <w:t xml:space="preserve">he main channel of the </w:t>
      </w:r>
      <w:r w:rsidR="001624D8">
        <w:t xml:space="preserve">Lower </w:t>
      </w:r>
      <w:r w:rsidR="00AB3997" w:rsidRPr="00C72497">
        <w:t>Murray River</w:t>
      </w:r>
      <w:r w:rsidR="001624D8">
        <w:t xml:space="preserve"> (LMR)</w:t>
      </w:r>
      <w:r w:rsidR="0056123D" w:rsidRPr="00C72497">
        <w:t xml:space="preserve"> represents a significant ecological asset to be targeted for environmental watering (MDBC 2006</w:t>
      </w:r>
      <w:r w:rsidR="00E954E0" w:rsidRPr="00C72497">
        <w:t>; DEWNR 2015</w:t>
      </w:r>
      <w:r w:rsidR="0056123D" w:rsidRPr="00C72497">
        <w:t>)</w:t>
      </w:r>
      <w:r w:rsidR="00AB3997" w:rsidRPr="00C72497">
        <w:t xml:space="preserve">. </w:t>
      </w:r>
      <w:r w:rsidR="00AB71EA" w:rsidRPr="00C72497">
        <w:t>To achieve the greatest ecological benefits from available environmental water, it is important to u</w:t>
      </w:r>
      <w:r w:rsidR="00AB3997" w:rsidRPr="00C72497">
        <w:t>nderstand biological and ecological responses to flow regimes</w:t>
      </w:r>
      <w:r w:rsidR="00FE2195" w:rsidRPr="00C72497">
        <w:t>. This</w:t>
      </w:r>
      <w:r w:rsidR="00AB3997" w:rsidRPr="00C72497">
        <w:t xml:space="preserve"> provides critical knowledge to underpin environmental flow management</w:t>
      </w:r>
      <w:r w:rsidR="00AB71EA" w:rsidRPr="00C72497">
        <w:t xml:space="preserve"> in the LMR.</w:t>
      </w:r>
      <w:r w:rsidR="00AB3997" w:rsidRPr="00AB3997">
        <w:t xml:space="preserve"> </w:t>
      </w:r>
    </w:p>
    <w:p w14:paraId="40C89415" w14:textId="5FA7F716" w:rsidR="00986C11" w:rsidRPr="00C757C7" w:rsidRDefault="00AB3997" w:rsidP="00986C11">
      <w:pPr>
        <w:pStyle w:val="Heading2"/>
      </w:pPr>
      <w:bookmarkStart w:id="30" w:name="_Toc101963767"/>
      <w:bookmarkEnd w:id="22"/>
      <w:bookmarkEnd w:id="23"/>
      <w:bookmarkEnd w:id="24"/>
      <w:r>
        <w:t xml:space="preserve">CEWO </w:t>
      </w:r>
      <w:r w:rsidR="00FE2195">
        <w:t>Monitoring</w:t>
      </w:r>
      <w:r w:rsidR="00352806">
        <w:t>, Evaluation and Research</w:t>
      </w:r>
      <w:r w:rsidR="00FE1764">
        <w:t xml:space="preserve"> Project</w:t>
      </w:r>
      <w:bookmarkEnd w:id="30"/>
    </w:p>
    <w:p w14:paraId="69E5BD9F" w14:textId="00758D05" w:rsidR="00986C11" w:rsidRDefault="006873BB" w:rsidP="00986C11">
      <w:r>
        <w:t xml:space="preserve">From </w:t>
      </w:r>
      <w:r w:rsidR="00634767">
        <w:t>2019-20</w:t>
      </w:r>
      <w:r w:rsidR="00482768">
        <w:t xml:space="preserve"> to </w:t>
      </w:r>
      <w:r w:rsidR="00263649">
        <w:t>2022-23</w:t>
      </w:r>
      <w:r>
        <w:t xml:space="preserve">, </w:t>
      </w:r>
      <w:r w:rsidR="00986C11">
        <w:t>the Commonwealth Environmental Water Office</w:t>
      </w:r>
      <w:r w:rsidR="00B057F4">
        <w:t xml:space="preserve"> (CEWO)</w:t>
      </w:r>
      <w:r w:rsidR="00986C11">
        <w:t xml:space="preserve"> </w:t>
      </w:r>
      <w:r w:rsidR="00634767">
        <w:t>Monitoring, Evaluation</w:t>
      </w:r>
      <w:r w:rsidR="005B3F06">
        <w:t xml:space="preserve"> and Research (MER)</w:t>
      </w:r>
      <w:r w:rsidR="00986C11">
        <w:t xml:space="preserve"> </w:t>
      </w:r>
      <w:r w:rsidR="00B057F4">
        <w:t>P</w:t>
      </w:r>
      <w:r w:rsidR="00986C11">
        <w:t>roject monitor</w:t>
      </w:r>
      <w:r w:rsidR="005B3F06">
        <w:t>s</w:t>
      </w:r>
      <w:r w:rsidR="00986C11">
        <w:t xml:space="preserve"> and evaluate</w:t>
      </w:r>
      <w:r w:rsidR="007A5CC4">
        <w:t>s</w:t>
      </w:r>
      <w:r w:rsidR="00986C11">
        <w:t xml:space="preserve"> ecological outcomes of Commonwealth environmental water delivery in the </w:t>
      </w:r>
      <w:r w:rsidR="00432774">
        <w:t>MDB</w:t>
      </w:r>
      <w:r w:rsidR="00986C11">
        <w:t xml:space="preserve">. The project was implemented across seven Selected Areas throughout the MDB, including the </w:t>
      </w:r>
      <w:r w:rsidR="006C282C">
        <w:t>Lower Murray</w:t>
      </w:r>
      <w:r w:rsidR="00986C11">
        <w:t xml:space="preserve">, to </w:t>
      </w:r>
      <w:r w:rsidR="004F7B70">
        <w:t xml:space="preserve">assess and </w:t>
      </w:r>
      <w:r w:rsidR="002E7BE8">
        <w:t xml:space="preserve">evaluate both </w:t>
      </w:r>
      <w:r w:rsidR="00986C11">
        <w:t xml:space="preserve">Basin-scale </w:t>
      </w:r>
      <w:r w:rsidR="002E7BE8">
        <w:t xml:space="preserve">and </w:t>
      </w:r>
      <w:r w:rsidR="00986C11">
        <w:t xml:space="preserve">Selected Area (local) </w:t>
      </w:r>
      <w:r w:rsidR="002E7BE8">
        <w:t>responses to environmental flows</w:t>
      </w:r>
      <w:r w:rsidR="00986C11">
        <w:t xml:space="preserve">. The </w:t>
      </w:r>
      <w:r w:rsidR="008830FF">
        <w:t xml:space="preserve">overall aim of this project </w:t>
      </w:r>
      <w:r w:rsidR="0088551C">
        <w:t xml:space="preserve">is </w:t>
      </w:r>
      <w:r w:rsidR="00986C11">
        <w:t xml:space="preserve">to demonstrate the ecological </w:t>
      </w:r>
      <w:r w:rsidR="00986C11">
        <w:lastRenderedPageBreak/>
        <w:t>outcomes of Commonwealth environmental water delivery and support adaptive management.</w:t>
      </w:r>
      <w:r w:rsidR="00352806">
        <w:t xml:space="preserve"> </w:t>
      </w:r>
      <w:r w:rsidR="00352806" w:rsidRPr="00352806">
        <w:t>The current CEWO MER Project extend</w:t>
      </w:r>
      <w:r w:rsidR="00352806">
        <w:t>s</w:t>
      </w:r>
      <w:r w:rsidR="00352806" w:rsidRPr="00352806">
        <w:t xml:space="preserve"> the</w:t>
      </w:r>
      <w:r w:rsidR="00025A3E">
        <w:t xml:space="preserve"> monitoring activities commenced under the</w:t>
      </w:r>
      <w:r w:rsidR="0088551C">
        <w:t xml:space="preserve"> 2014–2019</w:t>
      </w:r>
      <w:r w:rsidR="00352806" w:rsidRPr="00352806">
        <w:t xml:space="preserve"> </w:t>
      </w:r>
      <w:r w:rsidR="005B3F06">
        <w:t>Long Term Intervention Monitoring (</w:t>
      </w:r>
      <w:r w:rsidR="00352806" w:rsidRPr="00352806">
        <w:t>LTIM</w:t>
      </w:r>
      <w:r w:rsidR="005B3F06">
        <w:t>)</w:t>
      </w:r>
      <w:r w:rsidR="00352806" w:rsidRPr="00352806">
        <w:t xml:space="preserve"> </w:t>
      </w:r>
      <w:r w:rsidR="00352806">
        <w:t>P</w:t>
      </w:r>
      <w:r w:rsidR="00352806" w:rsidRPr="00352806">
        <w:t xml:space="preserve">roject. </w:t>
      </w:r>
    </w:p>
    <w:p w14:paraId="2DA86E5B" w14:textId="2D5E7622" w:rsidR="00986C11" w:rsidRDefault="00F64316" w:rsidP="00986C11">
      <w:r>
        <w:t xml:space="preserve">In the Lower Murray, the CEWO MER Project focuses on the main river channel </w:t>
      </w:r>
      <w:r w:rsidRPr="00E91802">
        <w:t xml:space="preserve">between the </w:t>
      </w:r>
      <w:r>
        <w:t>South Australian</w:t>
      </w:r>
      <w:r w:rsidRPr="00E91802">
        <w:t xml:space="preserve"> border and Wellington</w:t>
      </w:r>
      <w:r>
        <w:t xml:space="preserve"> (LMR), with one </w:t>
      </w:r>
      <w:r w:rsidR="00227E2F">
        <w:t xml:space="preserve">indicator </w:t>
      </w:r>
      <w:r>
        <w:t xml:space="preserve">(i.e. Matter Transport and Coorong Habitat) </w:t>
      </w:r>
      <w:r w:rsidR="00986C11">
        <w:t xml:space="preserve">extending to the Lower Lakes and Coorong </w:t>
      </w:r>
      <w:r w:rsidR="00986C11" w:rsidRPr="00C757C7">
        <w:t>(</w:t>
      </w:r>
      <w:r w:rsidR="00986C11">
        <w:fldChar w:fldCharType="begin"/>
      </w:r>
      <w:r w:rsidR="00986C11">
        <w:instrText xml:space="preserve"> REF _Ref469926522 \h </w:instrText>
      </w:r>
      <w:r w:rsidR="00986C11">
        <w:fldChar w:fldCharType="separate"/>
      </w:r>
      <w:r w:rsidR="003C13F6">
        <w:t xml:space="preserve">Figure </w:t>
      </w:r>
      <w:r w:rsidR="003C13F6">
        <w:rPr>
          <w:noProof/>
        </w:rPr>
        <w:t>1</w:t>
      </w:r>
      <w:r w:rsidR="00986C11">
        <w:fldChar w:fldCharType="end"/>
      </w:r>
      <w:r w:rsidR="00986C11" w:rsidRPr="00C757C7">
        <w:t>)</w:t>
      </w:r>
      <w:r w:rsidR="00986C11">
        <w:t xml:space="preserve">. </w:t>
      </w:r>
      <w:r w:rsidR="00856103">
        <w:t xml:space="preserve">The riverine monitoring sites </w:t>
      </w:r>
      <w:r w:rsidR="00986C11">
        <w:t xml:space="preserve">(for indicators) </w:t>
      </w:r>
      <w:r w:rsidR="008830FF">
        <w:t xml:space="preserve">cover </w:t>
      </w:r>
      <w:r w:rsidR="00986C11">
        <w:t>three</w:t>
      </w:r>
      <w:r w:rsidR="00986C11" w:rsidRPr="00C757C7">
        <w:t xml:space="preserve"> geomorphic </w:t>
      </w:r>
      <w:r w:rsidR="00986C11">
        <w:t>zones (floodplain, gorge and swamplands) (</w:t>
      </w:r>
      <w:r w:rsidR="00986C11">
        <w:fldChar w:fldCharType="begin"/>
      </w:r>
      <w:r w:rsidR="00986C11">
        <w:instrText xml:space="preserve"> REF _Ref469926522 \h </w:instrText>
      </w:r>
      <w:r w:rsidR="00986C11">
        <w:fldChar w:fldCharType="separate"/>
      </w:r>
      <w:r w:rsidR="003C13F6">
        <w:t xml:space="preserve">Figure </w:t>
      </w:r>
      <w:r w:rsidR="003C13F6">
        <w:rPr>
          <w:noProof/>
        </w:rPr>
        <w:t>1</w:t>
      </w:r>
      <w:r w:rsidR="00986C11">
        <w:fldChar w:fldCharType="end"/>
      </w:r>
      <w:r w:rsidR="00986C11">
        <w:t>)</w:t>
      </w:r>
      <w:r w:rsidR="00986C11" w:rsidRPr="002C78BC">
        <w:t xml:space="preserve">. </w:t>
      </w:r>
    </w:p>
    <w:p w14:paraId="56771967" w14:textId="604A5AB7" w:rsidR="00534FCD" w:rsidRPr="00130926" w:rsidRDefault="005F4115" w:rsidP="00986C11">
      <w:pPr>
        <w:rPr>
          <w:rFonts w:cstheme="minorHAnsi"/>
          <w:szCs w:val="24"/>
        </w:rPr>
      </w:pPr>
      <w:r>
        <w:t xml:space="preserve">A total of </w:t>
      </w:r>
      <w:r w:rsidR="00352806">
        <w:t xml:space="preserve">nine </w:t>
      </w:r>
      <w:r w:rsidR="00534FCD">
        <w:t xml:space="preserve">indicators were </w:t>
      </w:r>
      <w:r>
        <w:t>established</w:t>
      </w:r>
      <w:r w:rsidR="00534FCD">
        <w:t xml:space="preserve"> to assess ecological responses to environmental water delivery in the </w:t>
      </w:r>
      <w:r w:rsidR="006C282C">
        <w:t>Lower Murray</w:t>
      </w:r>
      <w:r w:rsidR="00534FCD">
        <w:t>. Three indicators (</w:t>
      </w:r>
      <w:r w:rsidR="00534FCD" w:rsidRPr="00B417DC">
        <w:rPr>
          <w:b/>
          <w:i/>
        </w:rPr>
        <w:t>Hydrology (channel)</w:t>
      </w:r>
      <w:r w:rsidR="00130926">
        <w:rPr>
          <w:rStyle w:val="FootnoteReference"/>
          <w:b/>
          <w:i/>
        </w:rPr>
        <w:footnoteReference w:id="4"/>
      </w:r>
      <w:r w:rsidR="00534FCD">
        <w:t xml:space="preserve">, </w:t>
      </w:r>
      <w:r w:rsidR="00534FCD" w:rsidRPr="00B417DC">
        <w:rPr>
          <w:b/>
          <w:i/>
        </w:rPr>
        <w:t>Stream Metabolism</w:t>
      </w:r>
      <w:r w:rsidR="00352806">
        <w:rPr>
          <w:b/>
          <w:i/>
        </w:rPr>
        <w:t xml:space="preserve"> and Water Quality</w:t>
      </w:r>
      <w:r w:rsidR="00534FCD" w:rsidRPr="00B417DC">
        <w:rPr>
          <w:b/>
          <w:i/>
        </w:rPr>
        <w:t xml:space="preserve"> </w:t>
      </w:r>
      <w:r w:rsidR="00534FCD">
        <w:t xml:space="preserve">and </w:t>
      </w:r>
      <w:r w:rsidR="00534FCD" w:rsidRPr="00B417DC">
        <w:rPr>
          <w:b/>
          <w:i/>
        </w:rPr>
        <w:t>Fish (channel)</w:t>
      </w:r>
      <w:r w:rsidR="00534FCD">
        <w:t xml:space="preserve">) followed standard protocols to support quantitative Basin-wide and Selected Area evaluation, where applicable (Hale </w:t>
      </w:r>
      <w:r w:rsidR="00534FCD" w:rsidRPr="00B73F5A">
        <w:rPr>
          <w:i/>
        </w:rPr>
        <w:t>et al.</w:t>
      </w:r>
      <w:r w:rsidR="00534FCD">
        <w:t xml:space="preserve"> 2014). </w:t>
      </w:r>
      <w:r w:rsidR="00A51D6D">
        <w:t>Six</w:t>
      </w:r>
      <w:r w:rsidR="00534FCD">
        <w:t xml:space="preserve"> indicators (</w:t>
      </w:r>
      <w:r w:rsidR="00534FCD" w:rsidRPr="00B417DC">
        <w:rPr>
          <w:b/>
          <w:i/>
        </w:rPr>
        <w:t>Hydr</w:t>
      </w:r>
      <w:r w:rsidR="006873BB">
        <w:rPr>
          <w:b/>
          <w:i/>
        </w:rPr>
        <w:t>aulic</w:t>
      </w:r>
      <w:r w:rsidR="00534FCD" w:rsidRPr="00B417DC">
        <w:rPr>
          <w:b/>
          <w:i/>
        </w:rPr>
        <w:t xml:space="preserve"> Regime</w:t>
      </w:r>
      <w:r w:rsidR="00534FCD">
        <w:t xml:space="preserve">, </w:t>
      </w:r>
      <w:r w:rsidR="00534FCD" w:rsidRPr="00B417DC">
        <w:rPr>
          <w:b/>
          <w:i/>
        </w:rPr>
        <w:t>Matter Transport</w:t>
      </w:r>
      <w:r w:rsidR="00352806">
        <w:rPr>
          <w:b/>
          <w:i/>
        </w:rPr>
        <w:t xml:space="preserve"> and Coorong Habitat</w:t>
      </w:r>
      <w:r w:rsidR="00534FCD">
        <w:t xml:space="preserve">, </w:t>
      </w:r>
      <w:r w:rsidR="00A51D6D">
        <w:rPr>
          <w:b/>
          <w:i/>
        </w:rPr>
        <w:t xml:space="preserve">Littoral Vegetation Diversity and Productivity, </w:t>
      </w:r>
      <w:r w:rsidR="00534FCD" w:rsidRPr="00B417DC">
        <w:rPr>
          <w:b/>
          <w:i/>
        </w:rPr>
        <w:t>Microinvertebrate</w:t>
      </w:r>
      <w:r w:rsidR="00352806">
        <w:rPr>
          <w:b/>
          <w:i/>
        </w:rPr>
        <w:t xml:space="preserve"> Assemblage</w:t>
      </w:r>
      <w:r w:rsidR="006873BB">
        <w:rPr>
          <w:b/>
          <w:i/>
        </w:rPr>
        <w:t>,</w:t>
      </w:r>
      <w:r w:rsidR="00534FCD">
        <w:t xml:space="preserve"> </w:t>
      </w:r>
      <w:r w:rsidR="00A51D6D">
        <w:rPr>
          <w:b/>
          <w:i/>
        </w:rPr>
        <w:t xml:space="preserve">Murray Cod Recruitment </w:t>
      </w:r>
      <w:r w:rsidR="00534FCD">
        <w:t xml:space="preserve">and </w:t>
      </w:r>
      <w:r w:rsidR="00F46757" w:rsidRPr="00F46757">
        <w:rPr>
          <w:b/>
          <w:i/>
        </w:rPr>
        <w:t>Flow-cued Spawning Fish Recruitment</w:t>
      </w:r>
      <w:r w:rsidR="00534FCD">
        <w:t xml:space="preserve">) were developed to address </w:t>
      </w:r>
      <w:r w:rsidR="00F24595">
        <w:t xml:space="preserve">Selected Area-specific </w:t>
      </w:r>
      <w:r w:rsidR="00534FCD">
        <w:t xml:space="preserve">objectives and </w:t>
      </w:r>
      <w:r w:rsidR="00534FCD" w:rsidRPr="00C757C7">
        <w:t>test a series of</w:t>
      </w:r>
      <w:r w:rsidR="00534FCD">
        <w:t xml:space="preserve"> </w:t>
      </w:r>
      <w:r w:rsidR="00534FCD" w:rsidRPr="00C757C7">
        <w:t>hypotheses</w:t>
      </w:r>
      <w:r w:rsidR="00534FCD">
        <w:t xml:space="preserve"> with respect to biological/ecological response to environmental flows</w:t>
      </w:r>
      <w:r w:rsidR="00534FCD" w:rsidRPr="00374FAA">
        <w:t xml:space="preserve">. </w:t>
      </w:r>
      <w:r w:rsidR="00AC7B3D">
        <w:t>U</w:t>
      </w:r>
      <w:r w:rsidR="006D7405">
        <w:t>nder the MER Project, a</w:t>
      </w:r>
      <w:r w:rsidR="006D7405" w:rsidRPr="006D7405">
        <w:t>n integrated research project explore</w:t>
      </w:r>
      <w:r w:rsidR="00A45B90">
        <w:t>s</w:t>
      </w:r>
      <w:r w:rsidR="006D7405" w:rsidRPr="006D7405">
        <w:t xml:space="preserve"> the links between key indicators </w:t>
      </w:r>
      <w:r w:rsidR="00BF0B10">
        <w:t xml:space="preserve">to </w:t>
      </w:r>
      <w:r w:rsidR="006D7405" w:rsidRPr="006D7405">
        <w:t xml:space="preserve">improve our understanding of how flow influences the ecological processes that drive recruitment of key fish species (Murray cod). </w:t>
      </w:r>
      <w:r w:rsidR="00A45B90">
        <w:t>C</w:t>
      </w:r>
      <w:r w:rsidR="006D7405" w:rsidRPr="006D7405">
        <w:t xml:space="preserve">ontingency monitoring activities </w:t>
      </w:r>
      <w:r w:rsidR="00C13987">
        <w:t>(</w:t>
      </w:r>
      <w:r w:rsidR="000754C3">
        <w:t>i.e.</w:t>
      </w:r>
      <w:r w:rsidR="00C13987">
        <w:t xml:space="preserve"> </w:t>
      </w:r>
      <w:r w:rsidR="005B3F06">
        <w:t>spawning</w:t>
      </w:r>
      <w:r w:rsidR="00F91A46">
        <w:t xml:space="preserve"> </w:t>
      </w:r>
      <w:r w:rsidR="00D06C48">
        <w:t xml:space="preserve">and natal origin </w:t>
      </w:r>
      <w:r w:rsidR="00F91A46">
        <w:t>of flow-cued spawn</w:t>
      </w:r>
      <w:r w:rsidR="00D06C48">
        <w:t>ing fishes</w:t>
      </w:r>
      <w:r w:rsidR="000754C3">
        <w:t xml:space="preserve"> and </w:t>
      </w:r>
      <w:r w:rsidR="000754C3" w:rsidRPr="000754C3">
        <w:t>soil seed bank composition of the littoral zone</w:t>
      </w:r>
      <w:r w:rsidR="00C13987">
        <w:t xml:space="preserve"> in 20</w:t>
      </w:r>
      <w:r w:rsidR="005B3F06">
        <w:t>20</w:t>
      </w:r>
      <w:r w:rsidR="00C13987">
        <w:t>-2</w:t>
      </w:r>
      <w:r w:rsidR="005B3F06">
        <w:t>1</w:t>
      </w:r>
      <w:r w:rsidR="00C13987">
        <w:t xml:space="preserve">) </w:t>
      </w:r>
      <w:r w:rsidR="00E12095">
        <w:t xml:space="preserve">are </w:t>
      </w:r>
      <w:r w:rsidR="00A45B90">
        <w:t>also</w:t>
      </w:r>
      <w:r w:rsidR="006D7405" w:rsidRPr="006D7405">
        <w:t xml:space="preserve"> </w:t>
      </w:r>
      <w:r w:rsidR="008B54CA">
        <w:t xml:space="preserve">being </w:t>
      </w:r>
      <w:r w:rsidR="003423B8" w:rsidRPr="006D7405">
        <w:t>undertaken</w:t>
      </w:r>
      <w:r w:rsidR="003423B8">
        <w:t xml:space="preserve"> in response to opportunities as they arise</w:t>
      </w:r>
      <w:r w:rsidR="003423B8" w:rsidRPr="006D7405">
        <w:t xml:space="preserve"> </w:t>
      </w:r>
      <w:r w:rsidR="003423B8">
        <w:t xml:space="preserve">to </w:t>
      </w:r>
      <w:r w:rsidR="00AE4D55">
        <w:t xml:space="preserve">complement </w:t>
      </w:r>
      <w:r w:rsidR="003423B8">
        <w:t>current monitoring</w:t>
      </w:r>
      <w:r w:rsidR="00AE4D55">
        <w:t xml:space="preserve"> and</w:t>
      </w:r>
      <w:r w:rsidR="000754C3">
        <w:t xml:space="preserve"> evaluation,</w:t>
      </w:r>
      <w:r w:rsidR="003423B8">
        <w:t xml:space="preserve"> and/or </w:t>
      </w:r>
      <w:r w:rsidR="003423B8" w:rsidRPr="006D7405">
        <w:t>to inform environmental water use planning and management.</w:t>
      </w:r>
    </w:p>
    <w:p w14:paraId="5F1A12EA" w14:textId="6D1133C8" w:rsidR="00986C11" w:rsidRDefault="007037CC" w:rsidP="00986C11">
      <w:pPr>
        <w:jc w:val="center"/>
      </w:pPr>
      <w:bookmarkStart w:id="31" w:name="_Hlk95919525"/>
      <w:r>
        <w:rPr>
          <w:noProof/>
        </w:rPr>
        <w:lastRenderedPageBreak/>
        <w:drawing>
          <wp:inline distT="0" distB="0" distL="0" distR="0" wp14:anchorId="515D816C" wp14:editId="1550A4B1">
            <wp:extent cx="5731510" cy="532003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5320030"/>
                    </a:xfrm>
                    <a:prstGeom prst="rect">
                      <a:avLst/>
                    </a:prstGeom>
                    <a:noFill/>
                    <a:ln>
                      <a:noFill/>
                    </a:ln>
                  </pic:spPr>
                </pic:pic>
              </a:graphicData>
            </a:graphic>
          </wp:inline>
        </w:drawing>
      </w:r>
    </w:p>
    <w:p w14:paraId="06548E40" w14:textId="3A3DA8BA" w:rsidR="00986C11" w:rsidRDefault="00986C11" w:rsidP="00986C11">
      <w:pPr>
        <w:pStyle w:val="Caption"/>
      </w:pPr>
      <w:bookmarkStart w:id="32" w:name="_Ref469926522"/>
      <w:bookmarkStart w:id="33" w:name="_Toc3558352"/>
      <w:bookmarkStart w:id="34" w:name="_Toc101963793"/>
      <w:r>
        <w:t xml:space="preserve">Figure </w:t>
      </w:r>
      <w:fldSimple w:instr=" SEQ Figure \* ARABIC ">
        <w:r w:rsidR="003C13F6">
          <w:rPr>
            <w:noProof/>
          </w:rPr>
          <w:t>1</w:t>
        </w:r>
      </w:fldSimple>
      <w:bookmarkEnd w:id="32"/>
      <w:r>
        <w:t xml:space="preserve">. </w:t>
      </w:r>
      <w:r w:rsidRPr="00F33316">
        <w:t xml:space="preserve">Map of the </w:t>
      </w:r>
      <w:r w:rsidR="006C282C">
        <w:t>Lower Murray</w:t>
      </w:r>
      <w:r w:rsidR="006C282C" w:rsidRPr="00F33316">
        <w:t xml:space="preserve"> </w:t>
      </w:r>
      <w:r w:rsidRPr="00F33316">
        <w:t xml:space="preserve">Selected Area showing the </w:t>
      </w:r>
      <w:r w:rsidR="00482768">
        <w:t xml:space="preserve">Lower Murray River </w:t>
      </w:r>
      <w:r w:rsidRPr="00F33316">
        <w:t xml:space="preserve">floodplain (blue), gorge (green) and swamplands (orange) geomorphic zones, and the Lower Lakes </w:t>
      </w:r>
      <w:r w:rsidR="00847B1A">
        <w:t xml:space="preserve">and </w:t>
      </w:r>
      <w:r w:rsidRPr="00F33316">
        <w:t xml:space="preserve">Coorong (yellow). </w:t>
      </w:r>
      <w:r w:rsidR="006928CA" w:rsidRPr="006928CA">
        <w:t>Sampling sites are indicated by coloured circles (field monitoring) and triangles (modelling)</w:t>
      </w:r>
      <w:r w:rsidR="006928CA">
        <w:t>.</w:t>
      </w:r>
      <w:bookmarkEnd w:id="33"/>
      <w:bookmarkEnd w:id="34"/>
    </w:p>
    <w:p w14:paraId="1A8DB931" w14:textId="4F59E7F2" w:rsidR="00986C11" w:rsidRDefault="00986C11" w:rsidP="008756F6">
      <w:pPr>
        <w:pStyle w:val="Heading2"/>
      </w:pPr>
      <w:bookmarkStart w:id="35" w:name="_Toc101963768"/>
      <w:bookmarkEnd w:id="31"/>
      <w:r w:rsidRPr="00C92154">
        <w:t>Expected outcomes</w:t>
      </w:r>
      <w:r w:rsidR="008756F6">
        <w:t xml:space="preserve"> in the </w:t>
      </w:r>
      <w:r w:rsidR="006C282C">
        <w:t>Lower Murray</w:t>
      </w:r>
      <w:bookmarkEnd w:id="35"/>
    </w:p>
    <w:p w14:paraId="683C3000" w14:textId="4606DD0C" w:rsidR="0054677D" w:rsidRDefault="00A51D6D" w:rsidP="008A5B20">
      <w:r w:rsidRPr="00A51D6D">
        <w:t>For the period of the MER Project (2019</w:t>
      </w:r>
      <w:r w:rsidR="00182F08">
        <w:t>-</w:t>
      </w:r>
      <w:r w:rsidRPr="00A51D6D">
        <w:t xml:space="preserve">20 to </w:t>
      </w:r>
      <w:r w:rsidR="00263649">
        <w:t>2022-23</w:t>
      </w:r>
      <w:r w:rsidRPr="00A51D6D">
        <w:t xml:space="preserve">), it is expected that </w:t>
      </w:r>
      <w:r w:rsidR="0088551C">
        <w:t>most</w:t>
      </w:r>
      <w:r w:rsidRPr="00A51D6D">
        <w:t xml:space="preserve"> Commonwealth environmental water deliveries to the Lower Murray </w:t>
      </w:r>
      <w:r w:rsidR="00517FD6" w:rsidRPr="00A51D6D">
        <w:t xml:space="preserve">will </w:t>
      </w:r>
      <w:r w:rsidR="00517FD6" w:rsidRPr="002C286B">
        <w:t xml:space="preserve">contribute </w:t>
      </w:r>
      <w:r w:rsidR="002C286B" w:rsidRPr="002C286B">
        <w:t>to</w:t>
      </w:r>
      <w:r w:rsidR="00F85100">
        <w:t xml:space="preserve"> base</w:t>
      </w:r>
      <w:r w:rsidR="000E012E">
        <w:t xml:space="preserve"> </w:t>
      </w:r>
      <w:r w:rsidR="00F85100">
        <w:t>flows and</w:t>
      </w:r>
      <w:r w:rsidR="002C286B" w:rsidRPr="002C286B">
        <w:t xml:space="preserve"> freshes</w:t>
      </w:r>
      <w:r w:rsidR="0054677D" w:rsidRPr="0054677D">
        <w:t xml:space="preserve"> in the </w:t>
      </w:r>
      <w:r w:rsidR="00553181">
        <w:t>LMR</w:t>
      </w:r>
      <w:r w:rsidR="0054677D" w:rsidRPr="0054677D">
        <w:t xml:space="preserve"> channel</w:t>
      </w:r>
      <w:r w:rsidR="00F24595">
        <w:t xml:space="preserve"> (</w:t>
      </w:r>
      <w:r w:rsidR="00F24595">
        <w:fldChar w:fldCharType="begin"/>
      </w:r>
      <w:r w:rsidR="00F24595">
        <w:instrText xml:space="preserve"> REF _Ref14098373 \h </w:instrText>
      </w:r>
      <w:r w:rsidR="00F24595">
        <w:fldChar w:fldCharType="separate"/>
      </w:r>
      <w:r w:rsidR="003C13F6">
        <w:t xml:space="preserve">Figure </w:t>
      </w:r>
      <w:r w:rsidR="003C13F6">
        <w:rPr>
          <w:noProof/>
        </w:rPr>
        <w:t>2</w:t>
      </w:r>
      <w:r w:rsidR="00F24595">
        <w:fldChar w:fldCharType="end"/>
      </w:r>
      <w:r w:rsidR="00E0142F">
        <w:t>)</w:t>
      </w:r>
      <w:r w:rsidR="0054677D" w:rsidRPr="0054677D">
        <w:t xml:space="preserve">, and </w:t>
      </w:r>
      <w:r w:rsidR="007C505A">
        <w:t>maintain river</w:t>
      </w:r>
      <w:r w:rsidR="0054677D" w:rsidRPr="0054677D">
        <w:t xml:space="preserve"> flows </w:t>
      </w:r>
      <w:r w:rsidR="007C505A">
        <w:t>to</w:t>
      </w:r>
      <w:r w:rsidR="00D21A8F">
        <w:t xml:space="preserve"> the Lower Lakes and </w:t>
      </w:r>
      <w:r w:rsidR="0054677D" w:rsidRPr="0054677D">
        <w:t>Coorong</w:t>
      </w:r>
      <w:r w:rsidR="002C286B" w:rsidRPr="002C286B">
        <w:t>.</w:t>
      </w:r>
      <w:r w:rsidR="005D6662" w:rsidRPr="005D6662">
        <w:t xml:space="preserve"> </w:t>
      </w:r>
      <w:r w:rsidR="0054677D" w:rsidRPr="0054677D">
        <w:t xml:space="preserve">These particular flows </w:t>
      </w:r>
      <w:r w:rsidR="007C505A">
        <w:t>aim</w:t>
      </w:r>
      <w:r w:rsidR="0054677D" w:rsidRPr="0054677D">
        <w:t xml:space="preserve"> to achieve a variety of </w:t>
      </w:r>
      <w:r w:rsidR="007C505A">
        <w:t xml:space="preserve">environmental </w:t>
      </w:r>
      <w:r w:rsidR="0054677D" w:rsidRPr="0054677D">
        <w:t>outcomes including those relating to fish, vegetation,</w:t>
      </w:r>
      <w:r w:rsidR="007C505A">
        <w:t xml:space="preserve"> birds, water quality and</w:t>
      </w:r>
      <w:r w:rsidR="0054677D" w:rsidRPr="0054677D">
        <w:t xml:space="preserve"> river </w:t>
      </w:r>
      <w:r w:rsidR="0054677D" w:rsidRPr="00553181">
        <w:t>function, Lower Lakes water levels</w:t>
      </w:r>
      <w:r w:rsidR="00D21A8F" w:rsidRPr="00553181">
        <w:t>,</w:t>
      </w:r>
      <w:r w:rsidR="0054677D" w:rsidRPr="00553181">
        <w:t xml:space="preserve"> salt export</w:t>
      </w:r>
      <w:r w:rsidR="00D21A8F" w:rsidRPr="00553181">
        <w:t xml:space="preserve"> and connectivity between freshwater, estuarine and marine environment</w:t>
      </w:r>
      <w:r w:rsidR="0071569C">
        <w:t>s</w:t>
      </w:r>
      <w:r w:rsidR="0054677D">
        <w:t xml:space="preserve"> (</w:t>
      </w:r>
      <w:r w:rsidR="008849C5">
        <w:t>Appendix A</w:t>
      </w:r>
      <w:r w:rsidR="0054677D" w:rsidRPr="0054677D">
        <w:t xml:space="preserve">), although </w:t>
      </w:r>
      <w:r w:rsidR="00114345">
        <w:t xml:space="preserve">only some </w:t>
      </w:r>
      <w:r w:rsidR="0054677D" w:rsidRPr="0054677D">
        <w:t xml:space="preserve">of these </w:t>
      </w:r>
      <w:r w:rsidR="007C505A">
        <w:t>are</w:t>
      </w:r>
      <w:r w:rsidR="0013251B">
        <w:t xml:space="preserve"> </w:t>
      </w:r>
      <w:r w:rsidR="0054677D" w:rsidRPr="0054677D">
        <w:t>monitored through this project.</w:t>
      </w:r>
    </w:p>
    <w:p w14:paraId="6A5EAC22" w14:textId="3774FC4A" w:rsidR="002C286B" w:rsidRDefault="00AF4543">
      <w:r w:rsidRPr="00AF4543">
        <w:rPr>
          <w:noProof/>
        </w:rPr>
        <w:lastRenderedPageBreak/>
        <w:drawing>
          <wp:inline distT="0" distB="0" distL="0" distR="0" wp14:anchorId="70C7B885" wp14:editId="002F351A">
            <wp:extent cx="5731510" cy="247396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2473960"/>
                    </a:xfrm>
                    <a:prstGeom prst="rect">
                      <a:avLst/>
                    </a:prstGeom>
                    <a:noFill/>
                    <a:ln>
                      <a:noFill/>
                    </a:ln>
                  </pic:spPr>
                </pic:pic>
              </a:graphicData>
            </a:graphic>
          </wp:inline>
        </w:drawing>
      </w:r>
    </w:p>
    <w:p w14:paraId="38D66FBC" w14:textId="382F3E96" w:rsidR="00503001" w:rsidRDefault="002C286B" w:rsidP="004C3BA1">
      <w:pPr>
        <w:pStyle w:val="Captions"/>
      </w:pPr>
      <w:bookmarkStart w:id="36" w:name="_Ref14098373"/>
      <w:bookmarkStart w:id="37" w:name="_Toc101963794"/>
      <w:r>
        <w:t xml:space="preserve">Figure </w:t>
      </w:r>
      <w:r w:rsidR="001F30EA">
        <w:fldChar w:fldCharType="begin"/>
      </w:r>
      <w:r w:rsidR="001F30EA">
        <w:instrText xml:space="preserve"> SEQ Figure \* ARABIC </w:instrText>
      </w:r>
      <w:r w:rsidR="001F30EA">
        <w:fldChar w:fldCharType="separate"/>
      </w:r>
      <w:r w:rsidR="003C13F6">
        <w:rPr>
          <w:noProof/>
        </w:rPr>
        <w:t>2</w:t>
      </w:r>
      <w:r w:rsidR="001F30EA">
        <w:fldChar w:fldCharType="end"/>
      </w:r>
      <w:bookmarkEnd w:id="36"/>
      <w:r w:rsidR="007055C4">
        <w:t xml:space="preserve">. </w:t>
      </w:r>
      <w:r w:rsidR="007055C4" w:rsidRPr="002C286B">
        <w:t xml:space="preserve">The various flow types </w:t>
      </w:r>
      <w:r w:rsidR="007055C4">
        <w:t xml:space="preserve">of the Lower Murray River </w:t>
      </w:r>
      <w:r w:rsidR="007055C4" w:rsidRPr="002C286B">
        <w:t xml:space="preserve">as described </w:t>
      </w:r>
      <w:r w:rsidR="007055C4">
        <w:t xml:space="preserve">in </w:t>
      </w:r>
      <w:r w:rsidR="007055C4" w:rsidRPr="002C286B">
        <w:t>the Murray–Darling Basin Plan (</w:t>
      </w:r>
      <w:r w:rsidR="00DD241A">
        <w:t xml:space="preserve">MDBA </w:t>
      </w:r>
      <w:r w:rsidR="007055C4" w:rsidRPr="002C286B">
        <w:t>201</w:t>
      </w:r>
      <w:r w:rsidR="00DD241A">
        <w:t>1</w:t>
      </w:r>
      <w:r w:rsidR="007055C4" w:rsidRPr="002C286B">
        <w:t>).</w:t>
      </w:r>
      <w:r w:rsidR="00B26CD1">
        <w:t xml:space="preserve"> This diagram represents an idealised, unconstrained </w:t>
      </w:r>
      <w:r w:rsidR="00636199">
        <w:t>river reach.</w:t>
      </w:r>
      <w:bookmarkEnd w:id="37"/>
    </w:p>
    <w:p w14:paraId="0114F888" w14:textId="34612987" w:rsidR="003423B8" w:rsidRDefault="003423B8" w:rsidP="003423B8">
      <w:r>
        <w:t xml:space="preserve">In the Lower Murray, environmental water delivery that contributes to base flows and freshes increases stream velocity, mixing and </w:t>
      </w:r>
      <w:r w:rsidR="00636199">
        <w:t>dilution; increases variability in water levels; increases the inundated area of</w:t>
      </w:r>
      <w:r w:rsidR="00E0142F">
        <w:t xml:space="preserve"> the</w:t>
      </w:r>
      <w:r w:rsidR="00636199">
        <w:t xml:space="preserve"> littoral zone of channels, low-lying wetlands and floodplains; and</w:t>
      </w:r>
      <w:r>
        <w:t xml:space="preserve"> improves connectivity</w:t>
      </w:r>
      <w:r w:rsidRPr="00AA6B63">
        <w:t xml:space="preserve"> between freshwater, estuarine and marine environments</w:t>
      </w:r>
      <w:r>
        <w:t xml:space="preserve"> (Ye </w:t>
      </w:r>
      <w:r w:rsidRPr="003423B8">
        <w:rPr>
          <w:i/>
          <w:iCs/>
        </w:rPr>
        <w:t>et al.</w:t>
      </w:r>
      <w:r>
        <w:t xml:space="preserve"> 2020</w:t>
      </w:r>
      <w:r w:rsidR="0036505B">
        <w:t>a</w:t>
      </w:r>
      <w:r>
        <w:t>). These changes to hydrological/hydraulic conditions in the LMR are expected to lead to:</w:t>
      </w:r>
    </w:p>
    <w:p w14:paraId="0902115D" w14:textId="4AD7C201" w:rsidR="00D84F83" w:rsidRDefault="00D84F83" w:rsidP="007B56CE">
      <w:pPr>
        <w:pStyle w:val="ListParagraph"/>
        <w:numPr>
          <w:ilvl w:val="0"/>
          <w:numId w:val="4"/>
        </w:numPr>
      </w:pPr>
      <w:r>
        <w:t>Maintained dissolved oxygen and water quality due to increased mixing and discharge</w:t>
      </w:r>
      <w:r w:rsidR="005961D7">
        <w:t>;</w:t>
      </w:r>
    </w:p>
    <w:p w14:paraId="2D5D80BC" w14:textId="523A7D6C" w:rsidR="00115809" w:rsidRDefault="00115809" w:rsidP="007B56CE">
      <w:pPr>
        <w:pStyle w:val="ListParagraph"/>
        <w:numPr>
          <w:ilvl w:val="0"/>
          <w:numId w:val="4"/>
        </w:numPr>
      </w:pPr>
      <w:r>
        <w:t xml:space="preserve">Increased productivity </w:t>
      </w:r>
      <w:r w:rsidR="00076584">
        <w:t xml:space="preserve">due to lateral </w:t>
      </w:r>
      <w:r>
        <w:t>transport of organic material</w:t>
      </w:r>
      <w:r w:rsidR="005961D7">
        <w:t>;</w:t>
      </w:r>
    </w:p>
    <w:p w14:paraId="77208755" w14:textId="28EA8901" w:rsidR="00115809" w:rsidRDefault="00115809" w:rsidP="007B56CE">
      <w:pPr>
        <w:pStyle w:val="ListParagraph"/>
        <w:numPr>
          <w:ilvl w:val="0"/>
          <w:numId w:val="4"/>
        </w:numPr>
      </w:pPr>
      <w:r>
        <w:t>Increased transport of dissolved and particulate matter (salt and nutrients) downstream due to mobilisation and increased discharge</w:t>
      </w:r>
      <w:r w:rsidR="005961D7">
        <w:t>;</w:t>
      </w:r>
    </w:p>
    <w:p w14:paraId="74348421" w14:textId="67C8F8E1" w:rsidR="004D4CA4" w:rsidRDefault="004D4CA4" w:rsidP="007B56CE">
      <w:pPr>
        <w:pStyle w:val="ListParagraph"/>
        <w:numPr>
          <w:ilvl w:val="0"/>
          <w:numId w:val="4"/>
        </w:numPr>
      </w:pPr>
      <w:r w:rsidRPr="004D4CA4">
        <w:t>Increased littoral understorey vegetation diversity, productivity and community resilience</w:t>
      </w:r>
      <w:r w:rsidR="00F46757">
        <w:t xml:space="preserve"> due to increased water level</w:t>
      </w:r>
      <w:r w:rsidR="00F64EF3">
        <w:t xml:space="preserve"> variability</w:t>
      </w:r>
      <w:r w:rsidR="005961D7">
        <w:t>;</w:t>
      </w:r>
    </w:p>
    <w:p w14:paraId="35F4BC52" w14:textId="5D7DA26E" w:rsidR="00115809" w:rsidRDefault="00115809" w:rsidP="007B56CE">
      <w:pPr>
        <w:pStyle w:val="ListParagraph"/>
        <w:numPr>
          <w:ilvl w:val="0"/>
          <w:numId w:val="4"/>
        </w:numPr>
      </w:pPr>
      <w:r>
        <w:t xml:space="preserve">Increased </w:t>
      </w:r>
      <w:r w:rsidR="004D4CA4">
        <w:t xml:space="preserve">microinvertebrates </w:t>
      </w:r>
      <w:r w:rsidR="00DD4808">
        <w:t>(</w:t>
      </w:r>
      <w:r w:rsidR="004D4CA4">
        <w:t>and egg-bank</w:t>
      </w:r>
      <w:r w:rsidR="00DD4808">
        <w:t>)</w:t>
      </w:r>
      <w:r w:rsidR="004D4CA4">
        <w:t xml:space="preserve"> </w:t>
      </w:r>
      <w:r w:rsidR="00DD4808">
        <w:t>diversity and abundance d</w:t>
      </w:r>
      <w:r w:rsidR="00076584">
        <w:t xml:space="preserve">ue to </w:t>
      </w:r>
      <w:r w:rsidR="00144D9C">
        <w:t xml:space="preserve">increased inundated area </w:t>
      </w:r>
      <w:r w:rsidR="00794A20">
        <w:t xml:space="preserve">in littoral and off-channel habitats </w:t>
      </w:r>
      <w:r w:rsidR="00076584">
        <w:t>from increased water levels and discharge</w:t>
      </w:r>
      <w:r w:rsidR="005961D7">
        <w:t>;</w:t>
      </w:r>
    </w:p>
    <w:p w14:paraId="4168C1F0" w14:textId="7BC8528B" w:rsidR="008649B5" w:rsidRPr="008649B5" w:rsidRDefault="008649B5" w:rsidP="008649B5">
      <w:pPr>
        <w:pStyle w:val="ListParagraph"/>
        <w:numPr>
          <w:ilvl w:val="0"/>
          <w:numId w:val="4"/>
        </w:numPr>
      </w:pPr>
      <w:r w:rsidRPr="008649B5">
        <w:t xml:space="preserve">Increased </w:t>
      </w:r>
      <w:r w:rsidR="002B1324">
        <w:t>abundance</w:t>
      </w:r>
      <w:r w:rsidRPr="008649B5">
        <w:t xml:space="preserve"> of </w:t>
      </w:r>
      <w:r w:rsidR="008424FF">
        <w:t xml:space="preserve">microinvertebrate </w:t>
      </w:r>
      <w:r w:rsidRPr="008649B5">
        <w:t>taxa common to upstream areas and those that have been found to proliferate during times of high velocity and longitudinal connectivity due to entrainment and downstream transportation</w:t>
      </w:r>
      <w:r>
        <w:t>;</w:t>
      </w:r>
    </w:p>
    <w:p w14:paraId="08E953C2" w14:textId="26C12C05" w:rsidR="00115809" w:rsidRDefault="00115809" w:rsidP="007B56CE">
      <w:pPr>
        <w:pStyle w:val="ListParagraph"/>
        <w:numPr>
          <w:ilvl w:val="0"/>
          <w:numId w:val="4"/>
        </w:numPr>
      </w:pPr>
      <w:r>
        <w:t>Increased larval abundance of flow-</w:t>
      </w:r>
      <w:r w:rsidR="002D7509">
        <w:t>cued spawning</w:t>
      </w:r>
      <w:r>
        <w:t xml:space="preserve"> fish species </w:t>
      </w:r>
      <w:r w:rsidR="004D4CA4">
        <w:t>(golden perch</w:t>
      </w:r>
      <w:r w:rsidR="00144D9C">
        <w:t xml:space="preserve"> </w:t>
      </w:r>
      <w:r w:rsidR="00A7193C" w:rsidRPr="00A7193C">
        <w:rPr>
          <w:i/>
          <w:iCs/>
        </w:rPr>
        <w:t>Macqu</w:t>
      </w:r>
      <w:r w:rsidR="00A7193C">
        <w:rPr>
          <w:i/>
          <w:iCs/>
        </w:rPr>
        <w:t>a</w:t>
      </w:r>
      <w:r w:rsidR="00A7193C" w:rsidRPr="00A7193C">
        <w:rPr>
          <w:i/>
          <w:iCs/>
        </w:rPr>
        <w:t>ria ambigua</w:t>
      </w:r>
      <w:r w:rsidR="00A7193C">
        <w:t xml:space="preserve"> </w:t>
      </w:r>
      <w:r w:rsidR="00144D9C">
        <w:t>and silver perch</w:t>
      </w:r>
      <w:r w:rsidR="004D4CA4">
        <w:t xml:space="preserve">) </w:t>
      </w:r>
      <w:r>
        <w:t>due to the provision of flow-cues for spawning and increased larval drift and dispersion</w:t>
      </w:r>
      <w:r w:rsidR="005961D7">
        <w:t>;</w:t>
      </w:r>
    </w:p>
    <w:p w14:paraId="7A3EF544" w14:textId="5BC2841F" w:rsidR="00115809" w:rsidRDefault="00115809" w:rsidP="007B56CE">
      <w:pPr>
        <w:pStyle w:val="ListParagraph"/>
        <w:numPr>
          <w:ilvl w:val="0"/>
          <w:numId w:val="4"/>
        </w:numPr>
      </w:pPr>
      <w:r>
        <w:t xml:space="preserve">Increased recruitment of </w:t>
      </w:r>
      <w:r w:rsidR="002D7509">
        <w:t>flow-cued spawning</w:t>
      </w:r>
      <w:r>
        <w:t xml:space="preserve"> fish species due to increased spawning and larval drift, and enhanced survival rate due to increased productivity</w:t>
      </w:r>
      <w:r w:rsidR="005961D7">
        <w:t>;</w:t>
      </w:r>
    </w:p>
    <w:p w14:paraId="5A56DEEF" w14:textId="50537DF7" w:rsidR="004D4CA4" w:rsidRDefault="004D4CA4" w:rsidP="007B56CE">
      <w:pPr>
        <w:pStyle w:val="ListParagraph"/>
        <w:numPr>
          <w:ilvl w:val="0"/>
          <w:numId w:val="4"/>
        </w:numPr>
      </w:pPr>
      <w:r w:rsidRPr="004D4CA4">
        <w:t>Improved recruitment and population resilience of main channel specialist fish species (Murray cod)</w:t>
      </w:r>
      <w:r>
        <w:t xml:space="preserve"> due to</w:t>
      </w:r>
      <w:r w:rsidR="00E376F1">
        <w:t xml:space="preserve"> increase in lotic habitat and </w:t>
      </w:r>
      <w:r w:rsidR="00F46757">
        <w:t>productivity</w:t>
      </w:r>
      <w:r w:rsidR="005961D7">
        <w:t>;</w:t>
      </w:r>
    </w:p>
    <w:p w14:paraId="73361826" w14:textId="6C2E9663" w:rsidR="00500A4F" w:rsidRDefault="004D4CA4" w:rsidP="007B56CE">
      <w:pPr>
        <w:pStyle w:val="ListParagraph"/>
        <w:numPr>
          <w:ilvl w:val="0"/>
          <w:numId w:val="4"/>
        </w:numPr>
      </w:pPr>
      <w:r w:rsidRPr="004D4CA4">
        <w:t xml:space="preserve">Increased salt export out of the MDB; </w:t>
      </w:r>
      <w:r w:rsidR="00500A4F">
        <w:t>reduced salt import into the Coorong</w:t>
      </w:r>
      <w:r w:rsidR="005961D7">
        <w:t>,</w:t>
      </w:r>
      <w:r w:rsidR="00500A4F">
        <w:t xml:space="preserve"> </w:t>
      </w:r>
      <w:r w:rsidRPr="004D4CA4">
        <w:t>and reduced salinities</w:t>
      </w:r>
      <w:r w:rsidR="005961D7">
        <w:t>; and</w:t>
      </w:r>
    </w:p>
    <w:p w14:paraId="438E06B2" w14:textId="0D066ABC" w:rsidR="004D4CA4" w:rsidRDefault="00500A4F" w:rsidP="007B56CE">
      <w:pPr>
        <w:pStyle w:val="ListParagraph"/>
        <w:numPr>
          <w:ilvl w:val="0"/>
          <w:numId w:val="4"/>
        </w:numPr>
      </w:pPr>
      <w:r>
        <w:lastRenderedPageBreak/>
        <w:t>I</w:t>
      </w:r>
      <w:r w:rsidR="004D4CA4" w:rsidRPr="004D4CA4">
        <w:t>mproved fish habitats in the Coorong, and</w:t>
      </w:r>
      <w:r>
        <w:t xml:space="preserve"> also</w:t>
      </w:r>
      <w:r w:rsidR="004D4CA4" w:rsidRPr="004D4CA4">
        <w:t xml:space="preserve"> </w:t>
      </w:r>
      <w:r w:rsidR="004D4CA4" w:rsidRPr="004D4CA4">
        <w:rPr>
          <w:i/>
        </w:rPr>
        <w:t>Ruppia tuberosa</w:t>
      </w:r>
      <w:r w:rsidR="004D4CA4" w:rsidRPr="004D4CA4">
        <w:t xml:space="preserve"> habitats at higher flow.</w:t>
      </w:r>
    </w:p>
    <w:p w14:paraId="040A1906" w14:textId="59A9C5B2" w:rsidR="00503001" w:rsidRDefault="00503001" w:rsidP="00503001">
      <w:pPr>
        <w:rPr>
          <w:rFonts w:asciiTheme="minorHAnsi" w:hAnsiTheme="minorHAnsi"/>
        </w:rPr>
      </w:pPr>
      <w:r w:rsidRPr="00503001">
        <w:t>Over the long-term</w:t>
      </w:r>
      <w:r w:rsidR="00F65A33">
        <w:t xml:space="preserve"> (decades)</w:t>
      </w:r>
      <w:r w:rsidRPr="00503001">
        <w:t xml:space="preserve">, environmental water delivery </w:t>
      </w:r>
      <w:r w:rsidR="00E954E0">
        <w:t>i</w:t>
      </w:r>
      <w:r w:rsidRPr="00503001">
        <w:t>s expected to make a significant contribution to achieving eco</w:t>
      </w:r>
      <w:r w:rsidR="00994ED4">
        <w:t xml:space="preserve">system </w:t>
      </w:r>
      <w:r w:rsidRPr="00503001">
        <w:t xml:space="preserve">outcomes in the </w:t>
      </w:r>
      <w:r w:rsidR="00DE56E1">
        <w:t>Lower Murray</w:t>
      </w:r>
      <w:r w:rsidRPr="00503001">
        <w:t xml:space="preserve">, through restoring ecological processes and improving habitat for biota in the main channel and floodplain/wetlands. A consolidated view of the expected outcomes </w:t>
      </w:r>
      <w:r w:rsidR="005E2E99">
        <w:t xml:space="preserve">driven by flow </w:t>
      </w:r>
      <w:r w:rsidRPr="00503001">
        <w:t xml:space="preserve">for the </w:t>
      </w:r>
      <w:r w:rsidR="00DE56E1">
        <w:t>Lower Murray</w:t>
      </w:r>
      <w:r w:rsidR="00DE56E1" w:rsidRPr="00503001">
        <w:t xml:space="preserve"> </w:t>
      </w:r>
      <w:r w:rsidRPr="00503001">
        <w:t xml:space="preserve">is presented in </w:t>
      </w:r>
      <w:r w:rsidRPr="00503001">
        <w:fldChar w:fldCharType="begin"/>
      </w:r>
      <w:r w:rsidRPr="00503001">
        <w:instrText xml:space="preserve"> REF _Ref15999013 \h  \* MERGEFORMAT </w:instrText>
      </w:r>
      <w:r w:rsidRPr="00503001">
        <w:fldChar w:fldCharType="separate"/>
      </w:r>
      <w:r w:rsidR="003C13F6">
        <w:t xml:space="preserve">Figure </w:t>
      </w:r>
      <w:r w:rsidR="003C13F6">
        <w:rPr>
          <w:noProof/>
        </w:rPr>
        <w:t>3</w:t>
      </w:r>
      <w:r w:rsidRPr="00503001">
        <w:fldChar w:fldCharType="end"/>
      </w:r>
      <w:r w:rsidRPr="00503001">
        <w:t xml:space="preserve"> below, which includes core monitoring indicators of the </w:t>
      </w:r>
      <w:r w:rsidR="00DE56E1">
        <w:t>MER</w:t>
      </w:r>
      <w:r w:rsidRPr="00503001">
        <w:t xml:space="preserve"> Project</w:t>
      </w:r>
      <w:r w:rsidR="005F4769">
        <w:t xml:space="preserve">. The conceptual diagram </w:t>
      </w:r>
      <w:r w:rsidR="00353D1D">
        <w:t xml:space="preserve">demonstrates the inter-relationships between </w:t>
      </w:r>
      <w:r w:rsidR="005F4769">
        <w:t xml:space="preserve">the changes of </w:t>
      </w:r>
      <w:r w:rsidR="00353D1D">
        <w:t>hydrological</w:t>
      </w:r>
      <w:r w:rsidR="005F4769">
        <w:t xml:space="preserve">/hydraulic regime and </w:t>
      </w:r>
      <w:r w:rsidR="00353D1D">
        <w:t xml:space="preserve">riverine productivity (stream metabolism, </w:t>
      </w:r>
      <w:r w:rsidR="00412AC1">
        <w:t xml:space="preserve">vegetation, </w:t>
      </w:r>
      <w:r w:rsidR="00353D1D">
        <w:t>microinvertebrates) and</w:t>
      </w:r>
      <w:r w:rsidR="005F4769">
        <w:t xml:space="preserve"> matter transport, and </w:t>
      </w:r>
      <w:r w:rsidR="00353D1D">
        <w:t>how these may influence</w:t>
      </w:r>
      <w:r w:rsidR="00412AC1">
        <w:t xml:space="preserve"> fish</w:t>
      </w:r>
      <w:r w:rsidR="00353D1D">
        <w:t xml:space="preserve"> spawning and recruitment </w:t>
      </w:r>
      <w:r w:rsidR="005F4769">
        <w:t xml:space="preserve">and the overall fish assemblage in the </w:t>
      </w:r>
      <w:r w:rsidR="00412AC1">
        <w:t>Lower Murray</w:t>
      </w:r>
      <w:r w:rsidRPr="00503001">
        <w:t>.</w:t>
      </w:r>
    </w:p>
    <w:p w14:paraId="0A2EB9FC" w14:textId="2782C059" w:rsidR="00A940FE" w:rsidRDefault="00A940FE" w:rsidP="00A940FE">
      <w:pPr>
        <w:jc w:val="center"/>
        <w:rPr>
          <w:kern w:val="0"/>
          <w:lang w:val="en-US"/>
        </w:rPr>
      </w:pPr>
      <w:bookmarkStart w:id="38" w:name="_Ref391538119"/>
      <w:r>
        <w:rPr>
          <w:kern w:val="0"/>
          <w:lang w:val="en-US"/>
        </w:rPr>
        <w:t xml:space="preserve">     </w:t>
      </w:r>
      <w:r w:rsidR="004D4CA4" w:rsidRPr="004D4CA4">
        <w:rPr>
          <w:noProof/>
          <w:lang w:eastAsia="en-AU"/>
        </w:rPr>
        <w:drawing>
          <wp:inline distT="0" distB="0" distL="0" distR="0" wp14:anchorId="233078F7" wp14:editId="7102B449">
            <wp:extent cx="3049006" cy="38284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8401" cy="3840212"/>
                    </a:xfrm>
                    <a:prstGeom prst="rect">
                      <a:avLst/>
                    </a:prstGeom>
                    <a:noFill/>
                    <a:ln>
                      <a:noFill/>
                    </a:ln>
                  </pic:spPr>
                </pic:pic>
              </a:graphicData>
            </a:graphic>
          </wp:inline>
        </w:drawing>
      </w:r>
    </w:p>
    <w:p w14:paraId="0E596A44" w14:textId="47E81124" w:rsidR="00817AE3" w:rsidRPr="00817AE3" w:rsidRDefault="00A940FE" w:rsidP="00A940FE">
      <w:pPr>
        <w:pStyle w:val="Caption"/>
      </w:pPr>
      <w:bookmarkStart w:id="39" w:name="_Ref15999013"/>
      <w:bookmarkStart w:id="40" w:name="_Toc12630431"/>
      <w:bookmarkStart w:id="41" w:name="_Toc101963795"/>
      <w:bookmarkEnd w:id="38"/>
      <w:r>
        <w:t xml:space="preserve">Figure </w:t>
      </w:r>
      <w:fldSimple w:instr=" SEQ Figure \* ARABIC ">
        <w:r w:rsidR="003C13F6">
          <w:rPr>
            <w:noProof/>
          </w:rPr>
          <w:t>3</w:t>
        </w:r>
      </w:fldSimple>
      <w:bookmarkEnd w:id="39"/>
      <w:r>
        <w:t xml:space="preserve">. </w:t>
      </w:r>
      <w:bookmarkEnd w:id="40"/>
      <w:r w:rsidRPr="00A940FE">
        <w:rPr>
          <w:rFonts w:eastAsiaTheme="minorEastAsia"/>
          <w:kern w:val="24"/>
          <w:lang w:val="en-US"/>
        </w:rPr>
        <w:t xml:space="preserve">Cause and effect diagram of flow for the main channel of the </w:t>
      </w:r>
      <w:r w:rsidR="00314F1A">
        <w:rPr>
          <w:rFonts w:eastAsiaTheme="minorEastAsia"/>
          <w:kern w:val="24"/>
          <w:lang w:val="en-US"/>
        </w:rPr>
        <w:t>Lower Murray</w:t>
      </w:r>
      <w:r w:rsidR="00314F1A" w:rsidRPr="00A940FE">
        <w:rPr>
          <w:rFonts w:eastAsiaTheme="minorEastAsia"/>
          <w:kern w:val="24"/>
          <w:lang w:val="en-US"/>
        </w:rPr>
        <w:t xml:space="preserve"> </w:t>
      </w:r>
      <w:r w:rsidRPr="00A940FE">
        <w:rPr>
          <w:rFonts w:eastAsiaTheme="minorEastAsia"/>
          <w:kern w:val="24"/>
          <w:lang w:val="en-US"/>
        </w:rPr>
        <w:t>with respect to the proposed indicators. Magnitude, timing and duration are factors of flow (in black).</w:t>
      </w:r>
      <w:r w:rsidR="003B7B0C">
        <w:rPr>
          <w:rFonts w:eastAsiaTheme="minorEastAsia"/>
          <w:kern w:val="24"/>
          <w:lang w:val="en-US"/>
        </w:rPr>
        <w:t xml:space="preserve"> </w:t>
      </w:r>
      <w:r w:rsidR="00C87E9E">
        <w:rPr>
          <w:rFonts w:eastAsiaTheme="minorEastAsia"/>
          <w:kern w:val="24"/>
          <w:lang w:val="en-US"/>
        </w:rPr>
        <w:t>Yellow</w:t>
      </w:r>
      <w:r w:rsidR="003B7B0C" w:rsidRPr="003B7B0C">
        <w:rPr>
          <w:rFonts w:eastAsiaTheme="minorEastAsia"/>
          <w:kern w:val="24"/>
          <w:lang w:val="en-US"/>
        </w:rPr>
        <w:t xml:space="preserve"> indicators followed standard protocols to support quantitative Basin-wide and Selected Ar</w:t>
      </w:r>
      <w:r w:rsidR="003B7B0C">
        <w:rPr>
          <w:rFonts w:eastAsiaTheme="minorEastAsia"/>
          <w:kern w:val="24"/>
          <w:lang w:val="en-US"/>
        </w:rPr>
        <w:t xml:space="preserve">ea evaluation, where applicable. </w:t>
      </w:r>
      <w:r w:rsidR="00C87E9E">
        <w:rPr>
          <w:rFonts w:eastAsiaTheme="minorEastAsia"/>
          <w:kern w:val="24"/>
          <w:lang w:val="en-US"/>
        </w:rPr>
        <w:t>Purple</w:t>
      </w:r>
      <w:r w:rsidR="003B7B0C" w:rsidRPr="003B7B0C">
        <w:rPr>
          <w:rFonts w:eastAsiaTheme="minorEastAsia"/>
          <w:kern w:val="24"/>
          <w:lang w:val="en-US"/>
        </w:rPr>
        <w:t xml:space="preserve"> indicators were developed to address objectives and test Selected Area-specific hypotheses with respect to biological/ecological response to environmental flows.</w:t>
      </w:r>
      <w:bookmarkEnd w:id="41"/>
    </w:p>
    <w:p w14:paraId="56067737" w14:textId="77777777" w:rsidR="00986C11" w:rsidRDefault="00986C11" w:rsidP="008756F6">
      <w:pPr>
        <w:pStyle w:val="Heading2"/>
      </w:pPr>
      <w:bookmarkStart w:id="42" w:name="_Ref25159400"/>
      <w:bookmarkStart w:id="43" w:name="_Ref25159866"/>
      <w:bookmarkStart w:id="44" w:name="_Ref25331850"/>
      <w:bookmarkStart w:id="45" w:name="_Ref25846459"/>
      <w:bookmarkStart w:id="46" w:name="_Ref30588609"/>
      <w:bookmarkStart w:id="47" w:name="_Toc101963769"/>
      <w:r>
        <w:t>Environmental water delivery</w:t>
      </w:r>
      <w:bookmarkEnd w:id="42"/>
      <w:bookmarkEnd w:id="43"/>
      <w:bookmarkEnd w:id="44"/>
      <w:bookmarkEnd w:id="45"/>
      <w:bookmarkEnd w:id="46"/>
      <w:bookmarkEnd w:id="47"/>
    </w:p>
    <w:p w14:paraId="00381542" w14:textId="2E6DA704" w:rsidR="002C286B" w:rsidRDefault="00FB5172" w:rsidP="002C286B">
      <w:r>
        <w:t>Since 2011-</w:t>
      </w:r>
      <w:r w:rsidRPr="00FB5172">
        <w:t>12</w:t>
      </w:r>
      <w:r w:rsidR="00822A0C">
        <w:t>,</w:t>
      </w:r>
      <w:r w:rsidR="002D23DD">
        <w:t xml:space="preserve"> </w:t>
      </w:r>
      <w:r w:rsidR="00822A0C">
        <w:t xml:space="preserve">environmental water has been delivered to the </w:t>
      </w:r>
      <w:r w:rsidR="00086886">
        <w:t>LMR</w:t>
      </w:r>
      <w:r w:rsidR="00BE0669">
        <w:t xml:space="preserve"> </w:t>
      </w:r>
      <w:r w:rsidR="00522796">
        <w:t>to</w:t>
      </w:r>
      <w:r w:rsidR="00BE0669">
        <w:t xml:space="preserve"> increase </w:t>
      </w:r>
      <w:r w:rsidR="00522796">
        <w:t xml:space="preserve">river </w:t>
      </w:r>
      <w:r w:rsidR="00BE0669">
        <w:t>flows</w:t>
      </w:r>
      <w:r w:rsidR="00822A0C">
        <w:t xml:space="preserve"> </w:t>
      </w:r>
      <w:r w:rsidR="002D23DD">
        <w:t>(</w:t>
      </w:r>
      <w:r w:rsidR="002D23DD">
        <w:fldChar w:fldCharType="begin"/>
      </w:r>
      <w:r w:rsidR="002D23DD">
        <w:instrText xml:space="preserve"> REF _Ref416335393 \h </w:instrText>
      </w:r>
      <w:r w:rsidR="002D23DD">
        <w:fldChar w:fldCharType="separate"/>
      </w:r>
      <w:r w:rsidR="003C13F6" w:rsidRPr="0007443D">
        <w:t xml:space="preserve">Figure </w:t>
      </w:r>
      <w:r w:rsidR="003C13F6">
        <w:rPr>
          <w:noProof/>
        </w:rPr>
        <w:t>4</w:t>
      </w:r>
      <w:r w:rsidR="002D23DD">
        <w:fldChar w:fldCharType="end"/>
      </w:r>
      <w:r w:rsidR="002D23DD">
        <w:t>)</w:t>
      </w:r>
      <w:r w:rsidR="00522796">
        <w:t xml:space="preserve"> and</w:t>
      </w:r>
      <w:r w:rsidR="00636199" w:rsidRPr="00FB5172">
        <w:t xml:space="preserve"> </w:t>
      </w:r>
      <w:r w:rsidR="00522796">
        <w:t>i</w:t>
      </w:r>
      <w:r w:rsidR="00240309">
        <w:t>mprove</w:t>
      </w:r>
      <w:r w:rsidR="00636199" w:rsidRPr="00FB5172">
        <w:t xml:space="preserve"> ecological</w:t>
      </w:r>
      <w:r w:rsidRPr="00FB5172">
        <w:t xml:space="preserve"> health (</w:t>
      </w:r>
      <w:hyperlink r:id="rId61" w:history="1">
        <w:r w:rsidR="00892AAB" w:rsidRPr="002C24A3">
          <w:rPr>
            <w:rStyle w:val="Hyperlink"/>
          </w:rPr>
          <w:t>www.environment.gov.au/water/cewo</w:t>
        </w:r>
      </w:hyperlink>
      <w:r w:rsidR="00892AAB">
        <w:t>)</w:t>
      </w:r>
      <w:r w:rsidRPr="00FB5172">
        <w:t xml:space="preserve">. </w:t>
      </w:r>
      <w:r w:rsidR="002C286B">
        <w:t>During the LTIM</w:t>
      </w:r>
      <w:r w:rsidR="003A7A72">
        <w:t xml:space="preserve"> and MER</w:t>
      </w:r>
      <w:r w:rsidR="002C286B">
        <w:t xml:space="preserve"> </w:t>
      </w:r>
      <w:r w:rsidR="003A7A72">
        <w:t>p</w:t>
      </w:r>
      <w:r w:rsidR="002C286B">
        <w:t>roject</w:t>
      </w:r>
      <w:r w:rsidR="001C2B46">
        <w:t xml:space="preserve"> period</w:t>
      </w:r>
      <w:r w:rsidR="002C286B">
        <w:t xml:space="preserve"> (2014-15 to 20</w:t>
      </w:r>
      <w:r w:rsidR="00013589">
        <w:t>20</w:t>
      </w:r>
      <w:r w:rsidR="003A7A72">
        <w:t>-2</w:t>
      </w:r>
      <w:r w:rsidR="00013589">
        <w:t>1</w:t>
      </w:r>
      <w:r w:rsidR="002C286B">
        <w:t xml:space="preserve">), </w:t>
      </w:r>
      <w:r w:rsidR="00676B77">
        <w:t>a</w:t>
      </w:r>
      <w:r w:rsidR="004066B3">
        <w:t xml:space="preserve">n </w:t>
      </w:r>
      <w:r w:rsidR="004066B3" w:rsidRPr="00500996">
        <w:t xml:space="preserve">average of </w:t>
      </w:r>
      <w:r w:rsidR="00594158" w:rsidRPr="00500996">
        <w:t>~</w:t>
      </w:r>
      <w:r w:rsidR="001C2B46" w:rsidRPr="00500996">
        <w:t>6</w:t>
      </w:r>
      <w:r w:rsidR="004C3BA1">
        <w:t>97</w:t>
      </w:r>
      <w:r w:rsidR="004066B3" w:rsidRPr="00500996">
        <w:t> </w:t>
      </w:r>
      <w:r w:rsidR="009F092A" w:rsidRPr="00500996">
        <w:t>GL</w:t>
      </w:r>
      <w:r w:rsidR="004066B3" w:rsidRPr="00500996">
        <w:t>/year</w:t>
      </w:r>
      <w:r w:rsidR="009F092A" w:rsidRPr="00500996">
        <w:t xml:space="preserve"> of </w:t>
      </w:r>
      <w:r w:rsidR="002C286B" w:rsidRPr="00500996">
        <w:t xml:space="preserve">Commonwealth environmental water </w:t>
      </w:r>
      <w:r w:rsidR="003A7A72" w:rsidRPr="00500996">
        <w:t>has been</w:t>
      </w:r>
      <w:r w:rsidR="002C286B" w:rsidRPr="00500996">
        <w:t xml:space="preserve"> delivered to the L</w:t>
      </w:r>
      <w:r w:rsidR="00676B77" w:rsidRPr="00500996">
        <w:t>MR</w:t>
      </w:r>
      <w:r w:rsidR="002C286B" w:rsidRPr="00500996">
        <w:t xml:space="preserve">, in conjunction with other environmental flows (i.e. </w:t>
      </w:r>
      <w:r w:rsidR="00E90C66" w:rsidRPr="00500996">
        <w:t xml:space="preserve">water from </w:t>
      </w:r>
      <w:r w:rsidR="002C286B" w:rsidRPr="00500996">
        <w:t xml:space="preserve">The Living Murray (TLM) Initiative, Victorian </w:t>
      </w:r>
      <w:r w:rsidR="002C286B" w:rsidRPr="00500996">
        <w:lastRenderedPageBreak/>
        <w:t>Environmental Water Holder</w:t>
      </w:r>
      <w:r w:rsidR="00676B77" w:rsidRPr="00500996">
        <w:t xml:space="preserve">, </w:t>
      </w:r>
      <w:r w:rsidR="00ED2CD6" w:rsidRPr="00500996">
        <w:t>River Murray Increased Flows</w:t>
      </w:r>
      <w:r w:rsidR="005B06B4" w:rsidRPr="00500996">
        <w:t>, and New South Wales Department of Planning, Industry and Environment</w:t>
      </w:r>
      <w:r w:rsidR="00ED2CD6" w:rsidRPr="00500996">
        <w:t>)</w:t>
      </w:r>
      <w:r w:rsidR="008C269D" w:rsidRPr="00500996">
        <w:t xml:space="preserve"> (</w:t>
      </w:r>
      <w:r w:rsidR="002B1C0D" w:rsidRPr="00500996">
        <w:fldChar w:fldCharType="begin"/>
      </w:r>
      <w:r w:rsidR="002B1C0D" w:rsidRPr="00500996">
        <w:instrText xml:space="preserve"> REF _Ref50048539 \h </w:instrText>
      </w:r>
      <w:r w:rsidR="00500996">
        <w:instrText xml:space="preserve"> \* MERGEFORMAT </w:instrText>
      </w:r>
      <w:r w:rsidR="002B1C0D" w:rsidRPr="00500996">
        <w:fldChar w:fldCharType="separate"/>
      </w:r>
      <w:r w:rsidR="003C13F6">
        <w:t xml:space="preserve">Table </w:t>
      </w:r>
      <w:r w:rsidR="003C13F6">
        <w:rPr>
          <w:noProof/>
        </w:rPr>
        <w:t>1</w:t>
      </w:r>
      <w:r w:rsidR="002B1C0D" w:rsidRPr="00500996">
        <w:fldChar w:fldCharType="end"/>
      </w:r>
      <w:r w:rsidR="008C269D" w:rsidRPr="00500996">
        <w:t>)</w:t>
      </w:r>
      <w:r w:rsidR="003B08B0" w:rsidRPr="00500996">
        <w:t>, with</w:t>
      </w:r>
      <w:r w:rsidR="004066B3" w:rsidRPr="00500996">
        <w:t xml:space="preserve"> an average of</w:t>
      </w:r>
      <w:r w:rsidR="003B08B0" w:rsidRPr="00500996">
        <w:t xml:space="preserve"> </w:t>
      </w:r>
      <w:r w:rsidR="00C14767" w:rsidRPr="00500996">
        <w:t>~</w:t>
      </w:r>
      <w:r w:rsidR="004066B3" w:rsidRPr="00500996">
        <w:t>6</w:t>
      </w:r>
      <w:r w:rsidR="001C2B46" w:rsidRPr="00500996">
        <w:t>31</w:t>
      </w:r>
      <w:r w:rsidR="004066B3" w:rsidRPr="00500996">
        <w:t> </w:t>
      </w:r>
      <w:r w:rsidR="003B08B0" w:rsidRPr="00500996">
        <w:t>GL</w:t>
      </w:r>
      <w:r w:rsidR="004066B3">
        <w:t>/year</w:t>
      </w:r>
      <w:r w:rsidR="003B08B0">
        <w:t xml:space="preserve"> of Commonwealth environmental water </w:t>
      </w:r>
      <w:r w:rsidR="00864240">
        <w:t>flowing</w:t>
      </w:r>
      <w:r w:rsidR="003B08B0">
        <w:t xml:space="preserve"> </w:t>
      </w:r>
      <w:r w:rsidR="006539CB">
        <w:t xml:space="preserve">through </w:t>
      </w:r>
      <w:r w:rsidR="003B08B0">
        <w:t xml:space="preserve">the barrages into the Coorong </w:t>
      </w:r>
      <w:r w:rsidR="00E23C17">
        <w:t>(</w:t>
      </w:r>
      <w:r w:rsidR="00E23C17">
        <w:fldChar w:fldCharType="begin"/>
      </w:r>
      <w:r w:rsidR="00E23C17">
        <w:instrText xml:space="preserve"> REF _Ref57211234 \h </w:instrText>
      </w:r>
      <w:r w:rsidR="00E23C17">
        <w:fldChar w:fldCharType="separate"/>
      </w:r>
      <w:r w:rsidR="003C13F6" w:rsidRPr="00521E10">
        <w:t xml:space="preserve">Table </w:t>
      </w:r>
      <w:r w:rsidR="003C13F6">
        <w:rPr>
          <w:noProof/>
        </w:rPr>
        <w:t>2</w:t>
      </w:r>
      <w:r w:rsidR="00E23C17">
        <w:fldChar w:fldCharType="end"/>
      </w:r>
      <w:r w:rsidR="00E23C17">
        <w:t>)</w:t>
      </w:r>
      <w:r w:rsidR="00A430AA">
        <w:t xml:space="preserve">. </w:t>
      </w:r>
      <w:r w:rsidR="00ED4504">
        <w:t>During this period, environmental water d</w:t>
      </w:r>
      <w:r w:rsidR="00ED2CD6">
        <w:t>eliveries</w:t>
      </w:r>
      <w:r w:rsidR="003A7A72">
        <w:t xml:space="preserve"> </w:t>
      </w:r>
      <w:r w:rsidR="00F92CF2">
        <w:t xml:space="preserve">to </w:t>
      </w:r>
      <w:r w:rsidR="003A7A72">
        <w:t>the LMR</w:t>
      </w:r>
      <w:r w:rsidR="002C286B">
        <w:t xml:space="preserve"> largely </w:t>
      </w:r>
      <w:r w:rsidR="00ED2CD6">
        <w:t xml:space="preserve">occurred </w:t>
      </w:r>
      <w:r w:rsidR="002C286B">
        <w:t>as return flows</w:t>
      </w:r>
      <w:r w:rsidR="00FA0F53">
        <w:t>, during winter and spring–early summer,</w:t>
      </w:r>
      <w:r w:rsidR="002C286B">
        <w:t xml:space="preserve"> through coordinated watering events across the southern connected Basin to achieve multi-site environmental outcomes. Direct orders of environmental water to the South Australian border also occurred for specific purposes, often during summer</w:t>
      </w:r>
      <w:r w:rsidR="00676B77">
        <w:sym w:font="Symbol" w:char="F02D"/>
      </w:r>
      <w:r w:rsidR="002C286B">
        <w:t xml:space="preserve">autumn, to provide flow for the Lakes and Coorong. </w:t>
      </w:r>
    </w:p>
    <w:p w14:paraId="11F90B7F" w14:textId="77B6CF26" w:rsidR="00857106" w:rsidRDefault="00FA1238" w:rsidP="00FA1238">
      <w:pPr>
        <w:pStyle w:val="Caption"/>
        <w:jc w:val="center"/>
      </w:pPr>
      <w:bookmarkStart w:id="48" w:name="_Ref15997729"/>
      <w:bookmarkStart w:id="49" w:name="_Ref27394892"/>
      <w:bookmarkStart w:id="50" w:name="_Ref34296992"/>
      <w:r w:rsidRPr="00FA1238">
        <w:rPr>
          <w:noProof/>
        </w:rPr>
        <w:drawing>
          <wp:inline distT="0" distB="0" distL="0" distR="0" wp14:anchorId="591A60C4" wp14:editId="66C3F0DF">
            <wp:extent cx="5379226" cy="298474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419" r="2061" b="3401"/>
                    <a:stretch/>
                  </pic:blipFill>
                  <pic:spPr bwMode="auto">
                    <a:xfrm>
                      <a:off x="0" y="0"/>
                      <a:ext cx="5402727" cy="2997780"/>
                    </a:xfrm>
                    <a:prstGeom prst="rect">
                      <a:avLst/>
                    </a:prstGeom>
                    <a:noFill/>
                    <a:ln>
                      <a:noFill/>
                    </a:ln>
                    <a:extLst>
                      <a:ext uri="{53640926-AAD7-44D8-BBD7-CCE9431645EC}">
                        <a14:shadowObscured xmlns:a14="http://schemas.microsoft.com/office/drawing/2010/main"/>
                      </a:ext>
                    </a:extLst>
                  </pic:spPr>
                </pic:pic>
              </a:graphicData>
            </a:graphic>
          </wp:inline>
        </w:drawing>
      </w:r>
    </w:p>
    <w:p w14:paraId="26A6B019" w14:textId="48957B5B" w:rsidR="002B1C0D" w:rsidRPr="002B1C0D" w:rsidRDefault="00857106" w:rsidP="004C3BA1">
      <w:pPr>
        <w:pStyle w:val="Captions"/>
      </w:pPr>
      <w:bookmarkStart w:id="51" w:name="_Ref416335393"/>
      <w:bookmarkStart w:id="52" w:name="_Toc442173724"/>
      <w:bookmarkStart w:id="53" w:name="_Toc3558353"/>
      <w:bookmarkStart w:id="54" w:name="_Toc101963796"/>
      <w:r w:rsidRPr="0007443D">
        <w:t xml:space="preserve">Figure </w:t>
      </w:r>
      <w:r w:rsidR="001F30EA">
        <w:fldChar w:fldCharType="begin"/>
      </w:r>
      <w:r w:rsidR="001F30EA">
        <w:instrText xml:space="preserve"> SEQ Figure \* ARABIC </w:instrText>
      </w:r>
      <w:r w:rsidR="001F30EA">
        <w:fldChar w:fldCharType="separate"/>
      </w:r>
      <w:r w:rsidR="003C13F6">
        <w:rPr>
          <w:noProof/>
        </w:rPr>
        <w:t>4</w:t>
      </w:r>
      <w:r w:rsidR="001F30EA">
        <w:fldChar w:fldCharType="end"/>
      </w:r>
      <w:bookmarkEnd w:id="51"/>
      <w:r w:rsidRPr="0007443D">
        <w:rPr>
          <w:noProof/>
        </w:rPr>
        <w:t>.</w:t>
      </w:r>
      <w:r w:rsidRPr="0007443D">
        <w:t xml:space="preserve"> </w:t>
      </w:r>
      <w:r w:rsidRPr="00952C29">
        <w:t xml:space="preserve">Daily flow (ML/d) in the </w:t>
      </w:r>
      <w:r w:rsidR="00B2342E">
        <w:t>Lower Murray River</w:t>
      </w:r>
      <w:r w:rsidR="008C22A9">
        <w:t xml:space="preserve"> (LMR)</w:t>
      </w:r>
      <w:r w:rsidR="00B2342E">
        <w:t xml:space="preserve"> </w:t>
      </w:r>
      <w:r w:rsidRPr="00952C29">
        <w:t>at the South Australian border (blue solid line) from January 1996 to July 20</w:t>
      </w:r>
      <w:r w:rsidR="00013589">
        <w:t>21</w:t>
      </w:r>
      <w:r w:rsidRPr="00952C29">
        <w:t>, compared to</w:t>
      </w:r>
      <w:r w:rsidRPr="0007443D">
        <w:t xml:space="preserve"> modelled flow under natural conditions (grey dashed line). Approximate bankfull flow in the main channel of the </w:t>
      </w:r>
      <w:bookmarkEnd w:id="52"/>
      <w:r w:rsidRPr="0007443D">
        <w:t>LMR is shown (black dashed line).</w:t>
      </w:r>
      <w:bookmarkEnd w:id="53"/>
      <w:bookmarkEnd w:id="54"/>
      <w:r w:rsidR="002B1C0D">
        <w:t xml:space="preserve"> </w:t>
      </w:r>
    </w:p>
    <w:p w14:paraId="05B226D0" w14:textId="530A3198" w:rsidR="00432774" w:rsidRDefault="00432774" w:rsidP="004C3BA1">
      <w:pPr>
        <w:pStyle w:val="Captions"/>
      </w:pPr>
      <w:bookmarkStart w:id="55" w:name="_Ref50048539"/>
      <w:bookmarkStart w:id="56" w:name="_Toc101963859"/>
      <w:r>
        <w:t xml:space="preserve">Table </w:t>
      </w:r>
      <w:r w:rsidR="009008C8">
        <w:rPr>
          <w:noProof/>
        </w:rPr>
        <w:fldChar w:fldCharType="begin"/>
      </w:r>
      <w:r w:rsidR="009008C8">
        <w:rPr>
          <w:noProof/>
        </w:rPr>
        <w:instrText xml:space="preserve"> SEQ Table \* ARABIC </w:instrText>
      </w:r>
      <w:r w:rsidR="009008C8">
        <w:rPr>
          <w:noProof/>
        </w:rPr>
        <w:fldChar w:fldCharType="separate"/>
      </w:r>
      <w:r w:rsidR="003C13F6">
        <w:rPr>
          <w:noProof/>
        </w:rPr>
        <w:t>1</w:t>
      </w:r>
      <w:r w:rsidR="009008C8">
        <w:rPr>
          <w:noProof/>
        </w:rPr>
        <w:fldChar w:fldCharType="end"/>
      </w:r>
      <w:bookmarkEnd w:id="48"/>
      <w:bookmarkEnd w:id="49"/>
      <w:bookmarkEnd w:id="50"/>
      <w:bookmarkEnd w:id="55"/>
      <w:r>
        <w:t>.</w:t>
      </w:r>
      <w:r w:rsidRPr="009E24AC">
        <w:t xml:space="preserve"> </w:t>
      </w:r>
      <w:r w:rsidR="0056123D">
        <w:t xml:space="preserve">Total </w:t>
      </w:r>
      <w:r w:rsidRPr="009E24AC">
        <w:t>annual volumes (gigalitres</w:t>
      </w:r>
      <w:r w:rsidR="00660C9B">
        <w:t xml:space="preserve">, </w:t>
      </w:r>
      <w:r w:rsidR="00DA6DA1">
        <w:t>GL</w:t>
      </w:r>
      <w:r w:rsidRPr="009E24AC">
        <w:t>) of environmental water</w:t>
      </w:r>
      <w:r w:rsidR="008C0947">
        <w:t xml:space="preserve"> (eWater)</w:t>
      </w:r>
      <w:r w:rsidRPr="009E24AC">
        <w:t xml:space="preserve">, including Commonwealth environmental water (CEW), delivered to the </w:t>
      </w:r>
      <w:r w:rsidR="00B2342E">
        <w:t>Lower Murray River (</w:t>
      </w:r>
      <w:r w:rsidRPr="009E24AC">
        <w:t>LMR</w:t>
      </w:r>
      <w:r w:rsidR="00B2342E">
        <w:t>)</w:t>
      </w:r>
      <w:r w:rsidR="00A479A4">
        <w:t xml:space="preserve"> channel</w:t>
      </w:r>
      <w:r w:rsidRPr="009E24AC">
        <w:t xml:space="preserve"> (excludes wetland </w:t>
      </w:r>
      <w:r w:rsidR="00E6009A">
        <w:t>use</w:t>
      </w:r>
      <w:r w:rsidR="00DF4EBE">
        <w:t>*</w:t>
      </w:r>
      <w:r w:rsidRPr="009E24AC">
        <w:t>)</w:t>
      </w:r>
      <w:r w:rsidR="00FF6C90">
        <w:t xml:space="preserve"> and the proportion contribution towards total flow to the LMR (QSA)</w:t>
      </w:r>
      <w:r w:rsidRPr="009E24AC">
        <w:t xml:space="preserve">. </w:t>
      </w:r>
      <w:r w:rsidR="00522796">
        <w:t>Accounted v</w:t>
      </w:r>
      <w:r w:rsidRPr="00542D50">
        <w:t xml:space="preserve">olumes </w:t>
      </w:r>
      <w:r w:rsidR="00522796">
        <w:t xml:space="preserve">are </w:t>
      </w:r>
      <w:r w:rsidR="00636199" w:rsidRPr="00542D50">
        <w:t xml:space="preserve">provided </w:t>
      </w:r>
      <w:r w:rsidR="00D330F1" w:rsidRPr="00542D50">
        <w:t>by</w:t>
      </w:r>
      <w:r w:rsidRPr="00542D50">
        <w:t xml:space="preserve"> the CEWO</w:t>
      </w:r>
      <w:r w:rsidR="00E6009A">
        <w:t>,</w:t>
      </w:r>
      <w:r w:rsidRPr="009E24AC">
        <w:t xml:space="preserve"> include the environmental components of the South Australian entitlement</w:t>
      </w:r>
      <w:r w:rsidR="00A479A4">
        <w:t xml:space="preserve"> </w:t>
      </w:r>
      <w:r w:rsidR="0047563D">
        <w:t xml:space="preserve">(Ent.) </w:t>
      </w:r>
      <w:r w:rsidR="00A479A4">
        <w:t xml:space="preserve">and exclude environmental water delivered from the </w:t>
      </w:r>
      <w:r w:rsidR="00A479A4" w:rsidRPr="00A479A4">
        <w:t>SA Minister for Environment and Water</w:t>
      </w:r>
      <w:r w:rsidR="00A479A4">
        <w:t xml:space="preserve"> and Accolade Wines (predominantly for wetland</w:t>
      </w:r>
      <w:r w:rsidR="007218AC">
        <w:t>s</w:t>
      </w:r>
      <w:r w:rsidR="00A479A4">
        <w:t>)</w:t>
      </w:r>
      <w:r w:rsidRPr="009E24AC">
        <w:t>. TLM = The Living Murray, VEWH = Victorian Environmental Water Holder, RMIF = River Murray Increased Flows</w:t>
      </w:r>
      <w:r w:rsidR="00676B77">
        <w:t xml:space="preserve">, NSW </w:t>
      </w:r>
      <w:r w:rsidR="008A70C9">
        <w:t>DPIE</w:t>
      </w:r>
      <w:r w:rsidR="00676B77">
        <w:t xml:space="preserve"> = New South Wales </w:t>
      </w:r>
      <w:r w:rsidR="008A70C9">
        <w:t>Department of Planning, Industry and Environment</w:t>
      </w:r>
      <w:r w:rsidRPr="009E24AC">
        <w:t>.</w:t>
      </w:r>
      <w:bookmarkEnd w:id="56"/>
    </w:p>
    <w:tbl>
      <w:tblPr>
        <w:tblW w:w="8614" w:type="dxa"/>
        <w:jc w:val="center"/>
        <w:tblLayout w:type="fixed"/>
        <w:tblLook w:val="04A0" w:firstRow="1" w:lastRow="0" w:firstColumn="1" w:lastColumn="0" w:noHBand="0" w:noVBand="1"/>
      </w:tblPr>
      <w:tblGrid>
        <w:gridCol w:w="1474"/>
        <w:gridCol w:w="1020"/>
        <w:gridCol w:w="1020"/>
        <w:gridCol w:w="1020"/>
        <w:gridCol w:w="1020"/>
        <w:gridCol w:w="1020"/>
        <w:gridCol w:w="1020"/>
        <w:gridCol w:w="1020"/>
      </w:tblGrid>
      <w:tr w:rsidR="00636199" w:rsidRPr="009E24AC" w14:paraId="76899856" w14:textId="77777777" w:rsidTr="00913B2F">
        <w:trPr>
          <w:trHeight w:val="283"/>
          <w:jc w:val="center"/>
        </w:trPr>
        <w:tc>
          <w:tcPr>
            <w:tcW w:w="1474" w:type="dxa"/>
            <w:tcBorders>
              <w:top w:val="single" w:sz="4" w:space="0" w:color="auto"/>
              <w:bottom w:val="single" w:sz="4" w:space="0" w:color="auto"/>
            </w:tcBorders>
            <w:vAlign w:val="center"/>
          </w:tcPr>
          <w:p w14:paraId="3CA754CC" w14:textId="77777777" w:rsidR="00636199" w:rsidRPr="003A6966" w:rsidRDefault="00636199" w:rsidP="00913B2F">
            <w:pPr>
              <w:spacing w:line="240" w:lineRule="auto"/>
              <w:contextualSpacing/>
              <w:jc w:val="left"/>
              <w:rPr>
                <w:sz w:val="20"/>
              </w:rPr>
            </w:pPr>
            <w:r w:rsidRPr="003A6966">
              <w:rPr>
                <w:sz w:val="20"/>
              </w:rPr>
              <w:t>Water year</w:t>
            </w:r>
          </w:p>
        </w:tc>
        <w:tc>
          <w:tcPr>
            <w:tcW w:w="1020" w:type="dxa"/>
            <w:tcBorders>
              <w:top w:val="single" w:sz="4" w:space="0" w:color="auto"/>
              <w:bottom w:val="single" w:sz="4" w:space="0" w:color="auto"/>
            </w:tcBorders>
            <w:vAlign w:val="center"/>
          </w:tcPr>
          <w:p w14:paraId="7A6CDDBD" w14:textId="77777777" w:rsidR="00636199" w:rsidRPr="003A6966" w:rsidRDefault="00636199" w:rsidP="00913B2F">
            <w:pPr>
              <w:spacing w:line="240" w:lineRule="auto"/>
              <w:contextualSpacing/>
              <w:jc w:val="center"/>
              <w:rPr>
                <w:sz w:val="20"/>
              </w:rPr>
            </w:pPr>
            <w:r w:rsidRPr="003A6966">
              <w:rPr>
                <w:sz w:val="20"/>
              </w:rPr>
              <w:t>2014-15</w:t>
            </w:r>
          </w:p>
        </w:tc>
        <w:tc>
          <w:tcPr>
            <w:tcW w:w="1020" w:type="dxa"/>
            <w:tcBorders>
              <w:top w:val="single" w:sz="4" w:space="0" w:color="auto"/>
              <w:bottom w:val="single" w:sz="4" w:space="0" w:color="auto"/>
            </w:tcBorders>
            <w:vAlign w:val="center"/>
          </w:tcPr>
          <w:p w14:paraId="3D838E60" w14:textId="77777777" w:rsidR="00636199" w:rsidRPr="003A6966" w:rsidRDefault="00636199" w:rsidP="00913B2F">
            <w:pPr>
              <w:spacing w:line="240" w:lineRule="auto"/>
              <w:contextualSpacing/>
              <w:jc w:val="center"/>
              <w:rPr>
                <w:sz w:val="20"/>
              </w:rPr>
            </w:pPr>
            <w:r w:rsidRPr="003A6966">
              <w:rPr>
                <w:sz w:val="20"/>
              </w:rPr>
              <w:t>2015-16</w:t>
            </w:r>
          </w:p>
        </w:tc>
        <w:tc>
          <w:tcPr>
            <w:tcW w:w="1020" w:type="dxa"/>
            <w:tcBorders>
              <w:top w:val="single" w:sz="4" w:space="0" w:color="auto"/>
              <w:bottom w:val="single" w:sz="4" w:space="0" w:color="auto"/>
            </w:tcBorders>
            <w:vAlign w:val="center"/>
          </w:tcPr>
          <w:p w14:paraId="7AF9D64F" w14:textId="77777777" w:rsidR="00636199" w:rsidRPr="003A6966" w:rsidRDefault="00636199" w:rsidP="00913B2F">
            <w:pPr>
              <w:spacing w:line="240" w:lineRule="auto"/>
              <w:contextualSpacing/>
              <w:jc w:val="center"/>
              <w:rPr>
                <w:sz w:val="20"/>
              </w:rPr>
            </w:pPr>
            <w:r w:rsidRPr="003A6966">
              <w:rPr>
                <w:sz w:val="20"/>
              </w:rPr>
              <w:t>2016-17</w:t>
            </w:r>
          </w:p>
        </w:tc>
        <w:tc>
          <w:tcPr>
            <w:tcW w:w="1020" w:type="dxa"/>
            <w:tcBorders>
              <w:top w:val="single" w:sz="4" w:space="0" w:color="auto"/>
              <w:bottom w:val="single" w:sz="4" w:space="0" w:color="auto"/>
            </w:tcBorders>
            <w:vAlign w:val="center"/>
          </w:tcPr>
          <w:p w14:paraId="5D9F81F1" w14:textId="77777777" w:rsidR="00636199" w:rsidRPr="003A6966" w:rsidRDefault="00636199" w:rsidP="00913B2F">
            <w:pPr>
              <w:spacing w:line="240" w:lineRule="auto"/>
              <w:contextualSpacing/>
              <w:jc w:val="center"/>
              <w:rPr>
                <w:sz w:val="20"/>
              </w:rPr>
            </w:pPr>
            <w:r w:rsidRPr="003A6966">
              <w:rPr>
                <w:sz w:val="20"/>
              </w:rPr>
              <w:t>2017-18</w:t>
            </w:r>
          </w:p>
        </w:tc>
        <w:tc>
          <w:tcPr>
            <w:tcW w:w="1020" w:type="dxa"/>
            <w:tcBorders>
              <w:top w:val="single" w:sz="4" w:space="0" w:color="auto"/>
              <w:bottom w:val="single" w:sz="4" w:space="0" w:color="auto"/>
            </w:tcBorders>
            <w:vAlign w:val="center"/>
          </w:tcPr>
          <w:p w14:paraId="4B48F475" w14:textId="77777777" w:rsidR="00636199" w:rsidRPr="003A6966" w:rsidRDefault="00636199" w:rsidP="00913B2F">
            <w:pPr>
              <w:spacing w:line="240" w:lineRule="auto"/>
              <w:contextualSpacing/>
              <w:jc w:val="center"/>
              <w:rPr>
                <w:sz w:val="20"/>
              </w:rPr>
            </w:pPr>
            <w:r w:rsidRPr="003A6966">
              <w:rPr>
                <w:sz w:val="20"/>
              </w:rPr>
              <w:t>2018-19</w:t>
            </w:r>
          </w:p>
        </w:tc>
        <w:tc>
          <w:tcPr>
            <w:tcW w:w="1020" w:type="dxa"/>
            <w:tcBorders>
              <w:top w:val="single" w:sz="4" w:space="0" w:color="auto"/>
              <w:bottom w:val="single" w:sz="4" w:space="0" w:color="auto"/>
            </w:tcBorders>
            <w:vAlign w:val="center"/>
          </w:tcPr>
          <w:p w14:paraId="48D71AA6" w14:textId="77777777" w:rsidR="00636199" w:rsidRPr="006568D4" w:rsidRDefault="00636199" w:rsidP="00913B2F">
            <w:pPr>
              <w:spacing w:line="240" w:lineRule="auto"/>
              <w:contextualSpacing/>
              <w:jc w:val="center"/>
              <w:rPr>
                <w:sz w:val="20"/>
              </w:rPr>
            </w:pPr>
            <w:r w:rsidRPr="006568D4">
              <w:rPr>
                <w:sz w:val="20"/>
              </w:rPr>
              <w:t>2019-20</w:t>
            </w:r>
          </w:p>
        </w:tc>
        <w:tc>
          <w:tcPr>
            <w:tcW w:w="1020" w:type="dxa"/>
            <w:tcBorders>
              <w:top w:val="single" w:sz="4" w:space="0" w:color="auto"/>
              <w:bottom w:val="single" w:sz="4" w:space="0" w:color="auto"/>
            </w:tcBorders>
            <w:vAlign w:val="center"/>
          </w:tcPr>
          <w:p w14:paraId="7F262C97" w14:textId="77777777" w:rsidR="00636199" w:rsidRPr="006568D4" w:rsidRDefault="00636199" w:rsidP="00913B2F">
            <w:pPr>
              <w:spacing w:line="240" w:lineRule="auto"/>
              <w:contextualSpacing/>
              <w:jc w:val="center"/>
              <w:rPr>
                <w:sz w:val="20"/>
              </w:rPr>
            </w:pPr>
            <w:r>
              <w:rPr>
                <w:sz w:val="20"/>
              </w:rPr>
              <w:t>2020-21</w:t>
            </w:r>
          </w:p>
        </w:tc>
      </w:tr>
      <w:tr w:rsidR="00636199" w:rsidRPr="009E24AC" w14:paraId="7E19FDEE" w14:textId="77777777" w:rsidTr="00913B2F">
        <w:trPr>
          <w:trHeight w:val="283"/>
          <w:jc w:val="center"/>
        </w:trPr>
        <w:tc>
          <w:tcPr>
            <w:tcW w:w="1474" w:type="dxa"/>
            <w:tcBorders>
              <w:top w:val="single" w:sz="4" w:space="0" w:color="auto"/>
            </w:tcBorders>
            <w:vAlign w:val="center"/>
          </w:tcPr>
          <w:p w14:paraId="17A60245" w14:textId="77777777" w:rsidR="00636199" w:rsidRPr="003A6966" w:rsidRDefault="00636199" w:rsidP="00913B2F">
            <w:pPr>
              <w:spacing w:line="240" w:lineRule="auto"/>
              <w:contextualSpacing/>
              <w:jc w:val="left"/>
              <w:rPr>
                <w:sz w:val="20"/>
              </w:rPr>
            </w:pPr>
            <w:r w:rsidRPr="003A6966">
              <w:rPr>
                <w:sz w:val="20"/>
              </w:rPr>
              <w:t>CEW</w:t>
            </w:r>
          </w:p>
        </w:tc>
        <w:tc>
          <w:tcPr>
            <w:tcW w:w="1020" w:type="dxa"/>
            <w:tcBorders>
              <w:top w:val="single" w:sz="4" w:space="0" w:color="auto"/>
            </w:tcBorders>
            <w:vAlign w:val="center"/>
          </w:tcPr>
          <w:p w14:paraId="56B1E19D" w14:textId="77777777" w:rsidR="00636199" w:rsidRPr="003A6966" w:rsidRDefault="00636199" w:rsidP="00913B2F">
            <w:pPr>
              <w:spacing w:line="240" w:lineRule="auto"/>
              <w:contextualSpacing/>
              <w:jc w:val="center"/>
              <w:rPr>
                <w:sz w:val="20"/>
              </w:rPr>
            </w:pPr>
            <w:r w:rsidRPr="003A6966">
              <w:rPr>
                <w:sz w:val="20"/>
              </w:rPr>
              <w:t>581</w:t>
            </w:r>
          </w:p>
        </w:tc>
        <w:tc>
          <w:tcPr>
            <w:tcW w:w="1020" w:type="dxa"/>
            <w:tcBorders>
              <w:top w:val="single" w:sz="4" w:space="0" w:color="auto"/>
            </w:tcBorders>
            <w:vAlign w:val="center"/>
          </w:tcPr>
          <w:p w14:paraId="012927FE" w14:textId="77777777" w:rsidR="00636199" w:rsidRPr="003A6966" w:rsidRDefault="00636199" w:rsidP="00913B2F">
            <w:pPr>
              <w:spacing w:line="240" w:lineRule="auto"/>
              <w:contextualSpacing/>
              <w:jc w:val="center"/>
              <w:rPr>
                <w:sz w:val="20"/>
              </w:rPr>
            </w:pPr>
            <w:r w:rsidRPr="003A6966">
              <w:rPr>
                <w:sz w:val="20"/>
              </w:rPr>
              <w:t>798</w:t>
            </w:r>
          </w:p>
        </w:tc>
        <w:tc>
          <w:tcPr>
            <w:tcW w:w="1020" w:type="dxa"/>
            <w:tcBorders>
              <w:top w:val="single" w:sz="4" w:space="0" w:color="auto"/>
            </w:tcBorders>
            <w:vAlign w:val="center"/>
          </w:tcPr>
          <w:p w14:paraId="22EFFA97" w14:textId="77777777" w:rsidR="00636199" w:rsidRPr="003A6966" w:rsidRDefault="00636199" w:rsidP="00913B2F">
            <w:pPr>
              <w:spacing w:line="240" w:lineRule="auto"/>
              <w:contextualSpacing/>
              <w:jc w:val="center"/>
              <w:rPr>
                <w:sz w:val="20"/>
              </w:rPr>
            </w:pPr>
            <w:r w:rsidRPr="003A6966">
              <w:rPr>
                <w:sz w:val="20"/>
              </w:rPr>
              <w:t>618</w:t>
            </w:r>
          </w:p>
        </w:tc>
        <w:tc>
          <w:tcPr>
            <w:tcW w:w="1020" w:type="dxa"/>
            <w:tcBorders>
              <w:top w:val="single" w:sz="4" w:space="0" w:color="auto"/>
            </w:tcBorders>
            <w:vAlign w:val="center"/>
          </w:tcPr>
          <w:p w14:paraId="6B6D38FD" w14:textId="413A12A9" w:rsidR="00636199" w:rsidRPr="003A6966" w:rsidRDefault="00636199" w:rsidP="00913B2F">
            <w:pPr>
              <w:spacing w:line="240" w:lineRule="auto"/>
              <w:contextualSpacing/>
              <w:jc w:val="center"/>
              <w:rPr>
                <w:sz w:val="20"/>
              </w:rPr>
            </w:pPr>
            <w:r w:rsidRPr="003A6966">
              <w:rPr>
                <w:sz w:val="20"/>
              </w:rPr>
              <w:t>89</w:t>
            </w:r>
            <w:r>
              <w:rPr>
                <w:sz w:val="20"/>
              </w:rPr>
              <w:t>8</w:t>
            </w:r>
          </w:p>
        </w:tc>
        <w:tc>
          <w:tcPr>
            <w:tcW w:w="1020" w:type="dxa"/>
            <w:tcBorders>
              <w:top w:val="single" w:sz="4" w:space="0" w:color="auto"/>
            </w:tcBorders>
            <w:vAlign w:val="center"/>
          </w:tcPr>
          <w:p w14:paraId="583027D9" w14:textId="6BEABD00" w:rsidR="00636199" w:rsidRPr="003A6966" w:rsidRDefault="00636199" w:rsidP="00913B2F">
            <w:pPr>
              <w:spacing w:line="240" w:lineRule="auto"/>
              <w:contextualSpacing/>
              <w:jc w:val="center"/>
              <w:rPr>
                <w:sz w:val="20"/>
              </w:rPr>
            </w:pPr>
            <w:r w:rsidRPr="003A6966">
              <w:rPr>
                <w:sz w:val="20"/>
              </w:rPr>
              <w:t>549</w:t>
            </w:r>
          </w:p>
        </w:tc>
        <w:tc>
          <w:tcPr>
            <w:tcW w:w="1020" w:type="dxa"/>
            <w:tcBorders>
              <w:top w:val="single" w:sz="4" w:space="0" w:color="auto"/>
            </w:tcBorders>
          </w:tcPr>
          <w:p w14:paraId="4A75A1A6" w14:textId="2761A083" w:rsidR="00636199" w:rsidRPr="006568D4" w:rsidRDefault="00636199" w:rsidP="00913B2F">
            <w:pPr>
              <w:spacing w:line="240" w:lineRule="auto"/>
              <w:contextualSpacing/>
              <w:jc w:val="center"/>
              <w:rPr>
                <w:sz w:val="20"/>
              </w:rPr>
            </w:pPr>
            <w:r w:rsidRPr="006568D4">
              <w:rPr>
                <w:sz w:val="20"/>
              </w:rPr>
              <w:t>750</w:t>
            </w:r>
          </w:p>
        </w:tc>
        <w:tc>
          <w:tcPr>
            <w:tcW w:w="1020" w:type="dxa"/>
            <w:tcBorders>
              <w:top w:val="single" w:sz="4" w:space="0" w:color="auto"/>
            </w:tcBorders>
          </w:tcPr>
          <w:p w14:paraId="1DC733C6" w14:textId="675790A3" w:rsidR="00636199" w:rsidRPr="00004979" w:rsidRDefault="00636199" w:rsidP="00913B2F">
            <w:pPr>
              <w:spacing w:line="240" w:lineRule="auto"/>
              <w:contextualSpacing/>
              <w:jc w:val="center"/>
              <w:rPr>
                <w:sz w:val="20"/>
              </w:rPr>
            </w:pPr>
            <w:r>
              <w:rPr>
                <w:sz w:val="20"/>
              </w:rPr>
              <w:t>687</w:t>
            </w:r>
          </w:p>
        </w:tc>
      </w:tr>
      <w:tr w:rsidR="00636199" w:rsidRPr="009E24AC" w14:paraId="67E8CCA0" w14:textId="77777777" w:rsidTr="00913B2F">
        <w:trPr>
          <w:trHeight w:val="283"/>
          <w:jc w:val="center"/>
        </w:trPr>
        <w:tc>
          <w:tcPr>
            <w:tcW w:w="1474" w:type="dxa"/>
            <w:vAlign w:val="center"/>
          </w:tcPr>
          <w:p w14:paraId="462F8CD8" w14:textId="77777777" w:rsidR="00636199" w:rsidRPr="003A6966" w:rsidRDefault="00636199" w:rsidP="00913B2F">
            <w:pPr>
              <w:spacing w:line="240" w:lineRule="auto"/>
              <w:contextualSpacing/>
              <w:jc w:val="left"/>
              <w:rPr>
                <w:sz w:val="20"/>
              </w:rPr>
            </w:pPr>
            <w:r w:rsidRPr="003A6966">
              <w:rPr>
                <w:sz w:val="20"/>
              </w:rPr>
              <w:t>TLM</w:t>
            </w:r>
          </w:p>
        </w:tc>
        <w:tc>
          <w:tcPr>
            <w:tcW w:w="1020" w:type="dxa"/>
            <w:vAlign w:val="center"/>
          </w:tcPr>
          <w:p w14:paraId="293B1E33" w14:textId="77777777" w:rsidR="00636199" w:rsidRPr="003A6966" w:rsidRDefault="00636199" w:rsidP="00913B2F">
            <w:pPr>
              <w:spacing w:line="240" w:lineRule="auto"/>
              <w:contextualSpacing/>
              <w:jc w:val="center"/>
              <w:rPr>
                <w:sz w:val="20"/>
              </w:rPr>
            </w:pPr>
            <w:r w:rsidRPr="003A6966">
              <w:rPr>
                <w:sz w:val="20"/>
              </w:rPr>
              <w:t>107</w:t>
            </w:r>
          </w:p>
        </w:tc>
        <w:tc>
          <w:tcPr>
            <w:tcW w:w="1020" w:type="dxa"/>
            <w:vAlign w:val="center"/>
          </w:tcPr>
          <w:p w14:paraId="5C025B4C" w14:textId="77777777" w:rsidR="00636199" w:rsidRPr="003A6966" w:rsidRDefault="00636199" w:rsidP="00913B2F">
            <w:pPr>
              <w:spacing w:line="240" w:lineRule="auto"/>
              <w:contextualSpacing/>
              <w:jc w:val="center"/>
              <w:rPr>
                <w:sz w:val="20"/>
              </w:rPr>
            </w:pPr>
            <w:r w:rsidRPr="003A6966">
              <w:rPr>
                <w:sz w:val="20"/>
              </w:rPr>
              <w:t>101</w:t>
            </w:r>
          </w:p>
        </w:tc>
        <w:tc>
          <w:tcPr>
            <w:tcW w:w="1020" w:type="dxa"/>
            <w:vAlign w:val="center"/>
          </w:tcPr>
          <w:p w14:paraId="61756B78" w14:textId="77777777" w:rsidR="00636199" w:rsidRPr="003A6966" w:rsidRDefault="00636199" w:rsidP="00913B2F">
            <w:pPr>
              <w:spacing w:line="240" w:lineRule="auto"/>
              <w:contextualSpacing/>
              <w:jc w:val="center"/>
              <w:rPr>
                <w:sz w:val="20"/>
              </w:rPr>
            </w:pPr>
            <w:r w:rsidRPr="003A6966">
              <w:rPr>
                <w:sz w:val="20"/>
              </w:rPr>
              <w:t>234</w:t>
            </w:r>
          </w:p>
        </w:tc>
        <w:tc>
          <w:tcPr>
            <w:tcW w:w="1020" w:type="dxa"/>
            <w:vAlign w:val="center"/>
          </w:tcPr>
          <w:p w14:paraId="70A8B3E8" w14:textId="2554AF42" w:rsidR="00636199" w:rsidRPr="003A6966" w:rsidRDefault="00636199" w:rsidP="00913B2F">
            <w:pPr>
              <w:spacing w:line="240" w:lineRule="auto"/>
              <w:contextualSpacing/>
              <w:jc w:val="center"/>
              <w:rPr>
                <w:sz w:val="20"/>
              </w:rPr>
            </w:pPr>
            <w:r w:rsidRPr="003A6966">
              <w:rPr>
                <w:sz w:val="20"/>
              </w:rPr>
              <w:t>176</w:t>
            </w:r>
          </w:p>
        </w:tc>
        <w:tc>
          <w:tcPr>
            <w:tcW w:w="1020" w:type="dxa"/>
            <w:vAlign w:val="center"/>
          </w:tcPr>
          <w:p w14:paraId="130AB8E8" w14:textId="77777777" w:rsidR="00636199" w:rsidRPr="003A6966" w:rsidRDefault="00636199" w:rsidP="00913B2F">
            <w:pPr>
              <w:spacing w:line="240" w:lineRule="auto"/>
              <w:contextualSpacing/>
              <w:jc w:val="center"/>
              <w:rPr>
                <w:sz w:val="20"/>
              </w:rPr>
            </w:pPr>
            <w:r>
              <w:rPr>
                <w:sz w:val="20"/>
              </w:rPr>
              <w:t>96</w:t>
            </w:r>
          </w:p>
        </w:tc>
        <w:tc>
          <w:tcPr>
            <w:tcW w:w="1020" w:type="dxa"/>
          </w:tcPr>
          <w:p w14:paraId="1D6445DE" w14:textId="77777777" w:rsidR="00636199" w:rsidRPr="006568D4" w:rsidRDefault="00636199" w:rsidP="00913B2F">
            <w:pPr>
              <w:spacing w:line="240" w:lineRule="auto"/>
              <w:contextualSpacing/>
              <w:jc w:val="center"/>
              <w:rPr>
                <w:sz w:val="20"/>
              </w:rPr>
            </w:pPr>
            <w:r w:rsidRPr="006568D4">
              <w:rPr>
                <w:sz w:val="20"/>
              </w:rPr>
              <w:t>68</w:t>
            </w:r>
          </w:p>
        </w:tc>
        <w:tc>
          <w:tcPr>
            <w:tcW w:w="1020" w:type="dxa"/>
          </w:tcPr>
          <w:p w14:paraId="2AD92839" w14:textId="77777777" w:rsidR="00636199" w:rsidRPr="00004979" w:rsidRDefault="00636199" w:rsidP="00913B2F">
            <w:pPr>
              <w:spacing w:line="240" w:lineRule="auto"/>
              <w:contextualSpacing/>
              <w:jc w:val="center"/>
              <w:rPr>
                <w:sz w:val="20"/>
              </w:rPr>
            </w:pPr>
            <w:r>
              <w:rPr>
                <w:sz w:val="20"/>
              </w:rPr>
              <w:t>175</w:t>
            </w:r>
          </w:p>
        </w:tc>
      </w:tr>
      <w:tr w:rsidR="00636199" w:rsidRPr="009E24AC" w14:paraId="38D51C67" w14:textId="77777777" w:rsidTr="00913B2F">
        <w:trPr>
          <w:trHeight w:val="283"/>
          <w:jc w:val="center"/>
        </w:trPr>
        <w:tc>
          <w:tcPr>
            <w:tcW w:w="1474" w:type="dxa"/>
            <w:vAlign w:val="center"/>
          </w:tcPr>
          <w:p w14:paraId="68FEFF9F" w14:textId="77777777" w:rsidR="00636199" w:rsidRPr="003A6966" w:rsidRDefault="00636199" w:rsidP="00913B2F">
            <w:pPr>
              <w:spacing w:line="240" w:lineRule="auto"/>
              <w:contextualSpacing/>
              <w:jc w:val="left"/>
              <w:rPr>
                <w:sz w:val="20"/>
              </w:rPr>
            </w:pPr>
            <w:r w:rsidRPr="003A6966">
              <w:rPr>
                <w:sz w:val="20"/>
              </w:rPr>
              <w:t>VEWH</w:t>
            </w:r>
          </w:p>
        </w:tc>
        <w:tc>
          <w:tcPr>
            <w:tcW w:w="1020" w:type="dxa"/>
            <w:vAlign w:val="center"/>
          </w:tcPr>
          <w:p w14:paraId="19A16D60" w14:textId="77777777" w:rsidR="00636199" w:rsidRPr="003A6966" w:rsidRDefault="00636199" w:rsidP="00913B2F">
            <w:pPr>
              <w:spacing w:line="240" w:lineRule="auto"/>
              <w:contextualSpacing/>
              <w:jc w:val="center"/>
              <w:rPr>
                <w:sz w:val="20"/>
              </w:rPr>
            </w:pPr>
            <w:r w:rsidRPr="003A6966">
              <w:rPr>
                <w:sz w:val="20"/>
              </w:rPr>
              <w:t>26</w:t>
            </w:r>
          </w:p>
        </w:tc>
        <w:tc>
          <w:tcPr>
            <w:tcW w:w="1020" w:type="dxa"/>
            <w:vAlign w:val="center"/>
          </w:tcPr>
          <w:p w14:paraId="60EDC3F4" w14:textId="77777777" w:rsidR="00636199" w:rsidRPr="003A6966" w:rsidRDefault="00636199" w:rsidP="00913B2F">
            <w:pPr>
              <w:spacing w:line="240" w:lineRule="auto"/>
              <w:contextualSpacing/>
              <w:jc w:val="center"/>
              <w:rPr>
                <w:sz w:val="20"/>
              </w:rPr>
            </w:pPr>
            <w:r w:rsidRPr="003A6966">
              <w:rPr>
                <w:sz w:val="20"/>
              </w:rPr>
              <w:t>15</w:t>
            </w:r>
          </w:p>
        </w:tc>
        <w:tc>
          <w:tcPr>
            <w:tcW w:w="1020" w:type="dxa"/>
            <w:vAlign w:val="center"/>
          </w:tcPr>
          <w:p w14:paraId="1C835DCE" w14:textId="77777777" w:rsidR="00636199" w:rsidRPr="003A6966" w:rsidRDefault="00636199" w:rsidP="00913B2F">
            <w:pPr>
              <w:spacing w:line="240" w:lineRule="auto"/>
              <w:contextualSpacing/>
              <w:jc w:val="center"/>
              <w:rPr>
                <w:sz w:val="20"/>
              </w:rPr>
            </w:pPr>
            <w:r w:rsidRPr="003A6966">
              <w:rPr>
                <w:sz w:val="20"/>
              </w:rPr>
              <w:t>43</w:t>
            </w:r>
          </w:p>
        </w:tc>
        <w:tc>
          <w:tcPr>
            <w:tcW w:w="1020" w:type="dxa"/>
            <w:vAlign w:val="center"/>
          </w:tcPr>
          <w:p w14:paraId="76B26C78" w14:textId="77777777" w:rsidR="00636199" w:rsidRPr="003A6966" w:rsidRDefault="00636199" w:rsidP="00913B2F">
            <w:pPr>
              <w:spacing w:line="240" w:lineRule="auto"/>
              <w:contextualSpacing/>
              <w:jc w:val="center"/>
              <w:rPr>
                <w:sz w:val="20"/>
              </w:rPr>
            </w:pPr>
            <w:r>
              <w:rPr>
                <w:sz w:val="20"/>
              </w:rPr>
              <w:t>30</w:t>
            </w:r>
          </w:p>
        </w:tc>
        <w:tc>
          <w:tcPr>
            <w:tcW w:w="1020" w:type="dxa"/>
            <w:vAlign w:val="center"/>
          </w:tcPr>
          <w:p w14:paraId="35F8201F" w14:textId="77777777" w:rsidR="00636199" w:rsidRPr="003A6966" w:rsidRDefault="00636199" w:rsidP="00913B2F">
            <w:pPr>
              <w:spacing w:line="240" w:lineRule="auto"/>
              <w:contextualSpacing/>
              <w:jc w:val="center"/>
              <w:rPr>
                <w:sz w:val="20"/>
              </w:rPr>
            </w:pPr>
            <w:r w:rsidRPr="003A6966">
              <w:rPr>
                <w:sz w:val="20"/>
              </w:rPr>
              <w:t>35</w:t>
            </w:r>
          </w:p>
        </w:tc>
        <w:tc>
          <w:tcPr>
            <w:tcW w:w="1020" w:type="dxa"/>
          </w:tcPr>
          <w:p w14:paraId="0AF507BA" w14:textId="77777777" w:rsidR="00636199" w:rsidRPr="006568D4" w:rsidRDefault="00636199" w:rsidP="00913B2F">
            <w:pPr>
              <w:spacing w:line="240" w:lineRule="auto"/>
              <w:contextualSpacing/>
              <w:jc w:val="center"/>
              <w:rPr>
                <w:sz w:val="20"/>
              </w:rPr>
            </w:pPr>
            <w:r w:rsidRPr="006568D4">
              <w:rPr>
                <w:sz w:val="20"/>
              </w:rPr>
              <w:t>60</w:t>
            </w:r>
          </w:p>
        </w:tc>
        <w:tc>
          <w:tcPr>
            <w:tcW w:w="1020" w:type="dxa"/>
          </w:tcPr>
          <w:p w14:paraId="75362277" w14:textId="77777777" w:rsidR="00636199" w:rsidRPr="00322509" w:rsidRDefault="00636199" w:rsidP="00913B2F">
            <w:pPr>
              <w:spacing w:line="240" w:lineRule="auto"/>
              <w:contextualSpacing/>
              <w:jc w:val="center"/>
              <w:rPr>
                <w:sz w:val="20"/>
              </w:rPr>
            </w:pPr>
            <w:r w:rsidRPr="00322509">
              <w:rPr>
                <w:sz w:val="20"/>
              </w:rPr>
              <w:t>56</w:t>
            </w:r>
          </w:p>
        </w:tc>
      </w:tr>
      <w:tr w:rsidR="00636199" w:rsidRPr="009E24AC" w14:paraId="29B48532" w14:textId="77777777" w:rsidTr="00913B2F">
        <w:trPr>
          <w:trHeight w:val="283"/>
          <w:jc w:val="center"/>
        </w:trPr>
        <w:tc>
          <w:tcPr>
            <w:tcW w:w="1474" w:type="dxa"/>
            <w:vAlign w:val="center"/>
          </w:tcPr>
          <w:p w14:paraId="62AF67EB" w14:textId="77777777" w:rsidR="00636199" w:rsidRPr="003A6966" w:rsidRDefault="00636199" w:rsidP="00913B2F">
            <w:pPr>
              <w:spacing w:line="240" w:lineRule="auto"/>
              <w:contextualSpacing/>
              <w:jc w:val="left"/>
              <w:rPr>
                <w:sz w:val="20"/>
              </w:rPr>
            </w:pPr>
            <w:r w:rsidRPr="003A6966">
              <w:rPr>
                <w:sz w:val="20"/>
              </w:rPr>
              <w:t>RMIF</w:t>
            </w:r>
          </w:p>
        </w:tc>
        <w:tc>
          <w:tcPr>
            <w:tcW w:w="1020" w:type="dxa"/>
            <w:vAlign w:val="center"/>
          </w:tcPr>
          <w:p w14:paraId="7E328DAA" w14:textId="77777777" w:rsidR="00636199" w:rsidRPr="003A6966" w:rsidRDefault="00636199" w:rsidP="00913B2F">
            <w:pPr>
              <w:spacing w:line="240" w:lineRule="auto"/>
              <w:contextualSpacing/>
              <w:jc w:val="center"/>
              <w:rPr>
                <w:sz w:val="20"/>
              </w:rPr>
            </w:pPr>
          </w:p>
        </w:tc>
        <w:tc>
          <w:tcPr>
            <w:tcW w:w="1020" w:type="dxa"/>
            <w:vAlign w:val="center"/>
          </w:tcPr>
          <w:p w14:paraId="7471B727" w14:textId="77777777" w:rsidR="00636199" w:rsidRPr="003A6966" w:rsidRDefault="00636199" w:rsidP="00913B2F">
            <w:pPr>
              <w:spacing w:line="240" w:lineRule="auto"/>
              <w:contextualSpacing/>
              <w:jc w:val="center"/>
              <w:rPr>
                <w:sz w:val="20"/>
              </w:rPr>
            </w:pPr>
          </w:p>
        </w:tc>
        <w:tc>
          <w:tcPr>
            <w:tcW w:w="1020" w:type="dxa"/>
            <w:vAlign w:val="center"/>
          </w:tcPr>
          <w:p w14:paraId="498C51DF" w14:textId="77777777" w:rsidR="00636199" w:rsidRPr="003A6966" w:rsidRDefault="00636199" w:rsidP="00913B2F">
            <w:pPr>
              <w:spacing w:line="240" w:lineRule="auto"/>
              <w:contextualSpacing/>
              <w:jc w:val="center"/>
              <w:rPr>
                <w:sz w:val="20"/>
              </w:rPr>
            </w:pPr>
            <w:r w:rsidRPr="003A6966">
              <w:rPr>
                <w:sz w:val="20"/>
              </w:rPr>
              <w:t>100</w:t>
            </w:r>
          </w:p>
        </w:tc>
        <w:tc>
          <w:tcPr>
            <w:tcW w:w="1020" w:type="dxa"/>
            <w:vAlign w:val="center"/>
          </w:tcPr>
          <w:p w14:paraId="272DB7D9" w14:textId="77777777" w:rsidR="00636199" w:rsidRPr="003A6966" w:rsidRDefault="00636199" w:rsidP="00913B2F">
            <w:pPr>
              <w:spacing w:line="240" w:lineRule="auto"/>
              <w:contextualSpacing/>
              <w:jc w:val="center"/>
              <w:rPr>
                <w:sz w:val="20"/>
              </w:rPr>
            </w:pPr>
            <w:r w:rsidRPr="003A6966">
              <w:rPr>
                <w:sz w:val="20"/>
              </w:rPr>
              <w:t>53</w:t>
            </w:r>
          </w:p>
        </w:tc>
        <w:tc>
          <w:tcPr>
            <w:tcW w:w="1020" w:type="dxa"/>
            <w:vAlign w:val="center"/>
          </w:tcPr>
          <w:p w14:paraId="1FF2BF86" w14:textId="77777777" w:rsidR="00636199" w:rsidRPr="003A6966" w:rsidRDefault="00636199" w:rsidP="00913B2F">
            <w:pPr>
              <w:spacing w:line="240" w:lineRule="auto"/>
              <w:contextualSpacing/>
              <w:jc w:val="center"/>
              <w:rPr>
                <w:sz w:val="20"/>
              </w:rPr>
            </w:pPr>
            <w:r w:rsidRPr="003A6966">
              <w:rPr>
                <w:sz w:val="20"/>
              </w:rPr>
              <w:t>111</w:t>
            </w:r>
          </w:p>
        </w:tc>
        <w:tc>
          <w:tcPr>
            <w:tcW w:w="1020" w:type="dxa"/>
          </w:tcPr>
          <w:p w14:paraId="3EAA3A4B" w14:textId="3CD43BFC" w:rsidR="00636199" w:rsidRPr="006568D4" w:rsidRDefault="00636199" w:rsidP="00913B2F">
            <w:pPr>
              <w:spacing w:line="240" w:lineRule="auto"/>
              <w:contextualSpacing/>
              <w:jc w:val="center"/>
              <w:rPr>
                <w:sz w:val="20"/>
              </w:rPr>
            </w:pPr>
            <w:r w:rsidRPr="006568D4">
              <w:rPr>
                <w:sz w:val="20"/>
              </w:rPr>
              <w:t>52</w:t>
            </w:r>
          </w:p>
        </w:tc>
        <w:tc>
          <w:tcPr>
            <w:tcW w:w="1020" w:type="dxa"/>
          </w:tcPr>
          <w:p w14:paraId="238B1515" w14:textId="77777777" w:rsidR="00636199" w:rsidRPr="00322509" w:rsidRDefault="00636199" w:rsidP="00913B2F">
            <w:pPr>
              <w:spacing w:line="240" w:lineRule="auto"/>
              <w:contextualSpacing/>
              <w:jc w:val="center"/>
              <w:rPr>
                <w:sz w:val="20"/>
              </w:rPr>
            </w:pPr>
            <w:r w:rsidRPr="00322509">
              <w:rPr>
                <w:sz w:val="20"/>
              </w:rPr>
              <w:t>5</w:t>
            </w:r>
          </w:p>
        </w:tc>
      </w:tr>
      <w:tr w:rsidR="00636199" w:rsidRPr="009E24AC" w14:paraId="4F2C1988" w14:textId="77777777" w:rsidTr="00913B2F">
        <w:trPr>
          <w:trHeight w:val="283"/>
          <w:jc w:val="center"/>
        </w:trPr>
        <w:tc>
          <w:tcPr>
            <w:tcW w:w="1474" w:type="dxa"/>
            <w:vAlign w:val="center"/>
          </w:tcPr>
          <w:p w14:paraId="0D669C58" w14:textId="77777777" w:rsidR="00636199" w:rsidRPr="003A6966" w:rsidRDefault="00636199" w:rsidP="00913B2F">
            <w:pPr>
              <w:spacing w:line="240" w:lineRule="auto"/>
              <w:contextualSpacing/>
              <w:jc w:val="left"/>
              <w:rPr>
                <w:sz w:val="20"/>
              </w:rPr>
            </w:pPr>
            <w:r w:rsidRPr="003A6966">
              <w:rPr>
                <w:sz w:val="20"/>
              </w:rPr>
              <w:t xml:space="preserve">NSW </w:t>
            </w:r>
            <w:r>
              <w:rPr>
                <w:sz w:val="20"/>
              </w:rPr>
              <w:t>DPIE</w:t>
            </w:r>
          </w:p>
        </w:tc>
        <w:tc>
          <w:tcPr>
            <w:tcW w:w="1020" w:type="dxa"/>
            <w:vAlign w:val="center"/>
          </w:tcPr>
          <w:p w14:paraId="348892E4" w14:textId="77777777" w:rsidR="00636199" w:rsidRPr="003A6966" w:rsidRDefault="00636199" w:rsidP="00913B2F">
            <w:pPr>
              <w:spacing w:line="240" w:lineRule="auto"/>
              <w:contextualSpacing/>
              <w:jc w:val="center"/>
              <w:rPr>
                <w:sz w:val="20"/>
              </w:rPr>
            </w:pPr>
          </w:p>
        </w:tc>
        <w:tc>
          <w:tcPr>
            <w:tcW w:w="1020" w:type="dxa"/>
            <w:vAlign w:val="center"/>
          </w:tcPr>
          <w:p w14:paraId="76781422" w14:textId="77777777" w:rsidR="00636199" w:rsidRPr="003A6966" w:rsidRDefault="00636199" w:rsidP="00913B2F">
            <w:pPr>
              <w:spacing w:line="240" w:lineRule="auto"/>
              <w:contextualSpacing/>
              <w:jc w:val="center"/>
              <w:rPr>
                <w:sz w:val="20"/>
              </w:rPr>
            </w:pPr>
          </w:p>
        </w:tc>
        <w:tc>
          <w:tcPr>
            <w:tcW w:w="1020" w:type="dxa"/>
            <w:vAlign w:val="center"/>
          </w:tcPr>
          <w:p w14:paraId="77A95E59" w14:textId="77777777" w:rsidR="00636199" w:rsidRPr="003A6966" w:rsidRDefault="00636199" w:rsidP="00913B2F">
            <w:pPr>
              <w:spacing w:line="240" w:lineRule="auto"/>
              <w:contextualSpacing/>
              <w:jc w:val="center"/>
              <w:rPr>
                <w:sz w:val="20"/>
              </w:rPr>
            </w:pPr>
          </w:p>
        </w:tc>
        <w:tc>
          <w:tcPr>
            <w:tcW w:w="1020" w:type="dxa"/>
            <w:vAlign w:val="center"/>
          </w:tcPr>
          <w:p w14:paraId="3795823B" w14:textId="77777777" w:rsidR="00636199" w:rsidRPr="003A6966" w:rsidRDefault="00636199" w:rsidP="00913B2F">
            <w:pPr>
              <w:spacing w:line="240" w:lineRule="auto"/>
              <w:contextualSpacing/>
              <w:jc w:val="center"/>
              <w:rPr>
                <w:sz w:val="20"/>
              </w:rPr>
            </w:pPr>
            <w:r w:rsidRPr="003A6966">
              <w:rPr>
                <w:sz w:val="20"/>
              </w:rPr>
              <w:t>9</w:t>
            </w:r>
          </w:p>
        </w:tc>
        <w:tc>
          <w:tcPr>
            <w:tcW w:w="1020" w:type="dxa"/>
            <w:vAlign w:val="center"/>
          </w:tcPr>
          <w:p w14:paraId="7DB1DBAF" w14:textId="77777777" w:rsidR="00636199" w:rsidRPr="003A6966" w:rsidRDefault="00636199" w:rsidP="00913B2F">
            <w:pPr>
              <w:spacing w:line="240" w:lineRule="auto"/>
              <w:contextualSpacing/>
              <w:jc w:val="center"/>
              <w:rPr>
                <w:sz w:val="20"/>
              </w:rPr>
            </w:pPr>
          </w:p>
        </w:tc>
        <w:tc>
          <w:tcPr>
            <w:tcW w:w="1020" w:type="dxa"/>
          </w:tcPr>
          <w:p w14:paraId="2B45C901" w14:textId="77777777" w:rsidR="00636199" w:rsidRPr="006568D4" w:rsidRDefault="00636199" w:rsidP="00913B2F">
            <w:pPr>
              <w:spacing w:line="240" w:lineRule="auto"/>
              <w:contextualSpacing/>
              <w:jc w:val="center"/>
              <w:rPr>
                <w:sz w:val="20"/>
              </w:rPr>
            </w:pPr>
          </w:p>
        </w:tc>
        <w:tc>
          <w:tcPr>
            <w:tcW w:w="1020" w:type="dxa"/>
          </w:tcPr>
          <w:p w14:paraId="2F3CEBBA" w14:textId="77777777" w:rsidR="00636199" w:rsidRPr="00D96D99" w:rsidRDefault="00636199" w:rsidP="00913B2F">
            <w:pPr>
              <w:spacing w:line="240" w:lineRule="auto"/>
              <w:contextualSpacing/>
              <w:jc w:val="center"/>
              <w:rPr>
                <w:sz w:val="20"/>
                <w:highlight w:val="yellow"/>
              </w:rPr>
            </w:pPr>
          </w:p>
        </w:tc>
      </w:tr>
      <w:tr w:rsidR="00636199" w:rsidRPr="009E24AC" w14:paraId="5E94E347" w14:textId="77777777" w:rsidTr="00913B2F">
        <w:trPr>
          <w:trHeight w:val="283"/>
          <w:jc w:val="center"/>
        </w:trPr>
        <w:tc>
          <w:tcPr>
            <w:tcW w:w="1474" w:type="dxa"/>
            <w:tcBorders>
              <w:bottom w:val="single" w:sz="4" w:space="0" w:color="auto"/>
            </w:tcBorders>
            <w:vAlign w:val="center"/>
          </w:tcPr>
          <w:p w14:paraId="69DC63E0" w14:textId="77777777" w:rsidR="00636199" w:rsidRPr="003A6966" w:rsidRDefault="00636199" w:rsidP="00913B2F">
            <w:pPr>
              <w:spacing w:line="240" w:lineRule="auto"/>
              <w:contextualSpacing/>
              <w:jc w:val="left"/>
              <w:rPr>
                <w:sz w:val="20"/>
              </w:rPr>
            </w:pPr>
            <w:r w:rsidRPr="003A6966">
              <w:rPr>
                <w:sz w:val="20"/>
              </w:rPr>
              <w:t>Total</w:t>
            </w:r>
            <w:r>
              <w:rPr>
                <w:sz w:val="20"/>
              </w:rPr>
              <w:t xml:space="preserve"> eWater</w:t>
            </w:r>
          </w:p>
        </w:tc>
        <w:tc>
          <w:tcPr>
            <w:tcW w:w="1020" w:type="dxa"/>
            <w:tcBorders>
              <w:bottom w:val="single" w:sz="4" w:space="0" w:color="auto"/>
            </w:tcBorders>
            <w:vAlign w:val="center"/>
          </w:tcPr>
          <w:p w14:paraId="46F070AD" w14:textId="77777777" w:rsidR="00636199" w:rsidRPr="003A6966" w:rsidRDefault="00636199" w:rsidP="00913B2F">
            <w:pPr>
              <w:spacing w:line="240" w:lineRule="auto"/>
              <w:contextualSpacing/>
              <w:jc w:val="center"/>
              <w:rPr>
                <w:sz w:val="20"/>
              </w:rPr>
            </w:pPr>
            <w:r w:rsidRPr="003A6966">
              <w:rPr>
                <w:sz w:val="20"/>
              </w:rPr>
              <w:t>714</w:t>
            </w:r>
            <w:r>
              <w:rPr>
                <w:sz w:val="20"/>
              </w:rPr>
              <w:t xml:space="preserve"> (25%)</w:t>
            </w:r>
          </w:p>
        </w:tc>
        <w:tc>
          <w:tcPr>
            <w:tcW w:w="1020" w:type="dxa"/>
            <w:tcBorders>
              <w:bottom w:val="single" w:sz="4" w:space="0" w:color="auto"/>
            </w:tcBorders>
            <w:vAlign w:val="center"/>
          </w:tcPr>
          <w:p w14:paraId="111F70B2" w14:textId="77777777" w:rsidR="00636199" w:rsidRPr="003A6966" w:rsidRDefault="00636199" w:rsidP="00913B2F">
            <w:pPr>
              <w:spacing w:line="240" w:lineRule="auto"/>
              <w:contextualSpacing/>
              <w:jc w:val="center"/>
              <w:rPr>
                <w:sz w:val="20"/>
              </w:rPr>
            </w:pPr>
            <w:r w:rsidRPr="003A6966">
              <w:rPr>
                <w:sz w:val="20"/>
              </w:rPr>
              <w:t>914</w:t>
            </w:r>
            <w:r>
              <w:rPr>
                <w:sz w:val="20"/>
              </w:rPr>
              <w:t xml:space="preserve"> (37%)</w:t>
            </w:r>
          </w:p>
        </w:tc>
        <w:tc>
          <w:tcPr>
            <w:tcW w:w="1020" w:type="dxa"/>
            <w:tcBorders>
              <w:bottom w:val="single" w:sz="4" w:space="0" w:color="auto"/>
            </w:tcBorders>
            <w:vAlign w:val="center"/>
          </w:tcPr>
          <w:p w14:paraId="7E3319F4" w14:textId="77777777" w:rsidR="00636199" w:rsidRPr="003A6966" w:rsidRDefault="00636199" w:rsidP="00913B2F">
            <w:pPr>
              <w:spacing w:line="240" w:lineRule="auto"/>
              <w:contextualSpacing/>
              <w:jc w:val="center"/>
              <w:rPr>
                <w:sz w:val="20"/>
              </w:rPr>
            </w:pPr>
            <w:r w:rsidRPr="003A6966">
              <w:rPr>
                <w:sz w:val="20"/>
              </w:rPr>
              <w:t>99</w:t>
            </w:r>
            <w:r>
              <w:rPr>
                <w:sz w:val="20"/>
              </w:rPr>
              <w:t>6 (11%)</w:t>
            </w:r>
          </w:p>
        </w:tc>
        <w:tc>
          <w:tcPr>
            <w:tcW w:w="1020" w:type="dxa"/>
            <w:tcBorders>
              <w:bottom w:val="single" w:sz="4" w:space="0" w:color="auto"/>
            </w:tcBorders>
            <w:vAlign w:val="center"/>
          </w:tcPr>
          <w:p w14:paraId="097795D0" w14:textId="77777777" w:rsidR="00636199" w:rsidRPr="003A6966" w:rsidRDefault="00636199" w:rsidP="00913B2F">
            <w:pPr>
              <w:spacing w:line="240" w:lineRule="auto"/>
              <w:contextualSpacing/>
              <w:jc w:val="center"/>
              <w:rPr>
                <w:sz w:val="20"/>
              </w:rPr>
            </w:pPr>
            <w:r w:rsidRPr="003A6966">
              <w:rPr>
                <w:sz w:val="20"/>
              </w:rPr>
              <w:t>116</w:t>
            </w:r>
            <w:r>
              <w:rPr>
                <w:sz w:val="20"/>
              </w:rPr>
              <w:t>7 (43%)</w:t>
            </w:r>
          </w:p>
        </w:tc>
        <w:tc>
          <w:tcPr>
            <w:tcW w:w="1020" w:type="dxa"/>
            <w:tcBorders>
              <w:bottom w:val="single" w:sz="4" w:space="0" w:color="auto"/>
            </w:tcBorders>
            <w:vAlign w:val="center"/>
          </w:tcPr>
          <w:p w14:paraId="4BBAFCE4" w14:textId="77777777" w:rsidR="00636199" w:rsidRPr="003A6966" w:rsidRDefault="00636199" w:rsidP="00913B2F">
            <w:pPr>
              <w:spacing w:line="240" w:lineRule="auto"/>
              <w:contextualSpacing/>
              <w:jc w:val="center"/>
              <w:rPr>
                <w:sz w:val="20"/>
              </w:rPr>
            </w:pPr>
            <w:r w:rsidRPr="003A6966">
              <w:rPr>
                <w:sz w:val="20"/>
              </w:rPr>
              <w:t>7</w:t>
            </w:r>
            <w:r>
              <w:rPr>
                <w:sz w:val="20"/>
              </w:rPr>
              <w:t>91 (32%)</w:t>
            </w:r>
          </w:p>
        </w:tc>
        <w:tc>
          <w:tcPr>
            <w:tcW w:w="1020" w:type="dxa"/>
            <w:tcBorders>
              <w:bottom w:val="single" w:sz="4" w:space="0" w:color="auto"/>
            </w:tcBorders>
          </w:tcPr>
          <w:p w14:paraId="5F8496BC" w14:textId="77777777" w:rsidR="00636199" w:rsidRPr="00D94AAF" w:rsidRDefault="00636199" w:rsidP="00913B2F">
            <w:pPr>
              <w:spacing w:line="240" w:lineRule="auto"/>
              <w:contextualSpacing/>
              <w:jc w:val="center"/>
              <w:rPr>
                <w:sz w:val="20"/>
              </w:rPr>
            </w:pPr>
            <w:r w:rsidRPr="00D94AAF">
              <w:rPr>
                <w:sz w:val="20"/>
              </w:rPr>
              <w:t>931 (39%)</w:t>
            </w:r>
          </w:p>
        </w:tc>
        <w:tc>
          <w:tcPr>
            <w:tcW w:w="1020" w:type="dxa"/>
            <w:tcBorders>
              <w:bottom w:val="single" w:sz="4" w:space="0" w:color="auto"/>
            </w:tcBorders>
          </w:tcPr>
          <w:p w14:paraId="7C979750" w14:textId="28478D16" w:rsidR="00636199" w:rsidRPr="00D96D99" w:rsidRDefault="00636199" w:rsidP="00913B2F">
            <w:pPr>
              <w:spacing w:line="240" w:lineRule="auto"/>
              <w:contextualSpacing/>
              <w:jc w:val="center"/>
              <w:rPr>
                <w:sz w:val="20"/>
                <w:highlight w:val="yellow"/>
              </w:rPr>
            </w:pPr>
            <w:r>
              <w:rPr>
                <w:sz w:val="20"/>
              </w:rPr>
              <w:t>9</w:t>
            </w:r>
            <w:r w:rsidR="00B808C3">
              <w:rPr>
                <w:sz w:val="20"/>
              </w:rPr>
              <w:t>22</w:t>
            </w:r>
            <w:r w:rsidRPr="00004979">
              <w:rPr>
                <w:sz w:val="20"/>
              </w:rPr>
              <w:t xml:space="preserve"> (</w:t>
            </w:r>
            <w:r>
              <w:rPr>
                <w:sz w:val="20"/>
              </w:rPr>
              <w:t>3</w:t>
            </w:r>
            <w:r w:rsidR="008D02BF">
              <w:rPr>
                <w:sz w:val="20"/>
              </w:rPr>
              <w:t>1</w:t>
            </w:r>
            <w:r w:rsidRPr="00004979">
              <w:rPr>
                <w:sz w:val="20"/>
              </w:rPr>
              <w:t>%)</w:t>
            </w:r>
          </w:p>
        </w:tc>
      </w:tr>
    </w:tbl>
    <w:p w14:paraId="24C7B6F4" w14:textId="32357D52" w:rsidR="009F092A" w:rsidRPr="00DF4EBE" w:rsidRDefault="00DF4EBE" w:rsidP="009F092A">
      <w:pPr>
        <w:rPr>
          <w:sz w:val="18"/>
          <w:szCs w:val="16"/>
        </w:rPr>
      </w:pPr>
      <w:r w:rsidRPr="00DF4EBE">
        <w:rPr>
          <w:sz w:val="18"/>
          <w:szCs w:val="16"/>
        </w:rPr>
        <w:t xml:space="preserve">* </w:t>
      </w:r>
      <w:r w:rsidR="00A479A4">
        <w:rPr>
          <w:sz w:val="18"/>
          <w:szCs w:val="16"/>
        </w:rPr>
        <w:t xml:space="preserve">A total of </w:t>
      </w:r>
      <w:r w:rsidR="00322509">
        <w:rPr>
          <w:sz w:val="18"/>
          <w:szCs w:val="16"/>
        </w:rPr>
        <w:t>12.5</w:t>
      </w:r>
      <w:r w:rsidRPr="00DF4EBE">
        <w:rPr>
          <w:sz w:val="18"/>
          <w:szCs w:val="16"/>
        </w:rPr>
        <w:t xml:space="preserve"> GL of</w:t>
      </w:r>
      <w:r w:rsidR="00B314D5">
        <w:rPr>
          <w:sz w:val="18"/>
          <w:szCs w:val="16"/>
        </w:rPr>
        <w:t xml:space="preserve"> CEW</w:t>
      </w:r>
      <w:r w:rsidRPr="00DF4EBE">
        <w:rPr>
          <w:sz w:val="18"/>
          <w:szCs w:val="16"/>
        </w:rPr>
        <w:t xml:space="preserve"> was </w:t>
      </w:r>
      <w:r w:rsidR="00B314D5">
        <w:rPr>
          <w:sz w:val="18"/>
          <w:szCs w:val="16"/>
        </w:rPr>
        <w:t>also delivered</w:t>
      </w:r>
      <w:r w:rsidRPr="00DF4EBE">
        <w:rPr>
          <w:sz w:val="18"/>
          <w:szCs w:val="16"/>
        </w:rPr>
        <w:t xml:space="preserve"> for wetland watering in 20</w:t>
      </w:r>
      <w:r w:rsidR="00013589">
        <w:rPr>
          <w:sz w:val="18"/>
          <w:szCs w:val="16"/>
        </w:rPr>
        <w:t>20</w:t>
      </w:r>
      <w:r w:rsidRPr="00DF4EBE">
        <w:rPr>
          <w:sz w:val="18"/>
          <w:szCs w:val="16"/>
        </w:rPr>
        <w:t>-2</w:t>
      </w:r>
      <w:r w:rsidR="00013589">
        <w:rPr>
          <w:sz w:val="18"/>
          <w:szCs w:val="16"/>
        </w:rPr>
        <w:t>1</w:t>
      </w:r>
      <w:r>
        <w:rPr>
          <w:sz w:val="18"/>
          <w:szCs w:val="16"/>
        </w:rPr>
        <w:t>.</w:t>
      </w:r>
    </w:p>
    <w:p w14:paraId="1BFED295" w14:textId="1894844B" w:rsidR="002E40C5" w:rsidRDefault="002E40C5" w:rsidP="002E40C5">
      <w:pPr>
        <w:pStyle w:val="Caption"/>
      </w:pPr>
      <w:bookmarkStart w:id="57" w:name="_Ref30779384"/>
      <w:bookmarkStart w:id="58" w:name="_Ref57211234"/>
      <w:bookmarkStart w:id="59" w:name="_Toc101963860"/>
      <w:r w:rsidRPr="00521E10">
        <w:lastRenderedPageBreak/>
        <w:t xml:space="preserve">Table </w:t>
      </w:r>
      <w:r w:rsidRPr="00521E10">
        <w:rPr>
          <w:noProof/>
        </w:rPr>
        <w:fldChar w:fldCharType="begin"/>
      </w:r>
      <w:r w:rsidRPr="00521E10">
        <w:rPr>
          <w:noProof/>
        </w:rPr>
        <w:instrText xml:space="preserve"> SEQ Table \* ARABIC </w:instrText>
      </w:r>
      <w:r w:rsidRPr="00521E10">
        <w:rPr>
          <w:noProof/>
        </w:rPr>
        <w:fldChar w:fldCharType="separate"/>
      </w:r>
      <w:r w:rsidR="003C13F6">
        <w:rPr>
          <w:noProof/>
        </w:rPr>
        <w:t>2</w:t>
      </w:r>
      <w:r w:rsidRPr="00521E10">
        <w:rPr>
          <w:noProof/>
        </w:rPr>
        <w:fldChar w:fldCharType="end"/>
      </w:r>
      <w:bookmarkEnd w:id="57"/>
      <w:bookmarkEnd w:id="58"/>
      <w:r w:rsidRPr="00521E10">
        <w:t>. Annual flow over the Murray barrages (total volume, GL) from 2014</w:t>
      </w:r>
      <w:r w:rsidR="00B2342E">
        <w:t>-15 to 20</w:t>
      </w:r>
      <w:r w:rsidR="00D060F1">
        <w:t>20</w:t>
      </w:r>
      <w:r w:rsidR="00B2342E">
        <w:t>-</w:t>
      </w:r>
      <w:r w:rsidRPr="00521E10">
        <w:t>2</w:t>
      </w:r>
      <w:r w:rsidR="00D060F1">
        <w:t>1</w:t>
      </w:r>
      <w:r>
        <w:t xml:space="preserve">, showing contribution by Commonwealth environmental water (CEW). </w:t>
      </w:r>
      <w:r w:rsidR="009A6818">
        <w:t>CEW and total flow volumes are based on S</w:t>
      </w:r>
      <w:r w:rsidR="00DD4808">
        <w:t xml:space="preserve">outh </w:t>
      </w:r>
      <w:r w:rsidR="009A6818">
        <w:t>A</w:t>
      </w:r>
      <w:r w:rsidR="00DD4808">
        <w:t>ustralian</w:t>
      </w:r>
      <w:r w:rsidR="009A6818">
        <w:t xml:space="preserve"> barrage dashboard accounting data</w:t>
      </w:r>
      <w:r>
        <w:t>.</w:t>
      </w:r>
      <w:r w:rsidR="00E1034E" w:rsidRPr="00E1034E">
        <w:t xml:space="preserve"> Matter transport results in Section 2.3.1 are based on barrage-specific modelled data, and may differ slightly compared to the accounted data presented here</w:t>
      </w:r>
      <w:r w:rsidR="00E1034E">
        <w:t>.</w:t>
      </w:r>
      <w:bookmarkEnd w:id="59"/>
      <w:r w:rsidR="00F30A23">
        <w:t xml:space="preserve"> </w:t>
      </w:r>
    </w:p>
    <w:tbl>
      <w:tblPr>
        <w:tblW w:w="0" w:type="auto"/>
        <w:jc w:val="center"/>
        <w:tblLook w:val="04A0" w:firstRow="1" w:lastRow="0" w:firstColumn="1" w:lastColumn="0" w:noHBand="0" w:noVBand="1"/>
      </w:tblPr>
      <w:tblGrid>
        <w:gridCol w:w="1336"/>
        <w:gridCol w:w="1283"/>
        <w:gridCol w:w="1079"/>
        <w:gridCol w:w="1079"/>
        <w:gridCol w:w="1079"/>
        <w:gridCol w:w="1079"/>
        <w:gridCol w:w="1079"/>
        <w:gridCol w:w="1012"/>
      </w:tblGrid>
      <w:tr w:rsidR="00AD112B" w:rsidRPr="005135BF" w14:paraId="357E834F" w14:textId="77777777" w:rsidTr="00913B2F">
        <w:trPr>
          <w:trHeight w:val="283"/>
          <w:jc w:val="center"/>
        </w:trPr>
        <w:tc>
          <w:tcPr>
            <w:tcW w:w="1336" w:type="dxa"/>
            <w:tcBorders>
              <w:top w:val="single" w:sz="4" w:space="0" w:color="auto"/>
              <w:bottom w:val="single" w:sz="4" w:space="0" w:color="auto"/>
            </w:tcBorders>
            <w:vAlign w:val="bottom"/>
          </w:tcPr>
          <w:p w14:paraId="0CF003DF" w14:textId="77777777" w:rsidR="00AD112B" w:rsidRPr="005135BF" w:rsidRDefault="00AD112B" w:rsidP="00913B2F">
            <w:pPr>
              <w:contextualSpacing/>
              <w:jc w:val="left"/>
              <w:rPr>
                <w:sz w:val="20"/>
              </w:rPr>
            </w:pPr>
            <w:bookmarkStart w:id="60" w:name="_Ref16673617"/>
            <w:r w:rsidRPr="005135BF">
              <w:rPr>
                <w:sz w:val="20"/>
              </w:rPr>
              <w:t>Water year</w:t>
            </w:r>
          </w:p>
        </w:tc>
        <w:tc>
          <w:tcPr>
            <w:tcW w:w="1283" w:type="dxa"/>
            <w:tcBorders>
              <w:top w:val="single" w:sz="4" w:space="0" w:color="auto"/>
              <w:bottom w:val="single" w:sz="4" w:space="0" w:color="auto"/>
            </w:tcBorders>
            <w:vAlign w:val="bottom"/>
          </w:tcPr>
          <w:p w14:paraId="6ED14692" w14:textId="77777777" w:rsidR="00AD112B" w:rsidRPr="005135BF" w:rsidRDefault="00AD112B" w:rsidP="00913B2F">
            <w:pPr>
              <w:contextualSpacing/>
              <w:jc w:val="center"/>
              <w:rPr>
                <w:sz w:val="20"/>
              </w:rPr>
            </w:pPr>
            <w:r w:rsidRPr="005135BF">
              <w:rPr>
                <w:sz w:val="20"/>
              </w:rPr>
              <w:t>2014-15</w:t>
            </w:r>
          </w:p>
        </w:tc>
        <w:tc>
          <w:tcPr>
            <w:tcW w:w="1079" w:type="dxa"/>
            <w:tcBorders>
              <w:top w:val="single" w:sz="4" w:space="0" w:color="auto"/>
              <w:bottom w:val="single" w:sz="4" w:space="0" w:color="auto"/>
            </w:tcBorders>
            <w:vAlign w:val="bottom"/>
          </w:tcPr>
          <w:p w14:paraId="6D8D3098" w14:textId="77777777" w:rsidR="00AD112B" w:rsidRPr="005135BF" w:rsidRDefault="00AD112B" w:rsidP="00913B2F">
            <w:pPr>
              <w:contextualSpacing/>
              <w:jc w:val="center"/>
              <w:rPr>
                <w:sz w:val="20"/>
              </w:rPr>
            </w:pPr>
            <w:r w:rsidRPr="005135BF">
              <w:rPr>
                <w:sz w:val="20"/>
              </w:rPr>
              <w:t>2015-16</w:t>
            </w:r>
          </w:p>
        </w:tc>
        <w:tc>
          <w:tcPr>
            <w:tcW w:w="1079" w:type="dxa"/>
            <w:tcBorders>
              <w:top w:val="single" w:sz="4" w:space="0" w:color="auto"/>
              <w:bottom w:val="single" w:sz="4" w:space="0" w:color="auto"/>
            </w:tcBorders>
            <w:vAlign w:val="bottom"/>
          </w:tcPr>
          <w:p w14:paraId="5C8E243D" w14:textId="77777777" w:rsidR="00AD112B" w:rsidRPr="005135BF" w:rsidRDefault="00AD112B" w:rsidP="00913B2F">
            <w:pPr>
              <w:contextualSpacing/>
              <w:jc w:val="center"/>
              <w:rPr>
                <w:sz w:val="20"/>
              </w:rPr>
            </w:pPr>
            <w:r w:rsidRPr="005135BF">
              <w:rPr>
                <w:sz w:val="20"/>
              </w:rPr>
              <w:t>2016-17</w:t>
            </w:r>
          </w:p>
        </w:tc>
        <w:tc>
          <w:tcPr>
            <w:tcW w:w="1079" w:type="dxa"/>
            <w:tcBorders>
              <w:top w:val="single" w:sz="4" w:space="0" w:color="auto"/>
              <w:bottom w:val="single" w:sz="4" w:space="0" w:color="auto"/>
            </w:tcBorders>
            <w:vAlign w:val="bottom"/>
          </w:tcPr>
          <w:p w14:paraId="54111D16" w14:textId="77777777" w:rsidR="00AD112B" w:rsidRPr="005135BF" w:rsidRDefault="00AD112B" w:rsidP="00913B2F">
            <w:pPr>
              <w:contextualSpacing/>
              <w:jc w:val="center"/>
              <w:rPr>
                <w:sz w:val="20"/>
              </w:rPr>
            </w:pPr>
            <w:r w:rsidRPr="005135BF">
              <w:rPr>
                <w:sz w:val="20"/>
              </w:rPr>
              <w:t>2017-18</w:t>
            </w:r>
          </w:p>
        </w:tc>
        <w:tc>
          <w:tcPr>
            <w:tcW w:w="1079" w:type="dxa"/>
            <w:tcBorders>
              <w:top w:val="single" w:sz="4" w:space="0" w:color="auto"/>
              <w:bottom w:val="single" w:sz="4" w:space="0" w:color="auto"/>
            </w:tcBorders>
            <w:vAlign w:val="bottom"/>
          </w:tcPr>
          <w:p w14:paraId="2F95C888" w14:textId="77777777" w:rsidR="00AD112B" w:rsidRPr="005135BF" w:rsidRDefault="00AD112B" w:rsidP="00913B2F">
            <w:pPr>
              <w:contextualSpacing/>
              <w:jc w:val="center"/>
              <w:rPr>
                <w:sz w:val="20"/>
              </w:rPr>
            </w:pPr>
            <w:r w:rsidRPr="005135BF">
              <w:rPr>
                <w:sz w:val="20"/>
              </w:rPr>
              <w:t>2018-19</w:t>
            </w:r>
          </w:p>
        </w:tc>
        <w:tc>
          <w:tcPr>
            <w:tcW w:w="1079" w:type="dxa"/>
            <w:tcBorders>
              <w:top w:val="single" w:sz="4" w:space="0" w:color="auto"/>
              <w:bottom w:val="single" w:sz="4" w:space="0" w:color="auto"/>
            </w:tcBorders>
            <w:vAlign w:val="bottom"/>
          </w:tcPr>
          <w:p w14:paraId="203AE6B2" w14:textId="77777777" w:rsidR="00AD112B" w:rsidRPr="005135BF" w:rsidRDefault="00AD112B" w:rsidP="00913B2F">
            <w:pPr>
              <w:contextualSpacing/>
              <w:jc w:val="center"/>
              <w:rPr>
                <w:sz w:val="20"/>
              </w:rPr>
            </w:pPr>
            <w:r>
              <w:rPr>
                <w:sz w:val="20"/>
              </w:rPr>
              <w:t>2019-20</w:t>
            </w:r>
          </w:p>
        </w:tc>
        <w:tc>
          <w:tcPr>
            <w:tcW w:w="1012" w:type="dxa"/>
            <w:tcBorders>
              <w:top w:val="single" w:sz="4" w:space="0" w:color="auto"/>
              <w:bottom w:val="single" w:sz="4" w:space="0" w:color="auto"/>
            </w:tcBorders>
            <w:vAlign w:val="bottom"/>
          </w:tcPr>
          <w:p w14:paraId="0EB0F39D" w14:textId="77777777" w:rsidR="00AD112B" w:rsidRDefault="00AD112B" w:rsidP="00913B2F">
            <w:pPr>
              <w:contextualSpacing/>
              <w:jc w:val="center"/>
              <w:rPr>
                <w:sz w:val="20"/>
              </w:rPr>
            </w:pPr>
            <w:r>
              <w:rPr>
                <w:sz w:val="20"/>
              </w:rPr>
              <w:t>2020-21</w:t>
            </w:r>
          </w:p>
        </w:tc>
      </w:tr>
      <w:tr w:rsidR="00AD112B" w:rsidRPr="005135BF" w14:paraId="2445850D" w14:textId="77777777" w:rsidTr="00913B2F">
        <w:trPr>
          <w:trHeight w:val="283"/>
          <w:jc w:val="center"/>
        </w:trPr>
        <w:tc>
          <w:tcPr>
            <w:tcW w:w="1336" w:type="dxa"/>
            <w:vAlign w:val="center"/>
          </w:tcPr>
          <w:p w14:paraId="51804D28" w14:textId="77777777" w:rsidR="00AD112B" w:rsidRPr="005135BF" w:rsidRDefault="00AD112B" w:rsidP="00913B2F">
            <w:pPr>
              <w:contextualSpacing/>
              <w:jc w:val="left"/>
              <w:rPr>
                <w:sz w:val="20"/>
              </w:rPr>
            </w:pPr>
            <w:r>
              <w:rPr>
                <w:sz w:val="20"/>
              </w:rPr>
              <w:t>Total</w:t>
            </w:r>
          </w:p>
        </w:tc>
        <w:tc>
          <w:tcPr>
            <w:tcW w:w="1283" w:type="dxa"/>
            <w:vAlign w:val="center"/>
          </w:tcPr>
          <w:p w14:paraId="421CE11B" w14:textId="350E178D" w:rsidR="00AD112B" w:rsidRPr="005135BF" w:rsidRDefault="00AD112B" w:rsidP="00913B2F">
            <w:pPr>
              <w:contextualSpacing/>
              <w:jc w:val="center"/>
              <w:rPr>
                <w:sz w:val="20"/>
              </w:rPr>
            </w:pPr>
            <w:r>
              <w:rPr>
                <w:sz w:val="20"/>
              </w:rPr>
              <w:t>987</w:t>
            </w:r>
          </w:p>
        </w:tc>
        <w:tc>
          <w:tcPr>
            <w:tcW w:w="1079" w:type="dxa"/>
            <w:vAlign w:val="center"/>
          </w:tcPr>
          <w:p w14:paraId="68F4A006" w14:textId="78AA505D" w:rsidR="00AD112B" w:rsidRPr="005135BF" w:rsidRDefault="00AD112B" w:rsidP="00913B2F">
            <w:pPr>
              <w:contextualSpacing/>
              <w:jc w:val="center"/>
              <w:rPr>
                <w:sz w:val="20"/>
              </w:rPr>
            </w:pPr>
            <w:r>
              <w:rPr>
                <w:sz w:val="20"/>
              </w:rPr>
              <w:t>561</w:t>
            </w:r>
          </w:p>
        </w:tc>
        <w:tc>
          <w:tcPr>
            <w:tcW w:w="1079" w:type="dxa"/>
            <w:vAlign w:val="center"/>
          </w:tcPr>
          <w:p w14:paraId="0BABF082" w14:textId="38D9FF50" w:rsidR="00AD112B" w:rsidRPr="005135BF" w:rsidRDefault="00AD112B" w:rsidP="00913B2F">
            <w:pPr>
              <w:contextualSpacing/>
              <w:jc w:val="center"/>
              <w:rPr>
                <w:sz w:val="20"/>
              </w:rPr>
            </w:pPr>
            <w:r>
              <w:rPr>
                <w:sz w:val="20"/>
              </w:rPr>
              <w:t>6484</w:t>
            </w:r>
          </w:p>
        </w:tc>
        <w:tc>
          <w:tcPr>
            <w:tcW w:w="1079" w:type="dxa"/>
            <w:vAlign w:val="center"/>
          </w:tcPr>
          <w:p w14:paraId="5E365509" w14:textId="1E247FE6" w:rsidR="00AD112B" w:rsidRPr="005135BF" w:rsidRDefault="00AD112B" w:rsidP="00913B2F">
            <w:pPr>
              <w:contextualSpacing/>
              <w:jc w:val="center"/>
              <w:rPr>
                <w:sz w:val="20"/>
              </w:rPr>
            </w:pPr>
            <w:r>
              <w:rPr>
                <w:sz w:val="20"/>
              </w:rPr>
              <w:t>854</w:t>
            </w:r>
          </w:p>
        </w:tc>
        <w:tc>
          <w:tcPr>
            <w:tcW w:w="1079" w:type="dxa"/>
            <w:vAlign w:val="center"/>
          </w:tcPr>
          <w:p w14:paraId="656921BE" w14:textId="794B5A3E" w:rsidR="00AD112B" w:rsidRPr="005135BF" w:rsidRDefault="00AD112B" w:rsidP="00913B2F">
            <w:pPr>
              <w:contextualSpacing/>
              <w:jc w:val="center"/>
              <w:rPr>
                <w:sz w:val="20"/>
              </w:rPr>
            </w:pPr>
            <w:r>
              <w:rPr>
                <w:sz w:val="20"/>
              </w:rPr>
              <w:t>377</w:t>
            </w:r>
          </w:p>
        </w:tc>
        <w:tc>
          <w:tcPr>
            <w:tcW w:w="1079" w:type="dxa"/>
          </w:tcPr>
          <w:p w14:paraId="0D40704F" w14:textId="77777777" w:rsidR="00AD112B" w:rsidRDefault="00AD112B" w:rsidP="00913B2F">
            <w:pPr>
              <w:contextualSpacing/>
              <w:jc w:val="center"/>
              <w:rPr>
                <w:sz w:val="20"/>
              </w:rPr>
            </w:pPr>
            <w:r>
              <w:rPr>
                <w:sz w:val="20"/>
              </w:rPr>
              <w:t>685</w:t>
            </w:r>
          </w:p>
        </w:tc>
        <w:tc>
          <w:tcPr>
            <w:tcW w:w="1012" w:type="dxa"/>
          </w:tcPr>
          <w:p w14:paraId="7C214AF5" w14:textId="77777777" w:rsidR="00AD112B" w:rsidRPr="00004979" w:rsidRDefault="00AD112B" w:rsidP="00913B2F">
            <w:pPr>
              <w:contextualSpacing/>
              <w:jc w:val="center"/>
              <w:rPr>
                <w:sz w:val="20"/>
              </w:rPr>
            </w:pPr>
            <w:r>
              <w:rPr>
                <w:sz w:val="20"/>
              </w:rPr>
              <w:t>1247*</w:t>
            </w:r>
          </w:p>
        </w:tc>
      </w:tr>
      <w:tr w:rsidR="00AD112B" w:rsidRPr="005135BF" w14:paraId="03DC8B45" w14:textId="77777777" w:rsidTr="00913B2F">
        <w:trPr>
          <w:trHeight w:val="283"/>
          <w:jc w:val="center"/>
        </w:trPr>
        <w:tc>
          <w:tcPr>
            <w:tcW w:w="1336" w:type="dxa"/>
            <w:tcBorders>
              <w:bottom w:val="single" w:sz="4" w:space="0" w:color="auto"/>
            </w:tcBorders>
            <w:vAlign w:val="center"/>
          </w:tcPr>
          <w:p w14:paraId="1A0E1ADE" w14:textId="77777777" w:rsidR="00AD112B" w:rsidRPr="005135BF" w:rsidRDefault="00AD112B" w:rsidP="00913B2F">
            <w:pPr>
              <w:contextualSpacing/>
              <w:jc w:val="left"/>
              <w:rPr>
                <w:sz w:val="20"/>
              </w:rPr>
            </w:pPr>
            <w:r w:rsidRPr="005135BF">
              <w:rPr>
                <w:sz w:val="20"/>
              </w:rPr>
              <w:t>CEW</w:t>
            </w:r>
          </w:p>
        </w:tc>
        <w:tc>
          <w:tcPr>
            <w:tcW w:w="1283" w:type="dxa"/>
            <w:tcBorders>
              <w:bottom w:val="single" w:sz="4" w:space="0" w:color="auto"/>
            </w:tcBorders>
            <w:vAlign w:val="center"/>
          </w:tcPr>
          <w:p w14:paraId="2A2973A4" w14:textId="77777777" w:rsidR="00AD112B" w:rsidRPr="005135BF" w:rsidRDefault="00AD112B" w:rsidP="00913B2F">
            <w:pPr>
              <w:contextualSpacing/>
              <w:jc w:val="center"/>
              <w:rPr>
                <w:sz w:val="20"/>
              </w:rPr>
            </w:pPr>
            <w:r>
              <w:rPr>
                <w:sz w:val="20"/>
              </w:rPr>
              <w:t>454</w:t>
            </w:r>
          </w:p>
        </w:tc>
        <w:tc>
          <w:tcPr>
            <w:tcW w:w="1079" w:type="dxa"/>
            <w:tcBorders>
              <w:bottom w:val="single" w:sz="4" w:space="0" w:color="auto"/>
            </w:tcBorders>
            <w:vAlign w:val="center"/>
          </w:tcPr>
          <w:p w14:paraId="13462EE0" w14:textId="77777777" w:rsidR="00AD112B" w:rsidRPr="005135BF" w:rsidRDefault="00AD112B" w:rsidP="00913B2F">
            <w:pPr>
              <w:contextualSpacing/>
              <w:jc w:val="center"/>
              <w:rPr>
                <w:sz w:val="20"/>
              </w:rPr>
            </w:pPr>
            <w:r>
              <w:rPr>
                <w:sz w:val="20"/>
              </w:rPr>
              <w:t>561</w:t>
            </w:r>
          </w:p>
        </w:tc>
        <w:tc>
          <w:tcPr>
            <w:tcW w:w="1079" w:type="dxa"/>
            <w:tcBorders>
              <w:bottom w:val="single" w:sz="4" w:space="0" w:color="auto"/>
            </w:tcBorders>
            <w:vAlign w:val="center"/>
          </w:tcPr>
          <w:p w14:paraId="0681081E" w14:textId="77777777" w:rsidR="00AD112B" w:rsidRPr="005135BF" w:rsidRDefault="00AD112B" w:rsidP="00913B2F">
            <w:pPr>
              <w:contextualSpacing/>
              <w:jc w:val="center"/>
              <w:rPr>
                <w:sz w:val="20"/>
              </w:rPr>
            </w:pPr>
            <w:r>
              <w:rPr>
                <w:sz w:val="20"/>
              </w:rPr>
              <w:t>802</w:t>
            </w:r>
          </w:p>
        </w:tc>
        <w:tc>
          <w:tcPr>
            <w:tcW w:w="1079" w:type="dxa"/>
            <w:tcBorders>
              <w:bottom w:val="single" w:sz="4" w:space="0" w:color="auto"/>
            </w:tcBorders>
            <w:vAlign w:val="center"/>
          </w:tcPr>
          <w:p w14:paraId="1F2117FB" w14:textId="77777777" w:rsidR="00AD112B" w:rsidRPr="005135BF" w:rsidRDefault="00AD112B" w:rsidP="00913B2F">
            <w:pPr>
              <w:contextualSpacing/>
              <w:jc w:val="center"/>
              <w:rPr>
                <w:sz w:val="20"/>
              </w:rPr>
            </w:pPr>
            <w:r w:rsidRPr="005135BF">
              <w:rPr>
                <w:sz w:val="20"/>
              </w:rPr>
              <w:t>7</w:t>
            </w:r>
            <w:r>
              <w:rPr>
                <w:sz w:val="20"/>
              </w:rPr>
              <w:t>57</w:t>
            </w:r>
          </w:p>
        </w:tc>
        <w:tc>
          <w:tcPr>
            <w:tcW w:w="1079" w:type="dxa"/>
            <w:tcBorders>
              <w:bottom w:val="single" w:sz="4" w:space="0" w:color="auto"/>
            </w:tcBorders>
            <w:vAlign w:val="center"/>
          </w:tcPr>
          <w:p w14:paraId="53A1AAAF" w14:textId="77777777" w:rsidR="00AD112B" w:rsidRPr="005135BF" w:rsidRDefault="00AD112B" w:rsidP="00913B2F">
            <w:pPr>
              <w:contextualSpacing/>
              <w:jc w:val="center"/>
              <w:rPr>
                <w:sz w:val="20"/>
              </w:rPr>
            </w:pPr>
            <w:r>
              <w:rPr>
                <w:sz w:val="20"/>
              </w:rPr>
              <w:t>377</w:t>
            </w:r>
          </w:p>
        </w:tc>
        <w:tc>
          <w:tcPr>
            <w:tcW w:w="1079" w:type="dxa"/>
            <w:tcBorders>
              <w:bottom w:val="single" w:sz="4" w:space="0" w:color="auto"/>
            </w:tcBorders>
          </w:tcPr>
          <w:p w14:paraId="7C1DE5BF" w14:textId="77777777" w:rsidR="00AD112B" w:rsidRDefault="00AD112B" w:rsidP="00913B2F">
            <w:pPr>
              <w:contextualSpacing/>
              <w:jc w:val="center"/>
              <w:rPr>
                <w:sz w:val="20"/>
              </w:rPr>
            </w:pPr>
            <w:r>
              <w:rPr>
                <w:sz w:val="20"/>
              </w:rPr>
              <w:t>685</w:t>
            </w:r>
          </w:p>
        </w:tc>
        <w:tc>
          <w:tcPr>
            <w:tcW w:w="1012" w:type="dxa"/>
            <w:tcBorders>
              <w:bottom w:val="single" w:sz="4" w:space="0" w:color="auto"/>
            </w:tcBorders>
          </w:tcPr>
          <w:p w14:paraId="2203B8FD" w14:textId="77777777" w:rsidR="00AD112B" w:rsidRPr="00004979" w:rsidRDefault="00AD112B" w:rsidP="00913B2F">
            <w:pPr>
              <w:contextualSpacing/>
              <w:jc w:val="center"/>
              <w:rPr>
                <w:sz w:val="20"/>
              </w:rPr>
            </w:pPr>
            <w:r w:rsidRPr="00004979">
              <w:rPr>
                <w:sz w:val="20"/>
              </w:rPr>
              <w:t>808</w:t>
            </w:r>
          </w:p>
        </w:tc>
      </w:tr>
    </w:tbl>
    <w:p w14:paraId="3ED782E0" w14:textId="4D3AD3F3" w:rsidR="00AD112B" w:rsidRPr="00936992" w:rsidRDefault="00AD112B" w:rsidP="00AD112B">
      <w:pPr>
        <w:spacing w:before="0" w:line="240" w:lineRule="auto"/>
        <w:rPr>
          <w:sz w:val="18"/>
          <w:szCs w:val="18"/>
        </w:rPr>
      </w:pPr>
      <w:r w:rsidRPr="00936992">
        <w:rPr>
          <w:sz w:val="18"/>
          <w:szCs w:val="18"/>
        </w:rPr>
        <w:t>*Other eWater</w:t>
      </w:r>
      <w:r w:rsidR="00936992" w:rsidRPr="00936992">
        <w:rPr>
          <w:sz w:val="18"/>
          <w:szCs w:val="18"/>
        </w:rPr>
        <w:t xml:space="preserve"> during 2020-21</w:t>
      </w:r>
      <w:r w:rsidRPr="00936992">
        <w:rPr>
          <w:sz w:val="18"/>
          <w:szCs w:val="18"/>
        </w:rPr>
        <w:t xml:space="preserve"> included 46.2 GL of TLM (incl. 13.1 GL of Ent.), 28.7 GL VEWH and 4.8 GL of RMIF</w:t>
      </w:r>
      <w:r w:rsidR="0084457E" w:rsidRPr="00936992">
        <w:rPr>
          <w:sz w:val="18"/>
          <w:szCs w:val="18"/>
        </w:rPr>
        <w:t xml:space="preserve"> (data source: CEWO)</w:t>
      </w:r>
      <w:r w:rsidRPr="00936992">
        <w:rPr>
          <w:sz w:val="18"/>
          <w:szCs w:val="18"/>
        </w:rPr>
        <w:t>. See Table 1 caption for abbreviations in full.</w:t>
      </w:r>
    </w:p>
    <w:p w14:paraId="4452F167" w14:textId="79567F80" w:rsidR="007319A1" w:rsidRPr="00D060F1" w:rsidRDefault="00F64316" w:rsidP="00864240">
      <w:pPr>
        <w:rPr>
          <w:highlight w:val="yellow"/>
        </w:rPr>
      </w:pPr>
      <w:r w:rsidRPr="00D96D99">
        <w:t>In 20</w:t>
      </w:r>
      <w:r w:rsidR="00D060F1" w:rsidRPr="00D96D99">
        <w:t>20-21</w:t>
      </w:r>
      <w:r w:rsidRPr="00D96D99">
        <w:t>, flow remained in-channel and was similar to f</w:t>
      </w:r>
      <w:r w:rsidR="0034202A" w:rsidRPr="00D96D99">
        <w:t>ive</w:t>
      </w:r>
      <w:r w:rsidRPr="00D96D99">
        <w:t xml:space="preserve"> of the previous </w:t>
      </w:r>
      <w:r w:rsidR="004F6147">
        <w:t>six</w:t>
      </w:r>
      <w:r w:rsidR="004F6147" w:rsidRPr="00D96D99">
        <w:t xml:space="preserve"> </w:t>
      </w:r>
      <w:r w:rsidRPr="00D96D99">
        <w:t xml:space="preserve">years, which were hydrologically dry (i.e. flow remained &lt;18,000 ML/d </w:t>
      </w:r>
      <w:r w:rsidR="00864240" w:rsidRPr="00D96D99">
        <w:t xml:space="preserve">at </w:t>
      </w:r>
      <w:r w:rsidR="00864240" w:rsidRPr="00004979">
        <w:t xml:space="preserve">the South Australian border, </w:t>
      </w:r>
      <w:r w:rsidR="00864240" w:rsidRPr="00004979">
        <w:fldChar w:fldCharType="begin"/>
      </w:r>
      <w:r w:rsidR="00864240" w:rsidRPr="00004979">
        <w:instrText xml:space="preserve"> REF _Ref416335393 \h </w:instrText>
      </w:r>
      <w:r w:rsidR="00D060F1" w:rsidRPr="00004979">
        <w:instrText xml:space="preserve"> \* MERGEFORMAT </w:instrText>
      </w:r>
      <w:r w:rsidR="00864240" w:rsidRPr="00004979">
        <w:fldChar w:fldCharType="separate"/>
      </w:r>
      <w:r w:rsidR="003C13F6" w:rsidRPr="0007443D">
        <w:t xml:space="preserve">Figure </w:t>
      </w:r>
      <w:r w:rsidR="003C13F6">
        <w:rPr>
          <w:noProof/>
        </w:rPr>
        <w:t>4</w:t>
      </w:r>
      <w:r w:rsidR="00864240" w:rsidRPr="00004979">
        <w:fldChar w:fldCharType="end"/>
      </w:r>
      <w:r w:rsidR="00864240" w:rsidRPr="00004979">
        <w:t>)</w:t>
      </w:r>
      <w:r w:rsidR="00746BE8" w:rsidRPr="00004979">
        <w:t xml:space="preserve">. </w:t>
      </w:r>
      <w:r w:rsidR="00AD112B" w:rsidRPr="00004979">
        <w:t>During this year, ~</w:t>
      </w:r>
      <w:r w:rsidR="00AD112B">
        <w:t>9</w:t>
      </w:r>
      <w:r w:rsidR="00B808C3">
        <w:t>22</w:t>
      </w:r>
      <w:r w:rsidR="00AD112B" w:rsidRPr="00004979">
        <w:t xml:space="preserve"> GL of environmental water (excluding wetland use, </w:t>
      </w:r>
      <w:r w:rsidR="00AD112B">
        <w:t>3</w:t>
      </w:r>
      <w:r w:rsidR="008D02BF">
        <w:t>1</w:t>
      </w:r>
      <w:r w:rsidR="00AD112B" w:rsidRPr="00004979">
        <w:t>% of the total flow), including ~</w:t>
      </w:r>
      <w:r w:rsidR="00AD112B">
        <w:t>687</w:t>
      </w:r>
      <w:r w:rsidR="00AD112B" w:rsidRPr="00004979">
        <w:t xml:space="preserve"> GL </w:t>
      </w:r>
      <w:r w:rsidR="006B32D4" w:rsidRPr="00004979">
        <w:t>of</w:t>
      </w:r>
      <w:r w:rsidR="006B32D4" w:rsidRPr="00D96D99">
        <w:t xml:space="preserve"> Commonwealth environmental water, was delivered to the LMR </w:t>
      </w:r>
      <w:r w:rsidR="00857106" w:rsidRPr="00D96D99">
        <w:t>(</w:t>
      </w:r>
      <w:r w:rsidR="00857106" w:rsidRPr="00D96D99">
        <w:fldChar w:fldCharType="begin"/>
      </w:r>
      <w:r w:rsidR="00857106" w:rsidRPr="00D96D99">
        <w:instrText xml:space="preserve"> REF _Ref50048539 \h </w:instrText>
      </w:r>
      <w:r w:rsidR="00D060F1" w:rsidRPr="00D96D99">
        <w:instrText xml:space="preserve"> \* MERGEFORMAT </w:instrText>
      </w:r>
      <w:r w:rsidR="00857106" w:rsidRPr="00D96D99">
        <w:fldChar w:fldCharType="separate"/>
      </w:r>
      <w:r w:rsidR="003C13F6">
        <w:t xml:space="preserve">Table </w:t>
      </w:r>
      <w:r w:rsidR="003C13F6">
        <w:rPr>
          <w:noProof/>
        </w:rPr>
        <w:t>1</w:t>
      </w:r>
      <w:r w:rsidR="00857106" w:rsidRPr="00D96D99">
        <w:fldChar w:fldCharType="end"/>
      </w:r>
      <w:r w:rsidR="00F66EF3" w:rsidRPr="00D96D99">
        <w:t>).</w:t>
      </w:r>
      <w:r w:rsidR="00864240" w:rsidRPr="00D96D99">
        <w:t xml:space="preserve"> </w:t>
      </w:r>
    </w:p>
    <w:p w14:paraId="20DE98E8" w14:textId="000E131C" w:rsidR="00864240" w:rsidRPr="001807EE" w:rsidRDefault="00862F55" w:rsidP="00864240">
      <w:bookmarkStart w:id="61" w:name="_Hlk63967441"/>
      <w:r w:rsidRPr="001807EE">
        <w:t xml:space="preserve">Following unregulated flows </w:t>
      </w:r>
      <w:r w:rsidR="008E66D1" w:rsidRPr="001807EE">
        <w:t>in winter</w:t>
      </w:r>
      <w:r w:rsidR="00C31ABD">
        <w:rPr>
          <w:rFonts w:ascii="Calibri" w:hAnsi="Calibri" w:cs="Calibri"/>
        </w:rPr>
        <w:t>–</w:t>
      </w:r>
      <w:r w:rsidR="00C31ABD">
        <w:t>early spring</w:t>
      </w:r>
      <w:r w:rsidR="008E66D1" w:rsidRPr="001807EE">
        <w:t>, e</w:t>
      </w:r>
      <w:bookmarkStart w:id="62" w:name="_Hlk96213024"/>
      <w:r w:rsidR="00F64316" w:rsidRPr="001807EE">
        <w:t xml:space="preserve">nvironmental water delivered to South Australia </w:t>
      </w:r>
      <w:r w:rsidR="00C10663" w:rsidRPr="001807EE">
        <w:t xml:space="preserve">between </w:t>
      </w:r>
      <w:r w:rsidR="005518D4" w:rsidRPr="001807EE">
        <w:t>late September</w:t>
      </w:r>
      <w:r w:rsidR="00C10663" w:rsidRPr="001807EE">
        <w:t xml:space="preserve"> and </w:t>
      </w:r>
      <w:r w:rsidRPr="001807EE">
        <w:t>mid-December 2020</w:t>
      </w:r>
      <w:r w:rsidR="00C10663" w:rsidRPr="001807EE">
        <w:t xml:space="preserve">, </w:t>
      </w:r>
      <w:r w:rsidR="00F929BF" w:rsidRPr="001807EE">
        <w:t>supported</w:t>
      </w:r>
      <w:r w:rsidR="00864240" w:rsidRPr="001807EE">
        <w:t xml:space="preserve"> by </w:t>
      </w:r>
      <w:r w:rsidR="0098435D" w:rsidRPr="001807EE">
        <w:t>return flows</w:t>
      </w:r>
      <w:r w:rsidR="00864240" w:rsidRPr="001807EE">
        <w:t xml:space="preserve"> from the</w:t>
      </w:r>
      <w:r w:rsidR="0098435D" w:rsidRPr="001807EE">
        <w:t xml:space="preserve"> </w:t>
      </w:r>
      <w:r w:rsidR="00AD112B" w:rsidRPr="001807EE">
        <w:t>Murray, Goulburn</w:t>
      </w:r>
      <w:r w:rsidR="00377978">
        <w:t>,</w:t>
      </w:r>
      <w:r w:rsidR="00AD112B" w:rsidRPr="001807EE">
        <w:t xml:space="preserve"> Murrumbidgee</w:t>
      </w:r>
      <w:r w:rsidR="00377978">
        <w:t xml:space="preserve"> and Darling</w:t>
      </w:r>
      <w:r w:rsidR="00AD112B" w:rsidRPr="001807EE">
        <w:t xml:space="preserve"> rivers, </w:t>
      </w:r>
      <w:r w:rsidRPr="001807EE">
        <w:t xml:space="preserve">increased flow variability and </w:t>
      </w:r>
      <w:r w:rsidR="00FB633C" w:rsidRPr="001807EE">
        <w:t xml:space="preserve">promoted </w:t>
      </w:r>
      <w:r w:rsidRPr="001807EE">
        <w:t xml:space="preserve">multiple, </w:t>
      </w:r>
      <w:r w:rsidR="00FB633C" w:rsidRPr="001807EE">
        <w:t>i</w:t>
      </w:r>
      <w:r w:rsidR="00864240" w:rsidRPr="001807EE">
        <w:t xml:space="preserve">n-channel </w:t>
      </w:r>
      <w:r w:rsidR="006C1EA7" w:rsidRPr="001807EE">
        <w:t xml:space="preserve">spring </w:t>
      </w:r>
      <w:r w:rsidR="00864240" w:rsidRPr="001807EE">
        <w:t>flow pulse</w:t>
      </w:r>
      <w:r w:rsidR="008E66D1" w:rsidRPr="001807EE">
        <w:t>s (</w:t>
      </w:r>
      <w:r w:rsidR="008E66D1" w:rsidRPr="001807EE">
        <w:fldChar w:fldCharType="begin"/>
      </w:r>
      <w:r w:rsidR="008E66D1" w:rsidRPr="001807EE">
        <w:instrText xml:space="preserve"> REF _Ref81474313 \h </w:instrText>
      </w:r>
      <w:r w:rsidR="001807EE">
        <w:instrText xml:space="preserve"> \* MERGEFORMAT </w:instrText>
      </w:r>
      <w:r w:rsidR="008E66D1" w:rsidRPr="001807EE">
        <w:fldChar w:fldCharType="separate"/>
      </w:r>
      <w:r w:rsidR="003C13F6" w:rsidRPr="00F23935">
        <w:t xml:space="preserve">Figure </w:t>
      </w:r>
      <w:r w:rsidR="003C13F6">
        <w:rPr>
          <w:noProof/>
        </w:rPr>
        <w:t>5</w:t>
      </w:r>
      <w:r w:rsidR="008E66D1" w:rsidRPr="001807EE">
        <w:fldChar w:fldCharType="end"/>
      </w:r>
      <w:r w:rsidR="008E66D1" w:rsidRPr="001807EE">
        <w:t>).</w:t>
      </w:r>
      <w:r w:rsidR="00864240" w:rsidRPr="001807EE">
        <w:t xml:space="preserve"> </w:t>
      </w:r>
      <w:r w:rsidR="001807EE" w:rsidRPr="001807EE">
        <w:t xml:space="preserve">Spring flow </w:t>
      </w:r>
      <w:r w:rsidR="006F5056" w:rsidRPr="001807EE">
        <w:t>peak</w:t>
      </w:r>
      <w:r w:rsidR="001807EE" w:rsidRPr="001807EE">
        <w:t>ed</w:t>
      </w:r>
      <w:r w:rsidR="006F5056" w:rsidRPr="001807EE">
        <w:t xml:space="preserve"> </w:t>
      </w:r>
      <w:r w:rsidR="001807EE" w:rsidRPr="001807EE">
        <w:t xml:space="preserve">at </w:t>
      </w:r>
      <w:r w:rsidR="00F64316" w:rsidRPr="001807EE">
        <w:t>1</w:t>
      </w:r>
      <w:r w:rsidRPr="001807EE">
        <w:t>7</w:t>
      </w:r>
      <w:r w:rsidR="00F64316" w:rsidRPr="001807EE">
        <w:t>,</w:t>
      </w:r>
      <w:r w:rsidRPr="001807EE">
        <w:t>9</w:t>
      </w:r>
      <w:r w:rsidR="00F64316" w:rsidRPr="001807EE">
        <w:t xml:space="preserve">00 ML/d in </w:t>
      </w:r>
      <w:r w:rsidRPr="001807EE">
        <w:t>late November 2020</w:t>
      </w:r>
      <w:r w:rsidR="001807EE" w:rsidRPr="001807EE">
        <w:t>, and flow was maintained &gt;15,000 ML/d for a period of 18 days</w:t>
      </w:r>
      <w:r w:rsidR="00F64316" w:rsidRPr="001807EE">
        <w:t xml:space="preserve"> (</w:t>
      </w:r>
      <w:r w:rsidR="00FB633C" w:rsidRPr="001807EE">
        <w:fldChar w:fldCharType="begin"/>
      </w:r>
      <w:r w:rsidR="00FB633C" w:rsidRPr="001807EE">
        <w:instrText xml:space="preserve"> REF _Ref427583483 \h </w:instrText>
      </w:r>
      <w:r w:rsidR="00202359" w:rsidRPr="001807EE">
        <w:instrText xml:space="preserve"> \* MERGEFORMAT </w:instrText>
      </w:r>
      <w:r w:rsidR="00FB633C" w:rsidRPr="001807EE">
        <w:fldChar w:fldCharType="separate"/>
      </w:r>
      <w:r w:rsidR="003C13F6" w:rsidRPr="00F23935">
        <w:t xml:space="preserve">Figure </w:t>
      </w:r>
      <w:r w:rsidR="003C13F6">
        <w:rPr>
          <w:noProof/>
        </w:rPr>
        <w:t>5</w:t>
      </w:r>
      <w:r w:rsidR="00FB633C" w:rsidRPr="001807EE">
        <w:fldChar w:fldCharType="end"/>
      </w:r>
      <w:r w:rsidR="00864240" w:rsidRPr="001807EE">
        <w:t>).</w:t>
      </w:r>
      <w:bookmarkEnd w:id="62"/>
    </w:p>
    <w:bookmarkEnd w:id="61"/>
    <w:p w14:paraId="17037523" w14:textId="29F2E206" w:rsidR="00864240" w:rsidRPr="004F6147" w:rsidRDefault="00DD344A" w:rsidP="00864240">
      <w:r w:rsidRPr="001807EE">
        <w:t>Environmental water delivery to the LMR from summer–late autumn comprised of direct trades</w:t>
      </w:r>
      <w:r w:rsidR="00300626" w:rsidRPr="001807EE">
        <w:rPr>
          <w:rStyle w:val="FootnoteReference"/>
        </w:rPr>
        <w:footnoteReference w:id="5"/>
      </w:r>
      <w:r w:rsidRPr="001807EE">
        <w:t xml:space="preserve"> at the South Australian </w:t>
      </w:r>
      <w:r w:rsidRPr="004F6147">
        <w:t>border (</w:t>
      </w:r>
      <w:r w:rsidR="00864240" w:rsidRPr="004F6147">
        <w:fldChar w:fldCharType="begin"/>
      </w:r>
      <w:r w:rsidR="00864240" w:rsidRPr="004F6147">
        <w:instrText xml:space="preserve"> REF _Ref427583483 \h </w:instrText>
      </w:r>
      <w:r w:rsidR="00D060F1" w:rsidRPr="004F6147">
        <w:instrText xml:space="preserve"> \* MERGEFORMAT </w:instrText>
      </w:r>
      <w:r w:rsidR="00864240" w:rsidRPr="004F6147">
        <w:fldChar w:fldCharType="separate"/>
      </w:r>
      <w:r w:rsidR="003C13F6" w:rsidRPr="00F23935">
        <w:t xml:space="preserve">Figure </w:t>
      </w:r>
      <w:r w:rsidR="003C13F6">
        <w:rPr>
          <w:noProof/>
        </w:rPr>
        <w:t>5</w:t>
      </w:r>
      <w:r w:rsidR="00864240" w:rsidRPr="004F6147">
        <w:fldChar w:fldCharType="end"/>
      </w:r>
      <w:r w:rsidR="00AF54C8" w:rsidRPr="004F6147">
        <w:t>a</w:t>
      </w:r>
      <w:r w:rsidR="00864240" w:rsidRPr="004F6147">
        <w:t xml:space="preserve">). </w:t>
      </w:r>
      <w:r w:rsidR="002401AF" w:rsidRPr="004F6147">
        <w:t>During this period</w:t>
      </w:r>
      <w:r w:rsidR="00864240" w:rsidRPr="004F6147">
        <w:t xml:space="preserve">, Commonwealth environmental water played a critical role in maintaining barrage releases </w:t>
      </w:r>
      <w:r w:rsidR="00654860" w:rsidRPr="004F6147">
        <w:t>(</w:t>
      </w:r>
      <w:r w:rsidR="00654860" w:rsidRPr="004F6147">
        <w:fldChar w:fldCharType="begin"/>
      </w:r>
      <w:r w:rsidR="00654860" w:rsidRPr="004F6147">
        <w:instrText xml:space="preserve"> REF _Ref57211234 \h </w:instrText>
      </w:r>
      <w:r w:rsidR="00D060F1" w:rsidRPr="004F6147">
        <w:instrText xml:space="preserve"> \* MERGEFORMAT </w:instrText>
      </w:r>
      <w:r w:rsidR="00654860" w:rsidRPr="004F6147">
        <w:fldChar w:fldCharType="separate"/>
      </w:r>
      <w:r w:rsidR="003C13F6" w:rsidRPr="00521E10">
        <w:t xml:space="preserve">Table </w:t>
      </w:r>
      <w:r w:rsidR="003C13F6">
        <w:rPr>
          <w:noProof/>
        </w:rPr>
        <w:t>2</w:t>
      </w:r>
      <w:r w:rsidR="00654860" w:rsidRPr="004F6147">
        <w:fldChar w:fldCharType="end"/>
      </w:r>
      <w:r w:rsidR="00654860" w:rsidRPr="004F6147">
        <w:t>)</w:t>
      </w:r>
      <w:r w:rsidR="00864240" w:rsidRPr="004F6147">
        <w:t>.</w:t>
      </w:r>
      <w:r w:rsidR="00C03A9B" w:rsidRPr="004F6147">
        <w:t xml:space="preserve"> </w:t>
      </w:r>
      <w:r w:rsidR="00933BD0">
        <w:t>Approximately 65% of b</w:t>
      </w:r>
      <w:r w:rsidR="0098435D" w:rsidRPr="004F6147">
        <w:t xml:space="preserve">arrage flows in </w:t>
      </w:r>
      <w:r w:rsidR="00CE0E6C" w:rsidRPr="004F6147">
        <w:t xml:space="preserve">2020-21 </w:t>
      </w:r>
      <w:r w:rsidR="00F64316" w:rsidRPr="004F6147">
        <w:t>were Commonwealth environmental water.</w:t>
      </w:r>
    </w:p>
    <w:p w14:paraId="5856F5C3" w14:textId="09853558" w:rsidR="00AF54C8" w:rsidRPr="00164E13" w:rsidRDefault="00AF54C8" w:rsidP="00864240">
      <w:r w:rsidRPr="00164E13">
        <w:t xml:space="preserve">The physical source of flows to the LMR during </w:t>
      </w:r>
      <w:r w:rsidR="00F64316" w:rsidRPr="00164E13">
        <w:t>20</w:t>
      </w:r>
      <w:r w:rsidR="005F5C67" w:rsidRPr="00164E13">
        <w:t>20-21</w:t>
      </w:r>
      <w:r w:rsidR="00F64316" w:rsidRPr="00164E13">
        <w:t xml:space="preserve">are presented </w:t>
      </w:r>
      <w:r w:rsidRPr="00164E13">
        <w:t xml:space="preserve">in </w:t>
      </w:r>
      <w:r w:rsidRPr="00164E13">
        <w:fldChar w:fldCharType="begin"/>
      </w:r>
      <w:r w:rsidRPr="00164E13">
        <w:instrText xml:space="preserve"> REF _Ref427583483 \h </w:instrText>
      </w:r>
      <w:r w:rsidR="00D060F1" w:rsidRPr="00164E13">
        <w:instrText xml:space="preserve"> \* MERGEFORMAT </w:instrText>
      </w:r>
      <w:r w:rsidRPr="00164E13">
        <w:fldChar w:fldCharType="separate"/>
      </w:r>
      <w:r w:rsidR="003C13F6" w:rsidRPr="00F23935">
        <w:t xml:space="preserve">Figure </w:t>
      </w:r>
      <w:r w:rsidR="003C13F6">
        <w:rPr>
          <w:noProof/>
        </w:rPr>
        <w:t>5</w:t>
      </w:r>
      <w:r w:rsidRPr="00164E13">
        <w:fldChar w:fldCharType="end"/>
      </w:r>
      <w:r w:rsidRPr="00164E13">
        <w:t xml:space="preserve">b. </w:t>
      </w:r>
      <w:r w:rsidR="00023D19" w:rsidRPr="00164E13">
        <w:t>Flow to South Australia mainly comprised flow from the upper Murray and Goulburn rivers</w:t>
      </w:r>
      <w:r w:rsidR="00023D19">
        <w:t xml:space="preserve"> between July and November 2020, whereas flow from the Murray River and Lake Victoria was dominant after December 2020. F</w:t>
      </w:r>
      <w:r w:rsidR="00023D19" w:rsidRPr="00164E13">
        <w:t>low from Lake Victoria</w:t>
      </w:r>
      <w:r w:rsidR="00023D19">
        <w:t xml:space="preserve"> was delivered via</w:t>
      </w:r>
      <w:r w:rsidR="00023D19" w:rsidRPr="00164E13">
        <w:t xml:space="preserve"> direct trades.</w:t>
      </w:r>
      <w:r w:rsidR="00023D19">
        <w:t xml:space="preserve"> In 2020-21, the proportional flow from the Murrumbidgee (~10%) and Darling (~1%) rivers were low</w:t>
      </w:r>
      <w:r w:rsidR="000E7FDA">
        <w:t xml:space="preserve"> (</w:t>
      </w:r>
      <w:r w:rsidR="000E7FDA" w:rsidRPr="00164E13">
        <w:fldChar w:fldCharType="begin"/>
      </w:r>
      <w:r w:rsidR="000E7FDA" w:rsidRPr="00164E13">
        <w:instrText xml:space="preserve"> REF _Ref427583483 \h  \* MERGEFORMAT </w:instrText>
      </w:r>
      <w:r w:rsidR="000E7FDA" w:rsidRPr="00164E13">
        <w:fldChar w:fldCharType="separate"/>
      </w:r>
      <w:r w:rsidR="000E7FDA" w:rsidRPr="00F23935">
        <w:t xml:space="preserve">Figure </w:t>
      </w:r>
      <w:r w:rsidR="000E7FDA">
        <w:rPr>
          <w:noProof/>
        </w:rPr>
        <w:t>5</w:t>
      </w:r>
      <w:r w:rsidR="000E7FDA" w:rsidRPr="00164E13">
        <w:fldChar w:fldCharType="end"/>
      </w:r>
      <w:r w:rsidR="000E7FDA" w:rsidRPr="00164E13">
        <w:t>b</w:t>
      </w:r>
      <w:r w:rsidR="000E7FDA">
        <w:t>)</w:t>
      </w:r>
      <w:r w:rsidR="00023D19">
        <w:t>. Most flow from the Darling River occurred during late June 2021.</w:t>
      </w:r>
    </w:p>
    <w:p w14:paraId="6D914930" w14:textId="76834D59" w:rsidR="00872C33" w:rsidRDefault="00694C2C" w:rsidP="005F5C67">
      <w:r w:rsidRPr="00E857F9">
        <w:t>Key watering events</w:t>
      </w:r>
      <w:r w:rsidR="0098435D" w:rsidRPr="00E857F9">
        <w:t xml:space="preserve"> in the LMR during 20</w:t>
      </w:r>
      <w:r w:rsidR="00532A36" w:rsidRPr="00E857F9">
        <w:t>20-21</w:t>
      </w:r>
      <w:r w:rsidRPr="00E857F9">
        <w:t xml:space="preserve"> and</w:t>
      </w:r>
      <w:r w:rsidR="0098435D" w:rsidRPr="00E857F9">
        <w:t xml:space="preserve"> the</w:t>
      </w:r>
      <w:r w:rsidRPr="00E857F9">
        <w:t xml:space="preserve"> targeted</w:t>
      </w:r>
      <w:r w:rsidR="0098435D" w:rsidRPr="00E857F9">
        <w:t xml:space="preserve"> expected</w:t>
      </w:r>
      <w:r w:rsidRPr="00E857F9">
        <w:t xml:space="preserve"> outcomes</w:t>
      </w:r>
      <w:r w:rsidR="0098435D" w:rsidRPr="00E857F9">
        <w:t xml:space="preserve"> of these deliveries</w:t>
      </w:r>
      <w:r w:rsidRPr="00E857F9">
        <w:t xml:space="preserve"> </w:t>
      </w:r>
      <w:r w:rsidR="0098435D" w:rsidRPr="00E857F9">
        <w:t>a</w:t>
      </w:r>
      <w:r w:rsidRPr="00E857F9">
        <w:t xml:space="preserve">re presented in </w:t>
      </w:r>
      <w:r w:rsidR="00AF54C8" w:rsidRPr="00E857F9">
        <w:t>Appendix A</w:t>
      </w:r>
      <w:r w:rsidRPr="00E857F9">
        <w:t>. E</w:t>
      </w:r>
      <w:r w:rsidR="00864240" w:rsidRPr="00E857F9">
        <w:t xml:space="preserve">nvironmental water </w:t>
      </w:r>
      <w:r w:rsidRPr="00E857F9">
        <w:t xml:space="preserve">also </w:t>
      </w:r>
      <w:r w:rsidR="00CB3E64" w:rsidRPr="00E857F9">
        <w:t>supported</w:t>
      </w:r>
      <w:r w:rsidR="00864240" w:rsidRPr="00E857F9">
        <w:t xml:space="preserve"> other complementary management actions to achieve ecological outcomes in the </w:t>
      </w:r>
      <w:r w:rsidR="00CD41EB" w:rsidRPr="00E857F9">
        <w:t xml:space="preserve">Murray River; key activities from downstream of the Darling River junction to Wellington are summarised in </w:t>
      </w:r>
      <w:r w:rsidR="00864240" w:rsidRPr="00E857F9">
        <w:t>Appendix B. These included manipulations</w:t>
      </w:r>
      <w:r w:rsidRPr="00E857F9">
        <w:t xml:space="preserve"> of Weir Pools </w:t>
      </w:r>
      <w:r w:rsidR="00E857F9" w:rsidRPr="00E857F9">
        <w:t xml:space="preserve">1, </w:t>
      </w:r>
      <w:r w:rsidRPr="00E857F9">
        <w:t xml:space="preserve">2, </w:t>
      </w:r>
      <w:r w:rsidR="00E857F9" w:rsidRPr="00E857F9">
        <w:t>4</w:t>
      </w:r>
      <w:r w:rsidR="00322509">
        <w:t xml:space="preserve"> and</w:t>
      </w:r>
      <w:r w:rsidR="00E857F9" w:rsidRPr="00E857F9">
        <w:t xml:space="preserve"> 5</w:t>
      </w:r>
      <w:r w:rsidR="00864240" w:rsidRPr="00E857F9">
        <w:t>,</w:t>
      </w:r>
      <w:r w:rsidR="00BD0BBA">
        <w:t xml:space="preserve"> </w:t>
      </w:r>
      <w:r w:rsidR="00B13AEC">
        <w:t xml:space="preserve">operations </w:t>
      </w:r>
      <w:r w:rsidR="00BD0BBA">
        <w:t>of Katarapko and Pike floodplain regulators,</w:t>
      </w:r>
      <w:r w:rsidR="00864240" w:rsidRPr="00E857F9">
        <w:t xml:space="preserve"> and wetland watering by pumping.</w:t>
      </w:r>
    </w:p>
    <w:bookmarkEnd w:id="60"/>
    <w:p w14:paraId="1195A1CD" w14:textId="77777777" w:rsidR="009E24AC" w:rsidRDefault="009E24AC">
      <w:pPr>
        <w:sectPr w:rsidR="009E24AC" w:rsidSect="00C025E5">
          <w:footnotePr>
            <w:numFmt w:val="lowerLetter"/>
          </w:footnotePr>
          <w:pgSz w:w="11906" w:h="16838"/>
          <w:pgMar w:top="1440" w:right="1440" w:bottom="1440" w:left="1440" w:header="708" w:footer="708" w:gutter="0"/>
          <w:pgNumType w:start="1"/>
          <w:cols w:space="708"/>
          <w:docGrid w:linePitch="360"/>
        </w:sectPr>
      </w:pPr>
    </w:p>
    <w:p w14:paraId="0EB663D7" w14:textId="43D1F53B" w:rsidR="008B5883" w:rsidRDefault="007C377D" w:rsidP="008B5883">
      <w:pPr>
        <w:jc w:val="center"/>
      </w:pPr>
      <w:r w:rsidRPr="007C377D">
        <w:rPr>
          <w:noProof/>
        </w:rPr>
        <w:lastRenderedPageBreak/>
        <w:drawing>
          <wp:inline distT="0" distB="0" distL="0" distR="0" wp14:anchorId="7A4BA1E1" wp14:editId="3D7AA247">
            <wp:extent cx="5315648" cy="6600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194" r="2596" b="1513"/>
                    <a:stretch/>
                  </pic:blipFill>
                  <pic:spPr bwMode="auto">
                    <a:xfrm>
                      <a:off x="0" y="0"/>
                      <a:ext cx="5327139" cy="6615094"/>
                    </a:xfrm>
                    <a:prstGeom prst="rect">
                      <a:avLst/>
                    </a:prstGeom>
                    <a:noFill/>
                    <a:ln>
                      <a:noFill/>
                    </a:ln>
                    <a:extLst>
                      <a:ext uri="{53640926-AAD7-44D8-BBD7-CCE9431645EC}">
                        <a14:shadowObscured xmlns:a14="http://schemas.microsoft.com/office/drawing/2010/main"/>
                      </a:ext>
                    </a:extLst>
                  </pic:spPr>
                </pic:pic>
              </a:graphicData>
            </a:graphic>
          </wp:inline>
        </w:drawing>
      </w:r>
    </w:p>
    <w:p w14:paraId="7671BB4B" w14:textId="70870545" w:rsidR="008B5883" w:rsidRDefault="008B5883" w:rsidP="004C3BA1">
      <w:pPr>
        <w:pStyle w:val="Captions"/>
        <w:sectPr w:rsidR="008B5883" w:rsidSect="008B5883">
          <w:footnotePr>
            <w:numFmt w:val="lowerLetter"/>
          </w:footnotePr>
          <w:pgSz w:w="11906" w:h="16838"/>
          <w:pgMar w:top="1440" w:right="1440" w:bottom="1440" w:left="1440" w:header="709" w:footer="709" w:gutter="0"/>
          <w:cols w:space="708"/>
          <w:docGrid w:linePitch="360"/>
        </w:sectPr>
      </w:pPr>
      <w:bookmarkStart w:id="63" w:name="_Ref81474313"/>
      <w:bookmarkStart w:id="64" w:name="_Ref427583483"/>
      <w:bookmarkStart w:id="65" w:name="_Toc442173727"/>
      <w:bookmarkStart w:id="66" w:name="_Toc3558355"/>
      <w:bookmarkStart w:id="67" w:name="_Toc101963797"/>
      <w:r w:rsidRPr="00F23935">
        <w:t xml:space="preserve">Figure </w:t>
      </w:r>
      <w:r w:rsidR="001F30EA">
        <w:fldChar w:fldCharType="begin"/>
      </w:r>
      <w:r w:rsidR="001F30EA">
        <w:instrText xml:space="preserve"> SEQ Figure \* ARABIC </w:instrText>
      </w:r>
      <w:r w:rsidR="001F30EA">
        <w:fldChar w:fldCharType="separate"/>
      </w:r>
      <w:r w:rsidR="003C13F6">
        <w:rPr>
          <w:noProof/>
        </w:rPr>
        <w:t>5</w:t>
      </w:r>
      <w:r w:rsidR="001F30EA">
        <w:fldChar w:fldCharType="end"/>
      </w:r>
      <w:bookmarkEnd w:id="63"/>
      <w:bookmarkEnd w:id="64"/>
      <w:r w:rsidRPr="00F23935">
        <w:rPr>
          <w:noProof/>
        </w:rPr>
        <w:t>.</w:t>
      </w:r>
      <w:r w:rsidRPr="00F23935">
        <w:t xml:space="preserve"> </w:t>
      </w:r>
      <w:r>
        <w:t>Flow to South Australia</w:t>
      </w:r>
      <w:r w:rsidRPr="008B5883">
        <w:t xml:space="preserve"> </w:t>
      </w:r>
      <w:r w:rsidR="00150B66">
        <w:t>from July 20</w:t>
      </w:r>
      <w:r w:rsidR="00D060F1">
        <w:t>20</w:t>
      </w:r>
      <w:r w:rsidR="00150B66">
        <w:t xml:space="preserve"> to </w:t>
      </w:r>
      <w:r w:rsidR="007C22CB">
        <w:t xml:space="preserve">June </w:t>
      </w:r>
      <w:r w:rsidR="00150B66">
        <w:t>202</w:t>
      </w:r>
      <w:r w:rsidR="00D060F1">
        <w:t>1</w:t>
      </w:r>
      <w:r w:rsidR="00150B66">
        <w:t xml:space="preserve"> </w:t>
      </w:r>
      <w:r w:rsidRPr="008B5883">
        <w:t>showing</w:t>
      </w:r>
      <w:r w:rsidR="00150B66">
        <w:t xml:space="preserve"> the</w:t>
      </w:r>
      <w:r w:rsidRPr="008B5883">
        <w:t xml:space="preserve"> </w:t>
      </w:r>
      <w:r w:rsidR="00150B66">
        <w:t>(a)</w:t>
      </w:r>
      <w:r w:rsidRPr="008B5883">
        <w:t xml:space="preserve"> contribution of environmental water</w:t>
      </w:r>
      <w:r w:rsidR="00150B66">
        <w:t xml:space="preserve"> </w:t>
      </w:r>
      <w:r w:rsidR="00E90C66">
        <w:t xml:space="preserve">(eWater) </w:t>
      </w:r>
      <w:r w:rsidR="00150B66">
        <w:t>and (b) s</w:t>
      </w:r>
      <w:r w:rsidRPr="00F23935">
        <w:t>ource of all (environmental and consumptive) water (MDBA)</w:t>
      </w:r>
      <w:r w:rsidRPr="008B5883">
        <w:t xml:space="preserve">. CEW = Commonwealth environmental water. Modelled </w:t>
      </w:r>
      <w:r w:rsidR="00150B66">
        <w:t xml:space="preserve">flow under natural conditions is shown by the </w:t>
      </w:r>
      <w:r w:rsidRPr="008B5883">
        <w:t>dotted black line.</w:t>
      </w:r>
      <w:r>
        <w:t xml:space="preserve"> </w:t>
      </w:r>
      <w:r w:rsidR="00E90C66">
        <w:t>‘</w:t>
      </w:r>
      <w:r w:rsidRPr="00A95F6D">
        <w:t>Bigmod salinity routines</w:t>
      </w:r>
      <w:r w:rsidR="00E90C66">
        <w:t>’</w:t>
      </w:r>
      <w:r w:rsidRPr="00A95F6D">
        <w:t xml:space="preserve"> </w:t>
      </w:r>
      <w:r w:rsidR="00E90C66">
        <w:t xml:space="preserve">was </w:t>
      </w:r>
      <w:r>
        <w:t xml:space="preserve">used </w:t>
      </w:r>
      <w:r w:rsidRPr="00A95F6D">
        <w:t>as a proxy for transport of biological matter, to estimate the proportion of the flow that originated at different upstream tributaries</w:t>
      </w:r>
      <w:r>
        <w:rPr>
          <w:rStyle w:val="FootnoteReference"/>
        </w:rPr>
        <w:footnoteReference w:id="6"/>
      </w:r>
      <w:r w:rsidRPr="00A95F6D">
        <w:t>.</w:t>
      </w:r>
      <w:bookmarkEnd w:id="65"/>
      <w:bookmarkEnd w:id="66"/>
      <w:bookmarkEnd w:id="67"/>
    </w:p>
    <w:p w14:paraId="33E5CCFB" w14:textId="6549C94F" w:rsidR="006237D5" w:rsidRDefault="006237D5" w:rsidP="006237D5">
      <w:pPr>
        <w:pStyle w:val="Heading2"/>
        <w:rPr>
          <w:rStyle w:val="CharChar7"/>
          <w:rFonts w:ascii="Century Gothic" w:hAnsi="Century Gothic" w:cstheme="majorBidi"/>
          <w:color w:val="44546A" w:themeColor="text2"/>
          <w:spacing w:val="0"/>
          <w:sz w:val="26"/>
          <w:szCs w:val="26"/>
        </w:rPr>
      </w:pPr>
      <w:bookmarkStart w:id="68" w:name="_Toc3558334"/>
      <w:bookmarkStart w:id="69" w:name="_Toc101963770"/>
      <w:r w:rsidRPr="006237D5">
        <w:rPr>
          <w:rStyle w:val="CharChar7"/>
          <w:rFonts w:ascii="Century Gothic" w:hAnsi="Century Gothic" w:cstheme="majorBidi"/>
          <w:color w:val="44546A" w:themeColor="text2"/>
          <w:spacing w:val="0"/>
          <w:sz w:val="26"/>
          <w:szCs w:val="26"/>
        </w:rPr>
        <w:lastRenderedPageBreak/>
        <w:t xml:space="preserve">Purpose of the CEWO </w:t>
      </w:r>
      <w:r w:rsidR="000849C2">
        <w:rPr>
          <w:rStyle w:val="CharChar7"/>
          <w:rFonts w:ascii="Century Gothic" w:hAnsi="Century Gothic" w:cstheme="majorBidi"/>
          <w:color w:val="44546A" w:themeColor="text2"/>
          <w:spacing w:val="0"/>
          <w:sz w:val="26"/>
          <w:szCs w:val="26"/>
        </w:rPr>
        <w:t>MER</w:t>
      </w:r>
      <w:r w:rsidR="000849C2" w:rsidRPr="006237D5">
        <w:rPr>
          <w:rStyle w:val="CharChar7"/>
          <w:rFonts w:ascii="Century Gothic" w:hAnsi="Century Gothic" w:cstheme="majorBidi"/>
          <w:color w:val="44546A" w:themeColor="text2"/>
          <w:spacing w:val="0"/>
          <w:sz w:val="26"/>
          <w:szCs w:val="26"/>
        </w:rPr>
        <w:t xml:space="preserve"> </w:t>
      </w:r>
      <w:r w:rsidRPr="006237D5">
        <w:rPr>
          <w:rStyle w:val="CharChar7"/>
          <w:rFonts w:ascii="Century Gothic" w:hAnsi="Century Gothic" w:cstheme="majorBidi"/>
          <w:color w:val="44546A" w:themeColor="text2"/>
          <w:spacing w:val="0"/>
          <w:sz w:val="26"/>
          <w:szCs w:val="26"/>
        </w:rPr>
        <w:t xml:space="preserve">report for </w:t>
      </w:r>
      <w:r w:rsidR="008E0B53">
        <w:rPr>
          <w:rStyle w:val="CharChar7"/>
          <w:rFonts w:ascii="Century Gothic" w:hAnsi="Century Gothic" w:cstheme="majorBidi"/>
          <w:color w:val="44546A" w:themeColor="text2"/>
          <w:spacing w:val="0"/>
          <w:sz w:val="26"/>
          <w:szCs w:val="26"/>
        </w:rPr>
        <w:t>20</w:t>
      </w:r>
      <w:bookmarkEnd w:id="68"/>
      <w:r w:rsidR="000849C2">
        <w:rPr>
          <w:rStyle w:val="CharChar7"/>
          <w:rFonts w:ascii="Century Gothic" w:hAnsi="Century Gothic" w:cstheme="majorBidi"/>
          <w:color w:val="44546A" w:themeColor="text2"/>
          <w:spacing w:val="0"/>
          <w:sz w:val="26"/>
          <w:szCs w:val="26"/>
        </w:rPr>
        <w:t>20</w:t>
      </w:r>
      <w:r w:rsidR="00236E5B">
        <w:rPr>
          <w:rStyle w:val="CharChar7"/>
          <w:rFonts w:ascii="Century Gothic" w:hAnsi="Century Gothic" w:cstheme="majorBidi"/>
          <w:color w:val="44546A" w:themeColor="text2"/>
          <w:spacing w:val="0"/>
          <w:sz w:val="26"/>
          <w:szCs w:val="26"/>
        </w:rPr>
        <w:t>-21</w:t>
      </w:r>
      <w:bookmarkEnd w:id="69"/>
    </w:p>
    <w:p w14:paraId="5F2585B2" w14:textId="6B0DE588" w:rsidR="006237D5" w:rsidRPr="006237D5" w:rsidRDefault="001C6C20" w:rsidP="006237D5">
      <w:r w:rsidRPr="001302ED">
        <w:t xml:space="preserve">This report presents the key findings </w:t>
      </w:r>
      <w:r>
        <w:t xml:space="preserve">from monitoring </w:t>
      </w:r>
      <w:r w:rsidRPr="001302ED">
        <w:t xml:space="preserve">in the </w:t>
      </w:r>
      <w:r>
        <w:t>Lower Murray</w:t>
      </w:r>
      <w:r w:rsidRPr="001302ED" w:rsidDel="00FB2AD0">
        <w:t xml:space="preserve"> </w:t>
      </w:r>
      <w:r>
        <w:t>during 20</w:t>
      </w:r>
      <w:r w:rsidR="00236E5B">
        <w:t>20</w:t>
      </w:r>
      <w:r>
        <w:t>-2</w:t>
      </w:r>
      <w:r w:rsidR="00236E5B">
        <w:t>1</w:t>
      </w:r>
      <w:r w:rsidRPr="001302ED">
        <w:t>, and answers CEWO</w:t>
      </w:r>
      <w:r>
        <w:t xml:space="preserve"> evaluation questions about ecological responses to </w:t>
      </w:r>
      <w:r w:rsidRPr="001302ED">
        <w:t xml:space="preserve">Commonwealth environmental water </w:t>
      </w:r>
      <w:r>
        <w:t xml:space="preserve">deliveries </w:t>
      </w:r>
      <w:r w:rsidR="002F32CF">
        <w:t>(Section</w:t>
      </w:r>
      <w:r w:rsidR="001D0A2C">
        <w:t xml:space="preserve">s </w:t>
      </w:r>
      <w:r w:rsidR="00E24BD1">
        <w:fldChar w:fldCharType="begin"/>
      </w:r>
      <w:r w:rsidR="00E24BD1">
        <w:instrText xml:space="preserve"> REF _Ref30588561 \r \h </w:instrText>
      </w:r>
      <w:r w:rsidR="00E24BD1">
        <w:fldChar w:fldCharType="separate"/>
      </w:r>
      <w:r w:rsidR="003C13F6">
        <w:t>2</w:t>
      </w:r>
      <w:r w:rsidR="00E24BD1">
        <w:fldChar w:fldCharType="end"/>
      </w:r>
      <w:r w:rsidR="004966C2">
        <w:t xml:space="preserve"> and </w:t>
      </w:r>
      <w:r w:rsidR="004966C2">
        <w:fldChar w:fldCharType="begin"/>
      </w:r>
      <w:r w:rsidR="004966C2">
        <w:instrText xml:space="preserve"> REF _Ref95923306 \r \h </w:instrText>
      </w:r>
      <w:r w:rsidR="004966C2">
        <w:fldChar w:fldCharType="separate"/>
      </w:r>
      <w:r w:rsidR="003C13F6">
        <w:t>3</w:t>
      </w:r>
      <w:r w:rsidR="004966C2">
        <w:fldChar w:fldCharType="end"/>
      </w:r>
      <w:r w:rsidR="001302ED" w:rsidRPr="001302ED">
        <w:t xml:space="preserve">). </w:t>
      </w:r>
      <w:r w:rsidRPr="001302ED">
        <w:t xml:space="preserve">Refer to previous annual </w:t>
      </w:r>
      <w:r>
        <w:t xml:space="preserve">reports </w:t>
      </w:r>
      <w:r w:rsidRPr="001302ED">
        <w:t xml:space="preserve">(Ye </w:t>
      </w:r>
      <w:r w:rsidRPr="00000142">
        <w:rPr>
          <w:i/>
        </w:rPr>
        <w:t>et al.</w:t>
      </w:r>
      <w:r w:rsidRPr="001302ED">
        <w:t xml:space="preserve"> 2016</w:t>
      </w:r>
      <w:r>
        <w:t>b</w:t>
      </w:r>
      <w:r w:rsidRPr="001302ED">
        <w:t>; 2017; 2018</w:t>
      </w:r>
      <w:r>
        <w:t>; 2019; 2020</w:t>
      </w:r>
      <w:r w:rsidR="00236E5B">
        <w:t>; 2021</w:t>
      </w:r>
      <w:r w:rsidRPr="001302ED">
        <w:t>)</w:t>
      </w:r>
      <w:r>
        <w:t xml:space="preserve"> </w:t>
      </w:r>
      <w:r w:rsidRPr="001302ED">
        <w:t xml:space="preserve">for </w:t>
      </w:r>
      <w:r>
        <w:t>Lower Murray monitoring findings from 2014-15 to 2019</w:t>
      </w:r>
      <w:r w:rsidR="00236E5B">
        <w:t>-20</w:t>
      </w:r>
      <w:r w:rsidRPr="001302ED">
        <w:t xml:space="preserve">, and </w:t>
      </w:r>
      <w:r>
        <w:t xml:space="preserve">the </w:t>
      </w:r>
      <w:r w:rsidRPr="008E28C3">
        <w:rPr>
          <w:i/>
        </w:rPr>
        <w:t>Monitoring</w:t>
      </w:r>
      <w:r>
        <w:rPr>
          <w:i/>
        </w:rPr>
        <w:t>,</w:t>
      </w:r>
      <w:r w:rsidRPr="008E28C3">
        <w:rPr>
          <w:i/>
        </w:rPr>
        <w:t xml:space="preserve"> Evaluation</w:t>
      </w:r>
      <w:r>
        <w:rPr>
          <w:i/>
        </w:rPr>
        <w:t xml:space="preserve"> and Research</w:t>
      </w:r>
      <w:r w:rsidRPr="008E28C3">
        <w:rPr>
          <w:i/>
        </w:rPr>
        <w:t xml:space="preserve"> Plan for the </w:t>
      </w:r>
      <w:r>
        <w:rPr>
          <w:i/>
        </w:rPr>
        <w:t>Lower Murray</w:t>
      </w:r>
      <w:r w:rsidRPr="009E11E0">
        <w:t xml:space="preserve"> (SARDI </w:t>
      </w:r>
      <w:r w:rsidRPr="009E11E0">
        <w:rPr>
          <w:i/>
        </w:rPr>
        <w:t>et al.</w:t>
      </w:r>
      <w:r w:rsidRPr="009E11E0">
        <w:t xml:space="preserve"> 201</w:t>
      </w:r>
      <w:r>
        <w:t>9</w:t>
      </w:r>
      <w:r w:rsidRPr="009E11E0">
        <w:t>)</w:t>
      </w:r>
      <w:r>
        <w:t xml:space="preserve"> for </w:t>
      </w:r>
      <w:r w:rsidRPr="001302ED">
        <w:t>a detailed description of methods</w:t>
      </w:r>
      <w:r>
        <w:t xml:space="preserve"> for current activities. Specific </w:t>
      </w:r>
      <w:r w:rsidR="00DB7E07">
        <w:t>m</w:t>
      </w:r>
      <w:r w:rsidR="00FB02A4">
        <w:t xml:space="preserve">anagement </w:t>
      </w:r>
      <w:r w:rsidR="001302ED" w:rsidRPr="001302ED" w:rsidDel="00AD6E69">
        <w:t>recommendations for environmental flow</w:t>
      </w:r>
      <w:r w:rsidR="00FB02A4">
        <w:t>s</w:t>
      </w:r>
      <w:r w:rsidR="001302ED" w:rsidRPr="001302ED" w:rsidDel="00AD6E69">
        <w:t xml:space="preserve"> in the </w:t>
      </w:r>
      <w:r w:rsidR="00B6050B">
        <w:t>Lower Murray</w:t>
      </w:r>
      <w:r w:rsidR="00B6050B" w:rsidRPr="001302ED" w:rsidDel="00AD6E69">
        <w:t xml:space="preserve"> </w:t>
      </w:r>
      <w:r w:rsidR="001302ED" w:rsidRPr="001302ED" w:rsidDel="00AD6E69">
        <w:t xml:space="preserve">are provided in Section </w:t>
      </w:r>
      <w:r w:rsidR="00A11A13">
        <w:fldChar w:fldCharType="begin"/>
      </w:r>
      <w:r w:rsidR="00A11A13">
        <w:instrText xml:space="preserve"> REF _Ref30588561 \r \h </w:instrText>
      </w:r>
      <w:r w:rsidR="00A11A13">
        <w:fldChar w:fldCharType="separate"/>
      </w:r>
      <w:r w:rsidR="003C13F6">
        <w:t>2</w:t>
      </w:r>
      <w:r w:rsidR="00A11A13">
        <w:fldChar w:fldCharType="end"/>
      </w:r>
      <w:r w:rsidR="00DB7E07">
        <w:t xml:space="preserve">, with general management implications summarised in Section </w:t>
      </w:r>
      <w:r w:rsidR="00A11A13">
        <w:fldChar w:fldCharType="begin"/>
      </w:r>
      <w:r w:rsidR="00A11A13">
        <w:instrText xml:space="preserve"> REF _Ref30588787 \r \h </w:instrText>
      </w:r>
      <w:r w:rsidR="00A11A13">
        <w:fldChar w:fldCharType="separate"/>
      </w:r>
      <w:r w:rsidR="003C13F6">
        <w:t>4</w:t>
      </w:r>
      <w:r w:rsidR="00A11A13">
        <w:fldChar w:fldCharType="end"/>
      </w:r>
      <w:r w:rsidR="001302ED" w:rsidRPr="001302ED" w:rsidDel="00AD6E69">
        <w:t xml:space="preserve">, based on monitoring and evaluation outcomes, and expert knowledge. </w:t>
      </w:r>
      <w:r w:rsidR="006D7405" w:rsidRPr="00441D35">
        <w:t>Findings from the integrated research project will be presented in a separate report</w:t>
      </w:r>
      <w:r w:rsidR="00401DB4" w:rsidRPr="00441D35">
        <w:t xml:space="preserve"> and be incorporated into the final MER technical report (</w:t>
      </w:r>
      <w:r w:rsidR="0008692E">
        <w:t>2022-23</w:t>
      </w:r>
      <w:r w:rsidR="00401DB4" w:rsidRPr="00441D35">
        <w:t>)</w:t>
      </w:r>
      <w:r w:rsidR="006D7405" w:rsidRPr="00441D35">
        <w:t>.</w:t>
      </w:r>
      <w:r>
        <w:t xml:space="preserve"> </w:t>
      </w:r>
      <w:r w:rsidRPr="001302ED">
        <w:t xml:space="preserve">Monitoring and evaluation of Commonwealth environmental water delivery in the </w:t>
      </w:r>
      <w:r>
        <w:t>Lower Murray</w:t>
      </w:r>
      <w:r w:rsidRPr="001302ED">
        <w:t xml:space="preserve"> </w:t>
      </w:r>
      <w:r>
        <w:t>focusses</w:t>
      </w:r>
      <w:r w:rsidRPr="001302ED">
        <w:t xml:space="preserve"> on </w:t>
      </w:r>
      <w:r>
        <w:t xml:space="preserve">the main watering period of </w:t>
      </w:r>
      <w:r w:rsidRPr="001302ED">
        <w:t>spring</w:t>
      </w:r>
      <w:r>
        <w:sym w:font="Symbol" w:char="F02D"/>
      </w:r>
      <w:r w:rsidRPr="001302ED">
        <w:t>summer; therefore, our findings and recommendations on environmental water management are most relevant to this period.</w:t>
      </w:r>
    </w:p>
    <w:p w14:paraId="7B6032A7" w14:textId="1C200078" w:rsidR="006237D5" w:rsidRDefault="006237D5" w:rsidP="008E28C3">
      <w:pPr>
        <w:spacing w:before="0" w:after="160" w:line="259" w:lineRule="auto"/>
        <w:jc w:val="left"/>
      </w:pPr>
      <w:bookmarkStart w:id="70" w:name="_Ref527530312"/>
      <w:bookmarkStart w:id="71" w:name="_Toc3558335"/>
    </w:p>
    <w:p w14:paraId="4B76ADA9" w14:textId="77777777" w:rsidR="006237D5" w:rsidRDefault="006237D5">
      <w:pPr>
        <w:spacing w:before="0" w:after="160" w:line="259" w:lineRule="auto"/>
        <w:jc w:val="left"/>
        <w:rPr>
          <w:rFonts w:eastAsiaTheme="majorEastAsia" w:cstheme="majorBidi"/>
          <w:b/>
          <w:bCs/>
          <w:caps/>
          <w:color w:val="44546A" w:themeColor="text2"/>
          <w:sz w:val="32"/>
          <w:szCs w:val="28"/>
        </w:rPr>
      </w:pPr>
      <w:r>
        <w:br w:type="page"/>
      </w:r>
    </w:p>
    <w:p w14:paraId="1C6FDFB0" w14:textId="091366AB" w:rsidR="006237D5" w:rsidRDefault="006237D5" w:rsidP="006237D5">
      <w:pPr>
        <w:pStyle w:val="Heading1"/>
      </w:pPr>
      <w:bookmarkStart w:id="72" w:name="_Ref15904940"/>
      <w:bookmarkStart w:id="73" w:name="_Ref30588561"/>
      <w:bookmarkStart w:id="74" w:name="_Toc101963771"/>
      <w:bookmarkStart w:id="75" w:name="_Hlk63411890"/>
      <w:r>
        <w:lastRenderedPageBreak/>
        <w:t>Indicators</w:t>
      </w:r>
      <w:bookmarkEnd w:id="70"/>
      <w:bookmarkEnd w:id="71"/>
      <w:bookmarkEnd w:id="72"/>
      <w:bookmarkEnd w:id="73"/>
      <w:bookmarkEnd w:id="74"/>
    </w:p>
    <w:p w14:paraId="0AE52C4C" w14:textId="4B292D25" w:rsidR="006237D5" w:rsidRPr="00D278C9" w:rsidRDefault="006237D5" w:rsidP="006237D5">
      <w:pPr>
        <w:pStyle w:val="Heading2"/>
      </w:pPr>
      <w:bookmarkStart w:id="76" w:name="_Toc441838733"/>
      <w:bookmarkStart w:id="77" w:name="_Ref532822730"/>
      <w:bookmarkStart w:id="78" w:name="_Toc3558336"/>
      <w:bookmarkStart w:id="79" w:name="_Ref35872226"/>
      <w:bookmarkStart w:id="80" w:name="_Ref58249886"/>
      <w:bookmarkStart w:id="81" w:name="_Ref58943096"/>
      <w:bookmarkStart w:id="82" w:name="_Ref63942940"/>
      <w:bookmarkStart w:id="83" w:name="_Ref95292214"/>
      <w:bookmarkStart w:id="84" w:name="_Toc101963772"/>
      <w:bookmarkEnd w:id="75"/>
      <w:r w:rsidRPr="00D278C9">
        <w:t>Hydr</w:t>
      </w:r>
      <w:r w:rsidR="00F46757" w:rsidRPr="00D278C9">
        <w:t>aulic</w:t>
      </w:r>
      <w:r w:rsidRPr="00D278C9">
        <w:t xml:space="preserve"> Regime</w:t>
      </w:r>
      <w:bookmarkEnd w:id="76"/>
      <w:bookmarkEnd w:id="77"/>
      <w:bookmarkEnd w:id="78"/>
      <w:bookmarkEnd w:id="79"/>
      <w:bookmarkEnd w:id="80"/>
      <w:bookmarkEnd w:id="81"/>
      <w:bookmarkEnd w:id="82"/>
      <w:bookmarkEnd w:id="83"/>
      <w:bookmarkEnd w:id="84"/>
    </w:p>
    <w:p w14:paraId="34A31444" w14:textId="77777777" w:rsidR="00D278C9" w:rsidRDefault="00D278C9" w:rsidP="00D278C9">
      <w:r>
        <w:t xml:space="preserve">The discharge, or </w:t>
      </w:r>
      <w:r w:rsidRPr="00FA7470">
        <w:rPr>
          <w:i/>
        </w:rPr>
        <w:t>hydrology</w:t>
      </w:r>
      <w:r>
        <w:t xml:space="preserve">, in the Lower Murray Selected Area was determined through routine monitoring. The hydrology expected to have occurred without environmental water components was determined by the </w:t>
      </w:r>
      <w:r>
        <w:rPr>
          <w:u w:color="0B4CB4"/>
          <w:lang w:val="en-US"/>
        </w:rPr>
        <w:t>Murray–Darling Basin Authority</w:t>
      </w:r>
      <w:r>
        <w:t xml:space="preserve"> (MDBA) using operational records of environmental water delivered to the </w:t>
      </w:r>
      <w:r w:rsidRPr="00191268">
        <w:t>South Australian</w:t>
      </w:r>
      <w:r>
        <w:t xml:space="preserve"> border, and modelled throughout South Australia accounting for travel time, losses and differences in diversions and environmental water use for the different scenarios with and without environmental water.</w:t>
      </w:r>
    </w:p>
    <w:p w14:paraId="6F4D47F2" w14:textId="1212258C" w:rsidR="00D278C9" w:rsidRDefault="00D278C9" w:rsidP="00D278C9">
      <w:r w:rsidRPr="00FB729C">
        <w:t xml:space="preserve">The </w:t>
      </w:r>
      <w:r w:rsidRPr="003F5650">
        <w:rPr>
          <w:i/>
        </w:rPr>
        <w:t>hydraulic</w:t>
      </w:r>
      <w:r w:rsidRPr="00FB729C">
        <w:t xml:space="preserve"> characteris</w:t>
      </w:r>
      <w:r>
        <w:t>tics (e.g. depth/water level or flow velocity</w:t>
      </w:r>
      <w:r w:rsidRPr="00FB729C">
        <w:t xml:space="preserve">) of fluvial ecosystems result from the interaction of discharge and physical features (e.g. channel morphology, woody debris, </w:t>
      </w:r>
      <w:r w:rsidRPr="00D278C9">
        <w:t xml:space="preserve">man-made structures, etc.), and have a profound influence on river ecosystem structure and function (Statzner and Higler 1986; Biggs </w:t>
      </w:r>
      <w:r w:rsidRPr="00D278C9">
        <w:rPr>
          <w:i/>
        </w:rPr>
        <w:t>et al.</w:t>
      </w:r>
      <w:r w:rsidRPr="00D278C9">
        <w:t xml:space="preserve"> 2005; Bice</w:t>
      </w:r>
      <w:r w:rsidRPr="00D278C9">
        <w:rPr>
          <w:i/>
        </w:rPr>
        <w:t xml:space="preserve"> et al.</w:t>
      </w:r>
      <w:r w:rsidRPr="00D278C9">
        <w:t xml:space="preserve"> 2017) (also see Section </w:t>
      </w:r>
      <w:r w:rsidRPr="00D278C9">
        <w:fldChar w:fldCharType="begin"/>
      </w:r>
      <w:r w:rsidRPr="00D278C9">
        <w:instrText xml:space="preserve"> REF _Ref88730764 \r \h </w:instrText>
      </w:r>
      <w:r>
        <w:instrText xml:space="preserve"> \* MERGEFORMAT </w:instrText>
      </w:r>
      <w:r w:rsidRPr="00D278C9">
        <w:fldChar w:fldCharType="separate"/>
      </w:r>
      <w:r w:rsidR="003C13F6">
        <w:t>1.1</w:t>
      </w:r>
      <w:r w:rsidRPr="00D278C9">
        <w:fldChar w:fldCharType="end"/>
      </w:r>
      <w:r w:rsidRPr="00D278C9">
        <w:t>). It is</w:t>
      </w:r>
      <w:r w:rsidRPr="00FB729C">
        <w:t xml:space="preserve"> these hydraulic characteristics </w:t>
      </w:r>
      <w:r>
        <w:t xml:space="preserve">that biota can sense and respond to, i.e. a change in velocity or water level, rather than a change in discharge. </w:t>
      </w:r>
    </w:p>
    <w:p w14:paraId="02CE078D" w14:textId="77777777" w:rsidR="00D278C9" w:rsidRPr="00FB729C" w:rsidRDefault="00D278C9" w:rsidP="00D278C9">
      <w:r>
        <w:t>The purpose of this indicator was to quantify the changes in hydraulics due to the delivery of environmental water</w:t>
      </w:r>
      <w:r w:rsidRPr="00FA7470">
        <w:t xml:space="preserve"> </w:t>
      </w:r>
      <w:r>
        <w:t>using hydraulic models, to provide a basis to infer ecological changes caused by environmental water.</w:t>
      </w:r>
      <w:r w:rsidRPr="00FB729C">
        <w:t xml:space="preserve"> This approach is particularly important in the </w:t>
      </w:r>
      <w:r>
        <w:t>LMR</w:t>
      </w:r>
      <w:r w:rsidRPr="00FB729C">
        <w:t xml:space="preserve"> where a given discharge may not </w:t>
      </w:r>
      <w:r>
        <w:t>produce the same</w:t>
      </w:r>
      <w:r w:rsidRPr="00FB729C">
        <w:t xml:space="preserve"> hydraulic response, as downstream structures </w:t>
      </w:r>
      <w:r>
        <w:t xml:space="preserve">(weirs) </w:t>
      </w:r>
      <w:r w:rsidRPr="00FB729C">
        <w:t xml:space="preserve">will </w:t>
      </w:r>
      <w:r>
        <w:t xml:space="preserve">also </w:t>
      </w:r>
      <w:r w:rsidRPr="00FB729C">
        <w:t>influence the hydraulics</w:t>
      </w:r>
      <w:r>
        <w:t xml:space="preserve"> occurring.</w:t>
      </w:r>
      <w:r w:rsidRPr="00FB729C">
        <w:t xml:space="preserve"> </w:t>
      </w:r>
    </w:p>
    <w:p w14:paraId="350470C8" w14:textId="77777777" w:rsidR="00D278C9" w:rsidRPr="00E35C12" w:rsidRDefault="00D278C9" w:rsidP="00D278C9">
      <w:pPr>
        <w:rPr>
          <w:i/>
          <w:u w:val="single"/>
        </w:rPr>
      </w:pPr>
      <w:r w:rsidRPr="00E35C12">
        <w:rPr>
          <w:i/>
          <w:u w:val="single"/>
        </w:rPr>
        <w:t>Hypothesis</w:t>
      </w:r>
    </w:p>
    <w:p w14:paraId="06678A38" w14:textId="77777777" w:rsidR="00D278C9" w:rsidRPr="00E35C12" w:rsidRDefault="00D278C9" w:rsidP="00D278C9">
      <w:pPr>
        <w:rPr>
          <w:i/>
          <w:u w:val="single"/>
        </w:rPr>
      </w:pPr>
      <w:r w:rsidRPr="007A092B">
        <w:t>Commonwealth environmental water will promote greater extent of lotic habitat as evidenced by increased water velocities and variability in water levels</w:t>
      </w:r>
      <w:r>
        <w:t>.</w:t>
      </w:r>
    </w:p>
    <w:p w14:paraId="4D2E3D7E" w14:textId="77777777" w:rsidR="00D278C9" w:rsidRPr="00E35C12" w:rsidRDefault="00D278C9" w:rsidP="00D278C9">
      <w:pPr>
        <w:pStyle w:val="Heading3"/>
      </w:pPr>
      <w:r w:rsidRPr="00E35C12">
        <w:t>Methods</w:t>
      </w:r>
    </w:p>
    <w:p w14:paraId="01F9D8A1" w14:textId="683D9223" w:rsidR="00D278C9" w:rsidRDefault="00D278C9" w:rsidP="00D278C9">
      <w:r>
        <w:t>A</w:t>
      </w:r>
      <w:r w:rsidRPr="001F16C5">
        <w:t xml:space="preserve"> steady</w:t>
      </w:r>
      <w:r>
        <w:t>-</w:t>
      </w:r>
      <w:r w:rsidRPr="001F16C5">
        <w:t>state</w:t>
      </w:r>
      <w:r>
        <w:t xml:space="preserve"> modelling</w:t>
      </w:r>
      <w:r w:rsidRPr="001F16C5">
        <w:t xml:space="preserve"> approach </w:t>
      </w:r>
      <w:r>
        <w:t>was</w:t>
      </w:r>
      <w:r w:rsidRPr="001F16C5">
        <w:t xml:space="preserve"> adopted, </w:t>
      </w:r>
      <w:r>
        <w:t xml:space="preserve">similar to that </w:t>
      </w:r>
      <w:r w:rsidRPr="00FA7470">
        <w:t xml:space="preserve">used in the </w:t>
      </w:r>
      <w:bookmarkStart w:id="85" w:name="_Hlk526773709"/>
      <w:r w:rsidRPr="00FA7470">
        <w:t xml:space="preserve">Goulburn (Webb </w:t>
      </w:r>
      <w:r w:rsidRPr="00142423">
        <w:rPr>
          <w:i/>
        </w:rPr>
        <w:t>et al.</w:t>
      </w:r>
      <w:r w:rsidRPr="00FA7470">
        <w:t xml:space="preserve"> 2015) and Edward-Wakool </w:t>
      </w:r>
      <w:r>
        <w:t xml:space="preserve">(Watts </w:t>
      </w:r>
      <w:r w:rsidRPr="00142423">
        <w:rPr>
          <w:i/>
        </w:rPr>
        <w:t>et al.</w:t>
      </w:r>
      <w:r>
        <w:t xml:space="preserve"> 2015) S</w:t>
      </w:r>
      <w:r w:rsidRPr="00FA7470">
        <w:t xml:space="preserve">elected </w:t>
      </w:r>
      <w:r>
        <w:t>A</w:t>
      </w:r>
      <w:r w:rsidRPr="00FA7470">
        <w:t>reas</w:t>
      </w:r>
      <w:bookmarkEnd w:id="85"/>
      <w:r w:rsidRPr="00FA7470">
        <w:t xml:space="preserve">. </w:t>
      </w:r>
      <w:r>
        <w:t>For each weir pool within the Lower Murray Selected Area, i.e. Weir Pools 1 to 5, as well as the river between Lock 1 and Wellington, a range of steady state flow scenarios were simulated in the hydraulic models (2,000–100,000 ML/d)</w:t>
      </w:r>
      <w:r w:rsidRPr="002E1C6A">
        <w:t xml:space="preserve"> and a range of weir pool levels required to</w:t>
      </w:r>
      <w:r>
        <w:t xml:space="preserve"> cover the range of conditions experienced. Models used for this analysis are outlined in McCullough </w:t>
      </w:r>
      <w:r w:rsidRPr="005061CF">
        <w:rPr>
          <w:i/>
        </w:rPr>
        <w:t>et al.</w:t>
      </w:r>
      <w:r>
        <w:t xml:space="preserve"> (2017) and Montazeri and Gibbs (2019). For each steady state scenario, a range of hydraulic metrics were computed, including the 10</w:t>
      </w:r>
      <w:r w:rsidRPr="00C9430E">
        <w:rPr>
          <w:vertAlign w:val="superscript"/>
        </w:rPr>
        <w:t>th</w:t>
      </w:r>
      <w:r>
        <w:t>, 50</w:t>
      </w:r>
      <w:r w:rsidRPr="00C9430E">
        <w:rPr>
          <w:vertAlign w:val="superscript"/>
        </w:rPr>
        <w:t>th</w:t>
      </w:r>
      <w:r>
        <w:t xml:space="preserve"> and 90</w:t>
      </w:r>
      <w:r w:rsidRPr="00C9430E">
        <w:rPr>
          <w:vertAlign w:val="superscript"/>
        </w:rPr>
        <w:t>th</w:t>
      </w:r>
      <w:r>
        <w:t xml:space="preserve"> percentile velocities within the weir pool, the proportion of the weir pool exceeding 0.2 and 0.3 metres per second (m/</w:t>
      </w:r>
      <w:r w:rsidRPr="0004527F">
        <w:t>s</w:t>
      </w:r>
      <w:r>
        <w:t>)</w:t>
      </w:r>
      <w:r w:rsidRPr="0004527F">
        <w:t>,</w:t>
      </w:r>
      <w:r>
        <w:rPr>
          <w:vertAlign w:val="superscript"/>
        </w:rPr>
        <w:t xml:space="preserve"> </w:t>
      </w:r>
      <w:r>
        <w:t>and water levels at regular locations along the weir pool.</w:t>
      </w:r>
      <w:r w:rsidRPr="00595F6C">
        <w:t xml:space="preserve"> </w:t>
      </w:r>
      <w:r>
        <w:t>The former water velocity (&gt;0.2 m/s) represents</w:t>
      </w:r>
      <w:r w:rsidRPr="005109EC">
        <w:t xml:space="preserve"> </w:t>
      </w:r>
      <w:r>
        <w:t>favourable velocities that entrai</w:t>
      </w:r>
      <w:r w:rsidRPr="005109EC">
        <w:t>n and transport</w:t>
      </w:r>
      <w:r>
        <w:t xml:space="preserve">/disperse phytoplankton, zooplankton and fish larvae (Gibbs </w:t>
      </w:r>
      <w:r w:rsidRPr="00376FFC">
        <w:rPr>
          <w:i/>
        </w:rPr>
        <w:t>et al.</w:t>
      </w:r>
      <w:r>
        <w:t xml:space="preserve"> 2020) and allow gas exchange at the water surface (Ye </w:t>
      </w:r>
      <w:r w:rsidRPr="00A026C0">
        <w:rPr>
          <w:i/>
          <w:iCs/>
        </w:rPr>
        <w:t xml:space="preserve">et al. </w:t>
      </w:r>
      <w:r>
        <w:t xml:space="preserve">2021), and the latter (&gt;0.3 m/s) </w:t>
      </w:r>
      <w:r w:rsidR="005D4C2E">
        <w:t xml:space="preserve">represents flowing water (lotic) conditions for </w:t>
      </w:r>
      <w:r>
        <w:t xml:space="preserve">riverine biota (Bice </w:t>
      </w:r>
      <w:r w:rsidRPr="00142423">
        <w:rPr>
          <w:i/>
        </w:rPr>
        <w:t>et al.</w:t>
      </w:r>
      <w:r>
        <w:t xml:space="preserve"> 2017</w:t>
      </w:r>
      <w:r w:rsidRPr="0004527F">
        <w:t>)</w:t>
      </w:r>
      <w:r>
        <w:t>.</w:t>
      </w:r>
    </w:p>
    <w:p w14:paraId="68F84166" w14:textId="77777777" w:rsidR="00D278C9" w:rsidRDefault="00D278C9" w:rsidP="00D278C9">
      <w:r>
        <w:t>To enable a consistent comparison of in-channel velocity changes due to environmental water, the same area was used for all velocity analysis. The area used for velocity analysis</w:t>
      </w:r>
      <w:r w:rsidRPr="0004527F">
        <w:t xml:space="preserve"> </w:t>
      </w:r>
      <w:r>
        <w:t xml:space="preserve">for each weir pool comprised the inundated area at flows of 5,000 ML/d and </w:t>
      </w:r>
      <w:r w:rsidRPr="0004527F">
        <w:t>normal</w:t>
      </w:r>
      <w:r>
        <w:t xml:space="preserve"> pool </w:t>
      </w:r>
      <w:r>
        <w:lastRenderedPageBreak/>
        <w:t>level conditions. As changes to in-channel velocities were the focus of this analysis, this approach of eliminating additional areas inundated was considered reasonable. Additionally, where the full inundated area was used, the disproportionate increase in area of slow flowing backwaters compared to in-channel area as discharge increased had a large impact on the overall proportion of the weir pool with low velocities.</w:t>
      </w:r>
    </w:p>
    <w:p w14:paraId="2DECA9EE" w14:textId="77777777" w:rsidR="00A539A8" w:rsidRDefault="00A539A8" w:rsidP="00A539A8">
      <w:r>
        <w:t>Post-processing correction to the modelled water levels downstream of each lock was undertaken. A linear regression relationship between flow and the difference in modelled and recorded water level was used to correct for any systematic bias introduced by errors in the hydraulic model. Following this correction, the remaining residual error between the modelled and recorded data each day was applied to all scenarios, which represents random error introduced by other factors, such as wind setup. This results in modelled water levels that are the same as the observed water level downstream of each lock for the scenario representing observed conditions (</w:t>
      </w:r>
      <w:r w:rsidRPr="00615E35">
        <w:rPr>
          <w:i/>
        </w:rPr>
        <w:t>All</w:t>
      </w:r>
      <w:r>
        <w:rPr>
          <w:i/>
        </w:rPr>
        <w:t xml:space="preserve"> </w:t>
      </w:r>
      <w:r w:rsidRPr="00615E35">
        <w:rPr>
          <w:i/>
        </w:rPr>
        <w:t>Water</w:t>
      </w:r>
      <w:r>
        <w:t>) with consistent corrections applied to the without environmental water scenarios. To calculate this correction, gaps in observed data downstream of Lock 4 and downstream of Lock 1 were interpolated based on the next water level station downstream and deriving a water level increase based on the flow occurring at the time and recent water level data. The water level and area results represent the main channel only and include the influence of increases in discharge as well as weir pool manipulation. However, the results do not include the influence of floodplain regulators at Pike, Katarapko and Chowilla or other watering activities such as pumping to wetlands.</w:t>
      </w:r>
    </w:p>
    <w:p w14:paraId="545E513A" w14:textId="77777777" w:rsidR="00D278C9" w:rsidRPr="00E35C12" w:rsidRDefault="00D278C9" w:rsidP="00D278C9">
      <w:pPr>
        <w:rPr>
          <w:i/>
          <w:u w:val="single"/>
        </w:rPr>
      </w:pPr>
      <w:r w:rsidRPr="00E35C12">
        <w:rPr>
          <w:i/>
          <w:u w:val="single"/>
        </w:rPr>
        <w:t>Environmental water scenarios</w:t>
      </w:r>
    </w:p>
    <w:p w14:paraId="415EFB22" w14:textId="289FC20F" w:rsidR="00D278C9" w:rsidRDefault="00D278C9" w:rsidP="00D278C9">
      <w:r>
        <w:t>With the lookup information derived from the hydraulic models, the time series of discharge for each of the environmental water scenarios present</w:t>
      </w:r>
      <w:r w:rsidRPr="00321AF7">
        <w:t xml:space="preserve">ed in Section </w:t>
      </w:r>
      <w:r w:rsidR="00321AF7" w:rsidRPr="00321AF7">
        <w:fldChar w:fldCharType="begin"/>
      </w:r>
      <w:r w:rsidR="00321AF7" w:rsidRPr="00321AF7">
        <w:instrText xml:space="preserve"> REF _Ref25159400 \r \h </w:instrText>
      </w:r>
      <w:r w:rsidR="00321AF7">
        <w:instrText xml:space="preserve"> \* MERGEFORMAT </w:instrText>
      </w:r>
      <w:r w:rsidR="00321AF7" w:rsidRPr="00321AF7">
        <w:fldChar w:fldCharType="separate"/>
      </w:r>
      <w:r w:rsidR="003C13F6">
        <w:t>1.4</w:t>
      </w:r>
      <w:r w:rsidR="00321AF7" w:rsidRPr="00321AF7">
        <w:fldChar w:fldCharType="end"/>
      </w:r>
      <w:r w:rsidRPr="00321AF7">
        <w:t xml:space="preserve"> and</w:t>
      </w:r>
      <w:r>
        <w:t xml:space="preserve"> the downstream water level each day for each weir pool, time series of hydraulic parameters were interpolated using linear bivariate interpolation (R version 4.1.1 and akima package 0.6-2.2). </w:t>
      </w:r>
      <w:r w:rsidR="00AD112B">
        <w:t>Five scenarios were considered:</w:t>
      </w:r>
    </w:p>
    <w:p w14:paraId="73D511C1" w14:textId="77777777" w:rsidR="00D278C9" w:rsidRDefault="00D278C9" w:rsidP="00E85C2D">
      <w:pPr>
        <w:pStyle w:val="ListParagraph"/>
        <w:numPr>
          <w:ilvl w:val="0"/>
          <w:numId w:val="20"/>
        </w:numPr>
      </w:pPr>
      <w:r w:rsidRPr="00345201">
        <w:rPr>
          <w:b/>
          <w:bCs/>
          <w:i/>
        </w:rPr>
        <w:t>All Water</w:t>
      </w:r>
      <w:r>
        <w:t>, with all environmental water representing observed conditions,</w:t>
      </w:r>
    </w:p>
    <w:p w14:paraId="5017011D" w14:textId="77777777" w:rsidR="00D278C9" w:rsidRDefault="00D278C9" w:rsidP="00E85C2D">
      <w:pPr>
        <w:pStyle w:val="ListParagraph"/>
        <w:numPr>
          <w:ilvl w:val="0"/>
          <w:numId w:val="20"/>
        </w:numPr>
      </w:pPr>
      <w:r w:rsidRPr="00345201">
        <w:rPr>
          <w:b/>
          <w:bCs/>
          <w:i/>
        </w:rPr>
        <w:t>No CEW</w:t>
      </w:r>
      <w:r>
        <w:rPr>
          <w:b/>
          <w:bCs/>
          <w:i/>
        </w:rPr>
        <w:t xml:space="preserve"> </w:t>
      </w:r>
      <w:r>
        <w:t xml:space="preserve">without Commonwealth environmental water, </w:t>
      </w:r>
    </w:p>
    <w:p w14:paraId="1D9293DF" w14:textId="77777777" w:rsidR="00D278C9" w:rsidRDefault="00D278C9" w:rsidP="00E85C2D">
      <w:pPr>
        <w:pStyle w:val="ListParagraph"/>
        <w:numPr>
          <w:ilvl w:val="0"/>
          <w:numId w:val="20"/>
        </w:numPr>
      </w:pPr>
      <w:r w:rsidRPr="00345201">
        <w:rPr>
          <w:b/>
          <w:bCs/>
          <w:i/>
        </w:rPr>
        <w:t>No eWater</w:t>
      </w:r>
      <w:r>
        <w:rPr>
          <w:b/>
          <w:bCs/>
          <w:i/>
        </w:rPr>
        <w:t xml:space="preserve"> </w:t>
      </w:r>
      <w:r>
        <w:t>without any environmental water,</w:t>
      </w:r>
    </w:p>
    <w:p w14:paraId="1B3F9FCA" w14:textId="50699710" w:rsidR="00D278C9" w:rsidRDefault="00D278C9" w:rsidP="00E85C2D">
      <w:pPr>
        <w:pStyle w:val="ListParagraph"/>
        <w:numPr>
          <w:ilvl w:val="0"/>
          <w:numId w:val="20"/>
        </w:numPr>
      </w:pPr>
      <w:r>
        <w:rPr>
          <w:b/>
          <w:bCs/>
          <w:i/>
        </w:rPr>
        <w:t xml:space="preserve">No </w:t>
      </w:r>
      <w:r w:rsidRPr="0074488D">
        <w:rPr>
          <w:b/>
          <w:bCs/>
          <w:i/>
        </w:rPr>
        <w:t>Locks</w:t>
      </w:r>
      <w:r>
        <w:rPr>
          <w:bCs/>
          <w:i/>
        </w:rPr>
        <w:t xml:space="preserve"> </w:t>
      </w:r>
      <w:r>
        <w:t xml:space="preserve">the observed discharge as used for the </w:t>
      </w:r>
      <w:r w:rsidRPr="00F06C15">
        <w:rPr>
          <w:i/>
        </w:rPr>
        <w:t>All Water</w:t>
      </w:r>
      <w:r>
        <w:t xml:space="preserve"> scenario, but the influence of the weir and locks across the Murray </w:t>
      </w:r>
      <w:r w:rsidR="00BD0534">
        <w:t xml:space="preserve">River </w:t>
      </w:r>
      <w:r>
        <w:t xml:space="preserve">removed, to provide an indication of the maximum hydraulic changes that could be expected for the delivered flow regime, </w:t>
      </w:r>
      <w:r w:rsidRPr="0074488D">
        <w:t>and</w:t>
      </w:r>
      <w:r>
        <w:t xml:space="preserve"> </w:t>
      </w:r>
    </w:p>
    <w:p w14:paraId="72E1D0B0" w14:textId="39A836A1" w:rsidR="00D278C9" w:rsidRDefault="00D278C9" w:rsidP="00E85C2D">
      <w:pPr>
        <w:pStyle w:val="ListParagraph"/>
        <w:numPr>
          <w:ilvl w:val="0"/>
          <w:numId w:val="20"/>
        </w:numPr>
      </w:pPr>
      <w:r w:rsidRPr="00345201">
        <w:rPr>
          <w:b/>
          <w:bCs/>
          <w:i/>
          <w:iCs/>
        </w:rPr>
        <w:t>WoD</w:t>
      </w:r>
      <w:r>
        <w:t xml:space="preserve">, or Without Development, a representation of natural conditions, which has the locks removed as used for the </w:t>
      </w:r>
      <w:r w:rsidRPr="003A7FB2">
        <w:rPr>
          <w:i/>
        </w:rPr>
        <w:t>No Locks</w:t>
      </w:r>
      <w:r>
        <w:t xml:space="preserve"> scenario, but also a modelled flow representing no storage or diversions across the Murray</w:t>
      </w:r>
      <w:r w:rsidR="00BD0534">
        <w:t xml:space="preserve"> River</w:t>
      </w:r>
      <w:r>
        <w:t>.</w:t>
      </w:r>
    </w:p>
    <w:p w14:paraId="5C0FD4A4" w14:textId="77777777" w:rsidR="00D278C9" w:rsidRPr="006C2004" w:rsidRDefault="00D278C9" w:rsidP="00D278C9">
      <w:r w:rsidRPr="00EE4448">
        <w:t xml:space="preserve">The </w:t>
      </w:r>
      <w:r>
        <w:t>discharge</w:t>
      </w:r>
      <w:r w:rsidRPr="00EE4448">
        <w:t xml:space="preserve"> time series for these scenarios were provided by the MDBA</w:t>
      </w:r>
      <w:r>
        <w:t xml:space="preserve">, and the data </w:t>
      </w:r>
      <w:r w:rsidRPr="00E96277">
        <w:t>account for changes in diversions</w:t>
      </w:r>
      <w:r>
        <w:t xml:space="preserve"> expected</w:t>
      </w:r>
      <w:r w:rsidRPr="00E96277">
        <w:t xml:space="preserve"> within </w:t>
      </w:r>
      <w:r>
        <w:t>South Australia</w:t>
      </w:r>
      <w:r w:rsidRPr="00E96277">
        <w:t xml:space="preserve"> </w:t>
      </w:r>
      <w:r>
        <w:t>by assuming full utilisation of the entitlements recovered for the environment in the without environmental water (</w:t>
      </w:r>
      <w:r w:rsidRPr="0074488D">
        <w:rPr>
          <w:i/>
        </w:rPr>
        <w:t>No CEW</w:t>
      </w:r>
      <w:r>
        <w:t xml:space="preserve"> and </w:t>
      </w:r>
      <w:r w:rsidRPr="0074488D">
        <w:rPr>
          <w:i/>
        </w:rPr>
        <w:t>No eWater</w:t>
      </w:r>
      <w:r>
        <w:t xml:space="preserve">) scenarios. </w:t>
      </w:r>
      <w:r w:rsidRPr="0074488D">
        <w:rPr>
          <w:i/>
        </w:rPr>
        <w:t xml:space="preserve">WoD </w:t>
      </w:r>
      <w:r w:rsidRPr="00532A8F">
        <w:t>and</w:t>
      </w:r>
      <w:r>
        <w:rPr>
          <w:i/>
        </w:rPr>
        <w:t xml:space="preserve"> No Locks </w:t>
      </w:r>
      <w:r>
        <w:t xml:space="preserve">results were not simulated downstream of Lock 1, due to limited information on a suitable downstream water level for this scenario. </w:t>
      </w:r>
    </w:p>
    <w:p w14:paraId="665D7636" w14:textId="2C2C4EDD" w:rsidR="00D278C9" w:rsidRPr="00A465DF" w:rsidRDefault="00D278C9" w:rsidP="00D278C9">
      <w:r w:rsidRPr="00E96277">
        <w:lastRenderedPageBreak/>
        <w:t xml:space="preserve">The observed water levels </w:t>
      </w:r>
      <w:r>
        <w:t xml:space="preserve">at each lock and at Wellington were used as inputs for the </w:t>
      </w:r>
      <w:r w:rsidRPr="005C0830">
        <w:rPr>
          <w:i/>
        </w:rPr>
        <w:t>All</w:t>
      </w:r>
      <w:r>
        <w:rPr>
          <w:i/>
        </w:rPr>
        <w:t> </w:t>
      </w:r>
      <w:r w:rsidRPr="005C0830">
        <w:rPr>
          <w:i/>
        </w:rPr>
        <w:t>Water</w:t>
      </w:r>
      <w:r>
        <w:t xml:space="preserve"> scenario. For the without environmental water scenarios, the weir pool raisings at Locks 4 and 5 were removed, as these operations were supported by environmental water and associated with operation of the Katarapko and Pike floodplain infrastructure. Small weir pool lowerings within operational ranges at Locks 1 and 2 were also removed, timed to coincide with the flow peak in early December 2020. The water level was assumed to be at normal pool level during these periods. For the Below Lock 1 reach, the influence of environmental water on the water level in the Lower Lakes was incorporated, </w:t>
      </w:r>
      <w:r w:rsidR="00A539A8">
        <w:t xml:space="preserve">based on MDBA water balance modelling and the recorded water level at Wellington. This modelling assumes that the observed lake water level is the highest priority for the no environmental water scenarios, and it is the barrage flow that is reduced when there is less water available. If there is not sufficient volume to maintain water level, the Lake Alexandrina water level reduces compared to the </w:t>
      </w:r>
      <w:r w:rsidR="00A539A8" w:rsidRPr="003420E1">
        <w:rPr>
          <w:i/>
          <w:iCs/>
        </w:rPr>
        <w:t>AllWater</w:t>
      </w:r>
      <w:r w:rsidR="00A539A8">
        <w:rPr>
          <w:i/>
          <w:iCs/>
        </w:rPr>
        <w:t xml:space="preserve"> </w:t>
      </w:r>
      <w:r w:rsidR="00A539A8" w:rsidRPr="003420E1">
        <w:t>scenario</w:t>
      </w:r>
      <w:r w:rsidR="00A539A8">
        <w:t xml:space="preserve"> and barrage flow is zero.</w:t>
      </w:r>
      <w:r>
        <w:t xml:space="preserve"> </w:t>
      </w:r>
    </w:p>
    <w:p w14:paraId="2A8CDF45" w14:textId="77777777" w:rsidR="00D278C9" w:rsidRPr="00E35C12" w:rsidRDefault="00D278C9" w:rsidP="00D278C9">
      <w:pPr>
        <w:pStyle w:val="Heading3"/>
      </w:pPr>
      <w:r w:rsidRPr="00E35C12">
        <w:t>Results</w:t>
      </w:r>
    </w:p>
    <w:p w14:paraId="795E11E3" w14:textId="49F6AEF2" w:rsidR="00D278C9" w:rsidRPr="006C2004" w:rsidRDefault="00D278C9" w:rsidP="00D278C9">
      <w:bookmarkStart w:id="86" w:name="_Toc524094749"/>
      <w:r>
        <w:t xml:space="preserve">A summary of the results at the Lower Murray Selected Area scale can be seen in </w:t>
      </w:r>
      <w:r>
        <w:fldChar w:fldCharType="begin"/>
      </w:r>
      <w:r>
        <w:instrText xml:space="preserve"> REF _Ref22545004 \h </w:instrText>
      </w:r>
      <w:r>
        <w:fldChar w:fldCharType="separate"/>
      </w:r>
      <w:r w:rsidR="003C13F6">
        <w:t xml:space="preserve">Figure </w:t>
      </w:r>
      <w:r w:rsidR="003C13F6">
        <w:rPr>
          <w:noProof/>
        </w:rPr>
        <w:t>6</w:t>
      </w:r>
      <w:r>
        <w:fldChar w:fldCharType="end"/>
      </w:r>
      <w:r>
        <w:t xml:space="preserve">. For the velocity metrics, only results above Lock 1 were presented here to enable a comparison against the </w:t>
      </w:r>
      <w:r w:rsidRPr="006C2004">
        <w:rPr>
          <w:i/>
        </w:rPr>
        <w:t>WoD</w:t>
      </w:r>
      <w:r>
        <w:rPr>
          <w:i/>
        </w:rPr>
        <w:t xml:space="preserve"> </w:t>
      </w:r>
      <w:r>
        <w:t xml:space="preserve">and </w:t>
      </w:r>
      <w:r>
        <w:rPr>
          <w:i/>
        </w:rPr>
        <w:t xml:space="preserve">No Locks </w:t>
      </w:r>
      <w:r>
        <w:t xml:space="preserve">scenarios. </w:t>
      </w:r>
      <w:r>
        <w:fldChar w:fldCharType="begin"/>
      </w:r>
      <w:r>
        <w:instrText xml:space="preserve"> REF _Ref22545004 \h </w:instrText>
      </w:r>
      <w:r>
        <w:fldChar w:fldCharType="separate"/>
      </w:r>
      <w:r w:rsidR="003C13F6">
        <w:t xml:space="preserve">Figure </w:t>
      </w:r>
      <w:r w:rsidR="003C13F6">
        <w:rPr>
          <w:noProof/>
        </w:rPr>
        <w:t>6</w:t>
      </w:r>
      <w:r>
        <w:fldChar w:fldCharType="end"/>
      </w:r>
      <w:r>
        <w:t xml:space="preserve"> includes the discharge at the South Australian border for the different scenarios, the resulting area inundated (from Lock 6 to Wellington), and length of the river between Lock 6 and Lock 1 experiencing </w:t>
      </w:r>
      <w:r w:rsidR="005D4C2E">
        <w:t xml:space="preserve">lotic conditions, based on thresholds of velocity &gt;0.2 m/s and &gt;0.3 m/s. </w:t>
      </w:r>
    </w:p>
    <w:p w14:paraId="28E117AB" w14:textId="77777777" w:rsidR="00D278C9" w:rsidRPr="00005E55" w:rsidRDefault="00D278C9" w:rsidP="00D278C9">
      <w:pPr>
        <w:pStyle w:val="Heading4"/>
      </w:pPr>
      <w:r>
        <w:t>V</w:t>
      </w:r>
      <w:r w:rsidRPr="00005E55">
        <w:t>elocity</w:t>
      </w:r>
    </w:p>
    <w:p w14:paraId="5E55CBAB" w14:textId="11D187DA" w:rsidR="00D278C9" w:rsidRDefault="00D278C9" w:rsidP="00D278C9">
      <w:r>
        <w:t>The modelling indicates that there were substantial short-term changes in the length of river with velocities exceeding 0.2 m/s in 2020-21</w:t>
      </w:r>
      <w:r w:rsidRPr="001F3D7F">
        <w:t xml:space="preserve"> </w:t>
      </w:r>
      <w:r>
        <w:t>due to Commonwealth environmental water. An additional 166 km (49% of the reach) exceeded this threshold for 14 days, and 94 km of river (28% of the reach) for a duration of 30 days (</w:t>
      </w:r>
      <w:r>
        <w:fldChar w:fldCharType="begin"/>
      </w:r>
      <w:r>
        <w:instrText xml:space="preserve"> REF _Ref22545004 \h </w:instrText>
      </w:r>
      <w:r>
        <w:fldChar w:fldCharType="separate"/>
      </w:r>
      <w:r w:rsidR="003C13F6">
        <w:t xml:space="preserve">Figure </w:t>
      </w:r>
      <w:r w:rsidR="003C13F6">
        <w:rPr>
          <w:noProof/>
        </w:rPr>
        <w:t>6</w:t>
      </w:r>
      <w:r>
        <w:fldChar w:fldCharType="end"/>
      </w:r>
      <w:r>
        <w:t>). Increases in the proportion of the river with a velocity exceeding the higher threshold of 0.3 m/s were also modelled, 84 </w:t>
      </w:r>
      <w:r w:rsidRPr="00814B77">
        <w:t>km</w:t>
      </w:r>
      <w:r>
        <w:t xml:space="preserve"> (25%) for 14 days and 31 km (10%) for 30 days due to Commonwealth environmental water. This can be compared to the without development hydraulic conditions, where the full reach was expected to experience cross section averaged velocities exceeding 0.3 m/s for the first 5.5 months of the year. The influence of the locks on the lotic habitat available can also be seen in </w:t>
      </w:r>
      <w:r>
        <w:fldChar w:fldCharType="begin"/>
      </w:r>
      <w:r>
        <w:instrText xml:space="preserve"> REF _Ref22545004 \h </w:instrText>
      </w:r>
      <w:r>
        <w:fldChar w:fldCharType="separate"/>
      </w:r>
      <w:r w:rsidR="003C13F6">
        <w:t xml:space="preserve">Figure </w:t>
      </w:r>
      <w:r w:rsidR="003C13F6">
        <w:rPr>
          <w:noProof/>
        </w:rPr>
        <w:t>6</w:t>
      </w:r>
      <w:r>
        <w:fldChar w:fldCharType="end"/>
      </w:r>
      <w:r>
        <w:t xml:space="preserve">, where for the same flow to South Australia as the </w:t>
      </w:r>
      <w:r w:rsidRPr="00482872">
        <w:rPr>
          <w:i/>
        </w:rPr>
        <w:t>All Water</w:t>
      </w:r>
      <w:r>
        <w:t xml:space="preserve"> scenario, without locks, half of the length of river considered had velocities exceeding 0.3 m/s over the period between August and the main flow pulse in November, whereas less than 15% of the river considered experienced velocities greater than 0.3 m/s with the locks in place.  </w:t>
      </w:r>
    </w:p>
    <w:p w14:paraId="1C734314" w14:textId="6B5AABD0" w:rsidR="00D278C9" w:rsidRDefault="00D278C9" w:rsidP="00D278C9">
      <w:r>
        <w:t xml:space="preserve">The velocity magnitudes are presented at a weir pool scale in </w:t>
      </w:r>
      <w:r>
        <w:fldChar w:fldCharType="begin"/>
      </w:r>
      <w:r>
        <w:instrText xml:space="preserve"> REF _Ref22545136 \h </w:instrText>
      </w:r>
      <w:r>
        <w:fldChar w:fldCharType="separate"/>
      </w:r>
      <w:r w:rsidR="003C13F6">
        <w:t xml:space="preserve">Figure </w:t>
      </w:r>
      <w:r w:rsidR="003C13F6">
        <w:rPr>
          <w:noProof/>
        </w:rPr>
        <w:t>7</w:t>
      </w:r>
      <w:r>
        <w:fldChar w:fldCharType="end"/>
      </w:r>
      <w:r>
        <w:t>, with the median velocity in the weir pool each day shown as a solid line, and the range in velocities (as the 10</w:t>
      </w:r>
      <w:r w:rsidRPr="00430780">
        <w:rPr>
          <w:vertAlign w:val="superscript"/>
        </w:rPr>
        <w:t>th</w:t>
      </w:r>
      <w:r>
        <w:t xml:space="preserve"> and 90</w:t>
      </w:r>
      <w:r w:rsidRPr="00430780">
        <w:rPr>
          <w:vertAlign w:val="superscript"/>
        </w:rPr>
        <w:t>th</w:t>
      </w:r>
      <w:r>
        <w:t xml:space="preserve"> percentiles) shown as the shaded band. The results suggest a relatively consistent response</w:t>
      </w:r>
      <w:r w:rsidRPr="00D207EF">
        <w:t xml:space="preserve"> </w:t>
      </w:r>
      <w:r>
        <w:t xml:space="preserve">across the weir pools above Lock 1, and the </w:t>
      </w:r>
      <w:r w:rsidRPr="00FD3B84">
        <w:rPr>
          <w:i/>
        </w:rPr>
        <w:t>No Lock</w:t>
      </w:r>
      <w:r>
        <w:t xml:space="preserve"> median velocity (light grey line) is close to the upper end of the </w:t>
      </w:r>
      <w:r w:rsidRPr="00FD3B84">
        <w:rPr>
          <w:i/>
        </w:rPr>
        <w:t>All Water</w:t>
      </w:r>
      <w:r>
        <w:t xml:space="preserve"> velocity range (90</w:t>
      </w:r>
      <w:r w:rsidRPr="007A153A">
        <w:rPr>
          <w:vertAlign w:val="superscript"/>
        </w:rPr>
        <w:t>th</w:t>
      </w:r>
      <w:r>
        <w:t xml:space="preserve"> percentile) in most weir pools during the first six – eight months of the year (depending on the weir pool). Below Lock 1 the modelling indicated lower velocities due to the deeper river in this reach.</w:t>
      </w:r>
    </w:p>
    <w:p w14:paraId="0CE11595" w14:textId="77777777" w:rsidR="00D278C9" w:rsidRPr="00005E55" w:rsidRDefault="00D278C9" w:rsidP="00D278C9">
      <w:pPr>
        <w:pStyle w:val="Heading4"/>
      </w:pPr>
      <w:r w:rsidRPr="00005E55">
        <w:lastRenderedPageBreak/>
        <w:t>Water level and area</w:t>
      </w:r>
    </w:p>
    <w:p w14:paraId="3205BB43" w14:textId="58219AB5" w:rsidR="00D278C9" w:rsidRDefault="00D278C9" w:rsidP="00D278C9">
      <w:r>
        <w:t xml:space="preserve">The inundation area expected for the different scenarios can be seen in the second panel of </w:t>
      </w:r>
      <w:r>
        <w:fldChar w:fldCharType="begin"/>
      </w:r>
      <w:r>
        <w:instrText xml:space="preserve"> REF _Ref22545004 \h </w:instrText>
      </w:r>
      <w:r>
        <w:fldChar w:fldCharType="separate"/>
      </w:r>
      <w:r w:rsidR="003C13F6">
        <w:t xml:space="preserve">Figure </w:t>
      </w:r>
      <w:r w:rsidR="003C13F6">
        <w:rPr>
          <w:noProof/>
        </w:rPr>
        <w:t>6</w:t>
      </w:r>
      <w:r>
        <w:fldChar w:fldCharType="end"/>
      </w:r>
      <w:r>
        <w:t xml:space="preserve">, where flows were below bank full level (occurring at approximately 45,000 ML/d), and hence changes in inundation due to environmental water above Lock 1 were limited. </w:t>
      </w:r>
      <w:r w:rsidR="00A539A8">
        <w:t xml:space="preserve">The increase in area of approximately 1,396 Ha in late November is mainly attributable to the increase in environmental water raising </w:t>
      </w:r>
      <w:r>
        <w:t>water levels and hence riparian inundation along the LMR, whereas the increase</w:t>
      </w:r>
      <w:r w:rsidRPr="000524D6">
        <w:t xml:space="preserve"> in Lake Alexandrina water level at this time is small</w:t>
      </w:r>
      <w:r>
        <w:t xml:space="preserve">. From mid-December onwards, the increased inundation area is mainly due to the difference in Lake Alexandrina water level, raising water levels along the river below Lock 1 (as seen in </w:t>
      </w:r>
      <w:r>
        <w:fldChar w:fldCharType="begin"/>
      </w:r>
      <w:r>
        <w:instrText xml:space="preserve"> REF _Ref22547054 \h </w:instrText>
      </w:r>
      <w:r>
        <w:fldChar w:fldCharType="separate"/>
      </w:r>
      <w:r w:rsidR="003C13F6">
        <w:t xml:space="preserve">Figure </w:t>
      </w:r>
      <w:r w:rsidR="003C13F6">
        <w:rPr>
          <w:noProof/>
        </w:rPr>
        <w:t>8</w:t>
      </w:r>
      <w:r>
        <w:fldChar w:fldCharType="end"/>
      </w:r>
      <w:r>
        <w:t>)</w:t>
      </w:r>
      <w:r w:rsidR="00A539A8">
        <w:t xml:space="preserve">. For comparison, the total inundated area (including permanent water) from Lock 6 to Wellington for an 80,000 ML/d flow (representing the potentially managed floodplain) is 60,230 Ha, </w:t>
      </w:r>
      <w:r w:rsidR="008D43BE">
        <w:t>whereas</w:t>
      </w:r>
      <w:r w:rsidR="00A539A8">
        <w:t xml:space="preserve"> the maximum inundated areas </w:t>
      </w:r>
      <w:r w:rsidR="008D43BE">
        <w:t xml:space="preserve">were </w:t>
      </w:r>
      <w:r w:rsidR="00A539A8">
        <w:t xml:space="preserve"> 22,638 Ha and 21,242 Ha for the </w:t>
      </w:r>
      <w:r w:rsidR="00A539A8" w:rsidRPr="00F304D9">
        <w:rPr>
          <w:i/>
          <w:iCs/>
        </w:rPr>
        <w:t>All Water</w:t>
      </w:r>
      <w:r w:rsidR="00A539A8">
        <w:t xml:space="preserve"> and </w:t>
      </w:r>
      <w:r w:rsidR="00A539A8" w:rsidRPr="00F304D9">
        <w:rPr>
          <w:i/>
          <w:iCs/>
        </w:rPr>
        <w:t>No CEW</w:t>
      </w:r>
      <w:r w:rsidR="00A539A8">
        <w:t xml:space="preserve"> scenarios, respectively</w:t>
      </w:r>
      <w:r w:rsidR="00DE1285">
        <w:t>, in 2020-21</w:t>
      </w:r>
      <w:r w:rsidR="00A539A8">
        <w:t>.</w:t>
      </w:r>
    </w:p>
    <w:p w14:paraId="20EDD3C8" w14:textId="537A0765" w:rsidR="00D278C9" w:rsidRDefault="00D278C9" w:rsidP="00D278C9">
      <w:r>
        <w:t xml:space="preserve">The upstream end of the weir pool </w:t>
      </w:r>
      <w:r w:rsidRPr="00801D9D">
        <w:t>is the least influenced by the</w:t>
      </w:r>
      <w:r>
        <w:t xml:space="preserve"> downstream</w:t>
      </w:r>
      <w:r w:rsidRPr="00801D9D">
        <w:t xml:space="preserve"> weir and hence most responsive to changes in discharge when the weirs are controllin</w:t>
      </w:r>
      <w:r>
        <w:t>g water levels (below 54,000–67,000 ML/d,</w:t>
      </w:r>
      <w:r w:rsidRPr="00801D9D">
        <w:t xml:space="preserve"> depending on the weir)</w:t>
      </w:r>
      <w:r>
        <w:t>. Environmental water created some variability in water levels at the upstream end of each weir pool that would not have occurred otherwise, particularly increasing water levels in late November and December, where without the environmental water the water levels would have receded (</w:t>
      </w:r>
      <w:r>
        <w:fldChar w:fldCharType="begin"/>
      </w:r>
      <w:r>
        <w:instrText xml:space="preserve"> REF _Ref22547238 \h </w:instrText>
      </w:r>
      <w:r>
        <w:fldChar w:fldCharType="separate"/>
      </w:r>
      <w:r w:rsidR="003C13F6">
        <w:t xml:space="preserve">Figure </w:t>
      </w:r>
      <w:r w:rsidR="003C13F6">
        <w:rPr>
          <w:noProof/>
        </w:rPr>
        <w:t>9</w:t>
      </w:r>
      <w:r>
        <w:fldChar w:fldCharType="end"/>
      </w:r>
      <w:r>
        <w:t>).  The weir pool raisings at Locks 4 and 5, supported by environmental water, also contributed to increased water levels when these events started in July.</w:t>
      </w:r>
    </w:p>
    <w:p w14:paraId="5EE25C59" w14:textId="78F616A1" w:rsidR="00D278C9" w:rsidRDefault="00D278C9" w:rsidP="00D278C9">
      <w:r>
        <w:t xml:space="preserve">The </w:t>
      </w:r>
      <w:r w:rsidRPr="00A026C0">
        <w:rPr>
          <w:i/>
          <w:iCs/>
        </w:rPr>
        <w:t>No Locks</w:t>
      </w:r>
      <w:r>
        <w:t xml:space="preserve"> scenario removes the influence of the weirs on water levels at the upper end of each weir pool. For most locations the weirs can be seen to increase levels approximately 0.5 m over the first half of the year, and up to 1 m by the end of the water year during the lowest flows. The exception is in Weir Pool 3 (i.e. just downstream of Lock 4), where Lock 3 was modelled to have negligible influence on water levels (similar water levels from </w:t>
      </w:r>
      <w:r w:rsidRPr="00A026C0">
        <w:rPr>
          <w:i/>
          <w:iCs/>
        </w:rPr>
        <w:t>All Water</w:t>
      </w:r>
      <w:r>
        <w:t xml:space="preserve"> and </w:t>
      </w:r>
      <w:r w:rsidRPr="00A026C0">
        <w:rPr>
          <w:i/>
          <w:iCs/>
        </w:rPr>
        <w:t>No Locks</w:t>
      </w:r>
      <w:r>
        <w:t xml:space="preserve"> scenarios) (</w:t>
      </w:r>
      <w:r>
        <w:fldChar w:fldCharType="begin"/>
      </w:r>
      <w:r>
        <w:instrText xml:space="preserve"> REF _Ref22547238 \h </w:instrText>
      </w:r>
      <w:r>
        <w:fldChar w:fldCharType="separate"/>
      </w:r>
      <w:r w:rsidR="003C13F6">
        <w:t xml:space="preserve">Figure </w:t>
      </w:r>
      <w:r w:rsidR="003C13F6">
        <w:rPr>
          <w:noProof/>
        </w:rPr>
        <w:t>9</w:t>
      </w:r>
      <w:r>
        <w:fldChar w:fldCharType="end"/>
      </w:r>
      <w:r>
        <w:t xml:space="preserve">). This indicates a free-flowing section of river and higher velocities are expected, which is supported by both the modelling results and monitoring undertaken at this location. </w:t>
      </w:r>
    </w:p>
    <w:p w14:paraId="2CFDA11E" w14:textId="259AA071" w:rsidR="00D278C9" w:rsidRDefault="00D85F90" w:rsidP="00D278C9">
      <w:pPr>
        <w:keepNext/>
        <w:spacing w:before="0" w:after="160" w:line="259" w:lineRule="auto"/>
        <w:jc w:val="left"/>
      </w:pPr>
      <w:r>
        <w:rPr>
          <w:noProof/>
        </w:rPr>
        <w:lastRenderedPageBreak/>
        <w:drawing>
          <wp:inline distT="0" distB="0" distL="0" distR="0" wp14:anchorId="64560C0C" wp14:editId="0FA99FD0">
            <wp:extent cx="5727700" cy="7883525"/>
            <wp:effectExtent l="0" t="0" r="635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7700" cy="7883525"/>
                    </a:xfrm>
                    <a:prstGeom prst="rect">
                      <a:avLst/>
                    </a:prstGeom>
                    <a:noFill/>
                    <a:ln>
                      <a:noFill/>
                    </a:ln>
                  </pic:spPr>
                </pic:pic>
              </a:graphicData>
            </a:graphic>
          </wp:inline>
        </w:drawing>
      </w:r>
    </w:p>
    <w:p w14:paraId="191ACD20" w14:textId="20CC1905" w:rsidR="00D278C9" w:rsidRDefault="00D278C9" w:rsidP="00D278C9">
      <w:pPr>
        <w:pStyle w:val="Caption"/>
        <w:jc w:val="left"/>
        <w:rPr>
          <w:lang w:val="en-US"/>
        </w:rPr>
      </w:pPr>
      <w:bookmarkStart w:id="87" w:name="_Ref22545004"/>
      <w:bookmarkStart w:id="88" w:name="_Toc54612622"/>
      <w:bookmarkStart w:id="89" w:name="_Toc64646434"/>
      <w:bookmarkStart w:id="90" w:name="_Toc101963798"/>
      <w:r>
        <w:t xml:space="preserve">Figure </w:t>
      </w:r>
      <w:r>
        <w:rPr>
          <w:noProof/>
        </w:rPr>
        <w:fldChar w:fldCharType="begin"/>
      </w:r>
      <w:r>
        <w:rPr>
          <w:noProof/>
        </w:rPr>
        <w:instrText xml:space="preserve"> SEQ Figure \* ARABIC </w:instrText>
      </w:r>
      <w:r>
        <w:rPr>
          <w:noProof/>
        </w:rPr>
        <w:fldChar w:fldCharType="separate"/>
      </w:r>
      <w:r w:rsidR="003C13F6">
        <w:rPr>
          <w:noProof/>
        </w:rPr>
        <w:t>6</w:t>
      </w:r>
      <w:r>
        <w:rPr>
          <w:noProof/>
        </w:rPr>
        <w:fldChar w:fldCharType="end"/>
      </w:r>
      <w:bookmarkEnd w:id="87"/>
      <w:r>
        <w:rPr>
          <w:noProof/>
        </w:rPr>
        <w:t>.</w:t>
      </w:r>
      <w:r>
        <w:t xml:space="preserve"> </w:t>
      </w:r>
      <w:r w:rsidR="00023D19">
        <w:t xml:space="preserve">Discharge (flow to South Australia), surface area between Wellington and Lock 6,  and length of river with faster flowing velocities (v&gt;0.2 m/s and v&gt;0.3 m/s) for the Lower Murray River (LMR) between Locks 1 &amp; 6 (excluding anabranches). </w:t>
      </w:r>
      <w:r w:rsidR="00023D19" w:rsidRPr="00DA3F0D">
        <w:t xml:space="preserve">Total length of river assessed </w:t>
      </w:r>
      <w:r w:rsidR="00023D19">
        <w:t xml:space="preserve">for the length of river metrics </w:t>
      </w:r>
      <w:r w:rsidR="00023D19" w:rsidRPr="00DA3F0D">
        <w:t>in the LMR = 345 km</w:t>
      </w:r>
      <w:r w:rsidR="00023D19">
        <w:t>.</w:t>
      </w:r>
      <w:bookmarkEnd w:id="88"/>
      <w:bookmarkEnd w:id="89"/>
      <w:bookmarkEnd w:id="90"/>
    </w:p>
    <w:p w14:paraId="343BF435" w14:textId="5D4E2D79" w:rsidR="00D278C9" w:rsidRDefault="00D85F90" w:rsidP="00D278C9">
      <w:pPr>
        <w:keepNext/>
        <w:spacing w:before="0" w:after="160" w:line="259" w:lineRule="auto"/>
        <w:jc w:val="center"/>
      </w:pPr>
      <w:r>
        <w:rPr>
          <w:noProof/>
        </w:rPr>
        <w:lastRenderedPageBreak/>
        <w:drawing>
          <wp:inline distT="0" distB="0" distL="0" distR="0" wp14:anchorId="619496E1" wp14:editId="12BFA5F4">
            <wp:extent cx="5400040" cy="79190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40" cy="7919085"/>
                    </a:xfrm>
                    <a:prstGeom prst="rect">
                      <a:avLst/>
                    </a:prstGeom>
                    <a:noFill/>
                    <a:ln>
                      <a:noFill/>
                    </a:ln>
                  </pic:spPr>
                </pic:pic>
              </a:graphicData>
            </a:graphic>
          </wp:inline>
        </w:drawing>
      </w:r>
    </w:p>
    <w:p w14:paraId="7B1455D7" w14:textId="06F5F282" w:rsidR="00D278C9" w:rsidRDefault="00D278C9" w:rsidP="004C3BA1">
      <w:pPr>
        <w:pStyle w:val="Captions"/>
      </w:pPr>
      <w:bookmarkStart w:id="91" w:name="_Ref22545136"/>
      <w:bookmarkStart w:id="92" w:name="_Toc54612623"/>
      <w:bookmarkStart w:id="93" w:name="_Toc64646435"/>
      <w:bookmarkStart w:id="94" w:name="_Toc101963799"/>
      <w:r>
        <w:t xml:space="preserve">Figure </w:t>
      </w:r>
      <w:r>
        <w:fldChar w:fldCharType="begin"/>
      </w:r>
      <w:r>
        <w:instrText xml:space="preserve"> SEQ Figure \* ARABIC </w:instrText>
      </w:r>
      <w:r>
        <w:fldChar w:fldCharType="separate"/>
      </w:r>
      <w:r w:rsidR="003C13F6">
        <w:rPr>
          <w:noProof/>
        </w:rPr>
        <w:t>7</w:t>
      </w:r>
      <w:r>
        <w:fldChar w:fldCharType="end"/>
      </w:r>
      <w:bookmarkEnd w:id="91"/>
      <w:r>
        <w:t xml:space="preserve">. </w:t>
      </w:r>
      <w:r w:rsidR="00023D19">
        <w:t xml:space="preserve">Median modelled velocity in each weir pool (line), with </w:t>
      </w:r>
      <w:r>
        <w:t xml:space="preserve">the range in velocities </w:t>
      </w:r>
      <w:r w:rsidRPr="00F23425">
        <w:rPr>
          <w:rFonts w:eastAsia="Times New Roman" w:cs="Times New Roman"/>
          <w:kern w:val="28"/>
          <w:szCs w:val="18"/>
        </w:rPr>
        <w:t>within the weir pool</w:t>
      </w:r>
      <w:r w:rsidRPr="005E4BB2">
        <w:rPr>
          <w:rFonts w:eastAsia="Times New Roman" w:cs="Times New Roman"/>
          <w:kern w:val="28"/>
          <w:szCs w:val="18"/>
        </w:rPr>
        <w:t xml:space="preserve"> </w:t>
      </w:r>
      <w:r>
        <w:rPr>
          <w:rFonts w:eastAsia="Times New Roman" w:cs="Times New Roman"/>
          <w:kern w:val="28"/>
          <w:szCs w:val="18"/>
        </w:rPr>
        <w:t>(</w:t>
      </w:r>
      <w:r w:rsidRPr="00F23425">
        <w:rPr>
          <w:rFonts w:eastAsia="Times New Roman" w:cs="Times New Roman"/>
          <w:kern w:val="28"/>
          <w:szCs w:val="18"/>
        </w:rPr>
        <w:t>the shaded</w:t>
      </w:r>
      <w:r w:rsidRPr="003B531B">
        <w:rPr>
          <w:rFonts w:eastAsiaTheme="minorHAnsi" w:cs="CenturyGothic"/>
          <w:szCs w:val="22"/>
        </w:rPr>
        <w:t xml:space="preserve"> area</w:t>
      </w:r>
      <w:r>
        <w:rPr>
          <w:rFonts w:ascii="CenturyGothic" w:eastAsiaTheme="minorHAnsi" w:hAnsi="CenturyGothic" w:cs="CenturyGothic"/>
          <w:szCs w:val="22"/>
        </w:rPr>
        <w:t>)</w:t>
      </w:r>
      <w:r w:rsidRPr="00F23425">
        <w:rPr>
          <w:rFonts w:eastAsia="Times New Roman" w:cs="Times New Roman"/>
          <w:kern w:val="28"/>
          <w:szCs w:val="18"/>
        </w:rPr>
        <w:t>, defined by the 10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and 90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percentiles,</w:t>
      </w:r>
      <w:r>
        <w:rPr>
          <w:rFonts w:eastAsia="Times New Roman" w:cs="Times New Roman"/>
          <w:kern w:val="28"/>
          <w:szCs w:val="18"/>
        </w:rPr>
        <w:t xml:space="preserve"> in the Lower Murray River.</w:t>
      </w:r>
      <w:bookmarkEnd w:id="92"/>
      <w:bookmarkEnd w:id="93"/>
      <w:bookmarkEnd w:id="94"/>
    </w:p>
    <w:p w14:paraId="562E08F9" w14:textId="12B0299E" w:rsidR="00D278C9" w:rsidRDefault="00D85F90" w:rsidP="00D278C9">
      <w:pPr>
        <w:keepNext/>
        <w:spacing w:before="0" w:after="160" w:line="259" w:lineRule="auto"/>
        <w:jc w:val="center"/>
      </w:pPr>
      <w:r>
        <w:rPr>
          <w:noProof/>
        </w:rPr>
        <w:lastRenderedPageBreak/>
        <w:drawing>
          <wp:inline distT="0" distB="0" distL="0" distR="0" wp14:anchorId="0D6A8153" wp14:editId="04D8F809">
            <wp:extent cx="5400040" cy="79190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0040" cy="7919085"/>
                    </a:xfrm>
                    <a:prstGeom prst="rect">
                      <a:avLst/>
                    </a:prstGeom>
                    <a:noFill/>
                    <a:ln>
                      <a:noFill/>
                    </a:ln>
                  </pic:spPr>
                </pic:pic>
              </a:graphicData>
            </a:graphic>
          </wp:inline>
        </w:drawing>
      </w:r>
    </w:p>
    <w:p w14:paraId="3F1B19A4" w14:textId="3340FEDE" w:rsidR="00D278C9" w:rsidRDefault="00D278C9" w:rsidP="00D278C9">
      <w:pPr>
        <w:pStyle w:val="Caption"/>
        <w:jc w:val="left"/>
        <w:rPr>
          <w:lang w:val="en-US"/>
        </w:rPr>
      </w:pPr>
      <w:bookmarkStart w:id="95" w:name="_Ref22547054"/>
      <w:bookmarkStart w:id="96" w:name="_Toc54612624"/>
      <w:bookmarkStart w:id="97" w:name="_Toc64646436"/>
      <w:bookmarkStart w:id="98" w:name="_Toc101963800"/>
      <w:r>
        <w:t xml:space="preserve">Figure </w:t>
      </w:r>
      <w:r>
        <w:rPr>
          <w:noProof/>
        </w:rPr>
        <w:fldChar w:fldCharType="begin"/>
      </w:r>
      <w:r>
        <w:rPr>
          <w:noProof/>
        </w:rPr>
        <w:instrText xml:space="preserve"> SEQ Figure \* ARABIC </w:instrText>
      </w:r>
      <w:r>
        <w:rPr>
          <w:noProof/>
        </w:rPr>
        <w:fldChar w:fldCharType="separate"/>
      </w:r>
      <w:r w:rsidR="003C13F6">
        <w:rPr>
          <w:noProof/>
        </w:rPr>
        <w:t>8</w:t>
      </w:r>
      <w:r>
        <w:rPr>
          <w:noProof/>
        </w:rPr>
        <w:fldChar w:fldCharType="end"/>
      </w:r>
      <w:bookmarkEnd w:id="95"/>
      <w:r>
        <w:rPr>
          <w:noProof/>
        </w:rPr>
        <w:t>.</w:t>
      </w:r>
      <w:r>
        <w:t xml:space="preserve"> </w:t>
      </w:r>
      <w:bookmarkEnd w:id="96"/>
      <w:bookmarkEnd w:id="97"/>
      <w:r w:rsidR="00023D19" w:rsidRPr="00F23425">
        <w:t xml:space="preserve">Modelled water level at the </w:t>
      </w:r>
      <w:r w:rsidR="00023D19">
        <w:t>downstream</w:t>
      </w:r>
      <w:r w:rsidR="00023D19" w:rsidRPr="00F23425">
        <w:t xml:space="preserve"> end</w:t>
      </w:r>
      <w:r w:rsidR="00023D19">
        <w:t xml:space="preserve"> (i.e. above the Lock and Weir 1 for Weir Pool 1, and at Wellington for </w:t>
      </w:r>
      <w:r w:rsidR="00FC6FCA">
        <w:t>b</w:t>
      </w:r>
      <w:r w:rsidR="00023D19">
        <w:t>elow Lock 1) of each weir pool in the Lower Murray River</w:t>
      </w:r>
      <w:r>
        <w:t>.</w:t>
      </w:r>
      <w:bookmarkEnd w:id="98"/>
    </w:p>
    <w:p w14:paraId="0DB3729C" w14:textId="531C1C17" w:rsidR="00D278C9" w:rsidRDefault="00D85F90" w:rsidP="00D278C9">
      <w:pPr>
        <w:keepNext/>
        <w:spacing w:before="0" w:after="160" w:line="259" w:lineRule="auto"/>
        <w:jc w:val="center"/>
      </w:pPr>
      <w:r>
        <w:rPr>
          <w:noProof/>
        </w:rPr>
        <w:lastRenderedPageBreak/>
        <w:drawing>
          <wp:inline distT="0" distB="0" distL="0" distR="0" wp14:anchorId="60333ABF" wp14:editId="67701D2C">
            <wp:extent cx="5400040" cy="79190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0040" cy="7919085"/>
                    </a:xfrm>
                    <a:prstGeom prst="rect">
                      <a:avLst/>
                    </a:prstGeom>
                    <a:noFill/>
                    <a:ln>
                      <a:noFill/>
                    </a:ln>
                  </pic:spPr>
                </pic:pic>
              </a:graphicData>
            </a:graphic>
          </wp:inline>
        </w:drawing>
      </w:r>
    </w:p>
    <w:p w14:paraId="38408FD5" w14:textId="21692D58" w:rsidR="00D278C9" w:rsidRDefault="00D278C9" w:rsidP="004C3BA1">
      <w:pPr>
        <w:pStyle w:val="Captions"/>
      </w:pPr>
      <w:bookmarkStart w:id="99" w:name="_Ref22547238"/>
      <w:bookmarkStart w:id="100" w:name="_Toc54612625"/>
      <w:bookmarkStart w:id="101" w:name="_Toc64646437"/>
      <w:bookmarkStart w:id="102" w:name="_Toc101963801"/>
      <w:r>
        <w:t xml:space="preserve">Figure </w:t>
      </w:r>
      <w:r>
        <w:rPr>
          <w:noProof/>
        </w:rPr>
        <w:fldChar w:fldCharType="begin"/>
      </w:r>
      <w:r>
        <w:rPr>
          <w:noProof/>
        </w:rPr>
        <w:instrText xml:space="preserve"> SEQ Figure \* ARABIC </w:instrText>
      </w:r>
      <w:r>
        <w:rPr>
          <w:noProof/>
        </w:rPr>
        <w:fldChar w:fldCharType="separate"/>
      </w:r>
      <w:r w:rsidR="003C13F6">
        <w:rPr>
          <w:noProof/>
        </w:rPr>
        <w:t>9</w:t>
      </w:r>
      <w:r>
        <w:rPr>
          <w:noProof/>
        </w:rPr>
        <w:fldChar w:fldCharType="end"/>
      </w:r>
      <w:bookmarkEnd w:id="99"/>
      <w:r>
        <w:rPr>
          <w:noProof/>
        </w:rPr>
        <w:t>.</w:t>
      </w:r>
      <w:r>
        <w:t xml:space="preserve"> </w:t>
      </w:r>
      <w:r w:rsidRPr="00190A6E">
        <w:t>Modelled water level at the upstream end of each weir pool</w:t>
      </w:r>
      <w:r>
        <w:t xml:space="preserve"> (i.e. downstream of Lock 2 for Weir Pool 1) in the Lower Murray River</w:t>
      </w:r>
      <w:r w:rsidRPr="00190A6E">
        <w:t>.</w:t>
      </w:r>
      <w:bookmarkEnd w:id="100"/>
      <w:bookmarkEnd w:id="101"/>
      <w:r>
        <w:t xml:space="preserve"> The subplot for each Weir Pool has a y axis range of 3 m.</w:t>
      </w:r>
      <w:bookmarkEnd w:id="102"/>
    </w:p>
    <w:p w14:paraId="1FDAAAF5" w14:textId="77777777" w:rsidR="00D278C9" w:rsidRDefault="00D278C9" w:rsidP="00D278C9">
      <w:pPr>
        <w:pStyle w:val="Heading3"/>
        <w:rPr>
          <w:lang w:val="en-US"/>
        </w:rPr>
      </w:pPr>
      <w:r>
        <w:rPr>
          <w:lang w:val="en-US"/>
        </w:rPr>
        <w:lastRenderedPageBreak/>
        <w:t>Evaluation</w:t>
      </w:r>
    </w:p>
    <w:p w14:paraId="22DD44E9" w14:textId="1A20271B" w:rsidR="00D278C9" w:rsidRDefault="00D278C9" w:rsidP="00D278C9">
      <w:pPr>
        <w:rPr>
          <w:lang w:val="en-US"/>
        </w:rPr>
      </w:pPr>
      <w:r w:rsidRPr="006E7799">
        <w:rPr>
          <w:lang w:val="en-US"/>
        </w:rPr>
        <w:t>To evaluate the contribution of Commonwealth environmental water towards a</w:t>
      </w:r>
      <w:r>
        <w:rPr>
          <w:lang w:val="en-US"/>
        </w:rPr>
        <w:t xml:space="preserve"> short- (annual) or long-term (multi-year)</w:t>
      </w:r>
      <w:r w:rsidRPr="006E7799">
        <w:rPr>
          <w:lang w:val="en-US"/>
        </w:rPr>
        <w:t xml:space="preserve"> outcome, a contribution significance level was assigned to each evaluation question. The level was viewed as ‘to what extent Commonwealth environmental water contributed towards that observed outcome, with the ecological significance of the outcome considered where possible’. For example, the level assigned may be similar for an ecologically significant outcome of which Commonwealth environmental water had minor contribution towards versus an outcome that was considered </w:t>
      </w:r>
      <w:r>
        <w:rPr>
          <w:lang w:val="en-US"/>
        </w:rPr>
        <w:t>minor</w:t>
      </w:r>
      <w:r w:rsidRPr="006E7799">
        <w:rPr>
          <w:lang w:val="en-US"/>
        </w:rPr>
        <w:t xml:space="preserve"> of which Commonwealth environmental water had major contribution towards. The thresholds for assigning the significance var</w:t>
      </w:r>
      <w:r>
        <w:rPr>
          <w:lang w:val="en-US"/>
        </w:rPr>
        <w:t>y</w:t>
      </w:r>
      <w:r w:rsidRPr="006E7799">
        <w:rPr>
          <w:lang w:val="en-US"/>
        </w:rPr>
        <w:t xml:space="preserve"> among indicators and questions, ranging from using </w:t>
      </w:r>
      <w:r>
        <w:rPr>
          <w:lang w:val="en-US"/>
        </w:rPr>
        <w:t>defined</w:t>
      </w:r>
      <w:r w:rsidRPr="006E7799">
        <w:rPr>
          <w:lang w:val="en-US"/>
        </w:rPr>
        <w:t xml:space="preserve"> percentages or values</w:t>
      </w:r>
      <w:r>
        <w:rPr>
          <w:lang w:val="en-US"/>
        </w:rPr>
        <w:t xml:space="preserve"> of change</w:t>
      </w:r>
      <w:r w:rsidRPr="006E7799">
        <w:rPr>
          <w:lang w:val="en-US"/>
        </w:rPr>
        <w:t>, to qualitative assessment based on expert opinion</w:t>
      </w:r>
      <w:r w:rsidR="00023D19" w:rsidRPr="006E7799">
        <w:rPr>
          <w:lang w:val="en-US"/>
        </w:rPr>
        <w:t>.</w:t>
      </w:r>
      <w:r w:rsidR="00023D19">
        <w:rPr>
          <w:lang w:val="en-US"/>
        </w:rPr>
        <w:t xml:space="preserve"> </w:t>
      </w:r>
      <w:r w:rsidR="00023D19" w:rsidRPr="006E7799">
        <w:rPr>
          <w:lang w:val="en-US"/>
        </w:rPr>
        <w:t xml:space="preserve">The thresholds for significance </w:t>
      </w:r>
      <w:r w:rsidR="00023D19">
        <w:rPr>
          <w:lang w:val="en-US"/>
        </w:rPr>
        <w:t xml:space="preserve">levels </w:t>
      </w:r>
      <w:r w:rsidR="00023D19" w:rsidRPr="006E7799">
        <w:rPr>
          <w:lang w:val="en-US"/>
        </w:rPr>
        <w:t xml:space="preserve">among </w:t>
      </w:r>
      <w:r w:rsidR="00023D19">
        <w:rPr>
          <w:lang w:val="en-US"/>
        </w:rPr>
        <w:t xml:space="preserve">the </w:t>
      </w:r>
      <w:r w:rsidR="00023D19" w:rsidRPr="006E7799">
        <w:rPr>
          <w:lang w:val="en-US"/>
        </w:rPr>
        <w:t xml:space="preserve">indicators </w:t>
      </w:r>
      <w:r w:rsidR="00023D19">
        <w:rPr>
          <w:lang w:val="en-US"/>
        </w:rPr>
        <w:t xml:space="preserve">were </w:t>
      </w:r>
      <w:r w:rsidR="00023D19" w:rsidRPr="006E7799">
        <w:rPr>
          <w:lang w:val="en-US"/>
        </w:rPr>
        <w:t>based on expert opinion</w:t>
      </w:r>
      <w:r w:rsidR="00023D19">
        <w:rPr>
          <w:lang w:val="en-US"/>
        </w:rPr>
        <w:t xml:space="preserve"> and may be adjusted in response to developing understanding of these processes.</w:t>
      </w:r>
    </w:p>
    <w:p w14:paraId="1DA95233" w14:textId="77777777" w:rsidR="00D278C9" w:rsidRPr="000F0490" w:rsidRDefault="00D278C9" w:rsidP="00D278C9">
      <w:pPr>
        <w:rPr>
          <w:lang w:val="en-US"/>
        </w:rPr>
      </w:pPr>
      <w:r>
        <w:rPr>
          <w:lang w:val="en-US"/>
        </w:rPr>
        <w:t>A new metric, t</w:t>
      </w:r>
      <w:r w:rsidRPr="000F0490">
        <w:rPr>
          <w:lang w:val="en-US"/>
        </w:rPr>
        <w:t>otal increase in longitudinal connectivity</w:t>
      </w:r>
      <w:r>
        <w:rPr>
          <w:lang w:val="en-US"/>
        </w:rPr>
        <w:t xml:space="preserve"> (</w:t>
      </w:r>
      <w:r w:rsidRPr="000F0490">
        <w:rPr>
          <w:lang w:val="en-US"/>
        </w:rPr>
        <w:t>in km days</w:t>
      </w:r>
      <w:r>
        <w:rPr>
          <w:lang w:val="en-US"/>
        </w:rPr>
        <w:t>), has been added in this report</w:t>
      </w:r>
      <w:r w:rsidRPr="000F0490">
        <w:rPr>
          <w:lang w:val="en-US"/>
        </w:rPr>
        <w:t xml:space="preserve">. Previously, only the percentage increase in annual volume was used to represent longitudinal connectivity. However, this is a coarse measure of connectivity and does not represent the dynamics within the year. Similar to the increase in area, the increase in the length of river with velocity &gt; 0.2 m/s each day has been summed over the year to produce a measure of longitudinal connectivity, measured in km days. The 0.2 m/s threshold was adopted as the indicator of connectivity given </w:t>
      </w:r>
      <w:r>
        <w:t>this</w:t>
      </w:r>
      <w:r w:rsidRPr="005109EC">
        <w:t xml:space="preserve"> </w:t>
      </w:r>
      <w:r>
        <w:t xml:space="preserve">velocity has been found </w:t>
      </w:r>
      <w:bookmarkStart w:id="103" w:name="_Hlk96209265"/>
      <w:r>
        <w:t>to support entrai</w:t>
      </w:r>
      <w:r w:rsidRPr="005109EC">
        <w:t>n</w:t>
      </w:r>
      <w:r>
        <w:t>ment</w:t>
      </w:r>
      <w:r w:rsidRPr="005109EC">
        <w:t xml:space="preserve"> and transport</w:t>
      </w:r>
      <w:r>
        <w:t xml:space="preserve">/dispersal of propagules such as phytoplankton, zooplankton and fish larvae (Gibbs </w:t>
      </w:r>
      <w:r w:rsidRPr="000F0490">
        <w:rPr>
          <w:i/>
        </w:rPr>
        <w:t>et al.</w:t>
      </w:r>
      <w:r>
        <w:t xml:space="preserve"> 2020).</w:t>
      </w:r>
      <w:bookmarkEnd w:id="103"/>
    </w:p>
    <w:p w14:paraId="03C320CF" w14:textId="52EE3BC7" w:rsidR="00D278C9" w:rsidRPr="00BD4A1E" w:rsidRDefault="00D278C9" w:rsidP="00D278C9">
      <w:pPr>
        <w:rPr>
          <w:lang w:val="en-US"/>
        </w:rPr>
      </w:pPr>
      <w:r>
        <w:rPr>
          <w:lang w:val="en-US"/>
        </w:rPr>
        <w:t xml:space="preserve">With the addition of the new metric, and the addition of the reach below Lock 1 in the previous report (Ye </w:t>
      </w:r>
      <w:r w:rsidRPr="00A026C0">
        <w:rPr>
          <w:i/>
          <w:iCs/>
          <w:lang w:val="en-US"/>
        </w:rPr>
        <w:t>et al.</w:t>
      </w:r>
      <w:r>
        <w:rPr>
          <w:lang w:val="en-US"/>
        </w:rPr>
        <w:t xml:space="preserve"> 2021), all</w:t>
      </w:r>
      <w:r w:rsidRPr="001B44B3">
        <w:rPr>
          <w:lang w:val="en-US"/>
        </w:rPr>
        <w:t xml:space="preserve"> evaluation metrics have been recomputed </w:t>
      </w:r>
      <w:r>
        <w:rPr>
          <w:lang w:val="en-US"/>
        </w:rPr>
        <w:t>in</w:t>
      </w:r>
      <w:r w:rsidRPr="001B44B3">
        <w:rPr>
          <w:lang w:val="en-US"/>
        </w:rPr>
        <w:t xml:space="preserve"> this report</w:t>
      </w:r>
      <w:r>
        <w:rPr>
          <w:lang w:val="en-US"/>
        </w:rPr>
        <w:t xml:space="preserve"> to ensure consistency. This has introduced some differences to values presented in previous reports for a number of </w:t>
      </w:r>
      <w:r w:rsidRPr="001B44B3">
        <w:rPr>
          <w:lang w:val="en-US"/>
        </w:rPr>
        <w:t>reasons</w:t>
      </w:r>
      <w:r>
        <w:rPr>
          <w:lang w:val="en-US"/>
        </w:rPr>
        <w:t>,</w:t>
      </w:r>
      <w:r w:rsidRPr="001B44B3">
        <w:rPr>
          <w:lang w:val="en-US"/>
        </w:rPr>
        <w:t xml:space="preserve"> including: a change in methodology from complete hydrodynamic modeling to interpolatio</w:t>
      </w:r>
      <w:r>
        <w:rPr>
          <w:lang w:val="en-US"/>
        </w:rPr>
        <w:t>n of steady state model outputs part way through the period and</w:t>
      </w:r>
      <w:r w:rsidRPr="001B44B3">
        <w:rPr>
          <w:lang w:val="en-US"/>
        </w:rPr>
        <w:t xml:space="preserve"> </w:t>
      </w:r>
      <w:r>
        <w:rPr>
          <w:lang w:val="en-US"/>
        </w:rPr>
        <w:t>th</w:t>
      </w:r>
      <w:r w:rsidRPr="001B44B3">
        <w:rPr>
          <w:lang w:val="en-US"/>
        </w:rPr>
        <w:t xml:space="preserve">e reach below Lock 1 </w:t>
      </w:r>
      <w:r>
        <w:rPr>
          <w:lang w:val="en-US"/>
        </w:rPr>
        <w:t xml:space="preserve">has been included </w:t>
      </w:r>
      <w:r w:rsidRPr="001B44B3">
        <w:rPr>
          <w:lang w:val="en-US"/>
        </w:rPr>
        <w:t>for water level variability and lateral connectivity metrics</w:t>
      </w:r>
      <w:r>
        <w:rPr>
          <w:lang w:val="en-US"/>
        </w:rPr>
        <w:t xml:space="preserve"> for all years. The method to calculate water level variability has changed to be more representative of the increase in variability, where the difference in the interquartile range for the </w:t>
      </w:r>
      <w:r w:rsidRPr="00BD4E17">
        <w:rPr>
          <w:i/>
          <w:lang w:val="en-US"/>
        </w:rPr>
        <w:t>All Water</w:t>
      </w:r>
      <w:r>
        <w:rPr>
          <w:lang w:val="en-US"/>
        </w:rPr>
        <w:t xml:space="preserve"> and </w:t>
      </w:r>
      <w:r w:rsidRPr="00BD4E17">
        <w:rPr>
          <w:i/>
          <w:lang w:val="en-US"/>
        </w:rPr>
        <w:t>No CEW</w:t>
      </w:r>
      <w:r>
        <w:rPr>
          <w:lang w:val="en-US"/>
        </w:rPr>
        <w:t xml:space="preserve"> scenarios is calculated for each weir pool and then averaged across weir pools, where previously the interquartile range was calculated on the difference in water levels at each location. </w:t>
      </w:r>
      <w:bookmarkStart w:id="104" w:name="_Ref22554285"/>
      <w:bookmarkStart w:id="105" w:name="_Toc54612663"/>
      <w:bookmarkStart w:id="106" w:name="_Toc64646407"/>
      <w:r w:rsidR="0059562F">
        <w:rPr>
          <w:lang w:val="en-US"/>
        </w:rPr>
        <w:t xml:space="preserve">Given this different method, the values are different to previous reports. Water levels below Lock 1 are not included in these results, given the influence of the Lower Lakes on water levels. </w:t>
      </w:r>
      <w:r w:rsidR="007C22CB">
        <w:rPr>
          <w:lang w:val="en-US"/>
        </w:rPr>
        <w:t xml:space="preserve">Previous reports were also found to not be consistent in the approach use to calculate longitudinal connectivity metric, which has been corrected in this report. </w:t>
      </w:r>
      <w:r>
        <w:br w:type="page"/>
      </w:r>
    </w:p>
    <w:p w14:paraId="6FCE541A" w14:textId="18BE8980" w:rsidR="00D278C9" w:rsidRPr="001D41FE" w:rsidRDefault="00023D19" w:rsidP="00D278C9">
      <w:pPr>
        <w:pStyle w:val="Caption"/>
        <w:rPr>
          <w:lang w:val="en-US"/>
        </w:rPr>
      </w:pPr>
      <w:bookmarkStart w:id="107" w:name="_Ref88730871"/>
      <w:bookmarkStart w:id="108" w:name="_Toc101963861"/>
      <w:r>
        <w:lastRenderedPageBreak/>
        <w:t>Table</w:t>
      </w:r>
      <w:r w:rsidR="00D278C9">
        <w:t xml:space="preserve"> </w:t>
      </w:r>
      <w:r w:rsidR="00D278C9">
        <w:rPr>
          <w:noProof/>
        </w:rPr>
        <w:fldChar w:fldCharType="begin"/>
      </w:r>
      <w:r w:rsidR="00D278C9">
        <w:rPr>
          <w:noProof/>
        </w:rPr>
        <w:instrText xml:space="preserve"> SEQ Table \* ARABIC </w:instrText>
      </w:r>
      <w:r w:rsidR="00D278C9">
        <w:rPr>
          <w:noProof/>
        </w:rPr>
        <w:fldChar w:fldCharType="separate"/>
      </w:r>
      <w:r w:rsidR="003C13F6">
        <w:rPr>
          <w:noProof/>
        </w:rPr>
        <w:t>3</w:t>
      </w:r>
      <w:r w:rsidR="00D278C9">
        <w:rPr>
          <w:noProof/>
        </w:rPr>
        <w:fldChar w:fldCharType="end"/>
      </w:r>
      <w:bookmarkEnd w:id="104"/>
      <w:bookmarkEnd w:id="107"/>
      <w:r w:rsidR="00D278C9">
        <w:rPr>
          <w:noProof/>
        </w:rPr>
        <w:t>.</w:t>
      </w:r>
      <w:r w:rsidR="00D278C9">
        <w:t xml:space="preserve"> Hydraulic Regime evaluation questions and answers. CEW = Commonwealth environmental water, eWater = environmental water.</w:t>
      </w:r>
      <w:bookmarkEnd w:id="105"/>
      <w:bookmarkEnd w:id="106"/>
      <w:bookmarkEnd w:id="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1"/>
        <w:gridCol w:w="831"/>
        <w:gridCol w:w="867"/>
        <w:gridCol w:w="831"/>
        <w:gridCol w:w="831"/>
        <w:gridCol w:w="867"/>
        <w:gridCol w:w="863"/>
        <w:gridCol w:w="2049"/>
      </w:tblGrid>
      <w:tr w:rsidR="00023D19" w:rsidRPr="0041543F" w14:paraId="5FEBA513" w14:textId="77777777" w:rsidTr="00902C23">
        <w:trPr>
          <w:cantSplit/>
          <w:trHeight w:val="20"/>
          <w:tblHeader/>
        </w:trPr>
        <w:tc>
          <w:tcPr>
            <w:tcW w:w="1039" w:type="pct"/>
            <w:vMerge w:val="restart"/>
            <w:tcBorders>
              <w:top w:val="single" w:sz="4" w:space="0" w:color="auto"/>
              <w:left w:val="single" w:sz="4" w:space="0" w:color="auto"/>
              <w:right w:val="single" w:sz="4" w:space="0" w:color="auto"/>
            </w:tcBorders>
          </w:tcPr>
          <w:p w14:paraId="2AE6E466" w14:textId="77777777" w:rsidR="00023D19" w:rsidRPr="0041543F" w:rsidRDefault="00023D19" w:rsidP="00902C23">
            <w:pPr>
              <w:pStyle w:val="TableHeading"/>
              <w:jc w:val="center"/>
              <w:rPr>
                <w:sz w:val="19"/>
                <w:szCs w:val="19"/>
              </w:rPr>
            </w:pPr>
            <w:r w:rsidRPr="0041543F">
              <w:rPr>
                <w:sz w:val="19"/>
                <w:szCs w:val="19"/>
              </w:rPr>
              <w:t xml:space="preserve">CEWO evaluation questions </w:t>
            </w:r>
          </w:p>
        </w:tc>
        <w:tc>
          <w:tcPr>
            <w:tcW w:w="3961" w:type="pct"/>
            <w:gridSpan w:val="7"/>
            <w:tcBorders>
              <w:top w:val="single" w:sz="4" w:space="0" w:color="auto"/>
              <w:left w:val="single" w:sz="4" w:space="0" w:color="auto"/>
              <w:right w:val="single" w:sz="4" w:space="0" w:color="auto"/>
            </w:tcBorders>
          </w:tcPr>
          <w:p w14:paraId="76D4E1E9" w14:textId="77777777" w:rsidR="00023D19" w:rsidRPr="0041543F" w:rsidRDefault="00023D19" w:rsidP="00902C23">
            <w:pPr>
              <w:pStyle w:val="TableHeading"/>
              <w:jc w:val="center"/>
              <w:rPr>
                <w:sz w:val="19"/>
                <w:szCs w:val="19"/>
              </w:rPr>
            </w:pPr>
            <w:r w:rsidRPr="0041543F">
              <w:rPr>
                <w:sz w:val="19"/>
                <w:szCs w:val="19"/>
              </w:rPr>
              <w:t>Outcomes of CEW</w:t>
            </w:r>
            <w:r>
              <w:rPr>
                <w:sz w:val="19"/>
                <w:szCs w:val="19"/>
              </w:rPr>
              <w:t xml:space="preserve"> delivery</w:t>
            </w:r>
          </w:p>
        </w:tc>
      </w:tr>
      <w:tr w:rsidR="00023D19" w:rsidRPr="0041543F" w14:paraId="520CBFD1" w14:textId="77777777" w:rsidTr="00902C23">
        <w:trPr>
          <w:cantSplit/>
          <w:trHeight w:val="20"/>
          <w:tblHeader/>
        </w:trPr>
        <w:tc>
          <w:tcPr>
            <w:tcW w:w="1039" w:type="pct"/>
            <w:vMerge/>
            <w:tcBorders>
              <w:left w:val="single" w:sz="4" w:space="0" w:color="auto"/>
              <w:bottom w:val="single" w:sz="4" w:space="0" w:color="auto"/>
              <w:right w:val="single" w:sz="4" w:space="0" w:color="auto"/>
            </w:tcBorders>
          </w:tcPr>
          <w:p w14:paraId="6E28A670" w14:textId="77777777" w:rsidR="00023D19" w:rsidRDefault="00023D19" w:rsidP="00902C23">
            <w:pPr>
              <w:pStyle w:val="TableHeading"/>
              <w:jc w:val="center"/>
              <w:rPr>
                <w:sz w:val="19"/>
                <w:szCs w:val="19"/>
              </w:rPr>
            </w:pPr>
          </w:p>
        </w:tc>
        <w:tc>
          <w:tcPr>
            <w:tcW w:w="461" w:type="pct"/>
            <w:tcBorders>
              <w:left w:val="single" w:sz="4" w:space="0" w:color="auto"/>
              <w:bottom w:val="single" w:sz="4" w:space="0" w:color="auto"/>
              <w:right w:val="single" w:sz="4" w:space="0" w:color="auto"/>
            </w:tcBorders>
            <w:vAlign w:val="bottom"/>
          </w:tcPr>
          <w:p w14:paraId="2885FD0B" w14:textId="77777777" w:rsidR="00023D19" w:rsidRDefault="00023D19" w:rsidP="00902C23">
            <w:pPr>
              <w:pStyle w:val="TableHeading"/>
              <w:jc w:val="center"/>
              <w:rPr>
                <w:sz w:val="19"/>
                <w:szCs w:val="19"/>
              </w:rPr>
            </w:pPr>
            <w:r>
              <w:rPr>
                <w:sz w:val="19"/>
                <w:szCs w:val="19"/>
              </w:rPr>
              <w:t>2014-15</w:t>
            </w:r>
          </w:p>
        </w:tc>
        <w:tc>
          <w:tcPr>
            <w:tcW w:w="481" w:type="pct"/>
            <w:tcBorders>
              <w:top w:val="single" w:sz="4" w:space="0" w:color="auto"/>
              <w:left w:val="single" w:sz="4" w:space="0" w:color="auto"/>
              <w:bottom w:val="single" w:sz="4" w:space="0" w:color="auto"/>
            </w:tcBorders>
            <w:vAlign w:val="bottom"/>
          </w:tcPr>
          <w:p w14:paraId="37494745" w14:textId="77777777" w:rsidR="00023D19" w:rsidRPr="0041543F" w:rsidRDefault="00023D19" w:rsidP="00902C23">
            <w:pPr>
              <w:pStyle w:val="TableHeading"/>
              <w:jc w:val="center"/>
              <w:rPr>
                <w:sz w:val="19"/>
                <w:szCs w:val="19"/>
              </w:rPr>
            </w:pPr>
            <w:r>
              <w:rPr>
                <w:sz w:val="19"/>
                <w:szCs w:val="19"/>
              </w:rPr>
              <w:t>2015-16</w:t>
            </w:r>
          </w:p>
        </w:tc>
        <w:tc>
          <w:tcPr>
            <w:tcW w:w="461" w:type="pct"/>
            <w:tcBorders>
              <w:top w:val="single" w:sz="4" w:space="0" w:color="auto"/>
              <w:bottom w:val="single" w:sz="4" w:space="0" w:color="auto"/>
            </w:tcBorders>
            <w:vAlign w:val="bottom"/>
          </w:tcPr>
          <w:p w14:paraId="113FE55B" w14:textId="77777777" w:rsidR="00023D19" w:rsidRPr="0041543F" w:rsidRDefault="00023D19" w:rsidP="00902C23">
            <w:pPr>
              <w:pStyle w:val="TableHeading"/>
              <w:jc w:val="center"/>
              <w:rPr>
                <w:sz w:val="19"/>
                <w:szCs w:val="19"/>
              </w:rPr>
            </w:pPr>
            <w:r>
              <w:rPr>
                <w:sz w:val="19"/>
                <w:szCs w:val="19"/>
              </w:rPr>
              <w:t>2016-17</w:t>
            </w:r>
          </w:p>
        </w:tc>
        <w:tc>
          <w:tcPr>
            <w:tcW w:w="461" w:type="pct"/>
            <w:tcBorders>
              <w:top w:val="single" w:sz="4" w:space="0" w:color="auto"/>
              <w:bottom w:val="single" w:sz="4" w:space="0" w:color="auto"/>
            </w:tcBorders>
            <w:vAlign w:val="bottom"/>
          </w:tcPr>
          <w:p w14:paraId="5B4E8BE1" w14:textId="77777777" w:rsidR="00023D19" w:rsidRPr="0041543F" w:rsidRDefault="00023D19" w:rsidP="00902C23">
            <w:pPr>
              <w:pStyle w:val="TableHeading"/>
              <w:jc w:val="center"/>
              <w:rPr>
                <w:sz w:val="19"/>
                <w:szCs w:val="19"/>
              </w:rPr>
            </w:pPr>
            <w:r>
              <w:rPr>
                <w:sz w:val="19"/>
                <w:szCs w:val="19"/>
              </w:rPr>
              <w:t>2017-18</w:t>
            </w:r>
          </w:p>
        </w:tc>
        <w:tc>
          <w:tcPr>
            <w:tcW w:w="481" w:type="pct"/>
            <w:tcBorders>
              <w:top w:val="single" w:sz="4" w:space="0" w:color="auto"/>
              <w:bottom w:val="single" w:sz="4" w:space="0" w:color="auto"/>
            </w:tcBorders>
            <w:vAlign w:val="bottom"/>
          </w:tcPr>
          <w:p w14:paraId="6F591CF0" w14:textId="77777777" w:rsidR="00023D19" w:rsidRPr="0041543F" w:rsidRDefault="00023D19" w:rsidP="00902C23">
            <w:pPr>
              <w:pStyle w:val="TableHeading"/>
              <w:jc w:val="center"/>
              <w:rPr>
                <w:sz w:val="19"/>
                <w:szCs w:val="19"/>
              </w:rPr>
            </w:pPr>
            <w:r>
              <w:rPr>
                <w:sz w:val="19"/>
                <w:szCs w:val="19"/>
              </w:rPr>
              <w:t>2018-19</w:t>
            </w:r>
          </w:p>
        </w:tc>
        <w:tc>
          <w:tcPr>
            <w:tcW w:w="479" w:type="pct"/>
            <w:tcBorders>
              <w:top w:val="single" w:sz="4" w:space="0" w:color="auto"/>
              <w:bottom w:val="single" w:sz="4" w:space="0" w:color="auto"/>
            </w:tcBorders>
            <w:vAlign w:val="bottom"/>
          </w:tcPr>
          <w:p w14:paraId="48B81A19" w14:textId="77777777" w:rsidR="00023D19" w:rsidRDefault="00023D19" w:rsidP="00902C23">
            <w:pPr>
              <w:pStyle w:val="TableHeading"/>
              <w:jc w:val="center"/>
              <w:rPr>
                <w:sz w:val="19"/>
                <w:szCs w:val="19"/>
              </w:rPr>
            </w:pPr>
            <w:r>
              <w:rPr>
                <w:sz w:val="19"/>
                <w:szCs w:val="19"/>
              </w:rPr>
              <w:t>2019-20</w:t>
            </w:r>
          </w:p>
        </w:tc>
        <w:tc>
          <w:tcPr>
            <w:tcW w:w="1138" w:type="pct"/>
            <w:tcBorders>
              <w:top w:val="single" w:sz="4" w:space="0" w:color="auto"/>
              <w:bottom w:val="single" w:sz="4" w:space="0" w:color="auto"/>
            </w:tcBorders>
          </w:tcPr>
          <w:p w14:paraId="59CE151C" w14:textId="77777777" w:rsidR="00023D19" w:rsidRDefault="00023D19" w:rsidP="00902C23">
            <w:pPr>
              <w:pStyle w:val="TableHeading"/>
              <w:jc w:val="center"/>
              <w:rPr>
                <w:sz w:val="19"/>
                <w:szCs w:val="19"/>
              </w:rPr>
            </w:pPr>
            <w:r>
              <w:rPr>
                <w:sz w:val="19"/>
                <w:szCs w:val="19"/>
              </w:rPr>
              <w:t>2020-21</w:t>
            </w:r>
          </w:p>
        </w:tc>
      </w:tr>
      <w:tr w:rsidR="00023D19" w:rsidRPr="0041543F" w14:paraId="49EDF257" w14:textId="77777777" w:rsidTr="00902C23">
        <w:trPr>
          <w:cantSplit/>
          <w:trHeight w:val="20"/>
        </w:trPr>
        <w:tc>
          <w:tcPr>
            <w:tcW w:w="1039" w:type="pct"/>
            <w:vMerge w:val="restart"/>
            <w:tcBorders>
              <w:top w:val="single" w:sz="4" w:space="0" w:color="auto"/>
              <w:left w:val="single" w:sz="4" w:space="0" w:color="auto"/>
              <w:right w:val="single" w:sz="4" w:space="0" w:color="auto"/>
            </w:tcBorders>
          </w:tcPr>
          <w:p w14:paraId="4E279D4D" w14:textId="77777777" w:rsidR="00023D19" w:rsidRPr="002B6ECA" w:rsidRDefault="00023D19" w:rsidP="00902C23">
            <w:pPr>
              <w:pStyle w:val="TableHeading"/>
              <w:jc w:val="left"/>
              <w:rPr>
                <w:b w:val="0"/>
                <w:sz w:val="19"/>
                <w:szCs w:val="19"/>
              </w:rPr>
            </w:pPr>
            <w:r w:rsidRPr="002B6ECA">
              <w:rPr>
                <w:b w:val="0"/>
                <w:sz w:val="19"/>
                <w:szCs w:val="19"/>
              </w:rPr>
              <w:t xml:space="preserve">What did CEW contribute to hydraulic diversity within weir pools? </w:t>
            </w:r>
          </w:p>
        </w:tc>
        <w:tc>
          <w:tcPr>
            <w:tcW w:w="4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0CA6DC9" w14:textId="77777777" w:rsidR="00023D19" w:rsidRPr="00065526" w:rsidRDefault="00023D19" w:rsidP="00902C23">
            <w:pPr>
              <w:pStyle w:val="TableHeading"/>
              <w:jc w:val="center"/>
              <w:rPr>
                <w:b w:val="0"/>
                <w:sz w:val="18"/>
                <w:szCs w:val="19"/>
              </w:rPr>
            </w:pPr>
            <w:r w:rsidRPr="00065526">
              <w:rPr>
                <w:b w:val="0"/>
                <w:sz w:val="18"/>
                <w:szCs w:val="19"/>
              </w:rPr>
              <w:t>13 km</w:t>
            </w:r>
            <w:r>
              <w:rPr>
                <w:b w:val="0"/>
                <w:sz w:val="18"/>
                <w:szCs w:val="19"/>
              </w:rPr>
              <w:t>, 4%</w:t>
            </w:r>
            <w:r w:rsidRPr="00065526">
              <w:rPr>
                <w:b w:val="0"/>
                <w:sz w:val="18"/>
                <w:szCs w:val="19"/>
              </w:rPr>
              <w:t xml:space="preserve"> (17</w:t>
            </w:r>
            <w:r>
              <w:rPr>
                <w:b w:val="0"/>
                <w:sz w:val="18"/>
                <w:szCs w:val="19"/>
              </w:rPr>
              <w:t> km, 5%</w:t>
            </w:r>
            <w:r w:rsidRPr="00065526">
              <w:rPr>
                <w:b w:val="0"/>
                <w:sz w:val="18"/>
                <w:szCs w:val="19"/>
              </w:rPr>
              <w:t>)</w:t>
            </w:r>
          </w:p>
        </w:tc>
        <w:tc>
          <w:tcPr>
            <w:tcW w:w="48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0E2978D" w14:textId="77777777" w:rsidR="00023D19" w:rsidRPr="00065526" w:rsidRDefault="00023D19" w:rsidP="00902C23">
            <w:pPr>
              <w:pStyle w:val="TableHeading"/>
              <w:jc w:val="center"/>
              <w:rPr>
                <w:b w:val="0"/>
                <w:sz w:val="18"/>
                <w:szCs w:val="19"/>
              </w:rPr>
            </w:pPr>
            <w:r w:rsidRPr="00065526">
              <w:rPr>
                <w:b w:val="0"/>
                <w:sz w:val="18"/>
                <w:szCs w:val="19"/>
              </w:rPr>
              <w:t>18 km</w:t>
            </w:r>
            <w:r>
              <w:rPr>
                <w:b w:val="0"/>
                <w:sz w:val="18"/>
                <w:szCs w:val="19"/>
              </w:rPr>
              <w:t>, 5%</w:t>
            </w:r>
            <w:r w:rsidRPr="00065526">
              <w:rPr>
                <w:b w:val="0"/>
                <w:sz w:val="18"/>
                <w:szCs w:val="19"/>
              </w:rPr>
              <w:t xml:space="preserve"> (22</w:t>
            </w:r>
            <w:r>
              <w:rPr>
                <w:b w:val="0"/>
                <w:sz w:val="18"/>
                <w:szCs w:val="19"/>
              </w:rPr>
              <w:t> km, 6%</w:t>
            </w:r>
            <w:r w:rsidRPr="00065526">
              <w:rPr>
                <w:b w:val="0"/>
                <w:sz w:val="18"/>
                <w:szCs w:val="19"/>
              </w:rPr>
              <w:t>)</w:t>
            </w:r>
          </w:p>
        </w:tc>
        <w:tc>
          <w:tcPr>
            <w:tcW w:w="4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FDCECC4" w14:textId="77777777" w:rsidR="00023D19" w:rsidRPr="00065526" w:rsidRDefault="00023D19" w:rsidP="00902C23">
            <w:pPr>
              <w:pStyle w:val="TableHeading"/>
              <w:jc w:val="center"/>
              <w:rPr>
                <w:b w:val="0"/>
                <w:sz w:val="18"/>
                <w:szCs w:val="19"/>
              </w:rPr>
            </w:pPr>
            <w:r w:rsidRPr="00065526">
              <w:rPr>
                <w:b w:val="0"/>
                <w:sz w:val="18"/>
                <w:szCs w:val="19"/>
              </w:rPr>
              <w:t>20 km</w:t>
            </w:r>
            <w:r>
              <w:rPr>
                <w:b w:val="0"/>
                <w:sz w:val="18"/>
                <w:szCs w:val="19"/>
              </w:rPr>
              <w:t>, 6%</w:t>
            </w:r>
            <w:r w:rsidRPr="00065526">
              <w:rPr>
                <w:b w:val="0"/>
                <w:sz w:val="18"/>
                <w:szCs w:val="19"/>
              </w:rPr>
              <w:t xml:space="preserve"> (53</w:t>
            </w:r>
            <w:r>
              <w:rPr>
                <w:b w:val="0"/>
                <w:sz w:val="18"/>
                <w:szCs w:val="19"/>
              </w:rPr>
              <w:t> km, 15%</w:t>
            </w:r>
            <w:r w:rsidRPr="00065526">
              <w:rPr>
                <w:b w:val="0"/>
                <w:sz w:val="18"/>
                <w:szCs w:val="19"/>
              </w:rPr>
              <w:t>)</w:t>
            </w:r>
          </w:p>
        </w:tc>
        <w:tc>
          <w:tcPr>
            <w:tcW w:w="461" w:type="pct"/>
            <w:tcBorders>
              <w:top w:val="single" w:sz="4" w:space="0" w:color="auto"/>
              <w:left w:val="single" w:sz="4" w:space="0" w:color="auto"/>
              <w:bottom w:val="single" w:sz="4" w:space="0" w:color="auto"/>
              <w:right w:val="single" w:sz="4" w:space="0" w:color="auto"/>
            </w:tcBorders>
            <w:shd w:val="clear" w:color="auto" w:fill="70AD47" w:themeFill="accent6"/>
          </w:tcPr>
          <w:p w14:paraId="7973EE4C" w14:textId="77777777" w:rsidR="00023D19" w:rsidRPr="00065526" w:rsidRDefault="00023D19" w:rsidP="00902C23">
            <w:pPr>
              <w:pStyle w:val="TableHeading"/>
              <w:jc w:val="center"/>
              <w:rPr>
                <w:b w:val="0"/>
                <w:sz w:val="18"/>
                <w:szCs w:val="19"/>
              </w:rPr>
            </w:pPr>
            <w:r w:rsidRPr="00065526">
              <w:rPr>
                <w:b w:val="0"/>
                <w:sz w:val="18"/>
                <w:szCs w:val="19"/>
              </w:rPr>
              <w:t>36 km</w:t>
            </w:r>
            <w:r>
              <w:rPr>
                <w:b w:val="0"/>
                <w:sz w:val="18"/>
                <w:szCs w:val="19"/>
              </w:rPr>
              <w:t>, 10%</w:t>
            </w:r>
            <w:r w:rsidRPr="00065526">
              <w:rPr>
                <w:b w:val="0"/>
                <w:sz w:val="18"/>
                <w:szCs w:val="19"/>
              </w:rPr>
              <w:t xml:space="preserve"> (49</w:t>
            </w:r>
            <w:r>
              <w:rPr>
                <w:b w:val="0"/>
                <w:sz w:val="18"/>
                <w:szCs w:val="19"/>
              </w:rPr>
              <w:t> km, 14%</w:t>
            </w:r>
            <w:r w:rsidRPr="00065526">
              <w:rPr>
                <w:b w:val="0"/>
                <w:sz w:val="18"/>
                <w:szCs w:val="19"/>
              </w:rPr>
              <w:t>)</w:t>
            </w:r>
          </w:p>
        </w:tc>
        <w:tc>
          <w:tcPr>
            <w:tcW w:w="48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F89C44E" w14:textId="77777777" w:rsidR="00023D19" w:rsidRPr="007770BB" w:rsidRDefault="00023D19" w:rsidP="00902C23">
            <w:pPr>
              <w:pStyle w:val="TableHeading"/>
              <w:jc w:val="left"/>
              <w:rPr>
                <w:b w:val="0"/>
                <w:sz w:val="19"/>
                <w:szCs w:val="19"/>
              </w:rPr>
            </w:pPr>
            <w:r>
              <w:rPr>
                <w:b w:val="0"/>
                <w:sz w:val="19"/>
                <w:szCs w:val="19"/>
              </w:rPr>
              <w:t>15 km, 4% (19 km, 6%)</w:t>
            </w:r>
          </w:p>
        </w:tc>
        <w:tc>
          <w:tcPr>
            <w:tcW w:w="479" w:type="pct"/>
            <w:tcBorders>
              <w:top w:val="single" w:sz="4" w:space="0" w:color="auto"/>
              <w:left w:val="single" w:sz="4" w:space="0" w:color="auto"/>
              <w:bottom w:val="single" w:sz="4" w:space="0" w:color="auto"/>
              <w:right w:val="single" w:sz="4" w:space="0" w:color="auto"/>
            </w:tcBorders>
            <w:shd w:val="clear" w:color="auto" w:fill="70AD47" w:themeFill="accent6"/>
          </w:tcPr>
          <w:p w14:paraId="133CD75B" w14:textId="77777777" w:rsidR="00023D19" w:rsidRDefault="00023D19" w:rsidP="00902C23">
            <w:pPr>
              <w:pStyle w:val="TableHeading"/>
              <w:jc w:val="center"/>
              <w:rPr>
                <w:b w:val="0"/>
                <w:sz w:val="19"/>
                <w:szCs w:val="19"/>
              </w:rPr>
            </w:pPr>
            <w:r>
              <w:rPr>
                <w:b w:val="0"/>
                <w:sz w:val="19"/>
                <w:szCs w:val="19"/>
              </w:rPr>
              <w:t>33 km, 10% (73 km, 22%)</w:t>
            </w:r>
          </w:p>
        </w:tc>
        <w:tc>
          <w:tcPr>
            <w:tcW w:w="1138" w:type="pct"/>
            <w:tcBorders>
              <w:top w:val="single" w:sz="4" w:space="0" w:color="auto"/>
              <w:left w:val="single" w:sz="4" w:space="0" w:color="auto"/>
              <w:bottom w:val="single" w:sz="4" w:space="0" w:color="auto"/>
              <w:right w:val="single" w:sz="4" w:space="0" w:color="auto"/>
            </w:tcBorders>
            <w:shd w:val="clear" w:color="auto" w:fill="70AD47" w:themeFill="accent6"/>
          </w:tcPr>
          <w:p w14:paraId="201E6AA5" w14:textId="77777777" w:rsidR="00023D19" w:rsidRPr="00CE0940" w:rsidRDefault="00023D19" w:rsidP="00902C23">
            <w:pPr>
              <w:pStyle w:val="TableHeading"/>
              <w:jc w:val="center"/>
              <w:rPr>
                <w:b w:val="0"/>
                <w:sz w:val="18"/>
                <w:szCs w:val="19"/>
              </w:rPr>
            </w:pPr>
            <w:r>
              <w:rPr>
                <w:b w:val="0"/>
                <w:sz w:val="18"/>
                <w:szCs w:val="19"/>
              </w:rPr>
              <w:t>An additional 31</w:t>
            </w:r>
            <w:r w:rsidRPr="00CE0940">
              <w:rPr>
                <w:b w:val="0"/>
                <w:sz w:val="18"/>
                <w:szCs w:val="19"/>
              </w:rPr>
              <w:t xml:space="preserve"> km or </w:t>
            </w:r>
            <w:r>
              <w:rPr>
                <w:b w:val="0"/>
                <w:sz w:val="18"/>
                <w:szCs w:val="19"/>
              </w:rPr>
              <w:t>9</w:t>
            </w:r>
            <w:r w:rsidRPr="00CE0940">
              <w:rPr>
                <w:b w:val="0"/>
                <w:sz w:val="18"/>
                <w:szCs w:val="19"/>
              </w:rPr>
              <w:t>% of lotic conditions created by CEW for a</w:t>
            </w:r>
            <w:r>
              <w:rPr>
                <w:b w:val="0"/>
                <w:sz w:val="18"/>
                <w:szCs w:val="19"/>
              </w:rPr>
              <w:t>t least 30 days (An additional 8</w:t>
            </w:r>
            <w:r w:rsidRPr="00CE0940">
              <w:rPr>
                <w:b w:val="0"/>
                <w:sz w:val="18"/>
                <w:szCs w:val="19"/>
              </w:rPr>
              <w:t>4 km or 2</w:t>
            </w:r>
            <w:r>
              <w:rPr>
                <w:b w:val="0"/>
                <w:sz w:val="18"/>
                <w:szCs w:val="19"/>
              </w:rPr>
              <w:t>5</w:t>
            </w:r>
            <w:r w:rsidRPr="00CE0940">
              <w:rPr>
                <w:b w:val="0"/>
                <w:sz w:val="18"/>
                <w:szCs w:val="19"/>
              </w:rPr>
              <w:t>% for at least 14 days</w:t>
            </w:r>
            <w:r>
              <w:rPr>
                <w:b w:val="0"/>
                <w:sz w:val="19"/>
                <w:szCs w:val="19"/>
              </w:rPr>
              <w:t>)</w:t>
            </w:r>
          </w:p>
        </w:tc>
      </w:tr>
      <w:tr w:rsidR="00023D19" w:rsidRPr="0041543F" w14:paraId="6449A171" w14:textId="77777777" w:rsidTr="00902C23">
        <w:trPr>
          <w:cantSplit/>
          <w:trHeight w:val="20"/>
        </w:trPr>
        <w:tc>
          <w:tcPr>
            <w:tcW w:w="1039" w:type="pct"/>
            <w:vMerge/>
            <w:tcBorders>
              <w:left w:val="single" w:sz="4" w:space="0" w:color="auto"/>
              <w:bottom w:val="single" w:sz="4" w:space="0" w:color="auto"/>
              <w:right w:val="single" w:sz="4" w:space="0" w:color="auto"/>
            </w:tcBorders>
          </w:tcPr>
          <w:p w14:paraId="4876C880" w14:textId="77777777" w:rsidR="00023D19" w:rsidRPr="002B6ECA" w:rsidRDefault="00023D19" w:rsidP="00902C23">
            <w:pPr>
              <w:pStyle w:val="TableHeading"/>
              <w:jc w:val="left"/>
              <w:rPr>
                <w:b w:val="0"/>
                <w:sz w:val="19"/>
                <w:szCs w:val="19"/>
              </w:rPr>
            </w:pPr>
          </w:p>
        </w:tc>
        <w:tc>
          <w:tcPr>
            <w:tcW w:w="3961" w:type="pct"/>
            <w:gridSpan w:val="7"/>
            <w:tcBorders>
              <w:top w:val="single" w:sz="4" w:space="0" w:color="auto"/>
              <w:left w:val="single" w:sz="4" w:space="0" w:color="auto"/>
              <w:bottom w:val="single" w:sz="4" w:space="0" w:color="auto"/>
              <w:right w:val="single" w:sz="4" w:space="0" w:color="auto"/>
            </w:tcBorders>
            <w:shd w:val="clear" w:color="auto" w:fill="FFFFFF" w:themeFill="background1"/>
          </w:tcPr>
          <w:p w14:paraId="0FF6A8A0" w14:textId="77777777" w:rsidR="00023D19" w:rsidRPr="00637710" w:rsidRDefault="00023D19" w:rsidP="00902C23">
            <w:pPr>
              <w:pStyle w:val="TableHeading"/>
              <w:rPr>
                <w:b w:val="0"/>
                <w:sz w:val="19"/>
                <w:szCs w:val="19"/>
              </w:rPr>
            </w:pPr>
            <w:r w:rsidRPr="00637710">
              <w:rPr>
                <w:b w:val="0"/>
                <w:sz w:val="19"/>
                <w:szCs w:val="19"/>
              </w:rPr>
              <w:t xml:space="preserve">CEW provided </w:t>
            </w:r>
            <w:r>
              <w:rPr>
                <w:b w:val="0"/>
                <w:sz w:val="19"/>
                <w:szCs w:val="19"/>
              </w:rPr>
              <w:t xml:space="preserve">a moderate contribute </w:t>
            </w:r>
            <w:r w:rsidRPr="00637710">
              <w:rPr>
                <w:b w:val="0"/>
                <w:sz w:val="19"/>
                <w:szCs w:val="19"/>
              </w:rPr>
              <w:t>towards increasing</w:t>
            </w:r>
            <w:r>
              <w:rPr>
                <w:b w:val="0"/>
                <w:sz w:val="19"/>
                <w:szCs w:val="19"/>
              </w:rPr>
              <w:t xml:space="preserve"> lotic habitat in the LMR in 2020-21, similar to 2017-18 and 2019-20 for the period of one month, but the highest peak increase of 84 km over 14 days. </w:t>
            </w:r>
          </w:p>
          <w:p w14:paraId="04AFB89A" w14:textId="77777777" w:rsidR="00023D19" w:rsidRPr="00637710" w:rsidRDefault="00023D19" w:rsidP="00902C23">
            <w:pPr>
              <w:pStyle w:val="TableHeading"/>
              <w:rPr>
                <w:b w:val="0"/>
                <w:sz w:val="19"/>
                <w:szCs w:val="19"/>
              </w:rPr>
            </w:pPr>
            <w:r w:rsidRPr="00637710">
              <w:rPr>
                <w:b w:val="0"/>
                <w:sz w:val="19"/>
                <w:szCs w:val="19"/>
              </w:rPr>
              <w:t>Length of river with lotic conditions (velocity &gt;0.3 m/s) has been used to represent hydraulic diversity. If there is some fast</w:t>
            </w:r>
            <w:r>
              <w:rPr>
                <w:b w:val="0"/>
                <w:sz w:val="19"/>
                <w:szCs w:val="19"/>
              </w:rPr>
              <w:t>-</w:t>
            </w:r>
            <w:r w:rsidRPr="00637710">
              <w:rPr>
                <w:b w:val="0"/>
                <w:sz w:val="19"/>
                <w:szCs w:val="19"/>
              </w:rPr>
              <w:t>flowing water, it is expected there will be greater hydraulic diversity due to changes in habitat complexity (bends, backwaters, benches, etc.). Length of river with lotic conditions exceeded for 30 days over the year is presented, and 14 days in brackets</w:t>
            </w:r>
            <w:r>
              <w:rPr>
                <w:b w:val="0"/>
                <w:sz w:val="19"/>
                <w:szCs w:val="19"/>
              </w:rPr>
              <w:t xml:space="preserve">. </w:t>
            </w:r>
            <w:r w:rsidRPr="00E55C9C">
              <w:rPr>
                <w:b w:val="0"/>
                <w:sz w:val="19"/>
                <w:szCs w:val="19"/>
              </w:rPr>
              <w:t xml:space="preserve">The time periods represent a number of flow-related ecological </w:t>
            </w:r>
            <w:r>
              <w:rPr>
                <w:b w:val="0"/>
                <w:sz w:val="19"/>
                <w:szCs w:val="19"/>
              </w:rPr>
              <w:t>or life-history processes that c</w:t>
            </w:r>
            <w:r w:rsidRPr="00E55C9C">
              <w:rPr>
                <w:b w:val="0"/>
                <w:sz w:val="19"/>
                <w:szCs w:val="19"/>
              </w:rPr>
              <w:t>ould occur over periods of ~2</w:t>
            </w:r>
            <w:r>
              <w:rPr>
                <w:b w:val="0"/>
                <w:sz w:val="19"/>
                <w:szCs w:val="19"/>
              </w:rPr>
              <w:t>−</w:t>
            </w:r>
            <w:r w:rsidRPr="00E55C9C">
              <w:rPr>
                <w:b w:val="0"/>
                <w:sz w:val="19"/>
                <w:szCs w:val="19"/>
              </w:rPr>
              <w:t>4 weeks.</w:t>
            </w:r>
            <w:r>
              <w:rPr>
                <w:b w:val="0"/>
                <w:sz w:val="19"/>
                <w:szCs w:val="19"/>
              </w:rPr>
              <w:t xml:space="preserve"> </w:t>
            </w:r>
            <w:r w:rsidRPr="00637710">
              <w:rPr>
                <w:b w:val="0"/>
                <w:sz w:val="19"/>
                <w:szCs w:val="19"/>
              </w:rPr>
              <w:t>Total length of river assessed in the LMR = 345</w:t>
            </w:r>
            <w:r>
              <w:rPr>
                <w:b w:val="0"/>
                <w:sz w:val="19"/>
                <w:szCs w:val="19"/>
              </w:rPr>
              <w:t> </w:t>
            </w:r>
            <w:r w:rsidRPr="00637710">
              <w:rPr>
                <w:b w:val="0"/>
                <w:sz w:val="19"/>
                <w:szCs w:val="19"/>
              </w:rPr>
              <w:t>km.</w:t>
            </w:r>
          </w:p>
        </w:tc>
      </w:tr>
      <w:tr w:rsidR="00023D19" w:rsidRPr="0041543F" w14:paraId="1B8BDD40" w14:textId="77777777" w:rsidTr="00902C23">
        <w:trPr>
          <w:cantSplit/>
          <w:trHeight w:val="20"/>
        </w:trPr>
        <w:tc>
          <w:tcPr>
            <w:tcW w:w="1039" w:type="pct"/>
            <w:vMerge w:val="restart"/>
            <w:tcBorders>
              <w:top w:val="single" w:sz="4" w:space="0" w:color="auto"/>
              <w:left w:val="single" w:sz="4" w:space="0" w:color="auto"/>
              <w:right w:val="single" w:sz="4" w:space="0" w:color="auto"/>
            </w:tcBorders>
          </w:tcPr>
          <w:p w14:paraId="77C36069" w14:textId="77777777" w:rsidR="00023D19" w:rsidRPr="0041543F" w:rsidRDefault="00023D19" w:rsidP="00902C23">
            <w:pPr>
              <w:rPr>
                <w:sz w:val="19"/>
                <w:szCs w:val="19"/>
              </w:rPr>
            </w:pPr>
            <w:r w:rsidRPr="0041543F">
              <w:rPr>
                <w:sz w:val="19"/>
                <w:szCs w:val="19"/>
              </w:rPr>
              <w:t>What did CEW contribute to variability in water levels within weir pools?</w:t>
            </w:r>
            <w:r w:rsidRPr="0041543F">
              <w:rPr>
                <w:sz w:val="19"/>
                <w:szCs w:val="19"/>
                <w:vertAlign w:val="superscript"/>
              </w:rPr>
              <w:t xml:space="preserve"> </w:t>
            </w:r>
          </w:p>
        </w:tc>
        <w:tc>
          <w:tcPr>
            <w:tcW w:w="4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D569FB9" w14:textId="77777777" w:rsidR="00023D19" w:rsidRPr="00065526" w:rsidRDefault="00023D19" w:rsidP="00902C23">
            <w:pPr>
              <w:rPr>
                <w:sz w:val="18"/>
                <w:szCs w:val="19"/>
              </w:rPr>
            </w:pPr>
            <w:r>
              <w:rPr>
                <w:sz w:val="18"/>
                <w:szCs w:val="19"/>
              </w:rPr>
              <w:t>0.03 </w:t>
            </w:r>
            <w:r w:rsidRPr="00065526">
              <w:rPr>
                <w:sz w:val="18"/>
                <w:szCs w:val="19"/>
              </w:rPr>
              <w:t>m</w:t>
            </w:r>
          </w:p>
        </w:tc>
        <w:tc>
          <w:tcPr>
            <w:tcW w:w="48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F3A2E30" w14:textId="77777777" w:rsidR="00023D19" w:rsidRPr="00065526" w:rsidRDefault="00023D19" w:rsidP="00902C23">
            <w:pPr>
              <w:rPr>
                <w:sz w:val="18"/>
                <w:szCs w:val="19"/>
              </w:rPr>
            </w:pPr>
            <w:r w:rsidRPr="00065526">
              <w:rPr>
                <w:sz w:val="18"/>
                <w:szCs w:val="19"/>
              </w:rPr>
              <w:t>0</w:t>
            </w:r>
            <w:r>
              <w:rPr>
                <w:sz w:val="18"/>
                <w:szCs w:val="19"/>
              </w:rPr>
              <w:t>.06</w:t>
            </w:r>
            <w:r w:rsidRPr="00065526">
              <w:rPr>
                <w:sz w:val="18"/>
                <w:szCs w:val="19"/>
              </w:rPr>
              <w:t xml:space="preserve"> m</w:t>
            </w:r>
          </w:p>
        </w:tc>
        <w:tc>
          <w:tcPr>
            <w:tcW w:w="4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60AA0D6" w14:textId="77777777" w:rsidR="00023D19" w:rsidRPr="00637710" w:rsidRDefault="00023D19" w:rsidP="00902C23">
            <w:pPr>
              <w:rPr>
                <w:sz w:val="19"/>
                <w:szCs w:val="19"/>
              </w:rPr>
            </w:pPr>
            <w:r>
              <w:rPr>
                <w:sz w:val="19"/>
                <w:szCs w:val="19"/>
              </w:rPr>
              <w:t>0.01</w:t>
            </w:r>
            <w:r w:rsidRPr="00637710">
              <w:rPr>
                <w:sz w:val="19"/>
                <w:szCs w:val="19"/>
              </w:rPr>
              <w:t> m</w:t>
            </w:r>
          </w:p>
        </w:tc>
        <w:tc>
          <w:tcPr>
            <w:tcW w:w="461" w:type="pct"/>
            <w:tcBorders>
              <w:top w:val="single" w:sz="4" w:space="0" w:color="auto"/>
              <w:left w:val="single" w:sz="4" w:space="0" w:color="auto"/>
              <w:bottom w:val="single" w:sz="4" w:space="0" w:color="auto"/>
              <w:right w:val="single" w:sz="4" w:space="0" w:color="auto"/>
            </w:tcBorders>
            <w:shd w:val="clear" w:color="auto" w:fill="70AD47" w:themeFill="accent6"/>
          </w:tcPr>
          <w:p w14:paraId="30C8EA77" w14:textId="77777777" w:rsidR="00023D19" w:rsidRPr="00637710" w:rsidRDefault="00023D19" w:rsidP="00902C23">
            <w:pPr>
              <w:rPr>
                <w:sz w:val="19"/>
                <w:szCs w:val="19"/>
              </w:rPr>
            </w:pPr>
            <w:r w:rsidRPr="00637710">
              <w:rPr>
                <w:sz w:val="19"/>
                <w:szCs w:val="19"/>
              </w:rPr>
              <w:t>0</w:t>
            </w:r>
            <w:r>
              <w:rPr>
                <w:sz w:val="19"/>
                <w:szCs w:val="19"/>
              </w:rPr>
              <w:t>.14</w:t>
            </w:r>
            <w:r w:rsidRPr="00637710">
              <w:rPr>
                <w:sz w:val="19"/>
                <w:szCs w:val="19"/>
              </w:rPr>
              <w:t xml:space="preserve"> m</w:t>
            </w:r>
          </w:p>
        </w:tc>
        <w:tc>
          <w:tcPr>
            <w:tcW w:w="48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6D79DF7" w14:textId="77777777" w:rsidR="00023D19" w:rsidRPr="0041543F" w:rsidRDefault="00023D19" w:rsidP="00902C23">
            <w:pPr>
              <w:rPr>
                <w:sz w:val="19"/>
                <w:szCs w:val="19"/>
              </w:rPr>
            </w:pPr>
            <w:r>
              <w:rPr>
                <w:sz w:val="19"/>
                <w:szCs w:val="19"/>
              </w:rPr>
              <w:t>0.09 m</w:t>
            </w:r>
          </w:p>
        </w:tc>
        <w:tc>
          <w:tcPr>
            <w:tcW w:w="47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8D3D231" w14:textId="77777777" w:rsidR="00023D19" w:rsidRDefault="00023D19" w:rsidP="00902C23">
            <w:pPr>
              <w:rPr>
                <w:sz w:val="19"/>
                <w:szCs w:val="19"/>
              </w:rPr>
            </w:pPr>
            <w:r>
              <w:rPr>
                <w:sz w:val="19"/>
                <w:szCs w:val="19"/>
              </w:rPr>
              <w:t>0.06 m</w:t>
            </w:r>
          </w:p>
        </w:tc>
        <w:tc>
          <w:tcPr>
            <w:tcW w:w="1138" w:type="pct"/>
            <w:tcBorders>
              <w:top w:val="single" w:sz="4" w:space="0" w:color="auto"/>
              <w:left w:val="single" w:sz="4" w:space="0" w:color="auto"/>
              <w:bottom w:val="single" w:sz="4" w:space="0" w:color="auto"/>
              <w:right w:val="single" w:sz="4" w:space="0" w:color="auto"/>
            </w:tcBorders>
            <w:shd w:val="clear" w:color="auto" w:fill="70AD47" w:themeFill="accent6"/>
          </w:tcPr>
          <w:p w14:paraId="313363E4" w14:textId="77777777" w:rsidR="00023D19" w:rsidRDefault="00023D19" w:rsidP="00902C23">
            <w:pPr>
              <w:rPr>
                <w:sz w:val="19"/>
                <w:szCs w:val="19"/>
              </w:rPr>
            </w:pPr>
            <w:r>
              <w:rPr>
                <w:sz w:val="19"/>
                <w:szCs w:val="19"/>
              </w:rPr>
              <w:t>Interquartile range (IQR) in water level increased by 0.12 m due to CEW in the tailwaters (i.e. just downstream of each weir) across Weir Pools 1–5.</w:t>
            </w:r>
          </w:p>
        </w:tc>
      </w:tr>
      <w:tr w:rsidR="00023D19" w:rsidRPr="0041543F" w14:paraId="3FA9027E" w14:textId="77777777" w:rsidTr="00902C23">
        <w:trPr>
          <w:cantSplit/>
          <w:trHeight w:val="20"/>
        </w:trPr>
        <w:tc>
          <w:tcPr>
            <w:tcW w:w="1039" w:type="pct"/>
            <w:vMerge/>
            <w:tcBorders>
              <w:left w:val="single" w:sz="4" w:space="0" w:color="auto"/>
              <w:bottom w:val="single" w:sz="4" w:space="0" w:color="auto"/>
              <w:right w:val="single" w:sz="4" w:space="0" w:color="auto"/>
            </w:tcBorders>
          </w:tcPr>
          <w:p w14:paraId="5FB3954C" w14:textId="77777777" w:rsidR="00023D19" w:rsidRPr="0041543F" w:rsidRDefault="00023D19" w:rsidP="00902C23">
            <w:pPr>
              <w:rPr>
                <w:sz w:val="19"/>
                <w:szCs w:val="19"/>
              </w:rPr>
            </w:pPr>
          </w:p>
        </w:tc>
        <w:tc>
          <w:tcPr>
            <w:tcW w:w="3961" w:type="pct"/>
            <w:gridSpan w:val="7"/>
            <w:tcBorders>
              <w:left w:val="single" w:sz="4" w:space="0" w:color="auto"/>
              <w:bottom w:val="single" w:sz="4" w:space="0" w:color="auto"/>
              <w:right w:val="single" w:sz="4" w:space="0" w:color="auto"/>
            </w:tcBorders>
            <w:shd w:val="clear" w:color="auto" w:fill="FFFFFF" w:themeFill="background1"/>
          </w:tcPr>
          <w:p w14:paraId="07737588" w14:textId="77777777" w:rsidR="00023D19" w:rsidRPr="00637710" w:rsidRDefault="00023D19" w:rsidP="00902C23">
            <w:pPr>
              <w:rPr>
                <w:sz w:val="19"/>
                <w:szCs w:val="19"/>
              </w:rPr>
            </w:pPr>
            <w:r w:rsidRPr="00637710">
              <w:rPr>
                <w:sz w:val="19"/>
                <w:szCs w:val="19"/>
              </w:rPr>
              <w:t>CEW increased water level variability (IQR) in the tailwaters of weir pools</w:t>
            </w:r>
            <w:r>
              <w:rPr>
                <w:sz w:val="19"/>
                <w:szCs w:val="19"/>
              </w:rPr>
              <w:t xml:space="preserve"> during each year of the assessment. 2020-21 had the second greatest increase in variability, slightly below 2017-18</w:t>
            </w:r>
            <w:r w:rsidRPr="00637710">
              <w:rPr>
                <w:sz w:val="19"/>
                <w:szCs w:val="19"/>
              </w:rPr>
              <w:t>.</w:t>
            </w:r>
          </w:p>
          <w:p w14:paraId="73708B9D" w14:textId="77777777" w:rsidR="00023D19" w:rsidRPr="00637710" w:rsidRDefault="00023D19" w:rsidP="00902C23">
            <w:pPr>
              <w:rPr>
                <w:sz w:val="19"/>
                <w:szCs w:val="19"/>
              </w:rPr>
            </w:pPr>
            <w:r w:rsidRPr="00637710">
              <w:rPr>
                <w:sz w:val="19"/>
                <w:szCs w:val="19"/>
              </w:rPr>
              <w:t>IQR is a measure of variability, as the difference between the 75</w:t>
            </w:r>
            <w:r w:rsidRPr="00637710">
              <w:rPr>
                <w:sz w:val="19"/>
                <w:szCs w:val="19"/>
                <w:vertAlign w:val="superscript"/>
              </w:rPr>
              <w:t>th</w:t>
            </w:r>
            <w:r w:rsidRPr="00637710">
              <w:rPr>
                <w:sz w:val="19"/>
                <w:szCs w:val="19"/>
              </w:rPr>
              <w:t xml:space="preserve"> and 25</w:t>
            </w:r>
            <w:r w:rsidRPr="00637710">
              <w:rPr>
                <w:sz w:val="19"/>
                <w:szCs w:val="19"/>
                <w:vertAlign w:val="superscript"/>
              </w:rPr>
              <w:t>th</w:t>
            </w:r>
            <w:r w:rsidRPr="00637710">
              <w:rPr>
                <w:sz w:val="19"/>
                <w:szCs w:val="19"/>
              </w:rPr>
              <w:t xml:space="preserve"> percentile values </w:t>
            </w:r>
            <w:r>
              <w:rPr>
                <w:sz w:val="19"/>
                <w:szCs w:val="19"/>
              </w:rPr>
              <w:t xml:space="preserve">for water level </w:t>
            </w:r>
            <w:r w:rsidRPr="00637710">
              <w:rPr>
                <w:sz w:val="19"/>
                <w:szCs w:val="19"/>
              </w:rPr>
              <w:t>over the year. If the IQR increases, the variability must have increased.</w:t>
            </w:r>
          </w:p>
        </w:tc>
      </w:tr>
      <w:tr w:rsidR="00023D19" w:rsidRPr="0041543F" w14:paraId="3591F94C" w14:textId="77777777" w:rsidTr="00902C23">
        <w:trPr>
          <w:cantSplit/>
          <w:trHeight w:val="20"/>
        </w:trPr>
        <w:tc>
          <w:tcPr>
            <w:tcW w:w="1039" w:type="pct"/>
            <w:vMerge w:val="restart"/>
            <w:tcBorders>
              <w:top w:val="single" w:sz="4" w:space="0" w:color="auto"/>
              <w:left w:val="single" w:sz="4" w:space="0" w:color="auto"/>
              <w:right w:val="single" w:sz="4" w:space="0" w:color="auto"/>
            </w:tcBorders>
          </w:tcPr>
          <w:p w14:paraId="51D16A5F" w14:textId="77777777" w:rsidR="00023D19" w:rsidRPr="00E6622F" w:rsidRDefault="00023D19" w:rsidP="00902C23">
            <w:pPr>
              <w:rPr>
                <w:sz w:val="19"/>
                <w:szCs w:val="19"/>
              </w:rPr>
            </w:pPr>
            <w:r w:rsidRPr="00E6622F">
              <w:rPr>
                <w:sz w:val="19"/>
                <w:szCs w:val="19"/>
              </w:rPr>
              <w:lastRenderedPageBreak/>
              <w:t>What did CEW contribute to hydrological connectivity?</w:t>
            </w:r>
          </w:p>
        </w:tc>
        <w:tc>
          <w:tcPr>
            <w:tcW w:w="4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9EAAD1B" w14:textId="77777777" w:rsidR="00023D19" w:rsidRPr="00B07E76" w:rsidRDefault="00023D19" w:rsidP="00902C23">
            <w:pPr>
              <w:spacing w:after="660"/>
              <w:jc w:val="center"/>
              <w:rPr>
                <w:sz w:val="16"/>
                <w:szCs w:val="18"/>
              </w:rPr>
            </w:pPr>
            <w:r w:rsidRPr="00B07E76">
              <w:rPr>
                <w:sz w:val="16"/>
                <w:szCs w:val="18"/>
              </w:rPr>
              <w:t>28 Ha</w:t>
            </w:r>
          </w:p>
          <w:p w14:paraId="6AFFC28B" w14:textId="77777777" w:rsidR="00023D19" w:rsidRPr="00B07E76" w:rsidRDefault="00023D19" w:rsidP="00902C23">
            <w:pPr>
              <w:jc w:val="center"/>
              <w:rPr>
                <w:sz w:val="16"/>
                <w:szCs w:val="18"/>
              </w:rPr>
            </w:pPr>
            <w:r w:rsidRPr="00B07E76">
              <w:rPr>
                <w:sz w:val="16"/>
                <w:szCs w:val="18"/>
              </w:rPr>
              <w:t>20%</w:t>
            </w:r>
          </w:p>
          <w:p w14:paraId="70D73140" w14:textId="77777777" w:rsidR="00023D19" w:rsidRPr="00B07E76" w:rsidRDefault="00023D19" w:rsidP="00902C23">
            <w:pPr>
              <w:jc w:val="center"/>
              <w:rPr>
                <w:sz w:val="16"/>
                <w:szCs w:val="18"/>
              </w:rPr>
            </w:pPr>
            <w:r w:rsidRPr="00B07E76">
              <w:rPr>
                <w:sz w:val="16"/>
                <w:szCs w:val="18"/>
              </w:rPr>
              <w:t>(26%)</w:t>
            </w:r>
          </w:p>
          <w:p w14:paraId="0A894DAD" w14:textId="5F7E531A" w:rsidR="00023D19" w:rsidRPr="00B07E76" w:rsidRDefault="00023D19" w:rsidP="00902C23">
            <w:pPr>
              <w:jc w:val="center"/>
              <w:rPr>
                <w:sz w:val="16"/>
                <w:szCs w:val="18"/>
              </w:rPr>
            </w:pPr>
            <w:r w:rsidRPr="00B07E76">
              <w:rPr>
                <w:sz w:val="16"/>
                <w:szCs w:val="18"/>
              </w:rPr>
              <w:br/>
            </w:r>
            <w:r w:rsidRPr="00B07E76">
              <w:rPr>
                <w:sz w:val="16"/>
                <w:szCs w:val="18"/>
              </w:rPr>
              <w:br/>
            </w:r>
            <w:r>
              <w:rPr>
                <w:sz w:val="16"/>
                <w:szCs w:val="18"/>
              </w:rPr>
              <w:t>7,159</w:t>
            </w:r>
            <w:r w:rsidRPr="00B07E76">
              <w:rPr>
                <w:sz w:val="16"/>
                <w:szCs w:val="18"/>
              </w:rPr>
              <w:t xml:space="preserve"> km d</w:t>
            </w:r>
            <w:r>
              <w:rPr>
                <w:sz w:val="16"/>
                <w:szCs w:val="18"/>
              </w:rPr>
              <w:t xml:space="preserve"> (41%)</w:t>
            </w:r>
          </w:p>
        </w:tc>
        <w:tc>
          <w:tcPr>
            <w:tcW w:w="481" w:type="pct"/>
            <w:tcBorders>
              <w:top w:val="single" w:sz="4" w:space="0" w:color="auto"/>
              <w:left w:val="single" w:sz="4" w:space="0" w:color="auto"/>
              <w:bottom w:val="single" w:sz="4" w:space="0" w:color="auto"/>
              <w:right w:val="single" w:sz="4" w:space="0" w:color="auto"/>
            </w:tcBorders>
            <w:shd w:val="clear" w:color="auto" w:fill="70AD47" w:themeFill="accent6"/>
          </w:tcPr>
          <w:p w14:paraId="5075AF34" w14:textId="77777777" w:rsidR="00023D19" w:rsidRPr="00B07E76" w:rsidRDefault="00023D19" w:rsidP="00902C23">
            <w:pPr>
              <w:spacing w:after="660"/>
              <w:jc w:val="center"/>
              <w:rPr>
                <w:sz w:val="16"/>
                <w:szCs w:val="18"/>
              </w:rPr>
            </w:pPr>
            <w:r w:rsidRPr="00B07E76">
              <w:rPr>
                <w:sz w:val="16"/>
                <w:szCs w:val="18"/>
              </w:rPr>
              <w:t>1,287 Ha</w:t>
            </w:r>
          </w:p>
          <w:p w14:paraId="4DCF310F" w14:textId="77777777" w:rsidR="00023D19" w:rsidRPr="00B07E76" w:rsidRDefault="00023D19" w:rsidP="00902C23">
            <w:pPr>
              <w:jc w:val="center"/>
              <w:rPr>
                <w:sz w:val="16"/>
                <w:szCs w:val="18"/>
              </w:rPr>
            </w:pPr>
            <w:r w:rsidRPr="00B07E76">
              <w:rPr>
                <w:sz w:val="16"/>
                <w:szCs w:val="18"/>
              </w:rPr>
              <w:t>37%</w:t>
            </w:r>
          </w:p>
          <w:p w14:paraId="2099FE1E" w14:textId="77777777" w:rsidR="00023D19" w:rsidRPr="00B07E76" w:rsidRDefault="00023D19" w:rsidP="00902C23">
            <w:pPr>
              <w:jc w:val="center"/>
              <w:rPr>
                <w:sz w:val="16"/>
                <w:szCs w:val="18"/>
              </w:rPr>
            </w:pPr>
            <w:r w:rsidRPr="00B07E76">
              <w:rPr>
                <w:sz w:val="16"/>
                <w:szCs w:val="18"/>
              </w:rPr>
              <w:t>(63%)</w:t>
            </w:r>
          </w:p>
          <w:p w14:paraId="4EB68D6E" w14:textId="0C46FF17" w:rsidR="00023D19" w:rsidRPr="00B07E76" w:rsidRDefault="00023D19" w:rsidP="00902C23">
            <w:pPr>
              <w:jc w:val="center"/>
              <w:rPr>
                <w:sz w:val="16"/>
                <w:szCs w:val="18"/>
              </w:rPr>
            </w:pPr>
            <w:r w:rsidRPr="00B07E76">
              <w:rPr>
                <w:sz w:val="16"/>
                <w:szCs w:val="18"/>
              </w:rPr>
              <w:br/>
            </w:r>
            <w:r w:rsidRPr="00B07E76">
              <w:rPr>
                <w:sz w:val="16"/>
                <w:szCs w:val="18"/>
              </w:rPr>
              <w:br/>
            </w:r>
            <w:r>
              <w:rPr>
                <w:sz w:val="16"/>
                <w:szCs w:val="18"/>
              </w:rPr>
              <w:t>9,036</w:t>
            </w:r>
            <w:r w:rsidRPr="00B07E76">
              <w:rPr>
                <w:sz w:val="16"/>
                <w:szCs w:val="18"/>
              </w:rPr>
              <w:t xml:space="preserve"> km d</w:t>
            </w:r>
            <w:r>
              <w:rPr>
                <w:sz w:val="16"/>
                <w:szCs w:val="18"/>
              </w:rPr>
              <w:t xml:space="preserve"> (123%)</w:t>
            </w:r>
          </w:p>
        </w:tc>
        <w:tc>
          <w:tcPr>
            <w:tcW w:w="46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C5C8835" w14:textId="77777777" w:rsidR="00023D19" w:rsidRPr="00B07E76" w:rsidRDefault="00023D19" w:rsidP="00902C23">
            <w:pPr>
              <w:spacing w:after="660"/>
              <w:jc w:val="center"/>
              <w:rPr>
                <w:sz w:val="16"/>
                <w:szCs w:val="18"/>
              </w:rPr>
            </w:pPr>
            <w:r w:rsidRPr="00B07E76">
              <w:rPr>
                <w:sz w:val="16"/>
                <w:szCs w:val="18"/>
              </w:rPr>
              <w:t>122 Ha</w:t>
            </w:r>
          </w:p>
          <w:p w14:paraId="14E22B87" w14:textId="77777777" w:rsidR="00023D19" w:rsidRPr="00B07E76" w:rsidRDefault="00023D19" w:rsidP="00902C23">
            <w:pPr>
              <w:jc w:val="center"/>
              <w:rPr>
                <w:sz w:val="16"/>
                <w:szCs w:val="18"/>
              </w:rPr>
            </w:pPr>
            <w:r w:rsidRPr="00B07E76">
              <w:rPr>
                <w:sz w:val="16"/>
                <w:szCs w:val="18"/>
              </w:rPr>
              <w:t>5%</w:t>
            </w:r>
          </w:p>
          <w:p w14:paraId="43AC9E74" w14:textId="77777777" w:rsidR="00023D19" w:rsidRPr="00B07E76" w:rsidRDefault="00023D19" w:rsidP="00902C23">
            <w:pPr>
              <w:jc w:val="center"/>
              <w:rPr>
                <w:sz w:val="16"/>
                <w:szCs w:val="18"/>
              </w:rPr>
            </w:pPr>
            <w:r w:rsidRPr="00B07E76">
              <w:rPr>
                <w:sz w:val="16"/>
                <w:szCs w:val="18"/>
              </w:rPr>
              <w:t>(7%)</w:t>
            </w:r>
          </w:p>
          <w:p w14:paraId="50479BC3" w14:textId="1AB4C563" w:rsidR="00023D19" w:rsidRDefault="00023D19" w:rsidP="00902C23">
            <w:pPr>
              <w:jc w:val="center"/>
              <w:rPr>
                <w:sz w:val="16"/>
                <w:szCs w:val="18"/>
              </w:rPr>
            </w:pPr>
            <w:r w:rsidRPr="00B07E76">
              <w:rPr>
                <w:sz w:val="16"/>
                <w:szCs w:val="18"/>
              </w:rPr>
              <w:br/>
            </w:r>
            <w:r w:rsidRPr="00B07E76">
              <w:rPr>
                <w:sz w:val="16"/>
                <w:szCs w:val="18"/>
              </w:rPr>
              <w:br/>
            </w:r>
            <w:r>
              <w:rPr>
                <w:sz w:val="16"/>
                <w:szCs w:val="18"/>
              </w:rPr>
              <w:t>6,929</w:t>
            </w:r>
            <w:r w:rsidRPr="00B07E76">
              <w:rPr>
                <w:sz w:val="16"/>
                <w:szCs w:val="18"/>
              </w:rPr>
              <w:t xml:space="preserve"> km d</w:t>
            </w:r>
          </w:p>
          <w:p w14:paraId="662F5696" w14:textId="77777777" w:rsidR="00023D19" w:rsidRPr="00B07E76" w:rsidRDefault="00023D19" w:rsidP="00FC6FCA">
            <w:pPr>
              <w:rPr>
                <w:sz w:val="16"/>
                <w:szCs w:val="18"/>
              </w:rPr>
            </w:pPr>
            <w:r>
              <w:rPr>
                <w:sz w:val="16"/>
                <w:szCs w:val="18"/>
              </w:rPr>
              <w:t xml:space="preserve"> (10%)</w:t>
            </w:r>
          </w:p>
        </w:tc>
        <w:tc>
          <w:tcPr>
            <w:tcW w:w="461" w:type="pct"/>
            <w:tcBorders>
              <w:top w:val="single" w:sz="4" w:space="0" w:color="auto"/>
              <w:left w:val="single" w:sz="4" w:space="0" w:color="auto"/>
              <w:bottom w:val="single" w:sz="4" w:space="0" w:color="auto"/>
              <w:right w:val="single" w:sz="4" w:space="0" w:color="auto"/>
            </w:tcBorders>
            <w:shd w:val="clear" w:color="auto" w:fill="70AD47" w:themeFill="accent6"/>
          </w:tcPr>
          <w:p w14:paraId="4119B506" w14:textId="77777777" w:rsidR="00023D19" w:rsidRPr="00B07E76" w:rsidRDefault="00023D19" w:rsidP="00902C23">
            <w:pPr>
              <w:spacing w:after="660"/>
              <w:jc w:val="center"/>
              <w:rPr>
                <w:sz w:val="16"/>
                <w:szCs w:val="18"/>
              </w:rPr>
            </w:pPr>
            <w:r w:rsidRPr="00B07E76">
              <w:rPr>
                <w:sz w:val="16"/>
                <w:szCs w:val="18"/>
              </w:rPr>
              <w:t>904 Ha</w:t>
            </w:r>
          </w:p>
          <w:p w14:paraId="12427CAD" w14:textId="77777777" w:rsidR="00023D19" w:rsidRPr="00B07E76" w:rsidRDefault="00023D19" w:rsidP="00902C23">
            <w:pPr>
              <w:jc w:val="center"/>
              <w:rPr>
                <w:sz w:val="16"/>
                <w:szCs w:val="18"/>
              </w:rPr>
            </w:pPr>
            <w:r w:rsidRPr="00B07E76">
              <w:rPr>
                <w:sz w:val="16"/>
                <w:szCs w:val="18"/>
              </w:rPr>
              <w:t>39%</w:t>
            </w:r>
          </w:p>
          <w:p w14:paraId="1BB5B5FE" w14:textId="77777777" w:rsidR="00023D19" w:rsidRPr="00B07E76" w:rsidRDefault="00023D19" w:rsidP="00902C23">
            <w:pPr>
              <w:jc w:val="center"/>
              <w:rPr>
                <w:sz w:val="16"/>
                <w:szCs w:val="18"/>
              </w:rPr>
            </w:pPr>
            <w:r w:rsidRPr="00B07E76">
              <w:rPr>
                <w:sz w:val="16"/>
                <w:szCs w:val="18"/>
              </w:rPr>
              <w:t>(70%)</w:t>
            </w:r>
          </w:p>
          <w:p w14:paraId="25138D25" w14:textId="24052B00" w:rsidR="00023D19" w:rsidRDefault="00023D19" w:rsidP="00902C23">
            <w:pPr>
              <w:jc w:val="center"/>
              <w:rPr>
                <w:sz w:val="16"/>
                <w:szCs w:val="18"/>
              </w:rPr>
            </w:pPr>
            <w:r w:rsidRPr="00B07E76">
              <w:rPr>
                <w:sz w:val="16"/>
                <w:szCs w:val="18"/>
              </w:rPr>
              <w:br/>
            </w:r>
            <w:r w:rsidRPr="00B07E76">
              <w:rPr>
                <w:sz w:val="16"/>
                <w:szCs w:val="18"/>
              </w:rPr>
              <w:br/>
            </w:r>
            <w:r>
              <w:rPr>
                <w:sz w:val="16"/>
                <w:szCs w:val="18"/>
              </w:rPr>
              <w:t>11,568</w:t>
            </w:r>
            <w:r w:rsidRPr="00B07E76">
              <w:rPr>
                <w:sz w:val="16"/>
                <w:szCs w:val="18"/>
              </w:rPr>
              <w:t xml:space="preserve"> km d</w:t>
            </w:r>
          </w:p>
          <w:p w14:paraId="7A1A7CEF" w14:textId="77777777" w:rsidR="00023D19" w:rsidRPr="00B07E76" w:rsidRDefault="00023D19" w:rsidP="00902C23">
            <w:pPr>
              <w:jc w:val="center"/>
              <w:rPr>
                <w:sz w:val="16"/>
                <w:szCs w:val="18"/>
              </w:rPr>
            </w:pPr>
            <w:r>
              <w:rPr>
                <w:sz w:val="16"/>
                <w:szCs w:val="18"/>
              </w:rPr>
              <w:t>(118%)</w:t>
            </w:r>
          </w:p>
        </w:tc>
        <w:tc>
          <w:tcPr>
            <w:tcW w:w="48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537DB60" w14:textId="77777777" w:rsidR="00023D19" w:rsidRPr="00B07E76" w:rsidRDefault="00023D19" w:rsidP="00902C23">
            <w:pPr>
              <w:spacing w:after="660"/>
              <w:jc w:val="center"/>
              <w:rPr>
                <w:sz w:val="16"/>
                <w:szCs w:val="18"/>
              </w:rPr>
            </w:pPr>
            <w:r w:rsidRPr="00B07E76">
              <w:rPr>
                <w:sz w:val="16"/>
                <w:szCs w:val="18"/>
              </w:rPr>
              <w:t>1,398 Ha</w:t>
            </w:r>
          </w:p>
          <w:p w14:paraId="2AE7EA23" w14:textId="77777777" w:rsidR="00023D19" w:rsidRPr="00B07E76" w:rsidRDefault="00023D19" w:rsidP="00902C23">
            <w:pPr>
              <w:jc w:val="center"/>
              <w:rPr>
                <w:sz w:val="16"/>
                <w:szCs w:val="18"/>
              </w:rPr>
            </w:pPr>
            <w:r w:rsidRPr="00B07E76">
              <w:rPr>
                <w:sz w:val="16"/>
                <w:szCs w:val="18"/>
              </w:rPr>
              <w:t>20%</w:t>
            </w:r>
          </w:p>
          <w:p w14:paraId="1E0E08A6" w14:textId="77777777" w:rsidR="00023D19" w:rsidRPr="00B07E76" w:rsidRDefault="00023D19" w:rsidP="00902C23">
            <w:pPr>
              <w:jc w:val="center"/>
              <w:rPr>
                <w:sz w:val="16"/>
                <w:szCs w:val="18"/>
              </w:rPr>
            </w:pPr>
            <w:r w:rsidRPr="00B07E76">
              <w:rPr>
                <w:sz w:val="16"/>
                <w:szCs w:val="18"/>
              </w:rPr>
              <w:t>(39%)</w:t>
            </w:r>
          </w:p>
          <w:p w14:paraId="1B6E8A2B" w14:textId="754F7624" w:rsidR="00023D19" w:rsidRPr="00B07E76" w:rsidRDefault="00023D19" w:rsidP="00902C23">
            <w:pPr>
              <w:jc w:val="center"/>
              <w:rPr>
                <w:sz w:val="16"/>
                <w:szCs w:val="18"/>
              </w:rPr>
            </w:pPr>
            <w:r w:rsidRPr="00B07E76">
              <w:rPr>
                <w:sz w:val="16"/>
                <w:szCs w:val="18"/>
              </w:rPr>
              <w:br/>
            </w:r>
            <w:r w:rsidRPr="00B07E76">
              <w:rPr>
                <w:sz w:val="16"/>
                <w:szCs w:val="18"/>
              </w:rPr>
              <w:br/>
            </w:r>
            <w:r>
              <w:rPr>
                <w:sz w:val="16"/>
                <w:szCs w:val="18"/>
              </w:rPr>
              <w:t>6,327</w:t>
            </w:r>
            <w:r w:rsidRPr="00B07E76">
              <w:rPr>
                <w:sz w:val="16"/>
                <w:szCs w:val="18"/>
              </w:rPr>
              <w:t xml:space="preserve"> km d</w:t>
            </w:r>
            <w:r>
              <w:rPr>
                <w:sz w:val="16"/>
                <w:szCs w:val="18"/>
              </w:rPr>
              <w:t xml:space="preserve"> (77%)</w:t>
            </w:r>
            <w:r w:rsidRPr="00B07E76">
              <w:rPr>
                <w:sz w:val="16"/>
                <w:szCs w:val="18"/>
              </w:rPr>
              <w:t xml:space="preserve"> </w:t>
            </w:r>
          </w:p>
        </w:tc>
        <w:tc>
          <w:tcPr>
            <w:tcW w:w="479" w:type="pct"/>
            <w:tcBorders>
              <w:top w:val="single" w:sz="4" w:space="0" w:color="auto"/>
              <w:left w:val="single" w:sz="4" w:space="0" w:color="auto"/>
              <w:bottom w:val="single" w:sz="4" w:space="0" w:color="auto"/>
              <w:right w:val="single" w:sz="4" w:space="0" w:color="auto"/>
            </w:tcBorders>
            <w:shd w:val="clear" w:color="auto" w:fill="70AD47" w:themeFill="accent6"/>
          </w:tcPr>
          <w:p w14:paraId="7AB7607F" w14:textId="77777777" w:rsidR="00023D19" w:rsidRPr="00B07E76" w:rsidRDefault="00023D19" w:rsidP="00902C23">
            <w:pPr>
              <w:spacing w:after="660"/>
              <w:jc w:val="center"/>
              <w:rPr>
                <w:sz w:val="16"/>
                <w:szCs w:val="18"/>
              </w:rPr>
            </w:pPr>
            <w:r w:rsidRPr="00B07E76">
              <w:rPr>
                <w:sz w:val="16"/>
                <w:szCs w:val="18"/>
              </w:rPr>
              <w:t>1,621 Ha</w:t>
            </w:r>
          </w:p>
          <w:p w14:paraId="67FDCFE9" w14:textId="77777777" w:rsidR="00023D19" w:rsidRPr="00B07E76" w:rsidRDefault="00023D19" w:rsidP="00902C23">
            <w:pPr>
              <w:jc w:val="center"/>
              <w:rPr>
                <w:sz w:val="16"/>
                <w:szCs w:val="18"/>
              </w:rPr>
            </w:pPr>
            <w:r w:rsidRPr="00B07E76">
              <w:rPr>
                <w:sz w:val="16"/>
                <w:szCs w:val="18"/>
              </w:rPr>
              <w:t>33%</w:t>
            </w:r>
          </w:p>
          <w:p w14:paraId="0F1E0D84" w14:textId="77777777" w:rsidR="00023D19" w:rsidRPr="00B07E76" w:rsidRDefault="00023D19" w:rsidP="00902C23">
            <w:pPr>
              <w:jc w:val="center"/>
              <w:rPr>
                <w:sz w:val="16"/>
                <w:szCs w:val="18"/>
              </w:rPr>
            </w:pPr>
            <w:r w:rsidRPr="00B07E76">
              <w:rPr>
                <w:sz w:val="16"/>
                <w:szCs w:val="18"/>
              </w:rPr>
              <w:t>(71%)</w:t>
            </w:r>
          </w:p>
          <w:p w14:paraId="0EF93BB3" w14:textId="04742670" w:rsidR="00023D19" w:rsidRPr="00B07E76" w:rsidRDefault="00023D19" w:rsidP="00902C23">
            <w:pPr>
              <w:jc w:val="center"/>
              <w:rPr>
                <w:sz w:val="16"/>
                <w:szCs w:val="18"/>
              </w:rPr>
            </w:pPr>
            <w:r w:rsidRPr="00B07E76">
              <w:rPr>
                <w:sz w:val="16"/>
                <w:szCs w:val="18"/>
              </w:rPr>
              <w:br/>
            </w:r>
            <w:r w:rsidRPr="00B07E76">
              <w:rPr>
                <w:sz w:val="16"/>
                <w:szCs w:val="18"/>
              </w:rPr>
              <w:br/>
            </w:r>
            <w:r>
              <w:rPr>
                <w:sz w:val="16"/>
                <w:szCs w:val="18"/>
              </w:rPr>
              <w:t>9569</w:t>
            </w:r>
            <w:r w:rsidRPr="00B07E76">
              <w:rPr>
                <w:sz w:val="16"/>
                <w:szCs w:val="18"/>
              </w:rPr>
              <w:br/>
              <w:t>km d</w:t>
            </w:r>
            <w:r>
              <w:rPr>
                <w:sz w:val="16"/>
                <w:szCs w:val="18"/>
              </w:rPr>
              <w:t xml:space="preserve"> (148%)</w:t>
            </w:r>
          </w:p>
        </w:tc>
        <w:tc>
          <w:tcPr>
            <w:tcW w:w="1138" w:type="pct"/>
            <w:tcBorders>
              <w:top w:val="single" w:sz="4" w:space="0" w:color="auto"/>
              <w:left w:val="single" w:sz="4" w:space="0" w:color="auto"/>
              <w:bottom w:val="single" w:sz="4" w:space="0" w:color="auto"/>
              <w:right w:val="single" w:sz="4" w:space="0" w:color="auto"/>
            </w:tcBorders>
            <w:shd w:val="clear" w:color="auto" w:fill="70AD47" w:themeFill="accent6"/>
          </w:tcPr>
          <w:p w14:paraId="0A740517" w14:textId="77777777" w:rsidR="00023D19" w:rsidRPr="00B07E76" w:rsidRDefault="00023D19" w:rsidP="00902C23">
            <w:pPr>
              <w:jc w:val="center"/>
              <w:rPr>
                <w:sz w:val="16"/>
                <w:szCs w:val="18"/>
              </w:rPr>
            </w:pPr>
            <w:r w:rsidRPr="00B07E76">
              <w:rPr>
                <w:sz w:val="16"/>
                <w:szCs w:val="18"/>
              </w:rPr>
              <w:t>Maximum inundated area increased by 1,397 Ha due to CEW.</w:t>
            </w:r>
          </w:p>
          <w:p w14:paraId="1FF40CA3" w14:textId="77777777" w:rsidR="00023D19" w:rsidRPr="00B07E76" w:rsidRDefault="00023D19" w:rsidP="00902C23">
            <w:pPr>
              <w:jc w:val="center"/>
              <w:rPr>
                <w:sz w:val="16"/>
                <w:szCs w:val="18"/>
              </w:rPr>
            </w:pPr>
            <w:r w:rsidRPr="00B07E76">
              <w:rPr>
                <w:sz w:val="16"/>
                <w:szCs w:val="18"/>
              </w:rPr>
              <w:t>22% increase in volume at the SA border (34% increase at Lock 1).</w:t>
            </w:r>
          </w:p>
          <w:p w14:paraId="7095956A" w14:textId="0079A658" w:rsidR="00023D19" w:rsidRPr="00B07E76" w:rsidRDefault="00023D19" w:rsidP="00902C23">
            <w:pPr>
              <w:jc w:val="center"/>
              <w:rPr>
                <w:sz w:val="16"/>
                <w:szCs w:val="18"/>
              </w:rPr>
            </w:pPr>
            <w:r w:rsidRPr="00B07E76">
              <w:rPr>
                <w:sz w:val="16"/>
                <w:szCs w:val="18"/>
              </w:rPr>
              <w:t>Total increase in connectivity (v&gt;0.2</w:t>
            </w:r>
            <w:r w:rsidR="00235487">
              <w:rPr>
                <w:sz w:val="16"/>
                <w:szCs w:val="18"/>
              </w:rPr>
              <w:t> </w:t>
            </w:r>
            <w:r w:rsidRPr="00B07E76">
              <w:rPr>
                <w:sz w:val="16"/>
                <w:szCs w:val="18"/>
              </w:rPr>
              <w:t xml:space="preserve">m/s) of </w:t>
            </w:r>
            <w:r>
              <w:rPr>
                <w:sz w:val="16"/>
                <w:szCs w:val="18"/>
              </w:rPr>
              <w:t>10,392</w:t>
            </w:r>
            <w:r w:rsidR="006D420D">
              <w:rPr>
                <w:sz w:val="16"/>
                <w:szCs w:val="18"/>
              </w:rPr>
              <w:t> </w:t>
            </w:r>
            <w:r w:rsidR="006D420D" w:rsidRPr="00B07E76">
              <w:rPr>
                <w:sz w:val="16"/>
                <w:szCs w:val="18"/>
              </w:rPr>
              <w:t>km d</w:t>
            </w:r>
            <w:r w:rsidR="006D420D">
              <w:rPr>
                <w:sz w:val="16"/>
                <w:szCs w:val="18"/>
              </w:rPr>
              <w:t>, an increase of 58%</w:t>
            </w:r>
          </w:p>
        </w:tc>
      </w:tr>
      <w:tr w:rsidR="00023D19" w:rsidRPr="0041543F" w14:paraId="1C70B881" w14:textId="77777777" w:rsidTr="00902C23">
        <w:trPr>
          <w:cantSplit/>
          <w:trHeight w:val="20"/>
        </w:trPr>
        <w:tc>
          <w:tcPr>
            <w:tcW w:w="1039" w:type="pct"/>
            <w:vMerge/>
            <w:tcBorders>
              <w:left w:val="single" w:sz="4" w:space="0" w:color="auto"/>
              <w:right w:val="single" w:sz="4" w:space="0" w:color="auto"/>
            </w:tcBorders>
          </w:tcPr>
          <w:p w14:paraId="3C15A0C4" w14:textId="77777777" w:rsidR="00023D19" w:rsidRPr="00C4364F" w:rsidRDefault="00023D19" w:rsidP="00902C23">
            <w:pPr>
              <w:rPr>
                <w:sz w:val="19"/>
                <w:szCs w:val="19"/>
              </w:rPr>
            </w:pPr>
          </w:p>
        </w:tc>
        <w:tc>
          <w:tcPr>
            <w:tcW w:w="3961"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4C555F9" w14:textId="77777777" w:rsidR="00023D19" w:rsidRDefault="00023D19" w:rsidP="00902C23">
            <w:pPr>
              <w:rPr>
                <w:sz w:val="19"/>
                <w:szCs w:val="19"/>
              </w:rPr>
            </w:pPr>
            <w:r w:rsidRPr="00637710">
              <w:rPr>
                <w:sz w:val="19"/>
                <w:szCs w:val="19"/>
              </w:rPr>
              <w:t xml:space="preserve">CEW contribution to connectivity has been assessed laterally, as the increase in maximum inundated area each year, and longitudinally, as the percentage increase in </w:t>
            </w:r>
            <w:r>
              <w:rPr>
                <w:sz w:val="19"/>
                <w:szCs w:val="19"/>
              </w:rPr>
              <w:t xml:space="preserve">flow </w:t>
            </w:r>
            <w:r w:rsidRPr="00637710">
              <w:rPr>
                <w:sz w:val="19"/>
                <w:szCs w:val="19"/>
              </w:rPr>
              <w:t xml:space="preserve">volume each year </w:t>
            </w:r>
            <w:r>
              <w:rPr>
                <w:sz w:val="19"/>
                <w:szCs w:val="19"/>
              </w:rPr>
              <w:t xml:space="preserve">and as </w:t>
            </w:r>
            <w:bookmarkStart w:id="109" w:name="_Hlk96208381"/>
            <w:r>
              <w:rPr>
                <w:sz w:val="19"/>
                <w:szCs w:val="19"/>
              </w:rPr>
              <w:t xml:space="preserve">the total increase in river length over a number of days with velocity exceeding 0.2 m/s. </w:t>
            </w:r>
            <w:bookmarkEnd w:id="109"/>
            <w:r>
              <w:rPr>
                <w:sz w:val="19"/>
                <w:szCs w:val="19"/>
              </w:rPr>
              <w:t xml:space="preserve">The increase an annual flow volume at the SA border is reported </w:t>
            </w:r>
            <w:r w:rsidRPr="00637710">
              <w:rPr>
                <w:sz w:val="19"/>
                <w:szCs w:val="19"/>
              </w:rPr>
              <w:t>(as used for Basin Scale assessme</w:t>
            </w:r>
            <w:r>
              <w:rPr>
                <w:sz w:val="19"/>
                <w:szCs w:val="19"/>
              </w:rPr>
              <w:t>nt) as well as Lock 1, where the percentages increase further down the system due to the losses and consumption, as well as water recovery within SA.</w:t>
            </w:r>
          </w:p>
          <w:p w14:paraId="417FF1F8" w14:textId="77777777" w:rsidR="00023D19" w:rsidRDefault="00023D19" w:rsidP="00902C23">
            <w:pPr>
              <w:rPr>
                <w:sz w:val="19"/>
                <w:szCs w:val="19"/>
              </w:rPr>
            </w:pPr>
            <w:r>
              <w:rPr>
                <w:sz w:val="19"/>
                <w:szCs w:val="19"/>
              </w:rPr>
              <w:t>In 2020-21, CEW increased lateral</w:t>
            </w:r>
            <w:r w:rsidRPr="00637710">
              <w:rPr>
                <w:sz w:val="19"/>
                <w:szCs w:val="19"/>
              </w:rPr>
              <w:t xml:space="preserve"> </w:t>
            </w:r>
            <w:r>
              <w:rPr>
                <w:sz w:val="19"/>
                <w:szCs w:val="19"/>
              </w:rPr>
              <w:t xml:space="preserve">connectivity throughout the water year. The total area increase can be driven by the difference in water level in the Lower Lakes, with an increase in level from 0.5 to 0.7 m AHD increasing the area inundated by 893 to 1197 Ha depending on the flow (based on 5,000 – 15,000 ML/d). The lower maximum inundated area in 2020-21 compared to 2019-20 is due to the Lower Lakes not expected to fall as low without CEW. </w:t>
            </w:r>
          </w:p>
          <w:p w14:paraId="64729FFE" w14:textId="77777777" w:rsidR="00023D19" w:rsidRPr="00637710" w:rsidRDefault="00023D19" w:rsidP="00902C23">
            <w:pPr>
              <w:rPr>
                <w:sz w:val="19"/>
                <w:szCs w:val="19"/>
              </w:rPr>
            </w:pPr>
            <w:r>
              <w:rPr>
                <w:sz w:val="19"/>
                <w:szCs w:val="19"/>
              </w:rPr>
              <w:t xml:space="preserve">The proportion increase in flow due to CEW was lower compared to some drier years (e.g. 2017-18 and 2019-20), due to the higher total flow volume to SA in 2020-21. The increase in connectivity, based on length-day of river with velocity &gt; 0.2 m/s was the second highest over the evaluation period, resulting in a moderate contribution of CEW to hydrological connectivity in 2020-21. </w:t>
            </w:r>
          </w:p>
        </w:tc>
      </w:tr>
    </w:tbl>
    <w:p w14:paraId="4060BF4A" w14:textId="77777777" w:rsidR="00D278C9" w:rsidRDefault="00D278C9" w:rsidP="00D278C9">
      <w:pPr>
        <w:spacing w:before="0" w:after="0" w:line="240" w:lineRule="auto"/>
        <w:jc w:val="left"/>
        <w:rPr>
          <w:color w:val="auto"/>
          <w:kern w:val="0"/>
          <w:sz w:val="19"/>
          <w:szCs w:val="19"/>
          <w:lang w:val="en-US" w:bidi="en-US"/>
        </w:rPr>
      </w:pPr>
    </w:p>
    <w:p w14:paraId="5A974842" w14:textId="77777777" w:rsidR="00D278C9" w:rsidRPr="00BF0490" w:rsidRDefault="00D278C9" w:rsidP="00D278C9">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6784"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D278C9" w:rsidRPr="00BF0490" w14:paraId="490BF650" w14:textId="77777777" w:rsidTr="00993C09">
        <w:tc>
          <w:tcPr>
            <w:tcW w:w="222" w:type="dxa"/>
            <w:shd w:val="clear" w:color="auto" w:fill="D9D9D9" w:themeFill="background1" w:themeFillShade="D9"/>
          </w:tcPr>
          <w:p w14:paraId="78BBE5AA" w14:textId="77777777" w:rsidR="00D278C9" w:rsidRPr="00BF0490" w:rsidRDefault="00D278C9" w:rsidP="00993C09">
            <w:pPr>
              <w:contextualSpacing/>
              <w:rPr>
                <w:sz w:val="19"/>
                <w:szCs w:val="19"/>
              </w:rPr>
            </w:pPr>
          </w:p>
        </w:tc>
        <w:tc>
          <w:tcPr>
            <w:tcW w:w="1066" w:type="dxa"/>
            <w:vAlign w:val="center"/>
          </w:tcPr>
          <w:p w14:paraId="5B6694DB" w14:textId="77777777" w:rsidR="00D278C9" w:rsidRPr="00BF0490" w:rsidRDefault="00D278C9" w:rsidP="00993C09">
            <w:pPr>
              <w:contextualSpacing/>
              <w:rPr>
                <w:sz w:val="19"/>
                <w:szCs w:val="19"/>
              </w:rPr>
            </w:pPr>
            <w:r w:rsidRPr="00BF0490">
              <w:rPr>
                <w:sz w:val="19"/>
                <w:szCs w:val="19"/>
              </w:rPr>
              <w:t>Unknown</w:t>
            </w:r>
          </w:p>
        </w:tc>
        <w:tc>
          <w:tcPr>
            <w:tcW w:w="222" w:type="dxa"/>
            <w:shd w:val="clear" w:color="auto" w:fill="FF0000"/>
            <w:vAlign w:val="center"/>
          </w:tcPr>
          <w:p w14:paraId="09697732" w14:textId="77777777" w:rsidR="00D278C9" w:rsidRPr="00BF0490" w:rsidRDefault="00D278C9" w:rsidP="00993C09">
            <w:pPr>
              <w:contextualSpacing/>
              <w:rPr>
                <w:sz w:val="19"/>
                <w:szCs w:val="19"/>
              </w:rPr>
            </w:pPr>
          </w:p>
        </w:tc>
        <w:tc>
          <w:tcPr>
            <w:tcW w:w="1069" w:type="dxa"/>
            <w:vAlign w:val="center"/>
          </w:tcPr>
          <w:p w14:paraId="2E0E6047" w14:textId="77777777" w:rsidR="00D278C9" w:rsidRPr="00BF0490" w:rsidRDefault="00D278C9" w:rsidP="00993C09">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78905696" w14:textId="77777777" w:rsidR="00D278C9" w:rsidRPr="00BF0490" w:rsidRDefault="00D278C9" w:rsidP="00993C09">
            <w:pPr>
              <w:contextualSpacing/>
              <w:rPr>
                <w:sz w:val="19"/>
                <w:szCs w:val="19"/>
              </w:rPr>
            </w:pPr>
          </w:p>
        </w:tc>
        <w:tc>
          <w:tcPr>
            <w:tcW w:w="236" w:type="dxa"/>
            <w:vAlign w:val="center"/>
          </w:tcPr>
          <w:p w14:paraId="5456ADAE" w14:textId="77777777" w:rsidR="00D278C9" w:rsidRPr="00BF0490" w:rsidRDefault="00D278C9" w:rsidP="00993C09">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1C51C959" w14:textId="77777777" w:rsidR="00D278C9" w:rsidRPr="00BF0490" w:rsidRDefault="00D278C9" w:rsidP="00993C09">
            <w:pPr>
              <w:contextualSpacing/>
              <w:rPr>
                <w:sz w:val="19"/>
                <w:szCs w:val="19"/>
              </w:rPr>
            </w:pPr>
          </w:p>
        </w:tc>
        <w:tc>
          <w:tcPr>
            <w:tcW w:w="727" w:type="dxa"/>
            <w:vAlign w:val="center"/>
          </w:tcPr>
          <w:p w14:paraId="08A62CB5" w14:textId="77777777" w:rsidR="00D278C9" w:rsidRPr="00BF0490" w:rsidRDefault="00D278C9" w:rsidP="00993C09">
            <w:pPr>
              <w:contextualSpacing/>
              <w:rPr>
                <w:sz w:val="19"/>
                <w:szCs w:val="19"/>
              </w:rPr>
            </w:pPr>
            <w:r w:rsidRPr="00BF0490">
              <w:rPr>
                <w:sz w:val="19"/>
                <w:szCs w:val="19"/>
              </w:rPr>
              <w:t>Minor</w:t>
            </w:r>
          </w:p>
        </w:tc>
        <w:tc>
          <w:tcPr>
            <w:tcW w:w="222" w:type="dxa"/>
            <w:shd w:val="clear" w:color="auto" w:fill="70AD47" w:themeFill="accent6"/>
            <w:vAlign w:val="center"/>
          </w:tcPr>
          <w:p w14:paraId="6A0DD945" w14:textId="77777777" w:rsidR="00D278C9" w:rsidRPr="00BF0490" w:rsidRDefault="00D278C9" w:rsidP="00993C09">
            <w:pPr>
              <w:contextualSpacing/>
              <w:rPr>
                <w:sz w:val="19"/>
                <w:szCs w:val="19"/>
              </w:rPr>
            </w:pPr>
          </w:p>
        </w:tc>
        <w:tc>
          <w:tcPr>
            <w:tcW w:w="1144" w:type="dxa"/>
            <w:vAlign w:val="center"/>
          </w:tcPr>
          <w:p w14:paraId="30550AC7" w14:textId="77777777" w:rsidR="00D278C9" w:rsidRPr="00772AD0" w:rsidRDefault="00D278C9" w:rsidP="00993C09">
            <w:pPr>
              <w:contextualSpacing/>
              <w:rPr>
                <w:iCs/>
                <w:sz w:val="19"/>
                <w:szCs w:val="19"/>
              </w:rPr>
            </w:pPr>
            <w:r w:rsidRPr="00772AD0">
              <w:rPr>
                <w:iCs/>
                <w:sz w:val="19"/>
                <w:szCs w:val="19"/>
              </w:rPr>
              <w:t>Moderate</w:t>
            </w:r>
          </w:p>
        </w:tc>
        <w:tc>
          <w:tcPr>
            <w:tcW w:w="222" w:type="dxa"/>
            <w:shd w:val="clear" w:color="auto" w:fill="5B9BD5" w:themeFill="accent1"/>
          </w:tcPr>
          <w:p w14:paraId="498B3E8C" w14:textId="77777777" w:rsidR="00D278C9" w:rsidRPr="00BF0490" w:rsidRDefault="00D278C9" w:rsidP="00993C09">
            <w:pPr>
              <w:contextualSpacing/>
              <w:rPr>
                <w:i/>
                <w:sz w:val="19"/>
                <w:szCs w:val="19"/>
              </w:rPr>
            </w:pPr>
          </w:p>
        </w:tc>
        <w:tc>
          <w:tcPr>
            <w:tcW w:w="1210" w:type="dxa"/>
            <w:vAlign w:val="center"/>
          </w:tcPr>
          <w:p w14:paraId="7DEB5AEB" w14:textId="77777777" w:rsidR="00D278C9" w:rsidRPr="00BF0490" w:rsidRDefault="00D278C9" w:rsidP="00993C09">
            <w:pPr>
              <w:contextualSpacing/>
              <w:jc w:val="left"/>
              <w:rPr>
                <w:sz w:val="19"/>
                <w:szCs w:val="19"/>
              </w:rPr>
            </w:pPr>
            <w:r w:rsidRPr="00BF0490">
              <w:rPr>
                <w:sz w:val="19"/>
                <w:szCs w:val="19"/>
              </w:rPr>
              <w:t>Substantial</w:t>
            </w:r>
          </w:p>
        </w:tc>
      </w:tr>
    </w:tbl>
    <w:p w14:paraId="6AF52829" w14:textId="77777777" w:rsidR="00D278C9" w:rsidRPr="00BF0490" w:rsidRDefault="00D278C9" w:rsidP="00D278C9"/>
    <w:p w14:paraId="5A12A993" w14:textId="77777777" w:rsidR="00D278C9" w:rsidRPr="00E35C12" w:rsidRDefault="00D278C9" w:rsidP="00D278C9">
      <w:pPr>
        <w:pStyle w:val="Heading3"/>
      </w:pPr>
      <w:r w:rsidRPr="00E35C12">
        <w:t>Discussion</w:t>
      </w:r>
      <w:bookmarkEnd w:id="86"/>
    </w:p>
    <w:p w14:paraId="19004FD6" w14:textId="3F17DAE2" w:rsidR="00D278C9" w:rsidRDefault="002245DE" w:rsidP="00D278C9">
      <w:bookmarkStart w:id="110" w:name="_Toc524094750"/>
      <w:r>
        <w:t xml:space="preserve">2020-21 was the first year with some unregulated flow since the high flow year of 2016-17, and the second highest total volume entering the </w:t>
      </w:r>
      <w:r w:rsidR="00086886">
        <w:t>LMR</w:t>
      </w:r>
      <w:r>
        <w:t xml:space="preserve"> since the start of LTIM in 2014-15. The volume of environmental water delivered was similar to the </w:t>
      </w:r>
      <w:bookmarkStart w:id="111" w:name="_Hlk86141275"/>
      <w:r>
        <w:t xml:space="preserve">average, </w:t>
      </w:r>
      <w:bookmarkEnd w:id="111"/>
      <w:r w:rsidR="00FD2E7E">
        <w:t>9</w:t>
      </w:r>
      <w:r w:rsidR="00B808C3">
        <w:t>22</w:t>
      </w:r>
      <w:r w:rsidR="00FD2E7E">
        <w:t xml:space="preserve"> GL of environmental water (average since 2014-15 of 921 GL, range 714 – 1167 GL), of which 687 GL </w:t>
      </w:r>
      <w:r>
        <w:t>was Commonwealth environmental water (average of 697 GL range 549</w:t>
      </w:r>
      <w:r w:rsidRPr="00F528D7">
        <w:t xml:space="preserve"> – </w:t>
      </w:r>
      <w:r>
        <w:t xml:space="preserve">898 </w:t>
      </w:r>
      <w:r>
        <w:lastRenderedPageBreak/>
        <w:t>GL). With a similar total volume of environmental water delivered, the higher total volume to South Australia results in Commonwealth environmental water providing a slightly smaller proportion of the total flow, reducing from 33% of the total flow at the S</w:t>
      </w:r>
      <w:r w:rsidR="00B94CA6">
        <w:t xml:space="preserve">outh </w:t>
      </w:r>
      <w:r>
        <w:t>A</w:t>
      </w:r>
      <w:r w:rsidR="00B94CA6">
        <w:t>ustralian</w:t>
      </w:r>
      <w:r>
        <w:t xml:space="preserve"> border in 2019-20 to </w:t>
      </w:r>
      <w:r w:rsidR="00AD112B">
        <w:t>to 22% in 2020-21</w:t>
      </w:r>
      <w:r>
        <w:t xml:space="preserve">. </w:t>
      </w:r>
      <w:r w:rsidR="00D278C9">
        <w:t xml:space="preserve"> </w:t>
      </w:r>
    </w:p>
    <w:p w14:paraId="3C0379A4" w14:textId="58824CBA" w:rsidR="00D278C9" w:rsidRDefault="00D278C9" w:rsidP="00D278C9">
      <w:r>
        <w:t xml:space="preserve">The evaluation of </w:t>
      </w:r>
      <w:r w:rsidRPr="004001C1">
        <w:t>C</w:t>
      </w:r>
      <w:r>
        <w:t>ommonwealth environmental water</w:t>
      </w:r>
      <w:r w:rsidRPr="004001C1">
        <w:t xml:space="preserve"> contribut</w:t>
      </w:r>
      <w:r>
        <w:t>ion</w:t>
      </w:r>
      <w:r w:rsidRPr="004001C1">
        <w:t xml:space="preserve"> to hydraulic diversity within weir pools</w:t>
      </w:r>
      <w:r>
        <w:t xml:space="preserve"> is in line with previous years (Ye </w:t>
      </w:r>
      <w:r w:rsidRPr="00137D07">
        <w:rPr>
          <w:i/>
          <w:iCs/>
        </w:rPr>
        <w:t>et al.</w:t>
      </w:r>
      <w:r>
        <w:t xml:space="preserve"> 2021). </w:t>
      </w:r>
      <w:r>
        <w:fldChar w:fldCharType="begin"/>
      </w:r>
      <w:r>
        <w:instrText xml:space="preserve"> REF _Ref54615575 \h </w:instrText>
      </w:r>
      <w:r>
        <w:fldChar w:fldCharType="separate"/>
      </w:r>
      <w:r w:rsidR="003C13F6">
        <w:t xml:space="preserve">Figure </w:t>
      </w:r>
      <w:r w:rsidR="003C13F6">
        <w:rPr>
          <w:noProof/>
        </w:rPr>
        <w:t>10</w:t>
      </w:r>
      <w:r>
        <w:fldChar w:fldCharType="end"/>
      </w:r>
      <w:r>
        <w:t xml:space="preserve"> presents the flow to South Australia over the past seven years to compare the events of flow delivery. It can be seen that 2020-21 was similar to 2017-18, with variable flow between 5,000 – 12,000 ML/d until November, before a flow pulse commencing in late November to approximately 18,000 ML/d. Peaks of similar magnitude and duration, albeit different timing, also occurred in 2019-20 and 2014-15. </w:t>
      </w:r>
    </w:p>
    <w:p w14:paraId="6C5E6B8E" w14:textId="1022EDDE" w:rsidR="00D278C9" w:rsidRDefault="00D278C9" w:rsidP="00D278C9">
      <w:r>
        <w:t xml:space="preserve">A range of metrics has been considered to assess the evaluation questions </w:t>
      </w:r>
      <w:r w:rsidR="00A96D7E">
        <w:t xml:space="preserve">in </w:t>
      </w:r>
      <w:r w:rsidR="00A96D7E">
        <w:fldChar w:fldCharType="begin"/>
      </w:r>
      <w:r w:rsidR="00A96D7E">
        <w:instrText xml:space="preserve"> REF _Ref88730871 \h </w:instrText>
      </w:r>
      <w:r w:rsidR="00A96D7E">
        <w:fldChar w:fldCharType="separate"/>
      </w:r>
      <w:r w:rsidR="003C13F6">
        <w:t xml:space="preserve">Table </w:t>
      </w:r>
      <w:r w:rsidR="003C13F6">
        <w:rPr>
          <w:noProof/>
        </w:rPr>
        <w:t>3</w:t>
      </w:r>
      <w:r w:rsidR="00A96D7E">
        <w:fldChar w:fldCharType="end"/>
      </w:r>
      <w:r w:rsidR="00A96D7E">
        <w:t xml:space="preserve">. </w:t>
      </w:r>
      <w:r>
        <w:t>Relevant velocity thresholds, proportions of the river, time of year and duration required for different ecological processes to be promoted are the focus of further research, as the empirical evidence relating the conditions occurring, and different ecological processes being promoted, continues to improve. It is expected that this hydraulic information, and the methodology developed to derive it for the future, will help to develop eco-hydraulic relationships.</w:t>
      </w:r>
    </w:p>
    <w:p w14:paraId="7D5124C3" w14:textId="7F327BBA" w:rsidR="00D278C9" w:rsidRDefault="00D85F90" w:rsidP="00D278C9">
      <w:pPr>
        <w:keepNext/>
      </w:pPr>
      <w:r>
        <w:rPr>
          <w:noProof/>
        </w:rPr>
        <w:drawing>
          <wp:inline distT="0" distB="0" distL="0" distR="0" wp14:anchorId="688292B1" wp14:editId="355F795E">
            <wp:extent cx="5727700" cy="2867660"/>
            <wp:effectExtent l="0" t="0" r="635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7700" cy="2867660"/>
                    </a:xfrm>
                    <a:prstGeom prst="rect">
                      <a:avLst/>
                    </a:prstGeom>
                    <a:noFill/>
                    <a:ln>
                      <a:noFill/>
                    </a:ln>
                  </pic:spPr>
                </pic:pic>
              </a:graphicData>
            </a:graphic>
          </wp:inline>
        </w:drawing>
      </w:r>
    </w:p>
    <w:p w14:paraId="2CFC488C" w14:textId="1769854E" w:rsidR="00D278C9" w:rsidRDefault="00D278C9" w:rsidP="00D278C9">
      <w:pPr>
        <w:pStyle w:val="Caption"/>
      </w:pPr>
      <w:bookmarkStart w:id="112" w:name="_Ref54615575"/>
      <w:bookmarkStart w:id="113" w:name="_Toc64646438"/>
      <w:bookmarkStart w:id="114" w:name="_Toc101963802"/>
      <w:r>
        <w:t xml:space="preserve">Figure </w:t>
      </w:r>
      <w:fldSimple w:instr=" SEQ Figure \* ARABIC ">
        <w:r w:rsidR="003C13F6">
          <w:rPr>
            <w:noProof/>
          </w:rPr>
          <w:t>10</w:t>
        </w:r>
      </w:fldSimple>
      <w:bookmarkEnd w:id="112"/>
      <w:r>
        <w:rPr>
          <w:noProof/>
        </w:rPr>
        <w:t>.</w:t>
      </w:r>
      <w:r>
        <w:t xml:space="preserve"> Flow to South Australia over the past seven years, where events of similar magnitude and duration have occurred in four of the seven years. The high flow year of 2016-17 peaked at </w:t>
      </w:r>
      <w:r w:rsidRPr="008A6C81">
        <w:t>94</w:t>
      </w:r>
      <w:r>
        <w:t>,</w:t>
      </w:r>
      <w:r w:rsidRPr="008A6C81">
        <w:t>350</w:t>
      </w:r>
      <w:r>
        <w:t> </w:t>
      </w:r>
      <w:bookmarkEnd w:id="113"/>
      <w:r w:rsidR="00FD2E7E">
        <w:t>ML/d.</w:t>
      </w:r>
      <w:bookmarkEnd w:id="114"/>
    </w:p>
    <w:p w14:paraId="6577F880" w14:textId="77777777" w:rsidR="00D278C9" w:rsidRDefault="00D278C9" w:rsidP="00D278C9">
      <w:pPr>
        <w:pStyle w:val="Heading3"/>
      </w:pPr>
      <w:r>
        <w:t>Management implications</w:t>
      </w:r>
    </w:p>
    <w:p w14:paraId="468537F1" w14:textId="77777777" w:rsidR="00D278C9" w:rsidRDefault="00D278C9" w:rsidP="00D278C9">
      <w:pPr>
        <w:pStyle w:val="Heading4"/>
      </w:pPr>
      <w:r>
        <w:t>Coordinated flow delivery</w:t>
      </w:r>
    </w:p>
    <w:p w14:paraId="7CB790E8" w14:textId="084FFCF4" w:rsidR="00023D19" w:rsidRDefault="00023D19" w:rsidP="00023D19">
      <w:r>
        <w:t>The flow event</w:t>
      </w:r>
      <w:r w:rsidRPr="00EA2ADE">
        <w:t xml:space="preserve"> </w:t>
      </w:r>
      <w:r>
        <w:t xml:space="preserve">in late November 2020 was a highly coordinated event, synchronising delivery from multiple water holders and tributaries to create the flow peak and extend the duration. The source of the flow at the South Australian border modelled outputs provided by the MDBA are presented in </w:t>
      </w:r>
      <w:r>
        <w:fldChar w:fldCharType="begin"/>
      </w:r>
      <w:r>
        <w:instrText xml:space="preserve"> REF _Ref84924092 \h </w:instrText>
      </w:r>
      <w:r>
        <w:fldChar w:fldCharType="separate"/>
      </w:r>
      <w:r>
        <w:t xml:space="preserve">Figure </w:t>
      </w:r>
      <w:r>
        <w:rPr>
          <w:noProof/>
        </w:rPr>
        <w:t>11</w:t>
      </w:r>
      <w:r>
        <w:fldChar w:fldCharType="end"/>
      </w:r>
      <w:r>
        <w:t xml:space="preserve"> to demonstrate this. The dashed lines indicate flow at the source location, with the solid lines the resulting component of the </w:t>
      </w:r>
      <w:r>
        <w:lastRenderedPageBreak/>
        <w:t>flow at the South Australian border from that location, after accounting for travel time, attenuation and losses. Both the Goulburn River (at McCoy’s Bridge) and Murray River (at Yarrawonga) were at their current constraints in mid-October, coinciding to produce the flow peak at the South Australian border in late November. With a longer duration at the peak from the Goulburn River, earlier release from Lake Victoria, and higher base flows from the Murrumbidgee River, it may have been possible to create a slightly higher flow peak. But</w:t>
      </w:r>
      <w:r w:rsidRPr="00E40A28">
        <w:t xml:space="preserve"> </w:t>
      </w:r>
      <w:r>
        <w:t xml:space="preserve">the 2020 coordinated flow pulse event is likely to represent close to the best possible case for the maximum peak flow that can be created under regulated river conditions based on: 1) current water holdings and availability; 2) Menindee Lakes being unavailable as an additional flow source; and 3) current maximum flow and duration constraints. Increasing any of these factors is likely to improve the ability to deliver larger coordinated flow pulses to the South Australian border. </w:t>
      </w:r>
    </w:p>
    <w:p w14:paraId="01C877BF" w14:textId="4C2777F2" w:rsidR="00D278C9" w:rsidRDefault="00D278C9" w:rsidP="00D278C9">
      <w:pPr>
        <w:keepNext/>
      </w:pPr>
      <w:r>
        <w:rPr>
          <w:noProof/>
          <w:lang w:eastAsia="en-AU"/>
        </w:rPr>
        <w:drawing>
          <wp:inline distT="0" distB="0" distL="0" distR="0" wp14:anchorId="12A43436" wp14:editId="37D39C7F">
            <wp:extent cx="5727700" cy="358457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7700" cy="3584575"/>
                    </a:xfrm>
                    <a:prstGeom prst="rect">
                      <a:avLst/>
                    </a:prstGeom>
                    <a:noFill/>
                    <a:ln>
                      <a:noFill/>
                    </a:ln>
                  </pic:spPr>
                </pic:pic>
              </a:graphicData>
            </a:graphic>
          </wp:inline>
        </w:drawing>
      </w:r>
    </w:p>
    <w:p w14:paraId="02A6852D" w14:textId="049B17AE" w:rsidR="00D278C9" w:rsidRDefault="00D278C9" w:rsidP="00D278C9">
      <w:pPr>
        <w:pStyle w:val="Caption"/>
      </w:pPr>
      <w:bookmarkStart w:id="115" w:name="_Ref84924092"/>
      <w:bookmarkStart w:id="116" w:name="_Toc101963803"/>
      <w:r>
        <w:t xml:space="preserve">Figure </w:t>
      </w:r>
      <w:fldSimple w:instr=" SEQ Figure \* ARABIC ">
        <w:r w:rsidR="003C13F6">
          <w:rPr>
            <w:noProof/>
          </w:rPr>
          <w:t>11</w:t>
        </w:r>
      </w:fldSimple>
      <w:bookmarkEnd w:id="115"/>
      <w:r>
        <w:rPr>
          <w:noProof/>
        </w:rPr>
        <w:t>.</w:t>
      </w:r>
      <w:r>
        <w:t xml:space="preserve"> Source of flow at the South Australian border, coordinated water delivery with Murrumbidgee River (Balranald) providing base flow and peaks from upper Murray (Yarrawonga) and Goulburn Rivers (McCoy’s Bridge) reaching the South Australian border to create the peak at 17,926 ML/d. Yarrawonga was at capacity from 16 Oct to 13 Nov (15,000 ML/d), and the Goulburn also reaching capacity at McCoy’s bridge (9,000 ML/d) during a short peak around 15 Oct, arriving at the South Australian border over a month later. Lake Victoria commenced releases at outlet capacity (approximately 8500 ML/d) on Nov 26, the day of the peak flow.</w:t>
      </w:r>
      <w:bookmarkEnd w:id="116"/>
      <w:r>
        <w:t xml:space="preserve"> </w:t>
      </w:r>
    </w:p>
    <w:p w14:paraId="494FB7F6" w14:textId="1AE8480F" w:rsidR="00D278C9" w:rsidRDefault="00D278C9" w:rsidP="00D278C9">
      <w:pPr>
        <w:pStyle w:val="Heading4"/>
      </w:pPr>
      <w:r>
        <w:t>Weir pool lowering</w:t>
      </w:r>
    </w:p>
    <w:p w14:paraId="12513414" w14:textId="77777777" w:rsidR="00D278C9" w:rsidRDefault="00D278C9" w:rsidP="00D278C9">
      <w:pPr>
        <w:rPr>
          <w:lang w:val="en-US"/>
        </w:rPr>
      </w:pPr>
      <w:r w:rsidRPr="00060E28">
        <w:rPr>
          <w:lang w:val="en-US"/>
        </w:rPr>
        <w:t xml:space="preserve">The </w:t>
      </w:r>
      <w:r w:rsidRPr="00060E28">
        <w:rPr>
          <w:i/>
          <w:lang w:val="en-US"/>
        </w:rPr>
        <w:t>No Locks</w:t>
      </w:r>
      <w:r>
        <w:rPr>
          <w:lang w:val="en-US"/>
        </w:rPr>
        <w:t xml:space="preserve"> scenario provides an indication of the influence of the weirs on the hydraulic conditions in the LMR, where it is not only the reduced flow (compared to </w:t>
      </w:r>
      <w:r w:rsidRPr="00060E28">
        <w:rPr>
          <w:i/>
          <w:lang w:val="en-US"/>
        </w:rPr>
        <w:t>WoD</w:t>
      </w:r>
      <w:r>
        <w:rPr>
          <w:lang w:val="en-US"/>
        </w:rPr>
        <w:t xml:space="preserve">) that has resulted in a reduction in the degree of lotic habitat, but also the deeper water created by the weirs that also influences the hydraulic regime. </w:t>
      </w:r>
    </w:p>
    <w:p w14:paraId="50479BB0" w14:textId="573D88D1" w:rsidR="00D278C9" w:rsidRDefault="00D278C9" w:rsidP="00D278C9">
      <w:pPr>
        <w:rPr>
          <w:lang w:val="en-US"/>
        </w:rPr>
      </w:pPr>
      <w:r>
        <w:rPr>
          <w:lang w:val="en-US"/>
        </w:rPr>
        <w:t xml:space="preserve">Based on this understanding of the influence of higher water levels reducing the velocities, the weir pool raising at Lock 4 that was undertaken to support the operation at Katarapko </w:t>
      </w:r>
      <w:r>
        <w:rPr>
          <w:lang w:val="en-US"/>
        </w:rPr>
        <w:lastRenderedPageBreak/>
        <w:t xml:space="preserve">floodplain, was lowered earlier than originally plan to increase </w:t>
      </w:r>
      <w:r w:rsidR="00D43E1D">
        <w:rPr>
          <w:lang w:val="en-US"/>
        </w:rPr>
        <w:t xml:space="preserve">velocities </w:t>
      </w:r>
      <w:bookmarkStart w:id="117" w:name="_Hlk95991491"/>
      <w:r w:rsidR="00D43E1D">
        <w:rPr>
          <w:lang w:val="en-US"/>
        </w:rPr>
        <w:t xml:space="preserve">in Weir Pool </w:t>
      </w:r>
      <w:r w:rsidR="002245DE">
        <w:rPr>
          <w:lang w:val="en-US"/>
        </w:rPr>
        <w:t>4</w:t>
      </w:r>
      <w:r w:rsidR="00D43E1D">
        <w:rPr>
          <w:lang w:val="en-US"/>
        </w:rPr>
        <w:t xml:space="preserve"> </w:t>
      </w:r>
      <w:bookmarkEnd w:id="117"/>
      <w:r w:rsidR="00D43E1D">
        <w:rPr>
          <w:lang w:val="en-US"/>
        </w:rPr>
        <w:t>during</w:t>
      </w:r>
      <w:r>
        <w:rPr>
          <w:lang w:val="en-US"/>
        </w:rPr>
        <w:t xml:space="preserve"> the 2020 flow pulse. Small weir pool lowerings (WPLs) within the operational range were undertaken to coincide with the flow pulse at Locks 1 and 2. Operations such as this are feasible under current river operations, and s</w:t>
      </w:r>
      <w:r w:rsidRPr="00536B65">
        <w:rPr>
          <w:lang w:val="en-US"/>
        </w:rPr>
        <w:t xml:space="preserve">imilar </w:t>
      </w:r>
      <w:r>
        <w:rPr>
          <w:lang w:val="en-US"/>
        </w:rPr>
        <w:t>WPLs</w:t>
      </w:r>
      <w:r w:rsidRPr="00536B65">
        <w:rPr>
          <w:lang w:val="en-US"/>
        </w:rPr>
        <w:t xml:space="preserve"> (0.08 m below NPL) </w:t>
      </w:r>
      <w:r>
        <w:rPr>
          <w:lang w:val="en-US"/>
        </w:rPr>
        <w:t xml:space="preserve">were </w:t>
      </w:r>
      <w:r w:rsidRPr="00536B65">
        <w:rPr>
          <w:lang w:val="en-US"/>
        </w:rPr>
        <w:t xml:space="preserve">undertaken at </w:t>
      </w:r>
      <w:r>
        <w:rPr>
          <w:lang w:val="en-US"/>
        </w:rPr>
        <w:t>W</w:t>
      </w:r>
      <w:r w:rsidRPr="00536B65">
        <w:rPr>
          <w:lang w:val="en-US"/>
        </w:rPr>
        <w:t xml:space="preserve">eir </w:t>
      </w:r>
      <w:r>
        <w:rPr>
          <w:lang w:val="en-US"/>
        </w:rPr>
        <w:t>P</w:t>
      </w:r>
      <w:r w:rsidRPr="00536B65">
        <w:rPr>
          <w:lang w:val="en-US"/>
        </w:rPr>
        <w:t xml:space="preserve">ools 2, 5 and 6 in July 2017, and </w:t>
      </w:r>
      <w:r>
        <w:rPr>
          <w:lang w:val="en-US"/>
        </w:rPr>
        <w:t>a WPL of up</w:t>
      </w:r>
      <w:r w:rsidRPr="00536B65">
        <w:rPr>
          <w:lang w:val="en-US"/>
        </w:rPr>
        <w:t xml:space="preserve"> to 0.16</w:t>
      </w:r>
      <w:r>
        <w:rPr>
          <w:lang w:val="en-US"/>
        </w:rPr>
        <w:t> </w:t>
      </w:r>
      <w:r w:rsidRPr="00536B65">
        <w:rPr>
          <w:lang w:val="en-US"/>
        </w:rPr>
        <w:t>m</w:t>
      </w:r>
      <w:r>
        <w:rPr>
          <w:lang w:val="en-US"/>
        </w:rPr>
        <w:t xml:space="preserve"> lower</w:t>
      </w:r>
      <w:r w:rsidRPr="00536B65">
        <w:rPr>
          <w:lang w:val="en-US"/>
        </w:rPr>
        <w:t xml:space="preserve"> at Lock 6 in June 2018.</w:t>
      </w:r>
      <w:r>
        <w:rPr>
          <w:lang w:val="en-US"/>
        </w:rPr>
        <w:t xml:space="preserve"> </w:t>
      </w:r>
    </w:p>
    <w:p w14:paraId="662C8028" w14:textId="77777777" w:rsidR="00D278C9" w:rsidRDefault="00D278C9" w:rsidP="00D278C9">
      <w:pPr>
        <w:rPr>
          <w:lang w:val="en-US"/>
        </w:rPr>
      </w:pPr>
      <w:r>
        <w:rPr>
          <w:lang w:val="en-US"/>
        </w:rPr>
        <w:t xml:space="preserve">To provide some context to the benefits to lotic habitat from WPLs smaller than full weir removal (i.e. </w:t>
      </w:r>
      <w:r w:rsidRPr="006A742D">
        <w:rPr>
          <w:lang w:val="en-US"/>
        </w:rPr>
        <w:t>the</w:t>
      </w:r>
      <w:r w:rsidRPr="00665559">
        <w:rPr>
          <w:i/>
          <w:lang w:val="en-US"/>
        </w:rPr>
        <w:t xml:space="preserve"> No Locks </w:t>
      </w:r>
      <w:r>
        <w:rPr>
          <w:lang w:val="en-US"/>
        </w:rPr>
        <w:t>scenario), two additional scenarios have been considered:</w:t>
      </w:r>
    </w:p>
    <w:p w14:paraId="543D7AD6" w14:textId="0BE8D83B" w:rsidR="00D278C9" w:rsidRDefault="00D278C9" w:rsidP="00E85C2D">
      <w:pPr>
        <w:pStyle w:val="ListParagraph"/>
        <w:numPr>
          <w:ilvl w:val="0"/>
          <w:numId w:val="20"/>
        </w:numPr>
        <w:rPr>
          <w:lang w:val="en-US"/>
        </w:rPr>
      </w:pPr>
      <w:r w:rsidRPr="00536B65">
        <w:rPr>
          <w:b/>
          <w:lang w:val="en-US"/>
        </w:rPr>
        <w:t>2020 Planned</w:t>
      </w:r>
      <w:r>
        <w:rPr>
          <w:lang w:val="en-US"/>
        </w:rPr>
        <w:t xml:space="preserve"> which continues the weir pool raising at Lock 4 undertaken in 2020 for an additional 3 weeks, returning to pool level on </w:t>
      </w:r>
      <w:r w:rsidR="00FD2E10">
        <w:rPr>
          <w:lang w:val="en-US"/>
        </w:rPr>
        <w:t xml:space="preserve">25 </w:t>
      </w:r>
      <w:r>
        <w:rPr>
          <w:lang w:val="en-US"/>
        </w:rPr>
        <w:t>Decembe</w:t>
      </w:r>
      <w:r w:rsidR="00FD2E10">
        <w:rPr>
          <w:lang w:val="en-US"/>
        </w:rPr>
        <w:t>r</w:t>
      </w:r>
      <w:r>
        <w:rPr>
          <w:lang w:val="en-US"/>
        </w:rPr>
        <w:t>, the same as Lock 5. The WPLs at Lock</w:t>
      </w:r>
      <w:r w:rsidR="00FD2E10">
        <w:rPr>
          <w:lang w:val="en-US"/>
        </w:rPr>
        <w:t>s</w:t>
      </w:r>
      <w:r>
        <w:rPr>
          <w:lang w:val="en-US"/>
        </w:rPr>
        <w:t xml:space="preserve"> 1 and 2 were removed, and the water level remains at pool level. </w:t>
      </w:r>
    </w:p>
    <w:p w14:paraId="559E4AB1" w14:textId="70C11256" w:rsidR="00D278C9" w:rsidRPr="00FD2E7E" w:rsidRDefault="00023D19" w:rsidP="00FD2E7E">
      <w:pPr>
        <w:pStyle w:val="ListParagraph"/>
        <w:numPr>
          <w:ilvl w:val="0"/>
          <w:numId w:val="20"/>
        </w:numPr>
        <w:rPr>
          <w:lang w:val="en-US"/>
        </w:rPr>
      </w:pPr>
      <w:r w:rsidRPr="00536B65">
        <w:rPr>
          <w:b/>
          <w:lang w:val="en-US"/>
        </w:rPr>
        <w:t xml:space="preserve">0.1 m </w:t>
      </w:r>
      <w:r>
        <w:rPr>
          <w:b/>
          <w:lang w:val="en-US"/>
        </w:rPr>
        <w:t>below pool level</w:t>
      </w:r>
      <w:r w:rsidRPr="00536B65">
        <w:rPr>
          <w:b/>
          <w:lang w:val="en-US"/>
        </w:rPr>
        <w:t xml:space="preserve"> </w:t>
      </w:r>
      <w:r w:rsidRPr="00536B65">
        <w:rPr>
          <w:lang w:val="en-US"/>
        </w:rPr>
        <w:t>at all Lock</w:t>
      </w:r>
      <w:r>
        <w:rPr>
          <w:lang w:val="en-US"/>
        </w:rPr>
        <w:t>s</w:t>
      </w:r>
      <w:r w:rsidRPr="00536B65">
        <w:rPr>
          <w:lang w:val="en-US"/>
        </w:rPr>
        <w:t xml:space="preserve"> 1–5 for the period of the flow pulse, from 15 November to 25 December 2020</w:t>
      </w:r>
      <w:r w:rsidR="00D278C9" w:rsidRPr="00FD2E7E">
        <w:rPr>
          <w:lang w:val="en-US"/>
        </w:rPr>
        <w:t xml:space="preserve">.  </w:t>
      </w:r>
    </w:p>
    <w:p w14:paraId="68BCA4AE" w14:textId="4752AB9D" w:rsidR="00FD2E7E" w:rsidRDefault="00D278C9" w:rsidP="00FD2E7E">
      <w:r>
        <w:t xml:space="preserve">The results are presented in </w:t>
      </w:r>
      <w:r>
        <w:fldChar w:fldCharType="begin"/>
      </w:r>
      <w:r>
        <w:instrText xml:space="preserve"> REF _Ref84939594 \h </w:instrText>
      </w:r>
      <w:r>
        <w:fldChar w:fldCharType="separate"/>
      </w:r>
      <w:r w:rsidR="003C13F6">
        <w:t xml:space="preserve">Figure </w:t>
      </w:r>
      <w:r w:rsidR="003C13F6">
        <w:rPr>
          <w:noProof/>
        </w:rPr>
        <w:t>12</w:t>
      </w:r>
      <w:r>
        <w:fldChar w:fldCharType="end"/>
      </w:r>
      <w:r>
        <w:t xml:space="preserve">, compared to the </w:t>
      </w:r>
      <w:r w:rsidRPr="00165543">
        <w:rPr>
          <w:i/>
        </w:rPr>
        <w:t>No Locks</w:t>
      </w:r>
      <w:r>
        <w:t xml:space="preserve"> scenario. The discharge is the same in </w:t>
      </w:r>
      <w:r w:rsidR="00FD2E10">
        <w:t xml:space="preserve">all scenarios and </w:t>
      </w:r>
      <w:r>
        <w:t xml:space="preserve">it is only the assumptions for the weirs that produce the differences. </w:t>
      </w:r>
      <w:r w:rsidR="00023D19">
        <w:t xml:space="preserve">It can be seen that even a small WPL at all locks considered produced some benefits, with the maximum length of river with a velocity exceeding 0.3 m/s increasing by 24 km (7% of the length of river considered) from the </w:t>
      </w:r>
      <w:r w:rsidR="00023D19" w:rsidRPr="00A026C0">
        <w:rPr>
          <w:i/>
          <w:iCs/>
        </w:rPr>
        <w:t>2020 Planned</w:t>
      </w:r>
      <w:r w:rsidR="00023D19">
        <w:t xml:space="preserve"> scenario (131 km) to the </w:t>
      </w:r>
      <w:r w:rsidR="00023D19" w:rsidRPr="00A026C0">
        <w:rPr>
          <w:i/>
          <w:iCs/>
        </w:rPr>
        <w:t>0.1 m WPL</w:t>
      </w:r>
      <w:r w:rsidR="00023D19">
        <w:t xml:space="preserve"> scenario (155 km), </w:t>
      </w:r>
      <w:r w:rsidR="00FD2E7E">
        <w:t xml:space="preserve">but the </w:t>
      </w:r>
      <w:r w:rsidR="00FD2E7E" w:rsidRPr="00165543">
        <w:rPr>
          <w:i/>
        </w:rPr>
        <w:t>No Locks</w:t>
      </w:r>
      <w:r w:rsidR="00FD2E7E">
        <w:rPr>
          <w:i/>
        </w:rPr>
        <w:t xml:space="preserve"> </w:t>
      </w:r>
      <w:r w:rsidR="00FD2E7E">
        <w:t xml:space="preserve">scenario doubling the length of river with velocities greater than 0.3 m/s (269 km). Over the period of WPL (shown as the dotted vertical lines) the mean length of river with a velocity greater than 0.3 m/s (0.2 m/s in brackets) for each scenario was 68 (187), 81 (202) and 200 (299) km for the </w:t>
      </w:r>
      <w:r w:rsidR="00FD2E7E" w:rsidRPr="00A026C0">
        <w:rPr>
          <w:i/>
          <w:iCs/>
        </w:rPr>
        <w:t>2020 Planned</w:t>
      </w:r>
      <w:r w:rsidR="00FD2E7E">
        <w:t xml:space="preserve">, </w:t>
      </w:r>
      <w:r w:rsidR="00FD2E7E" w:rsidRPr="00A026C0">
        <w:rPr>
          <w:i/>
          <w:iCs/>
        </w:rPr>
        <w:t>0.1 m WPL</w:t>
      </w:r>
      <w:r w:rsidR="00FD2E7E">
        <w:t xml:space="preserve"> and </w:t>
      </w:r>
      <w:r w:rsidR="00FD2E7E" w:rsidRPr="00A026C0">
        <w:rPr>
          <w:i/>
          <w:iCs/>
        </w:rPr>
        <w:t>No Locks</w:t>
      </w:r>
      <w:r w:rsidR="00FD2E7E">
        <w:t xml:space="preserve"> scenarios, respectively.</w:t>
      </w:r>
    </w:p>
    <w:p w14:paraId="280688B2" w14:textId="3CBB0659" w:rsidR="00FD2E7E" w:rsidRPr="00165543" w:rsidRDefault="00023D19" w:rsidP="00FD2E7E">
      <w:pPr>
        <w:rPr>
          <w:i/>
        </w:rPr>
      </w:pPr>
      <w:r>
        <w:t>The results indicate that 2020 operations that were modified to be</w:t>
      </w:r>
      <w:r w:rsidR="00FC6FCA">
        <w:t xml:space="preserve"> </w:t>
      </w:r>
      <w:r>
        <w:t xml:space="preserve">cognisant of the impact of weir pool raising on main channel river velocities slightly increased the amount of lotic habitat (reach with velocity greater than 0.3 m/s). </w:t>
      </w:r>
      <w:r w:rsidR="00FD2E7E">
        <w:t xml:space="preserve">Assuming all five weirs considered in this work were lowered by 0.1 m, the benefit was in the order of 20 km for the 2020 conditions considered, which included Locks 4 and 5 being raised. However, the degree of the weir pool operation has a direct relationship to the resulting benefits, with the </w:t>
      </w:r>
      <w:r w:rsidR="00FD2E7E" w:rsidRPr="00165543">
        <w:rPr>
          <w:i/>
        </w:rPr>
        <w:t>No Locks</w:t>
      </w:r>
      <w:r w:rsidR="00FD2E7E">
        <w:t xml:space="preserve"> scenario a substantial increase in length of lotic habitat compared to the </w:t>
      </w:r>
      <w:r w:rsidR="00FD2E7E" w:rsidRPr="00E87870">
        <w:rPr>
          <w:i/>
          <w:iCs/>
        </w:rPr>
        <w:t>0.1 m WPL</w:t>
      </w:r>
      <w:r w:rsidR="00FD2E7E">
        <w:t xml:space="preserve"> scenario. </w:t>
      </w:r>
    </w:p>
    <w:p w14:paraId="1FD74ABB" w14:textId="1DB6D435" w:rsidR="00D278C9" w:rsidRPr="00165543" w:rsidRDefault="00D278C9" w:rsidP="00FD2E7E">
      <w:pPr>
        <w:rPr>
          <w:i/>
        </w:rPr>
      </w:pPr>
      <w:r>
        <w:t xml:space="preserve"> </w:t>
      </w:r>
    </w:p>
    <w:p w14:paraId="215AAAFF" w14:textId="1CBBE35A" w:rsidR="00D278C9" w:rsidRDefault="00D85F90" w:rsidP="00D278C9">
      <w:pPr>
        <w:keepNext/>
      </w:pPr>
      <w:r>
        <w:rPr>
          <w:noProof/>
        </w:rPr>
        <w:lastRenderedPageBreak/>
        <w:drawing>
          <wp:inline distT="0" distB="0" distL="0" distR="0" wp14:anchorId="33404C13" wp14:editId="615E8786">
            <wp:extent cx="5727700" cy="3408237"/>
            <wp:effectExtent l="0" t="0" r="635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4818"/>
                    <a:stretch/>
                  </pic:blipFill>
                  <pic:spPr bwMode="auto">
                    <a:xfrm>
                      <a:off x="0" y="0"/>
                      <a:ext cx="5727700" cy="3408237"/>
                    </a:xfrm>
                    <a:prstGeom prst="rect">
                      <a:avLst/>
                    </a:prstGeom>
                    <a:noFill/>
                    <a:ln>
                      <a:noFill/>
                    </a:ln>
                    <a:extLst>
                      <a:ext uri="{53640926-AAD7-44D8-BBD7-CCE9431645EC}">
                        <a14:shadowObscured xmlns:a14="http://schemas.microsoft.com/office/drawing/2010/main"/>
                      </a:ext>
                    </a:extLst>
                  </pic:spPr>
                </pic:pic>
              </a:graphicData>
            </a:graphic>
          </wp:inline>
        </w:drawing>
      </w:r>
    </w:p>
    <w:p w14:paraId="2E5EC1EB" w14:textId="336DDBBF" w:rsidR="00D278C9" w:rsidRDefault="00FD2E7E" w:rsidP="00D278C9">
      <w:pPr>
        <w:pStyle w:val="Caption"/>
      </w:pPr>
      <w:bookmarkStart w:id="118" w:name="_Ref84939594"/>
      <w:bookmarkStart w:id="119" w:name="_Toc101963804"/>
      <w:r>
        <w:t xml:space="preserve">Figure </w:t>
      </w:r>
      <w:fldSimple w:instr=" SEQ Figure \* ARABIC ">
        <w:r w:rsidR="003C13F6">
          <w:rPr>
            <w:noProof/>
          </w:rPr>
          <w:t>12</w:t>
        </w:r>
      </w:fldSimple>
      <w:bookmarkEnd w:id="118"/>
      <w:r w:rsidR="00F83C08">
        <w:rPr>
          <w:noProof/>
        </w:rPr>
        <w:t>.</w:t>
      </w:r>
      <w:r w:rsidR="00D278C9">
        <w:t xml:space="preserve"> Length of river with velocities greater than 0.2 m/s (top) and 0.3 m/s (bottom) for scenarios that represent planned operations in 2020, a scenario that removed weir pool raising at Locks 4 and 5, and instead lowered Weir Pools 1–5 (0.1 m WPL), a scenario with full weir removal at Locks 1 – 5 (No Locks)</w:t>
      </w:r>
      <w:r w:rsidR="00023D19">
        <w:t>, and the actual conditions. The dashed vertical lines indicate the period with weir pools operations (raising or lowerings).</w:t>
      </w:r>
      <w:bookmarkEnd w:id="119"/>
    </w:p>
    <w:p w14:paraId="65E2DA98" w14:textId="77777777" w:rsidR="00321AF7" w:rsidRPr="00321AF7" w:rsidRDefault="00321AF7" w:rsidP="00321AF7"/>
    <w:p w14:paraId="04422094" w14:textId="77777777" w:rsidR="00D278C9" w:rsidRDefault="00D278C9" w:rsidP="00D278C9">
      <w:pPr>
        <w:pStyle w:val="Heading3"/>
      </w:pPr>
      <w:r w:rsidRPr="00E35C12">
        <w:t>Conclusion</w:t>
      </w:r>
      <w:bookmarkEnd w:id="110"/>
      <w:r>
        <w:t xml:space="preserve"> </w:t>
      </w:r>
    </w:p>
    <w:p w14:paraId="4DC208B8" w14:textId="77777777" w:rsidR="002245DE" w:rsidRDefault="002245DE" w:rsidP="002245DE">
      <w:bookmarkStart w:id="120" w:name="_Hlk95935708"/>
      <w:bookmarkStart w:id="121" w:name="_Ref533001074"/>
      <w:bookmarkStart w:id="122" w:name="_Ref533001120"/>
      <w:bookmarkStart w:id="123" w:name="_Toc3558337"/>
      <w:r>
        <w:t>The current year (2020-21) was the first year with significant unregulated flow since the high flow year of 2016-17, and the second highest total flow volume to South Australia since the start of LTIM in 2014-15. Environmental water volumes delivered, both Commonwealth and total, were close to average over this period. However, the coordinated delivery of environmental water, both from different tributaries as well as different water holders, resulted in one of the largest increases in hydraulic diversity, water level variability and connectivity, over the evaluation period.</w:t>
      </w:r>
    </w:p>
    <w:bookmarkEnd w:id="120"/>
    <w:p w14:paraId="6D4FEA50" w14:textId="69DD42DB" w:rsidR="00023D19" w:rsidRDefault="00023D19" w:rsidP="00023D19">
      <w:pPr>
        <w:sectPr w:rsidR="00023D19" w:rsidSect="00310F23">
          <w:footnotePr>
            <w:numFmt w:val="lowerLetter"/>
          </w:footnotePr>
          <w:pgSz w:w="11900" w:h="16840" w:code="9"/>
          <w:pgMar w:top="1440" w:right="1440" w:bottom="1440" w:left="1440" w:header="709" w:footer="709" w:gutter="0"/>
          <w:cols w:space="708"/>
          <w:docGrid w:linePitch="360"/>
        </w:sectPr>
      </w:pPr>
      <w:r>
        <w:t>Due to Commonwealth environmental water, the flow pulse in late November 2020 resulted in the largest increase in lotic habitat with an additional 84 km of river (25% of the reach considered) for a period of 14 days or an additional 31 km of river (9% of the reach considered) for a period of 30 days.</w:t>
      </w:r>
      <w:r w:rsidRPr="00162464">
        <w:t xml:space="preserve"> </w:t>
      </w:r>
      <w:r>
        <w:t>These durations</w:t>
      </w:r>
      <w:r w:rsidRPr="00162464">
        <w:t xml:space="preserve"> </w:t>
      </w:r>
      <w:r>
        <w:t>relate to</w:t>
      </w:r>
      <w:r w:rsidRPr="00162464">
        <w:t xml:space="preserve"> a number of flow-related ecological or life-history processes that could occur over periods of ~2−4 weeks</w:t>
      </w:r>
      <w:r>
        <w:t xml:space="preserve"> (see Section 3)</w:t>
      </w:r>
      <w:r w:rsidRPr="00162464">
        <w:t>.</w:t>
      </w:r>
      <w:r>
        <w:t xml:space="preserve"> Without environmental water, flow to South Australia over November would have been at entitlement flow of 6,000 ML/d, compared to the peak of 17,926 ML/d created (November average of </w:t>
      </w:r>
      <w:r w:rsidRPr="0022517A">
        <w:t>1</w:t>
      </w:r>
      <w:r>
        <w:t>2,477 ML/d). The operational changes to remove a weir pool raising at Lock 4, and small WPLs at Locks 1 and 2, made small, but discernible, contributions to the increases in lotic habitat.</w:t>
      </w:r>
    </w:p>
    <w:p w14:paraId="0729B374" w14:textId="77777777" w:rsidR="00E92DD5" w:rsidRPr="00E92DD5" w:rsidRDefault="00E92DD5" w:rsidP="00E92DD5">
      <w:pPr>
        <w:pStyle w:val="Heading2"/>
      </w:pPr>
      <w:bookmarkStart w:id="124" w:name="_Toc101963773"/>
      <w:r w:rsidRPr="00E92DD5">
        <w:lastRenderedPageBreak/>
        <w:t>Stream Metabolism</w:t>
      </w:r>
      <w:bookmarkEnd w:id="121"/>
      <w:bookmarkEnd w:id="122"/>
      <w:bookmarkEnd w:id="123"/>
      <w:r w:rsidRPr="00E92DD5">
        <w:t xml:space="preserve"> and Water Quality</w:t>
      </w:r>
      <w:bookmarkEnd w:id="124"/>
    </w:p>
    <w:p w14:paraId="6CCE4FFE" w14:textId="77777777" w:rsidR="00456CBA" w:rsidRPr="00E35C12" w:rsidRDefault="00456CBA" w:rsidP="00456CBA">
      <w:pPr>
        <w:pStyle w:val="Heading3"/>
      </w:pPr>
      <w:r w:rsidRPr="00E35C12">
        <w:t>Background</w:t>
      </w:r>
    </w:p>
    <w:p w14:paraId="114D5A8C" w14:textId="17EA5C9D" w:rsidR="00E92DD5" w:rsidRDefault="00E92DD5" w:rsidP="00E92DD5">
      <w:r w:rsidRPr="00D4355A">
        <w:t xml:space="preserve">River metabolism measurements estimate </w:t>
      </w:r>
      <w:r>
        <w:t xml:space="preserve">the </w:t>
      </w:r>
      <w:r w:rsidRPr="00D4355A">
        <w:t xml:space="preserve">in-stream rates of </w:t>
      </w:r>
      <w:r>
        <w:t xml:space="preserve">gross primary production (GPP) </w:t>
      </w:r>
      <w:r w:rsidRPr="00D4355A">
        <w:t xml:space="preserve">and </w:t>
      </w:r>
      <w:r>
        <w:t xml:space="preserve">ecosystem </w:t>
      </w:r>
      <w:r w:rsidRPr="00D4355A">
        <w:t>respiration</w:t>
      </w:r>
      <w:r>
        <w:t xml:space="preserve"> (ER),</w:t>
      </w:r>
      <w:r w:rsidRPr="00D4355A">
        <w:t xml:space="preserve"> provid</w:t>
      </w:r>
      <w:r>
        <w:t>ing</w:t>
      </w:r>
      <w:r w:rsidRPr="00D4355A">
        <w:t xml:space="preserve"> information on the </w:t>
      </w:r>
      <w:r>
        <w:t>sources and utilisation of organic carbon in</w:t>
      </w:r>
      <w:r w:rsidRPr="00D4355A">
        <w:t xml:space="preserve"> riverine food webs (Odum 1956; Young and Huryn 1996; Oliver and Merrick 2006). </w:t>
      </w:r>
      <w:r>
        <w:t xml:space="preserve">Comparing rates of photosynthesis and respiration helps </w:t>
      </w:r>
      <w:r w:rsidRPr="00D4355A">
        <w:t>describe the fundamental trophic energy connections that characterise different food web types</w:t>
      </w:r>
      <w:r>
        <w:t>. It can indicate whether production or decomposition processes predominate, and</w:t>
      </w:r>
      <w:r w:rsidRPr="00D4355A">
        <w:t xml:space="preserve"> whether the organic </w:t>
      </w:r>
      <w:r>
        <w:t xml:space="preserve">food </w:t>
      </w:r>
      <w:r w:rsidRPr="00D4355A">
        <w:t>materials have come from within the river (autochthonous</w:t>
      </w:r>
      <w:r>
        <w:t xml:space="preserve"> sources</w:t>
      </w:r>
      <w:r w:rsidRPr="00D4355A">
        <w:t>) or from the surrounding landscape (allochthonous</w:t>
      </w:r>
      <w:r>
        <w:t xml:space="preserve"> sources</w:t>
      </w:r>
      <w:r w:rsidRPr="00D4355A">
        <w:t>)</w:t>
      </w:r>
      <w:r>
        <w:t>.</w:t>
      </w:r>
      <w:r w:rsidRPr="00D4355A">
        <w:t xml:space="preserve"> </w:t>
      </w:r>
      <w:r>
        <w:t>The magnitude and characteristics of the metabolic processes indicate</w:t>
      </w:r>
      <w:r w:rsidRPr="00D4355A">
        <w:t xml:space="preserve"> the size of the food web and its capacity to support higher trophic levels</w:t>
      </w:r>
      <w:r>
        <w:t>,</w:t>
      </w:r>
      <w:r w:rsidRPr="00D4355A">
        <w:t xml:space="preserve"> including fish</w:t>
      </w:r>
      <w:r>
        <w:t>,</w:t>
      </w:r>
      <w:r w:rsidRPr="00D4355A">
        <w:t xml:space="preserve"> </w:t>
      </w:r>
      <w:r>
        <w:t>which are key targets for ecosystem management</w:t>
      </w:r>
      <w:r w:rsidRPr="00D4355A">
        <w:t xml:space="preserve"> (Odum 1956; </w:t>
      </w:r>
      <w:r>
        <w:t xml:space="preserve">Sellars and Bukaveckas 2003; </w:t>
      </w:r>
      <w:r w:rsidRPr="00D4355A">
        <w:t>Oliver and Merrick 2006</w:t>
      </w:r>
      <w:r>
        <w:t>; Oliver and Lorenz 2010</w:t>
      </w:r>
      <w:r w:rsidRPr="00D4355A">
        <w:t>).</w:t>
      </w:r>
      <w:r>
        <w:t xml:space="preserve"> As concentrations of dissolved oxygen (DO) are monitored to estimate rates of stream metabolism, these measurements provide ancillary information on the suitability of oxygen levels to support aquatic biota.</w:t>
      </w:r>
    </w:p>
    <w:p w14:paraId="5F97650E" w14:textId="2AA55C39" w:rsidR="00E92DD5" w:rsidRPr="00A97482" w:rsidRDefault="00E92DD5" w:rsidP="00E92DD5">
      <w:pPr>
        <w:rPr>
          <w:iCs/>
        </w:rPr>
      </w:pPr>
      <w:r>
        <w:rPr>
          <w:iCs/>
        </w:rPr>
        <w:t>Planktonic</w:t>
      </w:r>
      <w:r w:rsidRPr="00A97482">
        <w:rPr>
          <w:iCs/>
        </w:rPr>
        <w:t xml:space="preserve"> </w:t>
      </w:r>
      <w:r>
        <w:rPr>
          <w:iCs/>
        </w:rPr>
        <w:t>p</w:t>
      </w:r>
      <w:r w:rsidRPr="00A97482">
        <w:rPr>
          <w:iCs/>
        </w:rPr>
        <w:t xml:space="preserve">hotosynthetic microbes, comprised of microalgae and cyanobacteria, fix dissolved carbon dioxide using the energy of sunlight to form organic materials for cell growth (Sellers and Bukaveckas 2003; Oliver and Merrick 2006; Várbíró </w:t>
      </w:r>
      <w:r w:rsidRPr="00A97482">
        <w:rPr>
          <w:i/>
          <w:iCs/>
        </w:rPr>
        <w:t>et al.</w:t>
      </w:r>
      <w:r w:rsidRPr="00A97482">
        <w:rPr>
          <w:iCs/>
        </w:rPr>
        <w:t xml:space="preserve"> 2018). The availability of light for phytoplankton photosynthesis is influenced by the depth of light penetration</w:t>
      </w:r>
      <w:r>
        <w:rPr>
          <w:iCs/>
        </w:rPr>
        <w:t>, water depth,</w:t>
      </w:r>
      <w:r w:rsidRPr="00A97482">
        <w:rPr>
          <w:iCs/>
        </w:rPr>
        <w:t xml:space="preserve"> and the intensity of water mixing that circulates phytoplankton through the upper illuminated surface layers. The availability and concentrations of nutrients </w:t>
      </w:r>
      <w:r>
        <w:rPr>
          <w:iCs/>
        </w:rPr>
        <w:t xml:space="preserve">can </w:t>
      </w:r>
      <w:r w:rsidRPr="00A97482">
        <w:rPr>
          <w:iCs/>
        </w:rPr>
        <w:t xml:space="preserve">also affect photosynthesis and the </w:t>
      </w:r>
      <w:r>
        <w:rPr>
          <w:iCs/>
        </w:rPr>
        <w:t>production</w:t>
      </w:r>
      <w:r w:rsidRPr="00A97482">
        <w:rPr>
          <w:iCs/>
        </w:rPr>
        <w:t xml:space="preserve"> of organic materials (Reynolds 1984). </w:t>
      </w:r>
      <w:r>
        <w:rPr>
          <w:iCs/>
        </w:rPr>
        <w:t>F</w:t>
      </w:r>
      <w:r w:rsidRPr="00A97482">
        <w:rPr>
          <w:iCs/>
        </w:rPr>
        <w:t>low rates</w:t>
      </w:r>
      <w:r>
        <w:rPr>
          <w:iCs/>
        </w:rPr>
        <w:t>, water depth</w:t>
      </w:r>
      <w:r w:rsidRPr="00A97482">
        <w:rPr>
          <w:iCs/>
        </w:rPr>
        <w:t xml:space="preserve"> and water quality, are influenced by the </w:t>
      </w:r>
      <w:r>
        <w:rPr>
          <w:iCs/>
        </w:rPr>
        <w:t xml:space="preserve">volumes of water delivered from the different </w:t>
      </w:r>
      <w:r w:rsidRPr="00A97482">
        <w:rPr>
          <w:iCs/>
        </w:rPr>
        <w:t>catchment sources, includ</w:t>
      </w:r>
      <w:r>
        <w:rPr>
          <w:iCs/>
        </w:rPr>
        <w:t>ing</w:t>
      </w:r>
      <w:r w:rsidRPr="00A97482">
        <w:rPr>
          <w:iCs/>
        </w:rPr>
        <w:t xml:space="preserve"> contributions </w:t>
      </w:r>
      <w:r>
        <w:rPr>
          <w:iCs/>
        </w:rPr>
        <w:t xml:space="preserve">of </w:t>
      </w:r>
      <w:r w:rsidRPr="00A97482">
        <w:rPr>
          <w:iCs/>
        </w:rPr>
        <w:t>environmental water.</w:t>
      </w:r>
    </w:p>
    <w:p w14:paraId="4E0CACC4" w14:textId="2D65C550" w:rsidR="00E92DD5" w:rsidRDefault="00E92DD5" w:rsidP="00E92DD5">
      <w:pPr>
        <w:rPr>
          <w:lang w:val="en-US"/>
        </w:rPr>
      </w:pPr>
      <w:r w:rsidRPr="00A97482" w:rsidDel="00D07833">
        <w:t>Net ecosystem production</w:t>
      </w:r>
      <w:r w:rsidRPr="00A97482">
        <w:t xml:space="preserve"> (NEP)</w:t>
      </w:r>
      <w:r w:rsidRPr="00A97482" w:rsidDel="00D07833">
        <w:t xml:space="preserve">, the difference between GPP and </w:t>
      </w:r>
      <w:r w:rsidRPr="00A97482">
        <w:t>E</w:t>
      </w:r>
      <w:r w:rsidRPr="00A97482" w:rsidDel="00D07833">
        <w:t xml:space="preserve">R, is considered a measure of the overall carbon balance </w:t>
      </w:r>
      <w:r w:rsidRPr="00A97482">
        <w:t xml:space="preserve">and </w:t>
      </w:r>
      <w:r>
        <w:t xml:space="preserve">is </w:t>
      </w:r>
      <w:r w:rsidRPr="00A97482">
        <w:t xml:space="preserve">frequently used as an estimate of the basal food resource supply (Odum 1956; Young and Huryn 1996; Oliver and Merrick 2006). </w:t>
      </w:r>
      <w:r w:rsidR="00C53774" w:rsidRPr="00A97482">
        <w:t>I</w:t>
      </w:r>
      <w:r w:rsidR="00C53774" w:rsidRPr="00A97482" w:rsidDel="00D07833">
        <w:t>f GPP&gt;</w:t>
      </w:r>
      <w:r w:rsidR="00C53774" w:rsidRPr="00A97482">
        <w:t>E</w:t>
      </w:r>
      <w:r w:rsidR="00C53774" w:rsidRPr="00A97482" w:rsidDel="00D07833">
        <w:t>R</w:t>
      </w:r>
      <w:r w:rsidR="00C53774" w:rsidRPr="00A97482">
        <w:t>,</w:t>
      </w:r>
      <w:r w:rsidR="00C53774" w:rsidRPr="00A97482" w:rsidDel="00D07833">
        <w:t xml:space="preserve"> carbon is accumulating, while if GPP&lt;</w:t>
      </w:r>
      <w:r w:rsidR="00C53774" w:rsidRPr="00A97482">
        <w:t>E</w:t>
      </w:r>
      <w:r w:rsidR="00C53774" w:rsidRPr="00A97482" w:rsidDel="00D07833">
        <w:t>R</w:t>
      </w:r>
      <w:r w:rsidR="00C53774" w:rsidRPr="00A97482">
        <w:t>,</w:t>
      </w:r>
      <w:r w:rsidR="00C53774" w:rsidRPr="00A97482" w:rsidDel="00D07833">
        <w:t xml:space="preserve"> carbon is being lost from the system. </w:t>
      </w:r>
      <w:r w:rsidRPr="00A97482">
        <w:t>However, t</w:t>
      </w:r>
      <w:r w:rsidRPr="00A97482" w:rsidDel="00D07833">
        <w:t xml:space="preserve">his interpretation implicitly assumes that fixation of carbon through photosynthesis is the </w:t>
      </w:r>
      <w:r>
        <w:t xml:space="preserve">primary </w:t>
      </w:r>
      <w:r w:rsidRPr="00A97482" w:rsidDel="00D07833">
        <w:t xml:space="preserve">source of organic material </w:t>
      </w:r>
      <w:r>
        <w:t>for</w:t>
      </w:r>
      <w:r w:rsidRPr="00A97482" w:rsidDel="00D07833">
        <w:t xml:space="preserve"> respiration. </w:t>
      </w:r>
      <w:r w:rsidRPr="00A97482">
        <w:t>T</w:t>
      </w:r>
      <w:r w:rsidRPr="00A97482" w:rsidDel="00D07833">
        <w:t xml:space="preserve">his is not </w:t>
      </w:r>
      <w:r w:rsidRPr="00A97482">
        <w:t xml:space="preserve">usually </w:t>
      </w:r>
      <w:r w:rsidRPr="00A97482" w:rsidDel="00D07833">
        <w:t>the case, as</w:t>
      </w:r>
      <w:r>
        <w:t xml:space="preserve"> ecosystem</w:t>
      </w:r>
      <w:r w:rsidRPr="00A97482" w:rsidDel="00D07833">
        <w:t xml:space="preserve"> respiration also </w:t>
      </w:r>
      <w:r>
        <w:t xml:space="preserve">includes </w:t>
      </w:r>
      <w:r w:rsidRPr="00A97482">
        <w:t>the decomposition</w:t>
      </w:r>
      <w:r w:rsidRPr="00A97482" w:rsidDel="00D07833">
        <w:t xml:space="preserve"> of allochthonous organic carbon by heterotrophs</w:t>
      </w:r>
      <w:r>
        <w:t>,</w:t>
      </w:r>
      <w:r w:rsidRPr="00A97482">
        <w:t xml:space="preserve"> </w:t>
      </w:r>
      <w:r>
        <w:t>and this</w:t>
      </w:r>
      <w:r w:rsidRPr="00A97482">
        <w:t xml:space="preserve"> </w:t>
      </w:r>
      <w:r w:rsidRPr="00A97482" w:rsidDel="00D07833">
        <w:t xml:space="preserve">results in heterotrophic production, an additional </w:t>
      </w:r>
      <w:r w:rsidRPr="00A97482">
        <w:t>food re</w:t>
      </w:r>
      <w:r w:rsidRPr="00A97482" w:rsidDel="00D07833">
        <w:t xml:space="preserve">source not accounted for in the NEP calculation. </w:t>
      </w:r>
      <w:r w:rsidRPr="00A97482">
        <w:rPr>
          <w:iCs/>
        </w:rPr>
        <w:t>Terrestrial organic carbon enters rivers in particulate and dissolved forms, but dissolved organic carbon is most actively incorporated by heterotrophic microbes such as bacteria</w:t>
      </w:r>
      <w:r>
        <w:rPr>
          <w:iCs/>
        </w:rPr>
        <w:t xml:space="preserve"> and</w:t>
      </w:r>
      <w:r w:rsidRPr="00A97482">
        <w:rPr>
          <w:iCs/>
        </w:rPr>
        <w:t xml:space="preserve"> is </w:t>
      </w:r>
      <w:r w:rsidRPr="00A97482">
        <w:rPr>
          <w:lang w:val="en-US"/>
        </w:rPr>
        <w:t xml:space="preserve">a major driver of heterotrophic respiration </w:t>
      </w:r>
      <w:r w:rsidRPr="00A97482">
        <w:rPr>
          <w:iCs/>
        </w:rPr>
        <w:t xml:space="preserve">(Graeber </w:t>
      </w:r>
      <w:r w:rsidRPr="00A97482">
        <w:rPr>
          <w:i/>
          <w:iCs/>
        </w:rPr>
        <w:t>et al.</w:t>
      </w:r>
      <w:r w:rsidRPr="00A97482">
        <w:rPr>
          <w:iCs/>
        </w:rPr>
        <w:t xml:space="preserve"> 2018). Flow patterns are important in determining the sources and supply of terrestrial organic carbon, and </w:t>
      </w:r>
      <w:r>
        <w:rPr>
          <w:iCs/>
        </w:rPr>
        <w:t xml:space="preserve">as </w:t>
      </w:r>
      <w:r w:rsidRPr="00A97482">
        <w:rPr>
          <w:iCs/>
        </w:rPr>
        <w:t xml:space="preserve">environmental flows </w:t>
      </w:r>
      <w:r>
        <w:rPr>
          <w:iCs/>
        </w:rPr>
        <w:t xml:space="preserve">influence these patterns, they will </w:t>
      </w:r>
      <w:r w:rsidRPr="00A97482">
        <w:rPr>
          <w:iCs/>
        </w:rPr>
        <w:t xml:space="preserve">impact the carbon supply to the river food web (Oliver and Merrick 2006; Baldwin </w:t>
      </w:r>
      <w:r w:rsidRPr="00A97482">
        <w:rPr>
          <w:i/>
          <w:iCs/>
        </w:rPr>
        <w:t>et al.</w:t>
      </w:r>
      <w:r w:rsidRPr="00A97482">
        <w:rPr>
          <w:iCs/>
        </w:rPr>
        <w:t xml:space="preserve"> 2016). </w:t>
      </w:r>
    </w:p>
    <w:p w14:paraId="574CBD82" w14:textId="77777777" w:rsidR="00E92DD5" w:rsidRDefault="00E92DD5" w:rsidP="00E92DD5">
      <w:pPr>
        <w:rPr>
          <w:i/>
          <w:u w:val="single"/>
        </w:rPr>
      </w:pPr>
    </w:p>
    <w:p w14:paraId="360F0A0E" w14:textId="77777777" w:rsidR="00E92DD5" w:rsidRDefault="00E92DD5" w:rsidP="00E92DD5">
      <w:pPr>
        <w:spacing w:before="0" w:after="160" w:line="259" w:lineRule="auto"/>
        <w:jc w:val="left"/>
        <w:rPr>
          <w:i/>
          <w:u w:val="single"/>
        </w:rPr>
      </w:pPr>
      <w:r>
        <w:rPr>
          <w:i/>
          <w:u w:val="single"/>
        </w:rPr>
        <w:br w:type="page"/>
      </w:r>
    </w:p>
    <w:p w14:paraId="7A018F27" w14:textId="77777777" w:rsidR="00E92DD5" w:rsidRPr="005708C8" w:rsidRDefault="00E92DD5" w:rsidP="00E92DD5">
      <w:pPr>
        <w:rPr>
          <w:i/>
          <w:u w:val="single"/>
        </w:rPr>
      </w:pPr>
      <w:r w:rsidRPr="005708C8">
        <w:rPr>
          <w:i/>
          <w:u w:val="single"/>
        </w:rPr>
        <w:lastRenderedPageBreak/>
        <w:t>Major hypotheses</w:t>
      </w:r>
    </w:p>
    <w:p w14:paraId="28DDC3BB" w14:textId="77777777" w:rsidR="00E92DD5" w:rsidRDefault="00E92DD5" w:rsidP="00E92DD5">
      <w:r>
        <w:t xml:space="preserve">To assess the influence of environmental flows on river metabolism the following major hypotheses were addressed by the monitoring. </w:t>
      </w:r>
    </w:p>
    <w:p w14:paraId="5EAA9A73" w14:textId="77777777" w:rsidR="00E92DD5" w:rsidRDefault="00E92DD5" w:rsidP="00E92DD5">
      <w:r>
        <w:t>In the spring/summer period, the increased flows and improved patterns of delivery</w:t>
      </w:r>
      <w:r w:rsidRPr="007E6727">
        <w:t xml:space="preserve"> </w:t>
      </w:r>
      <w:r>
        <w:t>into the LMR due to additions of environmental water will:</w:t>
      </w:r>
    </w:p>
    <w:p w14:paraId="51F40C7C" w14:textId="64CB07DD" w:rsidR="00E92DD5" w:rsidRDefault="00E92DD5" w:rsidP="00E92DD5">
      <w:pPr>
        <w:pStyle w:val="ListParagraph"/>
        <w:numPr>
          <w:ilvl w:val="0"/>
          <w:numId w:val="17"/>
        </w:numPr>
        <w:ind w:left="714" w:hanging="357"/>
        <w:contextualSpacing w:val="0"/>
      </w:pPr>
      <w:r>
        <w:t>Increase phytoplankton photosynthesis and the supply of autochthonous organic carbon to food webs if changes to flow and water quality improve growth conditions, particularly through enhanced light and nutrient availability.</w:t>
      </w:r>
    </w:p>
    <w:p w14:paraId="1A8FE1AB" w14:textId="30F3FCA4" w:rsidR="00E92DD5" w:rsidRDefault="00E92DD5" w:rsidP="00E92DD5">
      <w:pPr>
        <w:pStyle w:val="ListParagraph"/>
        <w:numPr>
          <w:ilvl w:val="0"/>
          <w:numId w:val="17"/>
        </w:numPr>
        <w:ind w:left="714" w:hanging="357"/>
        <w:contextualSpacing w:val="0"/>
      </w:pPr>
      <w:r>
        <w:t xml:space="preserve">Enhance </w:t>
      </w:r>
      <w:r w:rsidR="00CC73D3">
        <w:t xml:space="preserve">ER </w:t>
      </w:r>
      <w:r>
        <w:t>rates and heterotrophic production if flows improve primary production, or better connect the channel with riparian, wetland or floodplain areas, increasing the supply of allochthonous organic carbon.</w:t>
      </w:r>
    </w:p>
    <w:p w14:paraId="1CD110D3" w14:textId="0FE05F14" w:rsidR="00E92DD5" w:rsidRDefault="00E92DD5" w:rsidP="00E92DD5">
      <w:pPr>
        <w:pStyle w:val="ListParagraph"/>
        <w:numPr>
          <w:ilvl w:val="0"/>
          <w:numId w:val="17"/>
        </w:numPr>
        <w:ind w:left="714" w:hanging="357"/>
        <w:contextualSpacing w:val="0"/>
      </w:pPr>
      <w:r>
        <w:t>Reduce the likelihood of low DO concentrations by increasing water mixing and oxygen exchange at the water surface in the otherwise low flow zones.</w:t>
      </w:r>
    </w:p>
    <w:p w14:paraId="1B7F2EDE" w14:textId="77777777" w:rsidR="00E92DD5" w:rsidRPr="00E35C12" w:rsidRDefault="00E92DD5" w:rsidP="00E92DD5">
      <w:pPr>
        <w:pStyle w:val="Heading3"/>
      </w:pPr>
      <w:r w:rsidRPr="00E35C12">
        <w:t>Methods</w:t>
      </w:r>
    </w:p>
    <w:p w14:paraId="7935C7AC" w14:textId="77777777" w:rsidR="00E92DD5" w:rsidRPr="001536D0" w:rsidRDefault="00E92DD5" w:rsidP="00E92DD5">
      <w:pPr>
        <w:rPr>
          <w:i/>
          <w:u w:val="single"/>
        </w:rPr>
      </w:pPr>
      <w:r w:rsidRPr="001536D0">
        <w:rPr>
          <w:i/>
          <w:u w:val="single"/>
        </w:rPr>
        <w:t>Field sampling</w:t>
      </w:r>
    </w:p>
    <w:p w14:paraId="1F3A0733" w14:textId="2D2E3A1B" w:rsidR="00E92DD5" w:rsidRDefault="00E92DD5" w:rsidP="00E92DD5">
      <w:r>
        <w:t xml:space="preserve">Rates of stream metabolism were estimated from changes in the concentrations of dissolved oxygen (DO) over each day. These measurements </w:t>
      </w:r>
      <w:r w:rsidRPr="008B6DC2">
        <w:t xml:space="preserve">also provided information on the suitability of </w:t>
      </w:r>
      <w:r>
        <w:t>DO</w:t>
      </w:r>
      <w:r w:rsidRPr="008B6DC2">
        <w:t xml:space="preserve"> </w:t>
      </w:r>
      <w:r>
        <w:t xml:space="preserve">concentrations </w:t>
      </w:r>
      <w:r w:rsidRPr="008B6DC2">
        <w:t>to support the aquatic biota.</w:t>
      </w:r>
      <w:r>
        <w:t xml:space="preserve"> Monitoring consisted of </w:t>
      </w:r>
      <w:r w:rsidRPr="00477E3D">
        <w:rPr>
          <w:i/>
        </w:rPr>
        <w:t>in situ</w:t>
      </w:r>
      <w:r w:rsidRPr="00EF7086">
        <w:rPr>
          <w:iCs/>
        </w:rPr>
        <w:t>,</w:t>
      </w:r>
      <w:r w:rsidRPr="00BA5258">
        <w:t xml:space="preserve"> </w:t>
      </w:r>
      <w:r>
        <w:t>c</w:t>
      </w:r>
      <w:r w:rsidRPr="00BA5258">
        <w:t>ontinuous</w:t>
      </w:r>
      <w:r>
        <w:t xml:space="preserve"> logging at ten-minute intervals</w:t>
      </w:r>
      <w:r w:rsidRPr="00BA5258">
        <w:t xml:space="preserve"> of </w:t>
      </w:r>
      <w:r>
        <w:t>DO</w:t>
      </w:r>
      <w:r w:rsidRPr="00BA5258">
        <w:t>, water temperature</w:t>
      </w:r>
      <w:r>
        <w:t>,</w:t>
      </w:r>
      <w:r w:rsidRPr="00BA5258">
        <w:t xml:space="preserve"> and </w:t>
      </w:r>
      <w:r w:rsidRPr="00D80ED2">
        <w:t xml:space="preserve">incident </w:t>
      </w:r>
      <w:r w:rsidRPr="00BA5258">
        <w:t>light at t</w:t>
      </w:r>
      <w:r>
        <w:t>hree</w:t>
      </w:r>
      <w:r w:rsidRPr="00BA5258">
        <w:t xml:space="preserve"> </w:t>
      </w:r>
      <w:r w:rsidRPr="00D80ED2">
        <w:t>river sites</w:t>
      </w:r>
      <w:r>
        <w:t>. The first</w:t>
      </w:r>
      <w:r w:rsidRPr="00D80ED2">
        <w:t xml:space="preserve"> </w:t>
      </w:r>
      <w:r>
        <w:t>and second sites were downstream of</w:t>
      </w:r>
      <w:r w:rsidRPr="00D80ED2">
        <w:t xml:space="preserve"> Lock 6</w:t>
      </w:r>
      <w:r>
        <w:t xml:space="preserve"> and downstream of Lock 4, respectively, in the </w:t>
      </w:r>
      <w:r w:rsidRPr="00D80ED2">
        <w:t xml:space="preserve">floodplain </w:t>
      </w:r>
      <w:r>
        <w:t xml:space="preserve">geomorphic zone, and the third was </w:t>
      </w:r>
      <w:r w:rsidRPr="00D80ED2">
        <w:t>downstream of Lock 1</w:t>
      </w:r>
      <w:r>
        <w:t xml:space="preserve"> </w:t>
      </w:r>
      <w:r w:rsidRPr="00D80ED2">
        <w:t>in the gorge</w:t>
      </w:r>
      <w:r>
        <w:t xml:space="preserve"> geomorphic zone (</w:t>
      </w:r>
      <w:r>
        <w:fldChar w:fldCharType="begin"/>
      </w:r>
      <w:r>
        <w:instrText xml:space="preserve"> REF _Ref469926522 \h </w:instrText>
      </w:r>
      <w:r>
        <w:fldChar w:fldCharType="separate"/>
      </w:r>
      <w:r w:rsidR="003C13F6">
        <w:t xml:space="preserve">Figure </w:t>
      </w:r>
      <w:r w:rsidR="003C13F6">
        <w:rPr>
          <w:noProof/>
        </w:rPr>
        <w:t>1</w:t>
      </w:r>
      <w:r>
        <w:fldChar w:fldCharType="end"/>
      </w:r>
      <w:r>
        <w:t>)</w:t>
      </w:r>
      <w:r w:rsidRPr="00D80ED2">
        <w:t xml:space="preserve">. </w:t>
      </w:r>
      <w:r>
        <w:t>Monitoring occurred from 9 September 2020 to 18 February 2021, with occasional interruptions (ca. one day) due to probe maintenance on field trips.</w:t>
      </w:r>
    </w:p>
    <w:p w14:paraId="1032F0CB" w14:textId="79CADB79" w:rsidR="00E92DD5" w:rsidRDefault="00E92DD5" w:rsidP="00E92DD5">
      <w:r>
        <w:t>Two metre, depth-integrated</w:t>
      </w:r>
      <w:r w:rsidRPr="00BA5258">
        <w:t xml:space="preserve"> water samples were collected </w:t>
      </w:r>
      <w:r>
        <w:t xml:space="preserve">during the </w:t>
      </w:r>
      <w:r w:rsidR="00BB3426">
        <w:t xml:space="preserve">ten </w:t>
      </w:r>
      <w:r>
        <w:t xml:space="preserve">field trips (ca. fortnightly), </w:t>
      </w:r>
      <w:r w:rsidRPr="00BA5258">
        <w:t xml:space="preserve">and analysed for chlorophyll </w:t>
      </w:r>
      <w:r w:rsidRPr="00477E3D">
        <w:rPr>
          <w:i/>
        </w:rPr>
        <w:t>a</w:t>
      </w:r>
      <w:r w:rsidRPr="00BA5258">
        <w:t xml:space="preserve">, total nitrogen, combined nitrate and nitrite, ammonium, total phosphorus, dissolved forms of phosphorus, and dissolved organic carbon. </w:t>
      </w:r>
      <w:r w:rsidRPr="00D80ED2">
        <w:t>The detailed monitoring and analy</w:t>
      </w:r>
      <w:r>
        <w:t>tical</w:t>
      </w:r>
      <w:r w:rsidRPr="00D80ED2">
        <w:t xml:space="preserve"> protocol</w:t>
      </w:r>
      <w:r>
        <w:t>s</w:t>
      </w:r>
      <w:r w:rsidRPr="00D80ED2">
        <w:t xml:space="preserve"> described in Hale </w:t>
      </w:r>
      <w:r w:rsidRPr="00477E3D">
        <w:rPr>
          <w:i/>
        </w:rPr>
        <w:t>et al.</w:t>
      </w:r>
      <w:r w:rsidRPr="00D80ED2">
        <w:t xml:space="preserve"> (2014) w</w:t>
      </w:r>
      <w:r>
        <w:t>ere</w:t>
      </w:r>
      <w:r w:rsidRPr="00D80ED2">
        <w:t xml:space="preserve"> followed</w:t>
      </w:r>
      <w:r>
        <w:t xml:space="preserve">, but with some minor adjustments as detailed in Ye </w:t>
      </w:r>
      <w:r w:rsidRPr="00477E3D">
        <w:rPr>
          <w:i/>
        </w:rPr>
        <w:t>et al.</w:t>
      </w:r>
      <w:r>
        <w:t xml:space="preserve"> (2018). In addition, the vertical light attenuation for Photosynthetically Active Radiation (PAR) was measured on each occasion using LiCOR underwater sensors. </w:t>
      </w:r>
    </w:p>
    <w:p w14:paraId="0D4C573E" w14:textId="12FA039F" w:rsidR="00E92DD5" w:rsidRDefault="00E92DD5" w:rsidP="00E92DD5">
      <w:r>
        <w:t>The sampling regime resulted in 10 sampling dates at each of the three sites when water quality measurements coincided with metabolism measurements. To increase the sample number, and to help account for daily variation in metabolism in some analyses, water quality measurements and vertical attenuation coefficients were considered relevant for three days before and three days after sampling, and this extended data set (174 points in 2020-21) was used to explore relationships with metabolic rates. Collected water quality data were supplemented with monitoring data from nearby sites provided by the Australian Water Quality Centre of South Australia Water.</w:t>
      </w:r>
    </w:p>
    <w:p w14:paraId="44BBA18B" w14:textId="77777777" w:rsidR="00E92DD5" w:rsidRPr="001536D0" w:rsidRDefault="00E92DD5" w:rsidP="00E92DD5">
      <w:pPr>
        <w:rPr>
          <w:i/>
          <w:u w:val="single"/>
        </w:rPr>
      </w:pPr>
      <w:r w:rsidRPr="001536D0">
        <w:rPr>
          <w:i/>
          <w:u w:val="single"/>
        </w:rPr>
        <w:t>Estimating metabolic rates</w:t>
      </w:r>
    </w:p>
    <w:p w14:paraId="6D3117ED" w14:textId="6924FBCA" w:rsidR="00E92DD5" w:rsidRDefault="00E92DD5" w:rsidP="00E92DD5">
      <w:pPr>
        <w:rPr>
          <w:iCs/>
          <w:szCs w:val="22"/>
          <w:highlight w:val="cyan"/>
          <w:lang w:val="en-US"/>
        </w:rPr>
      </w:pPr>
      <w:r>
        <w:t>Daily volumetric</w:t>
      </w:r>
      <w:r w:rsidRPr="00BA5258">
        <w:t xml:space="preserve"> rates for </w:t>
      </w:r>
      <w:r w:rsidR="00CC73D3" w:rsidRPr="00CC73D3">
        <w:t xml:space="preserve">gross primary production </w:t>
      </w:r>
      <w:r w:rsidR="00CC73D3">
        <w:t>(</w:t>
      </w:r>
      <w:r w:rsidRPr="00BA5258">
        <w:t>GPP</w:t>
      </w:r>
      <w:r w:rsidR="00CC73D3">
        <w:t>)</w:t>
      </w:r>
      <w:r>
        <w:t xml:space="preserve"> and</w:t>
      </w:r>
      <w:r w:rsidR="00CC73D3">
        <w:t xml:space="preserve"> ecosystem respiration</w:t>
      </w:r>
      <w:r w:rsidRPr="00BA5258">
        <w:t xml:space="preserve"> </w:t>
      </w:r>
      <w:r w:rsidR="00CC73D3">
        <w:t>(</w:t>
      </w:r>
      <w:r>
        <w:t>E</w:t>
      </w:r>
      <w:r w:rsidRPr="00BA5258">
        <w:t>R</w:t>
      </w:r>
      <w:r w:rsidR="00CC73D3">
        <w:t>)</w:t>
      </w:r>
      <w:r w:rsidRPr="00BA5258">
        <w:t xml:space="preserve"> were estimated </w:t>
      </w:r>
      <w:r>
        <w:t>over 24-hour periods from midnight to midnight</w:t>
      </w:r>
      <w:r w:rsidRPr="00BA5258">
        <w:t xml:space="preserve"> </w:t>
      </w:r>
      <w:r>
        <w:t>with</w:t>
      </w:r>
      <w:r w:rsidRPr="00BA5258">
        <w:t xml:space="preserve"> the </w:t>
      </w:r>
      <w:r w:rsidRPr="00AC4288">
        <w:rPr>
          <w:i/>
          <w:iCs/>
        </w:rPr>
        <w:t>BASE</w:t>
      </w:r>
      <w:r w:rsidRPr="00BA5258">
        <w:t xml:space="preserve"> program </w:t>
      </w:r>
      <w:r w:rsidRPr="00BA5258">
        <w:lastRenderedPageBreak/>
        <w:t xml:space="preserve">(Grace </w:t>
      </w:r>
      <w:r w:rsidRPr="00477E3D">
        <w:rPr>
          <w:i/>
        </w:rPr>
        <w:t>et al.</w:t>
      </w:r>
      <w:r w:rsidRPr="00BA5258">
        <w:t xml:space="preserve"> 2015). This </w:t>
      </w:r>
      <w:r>
        <w:t>uses</w:t>
      </w:r>
      <w:r w:rsidRPr="00BA5258">
        <w:t xml:space="preserve"> Bayesian regression routines to fit the measured changes in </w:t>
      </w:r>
      <w:r>
        <w:t>DO</w:t>
      </w:r>
      <w:r w:rsidRPr="00BA5258">
        <w:t xml:space="preserve"> concentrations to a widely </w:t>
      </w:r>
      <w:r>
        <w:t>applied</w:t>
      </w:r>
      <w:r w:rsidRPr="00BA5258">
        <w:t xml:space="preserve"> model describ</w:t>
      </w:r>
      <w:r>
        <w:t>ing</w:t>
      </w:r>
      <w:r w:rsidRPr="00BA5258">
        <w:t xml:space="preserve"> the daily fluctuations in water column </w:t>
      </w:r>
      <w:r>
        <w:t>DO</w:t>
      </w:r>
      <w:r w:rsidRPr="00BA5258">
        <w:t xml:space="preserve"> concentrations </w:t>
      </w:r>
      <w:r>
        <w:t>(Odum 1956;</w:t>
      </w:r>
      <w:r w:rsidRPr="00404F2F">
        <w:t xml:space="preserve"> Young and Huryn 1996</w:t>
      </w:r>
      <w:r>
        <w:t>; Oliver and Merrick 2006)</w:t>
      </w:r>
      <w:r w:rsidRPr="00BA5258">
        <w:t>.</w:t>
      </w:r>
      <w:r>
        <w:t xml:space="preserve"> </w:t>
      </w:r>
      <w:r>
        <w:rPr>
          <w:szCs w:val="22"/>
        </w:rPr>
        <w:t>O</w:t>
      </w:r>
      <w:r w:rsidRPr="00256077">
        <w:rPr>
          <w:szCs w:val="22"/>
        </w:rPr>
        <w:t xml:space="preserve">xygen based metabolic rates were converted to carbon units by assuming photosynthetic and respiratory quotients </w:t>
      </w:r>
      <w:r>
        <w:rPr>
          <w:szCs w:val="22"/>
        </w:rPr>
        <w:t>we</w:t>
      </w:r>
      <w:r w:rsidRPr="00256077">
        <w:rPr>
          <w:szCs w:val="22"/>
        </w:rPr>
        <w:t xml:space="preserve">re </w:t>
      </w:r>
      <w:r>
        <w:rPr>
          <w:szCs w:val="22"/>
        </w:rPr>
        <w:t>equal to one.</w:t>
      </w:r>
    </w:p>
    <w:p w14:paraId="0F6FD56A" w14:textId="526D0C96" w:rsidR="00E92DD5" w:rsidRDefault="00E92DD5" w:rsidP="00E92DD5">
      <w:r>
        <w:t>The volumetric rates of metabolism were i</w:t>
      </w:r>
      <w:r w:rsidRPr="00BA5258">
        <w:t>ntegrated</w:t>
      </w:r>
      <w:r>
        <w:t xml:space="preserve"> over river depth and width based on channel</w:t>
      </w:r>
      <w:r w:rsidRPr="00BA5258">
        <w:t xml:space="preserve"> </w:t>
      </w:r>
      <w:r>
        <w:t xml:space="preserve">characteristics derived from a </w:t>
      </w:r>
      <w:r w:rsidRPr="00BA5258">
        <w:t>morpho</w:t>
      </w:r>
      <w:r>
        <w:t xml:space="preserve">metric model linked to water level (Section </w:t>
      </w:r>
      <w:r>
        <w:fldChar w:fldCharType="begin"/>
      </w:r>
      <w:r>
        <w:instrText xml:space="preserve"> REF _Ref58249886 \r \h </w:instrText>
      </w:r>
      <w:r>
        <w:fldChar w:fldCharType="separate"/>
      </w:r>
      <w:r w:rsidR="003C13F6">
        <w:t>2.1</w:t>
      </w:r>
      <w:r>
        <w:fldChar w:fldCharType="end"/>
      </w:r>
      <w:r>
        <w:t xml:space="preserve">). The morphometric data included the average cross-sectional areas, average depths, and average widths at different flow levels for the river reaches at each monitoring site. </w:t>
      </w:r>
      <w:r w:rsidRPr="007079F1">
        <w:rPr>
          <w:iCs/>
          <w:szCs w:val="22"/>
          <w:lang w:val="en-US"/>
        </w:rPr>
        <w:t xml:space="preserve">The influence of flow on average depth and cross-sectional area </w:t>
      </w:r>
      <w:r>
        <w:rPr>
          <w:iCs/>
          <w:szCs w:val="22"/>
          <w:lang w:val="en-US"/>
        </w:rPr>
        <w:t>i</w:t>
      </w:r>
      <w:r w:rsidRPr="007079F1">
        <w:rPr>
          <w:iCs/>
          <w:szCs w:val="22"/>
          <w:lang w:val="en-US"/>
        </w:rPr>
        <w:t>s a function of channel morphometry, and increased</w:t>
      </w:r>
      <w:r w:rsidRPr="007079F1">
        <w:rPr>
          <w:lang w:val="en-US"/>
        </w:rPr>
        <w:t xml:space="preserve"> flows increase or decrease these depending on channel shape. </w:t>
      </w:r>
      <w:r>
        <w:t xml:space="preserve">Daily flows measured during the monitoring periods were adjusted using hydrological modelling to estimate the flows and water levels that would have occurred without </w:t>
      </w:r>
      <w:r>
        <w:rPr>
          <w:lang w:val="en-US"/>
        </w:rPr>
        <w:t>Commonwealth environmental water, and</w:t>
      </w:r>
      <w:r>
        <w:t xml:space="preserve"> without any environmental flows. </w:t>
      </w:r>
    </w:p>
    <w:p w14:paraId="505AEFCA" w14:textId="77777777" w:rsidR="00E92DD5" w:rsidRDefault="00E92DD5" w:rsidP="00E92DD5">
      <w:r>
        <w:t>Cross-sectional metabolic</w:t>
      </w:r>
      <w:r w:rsidRPr="00BA5258">
        <w:t xml:space="preserve"> rate</w:t>
      </w:r>
      <w:r>
        <w:t xml:space="preserve">s were calculated as </w:t>
      </w:r>
      <w:r w:rsidRPr="00BA5258">
        <w:t>the product of the volumetric rate</w:t>
      </w:r>
      <w:r w:rsidRPr="008D7984">
        <w:t xml:space="preserve"> </w:t>
      </w:r>
      <w:r>
        <w:t xml:space="preserve">and the average </w:t>
      </w:r>
      <w:r w:rsidRPr="00BA5258">
        <w:t>cross-sectional area</w:t>
      </w:r>
      <w:r>
        <w:t>. Volumetric rates are reported as gm/m</w:t>
      </w:r>
      <w:r>
        <w:rPr>
          <w:vertAlign w:val="superscript"/>
        </w:rPr>
        <w:t>3</w:t>
      </w:r>
      <w:r>
        <w:t>/day (numerically equal to mg/L/day), area as m</w:t>
      </w:r>
      <w:r>
        <w:rPr>
          <w:vertAlign w:val="superscript"/>
        </w:rPr>
        <w:t>2</w:t>
      </w:r>
      <w:r>
        <w:t xml:space="preserve"> and so cross-sectional rates are for a 1 m length of river. Metabolic rates were integrated over time by summing daily rates.</w:t>
      </w:r>
    </w:p>
    <w:p w14:paraId="4BADFFA2" w14:textId="77777777" w:rsidR="00E92DD5" w:rsidRPr="0040688F" w:rsidRDefault="00E92DD5" w:rsidP="00E92DD5">
      <w:pPr>
        <w:pStyle w:val="ListParagraph"/>
        <w:ind w:left="0"/>
        <w:rPr>
          <w:iCs/>
          <w:szCs w:val="22"/>
          <w:lang w:val="en-US"/>
        </w:rPr>
      </w:pPr>
      <w:r>
        <w:rPr>
          <w:iCs/>
          <w:szCs w:val="22"/>
          <w:lang w:val="en-US"/>
        </w:rPr>
        <w:t>T</w:t>
      </w:r>
      <w:r w:rsidRPr="0040688F">
        <w:rPr>
          <w:iCs/>
          <w:szCs w:val="22"/>
          <w:lang w:val="en-US"/>
        </w:rPr>
        <w:t xml:space="preserve">he influence of light on photosynthesis </w:t>
      </w:r>
      <w:r>
        <w:rPr>
          <w:iCs/>
          <w:szCs w:val="22"/>
          <w:lang w:val="en-US"/>
        </w:rPr>
        <w:t xml:space="preserve">was determined from the </w:t>
      </w:r>
      <w:r w:rsidRPr="0040688F">
        <w:rPr>
          <w:iCs/>
          <w:szCs w:val="22"/>
          <w:lang w:val="en-US"/>
        </w:rPr>
        <w:t>mean light intensity encountered by phytoplankton mixed through the water column. The mean intensity depends on the incident irradiance (</w:t>
      </w:r>
      <w:r w:rsidRPr="00FB258E">
        <w:rPr>
          <w:i/>
          <w:szCs w:val="22"/>
          <w:lang w:val="en-US"/>
        </w:rPr>
        <w:t>Io</w:t>
      </w:r>
      <w:r w:rsidRPr="0040688F">
        <w:rPr>
          <w:iCs/>
          <w:szCs w:val="22"/>
          <w:lang w:val="en-US"/>
        </w:rPr>
        <w:t xml:space="preserve">), the vertical attenuation of light </w:t>
      </w:r>
      <w:r>
        <w:rPr>
          <w:iCs/>
          <w:szCs w:val="22"/>
          <w:lang w:val="en-US"/>
        </w:rPr>
        <w:t>in</w:t>
      </w:r>
      <w:r w:rsidRPr="0040688F">
        <w:rPr>
          <w:iCs/>
          <w:szCs w:val="22"/>
          <w:lang w:val="en-US"/>
        </w:rPr>
        <w:t xml:space="preserve"> the water column (</w:t>
      </w:r>
      <w:r w:rsidRPr="00FB258E">
        <w:rPr>
          <w:i/>
          <w:szCs w:val="22"/>
          <w:lang w:val="en-US"/>
        </w:rPr>
        <w:t>kd</w:t>
      </w:r>
      <w:r w:rsidRPr="0040688F">
        <w:rPr>
          <w:iCs/>
          <w:szCs w:val="22"/>
          <w:lang w:val="en-US"/>
        </w:rPr>
        <w:t>), and the average depth (</w:t>
      </w:r>
      <w:r w:rsidRPr="00FB258E">
        <w:rPr>
          <w:i/>
          <w:szCs w:val="22"/>
          <w:lang w:val="en-US"/>
        </w:rPr>
        <w:t>zave</w:t>
      </w:r>
      <w:r w:rsidRPr="0040688F">
        <w:rPr>
          <w:iCs/>
          <w:szCs w:val="22"/>
          <w:lang w:val="en-US"/>
        </w:rPr>
        <w:t>). If the average depth is greater than the depth of the illuminated surface layer, then the mean irradiance (</w:t>
      </w:r>
      <w:r w:rsidRPr="0040688F">
        <w:rPr>
          <w:i/>
          <w:iCs/>
          <w:szCs w:val="22"/>
          <w:lang w:val="en-US"/>
        </w:rPr>
        <w:t>Im</w:t>
      </w:r>
      <w:r w:rsidRPr="0040688F">
        <w:rPr>
          <w:iCs/>
          <w:szCs w:val="22"/>
          <w:lang w:val="en-US"/>
        </w:rPr>
        <w:t>) is given by (Oliver and Merrick 2006):</w:t>
      </w:r>
    </w:p>
    <w:p w14:paraId="6D34CF3A" w14:textId="77777777" w:rsidR="00E92DD5" w:rsidRPr="0040688F" w:rsidRDefault="00E92DD5" w:rsidP="00E92DD5">
      <w:pPr>
        <w:pStyle w:val="ListParagraph"/>
        <w:ind w:left="0"/>
        <w:rPr>
          <w:iCs/>
          <w:szCs w:val="22"/>
          <w:lang w:val="en-US"/>
        </w:rPr>
      </w:pPr>
    </w:p>
    <w:p w14:paraId="1DFEDB0F" w14:textId="77777777" w:rsidR="00E92DD5" w:rsidRPr="0040688F" w:rsidRDefault="00E92DD5" w:rsidP="00E92DD5">
      <w:pPr>
        <w:pStyle w:val="ListParagraph"/>
        <w:ind w:left="0"/>
        <w:rPr>
          <w:iCs/>
          <w:szCs w:val="22"/>
          <w:lang w:val="en-US"/>
        </w:rPr>
      </w:pPr>
      <m:oMathPara>
        <m:oMath>
          <m:r>
            <w:rPr>
              <w:rFonts w:ascii="Cambria Math" w:hAnsi="Cambria Math"/>
              <w:szCs w:val="22"/>
              <w:lang w:val="en-US"/>
            </w:rPr>
            <m:t>Im=</m:t>
          </m:r>
          <m:f>
            <m:fPr>
              <m:ctrlPr>
                <w:rPr>
                  <w:rFonts w:ascii="Cambria Math" w:hAnsi="Cambria Math"/>
                  <w:i/>
                  <w:iCs/>
                  <w:szCs w:val="22"/>
                  <w:lang w:val="en-US"/>
                </w:rPr>
              </m:ctrlPr>
            </m:fPr>
            <m:num>
              <m:r>
                <w:rPr>
                  <w:rFonts w:ascii="Cambria Math" w:hAnsi="Cambria Math"/>
                  <w:szCs w:val="22"/>
                  <w:lang w:val="en-US"/>
                </w:rPr>
                <m:t>Io</m:t>
              </m:r>
            </m:num>
            <m:den>
              <m:r>
                <w:rPr>
                  <w:rFonts w:ascii="Cambria Math" w:hAnsi="Cambria Math"/>
                  <w:szCs w:val="22"/>
                  <w:lang w:val="en-US"/>
                </w:rPr>
                <m:t>kd*zave</m:t>
              </m:r>
            </m:den>
          </m:f>
          <m:r>
            <w:rPr>
              <w:rFonts w:ascii="Cambria Math" w:hAnsi="Cambria Math"/>
              <w:szCs w:val="22"/>
              <w:lang w:val="en-US"/>
            </w:rPr>
            <m:t xml:space="preserve">                    </m:t>
          </m:r>
          <m:d>
            <m:dPr>
              <m:ctrlPr>
                <w:rPr>
                  <w:rFonts w:ascii="Cambria Math" w:hAnsi="Cambria Math"/>
                  <w:i/>
                  <w:iCs/>
                  <w:szCs w:val="22"/>
                  <w:lang w:val="en-US"/>
                </w:rPr>
              </m:ctrlPr>
            </m:dPr>
            <m:e>
              <m:r>
                <w:rPr>
                  <w:rFonts w:ascii="Cambria Math" w:hAnsi="Cambria Math"/>
                  <w:szCs w:val="22"/>
                  <w:lang w:val="en-US"/>
                </w:rPr>
                <m:t>1</m:t>
              </m:r>
            </m:e>
          </m:d>
        </m:oMath>
      </m:oMathPara>
    </w:p>
    <w:p w14:paraId="55269302" w14:textId="77777777" w:rsidR="00E92DD5" w:rsidRPr="001C3B25" w:rsidRDefault="00E92DD5" w:rsidP="00E92DD5">
      <w:pPr>
        <w:rPr>
          <w:highlight w:val="yellow"/>
        </w:rPr>
      </w:pPr>
    </w:p>
    <w:p w14:paraId="43E29549" w14:textId="50C30522" w:rsidR="00E92DD5" w:rsidRPr="001E2D7F" w:rsidRDefault="00E92DD5" w:rsidP="00E92DD5">
      <w:r w:rsidRPr="001E2D7F">
        <w:rPr>
          <w:szCs w:val="22"/>
        </w:rPr>
        <w:t>T</w:t>
      </w:r>
      <w:r w:rsidRPr="001E2D7F">
        <w:rPr>
          <w:iCs/>
          <w:szCs w:val="22"/>
          <w:lang w:val="en-US"/>
        </w:rPr>
        <w:t xml:space="preserve">he amount of phytoplankton </w:t>
      </w:r>
      <w:r>
        <w:rPr>
          <w:iCs/>
          <w:szCs w:val="22"/>
          <w:lang w:val="en-US"/>
        </w:rPr>
        <w:t xml:space="preserve">biomass </w:t>
      </w:r>
      <w:r w:rsidRPr="001E2D7F">
        <w:rPr>
          <w:iCs/>
          <w:szCs w:val="22"/>
          <w:lang w:val="en-US"/>
        </w:rPr>
        <w:t xml:space="preserve">present was estimated from the chlorophyll concentration. </w:t>
      </w:r>
      <w:r w:rsidRPr="001E2D7F">
        <w:rPr>
          <w:lang w:val="en-US"/>
        </w:rPr>
        <w:t xml:space="preserve">Rates of GPP were standardised to </w:t>
      </w:r>
      <w:r>
        <w:rPr>
          <w:lang w:val="en-US"/>
        </w:rPr>
        <w:t xml:space="preserve">the </w:t>
      </w:r>
      <w:r w:rsidRPr="001E2D7F">
        <w:rPr>
          <w:lang w:val="en-US"/>
        </w:rPr>
        <w:t xml:space="preserve">chlorophyll concentration (GPP(b)) and compared with the corresponding mean irradiances </w:t>
      </w:r>
      <w:r w:rsidRPr="001E2D7F">
        <w:rPr>
          <w:i/>
          <w:lang w:val="en-US"/>
        </w:rPr>
        <w:t>Im</w:t>
      </w:r>
      <w:r w:rsidRPr="001E2D7F">
        <w:rPr>
          <w:lang w:val="en-US"/>
        </w:rPr>
        <w:t xml:space="preserve">. The </w:t>
      </w:r>
      <w:r>
        <w:rPr>
          <w:lang w:val="en-US"/>
        </w:rPr>
        <w:t xml:space="preserve">derived relationship </w:t>
      </w:r>
      <w:r w:rsidR="005D4C2E" w:rsidRPr="09875D2A">
        <w:rPr>
          <w:lang w:val="en-US"/>
        </w:rPr>
        <w:t xml:space="preserve">provided a means for estimating relative changes in GPP(b) due to additions of Commonwealth environmental water and total environmental water, based on the changes in </w:t>
      </w:r>
      <w:r w:rsidR="005D4C2E" w:rsidRPr="09875D2A">
        <w:rPr>
          <w:i/>
          <w:iCs/>
          <w:lang w:val="en-US"/>
        </w:rPr>
        <w:t>Im</w:t>
      </w:r>
      <w:r w:rsidR="005D4C2E" w:rsidRPr="09875D2A">
        <w:rPr>
          <w:lang w:val="en-US"/>
        </w:rPr>
        <w:t xml:space="preserve"> resulting from these flows. </w:t>
      </w:r>
      <w:r w:rsidRPr="001E2D7F">
        <w:rPr>
          <w:lang w:val="en-US"/>
        </w:rPr>
        <w:t xml:space="preserve">Conversion of modelled GPP(b) </w:t>
      </w:r>
      <w:r>
        <w:rPr>
          <w:lang w:val="en-US"/>
        </w:rPr>
        <w:t xml:space="preserve">to </w:t>
      </w:r>
      <w:r w:rsidRPr="001E2D7F">
        <w:rPr>
          <w:lang w:val="en-US"/>
        </w:rPr>
        <w:t xml:space="preserve">estimates </w:t>
      </w:r>
      <w:r>
        <w:rPr>
          <w:lang w:val="en-US"/>
        </w:rPr>
        <w:t>of</w:t>
      </w:r>
      <w:r w:rsidRPr="001E2D7F">
        <w:rPr>
          <w:lang w:val="en-US"/>
        </w:rPr>
        <w:t xml:space="preserve"> GPP require</w:t>
      </w:r>
      <w:r>
        <w:rPr>
          <w:lang w:val="en-US"/>
        </w:rPr>
        <w:t>d</w:t>
      </w:r>
      <w:r w:rsidRPr="001E2D7F">
        <w:rPr>
          <w:lang w:val="en-US"/>
        </w:rPr>
        <w:t xml:space="preserve"> knowledge of the chlorophyll concentration</w:t>
      </w:r>
      <w:r>
        <w:rPr>
          <w:lang w:val="en-US"/>
        </w:rPr>
        <w:t xml:space="preserve"> and i</w:t>
      </w:r>
      <w:r w:rsidRPr="001E2D7F">
        <w:rPr>
          <w:lang w:val="en-US"/>
        </w:rPr>
        <w:t xml:space="preserve">t </w:t>
      </w:r>
      <w:r>
        <w:rPr>
          <w:lang w:val="en-US"/>
        </w:rPr>
        <w:t>wa</w:t>
      </w:r>
      <w:r w:rsidRPr="001E2D7F">
        <w:rPr>
          <w:lang w:val="en-US"/>
        </w:rPr>
        <w:t>s assumed that the concentration on each day remain</w:t>
      </w:r>
      <w:r>
        <w:rPr>
          <w:lang w:val="en-US"/>
        </w:rPr>
        <w:t>ed</w:t>
      </w:r>
      <w:r w:rsidRPr="001E2D7F">
        <w:rPr>
          <w:lang w:val="en-US"/>
        </w:rPr>
        <w:t xml:space="preserve"> the same with and without environmental flows, </w:t>
      </w:r>
      <w:r>
        <w:rPr>
          <w:lang w:val="en-US"/>
        </w:rPr>
        <w:t>so that</w:t>
      </w:r>
      <w:r w:rsidRPr="001E2D7F">
        <w:rPr>
          <w:lang w:val="en-US"/>
        </w:rPr>
        <w:t xml:space="preserve"> relative changes in GPP(b) and GPP </w:t>
      </w:r>
      <w:r>
        <w:rPr>
          <w:lang w:val="en-US"/>
        </w:rPr>
        <w:t>we</w:t>
      </w:r>
      <w:r w:rsidRPr="001E2D7F">
        <w:rPr>
          <w:lang w:val="en-US"/>
        </w:rPr>
        <w:t>re equivalent.</w:t>
      </w:r>
      <w:r>
        <w:rPr>
          <w:lang w:val="en-US"/>
        </w:rPr>
        <w:t xml:space="preserve"> This aligns with the general assumption that the supply of water to the Selected Area from upstream was of the same quality under all flow scenarios, as the likelihood of changes in the relative contributions of different water sources under scenarios</w:t>
      </w:r>
      <w:r w:rsidRPr="00EE255E">
        <w:rPr>
          <w:lang w:val="en-US"/>
        </w:rPr>
        <w:t xml:space="preserve"> </w:t>
      </w:r>
      <w:r>
        <w:rPr>
          <w:lang w:val="en-US"/>
        </w:rPr>
        <w:t>without environmental flows could not be predicted.</w:t>
      </w:r>
    </w:p>
    <w:p w14:paraId="6685D806" w14:textId="174E672D" w:rsidR="00E92DD5" w:rsidRPr="001E2D7F" w:rsidRDefault="00E92DD5" w:rsidP="00E92DD5">
      <w:r w:rsidRPr="001E2D7F">
        <w:rPr>
          <w:lang w:val="en-US"/>
        </w:rPr>
        <w:t xml:space="preserve">The contributions to ER by photosynthetic and heterotrophic microbiota was investigated using multiple regression of </w:t>
      </w:r>
      <w:r>
        <w:rPr>
          <w:lang w:val="en-US"/>
        </w:rPr>
        <w:t>potential</w:t>
      </w:r>
      <w:r w:rsidRPr="001E2D7F">
        <w:rPr>
          <w:lang w:val="en-US"/>
        </w:rPr>
        <w:t xml:space="preserve"> respiratory sources. GPP provided a measure of the organic carbon produced by photosynthesis, which is a major source of phytoplankton </w:t>
      </w:r>
      <w:r w:rsidRPr="001E2D7F">
        <w:rPr>
          <w:lang w:val="en-US"/>
        </w:rPr>
        <w:lastRenderedPageBreak/>
        <w:t>respiration (Beardall and Raven 1990)</w:t>
      </w:r>
      <w:r>
        <w:rPr>
          <w:lang w:val="en-US"/>
        </w:rPr>
        <w:t>. Dissolved organic carbon (</w:t>
      </w:r>
      <w:r w:rsidRPr="001E2D7F">
        <w:rPr>
          <w:lang w:val="en-US"/>
        </w:rPr>
        <w:t>DOC</w:t>
      </w:r>
      <w:r>
        <w:rPr>
          <w:lang w:val="en-US"/>
        </w:rPr>
        <w:t xml:space="preserve">) </w:t>
      </w:r>
      <w:r w:rsidRPr="001E2D7F">
        <w:rPr>
          <w:lang w:val="en-US"/>
        </w:rPr>
        <w:t>concentrations provided a measure of the resource supply for respiration of heterotrophic microbes</w:t>
      </w:r>
      <w:r>
        <w:rPr>
          <w:lang w:val="en-US"/>
        </w:rPr>
        <w:t>, largely bacteria. These two sources were p</w:t>
      </w:r>
      <w:r w:rsidRPr="001E2D7F">
        <w:rPr>
          <w:lang w:val="en-US"/>
        </w:rPr>
        <w:t>revious</w:t>
      </w:r>
      <w:r>
        <w:rPr>
          <w:lang w:val="en-US"/>
        </w:rPr>
        <w:t>ly</w:t>
      </w:r>
      <w:r w:rsidRPr="001E2D7F">
        <w:rPr>
          <w:lang w:val="en-US"/>
        </w:rPr>
        <w:t xml:space="preserve"> identified as major contributors to ER (Ye </w:t>
      </w:r>
      <w:r w:rsidRPr="009D6230">
        <w:rPr>
          <w:i/>
          <w:iCs/>
          <w:lang w:val="en-US"/>
        </w:rPr>
        <w:t>et al.</w:t>
      </w:r>
      <w:r w:rsidRPr="001E2D7F">
        <w:rPr>
          <w:lang w:val="en-US"/>
        </w:rPr>
        <w:t xml:space="preserve"> 20</w:t>
      </w:r>
      <w:r>
        <w:rPr>
          <w:lang w:val="en-US"/>
        </w:rPr>
        <w:t>20</w:t>
      </w:r>
      <w:r w:rsidR="0036505B">
        <w:rPr>
          <w:lang w:val="en-US"/>
        </w:rPr>
        <w:t>a</w:t>
      </w:r>
      <w:r w:rsidRPr="001E2D7F">
        <w:rPr>
          <w:lang w:val="en-US"/>
        </w:rPr>
        <w:t>).</w:t>
      </w:r>
    </w:p>
    <w:p w14:paraId="37BD5B76" w14:textId="13346934" w:rsidR="00E92DD5" w:rsidRPr="00840257" w:rsidRDefault="00E92DD5" w:rsidP="00E92DD5">
      <w:pPr>
        <w:rPr>
          <w:lang w:val="en-US"/>
        </w:rPr>
      </w:pPr>
      <w:r>
        <w:rPr>
          <w:iCs/>
          <w:szCs w:val="22"/>
          <w:lang w:val="en-US"/>
        </w:rPr>
        <w:t xml:space="preserve">The </w:t>
      </w:r>
      <w:r w:rsidR="00CC73D3">
        <w:t>n</w:t>
      </w:r>
      <w:r w:rsidR="00CC73D3" w:rsidRPr="00A97482" w:rsidDel="00D07833">
        <w:t>et ecosystem production</w:t>
      </w:r>
      <w:r w:rsidR="00CC73D3" w:rsidRPr="00A97482">
        <w:t xml:space="preserve"> </w:t>
      </w:r>
      <w:r w:rsidR="00CC73D3">
        <w:t>(</w:t>
      </w:r>
      <w:r w:rsidRPr="00840257">
        <w:rPr>
          <w:iCs/>
          <w:szCs w:val="22"/>
          <w:lang w:val="en-US"/>
        </w:rPr>
        <w:t>NEP</w:t>
      </w:r>
      <w:r w:rsidR="00CC73D3">
        <w:rPr>
          <w:iCs/>
          <w:szCs w:val="22"/>
          <w:lang w:val="en-US"/>
        </w:rPr>
        <w:t>)</w:t>
      </w:r>
      <w:r w:rsidRPr="00840257">
        <w:rPr>
          <w:iCs/>
          <w:szCs w:val="22"/>
          <w:lang w:val="en-US"/>
        </w:rPr>
        <w:t xml:space="preserve"> was calculated as the difference between volumetric GPP and ER</w:t>
      </w:r>
      <w:r>
        <w:rPr>
          <w:iCs/>
          <w:szCs w:val="22"/>
          <w:lang w:val="en-US"/>
        </w:rPr>
        <w:t xml:space="preserve">, giving an integrated measure of the metabolic balance. </w:t>
      </w:r>
      <w:r w:rsidRPr="00840257">
        <w:rPr>
          <w:lang w:val="en-US"/>
        </w:rPr>
        <w:t>The phytoplankton net production (PNP) was calculated as the difference between the measured GPP and the estimated phytoplankton community respiration (PCR).</w:t>
      </w:r>
      <w:r>
        <w:rPr>
          <w:lang w:val="en-US"/>
        </w:rPr>
        <w:t xml:space="preserve"> As m</w:t>
      </w:r>
      <w:r w:rsidRPr="00840257">
        <w:rPr>
          <w:lang w:val="en-US"/>
        </w:rPr>
        <w:t xml:space="preserve">etabolism measurements do not provide estimates of </w:t>
      </w:r>
      <w:r>
        <w:rPr>
          <w:lang w:val="en-US"/>
        </w:rPr>
        <w:t>the</w:t>
      </w:r>
      <w:r w:rsidRPr="009145F2">
        <w:rPr>
          <w:lang w:val="en-US"/>
        </w:rPr>
        <w:t xml:space="preserve"> </w:t>
      </w:r>
      <w:r w:rsidRPr="00840257">
        <w:rPr>
          <w:lang w:val="en-US"/>
        </w:rPr>
        <w:t>gross production</w:t>
      </w:r>
      <w:r w:rsidRPr="009145F2">
        <w:rPr>
          <w:lang w:val="en-US"/>
        </w:rPr>
        <w:t xml:space="preserve"> </w:t>
      </w:r>
      <w:r>
        <w:rPr>
          <w:lang w:val="en-US"/>
        </w:rPr>
        <w:t>of bacteria, the bacterial</w:t>
      </w:r>
      <w:r w:rsidRPr="00840257">
        <w:rPr>
          <w:lang w:val="en-US"/>
        </w:rPr>
        <w:t xml:space="preserve"> net production (BNP)</w:t>
      </w:r>
      <w:r w:rsidRPr="009145F2">
        <w:rPr>
          <w:lang w:val="en-US"/>
        </w:rPr>
        <w:t xml:space="preserve"> </w:t>
      </w:r>
      <w:r>
        <w:rPr>
          <w:lang w:val="en-US"/>
        </w:rPr>
        <w:t xml:space="preserve">rates </w:t>
      </w:r>
      <w:r w:rsidRPr="00840257">
        <w:rPr>
          <w:lang w:val="en-US"/>
        </w:rPr>
        <w:t xml:space="preserve">were </w:t>
      </w:r>
      <w:r>
        <w:rPr>
          <w:lang w:val="en-US"/>
        </w:rPr>
        <w:t>determined from the</w:t>
      </w:r>
      <w:r w:rsidRPr="00840257">
        <w:rPr>
          <w:lang w:val="en-US"/>
        </w:rPr>
        <w:t xml:space="preserve"> relationship </w:t>
      </w:r>
      <w:r>
        <w:rPr>
          <w:lang w:val="en-US"/>
        </w:rPr>
        <w:t>between BNP, bacteria community respiration (BCR) and ba</w:t>
      </w:r>
      <w:r w:rsidRPr="00840257">
        <w:rPr>
          <w:lang w:val="en-US"/>
        </w:rPr>
        <w:t>cterial growth efficiency</w:t>
      </w:r>
      <w:r>
        <w:rPr>
          <w:lang w:val="en-US"/>
        </w:rPr>
        <w:t xml:space="preserve"> (BGE)</w:t>
      </w:r>
      <w:r w:rsidRPr="00840257">
        <w:rPr>
          <w:lang w:val="en-US"/>
        </w:rPr>
        <w:t>:</w:t>
      </w:r>
    </w:p>
    <w:p w14:paraId="766A8C50" w14:textId="77777777" w:rsidR="00E92DD5" w:rsidRPr="00840257" w:rsidRDefault="00E92DD5" w:rsidP="00E92DD5">
      <w:pPr>
        <w:pStyle w:val="ListParagraph"/>
        <w:ind w:left="0"/>
        <w:rPr>
          <w:iCs/>
          <w:szCs w:val="21"/>
          <w:lang w:val="en-US"/>
        </w:rPr>
      </w:pPr>
    </w:p>
    <w:p w14:paraId="7095E015" w14:textId="77777777" w:rsidR="00E92DD5" w:rsidRPr="00840257" w:rsidRDefault="00E92DD5" w:rsidP="00E92DD5">
      <w:pPr>
        <w:pStyle w:val="ListParagraph"/>
        <w:ind w:left="0"/>
        <w:rPr>
          <w:iCs/>
          <w:szCs w:val="21"/>
          <w:lang w:val="en-US"/>
        </w:rPr>
      </w:pPr>
      <m:oMathPara>
        <m:oMath>
          <m:r>
            <w:rPr>
              <w:rFonts w:ascii="Cambria Math" w:hAnsi="Cambria Math"/>
              <w:szCs w:val="22"/>
              <w:lang w:val="en-US"/>
            </w:rPr>
            <m:t>BNP=</m:t>
          </m:r>
          <m:f>
            <m:fPr>
              <m:ctrlPr>
                <w:rPr>
                  <w:rFonts w:ascii="Cambria Math" w:hAnsi="Cambria Math"/>
                  <w:i/>
                  <w:iCs/>
                  <w:szCs w:val="22"/>
                  <w:lang w:val="en-US"/>
                </w:rPr>
              </m:ctrlPr>
            </m:fPr>
            <m:num>
              <m:r>
                <w:rPr>
                  <w:rFonts w:ascii="Cambria Math" w:hAnsi="Cambria Math"/>
                  <w:szCs w:val="22"/>
                  <w:lang w:val="en-US"/>
                </w:rPr>
                <m:t>BGE*BCR</m:t>
              </m:r>
            </m:num>
            <m:den>
              <m:r>
                <w:rPr>
                  <w:rFonts w:ascii="Cambria Math" w:hAnsi="Cambria Math"/>
                  <w:szCs w:val="22"/>
                  <w:lang w:val="en-US"/>
                </w:rPr>
                <m:t>1-BGE</m:t>
              </m:r>
            </m:den>
          </m:f>
          <m:r>
            <w:rPr>
              <w:rFonts w:ascii="Cambria Math" w:hAnsi="Cambria Math"/>
              <w:szCs w:val="22"/>
              <w:lang w:val="en-US"/>
            </w:rPr>
            <m:t xml:space="preserve">                          (2)</m:t>
          </m:r>
        </m:oMath>
      </m:oMathPara>
    </w:p>
    <w:p w14:paraId="40C26BC2" w14:textId="77777777" w:rsidR="00E92DD5" w:rsidRPr="001C3B25" w:rsidRDefault="00E92DD5" w:rsidP="00E92DD5">
      <w:pPr>
        <w:pStyle w:val="ListParagraph"/>
        <w:ind w:left="0"/>
        <w:rPr>
          <w:iCs/>
          <w:szCs w:val="21"/>
          <w:highlight w:val="yellow"/>
          <w:lang w:val="en-US"/>
        </w:rPr>
      </w:pPr>
    </w:p>
    <w:p w14:paraId="7DACBB21" w14:textId="77777777" w:rsidR="00E92DD5" w:rsidRDefault="00E92DD5" w:rsidP="00E92DD5">
      <w:pPr>
        <w:rPr>
          <w:lang w:val="en-US"/>
        </w:rPr>
      </w:pPr>
      <w:r w:rsidRPr="00840257">
        <w:rPr>
          <w:lang w:val="en-US"/>
        </w:rPr>
        <w:t xml:space="preserve">The BGE is influenced by a range of environmental conditions including the chemical composition of DOC. </w:t>
      </w:r>
      <w:r>
        <w:rPr>
          <w:lang w:val="en-US"/>
        </w:rPr>
        <w:t>A</w:t>
      </w:r>
      <w:r w:rsidRPr="00840257">
        <w:rPr>
          <w:lang w:val="en-US"/>
        </w:rPr>
        <w:t>n average value of 0.2 was considered reasonable for the Murray River with its typical temperature range and water quality attributes (Rivkin and Legendre 2001</w:t>
      </w:r>
      <w:r>
        <w:rPr>
          <w:lang w:val="en-US"/>
        </w:rPr>
        <w:t xml:space="preserve">; </w:t>
      </w:r>
      <w:r w:rsidRPr="00840257">
        <w:rPr>
          <w:lang w:val="en-US"/>
        </w:rPr>
        <w:t>Marra and Barber 2004; Berggren and del Giorgio 2015)</w:t>
      </w:r>
      <w:r>
        <w:rPr>
          <w:lang w:val="en-US"/>
        </w:rPr>
        <w:t>, and BNP was estimated as BCR/4.</w:t>
      </w:r>
    </w:p>
    <w:p w14:paraId="6693D008" w14:textId="77777777" w:rsidR="00E92DD5" w:rsidRPr="00E35C12" w:rsidRDefault="00E92DD5" w:rsidP="00E92DD5">
      <w:pPr>
        <w:pStyle w:val="Heading3"/>
      </w:pPr>
      <w:r w:rsidRPr="00C53DC5">
        <w:t>Results</w:t>
      </w:r>
    </w:p>
    <w:p w14:paraId="4FA0A43D" w14:textId="77777777" w:rsidR="00E92DD5" w:rsidRDefault="00E92DD5" w:rsidP="00E92DD5">
      <w:pPr>
        <w:pStyle w:val="ListParagraph"/>
        <w:ind w:left="0"/>
        <w:rPr>
          <w:i/>
          <w:u w:val="single"/>
        </w:rPr>
      </w:pPr>
      <w:r>
        <w:rPr>
          <w:i/>
          <w:u w:val="single"/>
        </w:rPr>
        <w:t>Dissolved oxygen</w:t>
      </w:r>
    </w:p>
    <w:p w14:paraId="60C99020" w14:textId="50562628" w:rsidR="00E92DD5" w:rsidRPr="0040688F" w:rsidRDefault="00E92DD5" w:rsidP="00E92DD5">
      <w:pPr>
        <w:rPr>
          <w:lang w:val="en-US"/>
        </w:rPr>
      </w:pPr>
      <w:r>
        <w:rPr>
          <w:lang w:val="en-US"/>
        </w:rPr>
        <w:t>T</w:t>
      </w:r>
      <w:r w:rsidRPr="001C3B25">
        <w:rPr>
          <w:lang w:val="en-US"/>
        </w:rPr>
        <w:t xml:space="preserve">ime series of dissolved oxygen </w:t>
      </w:r>
      <w:r>
        <w:rPr>
          <w:lang w:val="en-US"/>
        </w:rPr>
        <w:t xml:space="preserve">(DO) </w:t>
      </w:r>
      <w:r w:rsidRPr="001C3B25">
        <w:rPr>
          <w:lang w:val="en-US"/>
        </w:rPr>
        <w:t>concentrations showed</w:t>
      </w:r>
      <w:r>
        <w:rPr>
          <w:lang w:val="en-US"/>
        </w:rPr>
        <w:t xml:space="preserve"> similar patterns across sites and were generally higher than saturation concentrations, indicating positive photosynthetic production (</w:t>
      </w:r>
      <w:r>
        <w:rPr>
          <w:highlight w:val="yellow"/>
          <w:lang w:val="en-US"/>
        </w:rPr>
        <w:fldChar w:fldCharType="begin"/>
      </w:r>
      <w:r>
        <w:rPr>
          <w:lang w:val="en-US"/>
        </w:rPr>
        <w:instrText xml:space="preserve"> REF _Ref59030272 \h </w:instrText>
      </w:r>
      <w:r>
        <w:rPr>
          <w:highlight w:val="yellow"/>
          <w:lang w:val="en-US"/>
        </w:rPr>
      </w:r>
      <w:r>
        <w:rPr>
          <w:highlight w:val="yellow"/>
          <w:lang w:val="en-US"/>
        </w:rPr>
        <w:fldChar w:fldCharType="separate"/>
      </w:r>
      <w:r w:rsidR="003C13F6" w:rsidRPr="00741669">
        <w:t xml:space="preserve">Figure </w:t>
      </w:r>
      <w:r w:rsidR="003C13F6">
        <w:rPr>
          <w:noProof/>
        </w:rPr>
        <w:t>13</w:t>
      </w:r>
      <w:r>
        <w:rPr>
          <w:highlight w:val="yellow"/>
          <w:lang w:val="en-US"/>
        </w:rPr>
        <w:fldChar w:fldCharType="end"/>
      </w:r>
      <w:r>
        <w:rPr>
          <w:lang w:val="en-US"/>
        </w:rPr>
        <w:t>). There was no consistent association with flow, even during the flow pulse from mid-November to late December</w:t>
      </w:r>
      <w:r w:rsidR="00BB3426">
        <w:rPr>
          <w:lang w:val="en-US"/>
        </w:rPr>
        <w:t xml:space="preserve"> 2020</w:t>
      </w:r>
      <w:r>
        <w:rPr>
          <w:lang w:val="en-US"/>
        </w:rPr>
        <w:t>, and the seasonal decline in DO concentration was attributed to the increasing water temperature as it mirrored the calculated change in saturation concentration (</w:t>
      </w:r>
      <w:r w:rsidR="00F23E9C">
        <w:rPr>
          <w:lang w:val="en-US"/>
        </w:rPr>
        <w:fldChar w:fldCharType="begin"/>
      </w:r>
      <w:r w:rsidR="00F23E9C">
        <w:rPr>
          <w:lang w:val="en-US"/>
        </w:rPr>
        <w:instrText xml:space="preserve"> REF _Ref59030272 \h </w:instrText>
      </w:r>
      <w:r w:rsidR="00F23E9C">
        <w:rPr>
          <w:lang w:val="en-US"/>
        </w:rPr>
      </w:r>
      <w:r w:rsidR="00F23E9C">
        <w:rPr>
          <w:lang w:val="en-US"/>
        </w:rPr>
        <w:fldChar w:fldCharType="separate"/>
      </w:r>
      <w:r w:rsidR="003C13F6" w:rsidRPr="00741669">
        <w:t xml:space="preserve">Figure </w:t>
      </w:r>
      <w:r w:rsidR="003C13F6">
        <w:rPr>
          <w:noProof/>
        </w:rPr>
        <w:t>13</w:t>
      </w:r>
      <w:r w:rsidR="00F23E9C">
        <w:rPr>
          <w:lang w:val="en-US"/>
        </w:rPr>
        <w:fldChar w:fldCharType="end"/>
      </w:r>
      <w:r>
        <w:rPr>
          <w:lang w:val="en-US"/>
        </w:rPr>
        <w:t>).</w:t>
      </w:r>
      <w:r w:rsidRPr="003021FC">
        <w:rPr>
          <w:lang w:val="en-US"/>
        </w:rPr>
        <w:t xml:space="preserve"> </w:t>
      </w:r>
    </w:p>
    <w:p w14:paraId="2FAAFEE8" w14:textId="77777777" w:rsidR="00E92DD5" w:rsidRPr="001C3B25" w:rsidRDefault="00E92DD5" w:rsidP="00E92DD5">
      <w:pPr>
        <w:pStyle w:val="ListParagraph"/>
        <w:ind w:left="0"/>
        <w:contextualSpacing w:val="0"/>
        <w:rPr>
          <w:iCs/>
          <w:szCs w:val="22"/>
          <w:lang w:val="en-US"/>
        </w:rPr>
      </w:pPr>
    </w:p>
    <w:p w14:paraId="4E01D79B" w14:textId="77777777" w:rsidR="00E92DD5" w:rsidRDefault="00E92DD5" w:rsidP="00E92DD5">
      <w:pPr>
        <w:pStyle w:val="ListParagraph"/>
        <w:ind w:left="0"/>
        <w:contextualSpacing w:val="0"/>
        <w:rPr>
          <w:iCs/>
          <w:szCs w:val="22"/>
          <w:lang w:val="en-US"/>
        </w:rPr>
      </w:pPr>
    </w:p>
    <w:p w14:paraId="37B94088" w14:textId="6F1E0630" w:rsidR="00E92DD5" w:rsidRDefault="00E92DD5" w:rsidP="00E92DD5">
      <w:pPr>
        <w:pStyle w:val="ListParagraph"/>
        <w:ind w:left="0"/>
        <w:jc w:val="center"/>
        <w:rPr>
          <w:iCs/>
          <w:szCs w:val="22"/>
          <w:lang w:val="en-US"/>
        </w:rPr>
      </w:pPr>
      <w:r w:rsidRPr="003B7F79">
        <w:rPr>
          <w:iCs/>
          <w:szCs w:val="22"/>
          <w:lang w:val="en-US"/>
        </w:rPr>
        <w:lastRenderedPageBreak/>
        <w:t xml:space="preserve"> </w:t>
      </w:r>
      <w:r w:rsidR="00C53774">
        <w:rPr>
          <w:iCs/>
          <w:noProof/>
          <w:szCs w:val="22"/>
          <w:lang w:val="en-US"/>
        </w:rPr>
        <w:drawing>
          <wp:inline distT="0" distB="0" distL="0" distR="0" wp14:anchorId="6DE049C2" wp14:editId="507A8E16">
            <wp:extent cx="3290179" cy="6262058"/>
            <wp:effectExtent l="0" t="0" r="5715" b="5715"/>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bwMode="auto">
                    <a:xfrm>
                      <a:off x="0" y="0"/>
                      <a:ext cx="3290179" cy="6262058"/>
                    </a:xfrm>
                    <a:prstGeom prst="rect">
                      <a:avLst/>
                    </a:prstGeom>
                  </pic:spPr>
                </pic:pic>
              </a:graphicData>
            </a:graphic>
          </wp:inline>
        </w:drawing>
      </w:r>
    </w:p>
    <w:p w14:paraId="58ED7879" w14:textId="57FDE49D" w:rsidR="00E92DD5" w:rsidRPr="00741669" w:rsidRDefault="00C53774" w:rsidP="004C3BA1">
      <w:pPr>
        <w:pStyle w:val="Captions"/>
        <w:rPr>
          <w:iCs/>
          <w:szCs w:val="22"/>
        </w:rPr>
      </w:pPr>
      <w:bookmarkStart w:id="125" w:name="_Ref59030272"/>
      <w:bookmarkStart w:id="126" w:name="_Toc101963805"/>
      <w:r w:rsidRPr="00741669">
        <w:t xml:space="preserve">Figure </w:t>
      </w:r>
      <w:r w:rsidR="00E92DD5">
        <w:fldChar w:fldCharType="begin"/>
      </w:r>
      <w:r w:rsidR="00E92DD5">
        <w:instrText xml:space="preserve"> SEQ Figure \* ARABIC </w:instrText>
      </w:r>
      <w:r w:rsidR="00E92DD5">
        <w:fldChar w:fldCharType="separate"/>
      </w:r>
      <w:r w:rsidR="003C13F6">
        <w:rPr>
          <w:noProof/>
        </w:rPr>
        <w:t>13</w:t>
      </w:r>
      <w:r w:rsidR="00E92DD5">
        <w:fldChar w:fldCharType="end"/>
      </w:r>
      <w:bookmarkEnd w:id="125"/>
      <w:r w:rsidR="00E92DD5" w:rsidRPr="00741669">
        <w:t xml:space="preserve">. </w:t>
      </w:r>
      <w:r w:rsidRPr="00741669">
        <w:t xml:space="preserve">Dissolved </w:t>
      </w:r>
      <w:r w:rsidRPr="009A2686">
        <w:t>(</w:t>
      </w:r>
      <w:r w:rsidRPr="00C3722F">
        <w:rPr>
          <w:color w:val="0070C0"/>
        </w:rPr>
        <w:t>●</w:t>
      </w:r>
      <w:r w:rsidRPr="009A2686">
        <w:t>)</w:t>
      </w:r>
      <w:r>
        <w:t xml:space="preserve"> and</w:t>
      </w:r>
      <w:r w:rsidRPr="009A2686">
        <w:t xml:space="preserve"> saturat</w:t>
      </w:r>
      <w:r>
        <w:t>ed (</w:t>
      </w:r>
      <w:r w:rsidRPr="00C3722F">
        <w:rPr>
          <w:color w:val="ED7D31" w:themeColor="accent2"/>
        </w:rPr>
        <w:t>●</w:t>
      </w:r>
      <w:r>
        <w:t>)</w:t>
      </w:r>
      <w:r w:rsidRPr="009A2686">
        <w:t xml:space="preserve"> oxygen concentration</w:t>
      </w:r>
      <w:r>
        <w:t xml:space="preserve">s, </w:t>
      </w:r>
      <w:r w:rsidRPr="009A2686">
        <w:t>temperature</w:t>
      </w:r>
      <w:r>
        <w:t xml:space="preserve"> (</w:t>
      </w:r>
      <w:r w:rsidRPr="00C3722F">
        <w:rPr>
          <w:color w:val="FFC000" w:themeColor="accent4"/>
        </w:rPr>
        <w:t>●</w:t>
      </w:r>
      <w:r w:rsidR="00BF7C00">
        <w:t xml:space="preserve">), </w:t>
      </w:r>
      <w:r>
        <w:t xml:space="preserve">the daily </w:t>
      </w:r>
      <w:r w:rsidRPr="009A2686">
        <w:t xml:space="preserve">discharge </w:t>
      </w:r>
      <w:r>
        <w:t>observed (</w:t>
      </w:r>
      <w:r w:rsidRPr="00C3722F">
        <w:rPr>
          <w:color w:val="A6A6A6" w:themeColor="background1" w:themeShade="A6"/>
        </w:rPr>
        <w:t>●</w:t>
      </w:r>
      <w:r>
        <w:t xml:space="preserve">), </w:t>
      </w:r>
      <w:r w:rsidR="00BF7C00">
        <w:t xml:space="preserve">and the daily discharge </w:t>
      </w:r>
      <w:r>
        <w:t>modelled without CEW (</w:t>
      </w:r>
      <w:r w:rsidRPr="00C3722F">
        <w:rPr>
          <w:color w:val="5B9BD5" w:themeColor="accent1"/>
        </w:rPr>
        <w:t>●</w:t>
      </w:r>
      <w:r>
        <w:t xml:space="preserve">) and </w:t>
      </w:r>
      <w:r w:rsidR="00BF7C00">
        <w:t xml:space="preserve">modelled </w:t>
      </w:r>
      <w:r>
        <w:t>without environmental water (</w:t>
      </w:r>
      <w:r w:rsidRPr="00C3722F">
        <w:rPr>
          <w:color w:val="70AD47" w:themeColor="accent6"/>
        </w:rPr>
        <w:t>●</w:t>
      </w:r>
      <w:r>
        <w:t xml:space="preserve">) </w:t>
      </w:r>
      <w:r w:rsidRPr="009A2686">
        <w:t>at</w:t>
      </w:r>
      <w:r>
        <w:t xml:space="preserve"> monitoring sites downstream(ds) of </w:t>
      </w:r>
      <w:r w:rsidRPr="009A2686">
        <w:t>Lock</w:t>
      </w:r>
      <w:r>
        <w:t xml:space="preserve">s (Lk) </w:t>
      </w:r>
      <w:r w:rsidRPr="009A2686">
        <w:t>6</w:t>
      </w:r>
      <w:r>
        <w:t>, 4 and 1</w:t>
      </w:r>
      <w:r w:rsidRPr="009A2686">
        <w:t>.</w:t>
      </w:r>
      <w:bookmarkEnd w:id="126"/>
    </w:p>
    <w:p w14:paraId="29339658" w14:textId="77777777" w:rsidR="00E92DD5" w:rsidRPr="00227FE9" w:rsidRDefault="00E92DD5" w:rsidP="00E92DD5">
      <w:pPr>
        <w:pStyle w:val="ListParagraph"/>
        <w:ind w:left="0"/>
        <w:rPr>
          <w:i/>
          <w:u w:val="single"/>
        </w:rPr>
      </w:pPr>
      <w:r>
        <w:rPr>
          <w:i/>
          <w:u w:val="single"/>
        </w:rPr>
        <w:t>Water mixing, gas exchange and metabolism estimates</w:t>
      </w:r>
    </w:p>
    <w:p w14:paraId="3B1B8662" w14:textId="794567E7" w:rsidR="00E92DD5" w:rsidRDefault="00E92DD5" w:rsidP="00E92DD5">
      <w:pPr>
        <w:rPr>
          <w:lang w:val="en-US"/>
        </w:rPr>
      </w:pPr>
      <w:r>
        <w:rPr>
          <w:lang w:val="en-US"/>
        </w:rPr>
        <w:t>Low flows reduce water velocities and decrease the reliability of metabolism estimates because turbulent mixing declines and DO measurements no longer represent conditions throughout the water column. Previously it was demonstrated that the gas exchange coefficient (k)</w:t>
      </w:r>
      <w:r w:rsidRPr="002B1369">
        <w:rPr>
          <w:lang w:val="en-US"/>
        </w:rPr>
        <w:t xml:space="preserve"> </w:t>
      </w:r>
      <w:r>
        <w:rPr>
          <w:lang w:val="en-US"/>
        </w:rPr>
        <w:t xml:space="preserve">was correlated with water velocities above 0.18 m/s, increasing systematically at each site as velocity increased within channel (Ye </w:t>
      </w:r>
      <w:r w:rsidRPr="009D6230">
        <w:rPr>
          <w:i/>
          <w:iCs/>
          <w:lang w:val="en-US"/>
        </w:rPr>
        <w:t>et al.</w:t>
      </w:r>
      <w:r>
        <w:rPr>
          <w:lang w:val="en-US"/>
        </w:rPr>
        <w:t xml:space="preserve"> 2020</w:t>
      </w:r>
      <w:r w:rsidR="0036505B">
        <w:rPr>
          <w:lang w:val="en-US"/>
        </w:rPr>
        <w:t>a</w:t>
      </w:r>
      <w:r>
        <w:rPr>
          <w:lang w:val="en-US"/>
        </w:rPr>
        <w:t xml:space="preserve">). The gas exchange velocity (K) is the exchange coefficient </w:t>
      </w:r>
      <w:r w:rsidR="002674C4">
        <w:rPr>
          <w:lang w:val="en-US"/>
        </w:rPr>
        <w:t>multiplied</w:t>
      </w:r>
      <w:r>
        <w:rPr>
          <w:lang w:val="en-US"/>
        </w:rPr>
        <w:t xml:space="preserve"> by the average depth, and accounts for differences in water depths, it also is correlated with water velocity (</w:t>
      </w:r>
      <w:r>
        <w:rPr>
          <w:lang w:val="en-US"/>
        </w:rPr>
        <w:fldChar w:fldCharType="begin"/>
      </w:r>
      <w:r>
        <w:rPr>
          <w:lang w:val="en-US"/>
        </w:rPr>
        <w:instrText xml:space="preserve"> REF _Ref59030552 \h </w:instrText>
      </w:r>
      <w:r>
        <w:rPr>
          <w:lang w:val="en-US"/>
        </w:rPr>
      </w:r>
      <w:r>
        <w:rPr>
          <w:lang w:val="en-US"/>
        </w:rPr>
        <w:fldChar w:fldCharType="separate"/>
      </w:r>
      <w:r w:rsidR="003C13F6">
        <w:t xml:space="preserve">Figure </w:t>
      </w:r>
      <w:r w:rsidR="003C13F6">
        <w:rPr>
          <w:noProof/>
        </w:rPr>
        <w:t>14</w:t>
      </w:r>
      <w:r>
        <w:rPr>
          <w:lang w:val="en-US"/>
        </w:rPr>
        <w:fldChar w:fldCharType="end"/>
      </w:r>
      <w:r>
        <w:rPr>
          <w:lang w:val="en-US"/>
        </w:rPr>
        <w:t xml:space="preserve">). During the 2020-21 season estimates of K from downstream of </w:t>
      </w:r>
      <w:r w:rsidR="003C03B0">
        <w:rPr>
          <w:lang w:val="en-US"/>
        </w:rPr>
        <w:t>L</w:t>
      </w:r>
      <w:r>
        <w:rPr>
          <w:lang w:val="en-US"/>
        </w:rPr>
        <w:t xml:space="preserve">ocks 1 and 4 showed </w:t>
      </w:r>
      <w:r>
        <w:rPr>
          <w:lang w:val="en-US"/>
        </w:rPr>
        <w:lastRenderedPageBreak/>
        <w:t>similar relationships with water velocity as in previous years, but an unexpected result was observed</w:t>
      </w:r>
      <w:r w:rsidRPr="00AA3E90">
        <w:rPr>
          <w:lang w:val="en-US"/>
        </w:rPr>
        <w:t xml:space="preserve"> </w:t>
      </w:r>
      <w:r>
        <w:rPr>
          <w:lang w:val="en-US"/>
        </w:rPr>
        <w:t xml:space="preserve">downstream of Lock 6. Although many of the measurements downstream of Lock 6 fell within the bounds of previous data, the gas exchange velocity increased substantially above what was expected during the </w:t>
      </w:r>
      <w:r w:rsidR="00BB3426">
        <w:rPr>
          <w:lang w:val="en-US"/>
        </w:rPr>
        <w:t>late spring/early summer flow pulse</w:t>
      </w:r>
      <w:r>
        <w:rPr>
          <w:lang w:val="en-US"/>
        </w:rPr>
        <w:t xml:space="preserve"> associated with Commonwealth environmental water delivery (</w:t>
      </w:r>
      <w:r w:rsidR="00E60906">
        <w:rPr>
          <w:lang w:val="en-US"/>
        </w:rPr>
        <w:fldChar w:fldCharType="begin"/>
      </w:r>
      <w:r w:rsidR="00E60906">
        <w:rPr>
          <w:lang w:val="en-US"/>
        </w:rPr>
        <w:instrText xml:space="preserve"> REF _Ref59030552 \h </w:instrText>
      </w:r>
      <w:r w:rsidR="00E60906">
        <w:rPr>
          <w:lang w:val="en-US"/>
        </w:rPr>
      </w:r>
      <w:r w:rsidR="00E60906">
        <w:rPr>
          <w:lang w:val="en-US"/>
        </w:rPr>
        <w:fldChar w:fldCharType="separate"/>
      </w:r>
      <w:r w:rsidR="003C13F6">
        <w:t xml:space="preserve">Figure </w:t>
      </w:r>
      <w:r w:rsidR="003C13F6">
        <w:rPr>
          <w:noProof/>
        </w:rPr>
        <w:t>14</w:t>
      </w:r>
      <w:r w:rsidR="00E60906">
        <w:rPr>
          <w:lang w:val="en-US"/>
        </w:rPr>
        <w:fldChar w:fldCharType="end"/>
      </w:r>
      <w:r>
        <w:rPr>
          <w:lang w:val="en-US"/>
        </w:rPr>
        <w:t>). The flow pulse was associated with</w:t>
      </w:r>
      <w:r w:rsidRPr="00DB513B">
        <w:rPr>
          <w:lang w:val="en-US"/>
        </w:rPr>
        <w:t xml:space="preserve"> </w:t>
      </w:r>
      <w:r>
        <w:rPr>
          <w:lang w:val="en-US"/>
        </w:rPr>
        <w:t>a ca. 0.46 m water level raising in Weir Pool 5</w:t>
      </w:r>
      <w:r w:rsidR="00BA6252">
        <w:rPr>
          <w:lang w:val="en-US"/>
        </w:rPr>
        <w:t xml:space="preserve"> (Appendix B)</w:t>
      </w:r>
      <w:r>
        <w:rPr>
          <w:lang w:val="en-US"/>
        </w:rPr>
        <w:t>. In contrast, during 2017-18 a similar flow peak, but of shorter duration,</w:t>
      </w:r>
      <w:r w:rsidRPr="0007758C">
        <w:rPr>
          <w:lang w:val="en-US"/>
        </w:rPr>
        <w:t xml:space="preserve"> </w:t>
      </w:r>
      <w:r>
        <w:rPr>
          <w:lang w:val="en-US"/>
        </w:rPr>
        <w:t>occurred during a period when the weir pool was at normal operating height</w:t>
      </w:r>
      <w:r w:rsidRPr="006812BC">
        <w:rPr>
          <w:lang w:val="en-US"/>
        </w:rPr>
        <w:t xml:space="preserve"> </w:t>
      </w:r>
      <w:r>
        <w:rPr>
          <w:lang w:val="en-US"/>
        </w:rPr>
        <w:t>and did not have enhanced gas exchange rates. A comparison of water levels between the two periods showed that the weir pool raising of 2020-21 had increased water level by ca. 0.2 m during the flow pulse and was associated with the enhanced gas exchange rates (</w:t>
      </w:r>
      <w:r w:rsidR="00E60906">
        <w:rPr>
          <w:lang w:val="en-US"/>
        </w:rPr>
        <w:fldChar w:fldCharType="begin"/>
      </w:r>
      <w:r w:rsidR="00E60906">
        <w:rPr>
          <w:lang w:val="en-US"/>
        </w:rPr>
        <w:instrText xml:space="preserve"> REF _Ref97414790 \h </w:instrText>
      </w:r>
      <w:r w:rsidR="00E60906">
        <w:rPr>
          <w:lang w:val="en-US"/>
        </w:rPr>
      </w:r>
      <w:r w:rsidR="00E60906">
        <w:rPr>
          <w:lang w:val="en-US"/>
        </w:rPr>
        <w:fldChar w:fldCharType="separate"/>
      </w:r>
      <w:r w:rsidR="003C13F6">
        <w:t xml:space="preserve">Figure </w:t>
      </w:r>
      <w:r w:rsidR="003C13F6">
        <w:rPr>
          <w:noProof/>
        </w:rPr>
        <w:t>15</w:t>
      </w:r>
      <w:r w:rsidR="00E60906">
        <w:rPr>
          <w:lang w:val="en-US"/>
        </w:rPr>
        <w:fldChar w:fldCharType="end"/>
      </w:r>
      <w:r>
        <w:rPr>
          <w:lang w:val="en-US"/>
        </w:rPr>
        <w:t>). The reasons for these differences in gas exchange are currently unknown but are presumably associated with increased turbulence during the 2020-21 flow, perhaps related to the increased water level variability.</w:t>
      </w:r>
    </w:p>
    <w:p w14:paraId="29FF4454" w14:textId="3F8C180E" w:rsidR="00E92DD5" w:rsidRDefault="00E92DD5" w:rsidP="00E92DD5">
      <w:pPr>
        <w:pStyle w:val="ListParagraph"/>
        <w:ind w:left="0"/>
        <w:contextualSpacing w:val="0"/>
        <w:rPr>
          <w:iCs/>
          <w:szCs w:val="22"/>
          <w:lang w:val="en-US"/>
        </w:rPr>
      </w:pPr>
      <w:r>
        <w:rPr>
          <w:iCs/>
          <w:szCs w:val="22"/>
          <w:lang w:val="en-US"/>
        </w:rPr>
        <w:t>The magnitude of the gas exchange velocity has an important influence on the likelihood of oxygen depletion. If the consumption of oxygen is greater than its resupply from the atmosphere, then the oxygen concentration falls until the consumption and resupply rates are in balance. Consequently, as flow and water velocity decline, the respiration rates that can be offset through gas exchange also decline and can lead to deleterious oxygen concentrations. Environmental water was considered to have contributed to the maintenance of observed DO concentrations during this period if it increased velocities</w:t>
      </w:r>
      <w:r w:rsidRPr="00ED6280">
        <w:rPr>
          <w:iCs/>
          <w:szCs w:val="22"/>
          <w:lang w:val="en-US"/>
        </w:rPr>
        <w:t xml:space="preserve"> </w:t>
      </w:r>
      <w:r>
        <w:rPr>
          <w:iCs/>
          <w:szCs w:val="22"/>
          <w:lang w:val="en-US"/>
        </w:rPr>
        <w:t>to 0.18 m/s or greater.</w:t>
      </w:r>
      <w:r w:rsidRPr="00A603A6">
        <w:t xml:space="preserve"> </w:t>
      </w:r>
      <w:r>
        <w:t>The periods, and scale of influence of these flows are depicted by the median average velocity timeline for each weir pool (</w:t>
      </w:r>
      <w:r>
        <w:fldChar w:fldCharType="begin"/>
      </w:r>
      <w:r>
        <w:instrText xml:space="preserve"> REF _Ref22545136 \h </w:instrText>
      </w:r>
      <w:r>
        <w:fldChar w:fldCharType="separate"/>
      </w:r>
      <w:r w:rsidR="003C13F6">
        <w:t xml:space="preserve">Figure </w:t>
      </w:r>
      <w:r w:rsidR="003C13F6">
        <w:rPr>
          <w:noProof/>
        </w:rPr>
        <w:t>7</w:t>
      </w:r>
      <w:r>
        <w:fldChar w:fldCharType="end"/>
      </w:r>
      <w:r>
        <w:t>), and by the total river kilometres between Lock 1 and Lock 6 with velocities &gt;0.2</w:t>
      </w:r>
      <w:r w:rsidR="00BB3426">
        <w:t> </w:t>
      </w:r>
      <w:r>
        <w:t>m/s (</w:t>
      </w:r>
      <w:r>
        <w:fldChar w:fldCharType="begin"/>
      </w:r>
      <w:r>
        <w:instrText xml:space="preserve"> REF _Ref22545004 \h </w:instrText>
      </w:r>
      <w:r>
        <w:fldChar w:fldCharType="separate"/>
      </w:r>
      <w:r w:rsidR="003C13F6">
        <w:t xml:space="preserve">Figure </w:t>
      </w:r>
      <w:r w:rsidR="003C13F6">
        <w:rPr>
          <w:noProof/>
        </w:rPr>
        <w:t>6</w:t>
      </w:r>
      <w:r>
        <w:fldChar w:fldCharType="end"/>
      </w:r>
      <w:r>
        <w:t>).</w:t>
      </w:r>
    </w:p>
    <w:p w14:paraId="40ED257B" w14:textId="77777777" w:rsidR="00E92DD5" w:rsidRDefault="00E92DD5" w:rsidP="0027557F">
      <w:pPr>
        <w:pStyle w:val="ListParagraph"/>
        <w:ind w:left="0"/>
        <w:jc w:val="center"/>
        <w:rPr>
          <w:iCs/>
          <w:szCs w:val="22"/>
          <w:lang w:val="en-US"/>
        </w:rPr>
      </w:pPr>
      <w:r>
        <w:rPr>
          <w:iCs/>
          <w:noProof/>
          <w:szCs w:val="22"/>
          <w:lang w:val="en-US"/>
        </w:rPr>
        <w:drawing>
          <wp:inline distT="0" distB="0" distL="0" distR="0" wp14:anchorId="429DB366" wp14:editId="36F82FAA">
            <wp:extent cx="4804410" cy="2695003"/>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815502" cy="2701225"/>
                    </a:xfrm>
                    <a:prstGeom prst="rect">
                      <a:avLst/>
                    </a:prstGeom>
                    <a:noFill/>
                  </pic:spPr>
                </pic:pic>
              </a:graphicData>
            </a:graphic>
          </wp:inline>
        </w:drawing>
      </w:r>
    </w:p>
    <w:p w14:paraId="64C3A6CA" w14:textId="59F3E54A" w:rsidR="00E92DD5" w:rsidRDefault="00E92DD5" w:rsidP="00E92DD5">
      <w:pPr>
        <w:pStyle w:val="Caption"/>
      </w:pPr>
      <w:bookmarkStart w:id="127" w:name="_Ref59030552"/>
      <w:bookmarkStart w:id="128" w:name="_Toc101963806"/>
      <w:r>
        <w:t xml:space="preserve">Figure </w:t>
      </w:r>
      <w:fldSimple w:instr=" SEQ Figure \* ARABIC ">
        <w:r w:rsidR="003C13F6">
          <w:rPr>
            <w:noProof/>
          </w:rPr>
          <w:t>14</w:t>
        </w:r>
      </w:fldSimple>
      <w:bookmarkEnd w:id="127"/>
      <w:r>
        <w:t xml:space="preserve">. </w:t>
      </w:r>
      <w:r w:rsidRPr="005A1619">
        <w:t xml:space="preserve">The </w:t>
      </w:r>
      <w:r>
        <w:t xml:space="preserve">relationship between the </w:t>
      </w:r>
      <w:r w:rsidRPr="005A1619">
        <w:t xml:space="preserve">gas exchange </w:t>
      </w:r>
      <w:r>
        <w:t>velocity</w:t>
      </w:r>
      <w:r w:rsidRPr="005A1619">
        <w:t xml:space="preserve"> </w:t>
      </w:r>
      <w:r>
        <w:t>(K) and</w:t>
      </w:r>
      <w:r w:rsidRPr="005A1619">
        <w:t xml:space="preserve"> water velocit</w:t>
      </w:r>
      <w:r>
        <w:t xml:space="preserve">y downstream of </w:t>
      </w:r>
      <w:r w:rsidRPr="00C3722F">
        <w:rPr>
          <w:szCs w:val="20"/>
        </w:rPr>
        <w:t>Lock 6 (</w:t>
      </w:r>
      <w:r w:rsidRPr="00C3722F">
        <w:rPr>
          <w:color w:val="0070C0"/>
          <w:szCs w:val="20"/>
        </w:rPr>
        <w:t>●</w:t>
      </w:r>
      <w:r w:rsidRPr="00C3722F">
        <w:rPr>
          <w:szCs w:val="20"/>
        </w:rPr>
        <w:t>), Lock 4 (</w:t>
      </w:r>
      <w:r w:rsidRPr="00C3722F">
        <w:rPr>
          <w:color w:val="808080" w:themeColor="background1" w:themeShade="80"/>
          <w:szCs w:val="20"/>
        </w:rPr>
        <w:t>●</w:t>
      </w:r>
      <w:r w:rsidRPr="00C3722F">
        <w:rPr>
          <w:szCs w:val="20"/>
        </w:rPr>
        <w:t>) and Lock 1 (</w:t>
      </w:r>
      <w:r w:rsidRPr="00C3722F">
        <w:rPr>
          <w:color w:val="ED7D31" w:themeColor="accent2"/>
          <w:szCs w:val="20"/>
        </w:rPr>
        <w:t>●</w:t>
      </w:r>
      <w:r w:rsidRPr="00C3722F">
        <w:rPr>
          <w:szCs w:val="20"/>
        </w:rPr>
        <w:t>) during 20</w:t>
      </w:r>
      <w:r>
        <w:rPr>
          <w:szCs w:val="20"/>
        </w:rPr>
        <w:t>20</w:t>
      </w:r>
      <w:r w:rsidRPr="00C3722F">
        <w:rPr>
          <w:szCs w:val="20"/>
        </w:rPr>
        <w:t>-</w:t>
      </w:r>
      <w:r>
        <w:t>21 and compared with previous years (</w:t>
      </w:r>
      <w:r w:rsidRPr="00A3456C">
        <w:rPr>
          <w:color w:val="70AD47" w:themeColor="accent6"/>
          <w:szCs w:val="20"/>
        </w:rPr>
        <w:t>●</w:t>
      </w:r>
      <w:r w:rsidRPr="005A0170">
        <w:rPr>
          <w:szCs w:val="20"/>
        </w:rPr>
        <w:t>)</w:t>
      </w:r>
      <w:r>
        <w:t>.</w:t>
      </w:r>
      <w:bookmarkEnd w:id="128"/>
    </w:p>
    <w:p w14:paraId="40E27BAF" w14:textId="77777777" w:rsidR="00E92DD5" w:rsidRDefault="00E92DD5" w:rsidP="00E92DD5">
      <w:pPr>
        <w:pStyle w:val="ListParagraph"/>
        <w:ind w:left="0"/>
        <w:rPr>
          <w:lang w:val="en-US"/>
        </w:rPr>
      </w:pPr>
    </w:p>
    <w:p w14:paraId="4BAFBC6B" w14:textId="77777777" w:rsidR="00E92DD5" w:rsidRDefault="00E92DD5" w:rsidP="00E92DD5">
      <w:pPr>
        <w:pStyle w:val="ListParagraph"/>
        <w:ind w:left="0"/>
        <w:rPr>
          <w:lang w:val="en-US"/>
        </w:rPr>
      </w:pPr>
      <w:r>
        <w:rPr>
          <w:noProof/>
          <w:lang w:val="en-US"/>
        </w:rPr>
        <w:lastRenderedPageBreak/>
        <w:drawing>
          <wp:inline distT="0" distB="0" distL="0" distR="0" wp14:anchorId="6A495DE7" wp14:editId="1BA45C42">
            <wp:extent cx="6075889" cy="1802127"/>
            <wp:effectExtent l="0" t="0" r="1270" b="8255"/>
            <wp:docPr id="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bwMode="auto">
                    <a:xfrm>
                      <a:off x="0" y="0"/>
                      <a:ext cx="6075889" cy="1802127"/>
                    </a:xfrm>
                    <a:prstGeom prst="rect">
                      <a:avLst/>
                    </a:prstGeom>
                  </pic:spPr>
                </pic:pic>
              </a:graphicData>
            </a:graphic>
          </wp:inline>
        </w:drawing>
      </w:r>
    </w:p>
    <w:p w14:paraId="2FDC3887" w14:textId="081E0325" w:rsidR="00E92DD5" w:rsidRDefault="00E92DD5" w:rsidP="00E92DD5">
      <w:pPr>
        <w:pStyle w:val="Caption"/>
      </w:pPr>
      <w:bookmarkStart w:id="129" w:name="_Ref97414790"/>
      <w:bookmarkStart w:id="130" w:name="_Toc101963807"/>
      <w:r>
        <w:t xml:space="preserve">Figure </w:t>
      </w:r>
      <w:fldSimple w:instr=" SEQ Figure \* ARABIC ">
        <w:r w:rsidR="003C13F6">
          <w:rPr>
            <w:noProof/>
          </w:rPr>
          <w:t>15</w:t>
        </w:r>
      </w:fldSimple>
      <w:bookmarkEnd w:id="129"/>
      <w:r>
        <w:t xml:space="preserve">. Time series of the </w:t>
      </w:r>
      <w:r w:rsidRPr="005A1619">
        <w:t xml:space="preserve">gas exchange </w:t>
      </w:r>
      <w:r>
        <w:t>velocity</w:t>
      </w:r>
      <w:r w:rsidRPr="005A1619">
        <w:t xml:space="preserve"> </w:t>
      </w:r>
      <w:r>
        <w:t xml:space="preserve">(K) </w:t>
      </w:r>
      <w:r w:rsidRPr="00C3722F">
        <w:rPr>
          <w:szCs w:val="20"/>
        </w:rPr>
        <w:t>(</w:t>
      </w:r>
      <w:r w:rsidRPr="00C3722F">
        <w:rPr>
          <w:color w:val="0070C0"/>
          <w:szCs w:val="20"/>
        </w:rPr>
        <w:t>●</w:t>
      </w:r>
      <w:r w:rsidRPr="00C3722F">
        <w:rPr>
          <w:szCs w:val="20"/>
        </w:rPr>
        <w:t>),</w:t>
      </w:r>
      <w:r>
        <w:rPr>
          <w:szCs w:val="20"/>
        </w:rPr>
        <w:t xml:space="preserve"> water</w:t>
      </w:r>
      <w:r w:rsidRPr="00C3722F">
        <w:rPr>
          <w:szCs w:val="20"/>
        </w:rPr>
        <w:t xml:space="preserve"> </w:t>
      </w:r>
      <w:r>
        <w:rPr>
          <w:szCs w:val="20"/>
        </w:rPr>
        <w:t>level</w:t>
      </w:r>
      <w:r w:rsidRPr="00C3722F">
        <w:rPr>
          <w:szCs w:val="20"/>
        </w:rPr>
        <w:t xml:space="preserve"> (</w:t>
      </w:r>
      <w:r w:rsidRPr="00C3722F">
        <w:rPr>
          <w:color w:val="808080" w:themeColor="background1" w:themeShade="80"/>
          <w:szCs w:val="20"/>
        </w:rPr>
        <w:t>●</w:t>
      </w:r>
      <w:r w:rsidRPr="00C3722F">
        <w:rPr>
          <w:szCs w:val="20"/>
        </w:rPr>
        <w:t xml:space="preserve">) </w:t>
      </w:r>
      <w:r>
        <w:rPr>
          <w:szCs w:val="20"/>
        </w:rPr>
        <w:t>and discharge</w:t>
      </w:r>
      <w:r w:rsidRPr="00C3722F">
        <w:rPr>
          <w:szCs w:val="20"/>
        </w:rPr>
        <w:t xml:space="preserve"> (</w:t>
      </w:r>
      <w:r w:rsidRPr="00C3722F">
        <w:rPr>
          <w:color w:val="ED7D31" w:themeColor="accent2"/>
          <w:szCs w:val="20"/>
        </w:rPr>
        <w:t>●</w:t>
      </w:r>
      <w:r w:rsidRPr="00C3722F">
        <w:rPr>
          <w:szCs w:val="20"/>
        </w:rPr>
        <w:t>) during 20</w:t>
      </w:r>
      <w:r>
        <w:rPr>
          <w:szCs w:val="20"/>
        </w:rPr>
        <w:t>20</w:t>
      </w:r>
      <w:r w:rsidRPr="00C3722F">
        <w:rPr>
          <w:szCs w:val="20"/>
        </w:rPr>
        <w:t>-</w:t>
      </w:r>
      <w:r>
        <w:t xml:space="preserve">21 (a) and 2017-18 (b) at the downstream of </w:t>
      </w:r>
      <w:r>
        <w:rPr>
          <w:lang w:val="en-US"/>
        </w:rPr>
        <w:t>Lock</w:t>
      </w:r>
      <w:r w:rsidDel="00B86F96">
        <w:t xml:space="preserve"> </w:t>
      </w:r>
      <w:r>
        <w:t>6 site.</w:t>
      </w:r>
      <w:bookmarkEnd w:id="130"/>
    </w:p>
    <w:p w14:paraId="2E715CD9" w14:textId="77777777" w:rsidR="00E92DD5" w:rsidRDefault="00E92DD5" w:rsidP="00E92DD5">
      <w:pPr>
        <w:pStyle w:val="ListParagraph"/>
        <w:ind w:left="0"/>
        <w:rPr>
          <w:lang w:val="en-US"/>
        </w:rPr>
      </w:pPr>
    </w:p>
    <w:p w14:paraId="4E03C773" w14:textId="77777777" w:rsidR="00E92DD5" w:rsidRDefault="00E92DD5" w:rsidP="00E92DD5">
      <w:pPr>
        <w:pStyle w:val="ListParagraph"/>
        <w:ind w:left="0"/>
        <w:rPr>
          <w:i/>
          <w:u w:val="single"/>
        </w:rPr>
      </w:pPr>
      <w:r w:rsidRPr="00E35C12">
        <w:rPr>
          <w:i/>
          <w:u w:val="single"/>
        </w:rPr>
        <w:t>Daily metabolic rates</w:t>
      </w:r>
    </w:p>
    <w:p w14:paraId="02075FB9" w14:textId="5D88C573" w:rsidR="00E92DD5" w:rsidRDefault="00E92DD5" w:rsidP="00E92DD5">
      <w:pPr>
        <w:rPr>
          <w:iCs/>
          <w:szCs w:val="22"/>
          <w:lang w:val="en-US"/>
        </w:rPr>
      </w:pPr>
      <w:r w:rsidRPr="00A763B3">
        <w:rPr>
          <w:lang w:val="en-US"/>
        </w:rPr>
        <w:t>Patterns of daily GPP</w:t>
      </w:r>
      <w:r>
        <w:rPr>
          <w:lang w:val="en-US"/>
        </w:rPr>
        <w:t xml:space="preserve"> </w:t>
      </w:r>
      <w:r w:rsidRPr="00A763B3">
        <w:rPr>
          <w:lang w:val="en-US"/>
        </w:rPr>
        <w:t xml:space="preserve">and </w:t>
      </w:r>
      <w:r>
        <w:rPr>
          <w:lang w:val="en-US"/>
        </w:rPr>
        <w:t>E</w:t>
      </w:r>
      <w:r w:rsidRPr="00A763B3">
        <w:rPr>
          <w:lang w:val="en-US"/>
        </w:rPr>
        <w:t>R</w:t>
      </w:r>
      <w:r>
        <w:rPr>
          <w:lang w:val="en-US"/>
        </w:rPr>
        <w:t xml:space="preserve"> were similar across sites over the monitoring period </w:t>
      </w:r>
      <w:r w:rsidR="00F83C08">
        <w:rPr>
          <w:lang w:val="en-US"/>
        </w:rPr>
        <w:t>(</w:t>
      </w:r>
      <w:r w:rsidR="00F83C08">
        <w:rPr>
          <w:lang w:val="en-US"/>
        </w:rPr>
        <w:fldChar w:fldCharType="begin"/>
      </w:r>
      <w:r w:rsidR="00F83C08">
        <w:rPr>
          <w:lang w:val="en-US"/>
        </w:rPr>
        <w:instrText xml:space="preserve"> REF _Ref96527759 \h </w:instrText>
      </w:r>
      <w:r w:rsidR="00F83C08">
        <w:rPr>
          <w:lang w:val="en-US"/>
        </w:rPr>
      </w:r>
      <w:r w:rsidR="00F83C08">
        <w:rPr>
          <w:lang w:val="en-US"/>
        </w:rPr>
        <w:fldChar w:fldCharType="separate"/>
      </w:r>
      <w:r w:rsidR="003C13F6">
        <w:t xml:space="preserve">Figure </w:t>
      </w:r>
      <w:r w:rsidR="003C13F6">
        <w:rPr>
          <w:noProof/>
        </w:rPr>
        <w:t>16</w:t>
      </w:r>
      <w:r w:rsidR="00F83C08">
        <w:rPr>
          <w:lang w:val="en-US"/>
        </w:rPr>
        <w:fldChar w:fldCharType="end"/>
      </w:r>
      <w:r w:rsidR="00F83C08">
        <w:rPr>
          <w:lang w:val="en-US"/>
        </w:rPr>
        <w:t>)</w:t>
      </w:r>
      <w:r>
        <w:rPr>
          <w:lang w:val="en-US"/>
        </w:rPr>
        <w:t xml:space="preserve"> and comparable with rates measured in previous years (Ye </w:t>
      </w:r>
      <w:r w:rsidRPr="009D6230">
        <w:rPr>
          <w:i/>
          <w:iCs/>
          <w:lang w:val="en-US"/>
        </w:rPr>
        <w:t>et al.</w:t>
      </w:r>
      <w:r>
        <w:rPr>
          <w:lang w:val="en-US"/>
        </w:rPr>
        <w:t xml:space="preserve"> 2020</w:t>
      </w:r>
      <w:r w:rsidR="0036505B">
        <w:rPr>
          <w:lang w:val="en-US"/>
        </w:rPr>
        <w:t>a</w:t>
      </w:r>
      <w:r>
        <w:rPr>
          <w:lang w:val="en-US"/>
        </w:rPr>
        <w:t xml:space="preserve">). </w:t>
      </w:r>
      <w:r>
        <w:rPr>
          <w:iCs/>
          <w:szCs w:val="22"/>
          <w:lang w:val="en-US"/>
        </w:rPr>
        <w:t>In response to the large increase in discharge</w:t>
      </w:r>
      <w:r w:rsidR="0060580A">
        <w:rPr>
          <w:iCs/>
          <w:szCs w:val="22"/>
          <w:lang w:val="en-US"/>
        </w:rPr>
        <w:t xml:space="preserve"> in late spring/early summer 2020</w:t>
      </w:r>
      <w:r>
        <w:rPr>
          <w:iCs/>
          <w:szCs w:val="22"/>
          <w:lang w:val="en-US"/>
        </w:rPr>
        <w:t>, volumetric rates of GPP reversed their seasonal increase and decreased until the end of the flow period when they again increased before levelling off</w:t>
      </w:r>
      <w:r w:rsidR="00F83C08">
        <w:rPr>
          <w:iCs/>
          <w:szCs w:val="22"/>
          <w:lang w:val="en-US"/>
        </w:rPr>
        <w:t xml:space="preserve"> </w:t>
      </w:r>
      <w:r w:rsidR="00F83C08">
        <w:rPr>
          <w:lang w:val="en-US"/>
        </w:rPr>
        <w:t>(</w:t>
      </w:r>
      <w:r w:rsidR="00F83C08">
        <w:rPr>
          <w:lang w:val="en-US"/>
        </w:rPr>
        <w:fldChar w:fldCharType="begin"/>
      </w:r>
      <w:r w:rsidR="00F83C08">
        <w:rPr>
          <w:lang w:val="en-US"/>
        </w:rPr>
        <w:instrText xml:space="preserve"> REF _Ref96527759 \h </w:instrText>
      </w:r>
      <w:r w:rsidR="00F83C08">
        <w:rPr>
          <w:lang w:val="en-US"/>
        </w:rPr>
      </w:r>
      <w:r w:rsidR="00F83C08">
        <w:rPr>
          <w:lang w:val="en-US"/>
        </w:rPr>
        <w:fldChar w:fldCharType="separate"/>
      </w:r>
      <w:r w:rsidR="003C13F6">
        <w:t xml:space="preserve">Figure </w:t>
      </w:r>
      <w:r w:rsidR="003C13F6">
        <w:rPr>
          <w:noProof/>
        </w:rPr>
        <w:t>16</w:t>
      </w:r>
      <w:r w:rsidR="00F83C08">
        <w:rPr>
          <w:lang w:val="en-US"/>
        </w:rPr>
        <w:fldChar w:fldCharType="end"/>
      </w:r>
      <w:r w:rsidR="00F83C08">
        <w:rPr>
          <w:lang w:val="en-US"/>
        </w:rPr>
        <w:t>)</w:t>
      </w:r>
      <w:r>
        <w:rPr>
          <w:iCs/>
          <w:szCs w:val="22"/>
          <w:lang w:val="en-US"/>
        </w:rPr>
        <w:t>. This pattern was mirrored by the changes in ER. If it is assumed that ER was largely associated with phytoplankton, then the average daily NEP (mgO</w:t>
      </w:r>
      <w:r w:rsidRPr="00BC4730">
        <w:rPr>
          <w:iCs/>
          <w:szCs w:val="22"/>
          <w:vertAlign w:val="subscript"/>
          <w:lang w:val="en-US"/>
        </w:rPr>
        <w:t>2</w:t>
      </w:r>
      <w:r>
        <w:rPr>
          <w:iCs/>
          <w:szCs w:val="22"/>
          <w:lang w:val="en-US"/>
        </w:rPr>
        <w:t xml:space="preserve">/L/d) calculated as the difference in GPP and ER, was 0.78 downstream of Lock 6, 0.51 downstream of Lock 4, and 0.67 downstream of Lock 1. </w:t>
      </w:r>
      <w:r w:rsidRPr="00D72D23">
        <w:rPr>
          <w:iCs/>
          <w:szCs w:val="22"/>
          <w:lang w:val="en-US"/>
        </w:rPr>
        <w:t>The cumulative NEP over the monitoring period was 115, 74 and 97 mgO</w:t>
      </w:r>
      <w:r w:rsidRPr="00D72D23">
        <w:rPr>
          <w:iCs/>
          <w:szCs w:val="22"/>
          <w:vertAlign w:val="subscript"/>
          <w:lang w:val="en-US"/>
        </w:rPr>
        <w:t>2</w:t>
      </w:r>
      <w:r w:rsidRPr="00D72D23">
        <w:rPr>
          <w:iCs/>
          <w:szCs w:val="22"/>
          <w:lang w:val="en-US"/>
        </w:rPr>
        <w:t>/L</w:t>
      </w:r>
      <w:r>
        <w:rPr>
          <w:iCs/>
          <w:szCs w:val="22"/>
          <w:lang w:val="en-US"/>
        </w:rPr>
        <w:t xml:space="preserve"> respectively, </w:t>
      </w:r>
      <w:r w:rsidRPr="00D72D23">
        <w:rPr>
          <w:iCs/>
          <w:szCs w:val="22"/>
          <w:lang w:val="en-US"/>
        </w:rPr>
        <w:t>or 43, 28 and 36 mgC/L.</w:t>
      </w:r>
      <w:r>
        <w:rPr>
          <w:iCs/>
          <w:szCs w:val="22"/>
          <w:lang w:val="en-US"/>
        </w:rPr>
        <w:t xml:space="preserve"> </w:t>
      </w:r>
    </w:p>
    <w:p w14:paraId="6FEFE09F" w14:textId="43616B52" w:rsidR="00E92DD5" w:rsidRDefault="00C53774" w:rsidP="00E92DD5">
      <w:pPr>
        <w:pStyle w:val="ListParagraph"/>
        <w:ind w:left="0"/>
        <w:contextualSpacing w:val="0"/>
        <w:jc w:val="center"/>
        <w:rPr>
          <w:iCs/>
          <w:szCs w:val="22"/>
          <w:lang w:val="en-US"/>
        </w:rPr>
      </w:pPr>
      <w:r w:rsidRPr="004E6BF8">
        <w:rPr>
          <w:iCs/>
          <w:noProof/>
          <w:szCs w:val="22"/>
        </w:rPr>
        <w:drawing>
          <wp:inline distT="0" distB="0" distL="0" distR="0" wp14:anchorId="0B5EFD89" wp14:editId="563134F4">
            <wp:extent cx="4488468" cy="2670279"/>
            <wp:effectExtent l="0" t="0" r="7620" b="0"/>
            <wp:docPr id="56" name="Picture 3">
              <a:extLst xmlns:a="http://schemas.openxmlformats.org/drawingml/2006/main">
                <a:ext uri="{FF2B5EF4-FFF2-40B4-BE49-F238E27FC236}">
                  <a16:creationId xmlns:a16="http://schemas.microsoft.com/office/drawing/2014/main" id="{65FC2951-B514-4ADB-B589-BE0FE439E2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3">
                      <a:extLst>
                        <a:ext uri="{FF2B5EF4-FFF2-40B4-BE49-F238E27FC236}">
                          <a16:creationId xmlns:a16="http://schemas.microsoft.com/office/drawing/2014/main" id="{65FC2951-B514-4ADB-B589-BE0FE439E209}"/>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488468" cy="2670279"/>
                    </a:xfrm>
                    <a:prstGeom prst="rect">
                      <a:avLst/>
                    </a:prstGeom>
                  </pic:spPr>
                </pic:pic>
              </a:graphicData>
            </a:graphic>
          </wp:inline>
        </w:drawing>
      </w:r>
    </w:p>
    <w:p w14:paraId="0673E342" w14:textId="0D5AE4F7" w:rsidR="00E92DD5" w:rsidRPr="00BA6252" w:rsidRDefault="00F83C08" w:rsidP="00F83C08">
      <w:pPr>
        <w:pStyle w:val="Caption"/>
      </w:pPr>
      <w:bookmarkStart w:id="131" w:name="_Ref96527759"/>
      <w:bookmarkStart w:id="132" w:name="_Toc101963808"/>
      <w:r>
        <w:t xml:space="preserve">Figure </w:t>
      </w:r>
      <w:fldSimple w:instr=" SEQ Figure \* ARABIC ">
        <w:r w:rsidR="003C13F6">
          <w:rPr>
            <w:noProof/>
          </w:rPr>
          <w:t>16</w:t>
        </w:r>
      </w:fldSimple>
      <w:bookmarkEnd w:id="131"/>
      <w:r w:rsidR="00E92DD5">
        <w:t xml:space="preserve">. </w:t>
      </w:r>
      <w:r w:rsidR="00C53774" w:rsidRPr="009A2686">
        <w:t>Daily gross photosynthesis (GPP</w:t>
      </w:r>
      <w:r w:rsidR="00C53774">
        <w:t>, positive rates</w:t>
      </w:r>
      <w:r w:rsidR="00C53774" w:rsidRPr="009A2686">
        <w:t>) and ecosystem respiration (ER</w:t>
      </w:r>
      <w:r w:rsidR="00C53774">
        <w:t>, negative rates</w:t>
      </w:r>
      <w:r w:rsidR="00C53774" w:rsidRPr="009A2686">
        <w:t xml:space="preserve"> </w:t>
      </w:r>
      <w:r w:rsidR="00C53774">
        <w:t xml:space="preserve">downstream of </w:t>
      </w:r>
      <w:r w:rsidR="00C53774" w:rsidRPr="00C3722F">
        <w:t>Lock 6 (</w:t>
      </w:r>
      <w:r w:rsidR="00C53774" w:rsidRPr="005C15EB">
        <w:rPr>
          <w:color w:val="4472C4" w:themeColor="accent5"/>
        </w:rPr>
        <w:t>●</w:t>
      </w:r>
      <w:r w:rsidR="00C53774" w:rsidRPr="00C3722F">
        <w:t>), Lock 4 (</w:t>
      </w:r>
      <w:r w:rsidR="00C53774" w:rsidRPr="005A69A3">
        <w:rPr>
          <w:color w:val="A5A5A5" w:themeColor="accent3"/>
        </w:rPr>
        <w:t>●</w:t>
      </w:r>
      <w:r w:rsidR="00C53774" w:rsidRPr="00C3722F">
        <w:t>) and Lock 1 (</w:t>
      </w:r>
      <w:r w:rsidR="00C53774" w:rsidRPr="00C3722F">
        <w:rPr>
          <w:color w:val="ED7D31" w:themeColor="accent2"/>
        </w:rPr>
        <w:t>●</w:t>
      </w:r>
      <w:r w:rsidR="00C53774" w:rsidRPr="00C3722F">
        <w:t>) during 20</w:t>
      </w:r>
      <w:r w:rsidR="00C53774">
        <w:t>20</w:t>
      </w:r>
      <w:r w:rsidR="00C53774" w:rsidRPr="00C3722F">
        <w:t>-</w:t>
      </w:r>
      <w:r w:rsidR="00C53774">
        <w:t xml:space="preserve">21, with discharge at Lock 6 </w:t>
      </w:r>
      <w:r w:rsidR="00C53774" w:rsidRPr="00C3722F">
        <w:t>(</w:t>
      </w:r>
      <w:r w:rsidR="00C53774" w:rsidRPr="005A69A3">
        <w:rPr>
          <w:color w:val="70AD47" w:themeColor="accent6"/>
        </w:rPr>
        <w:t>●</w:t>
      </w:r>
      <w:r w:rsidR="00C53774" w:rsidRPr="00C3722F">
        <w:t>)</w:t>
      </w:r>
      <w:r w:rsidR="00C53774">
        <w:t xml:space="preserve"> and water quality sampling dates </w:t>
      </w:r>
      <w:r w:rsidR="00C53774" w:rsidRPr="00C3722F">
        <w:t>(</w:t>
      </w:r>
      <w:r w:rsidR="00C53774" w:rsidRPr="00DB74C7">
        <w:t>●</w:t>
      </w:r>
      <w:r w:rsidR="00C53774" w:rsidRPr="00C3722F">
        <w:t>)</w:t>
      </w:r>
      <w:r w:rsidR="00C53774" w:rsidRPr="009A2686">
        <w:t>.</w:t>
      </w:r>
      <w:bookmarkEnd w:id="132"/>
    </w:p>
    <w:p w14:paraId="26E22190" w14:textId="77777777" w:rsidR="00E92DD5" w:rsidRPr="00227FE9" w:rsidRDefault="00E92DD5" w:rsidP="00E92DD5">
      <w:pPr>
        <w:pStyle w:val="ListParagraph"/>
        <w:ind w:left="0"/>
        <w:rPr>
          <w:i/>
          <w:u w:val="single"/>
        </w:rPr>
      </w:pPr>
      <w:r>
        <w:rPr>
          <w:i/>
          <w:u w:val="single"/>
        </w:rPr>
        <w:t>Determinants of g</w:t>
      </w:r>
      <w:r w:rsidRPr="00227FE9">
        <w:rPr>
          <w:i/>
          <w:u w:val="single"/>
        </w:rPr>
        <w:t xml:space="preserve">ross </w:t>
      </w:r>
      <w:r>
        <w:rPr>
          <w:i/>
          <w:u w:val="single"/>
        </w:rPr>
        <w:t>p</w:t>
      </w:r>
      <w:r w:rsidRPr="00227FE9">
        <w:rPr>
          <w:i/>
          <w:u w:val="single"/>
        </w:rPr>
        <w:t xml:space="preserve">rimary </w:t>
      </w:r>
      <w:r>
        <w:rPr>
          <w:i/>
          <w:u w:val="single"/>
        </w:rPr>
        <w:t>p</w:t>
      </w:r>
      <w:r w:rsidRPr="00227FE9">
        <w:rPr>
          <w:i/>
          <w:u w:val="single"/>
        </w:rPr>
        <w:t>roduction</w:t>
      </w:r>
    </w:p>
    <w:p w14:paraId="4C2E48D5" w14:textId="77777777" w:rsidR="00E92DD5" w:rsidRDefault="00E92DD5" w:rsidP="00E92DD5">
      <w:pPr>
        <w:pStyle w:val="ListParagraph"/>
        <w:ind w:left="0"/>
        <w:rPr>
          <w:iCs/>
          <w:szCs w:val="22"/>
          <w:highlight w:val="yellow"/>
          <w:lang w:val="en-US"/>
        </w:rPr>
      </w:pPr>
    </w:p>
    <w:p w14:paraId="43F52B8A" w14:textId="5CDFAAC7" w:rsidR="00E92DD5" w:rsidRDefault="00E92DD5" w:rsidP="00BA6252">
      <w:pPr>
        <w:pStyle w:val="ListParagraph"/>
        <w:ind w:left="0"/>
        <w:rPr>
          <w:lang w:val="en-US"/>
        </w:rPr>
      </w:pPr>
      <w:r>
        <w:rPr>
          <w:iCs/>
          <w:szCs w:val="22"/>
          <w:lang w:val="en-US"/>
        </w:rPr>
        <w:t xml:space="preserve">Velocities of 0.18m/s or greater were used to identify periods when in-channel mixing was sufficient to ensure metabolism estimates were reliable (Oliver and Lorenz 2010; Ye </w:t>
      </w:r>
      <w:r w:rsidRPr="009D6230">
        <w:rPr>
          <w:i/>
          <w:szCs w:val="22"/>
          <w:lang w:val="en-US"/>
        </w:rPr>
        <w:t>et al.</w:t>
      </w:r>
      <w:r>
        <w:rPr>
          <w:iCs/>
          <w:szCs w:val="22"/>
          <w:lang w:val="en-US"/>
        </w:rPr>
        <w:t xml:space="preserve"> </w:t>
      </w:r>
      <w:r>
        <w:rPr>
          <w:iCs/>
          <w:szCs w:val="22"/>
          <w:lang w:val="en-US"/>
        </w:rPr>
        <w:lastRenderedPageBreak/>
        <w:t>2020</w:t>
      </w:r>
      <w:r w:rsidR="0036505B">
        <w:rPr>
          <w:iCs/>
          <w:szCs w:val="22"/>
          <w:lang w:val="en-US"/>
        </w:rPr>
        <w:t>a</w:t>
      </w:r>
      <w:r>
        <w:rPr>
          <w:iCs/>
          <w:szCs w:val="22"/>
          <w:lang w:val="en-US"/>
        </w:rPr>
        <w:t xml:space="preserve">). </w:t>
      </w:r>
      <w:r>
        <w:rPr>
          <w:lang w:val="en-US"/>
        </w:rPr>
        <w:t xml:space="preserve">Analysis of the 2020-21 GPP measurements meeting the reliability criteria supported previous findings of </w:t>
      </w:r>
      <w:r w:rsidRPr="005F7109">
        <w:rPr>
          <w:lang w:val="en-US"/>
        </w:rPr>
        <w:t xml:space="preserve">a </w:t>
      </w:r>
      <w:r>
        <w:rPr>
          <w:lang w:val="en-US"/>
        </w:rPr>
        <w:t>significant</w:t>
      </w:r>
      <w:r w:rsidRPr="005F7109">
        <w:rPr>
          <w:lang w:val="en-US"/>
        </w:rPr>
        <w:t xml:space="preserve"> </w:t>
      </w:r>
      <w:r>
        <w:rPr>
          <w:lang w:val="en-US"/>
        </w:rPr>
        <w:t xml:space="preserve">linear </w:t>
      </w:r>
      <w:r w:rsidRPr="005F7109">
        <w:rPr>
          <w:lang w:val="en-US"/>
        </w:rPr>
        <w:t xml:space="preserve">correlation between </w:t>
      </w:r>
      <w:r>
        <w:rPr>
          <w:lang w:val="en-US"/>
        </w:rPr>
        <w:t>the chlorophyll specific rate of gross photosynthesis (</w:t>
      </w:r>
      <w:r w:rsidRPr="005F7109">
        <w:rPr>
          <w:lang w:val="en-US"/>
        </w:rPr>
        <w:t>GPP(b)</w:t>
      </w:r>
      <w:r>
        <w:rPr>
          <w:lang w:val="en-US"/>
        </w:rPr>
        <w:t>)</w:t>
      </w:r>
      <w:r w:rsidRPr="005F7109">
        <w:rPr>
          <w:lang w:val="en-US"/>
        </w:rPr>
        <w:t xml:space="preserve"> and</w:t>
      </w:r>
      <w:r>
        <w:rPr>
          <w:lang w:val="en-US"/>
        </w:rPr>
        <w:t xml:space="preserve"> the mean irradiance in the mixed water column (</w:t>
      </w:r>
      <w:r w:rsidRPr="00C638C3">
        <w:rPr>
          <w:i/>
          <w:lang w:val="en-US"/>
        </w:rPr>
        <w:t>Im</w:t>
      </w:r>
      <w:r>
        <w:rPr>
          <w:iCs/>
          <w:lang w:val="en-US"/>
        </w:rPr>
        <w:t xml:space="preserve">) </w:t>
      </w:r>
      <w:r>
        <w:rPr>
          <w:lang w:val="en-US"/>
        </w:rPr>
        <w:t>(</w:t>
      </w:r>
      <w:r>
        <w:rPr>
          <w:lang w:val="en-US"/>
        </w:rPr>
        <w:fldChar w:fldCharType="begin"/>
      </w:r>
      <w:r>
        <w:rPr>
          <w:lang w:val="en-US"/>
        </w:rPr>
        <w:instrText xml:space="preserve"> REF _Ref59030628 \h </w:instrText>
      </w:r>
      <w:r>
        <w:rPr>
          <w:lang w:val="en-US"/>
        </w:rPr>
      </w:r>
      <w:r>
        <w:rPr>
          <w:lang w:val="en-US"/>
        </w:rPr>
        <w:fldChar w:fldCharType="separate"/>
      </w:r>
      <w:r w:rsidR="003C13F6">
        <w:t xml:space="preserve">Figure </w:t>
      </w:r>
      <w:r w:rsidR="003C13F6">
        <w:rPr>
          <w:noProof/>
        </w:rPr>
        <w:t>17</w:t>
      </w:r>
      <w:r>
        <w:rPr>
          <w:lang w:val="en-US"/>
        </w:rPr>
        <w:fldChar w:fldCharType="end"/>
      </w:r>
      <w:r>
        <w:rPr>
          <w:lang w:val="en-US"/>
        </w:rPr>
        <w:t>). The</w:t>
      </w:r>
      <w:r>
        <w:rPr>
          <w:iCs/>
          <w:lang w:val="en-US"/>
        </w:rPr>
        <w:t xml:space="preserve"> </w:t>
      </w:r>
      <w:r>
        <w:rPr>
          <w:lang w:val="en-US"/>
        </w:rPr>
        <w:t xml:space="preserve">linear </w:t>
      </w:r>
      <w:r w:rsidRPr="005F7109">
        <w:rPr>
          <w:lang w:val="en-US"/>
        </w:rPr>
        <w:t xml:space="preserve">regression </w:t>
      </w:r>
      <w:r>
        <w:rPr>
          <w:lang w:val="en-US"/>
        </w:rPr>
        <w:t xml:space="preserve">slope was equivalent to that reported for previous monitoring years (Ye </w:t>
      </w:r>
      <w:r w:rsidRPr="009D6230">
        <w:rPr>
          <w:i/>
          <w:iCs/>
          <w:lang w:val="en-US"/>
        </w:rPr>
        <w:t>et al.</w:t>
      </w:r>
      <w:r>
        <w:rPr>
          <w:lang w:val="en-US"/>
        </w:rPr>
        <w:t xml:space="preserve"> 2020</w:t>
      </w:r>
      <w:r w:rsidR="0036505B">
        <w:rPr>
          <w:lang w:val="en-US"/>
        </w:rPr>
        <w:t>a</w:t>
      </w:r>
      <w:r>
        <w:rPr>
          <w:lang w:val="en-US"/>
        </w:rPr>
        <w:t>), and for channel reaches in up-stream sections of the river (Oliver and Merrick 2006).</w:t>
      </w:r>
    </w:p>
    <w:p w14:paraId="2F9418F6" w14:textId="7BC751AA" w:rsidR="00E92DD5" w:rsidRPr="005F7109" w:rsidRDefault="00C53774" w:rsidP="00E92DD5">
      <w:pPr>
        <w:rPr>
          <w:iCs/>
          <w:szCs w:val="22"/>
          <w:lang w:val="en-US"/>
        </w:rPr>
      </w:pPr>
      <w:r>
        <w:rPr>
          <w:noProof/>
        </w:rPr>
        <w:drawing>
          <wp:inline distT="0" distB="0" distL="0" distR="0" wp14:anchorId="2894E9CF" wp14:editId="73DA7832">
            <wp:extent cx="5132070" cy="2929802"/>
            <wp:effectExtent l="0" t="0" r="0" b="4445"/>
            <wp:docPr id="43" name="Picture 4">
              <a:extLst xmlns:a="http://schemas.openxmlformats.org/drawingml/2006/main">
                <a:ext uri="{FF2B5EF4-FFF2-40B4-BE49-F238E27FC236}">
                  <a16:creationId xmlns:a16="http://schemas.microsoft.com/office/drawing/2014/main" id="{10A7C872-E2B3-4596-A43D-CD1FFAEA6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a:extLst>
                        <a:ext uri="{FF2B5EF4-FFF2-40B4-BE49-F238E27FC236}">
                          <a16:creationId xmlns:a16="http://schemas.microsoft.com/office/drawing/2014/main" id="{10A7C872-E2B3-4596-A43D-CD1FFAEA6506}"/>
                        </a:ext>
                      </a:extLst>
                    </pic:cNvPr>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139039" cy="2933781"/>
                    </a:xfrm>
                    <a:prstGeom prst="rect">
                      <a:avLst/>
                    </a:prstGeom>
                  </pic:spPr>
                </pic:pic>
              </a:graphicData>
            </a:graphic>
          </wp:inline>
        </w:drawing>
      </w:r>
    </w:p>
    <w:p w14:paraId="5F8E6850" w14:textId="46885488" w:rsidR="00E92DD5" w:rsidRPr="005F7109" w:rsidRDefault="00E92DD5" w:rsidP="00E92DD5">
      <w:pPr>
        <w:pStyle w:val="Caption"/>
        <w:rPr>
          <w:iCs/>
          <w:szCs w:val="22"/>
        </w:rPr>
      </w:pPr>
      <w:bookmarkStart w:id="133" w:name="_Ref59030628"/>
      <w:bookmarkStart w:id="134" w:name="_Toc101963809"/>
      <w:r>
        <w:t xml:space="preserve">Figure </w:t>
      </w:r>
      <w:fldSimple w:instr=" SEQ Figure \* ARABIC ">
        <w:r w:rsidR="003C13F6">
          <w:rPr>
            <w:noProof/>
          </w:rPr>
          <w:t>17</w:t>
        </w:r>
      </w:fldSimple>
      <w:bookmarkEnd w:id="133"/>
      <w:r>
        <w:t>.</w:t>
      </w:r>
      <w:r w:rsidR="00C53774" w:rsidRPr="00C53774">
        <w:t xml:space="preserve"> </w:t>
      </w:r>
      <w:r w:rsidR="00C53774" w:rsidRPr="005F7109">
        <w:t xml:space="preserve">The </w:t>
      </w:r>
      <w:r w:rsidR="00C53774">
        <w:t>relationship</w:t>
      </w:r>
      <w:r w:rsidR="00C53774" w:rsidRPr="005F7109">
        <w:t xml:space="preserve"> </w:t>
      </w:r>
      <w:r w:rsidR="00C53774">
        <w:t xml:space="preserve">during 2020-21 </w:t>
      </w:r>
      <w:r w:rsidR="00C53774" w:rsidRPr="005F7109">
        <w:t xml:space="preserve">of </w:t>
      </w:r>
      <w:r w:rsidR="00C53774" w:rsidRPr="000208E2">
        <w:t xml:space="preserve">gross primary production </w:t>
      </w:r>
      <w:r w:rsidR="00C53774" w:rsidRPr="005F7109">
        <w:t xml:space="preserve">per unit </w:t>
      </w:r>
      <w:r w:rsidR="00C53774">
        <w:t>chlorophyll</w:t>
      </w:r>
      <w:r w:rsidR="00C53774" w:rsidRPr="005F7109">
        <w:t xml:space="preserve"> </w:t>
      </w:r>
      <w:r w:rsidR="00C53774">
        <w:t xml:space="preserve">(GPP(b)) </w:t>
      </w:r>
      <w:r w:rsidR="00C53774" w:rsidRPr="005F7109">
        <w:t xml:space="preserve">to the mean irradiance </w:t>
      </w:r>
      <w:r w:rsidR="00C53774">
        <w:t xml:space="preserve">(lm) </w:t>
      </w:r>
      <w:r w:rsidR="00C53774" w:rsidRPr="005F7109">
        <w:t>of the water column</w:t>
      </w:r>
      <w:r w:rsidR="00C53774">
        <w:t xml:space="preserve"> </w:t>
      </w:r>
      <w:r w:rsidR="00C53774">
        <w:rPr>
          <w:szCs w:val="20"/>
        </w:rPr>
        <w:t>downstream of</w:t>
      </w:r>
      <w:r w:rsidR="00C53774" w:rsidRPr="00C3722F">
        <w:rPr>
          <w:szCs w:val="20"/>
        </w:rPr>
        <w:t xml:space="preserve"> </w:t>
      </w:r>
      <w:r w:rsidR="00C53774">
        <w:rPr>
          <w:szCs w:val="20"/>
        </w:rPr>
        <w:t>L</w:t>
      </w:r>
      <w:r w:rsidR="00C53774" w:rsidRPr="00C3722F">
        <w:rPr>
          <w:szCs w:val="20"/>
        </w:rPr>
        <w:t>ock</w:t>
      </w:r>
      <w:r w:rsidR="00C53774">
        <w:rPr>
          <w:szCs w:val="20"/>
        </w:rPr>
        <w:t>s</w:t>
      </w:r>
      <w:r w:rsidR="00C53774" w:rsidRPr="00C3722F">
        <w:rPr>
          <w:szCs w:val="20"/>
        </w:rPr>
        <w:t xml:space="preserve"> 6 (</w:t>
      </w:r>
      <w:r w:rsidR="00C53774" w:rsidRPr="00C3722F">
        <w:rPr>
          <w:color w:val="0070C0"/>
          <w:szCs w:val="20"/>
        </w:rPr>
        <w:t>●</w:t>
      </w:r>
      <w:r w:rsidR="00C53774" w:rsidRPr="00C3722F">
        <w:rPr>
          <w:szCs w:val="20"/>
        </w:rPr>
        <w:t>), 4 (</w:t>
      </w:r>
      <w:r w:rsidR="00C53774" w:rsidRPr="00C3722F">
        <w:rPr>
          <w:color w:val="A6A6A6" w:themeColor="background1" w:themeShade="A6"/>
          <w:szCs w:val="20"/>
        </w:rPr>
        <w:t>●</w:t>
      </w:r>
      <w:r w:rsidR="00C53774" w:rsidRPr="00C3722F">
        <w:rPr>
          <w:szCs w:val="20"/>
        </w:rPr>
        <w:t>) and 1 (</w:t>
      </w:r>
      <w:r w:rsidR="00C53774" w:rsidRPr="00C3722F">
        <w:rPr>
          <w:color w:val="ED7D31" w:themeColor="accent2"/>
          <w:szCs w:val="20"/>
        </w:rPr>
        <w:t>●</w:t>
      </w:r>
      <w:r w:rsidR="00C53774" w:rsidRPr="00C3722F">
        <w:rPr>
          <w:szCs w:val="20"/>
        </w:rPr>
        <w:t>)</w:t>
      </w:r>
      <w:r w:rsidR="00C53774">
        <w:rPr>
          <w:szCs w:val="20"/>
        </w:rPr>
        <w:t xml:space="preserve">, compared with all previous years and sites </w:t>
      </w:r>
      <w:r w:rsidR="00C53774" w:rsidRPr="00A11B52">
        <w:rPr>
          <w:szCs w:val="20"/>
        </w:rPr>
        <w:t>(</w:t>
      </w:r>
      <w:r w:rsidR="00C53774" w:rsidRPr="008A1E91">
        <w:rPr>
          <w:color w:val="70AD47" w:themeColor="accent6"/>
          <w:szCs w:val="20"/>
        </w:rPr>
        <w:t>●</w:t>
      </w:r>
      <w:r w:rsidR="00C53774" w:rsidRPr="00A11B52">
        <w:rPr>
          <w:szCs w:val="20"/>
        </w:rPr>
        <w:t>)</w:t>
      </w:r>
      <w:r w:rsidR="00C53774">
        <w:rPr>
          <w:szCs w:val="20"/>
        </w:rPr>
        <w:t>, for</w:t>
      </w:r>
      <w:r w:rsidR="00C53774" w:rsidRPr="00C3722F">
        <w:rPr>
          <w:szCs w:val="20"/>
        </w:rPr>
        <w:t xml:space="preserve"> when</w:t>
      </w:r>
      <w:r w:rsidR="00C53774" w:rsidRPr="005F7109">
        <w:t xml:space="preserve"> water velocities were greater than 0.</w:t>
      </w:r>
      <w:r w:rsidR="00C53774">
        <w:t>18</w:t>
      </w:r>
      <w:r w:rsidR="00C53774" w:rsidRPr="005F7109">
        <w:t xml:space="preserve"> m/s</w:t>
      </w:r>
      <w:r w:rsidR="00C53774">
        <w:t>, with an indicative line of the mean ratio of GPP(b)/Im (1.04 SE±0.03)</w:t>
      </w:r>
      <w:r w:rsidR="00C53774" w:rsidRPr="005F7109">
        <w:t>.</w:t>
      </w:r>
      <w:bookmarkEnd w:id="134"/>
    </w:p>
    <w:p w14:paraId="7544A1D2" w14:textId="3E8CC72D" w:rsidR="00E92DD5" w:rsidRDefault="00E92DD5" w:rsidP="00E92DD5">
      <w:pPr>
        <w:rPr>
          <w:lang w:val="en-US"/>
        </w:rPr>
      </w:pPr>
      <w:r>
        <w:rPr>
          <w:lang w:val="en-US"/>
        </w:rPr>
        <w:t xml:space="preserve">In naturally flowing rivers there is a relationship between flow and water depth, but within the weir pools of the LMR, this connection is decoupled. At these sites there is reduced change in water depth unless flows are sufficient to overwhelm the functioning of the weirs, or alternatively weir operations are managed to influence depth. The high flows associated with environmental water delivery between 16 November 2020 and early January 2021 resulted in water level and depth changes at each of the sites relative to modelled flows without environmental water </w:t>
      </w:r>
      <w:r w:rsidR="00F83C08">
        <w:rPr>
          <w:lang w:val="en-US"/>
        </w:rPr>
        <w:t>(</w:t>
      </w:r>
      <w:r w:rsidR="00F83C08">
        <w:rPr>
          <w:lang w:val="en-US"/>
        </w:rPr>
        <w:fldChar w:fldCharType="begin"/>
      </w:r>
      <w:r w:rsidR="00F83C08">
        <w:rPr>
          <w:lang w:val="en-US"/>
        </w:rPr>
        <w:instrText xml:space="preserve"> REF _Ref96527818 \h </w:instrText>
      </w:r>
      <w:r w:rsidR="00F83C08">
        <w:rPr>
          <w:lang w:val="en-US"/>
        </w:rPr>
      </w:r>
      <w:r w:rsidR="00F83C08">
        <w:rPr>
          <w:lang w:val="en-US"/>
        </w:rPr>
        <w:fldChar w:fldCharType="separate"/>
      </w:r>
      <w:r w:rsidR="003C13F6">
        <w:t xml:space="preserve">Figure </w:t>
      </w:r>
      <w:r w:rsidR="003C13F6">
        <w:rPr>
          <w:noProof/>
        </w:rPr>
        <w:t>18</w:t>
      </w:r>
      <w:r w:rsidR="00F83C08">
        <w:rPr>
          <w:lang w:val="en-US"/>
        </w:rPr>
        <w:fldChar w:fldCharType="end"/>
      </w:r>
      <w:r w:rsidR="00F83C08">
        <w:rPr>
          <w:lang w:val="en-US"/>
        </w:rPr>
        <w:t>)</w:t>
      </w:r>
      <w:r>
        <w:rPr>
          <w:lang w:val="en-US"/>
        </w:rPr>
        <w:t xml:space="preserve">. At the site downstream of Lock 6, the water depth change was enhanced by a 0.46 m raising of Weir </w:t>
      </w:r>
      <w:r w:rsidR="00BA6252">
        <w:rPr>
          <w:lang w:val="en-US"/>
        </w:rPr>
        <w:t xml:space="preserve">Pool </w:t>
      </w:r>
      <w:r>
        <w:rPr>
          <w:lang w:val="en-US"/>
        </w:rPr>
        <w:t>5 in early November, approximately two weeks before the start of the flow pulse, resulting in a maximum depth change above the normal pool level</w:t>
      </w:r>
      <w:r w:rsidRPr="004F0606">
        <w:rPr>
          <w:lang w:val="en-US"/>
        </w:rPr>
        <w:t xml:space="preserve"> </w:t>
      </w:r>
      <w:r>
        <w:rPr>
          <w:lang w:val="en-US"/>
        </w:rPr>
        <w:t>of 0.6 m during the flow pulse</w:t>
      </w:r>
      <w:r w:rsidR="00F83C08">
        <w:rPr>
          <w:lang w:val="en-US"/>
        </w:rPr>
        <w:t xml:space="preserve"> (</w:t>
      </w:r>
      <w:r w:rsidR="00F83C08">
        <w:rPr>
          <w:lang w:val="en-US"/>
        </w:rPr>
        <w:fldChar w:fldCharType="begin"/>
      </w:r>
      <w:r w:rsidR="00F83C08">
        <w:rPr>
          <w:lang w:val="en-US"/>
        </w:rPr>
        <w:instrText xml:space="preserve"> REF _Ref96527818 \h </w:instrText>
      </w:r>
      <w:r w:rsidR="00F83C08">
        <w:rPr>
          <w:lang w:val="en-US"/>
        </w:rPr>
      </w:r>
      <w:r w:rsidR="00F83C08">
        <w:rPr>
          <w:lang w:val="en-US"/>
        </w:rPr>
        <w:fldChar w:fldCharType="separate"/>
      </w:r>
      <w:r w:rsidR="003C13F6">
        <w:t xml:space="preserve">Figure </w:t>
      </w:r>
      <w:r w:rsidR="003C13F6">
        <w:rPr>
          <w:noProof/>
        </w:rPr>
        <w:t>18</w:t>
      </w:r>
      <w:r w:rsidR="00F83C08">
        <w:rPr>
          <w:lang w:val="en-US"/>
        </w:rPr>
        <w:fldChar w:fldCharType="end"/>
      </w:r>
      <w:r w:rsidR="00F83C08">
        <w:rPr>
          <w:lang w:val="en-US"/>
        </w:rPr>
        <w:t>)</w:t>
      </w:r>
      <w:r>
        <w:rPr>
          <w:lang w:val="en-US"/>
        </w:rPr>
        <w:t xml:space="preserve">. At the monitoring site downstream of Lock 4 the maximum depth change due to environmental water was 0.8 m above the normal pool level during the early peak of the flow pulse. </w:t>
      </w:r>
      <w:r w:rsidR="00C53774">
        <w:rPr>
          <w:lang w:val="en-US"/>
        </w:rPr>
        <w:t>The monitoring site downstream of Lock 1</w:t>
      </w:r>
      <w:r w:rsidR="00C53774" w:rsidRPr="00025FFA">
        <w:rPr>
          <w:lang w:val="en-US"/>
        </w:rPr>
        <w:t xml:space="preserve"> </w:t>
      </w:r>
      <w:r w:rsidR="00C53774">
        <w:rPr>
          <w:lang w:val="en-US"/>
        </w:rPr>
        <w:t xml:space="preserve">is not in a weir pool but is connected by a long river reach to Lake Alexandrina and consequently water level is influenced not only by flow, but by levels in Lake Alexandrina that are determined by the barrages. Water level if also influenced by winds </w:t>
      </w:r>
      <w:r>
        <w:rPr>
          <w:lang w:val="en-US"/>
        </w:rPr>
        <w:t>aligned with the long river reach pushing water upstream</w:t>
      </w:r>
      <w:r w:rsidRPr="00025FFA">
        <w:rPr>
          <w:lang w:val="en-US"/>
        </w:rPr>
        <w:t xml:space="preserve"> </w:t>
      </w:r>
      <w:r>
        <w:rPr>
          <w:lang w:val="en-US"/>
        </w:rPr>
        <w:t xml:space="preserve">from the lake. At this site water depth slowly declined from 3.3 to 3.1 m over the monitoring period but increased during the high flow period by a maximum of 0.3 m </w:t>
      </w:r>
      <w:r w:rsidR="00F83C08">
        <w:rPr>
          <w:lang w:val="en-US"/>
        </w:rPr>
        <w:t>(</w:t>
      </w:r>
      <w:r w:rsidR="00F83C08">
        <w:rPr>
          <w:lang w:val="en-US"/>
        </w:rPr>
        <w:fldChar w:fldCharType="begin"/>
      </w:r>
      <w:r w:rsidR="00F83C08">
        <w:rPr>
          <w:lang w:val="en-US"/>
        </w:rPr>
        <w:instrText xml:space="preserve"> REF _Ref96527818 \h </w:instrText>
      </w:r>
      <w:r w:rsidR="00F83C08">
        <w:rPr>
          <w:lang w:val="en-US"/>
        </w:rPr>
      </w:r>
      <w:r w:rsidR="00F83C08">
        <w:rPr>
          <w:lang w:val="en-US"/>
        </w:rPr>
        <w:fldChar w:fldCharType="separate"/>
      </w:r>
      <w:r w:rsidR="003C13F6">
        <w:t xml:space="preserve">Figure </w:t>
      </w:r>
      <w:r w:rsidR="003C13F6">
        <w:rPr>
          <w:noProof/>
        </w:rPr>
        <w:t>18</w:t>
      </w:r>
      <w:r w:rsidR="00F83C08">
        <w:rPr>
          <w:lang w:val="en-US"/>
        </w:rPr>
        <w:fldChar w:fldCharType="end"/>
      </w:r>
      <w:r w:rsidR="00F83C08">
        <w:rPr>
          <w:lang w:val="en-US"/>
        </w:rPr>
        <w:t>)</w:t>
      </w:r>
      <w:r>
        <w:rPr>
          <w:lang w:val="en-US"/>
        </w:rPr>
        <w:t>.</w:t>
      </w:r>
    </w:p>
    <w:p w14:paraId="6500F08B" w14:textId="77777777" w:rsidR="00E92DD5" w:rsidRDefault="00E92DD5" w:rsidP="00E92DD5">
      <w:pPr>
        <w:rPr>
          <w:lang w:val="en-US"/>
        </w:rPr>
      </w:pPr>
    </w:p>
    <w:p w14:paraId="7018FD0E" w14:textId="638C1684" w:rsidR="00E92DD5" w:rsidRDefault="008A7D19" w:rsidP="00E92DD5">
      <w:pPr>
        <w:rPr>
          <w:lang w:val="en-US"/>
        </w:rPr>
      </w:pPr>
      <w:r>
        <w:rPr>
          <w:noProof/>
          <w:lang w:val="en-US"/>
        </w:rPr>
        <w:lastRenderedPageBreak/>
        <w:drawing>
          <wp:inline distT="0" distB="0" distL="0" distR="0" wp14:anchorId="1048A5F1" wp14:editId="4E12B5D0">
            <wp:extent cx="5587708" cy="40451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587708" cy="4045155"/>
                    </a:xfrm>
                    <a:prstGeom prst="rect">
                      <a:avLst/>
                    </a:prstGeom>
                    <a:noFill/>
                  </pic:spPr>
                </pic:pic>
              </a:graphicData>
            </a:graphic>
          </wp:inline>
        </w:drawing>
      </w:r>
    </w:p>
    <w:p w14:paraId="09B0E5E5" w14:textId="77777777" w:rsidR="00E92DD5" w:rsidRDefault="00E92DD5" w:rsidP="00E92DD5">
      <w:pPr>
        <w:rPr>
          <w:lang w:val="en-US"/>
        </w:rPr>
      </w:pPr>
    </w:p>
    <w:p w14:paraId="62703391" w14:textId="23E876E0" w:rsidR="00E92DD5" w:rsidRDefault="00F83C08" w:rsidP="00F83C08">
      <w:pPr>
        <w:pStyle w:val="Caption"/>
      </w:pPr>
      <w:bookmarkStart w:id="135" w:name="_Ref96527818"/>
      <w:bookmarkStart w:id="136" w:name="_Toc101963810"/>
      <w:r>
        <w:t xml:space="preserve">Figure </w:t>
      </w:r>
      <w:fldSimple w:instr=" SEQ Figure \* ARABIC ">
        <w:r w:rsidR="003C13F6">
          <w:rPr>
            <w:noProof/>
          </w:rPr>
          <w:t>18</w:t>
        </w:r>
      </w:fldSimple>
      <w:bookmarkEnd w:id="135"/>
      <w:r w:rsidR="00E92DD5">
        <w:t xml:space="preserve">. Changes downstream of (a) Lock 6, (b) Lock 4 and (c) Lock 1 in: (Left) the average depths </w:t>
      </w:r>
      <w:r w:rsidR="00E92DD5" w:rsidRPr="00C3722F">
        <w:rPr>
          <w:szCs w:val="20"/>
        </w:rPr>
        <w:t>observed (</w:t>
      </w:r>
      <w:r w:rsidR="00E92DD5" w:rsidRPr="00C3722F">
        <w:rPr>
          <w:color w:val="0070C0"/>
          <w:szCs w:val="20"/>
        </w:rPr>
        <w:t>●</w:t>
      </w:r>
      <w:r w:rsidR="00E92DD5" w:rsidRPr="00C3722F">
        <w:rPr>
          <w:szCs w:val="20"/>
        </w:rPr>
        <w:t>), and modelled</w:t>
      </w:r>
      <w:r w:rsidR="00E92DD5">
        <w:rPr>
          <w:szCs w:val="20"/>
        </w:rPr>
        <w:t xml:space="preserve"> for</w:t>
      </w:r>
      <w:r w:rsidR="00E92DD5" w:rsidRPr="00C3722F">
        <w:rPr>
          <w:szCs w:val="20"/>
        </w:rPr>
        <w:t xml:space="preserve"> flows without CEW (</w:t>
      </w:r>
      <w:r w:rsidR="00E92DD5" w:rsidRPr="00C3722F">
        <w:rPr>
          <w:color w:val="ED7D31" w:themeColor="accent2"/>
          <w:szCs w:val="20"/>
        </w:rPr>
        <w:t>●</w:t>
      </w:r>
      <w:r w:rsidR="00E92DD5" w:rsidRPr="00C3722F">
        <w:rPr>
          <w:szCs w:val="20"/>
        </w:rPr>
        <w:t>), and without environmental water (EW) (</w:t>
      </w:r>
      <w:r w:rsidR="00E92DD5" w:rsidRPr="00C3722F">
        <w:rPr>
          <w:color w:val="808080" w:themeColor="background1" w:themeShade="80"/>
          <w:szCs w:val="20"/>
        </w:rPr>
        <w:t>●</w:t>
      </w:r>
      <w:r w:rsidR="00E92DD5" w:rsidRPr="00C3722F">
        <w:rPr>
          <w:szCs w:val="20"/>
        </w:rPr>
        <w:t>), and the fraction</w:t>
      </w:r>
      <w:r w:rsidR="00E92DD5">
        <w:rPr>
          <w:szCs w:val="20"/>
        </w:rPr>
        <w:t>al reduction i</w:t>
      </w:r>
      <w:r w:rsidR="00FD2E7E">
        <w:rPr>
          <w:szCs w:val="20"/>
        </w:rPr>
        <w:t xml:space="preserve">n volumetric GPP predicted due to the increased depths associated with </w:t>
      </w:r>
      <w:r w:rsidR="00FD2E7E" w:rsidRPr="00C3722F">
        <w:rPr>
          <w:szCs w:val="20"/>
        </w:rPr>
        <w:t>CEW (</w:t>
      </w:r>
      <w:r w:rsidR="00FD2E7E" w:rsidRPr="00C3722F">
        <w:rPr>
          <w:color w:val="FFC000" w:themeColor="accent4"/>
          <w:szCs w:val="20"/>
        </w:rPr>
        <w:t>●</w:t>
      </w:r>
      <w:r w:rsidR="00FD2E7E" w:rsidRPr="00C3722F">
        <w:rPr>
          <w:szCs w:val="20"/>
        </w:rPr>
        <w:t>) and EW (</w:t>
      </w:r>
      <w:r w:rsidR="00FD2E7E" w:rsidRPr="00C3722F">
        <w:rPr>
          <w:color w:val="70AD47" w:themeColor="accent6"/>
          <w:szCs w:val="20"/>
        </w:rPr>
        <w:t>●</w:t>
      </w:r>
      <w:r w:rsidR="00FD2E7E" w:rsidRPr="00C3722F">
        <w:rPr>
          <w:szCs w:val="20"/>
        </w:rPr>
        <w:t xml:space="preserve">). (Right) The fractional change in cross-sectional </w:t>
      </w:r>
      <w:r w:rsidR="00FD2E7E">
        <w:rPr>
          <w:szCs w:val="20"/>
        </w:rPr>
        <w:t>area due to additional flows modelled</w:t>
      </w:r>
      <w:r w:rsidR="00FD2E7E" w:rsidRPr="00C3722F">
        <w:rPr>
          <w:szCs w:val="20"/>
        </w:rPr>
        <w:t xml:space="preserve"> </w:t>
      </w:r>
      <w:r w:rsidR="00FD2E7E">
        <w:rPr>
          <w:szCs w:val="20"/>
        </w:rPr>
        <w:t xml:space="preserve">for </w:t>
      </w:r>
      <w:r w:rsidR="00FD2E7E" w:rsidRPr="00C3722F">
        <w:rPr>
          <w:szCs w:val="20"/>
        </w:rPr>
        <w:t>CEW (</w:t>
      </w:r>
      <w:r w:rsidR="00FD2E7E" w:rsidRPr="00FA680E">
        <w:rPr>
          <w:color w:val="9CC2E5" w:themeColor="accent1" w:themeTint="99"/>
          <w:szCs w:val="20"/>
        </w:rPr>
        <w:t>●</w:t>
      </w:r>
      <w:r w:rsidR="00FD2E7E" w:rsidRPr="00C3722F">
        <w:rPr>
          <w:szCs w:val="20"/>
        </w:rPr>
        <w:t xml:space="preserve">), and </w:t>
      </w:r>
      <w:r w:rsidR="00FD2E7E">
        <w:rPr>
          <w:szCs w:val="20"/>
        </w:rPr>
        <w:t xml:space="preserve">all </w:t>
      </w:r>
      <w:r w:rsidR="00FD2E7E" w:rsidRPr="00C3722F">
        <w:rPr>
          <w:szCs w:val="20"/>
        </w:rPr>
        <w:t>environmental water (EW) (</w:t>
      </w:r>
      <w:r w:rsidR="00FD2E7E" w:rsidRPr="00FA680E">
        <w:rPr>
          <w:color w:val="833C0B" w:themeColor="accent2" w:themeShade="80"/>
          <w:szCs w:val="20"/>
        </w:rPr>
        <w:t>●</w:t>
      </w:r>
      <w:r w:rsidR="00FD2E7E" w:rsidRPr="00C3722F">
        <w:rPr>
          <w:szCs w:val="20"/>
        </w:rPr>
        <w:t>),</w:t>
      </w:r>
      <w:r w:rsidR="00FD2E7E">
        <w:rPr>
          <w:szCs w:val="20"/>
        </w:rPr>
        <w:t xml:space="preserve"> and the fractional change in cross-sectional </w:t>
      </w:r>
      <w:r w:rsidR="00FD2E7E" w:rsidRPr="00C3722F">
        <w:rPr>
          <w:szCs w:val="20"/>
        </w:rPr>
        <w:t xml:space="preserve">GPP due to the combined change in depth and cross-sectional area for modelled flows </w:t>
      </w:r>
      <w:r w:rsidR="00FD2E7E">
        <w:rPr>
          <w:szCs w:val="20"/>
        </w:rPr>
        <w:t>of</w:t>
      </w:r>
      <w:r w:rsidR="00FD2E7E" w:rsidRPr="00C3722F">
        <w:rPr>
          <w:szCs w:val="20"/>
        </w:rPr>
        <w:t xml:space="preserve"> CEW (</w:t>
      </w:r>
      <w:r w:rsidR="00FD2E7E" w:rsidRPr="00C3722F">
        <w:rPr>
          <w:color w:val="FFC000" w:themeColor="accent4"/>
          <w:szCs w:val="20"/>
        </w:rPr>
        <w:t>●</w:t>
      </w:r>
      <w:r w:rsidR="00FD2E7E" w:rsidRPr="00C3722F">
        <w:rPr>
          <w:szCs w:val="20"/>
        </w:rPr>
        <w:t xml:space="preserve">) and </w:t>
      </w:r>
      <w:r w:rsidR="00FD2E7E">
        <w:rPr>
          <w:szCs w:val="20"/>
        </w:rPr>
        <w:t>all</w:t>
      </w:r>
      <w:r w:rsidR="00FD2E7E" w:rsidRPr="00C3722F">
        <w:rPr>
          <w:szCs w:val="20"/>
        </w:rPr>
        <w:t xml:space="preserve"> EW (</w:t>
      </w:r>
      <w:r w:rsidR="00FD2E7E" w:rsidRPr="00C3722F">
        <w:rPr>
          <w:color w:val="70AD47" w:themeColor="accent6"/>
          <w:szCs w:val="20"/>
        </w:rPr>
        <w:t>●</w:t>
      </w:r>
      <w:r w:rsidR="00FD2E7E" w:rsidRPr="00C3722F">
        <w:rPr>
          <w:szCs w:val="20"/>
        </w:rPr>
        <w:t>)</w:t>
      </w:r>
      <w:r w:rsidR="00FD2E7E">
        <w:t>.</w:t>
      </w:r>
      <w:bookmarkEnd w:id="136"/>
    </w:p>
    <w:p w14:paraId="0577366B" w14:textId="39C1D746" w:rsidR="00E92DD5" w:rsidRDefault="00E92DD5" w:rsidP="00E92DD5">
      <w:pPr>
        <w:rPr>
          <w:lang w:val="en-US"/>
        </w:rPr>
      </w:pPr>
      <w:r>
        <w:rPr>
          <w:lang w:val="en-US"/>
        </w:rPr>
        <w:t xml:space="preserve">As </w:t>
      </w:r>
      <w:r w:rsidRPr="0014354C">
        <w:rPr>
          <w:i/>
          <w:iCs/>
          <w:lang w:val="en-US"/>
        </w:rPr>
        <w:t>I</w:t>
      </w:r>
      <w:r w:rsidRPr="00D24D0E">
        <w:rPr>
          <w:i/>
          <w:iCs/>
          <w:lang w:val="en-US"/>
        </w:rPr>
        <w:t>m</w:t>
      </w:r>
      <w:r>
        <w:rPr>
          <w:lang w:val="en-US"/>
        </w:rPr>
        <w:t xml:space="preserve"> is inversely related to the average depth of the water column (Equation 1), increases in flow that led to increases in depth reduced </w:t>
      </w:r>
      <w:r w:rsidR="008A7D19">
        <w:rPr>
          <w:lang w:val="en-US"/>
        </w:rPr>
        <w:t xml:space="preserve">the mean light intensity, </w:t>
      </w:r>
      <w:r w:rsidR="00FD2E7E">
        <w:rPr>
          <w:lang w:val="en-US"/>
        </w:rPr>
        <w:t xml:space="preserve">and </w:t>
      </w:r>
      <w:r>
        <w:rPr>
          <w:lang w:val="en-US"/>
        </w:rPr>
        <w:t xml:space="preserve">reduced GPP(b) </w:t>
      </w:r>
      <w:r w:rsidRPr="005F7109">
        <w:rPr>
          <w:lang w:val="en-US"/>
        </w:rPr>
        <w:t>in inverse proportion to the relative change in depth</w:t>
      </w:r>
      <w:r>
        <w:rPr>
          <w:lang w:val="en-US"/>
        </w:rPr>
        <w:t xml:space="preserve"> (</w:t>
      </w:r>
      <w:r w:rsidR="00EA30AD">
        <w:rPr>
          <w:lang w:val="en-US"/>
        </w:rPr>
        <w:fldChar w:fldCharType="begin"/>
      </w:r>
      <w:r w:rsidR="00EA30AD">
        <w:rPr>
          <w:lang w:val="en-US"/>
        </w:rPr>
        <w:instrText xml:space="preserve"> REF _Ref59030628 \h </w:instrText>
      </w:r>
      <w:r w:rsidR="00EA30AD">
        <w:rPr>
          <w:lang w:val="en-US"/>
        </w:rPr>
      </w:r>
      <w:r w:rsidR="00EA30AD">
        <w:rPr>
          <w:lang w:val="en-US"/>
        </w:rPr>
        <w:fldChar w:fldCharType="separate"/>
      </w:r>
      <w:r w:rsidR="003C13F6">
        <w:t xml:space="preserve">Figure </w:t>
      </w:r>
      <w:r w:rsidR="003C13F6">
        <w:rPr>
          <w:noProof/>
        </w:rPr>
        <w:t>17</w:t>
      </w:r>
      <w:r w:rsidR="00EA30AD">
        <w:rPr>
          <w:lang w:val="en-US"/>
        </w:rPr>
        <w:fldChar w:fldCharType="end"/>
      </w:r>
      <w:r w:rsidR="00EA30AD">
        <w:rPr>
          <w:lang w:val="en-US"/>
        </w:rPr>
        <w:t>)</w:t>
      </w:r>
      <w:r w:rsidRPr="005F7109">
        <w:rPr>
          <w:lang w:val="en-US"/>
        </w:rPr>
        <w:t>.</w:t>
      </w:r>
      <w:r w:rsidRPr="000526F8">
        <w:rPr>
          <w:lang w:val="en-US"/>
        </w:rPr>
        <w:t xml:space="preserve"> </w:t>
      </w:r>
      <w:r>
        <w:rPr>
          <w:lang w:val="en-US"/>
        </w:rPr>
        <w:t xml:space="preserve">Assuming that the chlorophyll concentration remained unchanged between the actual and modelled flow conditions, then flow induced fractional changes in GPP(b) matched those of GPP. These relative changes were determined from the ratio of the modelled water depth without Commonwealth environmental water or without any environmental water to the observed depth with all flows </w:t>
      </w:r>
      <w:r w:rsidR="00F83C08">
        <w:rPr>
          <w:lang w:val="en-US"/>
        </w:rPr>
        <w:t>(</w:t>
      </w:r>
      <w:r w:rsidR="00F83C08">
        <w:rPr>
          <w:lang w:val="en-US"/>
        </w:rPr>
        <w:fldChar w:fldCharType="begin"/>
      </w:r>
      <w:r w:rsidR="00F83C08">
        <w:rPr>
          <w:lang w:val="en-US"/>
        </w:rPr>
        <w:instrText xml:space="preserve"> REF _Ref96527818 \h </w:instrText>
      </w:r>
      <w:r w:rsidR="00F83C08">
        <w:rPr>
          <w:lang w:val="en-US"/>
        </w:rPr>
      </w:r>
      <w:r w:rsidR="00F83C08">
        <w:rPr>
          <w:lang w:val="en-US"/>
        </w:rPr>
        <w:fldChar w:fldCharType="separate"/>
      </w:r>
      <w:r w:rsidR="003C13F6">
        <w:t xml:space="preserve">Figure </w:t>
      </w:r>
      <w:r w:rsidR="003C13F6">
        <w:rPr>
          <w:noProof/>
        </w:rPr>
        <w:t>18</w:t>
      </w:r>
      <w:r w:rsidR="00F83C08">
        <w:rPr>
          <w:lang w:val="en-US"/>
        </w:rPr>
        <w:fldChar w:fldCharType="end"/>
      </w:r>
      <w:r w:rsidR="00F83C08">
        <w:rPr>
          <w:lang w:val="en-US"/>
        </w:rPr>
        <w:t>)</w:t>
      </w:r>
      <w:r>
        <w:rPr>
          <w:lang w:val="en-US"/>
        </w:rPr>
        <w:t>. Downstream of Lock 6</w:t>
      </w:r>
      <w:r w:rsidRPr="0024453A">
        <w:rPr>
          <w:lang w:val="en-US"/>
        </w:rPr>
        <w:t xml:space="preserve"> </w:t>
      </w:r>
      <w:r>
        <w:rPr>
          <w:lang w:val="en-US"/>
        </w:rPr>
        <w:t>in late November 2020, the increases in flow due to all environmental water were expected to reduce volumetric GPP by a maximum of 22%, while Commonwealth environmental water alone reduced GPP by a maximum of 20%.</w:t>
      </w:r>
      <w:r w:rsidRPr="00217E3D">
        <w:rPr>
          <w:lang w:val="en-US"/>
        </w:rPr>
        <w:t xml:space="preserve"> </w:t>
      </w:r>
      <w:r>
        <w:rPr>
          <w:lang w:val="en-US"/>
        </w:rPr>
        <w:t xml:space="preserve">Downstream of Lock 4, environmental water had a larger effect, </w:t>
      </w:r>
      <w:r w:rsidRPr="00217E3D">
        <w:rPr>
          <w:lang w:val="en-US"/>
        </w:rPr>
        <w:t>reduc</w:t>
      </w:r>
      <w:r>
        <w:rPr>
          <w:lang w:val="en-US"/>
        </w:rPr>
        <w:t xml:space="preserve">ing </w:t>
      </w:r>
      <w:r w:rsidRPr="00217E3D">
        <w:rPr>
          <w:lang w:val="en-US"/>
        </w:rPr>
        <w:t xml:space="preserve">GPP </w:t>
      </w:r>
      <w:r>
        <w:rPr>
          <w:lang w:val="en-US"/>
        </w:rPr>
        <w:t>by a maximum of nearly 30% at the flow peak, while Commonwealth environmental water reduced GPP by 16%. Downstream of Lock 1 the flow influences were smaller and environmental water reduced GPP by a maximum of 10% in early December</w:t>
      </w:r>
      <w:r w:rsidRPr="00217E3D">
        <w:rPr>
          <w:lang w:val="en-US"/>
        </w:rPr>
        <w:t xml:space="preserve">. </w:t>
      </w:r>
    </w:p>
    <w:p w14:paraId="496F5A32" w14:textId="4872E4DA" w:rsidR="00E92DD5" w:rsidRDefault="00E92DD5" w:rsidP="00E92DD5">
      <w:pPr>
        <w:rPr>
          <w:lang w:val="en-US"/>
        </w:rPr>
      </w:pPr>
      <w:r>
        <w:rPr>
          <w:lang w:val="en-US"/>
        </w:rPr>
        <w:lastRenderedPageBreak/>
        <w:t>The cumulative effect of the depression in GPP due to additional flows was determined from the integrated production over the three-month peak production period from November to January. Due to the increased flows associated with Commonwealth environmental water, the cumulative production reduced at the monitoring sites, downstream of Lock 6 from 320 to 293 mgO</w:t>
      </w:r>
      <w:r w:rsidRPr="00883A1D">
        <w:rPr>
          <w:vertAlign w:val="subscript"/>
          <w:lang w:val="en-US"/>
        </w:rPr>
        <w:t>2</w:t>
      </w:r>
      <w:r>
        <w:rPr>
          <w:lang w:val="en-US"/>
        </w:rPr>
        <w:t>/L (120 to 110 mgC/L), downstream of Lock 4 from to 274 to 251 mgO</w:t>
      </w:r>
      <w:r w:rsidRPr="00883A1D">
        <w:rPr>
          <w:vertAlign w:val="subscript"/>
          <w:lang w:val="en-US"/>
        </w:rPr>
        <w:t>2</w:t>
      </w:r>
      <w:r>
        <w:rPr>
          <w:lang w:val="en-US"/>
        </w:rPr>
        <w:t>/L (103 to 94 mgC/L), and downstream of Lock 1 from 208 to 201 mgO</w:t>
      </w:r>
      <w:r w:rsidRPr="00883A1D">
        <w:rPr>
          <w:vertAlign w:val="subscript"/>
          <w:lang w:val="en-US"/>
        </w:rPr>
        <w:t>2</w:t>
      </w:r>
      <w:r>
        <w:rPr>
          <w:lang w:val="en-US"/>
        </w:rPr>
        <w:t xml:space="preserve">/L (78 to 75 mgC/L). These relatively small differences reflect the short, one-month period of the flow pulse relative to the three-month integrating period. However, the impacts on river ecosystem functioning </w:t>
      </w:r>
      <w:r w:rsidR="008D22DC">
        <w:rPr>
          <w:lang w:val="en-US"/>
        </w:rPr>
        <w:t xml:space="preserve">of 10% reductions in production rate are </w:t>
      </w:r>
      <w:r>
        <w:rPr>
          <w:lang w:val="en-US"/>
        </w:rPr>
        <w:t>not well known, and the larger reductions during the actual period of the month-long flow peak might be expected to impact food resources at that time.</w:t>
      </w:r>
    </w:p>
    <w:p w14:paraId="4FE41A43" w14:textId="2328ACD2" w:rsidR="00E92DD5" w:rsidRDefault="00E92DD5" w:rsidP="00E92DD5">
      <w:pPr>
        <w:rPr>
          <w:lang w:val="en-US"/>
        </w:rPr>
      </w:pPr>
      <w:r>
        <w:rPr>
          <w:lang w:val="en-US"/>
        </w:rPr>
        <w:t xml:space="preserve">The volumetric rate of GPP measures the concentration supply of primary production but does not describe the total supply in the river, which will depend on the cross-sectional area of the flow (Ye </w:t>
      </w:r>
      <w:r w:rsidRPr="009D6230">
        <w:rPr>
          <w:i/>
          <w:iCs/>
          <w:lang w:val="en-US"/>
        </w:rPr>
        <w:t>et al.</w:t>
      </w:r>
      <w:r>
        <w:rPr>
          <w:lang w:val="en-US"/>
        </w:rPr>
        <w:t xml:space="preserve"> 2020</w:t>
      </w:r>
      <w:r w:rsidR="0036505B">
        <w:rPr>
          <w:lang w:val="en-US"/>
        </w:rPr>
        <w:t>a</w:t>
      </w:r>
      <w:r>
        <w:rPr>
          <w:lang w:val="en-US"/>
        </w:rPr>
        <w:t xml:space="preserve">). Volumetric GPP rates were adjusted for the relative changes in average depth and multiplied by the corresponding cross-sectional areas. Despite reductions in the volumetric GPP at all sites, especially during the high flow period </w:t>
      </w:r>
      <w:r w:rsidR="00F83C08">
        <w:rPr>
          <w:lang w:val="en-US"/>
        </w:rPr>
        <w:t>(</w:t>
      </w:r>
      <w:r w:rsidR="00EA30AD">
        <w:rPr>
          <w:lang w:val="en-US"/>
        </w:rPr>
        <w:fldChar w:fldCharType="begin"/>
      </w:r>
      <w:r w:rsidR="00EA30AD">
        <w:rPr>
          <w:lang w:val="en-US"/>
        </w:rPr>
        <w:instrText xml:space="preserve"> REF _Ref96527818 \h </w:instrText>
      </w:r>
      <w:r w:rsidR="00EA30AD">
        <w:rPr>
          <w:lang w:val="en-US"/>
        </w:rPr>
      </w:r>
      <w:r w:rsidR="00EA30AD">
        <w:rPr>
          <w:lang w:val="en-US"/>
        </w:rPr>
        <w:fldChar w:fldCharType="separate"/>
      </w:r>
      <w:r w:rsidR="003C13F6">
        <w:t xml:space="preserve">Figure </w:t>
      </w:r>
      <w:r w:rsidR="003C13F6">
        <w:rPr>
          <w:noProof/>
        </w:rPr>
        <w:t>18</w:t>
      </w:r>
      <w:r w:rsidR="00EA30AD">
        <w:rPr>
          <w:lang w:val="en-US"/>
        </w:rPr>
        <w:fldChar w:fldCharType="end"/>
      </w:r>
      <w:r w:rsidR="00F83C08">
        <w:rPr>
          <w:lang w:val="en-US"/>
        </w:rPr>
        <w:t>)</w:t>
      </w:r>
      <w:r>
        <w:rPr>
          <w:lang w:val="en-US"/>
        </w:rPr>
        <w:t xml:space="preserve">, the production per metre of river increased at sites downstream of Locks 6 and 1 due to larger relative increases in cross-sectional area </w:t>
      </w:r>
      <w:r w:rsidR="00F83C08">
        <w:rPr>
          <w:lang w:val="en-US"/>
        </w:rPr>
        <w:t>(</w:t>
      </w:r>
      <w:r w:rsidR="00F83C08">
        <w:rPr>
          <w:lang w:val="en-US"/>
        </w:rPr>
        <w:fldChar w:fldCharType="begin"/>
      </w:r>
      <w:r w:rsidR="00F83C08">
        <w:rPr>
          <w:lang w:val="en-US"/>
        </w:rPr>
        <w:instrText xml:space="preserve"> REF _Ref96527818 \h </w:instrText>
      </w:r>
      <w:r w:rsidR="00F83C08">
        <w:rPr>
          <w:lang w:val="en-US"/>
        </w:rPr>
      </w:r>
      <w:r w:rsidR="00F83C08">
        <w:rPr>
          <w:lang w:val="en-US"/>
        </w:rPr>
        <w:fldChar w:fldCharType="separate"/>
      </w:r>
      <w:r w:rsidR="003C13F6">
        <w:t xml:space="preserve">Figure </w:t>
      </w:r>
      <w:r w:rsidR="003C13F6">
        <w:rPr>
          <w:noProof/>
        </w:rPr>
        <w:t>18</w:t>
      </w:r>
      <w:r w:rsidR="00F83C08">
        <w:rPr>
          <w:lang w:val="en-US"/>
        </w:rPr>
        <w:fldChar w:fldCharType="end"/>
      </w:r>
      <w:r w:rsidR="00F83C08">
        <w:rPr>
          <w:lang w:val="en-US"/>
        </w:rPr>
        <w:t>)</w:t>
      </w:r>
      <w:r>
        <w:rPr>
          <w:lang w:val="en-US"/>
        </w:rPr>
        <w:t>. In contrast the cross-sectional production downstream of Lock 4 decreased slightly in response to the high flows (</w:t>
      </w:r>
      <w:r w:rsidR="00EA30AD">
        <w:rPr>
          <w:highlight w:val="yellow"/>
          <w:lang w:val="en-US"/>
        </w:rPr>
        <w:fldChar w:fldCharType="begin"/>
      </w:r>
      <w:r w:rsidR="00EA30AD">
        <w:rPr>
          <w:lang w:val="en-US"/>
        </w:rPr>
        <w:instrText xml:space="preserve"> REF _Ref59030628 \h </w:instrText>
      </w:r>
      <w:r w:rsidR="00EA30AD">
        <w:rPr>
          <w:highlight w:val="yellow"/>
          <w:lang w:val="en-US"/>
        </w:rPr>
      </w:r>
      <w:r w:rsidR="00EA30AD">
        <w:rPr>
          <w:highlight w:val="yellow"/>
          <w:lang w:val="en-US"/>
        </w:rPr>
        <w:fldChar w:fldCharType="separate"/>
      </w:r>
      <w:r w:rsidR="003C13F6">
        <w:t xml:space="preserve">Figure </w:t>
      </w:r>
      <w:r w:rsidR="003C13F6">
        <w:rPr>
          <w:noProof/>
        </w:rPr>
        <w:t>17</w:t>
      </w:r>
      <w:r w:rsidR="00EA30AD">
        <w:rPr>
          <w:highlight w:val="yellow"/>
          <w:lang w:val="en-US"/>
        </w:rPr>
        <w:fldChar w:fldCharType="end"/>
      </w:r>
      <w:r>
        <w:rPr>
          <w:lang w:val="en-US"/>
        </w:rPr>
        <w:t>) as the relative cross-sectional increase was of similar size to the relative volumetric decline in GPP. These opposite effects are a function of the relationship between depth and cross-sectional area at the different sites.</w:t>
      </w:r>
      <w:r w:rsidRPr="00703958">
        <w:rPr>
          <w:lang w:val="en-US"/>
        </w:rPr>
        <w:t xml:space="preserve"> </w:t>
      </w:r>
      <w:r>
        <w:rPr>
          <w:lang w:val="en-US"/>
        </w:rPr>
        <w:t>The maximum changes in cross-sectional production due to all environmental water flows were increases of 9% below Lock 6 and 3% below Lock 1, and a decrease of 2% below Lock 4.</w:t>
      </w:r>
    </w:p>
    <w:p w14:paraId="7CD05DF8" w14:textId="49C167B6" w:rsidR="00E92DD5" w:rsidRDefault="00E92DD5" w:rsidP="00E92DD5">
      <w:pPr>
        <w:rPr>
          <w:lang w:val="en-US"/>
        </w:rPr>
      </w:pPr>
      <w:r>
        <w:rPr>
          <w:lang w:val="en-US"/>
        </w:rPr>
        <w:t>The effects of flow on the cumulative cross-section production were small within sites. Below Lock 6 Commonwealth environmental water increased production from 99 to 102 gO</w:t>
      </w:r>
      <w:r w:rsidRPr="009D6230">
        <w:rPr>
          <w:vertAlign w:val="subscript"/>
          <w:lang w:val="en-US"/>
        </w:rPr>
        <w:t>2</w:t>
      </w:r>
      <w:r>
        <w:rPr>
          <w:lang w:val="en-US"/>
        </w:rPr>
        <w:t>/m (37 to 38 gC/m) and below Lock 1 from 109 to 110 gO</w:t>
      </w:r>
      <w:r w:rsidRPr="009D6230">
        <w:rPr>
          <w:vertAlign w:val="subscript"/>
          <w:lang w:val="en-US"/>
        </w:rPr>
        <w:t>2</w:t>
      </w:r>
      <w:r>
        <w:rPr>
          <w:lang w:val="en-US"/>
        </w:rPr>
        <w:t>/m (40.9 to 41.3 gC/m). Below Lock 4 the change was negligible with the cumulative cross-section production being 123 gO</w:t>
      </w:r>
      <w:r w:rsidRPr="00FA680E">
        <w:rPr>
          <w:vertAlign w:val="subscript"/>
          <w:lang w:val="en-US"/>
        </w:rPr>
        <w:t>2</w:t>
      </w:r>
      <w:r>
        <w:rPr>
          <w:lang w:val="en-US"/>
        </w:rPr>
        <w:t xml:space="preserve">/m (46 gC/m) over the monitoring period. </w:t>
      </w:r>
    </w:p>
    <w:p w14:paraId="23F531C6" w14:textId="0E8EB4FD" w:rsidR="00E92DD5" w:rsidRDefault="00E92DD5" w:rsidP="00E92DD5">
      <w:pPr>
        <w:rPr>
          <w:lang w:val="en-US"/>
        </w:rPr>
      </w:pPr>
      <w:r>
        <w:rPr>
          <w:lang w:val="en-US"/>
        </w:rPr>
        <w:t xml:space="preserve">Although within site differences in the cumulative cross-sectional production due to environmental water were small, between site differences were larger, with below Lock 4 production 20% higher than </w:t>
      </w:r>
      <w:r w:rsidR="0060580A">
        <w:rPr>
          <w:lang w:val="en-US"/>
        </w:rPr>
        <w:t xml:space="preserve">below </w:t>
      </w:r>
      <w:r>
        <w:rPr>
          <w:lang w:val="en-US"/>
        </w:rPr>
        <w:t>Lock 6. This reflected the differences in channel shape influencing average depths and cross-sections at the sites. In response to flow, larger changes in average depth and cross-sectional areas are expected in the absence of weirs as water level is not artificially maintained, implying that under unregulated conditions flow changes would have greater influences on the concentration and quantity of food resources.</w:t>
      </w:r>
    </w:p>
    <w:p w14:paraId="10832F55" w14:textId="77777777" w:rsidR="00E92DD5" w:rsidRPr="00227FE9" w:rsidRDefault="00E92DD5" w:rsidP="00E92DD5">
      <w:pPr>
        <w:pStyle w:val="ListParagraph"/>
        <w:ind w:left="0"/>
        <w:rPr>
          <w:i/>
          <w:u w:val="single"/>
        </w:rPr>
      </w:pPr>
      <w:r>
        <w:rPr>
          <w:i/>
          <w:u w:val="single"/>
        </w:rPr>
        <w:t xml:space="preserve">Determinants of ecosystem respiration and net production </w:t>
      </w:r>
    </w:p>
    <w:p w14:paraId="13BB7E6A" w14:textId="1EF54CF4" w:rsidR="00E92DD5" w:rsidRDefault="00E92DD5" w:rsidP="00E92DD5">
      <w:pPr>
        <w:rPr>
          <w:iCs/>
          <w:szCs w:val="22"/>
          <w:lang w:val="en-US"/>
        </w:rPr>
      </w:pPr>
      <w:r>
        <w:rPr>
          <w:iCs/>
          <w:szCs w:val="22"/>
          <w:lang w:val="en-US"/>
        </w:rPr>
        <w:t>Rates of ER and GPP were converted to carbon units (mgC/L/day)</w:t>
      </w:r>
      <w:r w:rsidR="00BA6252">
        <w:rPr>
          <w:iCs/>
          <w:szCs w:val="22"/>
          <w:lang w:val="en-US"/>
        </w:rPr>
        <w:t>,</w:t>
      </w:r>
      <w:r>
        <w:rPr>
          <w:iCs/>
          <w:szCs w:val="22"/>
          <w:lang w:val="en-US"/>
        </w:rPr>
        <w:t xml:space="preserve"> and GPP and DOC were combined in a multiple linear regression to assess their contribution to ER. Analyses of data from all years, including from 2020-21, yielded a relationship with regression coefficients similar to previous estimates (Ye </w:t>
      </w:r>
      <w:r w:rsidRPr="009D6230">
        <w:rPr>
          <w:i/>
          <w:szCs w:val="22"/>
          <w:lang w:val="en-US"/>
        </w:rPr>
        <w:t>et al.</w:t>
      </w:r>
      <w:r>
        <w:rPr>
          <w:iCs/>
          <w:szCs w:val="22"/>
          <w:lang w:val="en-US"/>
        </w:rPr>
        <w:t xml:space="preserve"> 2020</w:t>
      </w:r>
      <w:r w:rsidR="0036505B">
        <w:rPr>
          <w:iCs/>
          <w:szCs w:val="22"/>
          <w:lang w:val="en-US"/>
        </w:rPr>
        <w:t>a</w:t>
      </w:r>
      <w:r>
        <w:rPr>
          <w:iCs/>
          <w:szCs w:val="22"/>
          <w:lang w:val="en-US"/>
        </w:rPr>
        <w:t>):</w:t>
      </w:r>
    </w:p>
    <w:p w14:paraId="1AED5445" w14:textId="77777777" w:rsidR="00E92DD5" w:rsidRPr="00867C4F" w:rsidRDefault="00E92DD5" w:rsidP="00E92DD5">
      <w:pPr>
        <w:rPr>
          <w:iCs/>
          <w:szCs w:val="22"/>
          <w:lang w:val="en-US"/>
        </w:rPr>
      </w:pPr>
      <w:r>
        <w:rPr>
          <w:iCs/>
          <w:szCs w:val="22"/>
          <w:lang w:val="en-US"/>
        </w:rPr>
        <w:t>ER = 0.688 (±0.05)*GPP + 0.058 (±0.011 )* DOC - 0.202 (±0.065)      r</w:t>
      </w:r>
      <w:r>
        <w:rPr>
          <w:iCs/>
          <w:szCs w:val="22"/>
          <w:vertAlign w:val="superscript"/>
          <w:lang w:val="en-US"/>
        </w:rPr>
        <w:t>2</w:t>
      </w:r>
      <w:r>
        <w:rPr>
          <w:iCs/>
          <w:szCs w:val="22"/>
          <w:lang w:val="en-US"/>
        </w:rPr>
        <w:t>=0.51</w:t>
      </w:r>
    </w:p>
    <w:p w14:paraId="1DC6918B" w14:textId="736BC18C" w:rsidR="00E92DD5" w:rsidRDefault="00E92DD5" w:rsidP="00E92DD5">
      <w:pPr>
        <w:rPr>
          <w:iCs/>
          <w:szCs w:val="22"/>
          <w:lang w:val="en-US"/>
        </w:rPr>
      </w:pPr>
      <w:r>
        <w:rPr>
          <w:iCs/>
          <w:szCs w:val="22"/>
          <w:lang w:val="en-US"/>
        </w:rPr>
        <w:lastRenderedPageBreak/>
        <w:t>The regression coefficients were used to estimate</w:t>
      </w:r>
      <w:r>
        <w:rPr>
          <w:lang w:val="en-US"/>
        </w:rPr>
        <w:t xml:space="preserve"> the separate contributions to respiration of phytoplankton (PCR) and bacteria (BCR) but are approximations due to the substantial unexplained variation (</w:t>
      </w:r>
      <w:r>
        <w:rPr>
          <w:lang w:val="en-US"/>
        </w:rPr>
        <w:fldChar w:fldCharType="begin"/>
      </w:r>
      <w:r>
        <w:rPr>
          <w:lang w:val="en-US"/>
        </w:rPr>
        <w:instrText xml:space="preserve"> REF _Ref59030717 \h </w:instrText>
      </w:r>
      <w:r>
        <w:rPr>
          <w:lang w:val="en-US"/>
        </w:rPr>
      </w:r>
      <w:r>
        <w:rPr>
          <w:lang w:val="en-US"/>
        </w:rPr>
        <w:fldChar w:fldCharType="separate"/>
      </w:r>
      <w:r w:rsidR="003C13F6">
        <w:t xml:space="preserve">Figure </w:t>
      </w:r>
      <w:r w:rsidR="003C13F6">
        <w:rPr>
          <w:noProof/>
        </w:rPr>
        <w:t>19</w:t>
      </w:r>
      <w:r>
        <w:rPr>
          <w:lang w:val="en-US"/>
        </w:rPr>
        <w:fldChar w:fldCharType="end"/>
      </w:r>
      <w:r>
        <w:rPr>
          <w:lang w:val="en-US"/>
        </w:rPr>
        <w:t>a). C</w:t>
      </w:r>
      <w:r>
        <w:rPr>
          <w:iCs/>
          <w:szCs w:val="22"/>
          <w:lang w:val="en-US"/>
        </w:rPr>
        <w:t xml:space="preserve">orresponding net production rates were estimated for phytoplankton (PNP) and bacteria (BNP) </w:t>
      </w:r>
      <w:r>
        <w:rPr>
          <w:lang w:val="en-US"/>
        </w:rPr>
        <w:t>(</w:t>
      </w:r>
      <w:r>
        <w:rPr>
          <w:lang w:val="en-US"/>
        </w:rPr>
        <w:fldChar w:fldCharType="begin"/>
      </w:r>
      <w:r>
        <w:rPr>
          <w:lang w:val="en-US"/>
        </w:rPr>
        <w:instrText xml:space="preserve"> REF _Ref59030717 \h </w:instrText>
      </w:r>
      <w:r>
        <w:rPr>
          <w:lang w:val="en-US"/>
        </w:rPr>
      </w:r>
      <w:r>
        <w:rPr>
          <w:lang w:val="en-US"/>
        </w:rPr>
        <w:fldChar w:fldCharType="separate"/>
      </w:r>
      <w:r w:rsidR="003C13F6">
        <w:t xml:space="preserve">Figure </w:t>
      </w:r>
      <w:r w:rsidR="003C13F6">
        <w:rPr>
          <w:noProof/>
        </w:rPr>
        <w:t>19</w:t>
      </w:r>
      <w:r>
        <w:rPr>
          <w:lang w:val="en-US"/>
        </w:rPr>
        <w:fldChar w:fldCharType="end"/>
      </w:r>
      <w:r>
        <w:rPr>
          <w:lang w:val="en-US"/>
        </w:rPr>
        <w:t>b)</w:t>
      </w:r>
      <w:r>
        <w:rPr>
          <w:iCs/>
          <w:szCs w:val="22"/>
          <w:lang w:val="en-US"/>
        </w:rPr>
        <w:t>.</w:t>
      </w:r>
      <w:r w:rsidRPr="00CC1CA3">
        <w:rPr>
          <w:iCs/>
          <w:szCs w:val="22"/>
          <w:lang w:val="en-US"/>
        </w:rPr>
        <w:t xml:space="preserve"> </w:t>
      </w:r>
      <w:r>
        <w:rPr>
          <w:iCs/>
          <w:szCs w:val="22"/>
          <w:lang w:val="en-US"/>
        </w:rPr>
        <w:t>The overall respiration and net production rates attributable to bacteria were small relative to the phytoplankton, with BNP accounting for 20% of the combined net production (CNP), although contributions ranged from 8 to 47% over the season (</w:t>
      </w:r>
      <w:r>
        <w:rPr>
          <w:iCs/>
          <w:szCs w:val="22"/>
          <w:lang w:val="en-US"/>
        </w:rPr>
        <w:fldChar w:fldCharType="begin"/>
      </w:r>
      <w:r>
        <w:rPr>
          <w:iCs/>
          <w:szCs w:val="22"/>
          <w:lang w:val="en-US"/>
        </w:rPr>
        <w:instrText xml:space="preserve"> REF _Ref59030717 \h </w:instrText>
      </w:r>
      <w:r>
        <w:rPr>
          <w:iCs/>
          <w:szCs w:val="22"/>
          <w:lang w:val="en-US"/>
        </w:rPr>
      </w:r>
      <w:r>
        <w:rPr>
          <w:iCs/>
          <w:szCs w:val="22"/>
          <w:lang w:val="en-US"/>
        </w:rPr>
        <w:fldChar w:fldCharType="separate"/>
      </w:r>
      <w:r w:rsidR="003C13F6">
        <w:t xml:space="preserve">Figure </w:t>
      </w:r>
      <w:r w:rsidR="003C13F6">
        <w:rPr>
          <w:noProof/>
        </w:rPr>
        <w:t>19</w:t>
      </w:r>
      <w:r>
        <w:rPr>
          <w:iCs/>
          <w:szCs w:val="22"/>
          <w:lang w:val="en-US"/>
        </w:rPr>
        <w:fldChar w:fldCharType="end"/>
      </w:r>
      <w:r>
        <w:rPr>
          <w:iCs/>
          <w:szCs w:val="22"/>
          <w:lang w:val="en-US"/>
        </w:rPr>
        <w:t xml:space="preserve">). </w:t>
      </w:r>
      <w:r w:rsidR="008D22DC">
        <w:rPr>
          <w:iCs/>
          <w:szCs w:val="22"/>
          <w:lang w:val="en-US"/>
        </w:rPr>
        <w:t xml:space="preserve">The integrated CNP estimated over the  </w:t>
      </w:r>
      <w:r w:rsidR="008D22DC">
        <w:rPr>
          <w:lang w:val="en-US"/>
        </w:rPr>
        <w:t>three-month peak production</w:t>
      </w:r>
      <w:r w:rsidR="008D22DC" w:rsidRPr="00136D33">
        <w:rPr>
          <w:lang w:val="en-US"/>
        </w:rPr>
        <w:t xml:space="preserve"> </w:t>
      </w:r>
      <w:r w:rsidR="008D22DC">
        <w:rPr>
          <w:lang w:val="en-US"/>
        </w:rPr>
        <w:t xml:space="preserve">period from November to January </w:t>
      </w:r>
      <w:r w:rsidR="008D22DC">
        <w:rPr>
          <w:iCs/>
          <w:szCs w:val="22"/>
          <w:lang w:val="en-US"/>
        </w:rPr>
        <w:t>were 37, 29 and 23</w:t>
      </w:r>
      <w:r w:rsidR="008A1E91">
        <w:rPr>
          <w:iCs/>
          <w:szCs w:val="22"/>
          <w:lang w:val="en-US"/>
        </w:rPr>
        <w:t> </w:t>
      </w:r>
      <w:r w:rsidR="008D22DC">
        <w:rPr>
          <w:iCs/>
          <w:szCs w:val="22"/>
          <w:lang w:val="en-US"/>
        </w:rPr>
        <w:t>mgC/L below Locks 6, 4 and 1 respectively. These are comparable with the estimates of NEP, 30, 21 and 22</w:t>
      </w:r>
      <w:r w:rsidR="008D22DC" w:rsidRPr="00642DE3">
        <w:rPr>
          <w:iCs/>
          <w:szCs w:val="22"/>
          <w:lang w:val="en-US"/>
        </w:rPr>
        <w:t xml:space="preserve"> </w:t>
      </w:r>
      <w:r w:rsidR="008D22DC">
        <w:rPr>
          <w:iCs/>
          <w:szCs w:val="22"/>
          <w:lang w:val="en-US"/>
        </w:rPr>
        <w:t>mgC/L respectively, reflecting the low contribution from heterotrophic production, a result of the low DOC concentrations.</w:t>
      </w:r>
    </w:p>
    <w:p w14:paraId="65CA36FE" w14:textId="77777777" w:rsidR="00E92DD5" w:rsidRDefault="00E92DD5" w:rsidP="00E92DD5">
      <w:pPr>
        <w:jc w:val="center"/>
        <w:rPr>
          <w:iCs/>
          <w:szCs w:val="22"/>
          <w:lang w:val="en-US"/>
        </w:rPr>
      </w:pPr>
      <w:r w:rsidRPr="00971C28">
        <w:rPr>
          <w:noProof/>
        </w:rPr>
        <w:drawing>
          <wp:inline distT="0" distB="0" distL="0" distR="0" wp14:anchorId="6030520B" wp14:editId="38C84989">
            <wp:extent cx="4495800" cy="4763539"/>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pic:cNvPicPr>
                      <a:picLocks noChangeAspect="1" noChangeArrowheads="1"/>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bwMode="auto">
                    <a:xfrm>
                      <a:off x="0" y="0"/>
                      <a:ext cx="4495800" cy="4763539"/>
                    </a:xfrm>
                    <a:prstGeom prst="rect">
                      <a:avLst/>
                    </a:prstGeom>
                  </pic:spPr>
                </pic:pic>
              </a:graphicData>
            </a:graphic>
          </wp:inline>
        </w:drawing>
      </w:r>
    </w:p>
    <w:p w14:paraId="0EE8246E" w14:textId="766FAD10" w:rsidR="00E92DD5" w:rsidRPr="00BA6252" w:rsidRDefault="00E92DD5" w:rsidP="00BA6252">
      <w:pPr>
        <w:pStyle w:val="Caption"/>
        <w:rPr>
          <w:i/>
          <w:u w:val="single"/>
        </w:rPr>
      </w:pPr>
      <w:bookmarkStart w:id="137" w:name="_Ref59030717"/>
      <w:bookmarkStart w:id="138" w:name="_Toc101963811"/>
      <w:r>
        <w:t xml:space="preserve">Figure </w:t>
      </w:r>
      <w:fldSimple w:instr=" SEQ Figure \* ARABIC ">
        <w:r w:rsidR="003C13F6">
          <w:rPr>
            <w:noProof/>
          </w:rPr>
          <w:t>19</w:t>
        </w:r>
      </w:fldSimple>
      <w:bookmarkEnd w:id="137"/>
      <w:r>
        <w:t xml:space="preserve">. Respiration (a) and net </w:t>
      </w:r>
      <w:r w:rsidRPr="00C3722F">
        <w:rPr>
          <w:szCs w:val="20"/>
        </w:rPr>
        <w:t xml:space="preserve">production rates </w:t>
      </w:r>
      <w:r>
        <w:rPr>
          <w:szCs w:val="20"/>
        </w:rPr>
        <w:t xml:space="preserve">(b) </w:t>
      </w:r>
      <w:r w:rsidRPr="00C3722F">
        <w:rPr>
          <w:szCs w:val="20"/>
        </w:rPr>
        <w:t>of phytoplankton (</w:t>
      </w:r>
      <w:r w:rsidRPr="00C3722F">
        <w:rPr>
          <w:color w:val="0070C0"/>
          <w:szCs w:val="20"/>
        </w:rPr>
        <w:t>●</w:t>
      </w:r>
      <w:r w:rsidRPr="00C3722F">
        <w:rPr>
          <w:szCs w:val="20"/>
        </w:rPr>
        <w:t>), bacteria (</w:t>
      </w:r>
      <w:r w:rsidRPr="00C3722F">
        <w:rPr>
          <w:color w:val="ED7D31" w:themeColor="accent2"/>
          <w:szCs w:val="20"/>
        </w:rPr>
        <w:t>●</w:t>
      </w:r>
      <w:r w:rsidRPr="00C3722F">
        <w:rPr>
          <w:szCs w:val="20"/>
        </w:rPr>
        <w:t>) and net production of both combined (</w:t>
      </w:r>
      <w:r w:rsidRPr="00C3722F">
        <w:rPr>
          <w:color w:val="808080" w:themeColor="background1" w:themeShade="80"/>
          <w:szCs w:val="20"/>
        </w:rPr>
        <w:t>●</w:t>
      </w:r>
      <w:r w:rsidRPr="00C3722F">
        <w:rPr>
          <w:szCs w:val="20"/>
        </w:rPr>
        <w:t>) for a</w:t>
      </w:r>
      <w:r>
        <w:t>ll sites during 2020-21.</w:t>
      </w:r>
      <w:bookmarkEnd w:id="138"/>
    </w:p>
    <w:p w14:paraId="7ACA41EF" w14:textId="24EAF55D" w:rsidR="00E92DD5" w:rsidRPr="007F72FF" w:rsidRDefault="00E92DD5" w:rsidP="00E92DD5">
      <w:r w:rsidRPr="0058711E">
        <w:t xml:space="preserve">The </w:t>
      </w:r>
      <w:r>
        <w:t>effects</w:t>
      </w:r>
      <w:r w:rsidRPr="0058711E">
        <w:t xml:space="preserve"> of </w:t>
      </w:r>
      <w:r>
        <w:t xml:space="preserve">environmental flows </w:t>
      </w:r>
      <w:r w:rsidRPr="0058711E">
        <w:t xml:space="preserve">on </w:t>
      </w:r>
      <w:r>
        <w:t>decomposition were estimated from BCR rates, but as daily DOC concentrations were considered equivalent with and without environmental water, daily volumetric rates of BCR were unchanged by environmental flows. Consequently, analyses were focused on cross-sectional rates which changed in proportion to the relative changes in cross-sectional area. The short-term changes were at times quite large, for example increasing BCR by up to 40% below Lock 6 due to environmental water during the flow pulse (</w:t>
      </w:r>
      <w:r w:rsidR="00EA30AD">
        <w:rPr>
          <w:lang w:val="en-US"/>
        </w:rPr>
        <w:fldChar w:fldCharType="begin"/>
      </w:r>
      <w:r w:rsidR="00EA30AD">
        <w:rPr>
          <w:lang w:val="en-US"/>
        </w:rPr>
        <w:instrText xml:space="preserve"> REF _Ref96527818 \h </w:instrText>
      </w:r>
      <w:r w:rsidR="00EA30AD">
        <w:rPr>
          <w:lang w:val="en-US"/>
        </w:rPr>
      </w:r>
      <w:r w:rsidR="00EA30AD">
        <w:rPr>
          <w:lang w:val="en-US"/>
        </w:rPr>
        <w:fldChar w:fldCharType="separate"/>
      </w:r>
      <w:r w:rsidR="003C13F6">
        <w:t xml:space="preserve">Figure </w:t>
      </w:r>
      <w:r w:rsidR="003C13F6">
        <w:rPr>
          <w:noProof/>
        </w:rPr>
        <w:t>18</w:t>
      </w:r>
      <w:r w:rsidR="00EA30AD">
        <w:rPr>
          <w:lang w:val="en-US"/>
        </w:rPr>
        <w:fldChar w:fldCharType="end"/>
      </w:r>
      <w:r>
        <w:t xml:space="preserve">), suggesting a larger heterotrophic </w:t>
      </w:r>
      <w:r>
        <w:lastRenderedPageBreak/>
        <w:t xml:space="preserve">food resource per metre of river. However, the integrated effects </w:t>
      </w:r>
      <w:r w:rsidRPr="0058711E">
        <w:t>w</w:t>
      </w:r>
      <w:r>
        <w:t>ere</w:t>
      </w:r>
      <w:r w:rsidRPr="0058711E">
        <w:t xml:space="preserve"> small</w:t>
      </w:r>
      <w:r>
        <w:t>er</w:t>
      </w:r>
      <w:r w:rsidRPr="0058711E">
        <w:t xml:space="preserve"> </w:t>
      </w:r>
      <w:r>
        <w:t>as the period of the flow pulse was relatively short, as previously described in the GPP analyses.</w:t>
      </w:r>
    </w:p>
    <w:p w14:paraId="3C5073F2" w14:textId="77777777" w:rsidR="00E92DD5" w:rsidRDefault="00E92DD5" w:rsidP="00E92DD5">
      <w:pPr>
        <w:pStyle w:val="ListParagraph"/>
        <w:ind w:left="0"/>
        <w:rPr>
          <w:i/>
          <w:u w:val="single"/>
        </w:rPr>
      </w:pPr>
      <w:r>
        <w:rPr>
          <w:i/>
          <w:u w:val="single"/>
        </w:rPr>
        <w:t>Water quality</w:t>
      </w:r>
    </w:p>
    <w:p w14:paraId="542F8879" w14:textId="5007A92F" w:rsidR="00E92DD5" w:rsidRDefault="00E92DD5" w:rsidP="00E92DD5">
      <w:bookmarkStart w:id="139" w:name="_Ref35595463"/>
      <w:r>
        <w:t>Chlorophyll concentrations varied between 15 and 44 mg/m</w:t>
      </w:r>
      <w:r>
        <w:rPr>
          <w:vertAlign w:val="superscript"/>
        </w:rPr>
        <w:t>3</w:t>
      </w:r>
      <w:r>
        <w:t xml:space="preserve"> and generally increased until late November, then decreased across sites in response to the flow pulse,</w:t>
      </w:r>
      <w:r w:rsidRPr="007C58DB">
        <w:t xml:space="preserve"> </w:t>
      </w:r>
      <w:r>
        <w:t xml:space="preserve">with a second peak below </w:t>
      </w:r>
      <w:r w:rsidR="003C03B0">
        <w:t>L</w:t>
      </w:r>
      <w:r>
        <w:t>ocks 6 and 1 following the pulse (</w:t>
      </w:r>
      <w:r w:rsidR="00BA6252">
        <w:fldChar w:fldCharType="begin"/>
      </w:r>
      <w:r w:rsidR="00BA6252">
        <w:instrText xml:space="preserve"> REF _Ref59030758 \h </w:instrText>
      </w:r>
      <w:r w:rsidR="00BA6252">
        <w:fldChar w:fldCharType="separate"/>
      </w:r>
      <w:r w:rsidR="003C13F6">
        <w:t xml:space="preserve">Figure </w:t>
      </w:r>
      <w:r w:rsidR="003C13F6">
        <w:rPr>
          <w:noProof/>
        </w:rPr>
        <w:t>20</w:t>
      </w:r>
      <w:r w:rsidR="00BA6252">
        <w:fldChar w:fldCharType="end"/>
      </w:r>
      <w:r>
        <w:t>). Turbidity decreased continuously following the arrival of the flow pulse and reflects the water quality of the upstream supply (</w:t>
      </w:r>
      <w:r>
        <w:fldChar w:fldCharType="begin"/>
      </w:r>
      <w:r>
        <w:instrText xml:space="preserve"> REF _Ref59030758 \h </w:instrText>
      </w:r>
      <w:r>
        <w:fldChar w:fldCharType="separate"/>
      </w:r>
      <w:r w:rsidR="003C13F6">
        <w:t xml:space="preserve">Figure </w:t>
      </w:r>
      <w:r w:rsidR="003C13F6">
        <w:rPr>
          <w:noProof/>
        </w:rPr>
        <w:t>20</w:t>
      </w:r>
      <w:r>
        <w:fldChar w:fldCharType="end"/>
      </w:r>
      <w:r>
        <w:t>). The importance of turbidity to the vertical attenuation coefficient for PAR (</w:t>
      </w:r>
      <w:r w:rsidRPr="00FB258E">
        <w:rPr>
          <w:i/>
          <w:iCs/>
        </w:rPr>
        <w:t>kd</w:t>
      </w:r>
      <w:r>
        <w:t xml:space="preserve">) was previously reported (Ye </w:t>
      </w:r>
      <w:r w:rsidRPr="00BA6252">
        <w:rPr>
          <w:i/>
          <w:iCs/>
        </w:rPr>
        <w:t>et al.</w:t>
      </w:r>
      <w:r>
        <w:t xml:space="preserve"> 2020</w:t>
      </w:r>
      <w:r w:rsidR="0036505B">
        <w:t>a</w:t>
      </w:r>
      <w:r>
        <w:t>) and is evident from the matching responses (</w:t>
      </w:r>
      <w:r>
        <w:fldChar w:fldCharType="begin"/>
      </w:r>
      <w:r>
        <w:instrText xml:space="preserve"> REF _Ref59030758 \h </w:instrText>
      </w:r>
      <w:r>
        <w:fldChar w:fldCharType="separate"/>
      </w:r>
      <w:r w:rsidR="003C13F6">
        <w:t xml:space="preserve">Figure </w:t>
      </w:r>
      <w:r w:rsidR="003C13F6">
        <w:rPr>
          <w:noProof/>
        </w:rPr>
        <w:t>20</w:t>
      </w:r>
      <w:r>
        <w:fldChar w:fldCharType="end"/>
      </w:r>
      <w:r>
        <w:t xml:space="preserve">). Concentrations of DOC </w:t>
      </w:r>
      <w:r w:rsidRPr="00D33BD7">
        <w:t xml:space="preserve">averaged </w:t>
      </w:r>
      <w:r>
        <w:t>4.5</w:t>
      </w:r>
      <w:r w:rsidRPr="00D33BD7">
        <w:t xml:space="preserve"> mg/L across the three sites and showed little change except for </w:t>
      </w:r>
      <w:r>
        <w:t>sporadic</w:t>
      </w:r>
      <w:r w:rsidRPr="00D33BD7">
        <w:t xml:space="preserve"> increase</w:t>
      </w:r>
      <w:r>
        <w:t>s</w:t>
      </w:r>
      <w:r w:rsidRPr="00D33BD7">
        <w:t xml:space="preserve"> at Lock 1</w:t>
      </w:r>
      <w:r>
        <w:t>,</w:t>
      </w:r>
      <w:r w:rsidRPr="00D33BD7">
        <w:t xml:space="preserve"> </w:t>
      </w:r>
      <w:r>
        <w:t>presumably</w:t>
      </w:r>
      <w:r w:rsidRPr="00D33BD7">
        <w:t xml:space="preserve"> related to </w:t>
      </w:r>
      <w:r>
        <w:t xml:space="preserve">local influences </w:t>
      </w:r>
      <w:r w:rsidRPr="00D33BD7">
        <w:t>(</w:t>
      </w:r>
      <w:r w:rsidRPr="00D33BD7">
        <w:fldChar w:fldCharType="begin"/>
      </w:r>
      <w:r w:rsidRPr="00D33BD7">
        <w:instrText xml:space="preserve"> REF _Ref59030758 \h </w:instrText>
      </w:r>
      <w:r>
        <w:instrText xml:space="preserve"> \* MERGEFORMAT </w:instrText>
      </w:r>
      <w:r w:rsidRPr="00D33BD7">
        <w:fldChar w:fldCharType="separate"/>
      </w:r>
      <w:r w:rsidR="003C13F6">
        <w:t xml:space="preserve">Figure </w:t>
      </w:r>
      <w:r w:rsidR="003C13F6">
        <w:rPr>
          <w:noProof/>
        </w:rPr>
        <w:t>20</w:t>
      </w:r>
      <w:r w:rsidRPr="00D33BD7">
        <w:fldChar w:fldCharType="end"/>
      </w:r>
      <w:r w:rsidRPr="00D33BD7">
        <w:t>)</w:t>
      </w:r>
      <w:r>
        <w:t xml:space="preserve">. Phosphorus and nitrogen can affect rates of metabolism and phytoplankton growth, but the data showed no clear evidence of this in 2020-21. Concentrations of total phosphorus (TP) declined over the monitoring period </w:t>
      </w:r>
      <w:r w:rsidRPr="00D33BD7">
        <w:t>(</w:t>
      </w:r>
      <w:r w:rsidRPr="00D33BD7">
        <w:fldChar w:fldCharType="begin"/>
      </w:r>
      <w:r w:rsidRPr="00D33BD7">
        <w:instrText xml:space="preserve"> REF _Ref59030758 \h </w:instrText>
      </w:r>
      <w:r>
        <w:instrText xml:space="preserve"> \* MERGEFORMAT </w:instrText>
      </w:r>
      <w:r w:rsidRPr="00D33BD7">
        <w:fldChar w:fldCharType="separate"/>
      </w:r>
      <w:r w:rsidR="003C13F6">
        <w:t xml:space="preserve">Figure </w:t>
      </w:r>
      <w:r w:rsidR="003C13F6">
        <w:rPr>
          <w:noProof/>
        </w:rPr>
        <w:t>20</w:t>
      </w:r>
      <w:r w:rsidRPr="00D33BD7">
        <w:fldChar w:fldCharType="end"/>
      </w:r>
      <w:r w:rsidRPr="00D33BD7">
        <w:t>)</w:t>
      </w:r>
      <w:r>
        <w:t xml:space="preserve">, matching the decline in turbidity and reflecting a close correlation between the two, indicating that much of the phosphorus was carried by suspended particles. In contrast, changes in total nitrogen (TN) concentrations mirrored those of chlorophyll, initially increasing, then declining during the flow pulse and with a peak following the pulse. </w:t>
      </w:r>
      <w:r w:rsidR="005D4C2E">
        <w:t>This reflects a close association between TN and chlorophyll and may indicate a potential for nitrogen limitation of phytoplankton growth</w:t>
      </w:r>
      <w:r w:rsidR="008D22DC">
        <w:t xml:space="preserve">. </w:t>
      </w:r>
      <w:r>
        <w:t xml:space="preserve">However, this was not apparent in the relationship of GPP to light </w:t>
      </w:r>
      <w:r w:rsidR="00F83C08">
        <w:t>(</w:t>
      </w:r>
      <w:r w:rsidR="00EA30AD">
        <w:rPr>
          <w:highlight w:val="yellow"/>
        </w:rPr>
        <w:fldChar w:fldCharType="begin"/>
      </w:r>
      <w:r w:rsidR="00EA30AD">
        <w:instrText xml:space="preserve"> REF _Ref59030628 \h </w:instrText>
      </w:r>
      <w:r w:rsidR="00EA30AD">
        <w:rPr>
          <w:highlight w:val="yellow"/>
        </w:rPr>
      </w:r>
      <w:r w:rsidR="00EA30AD">
        <w:rPr>
          <w:highlight w:val="yellow"/>
        </w:rPr>
        <w:fldChar w:fldCharType="separate"/>
      </w:r>
      <w:r w:rsidR="003C13F6">
        <w:t xml:space="preserve">Figure </w:t>
      </w:r>
      <w:r w:rsidR="003C13F6">
        <w:rPr>
          <w:noProof/>
        </w:rPr>
        <w:t>17</w:t>
      </w:r>
      <w:r w:rsidR="00EA30AD">
        <w:rPr>
          <w:highlight w:val="yellow"/>
        </w:rPr>
        <w:fldChar w:fldCharType="end"/>
      </w:r>
      <w:r w:rsidR="00F83C08">
        <w:t>)</w:t>
      </w:r>
      <w:r>
        <w:t xml:space="preserve"> which appeared constant under the changing TN conditions. The data suggested that phytoplankton metabolism was largely controlled by light, and heterotrophic metabolism by DOC concentrations. It is suspected that these resources constrained population sizes such that nutrients were not reduced to limiting concentrations.</w:t>
      </w:r>
    </w:p>
    <w:p w14:paraId="3E936DB0" w14:textId="77777777" w:rsidR="00E92DD5" w:rsidRDefault="00E92DD5" w:rsidP="00E92DD5">
      <w:pPr>
        <w:spacing w:before="0" w:after="160" w:line="259" w:lineRule="auto"/>
        <w:jc w:val="left"/>
      </w:pPr>
      <w:r>
        <w:br w:type="page"/>
      </w:r>
    </w:p>
    <w:p w14:paraId="38E3C9B6" w14:textId="77777777" w:rsidR="00E92DD5" w:rsidRDefault="00E92DD5" w:rsidP="00E92DD5">
      <w:pPr>
        <w:spacing w:before="0" w:after="160" w:line="259" w:lineRule="auto"/>
        <w:jc w:val="center"/>
      </w:pPr>
      <w:r w:rsidRPr="00DB755B">
        <w:rPr>
          <w:noProof/>
        </w:rPr>
        <w:lastRenderedPageBreak/>
        <w:drawing>
          <wp:inline distT="0" distB="0" distL="0" distR="0" wp14:anchorId="76B9E8EE" wp14:editId="5529DC55">
            <wp:extent cx="6380137" cy="636651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bwMode="auto">
                    <a:xfrm>
                      <a:off x="0" y="0"/>
                      <a:ext cx="6389404" cy="6375758"/>
                    </a:xfrm>
                    <a:prstGeom prst="rect">
                      <a:avLst/>
                    </a:prstGeom>
                  </pic:spPr>
                </pic:pic>
              </a:graphicData>
            </a:graphic>
          </wp:inline>
        </w:drawing>
      </w:r>
    </w:p>
    <w:p w14:paraId="15BE1D9E" w14:textId="6843C352" w:rsidR="00E92DD5" w:rsidRDefault="00E92DD5" w:rsidP="00E92DD5">
      <w:pPr>
        <w:pStyle w:val="Caption"/>
      </w:pPr>
      <w:bookmarkStart w:id="140" w:name="_Ref59030758"/>
      <w:bookmarkStart w:id="141" w:name="_Toc101963812"/>
      <w:r>
        <w:t xml:space="preserve">Figure </w:t>
      </w:r>
      <w:fldSimple w:instr=" SEQ Figure \* ARABIC ">
        <w:r w:rsidR="003C13F6">
          <w:rPr>
            <w:noProof/>
          </w:rPr>
          <w:t>20</w:t>
        </w:r>
      </w:fldSimple>
      <w:bookmarkEnd w:id="140"/>
      <w:r>
        <w:t xml:space="preserve">. (a) </w:t>
      </w:r>
      <w:r>
        <w:rPr>
          <w:szCs w:val="20"/>
        </w:rPr>
        <w:t>C</w:t>
      </w:r>
      <w:r w:rsidRPr="00C3722F">
        <w:rPr>
          <w:szCs w:val="20"/>
        </w:rPr>
        <w:t>ontributions of water sources to total flow (</w:t>
      </w:r>
      <w:r w:rsidRPr="004038EA">
        <w:rPr>
          <w:color w:val="BF8F00" w:themeColor="accent4" w:themeShade="BF"/>
          <w:szCs w:val="20"/>
        </w:rPr>
        <w:t>●</w:t>
      </w:r>
      <w:r w:rsidRPr="00C3722F">
        <w:rPr>
          <w:szCs w:val="20"/>
        </w:rPr>
        <w:t>)</w:t>
      </w:r>
      <w:r>
        <w:rPr>
          <w:szCs w:val="20"/>
        </w:rPr>
        <w:t xml:space="preserve"> </w:t>
      </w:r>
      <w:r w:rsidRPr="00C3722F">
        <w:rPr>
          <w:szCs w:val="20"/>
        </w:rPr>
        <w:t>at the South Australian border due to</w:t>
      </w:r>
      <w:r>
        <w:rPr>
          <w:szCs w:val="20"/>
        </w:rPr>
        <w:t>:</w:t>
      </w:r>
      <w:r w:rsidRPr="00C3722F">
        <w:rPr>
          <w:szCs w:val="20"/>
        </w:rPr>
        <w:t xml:space="preserve"> Darling River (</w:t>
      </w:r>
      <w:r w:rsidRPr="00C3722F">
        <w:rPr>
          <w:color w:val="FFC000" w:themeColor="accent4"/>
          <w:szCs w:val="20"/>
        </w:rPr>
        <w:t>●</w:t>
      </w:r>
      <w:r w:rsidRPr="00C3722F">
        <w:rPr>
          <w:szCs w:val="20"/>
        </w:rPr>
        <w:t xml:space="preserve">), </w:t>
      </w:r>
      <w:r>
        <w:rPr>
          <w:szCs w:val="20"/>
        </w:rPr>
        <w:t xml:space="preserve">Campaspe River </w:t>
      </w:r>
      <w:r w:rsidRPr="00C3722F">
        <w:rPr>
          <w:szCs w:val="20"/>
        </w:rPr>
        <w:t>(</w:t>
      </w:r>
      <w:r w:rsidRPr="0070675D">
        <w:rPr>
          <w:color w:val="FF0000"/>
          <w:szCs w:val="20"/>
        </w:rPr>
        <w:t>●</w:t>
      </w:r>
      <w:r w:rsidRPr="00C3722F">
        <w:rPr>
          <w:szCs w:val="20"/>
        </w:rPr>
        <w:t>)</w:t>
      </w:r>
      <w:r>
        <w:rPr>
          <w:szCs w:val="20"/>
        </w:rPr>
        <w:t xml:space="preserve"> Broken Creek</w:t>
      </w:r>
      <w:r w:rsidRPr="00C3722F">
        <w:rPr>
          <w:szCs w:val="20"/>
        </w:rPr>
        <w:t xml:space="preserve"> (</w:t>
      </w:r>
      <w:r w:rsidRPr="0070675D">
        <w:rPr>
          <w:color w:val="C00000"/>
          <w:szCs w:val="20"/>
        </w:rPr>
        <w:t>●</w:t>
      </w:r>
      <w:r w:rsidRPr="00C3722F">
        <w:rPr>
          <w:szCs w:val="20"/>
        </w:rPr>
        <w:t>), Murrumbidgee River (</w:t>
      </w:r>
      <w:r w:rsidRPr="0070675D">
        <w:rPr>
          <w:color w:val="C45911" w:themeColor="accent2" w:themeShade="BF"/>
          <w:szCs w:val="20"/>
        </w:rPr>
        <w:t>●</w:t>
      </w:r>
      <w:r w:rsidRPr="00C3722F">
        <w:rPr>
          <w:szCs w:val="20"/>
        </w:rPr>
        <w:t>), Lake Victoria (</w:t>
      </w:r>
      <w:r w:rsidRPr="00C3722F">
        <w:rPr>
          <w:color w:val="70AD47" w:themeColor="accent6"/>
          <w:szCs w:val="20"/>
        </w:rPr>
        <w:t>●</w:t>
      </w:r>
      <w:r w:rsidRPr="00C3722F">
        <w:rPr>
          <w:szCs w:val="20"/>
        </w:rPr>
        <w:t>)</w:t>
      </w:r>
      <w:r>
        <w:rPr>
          <w:szCs w:val="20"/>
        </w:rPr>
        <w:t>, Goulburn</w:t>
      </w:r>
      <w:r w:rsidRPr="00C3722F">
        <w:rPr>
          <w:szCs w:val="20"/>
        </w:rPr>
        <w:t xml:space="preserve"> (</w:t>
      </w:r>
      <w:r w:rsidRPr="00C3722F">
        <w:rPr>
          <w:color w:val="A6A6A6" w:themeColor="background1" w:themeShade="A6"/>
          <w:szCs w:val="20"/>
        </w:rPr>
        <w:t>●</w:t>
      </w:r>
      <w:r w:rsidRPr="00C3722F">
        <w:rPr>
          <w:szCs w:val="20"/>
        </w:rPr>
        <w:t>)</w:t>
      </w:r>
      <w:r>
        <w:rPr>
          <w:szCs w:val="20"/>
        </w:rPr>
        <w:t xml:space="preserve">, </w:t>
      </w:r>
      <w:r w:rsidRPr="00C3722F">
        <w:rPr>
          <w:szCs w:val="20"/>
        </w:rPr>
        <w:t>and the Murray River (</w:t>
      </w:r>
      <w:r w:rsidRPr="00C3722F">
        <w:rPr>
          <w:color w:val="0070C0"/>
          <w:szCs w:val="20"/>
        </w:rPr>
        <w:t>●</w:t>
      </w:r>
      <w:r w:rsidRPr="00C3722F">
        <w:rPr>
          <w:szCs w:val="20"/>
        </w:rPr>
        <w:t>).</w:t>
      </w:r>
      <w:r>
        <w:rPr>
          <w:szCs w:val="20"/>
        </w:rPr>
        <w:t xml:space="preserve"> (b) Chlorophyll-a concentrations </w:t>
      </w:r>
      <w:r w:rsidRPr="00C3722F">
        <w:rPr>
          <w:szCs w:val="20"/>
        </w:rPr>
        <w:t>(</w:t>
      </w:r>
      <w:r>
        <w:rPr>
          <w:szCs w:val="20"/>
        </w:rPr>
        <w:t>c</w:t>
      </w:r>
      <w:r w:rsidRPr="00C3722F">
        <w:rPr>
          <w:szCs w:val="20"/>
        </w:rPr>
        <w:t>)</w:t>
      </w:r>
      <w:r>
        <w:rPr>
          <w:szCs w:val="20"/>
        </w:rPr>
        <w:t xml:space="preserve">, </w:t>
      </w:r>
      <w:r w:rsidRPr="00C3722F">
        <w:rPr>
          <w:szCs w:val="20"/>
        </w:rPr>
        <w:t>Turbidity (</w:t>
      </w:r>
      <w:r>
        <w:rPr>
          <w:szCs w:val="20"/>
        </w:rPr>
        <w:t>d</w:t>
      </w:r>
      <w:r w:rsidRPr="00C3722F">
        <w:rPr>
          <w:szCs w:val="20"/>
        </w:rPr>
        <w:t>)</w:t>
      </w:r>
      <w:r>
        <w:rPr>
          <w:szCs w:val="20"/>
        </w:rPr>
        <w:t xml:space="preserve"> vertical attenuation (</w:t>
      </w:r>
      <w:r w:rsidRPr="00FB258E">
        <w:rPr>
          <w:i/>
          <w:iCs/>
          <w:szCs w:val="20"/>
        </w:rPr>
        <w:t>k</w:t>
      </w:r>
      <w:r w:rsidRPr="003223B8">
        <w:rPr>
          <w:i/>
          <w:iCs/>
          <w:szCs w:val="20"/>
          <w:vertAlign w:val="subscript"/>
        </w:rPr>
        <w:t>d</w:t>
      </w:r>
      <w:r>
        <w:rPr>
          <w:szCs w:val="20"/>
        </w:rPr>
        <w:t xml:space="preserve">), </w:t>
      </w:r>
      <w:r>
        <w:t xml:space="preserve">(e) Dissolved organic carbon </w:t>
      </w:r>
      <w:r w:rsidRPr="00C3722F">
        <w:rPr>
          <w:szCs w:val="20"/>
        </w:rPr>
        <w:t>(</w:t>
      </w:r>
      <w:r>
        <w:rPr>
          <w:szCs w:val="20"/>
        </w:rPr>
        <w:t>f</w:t>
      </w:r>
      <w:r w:rsidRPr="00C3722F">
        <w:rPr>
          <w:szCs w:val="20"/>
        </w:rPr>
        <w:t xml:space="preserve">) Total phosphorus </w:t>
      </w:r>
      <w:r>
        <w:rPr>
          <w:szCs w:val="20"/>
        </w:rPr>
        <w:t xml:space="preserve">and </w:t>
      </w:r>
      <w:r>
        <w:t xml:space="preserve">(g) Total </w:t>
      </w:r>
      <w:r w:rsidRPr="00C3722F">
        <w:rPr>
          <w:szCs w:val="20"/>
        </w:rPr>
        <w:t xml:space="preserve">nitrogen </w:t>
      </w:r>
      <w:r>
        <w:rPr>
          <w:szCs w:val="20"/>
        </w:rPr>
        <w:t xml:space="preserve">below </w:t>
      </w:r>
      <w:r w:rsidR="003C03B0">
        <w:rPr>
          <w:szCs w:val="20"/>
        </w:rPr>
        <w:t>L</w:t>
      </w:r>
      <w:r w:rsidRPr="00C3722F">
        <w:rPr>
          <w:szCs w:val="20"/>
        </w:rPr>
        <w:t>ock</w:t>
      </w:r>
      <w:r>
        <w:rPr>
          <w:szCs w:val="20"/>
        </w:rPr>
        <w:t>s</w:t>
      </w:r>
      <w:r w:rsidRPr="00C3722F">
        <w:rPr>
          <w:szCs w:val="20"/>
        </w:rPr>
        <w:t xml:space="preserve"> 6 (</w:t>
      </w:r>
      <w:r w:rsidRPr="00FB3ECE">
        <w:rPr>
          <w:color w:val="4472C4" w:themeColor="accent5"/>
          <w:szCs w:val="20"/>
        </w:rPr>
        <w:t>●</w:t>
      </w:r>
      <w:r w:rsidRPr="00C3722F">
        <w:rPr>
          <w:szCs w:val="20"/>
        </w:rPr>
        <w:t>),4 (</w:t>
      </w:r>
      <w:r w:rsidRPr="00FB3ECE">
        <w:rPr>
          <w:color w:val="A5A5A5" w:themeColor="accent3"/>
          <w:szCs w:val="20"/>
        </w:rPr>
        <w:t>●</w:t>
      </w:r>
      <w:r w:rsidRPr="00C3722F">
        <w:rPr>
          <w:szCs w:val="20"/>
        </w:rPr>
        <w:t>) and 1 (</w:t>
      </w:r>
      <w:r w:rsidRPr="00FB3ECE">
        <w:rPr>
          <w:color w:val="ED7D31" w:themeColor="accent2"/>
          <w:szCs w:val="20"/>
        </w:rPr>
        <w:t>●</w:t>
      </w:r>
      <w:r w:rsidRPr="00C3722F">
        <w:rPr>
          <w:szCs w:val="20"/>
        </w:rPr>
        <w:t>)</w:t>
      </w:r>
      <w:bookmarkEnd w:id="139"/>
      <w:r w:rsidRPr="00C3722F">
        <w:rPr>
          <w:szCs w:val="20"/>
        </w:rPr>
        <w:t>.</w:t>
      </w:r>
      <w:bookmarkEnd w:id="141"/>
    </w:p>
    <w:p w14:paraId="3982E95A" w14:textId="34D06D6C" w:rsidR="00E92DD5" w:rsidRDefault="00E92DD5" w:rsidP="00E92DD5">
      <w:pPr>
        <w:jc w:val="center"/>
        <w:rPr>
          <w:rFonts w:eastAsiaTheme="majorEastAsia"/>
          <w:lang w:val="en-US"/>
        </w:rPr>
      </w:pPr>
    </w:p>
    <w:p w14:paraId="68FC9BB4" w14:textId="55E3DEAA" w:rsidR="00E92DD5" w:rsidRDefault="00E92DD5" w:rsidP="00E92DD5"/>
    <w:p w14:paraId="3DEE3ACE" w14:textId="77777777" w:rsidR="00E92DD5" w:rsidRDefault="00E92DD5" w:rsidP="00E92DD5">
      <w:pPr>
        <w:spacing w:before="0" w:after="160" w:line="259" w:lineRule="auto"/>
        <w:jc w:val="left"/>
        <w:rPr>
          <w:rFonts w:eastAsiaTheme="majorEastAsia" w:cstheme="majorBidi"/>
          <w:b/>
          <w:i/>
          <w:color w:val="44546A" w:themeColor="text2"/>
          <w:sz w:val="24"/>
          <w:szCs w:val="24"/>
        </w:rPr>
      </w:pPr>
      <w:r>
        <w:br w:type="page"/>
      </w:r>
    </w:p>
    <w:p w14:paraId="7752D8AF" w14:textId="77777777" w:rsidR="00E92DD5" w:rsidRDefault="00E92DD5" w:rsidP="00E92DD5">
      <w:pPr>
        <w:pStyle w:val="Heading3"/>
      </w:pPr>
      <w:r>
        <w:lastRenderedPageBreak/>
        <w:t>Evaluation</w:t>
      </w:r>
    </w:p>
    <w:p w14:paraId="404FA856" w14:textId="77777777" w:rsidR="00E92DD5" w:rsidRDefault="00E92DD5" w:rsidP="00E92DD5">
      <w:bookmarkStart w:id="142" w:name="_Ref31792748"/>
      <w:r>
        <w:rPr>
          <w:lang w:val="en-US"/>
        </w:rPr>
        <w:t>T</w:t>
      </w:r>
      <w:r w:rsidRPr="006E7799">
        <w:rPr>
          <w:lang w:val="en-US"/>
        </w:rPr>
        <w:t>he contribution</w:t>
      </w:r>
      <w:r>
        <w:rPr>
          <w:lang w:val="en-US"/>
        </w:rPr>
        <w:t>s</w:t>
      </w:r>
      <w:r w:rsidRPr="006E7799">
        <w:rPr>
          <w:lang w:val="en-US"/>
        </w:rPr>
        <w:t xml:space="preserve"> of Commonwealth environmental water </w:t>
      </w:r>
      <w:r>
        <w:rPr>
          <w:lang w:val="en-US"/>
        </w:rPr>
        <w:t xml:space="preserve">to environmental </w:t>
      </w:r>
      <w:r w:rsidRPr="006E7799">
        <w:rPr>
          <w:lang w:val="en-US"/>
        </w:rPr>
        <w:t>outcome</w:t>
      </w:r>
      <w:r>
        <w:rPr>
          <w:lang w:val="en-US"/>
        </w:rPr>
        <w:t>s associated with changes in dissolved oxygen, primary production and decomposition were assessed from a set of constructed metrics describing potential benefits. S</w:t>
      </w:r>
      <w:r w:rsidRPr="006E7799">
        <w:rPr>
          <w:lang w:val="en-US"/>
        </w:rPr>
        <w:t>ignificance level</w:t>
      </w:r>
      <w:r>
        <w:rPr>
          <w:lang w:val="en-US"/>
        </w:rPr>
        <w:t>s</w:t>
      </w:r>
      <w:r w:rsidRPr="006E7799">
        <w:rPr>
          <w:lang w:val="en-US"/>
        </w:rPr>
        <w:t xml:space="preserve"> w</w:t>
      </w:r>
      <w:r>
        <w:rPr>
          <w:lang w:val="en-US"/>
        </w:rPr>
        <w:t>ere</w:t>
      </w:r>
      <w:r w:rsidRPr="006E7799">
        <w:rPr>
          <w:lang w:val="en-US"/>
        </w:rPr>
        <w:t xml:space="preserve"> assigned to each evaluation question</w:t>
      </w:r>
      <w:r>
        <w:rPr>
          <w:lang w:val="en-US"/>
        </w:rPr>
        <w:t xml:space="preserve"> based on the </w:t>
      </w:r>
      <w:r w:rsidRPr="006E7799">
        <w:rPr>
          <w:lang w:val="en-US"/>
        </w:rPr>
        <w:t xml:space="preserve">extent </w:t>
      </w:r>
      <w:r>
        <w:rPr>
          <w:lang w:val="en-US"/>
        </w:rPr>
        <w:t xml:space="preserve">that </w:t>
      </w:r>
      <w:r w:rsidRPr="006E7799">
        <w:rPr>
          <w:lang w:val="en-US"/>
        </w:rPr>
        <w:t xml:space="preserve">Commonwealth environmental water contributed towards </w:t>
      </w:r>
      <w:r>
        <w:rPr>
          <w:lang w:val="en-US"/>
        </w:rPr>
        <w:t>the</w:t>
      </w:r>
      <w:r w:rsidRPr="006E7799">
        <w:rPr>
          <w:lang w:val="en-US"/>
        </w:rPr>
        <w:t xml:space="preserve"> observed outcome</w:t>
      </w:r>
      <w:r>
        <w:rPr>
          <w:lang w:val="en-US"/>
        </w:rPr>
        <w:t>, in one case the length of time of an enhanced effect, and in the other cases a percentage estimate of the extent of influence</w:t>
      </w:r>
      <w:r w:rsidRPr="006E7799">
        <w:rPr>
          <w:lang w:val="en-US"/>
        </w:rPr>
        <w:t xml:space="preserve">. The thresholds for significance </w:t>
      </w:r>
      <w:r>
        <w:rPr>
          <w:lang w:val="en-US"/>
        </w:rPr>
        <w:t xml:space="preserve">levels </w:t>
      </w:r>
      <w:r w:rsidRPr="006E7799">
        <w:rPr>
          <w:lang w:val="en-US"/>
        </w:rPr>
        <w:t xml:space="preserve">among </w:t>
      </w:r>
      <w:r>
        <w:rPr>
          <w:lang w:val="en-US"/>
        </w:rPr>
        <w:t xml:space="preserve">the </w:t>
      </w:r>
      <w:r w:rsidRPr="006E7799">
        <w:rPr>
          <w:lang w:val="en-US"/>
        </w:rPr>
        <w:t xml:space="preserve">indicators </w:t>
      </w:r>
      <w:r>
        <w:rPr>
          <w:lang w:val="en-US"/>
        </w:rPr>
        <w:t xml:space="preserve">were </w:t>
      </w:r>
      <w:r w:rsidRPr="006E7799">
        <w:rPr>
          <w:lang w:val="en-US"/>
        </w:rPr>
        <w:t>based on expert opinion</w:t>
      </w:r>
      <w:r>
        <w:rPr>
          <w:lang w:val="en-US"/>
        </w:rPr>
        <w:t xml:space="preserve"> and may be adjusted in response to developing understanding of these processes.</w:t>
      </w:r>
    </w:p>
    <w:p w14:paraId="4AF9C156" w14:textId="7026DC3E" w:rsidR="00E92DD5" w:rsidRPr="00FA63F8" w:rsidRDefault="00E92DD5" w:rsidP="004C3BA1">
      <w:pPr>
        <w:pStyle w:val="Captions"/>
      </w:pPr>
      <w:bookmarkStart w:id="143" w:name="_Ref95920514"/>
      <w:bookmarkStart w:id="144" w:name="_Toc101963862"/>
      <w:r>
        <w:t xml:space="preserve">Table </w:t>
      </w:r>
      <w:r>
        <w:rPr>
          <w:noProof/>
        </w:rPr>
        <w:fldChar w:fldCharType="begin"/>
      </w:r>
      <w:r>
        <w:rPr>
          <w:noProof/>
        </w:rPr>
        <w:instrText xml:space="preserve"> SEQ Table \* ARABIC </w:instrText>
      </w:r>
      <w:r>
        <w:rPr>
          <w:noProof/>
        </w:rPr>
        <w:fldChar w:fldCharType="separate"/>
      </w:r>
      <w:r w:rsidR="003C13F6">
        <w:rPr>
          <w:noProof/>
        </w:rPr>
        <w:t>4</w:t>
      </w:r>
      <w:r>
        <w:rPr>
          <w:noProof/>
        </w:rPr>
        <w:fldChar w:fldCharType="end"/>
      </w:r>
      <w:bookmarkEnd w:id="142"/>
      <w:bookmarkEnd w:id="143"/>
      <w:r>
        <w:rPr>
          <w:noProof/>
        </w:rPr>
        <w:t>.</w:t>
      </w:r>
      <w:r>
        <w:t xml:space="preserve"> Stream Metabolism evaluation questions and answers relating to Commonwealth environmental water (CEW) and environmental water (eWater).</w:t>
      </w:r>
      <w:r w:rsidR="00ED3DF3">
        <w:t xml:space="preserve"> DS = downstream.</w:t>
      </w:r>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1136"/>
        <w:gridCol w:w="989"/>
        <w:gridCol w:w="67"/>
        <w:gridCol w:w="692"/>
        <w:gridCol w:w="54"/>
        <w:gridCol w:w="607"/>
        <w:gridCol w:w="32"/>
        <w:gridCol w:w="676"/>
        <w:gridCol w:w="852"/>
        <w:gridCol w:w="652"/>
        <w:gridCol w:w="764"/>
        <w:gridCol w:w="1218"/>
      </w:tblGrid>
      <w:tr w:rsidR="00E92DD5" w:rsidRPr="00BF0490" w14:paraId="366DD2DF" w14:textId="77777777" w:rsidTr="00ED3DF3">
        <w:trPr>
          <w:cantSplit/>
          <w:trHeight w:val="20"/>
          <w:tblHeader/>
        </w:trPr>
        <w:tc>
          <w:tcPr>
            <w:tcW w:w="705" w:type="pct"/>
            <w:vMerge w:val="restart"/>
            <w:tcBorders>
              <w:top w:val="single" w:sz="4" w:space="0" w:color="auto"/>
              <w:left w:val="single" w:sz="4" w:space="0" w:color="auto"/>
              <w:right w:val="single" w:sz="4" w:space="0" w:color="auto"/>
            </w:tcBorders>
          </w:tcPr>
          <w:p w14:paraId="6A7ACEC4" w14:textId="77777777" w:rsidR="00E92DD5" w:rsidRPr="00BF0490" w:rsidRDefault="00E92DD5" w:rsidP="001375D4">
            <w:pPr>
              <w:jc w:val="center"/>
              <w:rPr>
                <w:rFonts w:cs="Arial"/>
                <w:b/>
                <w:sz w:val="19"/>
                <w:szCs w:val="19"/>
              </w:rPr>
            </w:pPr>
            <w:r w:rsidRPr="00BF0490">
              <w:rPr>
                <w:rFonts w:cs="Arial"/>
                <w:b/>
                <w:sz w:val="19"/>
                <w:szCs w:val="19"/>
              </w:rPr>
              <w:t xml:space="preserve">CEWO evaluation questions </w:t>
            </w:r>
          </w:p>
        </w:tc>
        <w:tc>
          <w:tcPr>
            <w:tcW w:w="4295" w:type="pct"/>
            <w:gridSpan w:val="12"/>
            <w:tcBorders>
              <w:top w:val="single" w:sz="4" w:space="0" w:color="auto"/>
              <w:left w:val="single" w:sz="4" w:space="0" w:color="auto"/>
              <w:right w:val="single" w:sz="4" w:space="0" w:color="auto"/>
            </w:tcBorders>
          </w:tcPr>
          <w:p w14:paraId="045B1CD5" w14:textId="77777777" w:rsidR="00E92DD5" w:rsidRPr="00BF0490" w:rsidRDefault="00E92DD5" w:rsidP="001375D4">
            <w:pPr>
              <w:jc w:val="center"/>
              <w:rPr>
                <w:rFonts w:cs="Arial"/>
                <w:b/>
                <w:sz w:val="19"/>
                <w:szCs w:val="19"/>
              </w:rPr>
            </w:pPr>
            <w:r w:rsidRPr="00BF0490">
              <w:rPr>
                <w:rFonts w:cs="Arial"/>
                <w:b/>
                <w:sz w:val="19"/>
                <w:szCs w:val="19"/>
              </w:rPr>
              <w:t>Outcomes of CEW delivery</w:t>
            </w:r>
          </w:p>
        </w:tc>
      </w:tr>
      <w:tr w:rsidR="00E92DD5" w:rsidRPr="00BF0490" w14:paraId="459B72F3" w14:textId="77777777" w:rsidTr="00C5668B">
        <w:trPr>
          <w:cantSplit/>
          <w:trHeight w:val="20"/>
          <w:tblHeader/>
        </w:trPr>
        <w:tc>
          <w:tcPr>
            <w:tcW w:w="705" w:type="pct"/>
            <w:vMerge/>
            <w:tcBorders>
              <w:left w:val="single" w:sz="4" w:space="0" w:color="auto"/>
              <w:bottom w:val="single" w:sz="4" w:space="0" w:color="auto"/>
              <w:right w:val="single" w:sz="4" w:space="0" w:color="auto"/>
            </w:tcBorders>
          </w:tcPr>
          <w:p w14:paraId="2E3F9765" w14:textId="77777777" w:rsidR="00E92DD5" w:rsidRPr="00BF0490" w:rsidRDefault="00E92DD5" w:rsidP="001375D4">
            <w:pPr>
              <w:jc w:val="center"/>
              <w:rPr>
                <w:rFonts w:cs="Arial"/>
                <w:b/>
                <w:sz w:val="19"/>
                <w:szCs w:val="19"/>
              </w:rPr>
            </w:pPr>
          </w:p>
        </w:tc>
        <w:tc>
          <w:tcPr>
            <w:tcW w:w="630" w:type="pct"/>
            <w:tcBorders>
              <w:left w:val="single" w:sz="4" w:space="0" w:color="auto"/>
              <w:bottom w:val="single" w:sz="4" w:space="0" w:color="auto"/>
              <w:right w:val="single" w:sz="4" w:space="0" w:color="auto"/>
            </w:tcBorders>
          </w:tcPr>
          <w:p w14:paraId="589FC41F" w14:textId="77777777" w:rsidR="00E92DD5" w:rsidRPr="00BF0490" w:rsidRDefault="00E92DD5" w:rsidP="001375D4">
            <w:pPr>
              <w:jc w:val="center"/>
              <w:rPr>
                <w:rFonts w:cs="Arial"/>
                <w:b/>
                <w:sz w:val="19"/>
                <w:szCs w:val="19"/>
              </w:rPr>
            </w:pPr>
            <w:r>
              <w:rPr>
                <w:rFonts w:cs="Arial"/>
                <w:b/>
                <w:sz w:val="19"/>
                <w:szCs w:val="19"/>
              </w:rPr>
              <w:t>Site</w:t>
            </w:r>
          </w:p>
        </w:tc>
        <w:tc>
          <w:tcPr>
            <w:tcW w:w="586" w:type="pct"/>
            <w:gridSpan w:val="2"/>
            <w:tcBorders>
              <w:left w:val="single" w:sz="4" w:space="0" w:color="auto"/>
              <w:bottom w:val="single" w:sz="4" w:space="0" w:color="auto"/>
              <w:right w:val="single" w:sz="4" w:space="0" w:color="auto"/>
            </w:tcBorders>
            <w:vAlign w:val="bottom"/>
          </w:tcPr>
          <w:p w14:paraId="0433CF94" w14:textId="77777777" w:rsidR="00E92DD5" w:rsidRPr="00BF0490" w:rsidRDefault="00E92DD5" w:rsidP="001375D4">
            <w:pPr>
              <w:jc w:val="center"/>
              <w:rPr>
                <w:rFonts w:cs="Arial"/>
                <w:b/>
                <w:sz w:val="19"/>
                <w:szCs w:val="19"/>
              </w:rPr>
            </w:pPr>
            <w:r w:rsidRPr="00BF0490">
              <w:rPr>
                <w:rFonts w:cs="Arial"/>
                <w:b/>
                <w:sz w:val="19"/>
                <w:szCs w:val="19"/>
              </w:rPr>
              <w:t>eWater type</w:t>
            </w:r>
          </w:p>
        </w:tc>
        <w:tc>
          <w:tcPr>
            <w:tcW w:w="384" w:type="pct"/>
            <w:tcBorders>
              <w:top w:val="single" w:sz="4" w:space="0" w:color="auto"/>
              <w:left w:val="single" w:sz="4" w:space="0" w:color="auto"/>
              <w:bottom w:val="single" w:sz="4" w:space="0" w:color="auto"/>
            </w:tcBorders>
            <w:vAlign w:val="bottom"/>
          </w:tcPr>
          <w:p w14:paraId="52AF0CF9" w14:textId="77777777" w:rsidR="00E92DD5" w:rsidRPr="00BF0490" w:rsidRDefault="00E92DD5" w:rsidP="001375D4">
            <w:pPr>
              <w:jc w:val="center"/>
              <w:rPr>
                <w:rFonts w:cs="Arial"/>
                <w:b/>
                <w:sz w:val="19"/>
                <w:szCs w:val="19"/>
              </w:rPr>
            </w:pPr>
            <w:r w:rsidRPr="00BF0490">
              <w:rPr>
                <w:rFonts w:cs="Arial"/>
                <w:b/>
                <w:sz w:val="19"/>
                <w:szCs w:val="19"/>
              </w:rPr>
              <w:t>2014-15</w:t>
            </w:r>
          </w:p>
        </w:tc>
        <w:tc>
          <w:tcPr>
            <w:tcW w:w="385" w:type="pct"/>
            <w:gridSpan w:val="3"/>
            <w:tcBorders>
              <w:top w:val="single" w:sz="4" w:space="0" w:color="auto"/>
              <w:bottom w:val="single" w:sz="4" w:space="0" w:color="auto"/>
            </w:tcBorders>
            <w:vAlign w:val="bottom"/>
          </w:tcPr>
          <w:p w14:paraId="20918CBE" w14:textId="77777777" w:rsidR="00E92DD5" w:rsidRPr="00BF0490" w:rsidRDefault="00E92DD5" w:rsidP="001375D4">
            <w:pPr>
              <w:jc w:val="center"/>
              <w:rPr>
                <w:rFonts w:cs="Arial"/>
                <w:b/>
                <w:sz w:val="19"/>
                <w:szCs w:val="19"/>
              </w:rPr>
            </w:pPr>
            <w:r w:rsidRPr="00BF0490">
              <w:rPr>
                <w:rFonts w:cs="Arial"/>
                <w:b/>
                <w:sz w:val="19"/>
                <w:szCs w:val="19"/>
              </w:rPr>
              <w:t>2015-16</w:t>
            </w:r>
          </w:p>
        </w:tc>
        <w:tc>
          <w:tcPr>
            <w:tcW w:w="375" w:type="pct"/>
            <w:tcBorders>
              <w:top w:val="single" w:sz="4" w:space="0" w:color="auto"/>
              <w:bottom w:val="single" w:sz="4" w:space="0" w:color="auto"/>
            </w:tcBorders>
            <w:vAlign w:val="bottom"/>
          </w:tcPr>
          <w:p w14:paraId="0AD1182A" w14:textId="77777777" w:rsidR="00E92DD5" w:rsidRPr="00BF0490" w:rsidRDefault="00E92DD5" w:rsidP="001375D4">
            <w:pPr>
              <w:jc w:val="center"/>
              <w:rPr>
                <w:rFonts w:cs="Arial"/>
                <w:b/>
                <w:sz w:val="19"/>
                <w:szCs w:val="19"/>
              </w:rPr>
            </w:pPr>
            <w:r w:rsidRPr="00BF0490">
              <w:rPr>
                <w:rFonts w:cs="Arial"/>
                <w:b/>
                <w:sz w:val="19"/>
                <w:szCs w:val="19"/>
              </w:rPr>
              <w:t>2016-17</w:t>
            </w:r>
          </w:p>
        </w:tc>
        <w:tc>
          <w:tcPr>
            <w:tcW w:w="473" w:type="pct"/>
            <w:tcBorders>
              <w:top w:val="single" w:sz="4" w:space="0" w:color="auto"/>
              <w:bottom w:val="single" w:sz="4" w:space="0" w:color="auto"/>
            </w:tcBorders>
            <w:vAlign w:val="bottom"/>
          </w:tcPr>
          <w:p w14:paraId="1298AD25" w14:textId="77777777" w:rsidR="00E92DD5" w:rsidRPr="00BF0490" w:rsidRDefault="00E92DD5" w:rsidP="001375D4">
            <w:pPr>
              <w:jc w:val="center"/>
              <w:rPr>
                <w:rFonts w:cs="Arial"/>
                <w:b/>
                <w:sz w:val="19"/>
                <w:szCs w:val="19"/>
              </w:rPr>
            </w:pPr>
            <w:r w:rsidRPr="00BF0490">
              <w:rPr>
                <w:rFonts w:cs="Arial"/>
                <w:b/>
                <w:sz w:val="19"/>
                <w:szCs w:val="19"/>
              </w:rPr>
              <w:t>2017-18</w:t>
            </w:r>
          </w:p>
        </w:tc>
        <w:tc>
          <w:tcPr>
            <w:tcW w:w="362" w:type="pct"/>
            <w:tcBorders>
              <w:top w:val="single" w:sz="4" w:space="0" w:color="auto"/>
              <w:bottom w:val="single" w:sz="4" w:space="0" w:color="auto"/>
            </w:tcBorders>
            <w:shd w:val="clear" w:color="auto" w:fill="auto"/>
            <w:vAlign w:val="bottom"/>
          </w:tcPr>
          <w:p w14:paraId="06372C87" w14:textId="77777777" w:rsidR="00E92DD5" w:rsidRPr="00BF0490" w:rsidRDefault="00E92DD5" w:rsidP="001375D4">
            <w:pPr>
              <w:jc w:val="center"/>
              <w:rPr>
                <w:rFonts w:cs="Arial"/>
                <w:b/>
                <w:sz w:val="19"/>
                <w:szCs w:val="19"/>
              </w:rPr>
            </w:pPr>
            <w:r w:rsidRPr="00BF0490">
              <w:rPr>
                <w:rFonts w:cs="Arial"/>
                <w:b/>
                <w:sz w:val="19"/>
                <w:szCs w:val="19"/>
              </w:rPr>
              <w:t>2018-19</w:t>
            </w:r>
          </w:p>
        </w:tc>
        <w:tc>
          <w:tcPr>
            <w:tcW w:w="424" w:type="pct"/>
            <w:tcBorders>
              <w:top w:val="single" w:sz="4" w:space="0" w:color="auto"/>
              <w:bottom w:val="single" w:sz="4" w:space="0" w:color="auto"/>
            </w:tcBorders>
            <w:vAlign w:val="bottom"/>
          </w:tcPr>
          <w:p w14:paraId="0DB3E07B" w14:textId="77777777" w:rsidR="00E92DD5" w:rsidRPr="00BF0490" w:rsidRDefault="00E92DD5" w:rsidP="001375D4">
            <w:pPr>
              <w:jc w:val="center"/>
              <w:rPr>
                <w:rFonts w:cs="Arial"/>
                <w:b/>
                <w:sz w:val="19"/>
                <w:szCs w:val="19"/>
              </w:rPr>
            </w:pPr>
            <w:r>
              <w:rPr>
                <w:rFonts w:cs="Arial"/>
                <w:b/>
                <w:sz w:val="19"/>
                <w:szCs w:val="19"/>
              </w:rPr>
              <w:t>2019-20</w:t>
            </w:r>
          </w:p>
        </w:tc>
        <w:tc>
          <w:tcPr>
            <w:tcW w:w="676" w:type="pct"/>
            <w:tcBorders>
              <w:top w:val="single" w:sz="4" w:space="0" w:color="auto"/>
              <w:bottom w:val="single" w:sz="4" w:space="0" w:color="auto"/>
            </w:tcBorders>
          </w:tcPr>
          <w:p w14:paraId="48B79351" w14:textId="77777777" w:rsidR="00E92DD5" w:rsidRDefault="00E92DD5" w:rsidP="001375D4">
            <w:pPr>
              <w:jc w:val="center"/>
              <w:rPr>
                <w:rFonts w:cs="Arial"/>
                <w:b/>
                <w:sz w:val="19"/>
                <w:szCs w:val="19"/>
              </w:rPr>
            </w:pPr>
            <w:r>
              <w:rPr>
                <w:rFonts w:cs="Arial"/>
                <w:b/>
                <w:sz w:val="19"/>
                <w:szCs w:val="19"/>
              </w:rPr>
              <w:t>2020-21</w:t>
            </w:r>
          </w:p>
        </w:tc>
      </w:tr>
      <w:tr w:rsidR="00E92DD5" w:rsidRPr="00BF0490" w14:paraId="62654529" w14:textId="77777777" w:rsidTr="00AE483E">
        <w:trPr>
          <w:cantSplit/>
          <w:trHeight w:val="702"/>
        </w:trPr>
        <w:tc>
          <w:tcPr>
            <w:tcW w:w="705" w:type="pct"/>
            <w:vMerge w:val="restart"/>
            <w:tcBorders>
              <w:top w:val="single" w:sz="4" w:space="0" w:color="auto"/>
              <w:left w:val="single" w:sz="4" w:space="0" w:color="auto"/>
              <w:right w:val="single" w:sz="4" w:space="0" w:color="auto"/>
            </w:tcBorders>
          </w:tcPr>
          <w:p w14:paraId="7795BD06" w14:textId="77777777" w:rsidR="00E92DD5" w:rsidRPr="00BF0490" w:rsidRDefault="00E92DD5" w:rsidP="001375D4">
            <w:pPr>
              <w:jc w:val="left"/>
              <w:rPr>
                <w:color w:val="auto"/>
                <w:sz w:val="19"/>
                <w:szCs w:val="19"/>
              </w:rPr>
            </w:pPr>
            <w:r w:rsidRPr="00BF0490">
              <w:rPr>
                <w:sz w:val="19"/>
                <w:szCs w:val="19"/>
              </w:rPr>
              <w:t>What did CEW contribute to dissolved oxygen levels?</w:t>
            </w:r>
          </w:p>
        </w:tc>
        <w:tc>
          <w:tcPr>
            <w:tcW w:w="630" w:type="pct"/>
            <w:vMerge w:val="restart"/>
            <w:tcBorders>
              <w:top w:val="single" w:sz="4" w:space="0" w:color="auto"/>
              <w:left w:val="single" w:sz="4" w:space="0" w:color="auto"/>
              <w:right w:val="single" w:sz="4" w:space="0" w:color="auto"/>
            </w:tcBorders>
          </w:tcPr>
          <w:p w14:paraId="46818CD6" w14:textId="77777777" w:rsidR="00E92DD5" w:rsidRPr="00C575B0" w:rsidRDefault="00E92DD5" w:rsidP="001375D4">
            <w:pPr>
              <w:jc w:val="left"/>
              <w:rPr>
                <w:b/>
                <w:bCs/>
                <w:color w:val="auto"/>
                <w:sz w:val="19"/>
                <w:szCs w:val="19"/>
              </w:rPr>
            </w:pPr>
            <w:r w:rsidRPr="00C575B0">
              <w:rPr>
                <w:b/>
                <w:bCs/>
                <w:color w:val="auto"/>
                <w:sz w:val="19"/>
                <w:szCs w:val="19"/>
              </w:rPr>
              <w:t>DS Lock 6</w:t>
            </w:r>
          </w:p>
        </w:tc>
        <w:tc>
          <w:tcPr>
            <w:tcW w:w="586" w:type="pct"/>
            <w:gridSpan w:val="2"/>
            <w:tcBorders>
              <w:top w:val="single" w:sz="4" w:space="0" w:color="auto"/>
              <w:left w:val="single" w:sz="4" w:space="0" w:color="auto"/>
              <w:right w:val="single" w:sz="4" w:space="0" w:color="auto"/>
            </w:tcBorders>
            <w:shd w:val="clear" w:color="auto" w:fill="auto"/>
          </w:tcPr>
          <w:p w14:paraId="7304B8BE" w14:textId="77777777" w:rsidR="00E92DD5" w:rsidRPr="00BF0490" w:rsidRDefault="00E92DD5" w:rsidP="001375D4">
            <w:pPr>
              <w:jc w:val="left"/>
              <w:rPr>
                <w:color w:val="auto"/>
                <w:sz w:val="19"/>
                <w:szCs w:val="19"/>
              </w:rPr>
            </w:pPr>
            <w:r w:rsidRPr="00BF0490">
              <w:rPr>
                <w:color w:val="auto"/>
                <w:sz w:val="19"/>
                <w:szCs w:val="19"/>
              </w:rPr>
              <w:t>All eWater</w:t>
            </w:r>
          </w:p>
        </w:tc>
        <w:tc>
          <w:tcPr>
            <w:tcW w:w="384" w:type="pct"/>
            <w:tcBorders>
              <w:top w:val="single" w:sz="4" w:space="0" w:color="auto"/>
              <w:left w:val="single" w:sz="4" w:space="0" w:color="auto"/>
              <w:bottom w:val="single" w:sz="4" w:space="0" w:color="auto"/>
              <w:right w:val="single" w:sz="4" w:space="0" w:color="auto"/>
            </w:tcBorders>
            <w:shd w:val="clear" w:color="auto" w:fill="5B9BD5" w:themeFill="accent1"/>
          </w:tcPr>
          <w:p w14:paraId="17304A69" w14:textId="77777777" w:rsidR="00E92DD5" w:rsidRPr="00BF0490" w:rsidRDefault="00E92DD5" w:rsidP="001375D4">
            <w:pPr>
              <w:jc w:val="left"/>
              <w:rPr>
                <w:color w:val="auto"/>
                <w:sz w:val="19"/>
                <w:szCs w:val="19"/>
              </w:rPr>
            </w:pPr>
            <w:r w:rsidRPr="00BF0490">
              <w:rPr>
                <w:color w:val="auto"/>
                <w:sz w:val="19"/>
                <w:szCs w:val="19"/>
              </w:rPr>
              <w:t>31</w:t>
            </w:r>
          </w:p>
        </w:tc>
        <w:tc>
          <w:tcPr>
            <w:tcW w:w="385" w:type="pct"/>
            <w:gridSpan w:val="3"/>
            <w:tcBorders>
              <w:top w:val="single" w:sz="4" w:space="0" w:color="auto"/>
              <w:left w:val="single" w:sz="4" w:space="0" w:color="auto"/>
              <w:bottom w:val="single" w:sz="4" w:space="0" w:color="auto"/>
              <w:right w:val="single" w:sz="4" w:space="0" w:color="auto"/>
            </w:tcBorders>
            <w:shd w:val="clear" w:color="auto" w:fill="5B9BD5" w:themeFill="accent1"/>
          </w:tcPr>
          <w:p w14:paraId="32A35B83" w14:textId="77777777" w:rsidR="00E92DD5" w:rsidRPr="00BF0490" w:rsidRDefault="00E92DD5" w:rsidP="001375D4">
            <w:pPr>
              <w:jc w:val="left"/>
              <w:rPr>
                <w:color w:val="auto"/>
                <w:sz w:val="19"/>
                <w:szCs w:val="19"/>
              </w:rPr>
            </w:pPr>
            <w:r w:rsidRPr="00BF0490">
              <w:rPr>
                <w:color w:val="auto"/>
                <w:sz w:val="19"/>
                <w:szCs w:val="19"/>
              </w:rPr>
              <w:t>6</w:t>
            </w:r>
            <w:r>
              <w:rPr>
                <w:color w:val="auto"/>
                <w:sz w:val="19"/>
                <w:szCs w:val="19"/>
              </w:rPr>
              <w:t>8</w:t>
            </w:r>
          </w:p>
        </w:tc>
        <w:tc>
          <w:tcPr>
            <w:tcW w:w="375" w:type="pct"/>
            <w:tcBorders>
              <w:top w:val="single" w:sz="4" w:space="0" w:color="auto"/>
              <w:left w:val="single" w:sz="4" w:space="0" w:color="auto"/>
              <w:bottom w:val="single" w:sz="4" w:space="0" w:color="auto"/>
              <w:right w:val="single" w:sz="4" w:space="0" w:color="auto"/>
            </w:tcBorders>
            <w:shd w:val="clear" w:color="auto" w:fill="5B9BD5" w:themeFill="accent1"/>
          </w:tcPr>
          <w:p w14:paraId="3FFA815D" w14:textId="77777777" w:rsidR="00E92DD5" w:rsidRPr="00BF0490" w:rsidRDefault="00E92DD5" w:rsidP="001375D4">
            <w:pPr>
              <w:jc w:val="left"/>
              <w:rPr>
                <w:color w:val="auto"/>
                <w:sz w:val="19"/>
                <w:szCs w:val="19"/>
              </w:rPr>
            </w:pPr>
            <w:r>
              <w:rPr>
                <w:color w:val="auto"/>
                <w:sz w:val="19"/>
                <w:szCs w:val="19"/>
              </w:rPr>
              <w:t>36</w:t>
            </w:r>
          </w:p>
        </w:tc>
        <w:tc>
          <w:tcPr>
            <w:tcW w:w="473" w:type="pct"/>
            <w:tcBorders>
              <w:top w:val="single" w:sz="4" w:space="0" w:color="auto"/>
              <w:left w:val="single" w:sz="4" w:space="0" w:color="auto"/>
              <w:bottom w:val="single" w:sz="4" w:space="0" w:color="auto"/>
              <w:right w:val="single" w:sz="4" w:space="0" w:color="auto"/>
            </w:tcBorders>
            <w:shd w:val="clear" w:color="auto" w:fill="5B9BD5" w:themeFill="accent1"/>
          </w:tcPr>
          <w:p w14:paraId="08419F49" w14:textId="77777777" w:rsidR="00E92DD5" w:rsidRPr="00BF0490" w:rsidRDefault="00E92DD5" w:rsidP="001375D4">
            <w:pPr>
              <w:jc w:val="left"/>
              <w:rPr>
                <w:color w:val="auto"/>
                <w:sz w:val="19"/>
                <w:szCs w:val="19"/>
              </w:rPr>
            </w:pPr>
            <w:r>
              <w:rPr>
                <w:color w:val="auto"/>
                <w:sz w:val="19"/>
                <w:szCs w:val="19"/>
              </w:rPr>
              <w:t>69</w:t>
            </w:r>
          </w:p>
        </w:tc>
        <w:tc>
          <w:tcPr>
            <w:tcW w:w="362" w:type="pct"/>
            <w:tcBorders>
              <w:top w:val="single" w:sz="4" w:space="0" w:color="auto"/>
              <w:left w:val="single" w:sz="4" w:space="0" w:color="auto"/>
              <w:bottom w:val="single" w:sz="4" w:space="0" w:color="auto"/>
              <w:right w:val="single" w:sz="4" w:space="0" w:color="auto"/>
            </w:tcBorders>
            <w:shd w:val="clear" w:color="auto" w:fill="5B9BD5" w:themeFill="accent1"/>
          </w:tcPr>
          <w:p w14:paraId="58886678" w14:textId="77777777" w:rsidR="00E92DD5" w:rsidRPr="00BF0490" w:rsidRDefault="00E92DD5" w:rsidP="001375D4">
            <w:pPr>
              <w:jc w:val="left"/>
              <w:rPr>
                <w:color w:val="auto"/>
                <w:sz w:val="19"/>
                <w:szCs w:val="19"/>
              </w:rPr>
            </w:pPr>
            <w:r>
              <w:rPr>
                <w:color w:val="auto"/>
                <w:sz w:val="19"/>
                <w:szCs w:val="19"/>
              </w:rPr>
              <w:t>46</w:t>
            </w:r>
          </w:p>
        </w:tc>
        <w:tc>
          <w:tcPr>
            <w:tcW w:w="424" w:type="pct"/>
            <w:tcBorders>
              <w:top w:val="single" w:sz="4" w:space="0" w:color="auto"/>
              <w:left w:val="single" w:sz="4" w:space="0" w:color="auto"/>
              <w:bottom w:val="single" w:sz="4" w:space="0" w:color="auto"/>
              <w:right w:val="single" w:sz="4" w:space="0" w:color="auto"/>
            </w:tcBorders>
            <w:shd w:val="clear" w:color="auto" w:fill="5B9BD5" w:themeFill="accent1"/>
          </w:tcPr>
          <w:p w14:paraId="03CFF738" w14:textId="77777777" w:rsidR="00E92DD5" w:rsidRPr="00BF0490" w:rsidRDefault="00E92DD5" w:rsidP="001375D4">
            <w:pPr>
              <w:jc w:val="left"/>
              <w:rPr>
                <w:color w:val="auto"/>
                <w:sz w:val="19"/>
                <w:szCs w:val="19"/>
              </w:rPr>
            </w:pPr>
            <w:r>
              <w:rPr>
                <w:color w:val="auto"/>
                <w:sz w:val="19"/>
                <w:szCs w:val="19"/>
              </w:rPr>
              <w:t>40</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5C4BC8DA" w14:textId="77777777" w:rsidR="00E92DD5" w:rsidRDefault="00E92DD5" w:rsidP="001375D4">
            <w:pPr>
              <w:jc w:val="left"/>
              <w:rPr>
                <w:color w:val="auto"/>
                <w:sz w:val="19"/>
                <w:szCs w:val="19"/>
              </w:rPr>
            </w:pPr>
            <w:r>
              <w:rPr>
                <w:color w:val="auto"/>
                <w:sz w:val="19"/>
                <w:szCs w:val="19"/>
              </w:rPr>
              <w:t>92</w:t>
            </w:r>
          </w:p>
        </w:tc>
      </w:tr>
      <w:tr w:rsidR="00E92DD5" w:rsidRPr="00BF0490" w14:paraId="4E55BCC4" w14:textId="77777777" w:rsidTr="00C5668B">
        <w:trPr>
          <w:cantSplit/>
          <w:trHeight w:val="20"/>
        </w:trPr>
        <w:tc>
          <w:tcPr>
            <w:tcW w:w="705" w:type="pct"/>
            <w:vMerge/>
            <w:tcBorders>
              <w:top w:val="single" w:sz="4" w:space="0" w:color="auto"/>
              <w:left w:val="single" w:sz="4" w:space="0" w:color="auto"/>
              <w:right w:val="single" w:sz="4" w:space="0" w:color="auto"/>
            </w:tcBorders>
          </w:tcPr>
          <w:p w14:paraId="621B1A4C"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44CCBEBC" w14:textId="77777777" w:rsidR="00E92DD5" w:rsidRPr="00C575B0" w:rsidRDefault="00E92DD5" w:rsidP="001375D4">
            <w:pPr>
              <w:jc w:val="left"/>
              <w:rPr>
                <w:b/>
                <w:bCs/>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7DBE0610" w14:textId="77777777" w:rsidR="00E92DD5" w:rsidRPr="00BF0490" w:rsidRDefault="00E92DD5" w:rsidP="001375D4">
            <w:pPr>
              <w:jc w:val="left"/>
              <w:rPr>
                <w:color w:val="auto"/>
                <w:sz w:val="19"/>
                <w:szCs w:val="19"/>
              </w:rPr>
            </w:pPr>
            <w:r w:rsidRPr="00BF0490">
              <w:rPr>
                <w:color w:val="auto"/>
                <w:sz w:val="19"/>
                <w:szCs w:val="19"/>
              </w:rPr>
              <w:t>CEW</w:t>
            </w:r>
          </w:p>
        </w:tc>
        <w:tc>
          <w:tcPr>
            <w:tcW w:w="38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FB96DC" w14:textId="77777777" w:rsidR="00E92DD5" w:rsidRPr="00BF0490" w:rsidRDefault="00E92DD5" w:rsidP="001375D4">
            <w:pPr>
              <w:jc w:val="left"/>
              <w:rPr>
                <w:color w:val="auto"/>
                <w:sz w:val="19"/>
                <w:szCs w:val="19"/>
              </w:rPr>
            </w:pPr>
            <w:r>
              <w:rPr>
                <w:color w:val="auto"/>
                <w:sz w:val="19"/>
                <w:szCs w:val="19"/>
              </w:rPr>
              <w:t>0</w:t>
            </w:r>
          </w:p>
        </w:tc>
        <w:tc>
          <w:tcPr>
            <w:tcW w:w="385" w:type="pct"/>
            <w:gridSpan w:val="3"/>
            <w:tcBorders>
              <w:top w:val="single" w:sz="4" w:space="0" w:color="auto"/>
              <w:left w:val="single" w:sz="4" w:space="0" w:color="auto"/>
              <w:bottom w:val="single" w:sz="4" w:space="0" w:color="auto"/>
              <w:right w:val="single" w:sz="4" w:space="0" w:color="auto"/>
            </w:tcBorders>
            <w:shd w:val="clear" w:color="auto" w:fill="5B9BD5" w:themeFill="accent1"/>
          </w:tcPr>
          <w:p w14:paraId="37D76A49" w14:textId="77777777" w:rsidR="00E92DD5" w:rsidRPr="00BF0490" w:rsidRDefault="00E92DD5" w:rsidP="001375D4">
            <w:pPr>
              <w:jc w:val="left"/>
              <w:rPr>
                <w:color w:val="auto"/>
                <w:sz w:val="19"/>
                <w:szCs w:val="19"/>
              </w:rPr>
            </w:pPr>
            <w:r w:rsidRPr="00BF0490">
              <w:rPr>
                <w:color w:val="auto"/>
                <w:sz w:val="19"/>
                <w:szCs w:val="19"/>
              </w:rPr>
              <w:t>5</w:t>
            </w:r>
            <w:r>
              <w:rPr>
                <w:color w:val="auto"/>
                <w:sz w:val="19"/>
                <w:szCs w:val="19"/>
              </w:rPr>
              <w:t>2</w:t>
            </w:r>
          </w:p>
        </w:tc>
        <w:tc>
          <w:tcPr>
            <w:tcW w:w="375" w:type="pct"/>
            <w:tcBorders>
              <w:top w:val="single" w:sz="4" w:space="0" w:color="auto"/>
              <w:left w:val="single" w:sz="4" w:space="0" w:color="auto"/>
              <w:bottom w:val="single" w:sz="4" w:space="0" w:color="auto"/>
              <w:right w:val="single" w:sz="4" w:space="0" w:color="auto"/>
            </w:tcBorders>
            <w:shd w:val="clear" w:color="auto" w:fill="70AD47" w:themeFill="accent6"/>
          </w:tcPr>
          <w:p w14:paraId="5E154FCE" w14:textId="77777777" w:rsidR="00E92DD5" w:rsidRPr="00BF0490" w:rsidRDefault="00E92DD5" w:rsidP="001375D4">
            <w:pPr>
              <w:jc w:val="left"/>
              <w:rPr>
                <w:color w:val="auto"/>
                <w:sz w:val="19"/>
                <w:szCs w:val="19"/>
              </w:rPr>
            </w:pPr>
            <w:r w:rsidRPr="00BF0490">
              <w:rPr>
                <w:color w:val="auto"/>
                <w:sz w:val="19"/>
                <w:szCs w:val="19"/>
              </w:rPr>
              <w:t>2</w:t>
            </w:r>
            <w:r>
              <w:rPr>
                <w:color w:val="auto"/>
                <w:sz w:val="19"/>
                <w:szCs w:val="19"/>
              </w:rPr>
              <w:t>2</w:t>
            </w:r>
          </w:p>
        </w:tc>
        <w:tc>
          <w:tcPr>
            <w:tcW w:w="473" w:type="pct"/>
            <w:tcBorders>
              <w:top w:val="single" w:sz="4" w:space="0" w:color="auto"/>
              <w:left w:val="single" w:sz="4" w:space="0" w:color="auto"/>
              <w:bottom w:val="single" w:sz="4" w:space="0" w:color="auto"/>
              <w:right w:val="single" w:sz="4" w:space="0" w:color="auto"/>
            </w:tcBorders>
            <w:shd w:val="clear" w:color="auto" w:fill="5B9BD5" w:themeFill="accent1"/>
          </w:tcPr>
          <w:p w14:paraId="72A37124" w14:textId="77777777" w:rsidR="00E92DD5" w:rsidRPr="00BF0490" w:rsidRDefault="00E92DD5" w:rsidP="001375D4">
            <w:pPr>
              <w:jc w:val="left"/>
              <w:rPr>
                <w:color w:val="auto"/>
                <w:sz w:val="19"/>
                <w:szCs w:val="19"/>
              </w:rPr>
            </w:pPr>
            <w:r w:rsidRPr="00BF0490">
              <w:rPr>
                <w:color w:val="auto"/>
                <w:sz w:val="19"/>
                <w:szCs w:val="19"/>
              </w:rPr>
              <w:t>5</w:t>
            </w:r>
            <w:r>
              <w:rPr>
                <w:color w:val="auto"/>
                <w:sz w:val="19"/>
                <w:szCs w:val="19"/>
              </w:rPr>
              <w:t>1</w:t>
            </w:r>
          </w:p>
        </w:tc>
        <w:tc>
          <w:tcPr>
            <w:tcW w:w="362" w:type="pct"/>
            <w:tcBorders>
              <w:top w:val="single" w:sz="4" w:space="0" w:color="auto"/>
              <w:left w:val="single" w:sz="4" w:space="0" w:color="auto"/>
              <w:bottom w:val="single" w:sz="4" w:space="0" w:color="auto"/>
              <w:right w:val="single" w:sz="4" w:space="0" w:color="auto"/>
            </w:tcBorders>
            <w:shd w:val="clear" w:color="auto" w:fill="70AD47" w:themeFill="accent6"/>
          </w:tcPr>
          <w:p w14:paraId="03387415" w14:textId="77777777" w:rsidR="00E92DD5" w:rsidRPr="00BF0490" w:rsidRDefault="00E92DD5" w:rsidP="001375D4">
            <w:pPr>
              <w:jc w:val="left"/>
              <w:rPr>
                <w:color w:val="auto"/>
                <w:sz w:val="19"/>
                <w:szCs w:val="19"/>
              </w:rPr>
            </w:pPr>
            <w:r>
              <w:rPr>
                <w:color w:val="auto"/>
                <w:sz w:val="19"/>
                <w:szCs w:val="19"/>
              </w:rPr>
              <w:t>26</w:t>
            </w:r>
          </w:p>
        </w:tc>
        <w:tc>
          <w:tcPr>
            <w:tcW w:w="424" w:type="pct"/>
            <w:tcBorders>
              <w:top w:val="single" w:sz="4" w:space="0" w:color="auto"/>
              <w:left w:val="single" w:sz="4" w:space="0" w:color="auto"/>
              <w:bottom w:val="single" w:sz="4" w:space="0" w:color="auto"/>
              <w:right w:val="single" w:sz="4" w:space="0" w:color="auto"/>
            </w:tcBorders>
            <w:shd w:val="clear" w:color="auto" w:fill="70AD47" w:themeFill="accent6"/>
          </w:tcPr>
          <w:p w14:paraId="27CA02CD" w14:textId="77777777" w:rsidR="00E92DD5" w:rsidRPr="00BF0490" w:rsidRDefault="00E92DD5" w:rsidP="001375D4">
            <w:pPr>
              <w:jc w:val="left"/>
              <w:rPr>
                <w:color w:val="auto"/>
                <w:sz w:val="19"/>
                <w:szCs w:val="19"/>
              </w:rPr>
            </w:pPr>
            <w:r>
              <w:rPr>
                <w:color w:val="auto"/>
                <w:sz w:val="19"/>
                <w:szCs w:val="19"/>
              </w:rPr>
              <w:t>30</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0BDA3CA8" w14:textId="77777777" w:rsidR="00E92DD5" w:rsidRDefault="00E92DD5" w:rsidP="001375D4">
            <w:pPr>
              <w:jc w:val="left"/>
              <w:rPr>
                <w:color w:val="auto"/>
                <w:sz w:val="19"/>
                <w:szCs w:val="19"/>
              </w:rPr>
            </w:pPr>
            <w:r>
              <w:rPr>
                <w:color w:val="auto"/>
                <w:sz w:val="19"/>
                <w:szCs w:val="19"/>
              </w:rPr>
              <w:t xml:space="preserve">79 </w:t>
            </w:r>
          </w:p>
        </w:tc>
      </w:tr>
      <w:tr w:rsidR="00E92DD5" w:rsidRPr="00BF0490" w14:paraId="59A474ED" w14:textId="77777777" w:rsidTr="00C5668B">
        <w:trPr>
          <w:cantSplit/>
          <w:trHeight w:val="20"/>
        </w:trPr>
        <w:tc>
          <w:tcPr>
            <w:tcW w:w="705" w:type="pct"/>
            <w:vMerge/>
            <w:tcBorders>
              <w:top w:val="single" w:sz="4" w:space="0" w:color="auto"/>
              <w:left w:val="single" w:sz="4" w:space="0" w:color="auto"/>
              <w:right w:val="single" w:sz="4" w:space="0" w:color="auto"/>
            </w:tcBorders>
          </w:tcPr>
          <w:p w14:paraId="4A378CD6"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5022BB38" w14:textId="77777777" w:rsidR="00E92DD5" w:rsidRPr="00C575B0" w:rsidRDefault="00E92DD5" w:rsidP="001375D4">
            <w:pPr>
              <w:jc w:val="left"/>
              <w:rPr>
                <w:b/>
                <w:bCs/>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5F752623" w14:textId="4D59695D" w:rsidR="00E92DD5" w:rsidRPr="00BF0490" w:rsidRDefault="00E92DD5" w:rsidP="001375D4">
            <w:pPr>
              <w:jc w:val="left"/>
              <w:rPr>
                <w:color w:val="auto"/>
                <w:sz w:val="19"/>
                <w:szCs w:val="19"/>
              </w:rPr>
            </w:pPr>
            <w:r>
              <w:rPr>
                <w:color w:val="auto"/>
                <w:sz w:val="19"/>
                <w:szCs w:val="19"/>
              </w:rPr>
              <w:t>No eWater</w:t>
            </w: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2C4501E7" w14:textId="77777777" w:rsidR="00E92DD5" w:rsidRPr="00BF0490" w:rsidRDefault="00E92DD5" w:rsidP="001375D4">
            <w:pPr>
              <w:jc w:val="left"/>
              <w:rPr>
                <w:color w:val="auto"/>
                <w:sz w:val="19"/>
                <w:szCs w:val="19"/>
              </w:rPr>
            </w:pPr>
            <w:r>
              <w:rPr>
                <w:color w:val="auto"/>
                <w:sz w:val="19"/>
                <w:szCs w:val="19"/>
              </w:rPr>
              <w:t>0</w:t>
            </w:r>
          </w:p>
        </w:tc>
        <w:tc>
          <w:tcPr>
            <w:tcW w:w="385" w:type="pct"/>
            <w:gridSpan w:val="3"/>
            <w:tcBorders>
              <w:top w:val="single" w:sz="4" w:space="0" w:color="auto"/>
              <w:left w:val="single" w:sz="4" w:space="0" w:color="auto"/>
              <w:bottom w:val="single" w:sz="4" w:space="0" w:color="auto"/>
              <w:right w:val="single" w:sz="4" w:space="0" w:color="auto"/>
            </w:tcBorders>
            <w:shd w:val="clear" w:color="auto" w:fill="auto"/>
          </w:tcPr>
          <w:p w14:paraId="6E66D80D" w14:textId="77777777" w:rsidR="00E92DD5" w:rsidRPr="00BF0490" w:rsidRDefault="00E92DD5" w:rsidP="001375D4">
            <w:pPr>
              <w:jc w:val="left"/>
              <w:rPr>
                <w:color w:val="auto"/>
                <w:sz w:val="19"/>
                <w:szCs w:val="19"/>
              </w:rPr>
            </w:pPr>
            <w:r>
              <w:rPr>
                <w:color w:val="auto"/>
                <w:sz w:val="19"/>
                <w:szCs w:val="19"/>
              </w:rPr>
              <w:t>0</w:t>
            </w:r>
          </w:p>
        </w:tc>
        <w:tc>
          <w:tcPr>
            <w:tcW w:w="375" w:type="pct"/>
            <w:tcBorders>
              <w:top w:val="single" w:sz="4" w:space="0" w:color="auto"/>
              <w:left w:val="single" w:sz="4" w:space="0" w:color="auto"/>
              <w:bottom w:val="single" w:sz="4" w:space="0" w:color="auto"/>
              <w:right w:val="single" w:sz="4" w:space="0" w:color="auto"/>
            </w:tcBorders>
            <w:shd w:val="clear" w:color="auto" w:fill="auto"/>
          </w:tcPr>
          <w:p w14:paraId="7A7B6274" w14:textId="77777777" w:rsidR="00E92DD5" w:rsidRPr="00BF0490" w:rsidRDefault="00E92DD5" w:rsidP="001375D4">
            <w:pPr>
              <w:jc w:val="left"/>
              <w:rPr>
                <w:color w:val="auto"/>
                <w:sz w:val="19"/>
                <w:szCs w:val="19"/>
              </w:rPr>
            </w:pPr>
            <w:r>
              <w:rPr>
                <w:color w:val="auto"/>
                <w:sz w:val="19"/>
                <w:szCs w:val="19"/>
              </w:rPr>
              <w:t>9</w:t>
            </w:r>
          </w:p>
        </w:tc>
        <w:tc>
          <w:tcPr>
            <w:tcW w:w="473" w:type="pct"/>
            <w:tcBorders>
              <w:top w:val="single" w:sz="4" w:space="0" w:color="auto"/>
              <w:left w:val="single" w:sz="4" w:space="0" w:color="auto"/>
              <w:bottom w:val="single" w:sz="4" w:space="0" w:color="auto"/>
              <w:right w:val="single" w:sz="4" w:space="0" w:color="auto"/>
            </w:tcBorders>
            <w:shd w:val="clear" w:color="auto" w:fill="auto"/>
          </w:tcPr>
          <w:p w14:paraId="6A7D0688" w14:textId="77777777" w:rsidR="00E92DD5" w:rsidRPr="00BF0490" w:rsidRDefault="00E92DD5" w:rsidP="001375D4">
            <w:pPr>
              <w:jc w:val="left"/>
              <w:rPr>
                <w:color w:val="auto"/>
                <w:sz w:val="19"/>
                <w:szCs w:val="19"/>
              </w:rPr>
            </w:pPr>
            <w:r>
              <w:rPr>
                <w:color w:val="auto"/>
                <w:sz w:val="19"/>
                <w:szCs w:val="19"/>
              </w:rPr>
              <w:t>12</w:t>
            </w:r>
          </w:p>
        </w:tc>
        <w:tc>
          <w:tcPr>
            <w:tcW w:w="362" w:type="pct"/>
            <w:tcBorders>
              <w:top w:val="single" w:sz="4" w:space="0" w:color="auto"/>
              <w:left w:val="single" w:sz="4" w:space="0" w:color="auto"/>
              <w:bottom w:val="single" w:sz="4" w:space="0" w:color="auto"/>
              <w:right w:val="single" w:sz="4" w:space="0" w:color="auto"/>
            </w:tcBorders>
            <w:shd w:val="clear" w:color="auto" w:fill="auto"/>
          </w:tcPr>
          <w:p w14:paraId="59707C20" w14:textId="77777777" w:rsidR="00E92DD5" w:rsidRDefault="00E92DD5" w:rsidP="001375D4">
            <w:pPr>
              <w:jc w:val="left"/>
              <w:rPr>
                <w:color w:val="auto"/>
                <w:sz w:val="19"/>
                <w:szCs w:val="19"/>
              </w:rPr>
            </w:pPr>
            <w:r>
              <w:rPr>
                <w:color w:val="auto"/>
                <w:sz w:val="19"/>
                <w:szCs w:val="19"/>
              </w:rPr>
              <w:t>1</w:t>
            </w:r>
          </w:p>
        </w:tc>
        <w:tc>
          <w:tcPr>
            <w:tcW w:w="424" w:type="pct"/>
            <w:tcBorders>
              <w:top w:val="single" w:sz="4" w:space="0" w:color="auto"/>
              <w:left w:val="single" w:sz="4" w:space="0" w:color="auto"/>
              <w:bottom w:val="single" w:sz="4" w:space="0" w:color="auto"/>
              <w:right w:val="single" w:sz="4" w:space="0" w:color="auto"/>
            </w:tcBorders>
            <w:shd w:val="clear" w:color="auto" w:fill="auto"/>
          </w:tcPr>
          <w:p w14:paraId="4B56C6F8" w14:textId="77777777" w:rsidR="00E92DD5" w:rsidRDefault="00E92DD5" w:rsidP="001375D4">
            <w:pPr>
              <w:jc w:val="left"/>
              <w:rPr>
                <w:color w:val="auto"/>
                <w:sz w:val="19"/>
                <w:szCs w:val="19"/>
              </w:rPr>
            </w:pPr>
            <w:r>
              <w:rPr>
                <w:color w:val="auto"/>
                <w:sz w:val="19"/>
                <w:szCs w:val="19"/>
              </w:rPr>
              <w:t>0</w:t>
            </w:r>
          </w:p>
        </w:tc>
        <w:tc>
          <w:tcPr>
            <w:tcW w:w="676" w:type="pct"/>
            <w:tcBorders>
              <w:top w:val="single" w:sz="4" w:space="0" w:color="auto"/>
              <w:left w:val="single" w:sz="4" w:space="0" w:color="auto"/>
              <w:bottom w:val="single" w:sz="4" w:space="0" w:color="auto"/>
              <w:right w:val="single" w:sz="4" w:space="0" w:color="auto"/>
            </w:tcBorders>
            <w:shd w:val="clear" w:color="auto" w:fill="auto"/>
          </w:tcPr>
          <w:p w14:paraId="5B1BEEC9" w14:textId="77777777" w:rsidR="00E92DD5" w:rsidRDefault="00E92DD5" w:rsidP="001375D4">
            <w:pPr>
              <w:jc w:val="left"/>
              <w:rPr>
                <w:color w:val="auto"/>
                <w:sz w:val="19"/>
                <w:szCs w:val="19"/>
              </w:rPr>
            </w:pPr>
            <w:r>
              <w:rPr>
                <w:color w:val="auto"/>
                <w:sz w:val="19"/>
                <w:szCs w:val="19"/>
              </w:rPr>
              <w:t>53</w:t>
            </w:r>
          </w:p>
        </w:tc>
      </w:tr>
      <w:tr w:rsidR="00E92DD5" w:rsidRPr="00BF0490" w14:paraId="4904AAC1" w14:textId="77777777" w:rsidTr="00C5668B">
        <w:trPr>
          <w:cantSplit/>
          <w:trHeight w:val="20"/>
        </w:trPr>
        <w:tc>
          <w:tcPr>
            <w:tcW w:w="705" w:type="pct"/>
            <w:vMerge/>
            <w:tcBorders>
              <w:top w:val="single" w:sz="4" w:space="0" w:color="auto"/>
              <w:left w:val="single" w:sz="4" w:space="0" w:color="auto"/>
              <w:right w:val="single" w:sz="4" w:space="0" w:color="auto"/>
            </w:tcBorders>
          </w:tcPr>
          <w:p w14:paraId="1526951F" w14:textId="77777777" w:rsidR="00E92DD5" w:rsidRPr="00BF0490" w:rsidRDefault="00E92DD5" w:rsidP="001375D4">
            <w:pPr>
              <w:jc w:val="left"/>
              <w:rPr>
                <w:sz w:val="19"/>
                <w:szCs w:val="19"/>
              </w:rPr>
            </w:pPr>
          </w:p>
        </w:tc>
        <w:tc>
          <w:tcPr>
            <w:tcW w:w="630" w:type="pct"/>
            <w:vMerge w:val="restart"/>
            <w:tcBorders>
              <w:top w:val="single" w:sz="4" w:space="0" w:color="auto"/>
              <w:left w:val="single" w:sz="4" w:space="0" w:color="auto"/>
              <w:right w:val="single" w:sz="4" w:space="0" w:color="auto"/>
            </w:tcBorders>
          </w:tcPr>
          <w:p w14:paraId="043384C2" w14:textId="77777777" w:rsidR="00E92DD5" w:rsidRPr="00C575B0" w:rsidRDefault="00E92DD5" w:rsidP="001375D4">
            <w:pPr>
              <w:jc w:val="left"/>
              <w:rPr>
                <w:b/>
                <w:bCs/>
                <w:color w:val="auto"/>
                <w:sz w:val="19"/>
                <w:szCs w:val="19"/>
              </w:rPr>
            </w:pPr>
            <w:r w:rsidRPr="00C575B0">
              <w:rPr>
                <w:b/>
                <w:bCs/>
                <w:color w:val="auto"/>
                <w:sz w:val="19"/>
                <w:szCs w:val="19"/>
              </w:rPr>
              <w:t>DS Lock 4</w:t>
            </w:r>
          </w:p>
        </w:tc>
        <w:tc>
          <w:tcPr>
            <w:tcW w:w="586" w:type="pct"/>
            <w:gridSpan w:val="2"/>
            <w:tcBorders>
              <w:top w:val="single" w:sz="4" w:space="0" w:color="auto"/>
              <w:left w:val="single" w:sz="4" w:space="0" w:color="auto"/>
              <w:right w:val="single" w:sz="4" w:space="0" w:color="auto"/>
            </w:tcBorders>
            <w:shd w:val="clear" w:color="auto" w:fill="auto"/>
          </w:tcPr>
          <w:p w14:paraId="4778A652" w14:textId="77777777" w:rsidR="00E92DD5" w:rsidRPr="00BF0490" w:rsidRDefault="00E92DD5" w:rsidP="001375D4">
            <w:pPr>
              <w:jc w:val="left"/>
              <w:rPr>
                <w:color w:val="auto"/>
                <w:sz w:val="19"/>
                <w:szCs w:val="19"/>
              </w:rPr>
            </w:pPr>
            <w:r w:rsidRPr="00BF0490">
              <w:rPr>
                <w:color w:val="auto"/>
                <w:sz w:val="19"/>
                <w:szCs w:val="19"/>
              </w:rPr>
              <w:t>All eWater</w:t>
            </w:r>
          </w:p>
        </w:tc>
        <w:tc>
          <w:tcPr>
            <w:tcW w:w="38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917931" w14:textId="77777777" w:rsidR="00E92DD5" w:rsidRPr="00BF0490" w:rsidRDefault="00E92DD5" w:rsidP="001375D4">
            <w:pPr>
              <w:jc w:val="left"/>
              <w:rPr>
                <w:color w:val="auto"/>
                <w:sz w:val="19"/>
                <w:szCs w:val="19"/>
              </w:rPr>
            </w:pPr>
          </w:p>
        </w:tc>
        <w:tc>
          <w:tcPr>
            <w:tcW w:w="38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E35219" w14:textId="77777777" w:rsidR="00E92DD5" w:rsidRPr="00BF0490" w:rsidRDefault="00E92DD5" w:rsidP="001375D4">
            <w:pPr>
              <w:jc w:val="left"/>
              <w:rPr>
                <w:color w:val="auto"/>
                <w:sz w:val="19"/>
                <w:szCs w:val="19"/>
              </w:rPr>
            </w:pP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D16850" w14:textId="77777777" w:rsidR="00E92DD5" w:rsidRPr="00BF0490" w:rsidRDefault="00E92DD5" w:rsidP="001375D4">
            <w:pPr>
              <w:jc w:val="left"/>
              <w:rPr>
                <w:color w:val="auto"/>
                <w:sz w:val="19"/>
                <w:szCs w:val="19"/>
              </w:rPr>
            </w:pPr>
          </w:p>
        </w:tc>
        <w:tc>
          <w:tcPr>
            <w:tcW w:w="47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9BC018" w14:textId="77777777" w:rsidR="00E92DD5" w:rsidRPr="00BF0490" w:rsidRDefault="00E92DD5" w:rsidP="001375D4">
            <w:pPr>
              <w:jc w:val="left"/>
              <w:rPr>
                <w:color w:val="auto"/>
                <w:sz w:val="19"/>
                <w:szCs w:val="19"/>
              </w:rPr>
            </w:pPr>
          </w:p>
        </w:tc>
        <w:tc>
          <w:tcPr>
            <w:tcW w:w="36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253C4C" w14:textId="77777777" w:rsidR="00E92DD5" w:rsidRDefault="00E92DD5" w:rsidP="001375D4">
            <w:pPr>
              <w:jc w:val="left"/>
              <w:rPr>
                <w:color w:val="auto"/>
                <w:sz w:val="19"/>
                <w:szCs w:val="19"/>
              </w:rPr>
            </w:pPr>
          </w:p>
        </w:tc>
        <w:tc>
          <w:tcPr>
            <w:tcW w:w="424" w:type="pct"/>
            <w:tcBorders>
              <w:top w:val="single" w:sz="4" w:space="0" w:color="auto"/>
              <w:left w:val="single" w:sz="4" w:space="0" w:color="auto"/>
              <w:bottom w:val="single" w:sz="4" w:space="0" w:color="auto"/>
              <w:right w:val="single" w:sz="4" w:space="0" w:color="auto"/>
            </w:tcBorders>
            <w:shd w:val="clear" w:color="auto" w:fill="5B9BD5" w:themeFill="accent1"/>
          </w:tcPr>
          <w:p w14:paraId="558718CF" w14:textId="77777777" w:rsidR="00E92DD5" w:rsidRDefault="00E92DD5" w:rsidP="001375D4">
            <w:pPr>
              <w:jc w:val="left"/>
              <w:rPr>
                <w:color w:val="auto"/>
                <w:sz w:val="19"/>
                <w:szCs w:val="19"/>
              </w:rPr>
            </w:pPr>
            <w:r>
              <w:rPr>
                <w:color w:val="auto"/>
                <w:sz w:val="19"/>
                <w:szCs w:val="19"/>
              </w:rPr>
              <w:t>57</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3ACF97F0" w14:textId="77777777" w:rsidR="00E92DD5" w:rsidRDefault="00E92DD5" w:rsidP="001375D4">
            <w:pPr>
              <w:jc w:val="left"/>
              <w:rPr>
                <w:color w:val="auto"/>
                <w:sz w:val="19"/>
                <w:szCs w:val="19"/>
              </w:rPr>
            </w:pPr>
            <w:r>
              <w:rPr>
                <w:color w:val="auto"/>
                <w:sz w:val="19"/>
                <w:szCs w:val="19"/>
              </w:rPr>
              <w:t>100</w:t>
            </w:r>
          </w:p>
        </w:tc>
      </w:tr>
      <w:tr w:rsidR="00E92DD5" w:rsidRPr="00BF0490" w14:paraId="33DFF2C0" w14:textId="77777777" w:rsidTr="00C5668B">
        <w:trPr>
          <w:cantSplit/>
          <w:trHeight w:val="20"/>
        </w:trPr>
        <w:tc>
          <w:tcPr>
            <w:tcW w:w="705" w:type="pct"/>
            <w:vMerge/>
            <w:tcBorders>
              <w:top w:val="single" w:sz="4" w:space="0" w:color="auto"/>
              <w:left w:val="single" w:sz="4" w:space="0" w:color="auto"/>
              <w:right w:val="single" w:sz="4" w:space="0" w:color="auto"/>
            </w:tcBorders>
          </w:tcPr>
          <w:p w14:paraId="53177C6A"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470CC13B" w14:textId="77777777" w:rsidR="00E92DD5" w:rsidRPr="00C575B0" w:rsidRDefault="00E92DD5" w:rsidP="001375D4">
            <w:pPr>
              <w:jc w:val="left"/>
              <w:rPr>
                <w:b/>
                <w:bCs/>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4F5DBC4A" w14:textId="77777777" w:rsidR="00E92DD5" w:rsidRPr="00BF0490" w:rsidRDefault="00E92DD5" w:rsidP="001375D4">
            <w:pPr>
              <w:jc w:val="left"/>
              <w:rPr>
                <w:color w:val="auto"/>
                <w:sz w:val="19"/>
                <w:szCs w:val="19"/>
              </w:rPr>
            </w:pPr>
            <w:r w:rsidRPr="00BF0490">
              <w:rPr>
                <w:color w:val="auto"/>
                <w:sz w:val="19"/>
                <w:szCs w:val="19"/>
              </w:rPr>
              <w:t>CEW</w:t>
            </w:r>
          </w:p>
        </w:tc>
        <w:tc>
          <w:tcPr>
            <w:tcW w:w="38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0D4423" w14:textId="77777777" w:rsidR="00E92DD5" w:rsidRPr="00BF0490" w:rsidRDefault="00E92DD5" w:rsidP="001375D4">
            <w:pPr>
              <w:jc w:val="left"/>
              <w:rPr>
                <w:color w:val="auto"/>
                <w:sz w:val="19"/>
                <w:szCs w:val="19"/>
              </w:rPr>
            </w:pPr>
          </w:p>
        </w:tc>
        <w:tc>
          <w:tcPr>
            <w:tcW w:w="38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FBEA13" w14:textId="77777777" w:rsidR="00E92DD5" w:rsidRPr="00BF0490" w:rsidRDefault="00E92DD5" w:rsidP="001375D4">
            <w:pPr>
              <w:jc w:val="left"/>
              <w:rPr>
                <w:color w:val="auto"/>
                <w:sz w:val="19"/>
                <w:szCs w:val="19"/>
              </w:rPr>
            </w:pPr>
          </w:p>
        </w:tc>
        <w:tc>
          <w:tcPr>
            <w:tcW w:w="37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04FC24D" w14:textId="77777777" w:rsidR="00E92DD5" w:rsidRPr="00BF0490" w:rsidRDefault="00E92DD5" w:rsidP="001375D4">
            <w:pPr>
              <w:jc w:val="left"/>
              <w:rPr>
                <w:color w:val="auto"/>
                <w:sz w:val="19"/>
                <w:szCs w:val="19"/>
              </w:rPr>
            </w:pPr>
          </w:p>
        </w:tc>
        <w:tc>
          <w:tcPr>
            <w:tcW w:w="47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DDF749" w14:textId="77777777" w:rsidR="00E92DD5" w:rsidRPr="00BF0490" w:rsidRDefault="00E92DD5" w:rsidP="001375D4">
            <w:pPr>
              <w:jc w:val="left"/>
              <w:rPr>
                <w:color w:val="auto"/>
                <w:sz w:val="19"/>
                <w:szCs w:val="19"/>
              </w:rPr>
            </w:pPr>
          </w:p>
        </w:tc>
        <w:tc>
          <w:tcPr>
            <w:tcW w:w="36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649A43" w14:textId="77777777" w:rsidR="00E92DD5" w:rsidRDefault="00E92DD5" w:rsidP="001375D4">
            <w:pPr>
              <w:jc w:val="left"/>
              <w:rPr>
                <w:color w:val="auto"/>
                <w:sz w:val="19"/>
                <w:szCs w:val="19"/>
              </w:rPr>
            </w:pPr>
          </w:p>
        </w:tc>
        <w:tc>
          <w:tcPr>
            <w:tcW w:w="424" w:type="pct"/>
            <w:tcBorders>
              <w:top w:val="single" w:sz="4" w:space="0" w:color="auto"/>
              <w:left w:val="single" w:sz="4" w:space="0" w:color="auto"/>
              <w:bottom w:val="single" w:sz="4" w:space="0" w:color="auto"/>
              <w:right w:val="single" w:sz="4" w:space="0" w:color="auto"/>
            </w:tcBorders>
            <w:shd w:val="clear" w:color="auto" w:fill="5B9BD5" w:themeFill="accent1"/>
          </w:tcPr>
          <w:p w14:paraId="327EE82A" w14:textId="77777777" w:rsidR="00E92DD5" w:rsidRDefault="00E92DD5" w:rsidP="001375D4">
            <w:pPr>
              <w:jc w:val="left"/>
              <w:rPr>
                <w:color w:val="auto"/>
                <w:sz w:val="19"/>
                <w:szCs w:val="19"/>
              </w:rPr>
            </w:pPr>
            <w:r>
              <w:rPr>
                <w:color w:val="auto"/>
                <w:sz w:val="19"/>
                <w:szCs w:val="19"/>
              </w:rPr>
              <w:t>48</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499D5558" w14:textId="77777777" w:rsidR="00E92DD5" w:rsidRDefault="00E92DD5" w:rsidP="001375D4">
            <w:pPr>
              <w:jc w:val="left"/>
              <w:rPr>
                <w:color w:val="auto"/>
                <w:sz w:val="19"/>
                <w:szCs w:val="19"/>
              </w:rPr>
            </w:pPr>
            <w:r>
              <w:rPr>
                <w:color w:val="auto"/>
                <w:sz w:val="19"/>
                <w:szCs w:val="19"/>
              </w:rPr>
              <w:t>79</w:t>
            </w:r>
          </w:p>
        </w:tc>
      </w:tr>
      <w:tr w:rsidR="00E92DD5" w:rsidRPr="00BF0490" w14:paraId="56E53344" w14:textId="77777777" w:rsidTr="00C5668B">
        <w:trPr>
          <w:cantSplit/>
          <w:trHeight w:val="20"/>
        </w:trPr>
        <w:tc>
          <w:tcPr>
            <w:tcW w:w="705" w:type="pct"/>
            <w:vMerge/>
            <w:tcBorders>
              <w:top w:val="single" w:sz="4" w:space="0" w:color="auto"/>
              <w:left w:val="single" w:sz="4" w:space="0" w:color="auto"/>
              <w:right w:val="single" w:sz="4" w:space="0" w:color="auto"/>
            </w:tcBorders>
          </w:tcPr>
          <w:p w14:paraId="31708B2A"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459794D0" w14:textId="77777777" w:rsidR="00E92DD5" w:rsidRPr="00C575B0" w:rsidRDefault="00E92DD5" w:rsidP="001375D4">
            <w:pPr>
              <w:jc w:val="left"/>
              <w:rPr>
                <w:b/>
                <w:bCs/>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6334BF22" w14:textId="7A2BF211" w:rsidR="00E92DD5" w:rsidRPr="00BF0490" w:rsidRDefault="00E92DD5" w:rsidP="001375D4">
            <w:pPr>
              <w:jc w:val="left"/>
              <w:rPr>
                <w:color w:val="auto"/>
                <w:sz w:val="19"/>
                <w:szCs w:val="19"/>
              </w:rPr>
            </w:pPr>
            <w:r>
              <w:rPr>
                <w:color w:val="auto"/>
                <w:sz w:val="19"/>
                <w:szCs w:val="19"/>
              </w:rPr>
              <w:t>No eWater</w:t>
            </w: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799577CE" w14:textId="77777777" w:rsidR="00E92DD5" w:rsidRPr="00BF0490" w:rsidRDefault="00E92DD5" w:rsidP="001375D4">
            <w:pPr>
              <w:jc w:val="left"/>
              <w:rPr>
                <w:color w:val="auto"/>
                <w:sz w:val="19"/>
                <w:szCs w:val="19"/>
              </w:rPr>
            </w:pPr>
          </w:p>
        </w:tc>
        <w:tc>
          <w:tcPr>
            <w:tcW w:w="385" w:type="pct"/>
            <w:gridSpan w:val="3"/>
            <w:tcBorders>
              <w:top w:val="single" w:sz="4" w:space="0" w:color="auto"/>
              <w:left w:val="single" w:sz="4" w:space="0" w:color="auto"/>
              <w:bottom w:val="single" w:sz="4" w:space="0" w:color="auto"/>
              <w:right w:val="single" w:sz="4" w:space="0" w:color="auto"/>
            </w:tcBorders>
            <w:shd w:val="clear" w:color="auto" w:fill="auto"/>
          </w:tcPr>
          <w:p w14:paraId="76220EB9" w14:textId="77777777" w:rsidR="00E92DD5" w:rsidRPr="00BF0490" w:rsidRDefault="00E92DD5" w:rsidP="001375D4">
            <w:pPr>
              <w:jc w:val="left"/>
              <w:rPr>
                <w:color w:val="auto"/>
                <w:sz w:val="19"/>
                <w:szCs w:val="19"/>
              </w:rPr>
            </w:pPr>
          </w:p>
        </w:tc>
        <w:tc>
          <w:tcPr>
            <w:tcW w:w="375" w:type="pct"/>
            <w:tcBorders>
              <w:top w:val="single" w:sz="4" w:space="0" w:color="auto"/>
              <w:left w:val="single" w:sz="4" w:space="0" w:color="auto"/>
              <w:bottom w:val="single" w:sz="4" w:space="0" w:color="auto"/>
              <w:right w:val="single" w:sz="4" w:space="0" w:color="auto"/>
            </w:tcBorders>
            <w:shd w:val="clear" w:color="auto" w:fill="auto"/>
          </w:tcPr>
          <w:p w14:paraId="139BB6D6" w14:textId="77777777" w:rsidR="00E92DD5" w:rsidRPr="00BF0490" w:rsidRDefault="00E92DD5" w:rsidP="001375D4">
            <w:pPr>
              <w:jc w:val="left"/>
              <w:rPr>
                <w:color w:val="auto"/>
                <w:sz w:val="19"/>
                <w:szCs w:val="19"/>
              </w:rPr>
            </w:pPr>
          </w:p>
        </w:tc>
        <w:tc>
          <w:tcPr>
            <w:tcW w:w="473" w:type="pct"/>
            <w:tcBorders>
              <w:top w:val="single" w:sz="4" w:space="0" w:color="auto"/>
              <w:left w:val="single" w:sz="4" w:space="0" w:color="auto"/>
              <w:bottom w:val="single" w:sz="4" w:space="0" w:color="auto"/>
              <w:right w:val="single" w:sz="4" w:space="0" w:color="auto"/>
            </w:tcBorders>
            <w:shd w:val="clear" w:color="auto" w:fill="auto"/>
          </w:tcPr>
          <w:p w14:paraId="57C1EB4F" w14:textId="77777777" w:rsidR="00E92DD5" w:rsidRPr="00BF0490" w:rsidRDefault="00E92DD5" w:rsidP="001375D4">
            <w:pPr>
              <w:jc w:val="left"/>
              <w:rPr>
                <w:color w:val="auto"/>
                <w:sz w:val="19"/>
                <w:szCs w:val="19"/>
              </w:rPr>
            </w:pPr>
          </w:p>
        </w:tc>
        <w:tc>
          <w:tcPr>
            <w:tcW w:w="362" w:type="pct"/>
            <w:tcBorders>
              <w:top w:val="single" w:sz="4" w:space="0" w:color="auto"/>
              <w:left w:val="single" w:sz="4" w:space="0" w:color="auto"/>
              <w:bottom w:val="single" w:sz="4" w:space="0" w:color="auto"/>
              <w:right w:val="single" w:sz="4" w:space="0" w:color="auto"/>
            </w:tcBorders>
            <w:shd w:val="clear" w:color="auto" w:fill="auto"/>
          </w:tcPr>
          <w:p w14:paraId="456D1F0C" w14:textId="77777777" w:rsidR="00E92DD5" w:rsidRDefault="00E92DD5" w:rsidP="001375D4">
            <w:pPr>
              <w:jc w:val="left"/>
              <w:rPr>
                <w:color w:val="auto"/>
                <w:sz w:val="19"/>
                <w:szCs w:val="19"/>
              </w:rPr>
            </w:pPr>
          </w:p>
        </w:tc>
        <w:tc>
          <w:tcPr>
            <w:tcW w:w="424" w:type="pct"/>
            <w:tcBorders>
              <w:top w:val="single" w:sz="4" w:space="0" w:color="auto"/>
              <w:left w:val="single" w:sz="4" w:space="0" w:color="auto"/>
              <w:bottom w:val="single" w:sz="4" w:space="0" w:color="auto"/>
              <w:right w:val="single" w:sz="4" w:space="0" w:color="auto"/>
            </w:tcBorders>
            <w:shd w:val="clear" w:color="auto" w:fill="auto"/>
          </w:tcPr>
          <w:p w14:paraId="064CF80A" w14:textId="77777777" w:rsidR="00E92DD5" w:rsidRDefault="00E92DD5" w:rsidP="001375D4">
            <w:pPr>
              <w:jc w:val="left"/>
              <w:rPr>
                <w:color w:val="auto"/>
                <w:sz w:val="19"/>
                <w:szCs w:val="19"/>
              </w:rPr>
            </w:pPr>
            <w:r>
              <w:rPr>
                <w:color w:val="auto"/>
                <w:sz w:val="19"/>
                <w:szCs w:val="19"/>
              </w:rPr>
              <w:t>0</w:t>
            </w:r>
          </w:p>
        </w:tc>
        <w:tc>
          <w:tcPr>
            <w:tcW w:w="676" w:type="pct"/>
            <w:tcBorders>
              <w:top w:val="single" w:sz="4" w:space="0" w:color="auto"/>
              <w:left w:val="single" w:sz="4" w:space="0" w:color="auto"/>
              <w:bottom w:val="single" w:sz="4" w:space="0" w:color="auto"/>
              <w:right w:val="single" w:sz="4" w:space="0" w:color="auto"/>
            </w:tcBorders>
            <w:shd w:val="clear" w:color="auto" w:fill="auto"/>
          </w:tcPr>
          <w:p w14:paraId="51D44198" w14:textId="77777777" w:rsidR="00E92DD5" w:rsidRDefault="00E92DD5" w:rsidP="001375D4">
            <w:pPr>
              <w:jc w:val="left"/>
              <w:rPr>
                <w:color w:val="auto"/>
                <w:sz w:val="19"/>
                <w:szCs w:val="19"/>
              </w:rPr>
            </w:pPr>
            <w:r>
              <w:rPr>
                <w:color w:val="auto"/>
                <w:sz w:val="19"/>
                <w:szCs w:val="19"/>
              </w:rPr>
              <w:t>10</w:t>
            </w:r>
          </w:p>
        </w:tc>
      </w:tr>
      <w:tr w:rsidR="00E92DD5" w:rsidRPr="00BF0490" w14:paraId="28C41234" w14:textId="77777777" w:rsidTr="00C5668B">
        <w:trPr>
          <w:cantSplit/>
          <w:trHeight w:val="20"/>
        </w:trPr>
        <w:tc>
          <w:tcPr>
            <w:tcW w:w="705" w:type="pct"/>
            <w:vMerge/>
            <w:tcBorders>
              <w:top w:val="single" w:sz="4" w:space="0" w:color="auto"/>
              <w:left w:val="single" w:sz="4" w:space="0" w:color="auto"/>
              <w:right w:val="single" w:sz="4" w:space="0" w:color="auto"/>
            </w:tcBorders>
          </w:tcPr>
          <w:p w14:paraId="31ECA9BF" w14:textId="77777777" w:rsidR="00E92DD5" w:rsidRPr="00BF0490" w:rsidRDefault="00E92DD5" w:rsidP="001375D4">
            <w:pPr>
              <w:jc w:val="left"/>
              <w:rPr>
                <w:sz w:val="19"/>
                <w:szCs w:val="19"/>
              </w:rPr>
            </w:pPr>
          </w:p>
        </w:tc>
        <w:tc>
          <w:tcPr>
            <w:tcW w:w="630" w:type="pct"/>
            <w:vMerge w:val="restart"/>
            <w:tcBorders>
              <w:top w:val="single" w:sz="4" w:space="0" w:color="auto"/>
              <w:left w:val="single" w:sz="4" w:space="0" w:color="auto"/>
              <w:right w:val="single" w:sz="4" w:space="0" w:color="auto"/>
            </w:tcBorders>
          </w:tcPr>
          <w:p w14:paraId="5F38C965" w14:textId="77777777" w:rsidR="00E92DD5" w:rsidRPr="00C575B0" w:rsidRDefault="00E92DD5" w:rsidP="001375D4">
            <w:pPr>
              <w:jc w:val="left"/>
              <w:rPr>
                <w:b/>
                <w:bCs/>
                <w:color w:val="auto"/>
                <w:sz w:val="19"/>
                <w:szCs w:val="19"/>
              </w:rPr>
            </w:pPr>
            <w:r w:rsidRPr="00C575B0">
              <w:rPr>
                <w:b/>
                <w:bCs/>
                <w:color w:val="auto"/>
                <w:sz w:val="19"/>
                <w:szCs w:val="19"/>
              </w:rPr>
              <w:t>DS Lock 1</w:t>
            </w:r>
          </w:p>
        </w:tc>
        <w:tc>
          <w:tcPr>
            <w:tcW w:w="586" w:type="pct"/>
            <w:gridSpan w:val="2"/>
            <w:tcBorders>
              <w:top w:val="single" w:sz="4" w:space="0" w:color="auto"/>
              <w:left w:val="single" w:sz="4" w:space="0" w:color="auto"/>
              <w:right w:val="single" w:sz="4" w:space="0" w:color="auto"/>
            </w:tcBorders>
            <w:shd w:val="clear" w:color="auto" w:fill="auto"/>
          </w:tcPr>
          <w:p w14:paraId="20930CB2" w14:textId="77777777" w:rsidR="00E92DD5" w:rsidRPr="00BF0490" w:rsidRDefault="00E92DD5" w:rsidP="001375D4">
            <w:pPr>
              <w:jc w:val="left"/>
              <w:rPr>
                <w:color w:val="auto"/>
                <w:sz w:val="19"/>
                <w:szCs w:val="19"/>
              </w:rPr>
            </w:pPr>
            <w:r w:rsidRPr="00BF0490">
              <w:rPr>
                <w:color w:val="auto"/>
                <w:sz w:val="19"/>
                <w:szCs w:val="19"/>
              </w:rPr>
              <w:t>All eWater</w:t>
            </w:r>
          </w:p>
        </w:tc>
        <w:tc>
          <w:tcPr>
            <w:tcW w:w="384" w:type="pct"/>
            <w:tcBorders>
              <w:top w:val="single" w:sz="4" w:space="0" w:color="auto"/>
              <w:left w:val="single" w:sz="4" w:space="0" w:color="auto"/>
              <w:bottom w:val="single" w:sz="4" w:space="0" w:color="auto"/>
              <w:right w:val="single" w:sz="4" w:space="0" w:color="auto"/>
            </w:tcBorders>
            <w:shd w:val="clear" w:color="auto" w:fill="70AD47" w:themeFill="accent6"/>
          </w:tcPr>
          <w:p w14:paraId="445ADCCF" w14:textId="77777777" w:rsidR="00E92DD5" w:rsidRPr="00BF0490" w:rsidRDefault="00E92DD5" w:rsidP="001375D4">
            <w:pPr>
              <w:jc w:val="left"/>
              <w:rPr>
                <w:color w:val="auto"/>
                <w:sz w:val="19"/>
                <w:szCs w:val="19"/>
              </w:rPr>
            </w:pPr>
            <w:r>
              <w:rPr>
                <w:color w:val="auto"/>
                <w:sz w:val="19"/>
                <w:szCs w:val="19"/>
              </w:rPr>
              <w:t xml:space="preserve">22 </w:t>
            </w:r>
          </w:p>
        </w:tc>
        <w:tc>
          <w:tcPr>
            <w:tcW w:w="385" w:type="pct"/>
            <w:gridSpan w:val="3"/>
            <w:tcBorders>
              <w:top w:val="single" w:sz="4" w:space="0" w:color="auto"/>
              <w:left w:val="single" w:sz="4" w:space="0" w:color="auto"/>
              <w:bottom w:val="single" w:sz="4" w:space="0" w:color="auto"/>
              <w:right w:val="single" w:sz="4" w:space="0" w:color="auto"/>
            </w:tcBorders>
            <w:shd w:val="clear" w:color="auto" w:fill="70AD47" w:themeFill="accent6"/>
          </w:tcPr>
          <w:p w14:paraId="6CD5CA5D" w14:textId="77777777" w:rsidR="00E92DD5" w:rsidRPr="00BF0490" w:rsidRDefault="00E92DD5" w:rsidP="001375D4">
            <w:pPr>
              <w:jc w:val="left"/>
              <w:rPr>
                <w:color w:val="auto"/>
                <w:sz w:val="19"/>
                <w:szCs w:val="19"/>
              </w:rPr>
            </w:pPr>
            <w:r>
              <w:rPr>
                <w:color w:val="auto"/>
                <w:sz w:val="19"/>
                <w:szCs w:val="19"/>
              </w:rPr>
              <w:t>17</w:t>
            </w:r>
          </w:p>
        </w:tc>
        <w:tc>
          <w:tcPr>
            <w:tcW w:w="37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0C13178" w14:textId="77777777" w:rsidR="00E92DD5" w:rsidRPr="00BF0490" w:rsidRDefault="00E92DD5" w:rsidP="001375D4">
            <w:pPr>
              <w:jc w:val="left"/>
              <w:rPr>
                <w:color w:val="auto"/>
                <w:sz w:val="19"/>
                <w:szCs w:val="19"/>
              </w:rPr>
            </w:pPr>
            <w:r>
              <w:rPr>
                <w:color w:val="auto"/>
                <w:sz w:val="19"/>
                <w:szCs w:val="19"/>
              </w:rPr>
              <w:t>14</w:t>
            </w:r>
          </w:p>
        </w:tc>
        <w:tc>
          <w:tcPr>
            <w:tcW w:w="473" w:type="pct"/>
            <w:tcBorders>
              <w:top w:val="single" w:sz="4" w:space="0" w:color="auto"/>
              <w:left w:val="single" w:sz="4" w:space="0" w:color="auto"/>
              <w:bottom w:val="single" w:sz="4" w:space="0" w:color="auto"/>
              <w:right w:val="single" w:sz="4" w:space="0" w:color="auto"/>
            </w:tcBorders>
            <w:shd w:val="clear" w:color="auto" w:fill="5B9BD5" w:themeFill="accent1"/>
          </w:tcPr>
          <w:p w14:paraId="6E93A0C8" w14:textId="77777777" w:rsidR="00E92DD5" w:rsidRPr="00BF0490" w:rsidRDefault="00E92DD5" w:rsidP="001375D4">
            <w:pPr>
              <w:jc w:val="left"/>
              <w:rPr>
                <w:color w:val="auto"/>
                <w:sz w:val="19"/>
                <w:szCs w:val="19"/>
              </w:rPr>
            </w:pPr>
            <w:r>
              <w:rPr>
                <w:color w:val="auto"/>
                <w:sz w:val="19"/>
                <w:szCs w:val="19"/>
              </w:rPr>
              <w:t>50</w:t>
            </w:r>
          </w:p>
        </w:tc>
        <w:tc>
          <w:tcPr>
            <w:tcW w:w="36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08C10D8" w14:textId="77777777" w:rsidR="00E92DD5" w:rsidRDefault="00E92DD5" w:rsidP="001375D4">
            <w:pPr>
              <w:jc w:val="left"/>
              <w:rPr>
                <w:color w:val="auto"/>
                <w:sz w:val="19"/>
                <w:szCs w:val="19"/>
              </w:rPr>
            </w:pPr>
            <w:r>
              <w:rPr>
                <w:color w:val="auto"/>
                <w:sz w:val="19"/>
                <w:szCs w:val="19"/>
              </w:rPr>
              <w:t>1</w:t>
            </w:r>
          </w:p>
        </w:tc>
        <w:tc>
          <w:tcPr>
            <w:tcW w:w="424" w:type="pct"/>
            <w:tcBorders>
              <w:top w:val="single" w:sz="4" w:space="0" w:color="auto"/>
              <w:left w:val="single" w:sz="4" w:space="0" w:color="auto"/>
              <w:bottom w:val="single" w:sz="4" w:space="0" w:color="auto"/>
              <w:right w:val="single" w:sz="4" w:space="0" w:color="auto"/>
            </w:tcBorders>
            <w:shd w:val="clear" w:color="auto" w:fill="5B9BD5" w:themeFill="accent1"/>
          </w:tcPr>
          <w:p w14:paraId="086EEF6F" w14:textId="77777777" w:rsidR="00E92DD5" w:rsidRDefault="00E92DD5" w:rsidP="001375D4">
            <w:pPr>
              <w:jc w:val="left"/>
              <w:rPr>
                <w:color w:val="auto"/>
                <w:sz w:val="19"/>
                <w:szCs w:val="19"/>
              </w:rPr>
            </w:pPr>
            <w:r>
              <w:rPr>
                <w:color w:val="auto"/>
                <w:sz w:val="19"/>
                <w:szCs w:val="19"/>
              </w:rPr>
              <w:t>35</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22E43B4F" w14:textId="77777777" w:rsidR="00E92DD5" w:rsidRDefault="00E92DD5" w:rsidP="001375D4">
            <w:pPr>
              <w:jc w:val="left"/>
              <w:rPr>
                <w:color w:val="auto"/>
                <w:sz w:val="19"/>
                <w:szCs w:val="19"/>
              </w:rPr>
            </w:pPr>
            <w:r>
              <w:rPr>
                <w:color w:val="auto"/>
                <w:sz w:val="19"/>
                <w:szCs w:val="19"/>
              </w:rPr>
              <w:t>55</w:t>
            </w:r>
          </w:p>
        </w:tc>
      </w:tr>
      <w:tr w:rsidR="00E92DD5" w:rsidRPr="00BF0490" w14:paraId="0816F5D3" w14:textId="77777777" w:rsidTr="00C5668B">
        <w:trPr>
          <w:cantSplit/>
          <w:trHeight w:val="20"/>
        </w:trPr>
        <w:tc>
          <w:tcPr>
            <w:tcW w:w="705" w:type="pct"/>
            <w:vMerge/>
            <w:tcBorders>
              <w:top w:val="single" w:sz="4" w:space="0" w:color="auto"/>
              <w:left w:val="single" w:sz="4" w:space="0" w:color="auto"/>
              <w:right w:val="single" w:sz="4" w:space="0" w:color="auto"/>
            </w:tcBorders>
          </w:tcPr>
          <w:p w14:paraId="04FB19D4"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301A91B0" w14:textId="77777777" w:rsidR="00E92DD5" w:rsidRPr="00BF0490" w:rsidRDefault="00E92DD5" w:rsidP="001375D4">
            <w:pPr>
              <w:jc w:val="left"/>
              <w:rPr>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0653E535" w14:textId="77777777" w:rsidR="00E92DD5" w:rsidRPr="00BF0490" w:rsidRDefault="00E92DD5" w:rsidP="001375D4">
            <w:pPr>
              <w:jc w:val="left"/>
              <w:rPr>
                <w:color w:val="auto"/>
                <w:sz w:val="19"/>
                <w:szCs w:val="19"/>
              </w:rPr>
            </w:pPr>
            <w:r w:rsidRPr="00BF0490">
              <w:rPr>
                <w:color w:val="auto"/>
                <w:sz w:val="19"/>
                <w:szCs w:val="19"/>
              </w:rPr>
              <w:t>CEW</w:t>
            </w:r>
          </w:p>
        </w:tc>
        <w:tc>
          <w:tcPr>
            <w:tcW w:w="384" w:type="pct"/>
            <w:tcBorders>
              <w:top w:val="single" w:sz="4" w:space="0" w:color="auto"/>
              <w:left w:val="single" w:sz="4" w:space="0" w:color="auto"/>
              <w:bottom w:val="single" w:sz="4" w:space="0" w:color="auto"/>
              <w:right w:val="single" w:sz="4" w:space="0" w:color="auto"/>
            </w:tcBorders>
            <w:shd w:val="clear" w:color="auto" w:fill="70AD47" w:themeFill="accent6"/>
          </w:tcPr>
          <w:p w14:paraId="5B8CD4AE" w14:textId="77777777" w:rsidR="00E92DD5" w:rsidRPr="00BF0490" w:rsidRDefault="00E92DD5" w:rsidP="001375D4">
            <w:pPr>
              <w:jc w:val="left"/>
              <w:rPr>
                <w:color w:val="auto"/>
                <w:sz w:val="19"/>
                <w:szCs w:val="19"/>
              </w:rPr>
            </w:pPr>
            <w:r>
              <w:rPr>
                <w:color w:val="auto"/>
                <w:sz w:val="19"/>
                <w:szCs w:val="19"/>
              </w:rPr>
              <w:t>22</w:t>
            </w:r>
          </w:p>
        </w:tc>
        <w:tc>
          <w:tcPr>
            <w:tcW w:w="385" w:type="pct"/>
            <w:gridSpan w:val="3"/>
            <w:tcBorders>
              <w:top w:val="single" w:sz="4" w:space="0" w:color="auto"/>
              <w:left w:val="single" w:sz="4" w:space="0" w:color="auto"/>
              <w:bottom w:val="single" w:sz="4" w:space="0" w:color="auto"/>
              <w:right w:val="single" w:sz="4" w:space="0" w:color="auto"/>
            </w:tcBorders>
            <w:shd w:val="clear" w:color="auto" w:fill="70AD47" w:themeFill="accent6"/>
          </w:tcPr>
          <w:p w14:paraId="44C7FA6B" w14:textId="77777777" w:rsidR="00E92DD5" w:rsidRPr="00BF0490" w:rsidRDefault="00E92DD5" w:rsidP="001375D4">
            <w:pPr>
              <w:jc w:val="left"/>
              <w:rPr>
                <w:color w:val="auto"/>
                <w:sz w:val="19"/>
                <w:szCs w:val="19"/>
              </w:rPr>
            </w:pPr>
            <w:r>
              <w:rPr>
                <w:color w:val="auto"/>
                <w:sz w:val="19"/>
                <w:szCs w:val="19"/>
              </w:rPr>
              <w:t>17</w:t>
            </w:r>
          </w:p>
        </w:tc>
        <w:tc>
          <w:tcPr>
            <w:tcW w:w="37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6DEA13B" w14:textId="77777777" w:rsidR="00E92DD5" w:rsidRPr="00BF0490" w:rsidRDefault="00E92DD5" w:rsidP="001375D4">
            <w:pPr>
              <w:jc w:val="left"/>
              <w:rPr>
                <w:color w:val="auto"/>
                <w:sz w:val="19"/>
                <w:szCs w:val="19"/>
              </w:rPr>
            </w:pPr>
            <w:r>
              <w:rPr>
                <w:color w:val="auto"/>
                <w:sz w:val="19"/>
                <w:szCs w:val="19"/>
              </w:rPr>
              <w:t>9</w:t>
            </w:r>
          </w:p>
        </w:tc>
        <w:tc>
          <w:tcPr>
            <w:tcW w:w="473" w:type="pct"/>
            <w:tcBorders>
              <w:top w:val="single" w:sz="4" w:space="0" w:color="auto"/>
              <w:left w:val="single" w:sz="4" w:space="0" w:color="auto"/>
              <w:bottom w:val="single" w:sz="4" w:space="0" w:color="auto"/>
              <w:right w:val="single" w:sz="4" w:space="0" w:color="auto"/>
            </w:tcBorders>
            <w:shd w:val="clear" w:color="auto" w:fill="5B9BD5" w:themeFill="accent1"/>
          </w:tcPr>
          <w:p w14:paraId="65DC1D69" w14:textId="77777777" w:rsidR="00E92DD5" w:rsidRPr="00BF0490" w:rsidRDefault="00E92DD5" w:rsidP="001375D4">
            <w:pPr>
              <w:jc w:val="left"/>
              <w:rPr>
                <w:color w:val="auto"/>
                <w:sz w:val="19"/>
                <w:szCs w:val="19"/>
              </w:rPr>
            </w:pPr>
            <w:r>
              <w:rPr>
                <w:color w:val="auto"/>
                <w:sz w:val="19"/>
                <w:szCs w:val="19"/>
              </w:rPr>
              <w:t>35</w:t>
            </w:r>
          </w:p>
        </w:tc>
        <w:tc>
          <w:tcPr>
            <w:tcW w:w="36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8614233" w14:textId="77777777" w:rsidR="00E92DD5" w:rsidRDefault="00E92DD5" w:rsidP="001375D4">
            <w:pPr>
              <w:jc w:val="left"/>
              <w:rPr>
                <w:color w:val="auto"/>
                <w:sz w:val="19"/>
                <w:szCs w:val="19"/>
              </w:rPr>
            </w:pPr>
            <w:r>
              <w:rPr>
                <w:color w:val="auto"/>
                <w:sz w:val="19"/>
                <w:szCs w:val="19"/>
              </w:rPr>
              <w:t>1</w:t>
            </w:r>
          </w:p>
        </w:tc>
        <w:tc>
          <w:tcPr>
            <w:tcW w:w="424" w:type="pct"/>
            <w:tcBorders>
              <w:top w:val="single" w:sz="4" w:space="0" w:color="auto"/>
              <w:left w:val="single" w:sz="4" w:space="0" w:color="auto"/>
              <w:bottom w:val="single" w:sz="4" w:space="0" w:color="auto"/>
              <w:right w:val="single" w:sz="4" w:space="0" w:color="auto"/>
            </w:tcBorders>
            <w:shd w:val="clear" w:color="auto" w:fill="5B9BD5" w:themeFill="accent1"/>
          </w:tcPr>
          <w:p w14:paraId="56357E6F" w14:textId="77777777" w:rsidR="00E92DD5" w:rsidRDefault="00E92DD5" w:rsidP="001375D4">
            <w:pPr>
              <w:jc w:val="left"/>
              <w:rPr>
                <w:color w:val="auto"/>
                <w:sz w:val="19"/>
                <w:szCs w:val="19"/>
              </w:rPr>
            </w:pPr>
            <w:r>
              <w:rPr>
                <w:color w:val="auto"/>
                <w:sz w:val="19"/>
                <w:szCs w:val="19"/>
              </w:rPr>
              <w:t>35</w:t>
            </w:r>
          </w:p>
        </w:tc>
        <w:tc>
          <w:tcPr>
            <w:tcW w:w="676" w:type="pct"/>
            <w:tcBorders>
              <w:top w:val="single" w:sz="4" w:space="0" w:color="auto"/>
              <w:left w:val="single" w:sz="4" w:space="0" w:color="auto"/>
              <w:bottom w:val="single" w:sz="4" w:space="0" w:color="auto"/>
              <w:right w:val="single" w:sz="4" w:space="0" w:color="auto"/>
            </w:tcBorders>
            <w:shd w:val="clear" w:color="auto" w:fill="5B9BD5" w:themeFill="accent1"/>
          </w:tcPr>
          <w:p w14:paraId="5D405558" w14:textId="77777777" w:rsidR="00E92DD5" w:rsidRDefault="00E92DD5" w:rsidP="001375D4">
            <w:pPr>
              <w:jc w:val="left"/>
              <w:rPr>
                <w:color w:val="auto"/>
                <w:sz w:val="19"/>
                <w:szCs w:val="19"/>
              </w:rPr>
            </w:pPr>
            <w:r>
              <w:rPr>
                <w:color w:val="auto"/>
                <w:sz w:val="19"/>
                <w:szCs w:val="19"/>
              </w:rPr>
              <w:t>52</w:t>
            </w:r>
          </w:p>
        </w:tc>
      </w:tr>
      <w:tr w:rsidR="00E92DD5" w:rsidRPr="00BF0490" w14:paraId="491FA48E" w14:textId="77777777" w:rsidTr="00C5668B">
        <w:trPr>
          <w:cantSplit/>
          <w:trHeight w:val="20"/>
        </w:trPr>
        <w:tc>
          <w:tcPr>
            <w:tcW w:w="705" w:type="pct"/>
            <w:vMerge/>
            <w:tcBorders>
              <w:top w:val="single" w:sz="4" w:space="0" w:color="auto"/>
              <w:left w:val="single" w:sz="4" w:space="0" w:color="auto"/>
              <w:right w:val="single" w:sz="4" w:space="0" w:color="auto"/>
            </w:tcBorders>
          </w:tcPr>
          <w:p w14:paraId="73E165DB"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290D8A55" w14:textId="77777777" w:rsidR="00E92DD5" w:rsidRPr="00BF0490" w:rsidRDefault="00E92DD5" w:rsidP="001375D4">
            <w:pPr>
              <w:jc w:val="left"/>
              <w:rPr>
                <w:color w:val="auto"/>
                <w:sz w:val="19"/>
                <w:szCs w:val="19"/>
              </w:rPr>
            </w:pPr>
          </w:p>
        </w:tc>
        <w:tc>
          <w:tcPr>
            <w:tcW w:w="586" w:type="pct"/>
            <w:gridSpan w:val="2"/>
            <w:tcBorders>
              <w:top w:val="single" w:sz="4" w:space="0" w:color="auto"/>
              <w:left w:val="single" w:sz="4" w:space="0" w:color="auto"/>
              <w:right w:val="single" w:sz="4" w:space="0" w:color="auto"/>
            </w:tcBorders>
            <w:shd w:val="clear" w:color="auto" w:fill="auto"/>
          </w:tcPr>
          <w:p w14:paraId="07809774" w14:textId="02F27BDA" w:rsidR="00E92DD5" w:rsidRPr="00BF0490" w:rsidRDefault="00E92DD5" w:rsidP="001375D4">
            <w:pPr>
              <w:jc w:val="left"/>
              <w:rPr>
                <w:color w:val="auto"/>
                <w:sz w:val="19"/>
                <w:szCs w:val="19"/>
              </w:rPr>
            </w:pPr>
            <w:r>
              <w:rPr>
                <w:color w:val="auto"/>
                <w:sz w:val="19"/>
                <w:szCs w:val="19"/>
              </w:rPr>
              <w:t>No eWater</w:t>
            </w:r>
          </w:p>
        </w:tc>
        <w:tc>
          <w:tcPr>
            <w:tcW w:w="384" w:type="pct"/>
            <w:tcBorders>
              <w:top w:val="single" w:sz="4" w:space="0" w:color="auto"/>
              <w:left w:val="single" w:sz="4" w:space="0" w:color="auto"/>
              <w:bottom w:val="single" w:sz="4" w:space="0" w:color="auto"/>
              <w:right w:val="single" w:sz="4" w:space="0" w:color="auto"/>
            </w:tcBorders>
            <w:shd w:val="clear" w:color="auto" w:fill="auto"/>
          </w:tcPr>
          <w:p w14:paraId="6B3EF5EF" w14:textId="77777777" w:rsidR="00E92DD5" w:rsidRDefault="00E92DD5" w:rsidP="001375D4">
            <w:pPr>
              <w:jc w:val="left"/>
              <w:rPr>
                <w:color w:val="auto"/>
                <w:sz w:val="19"/>
                <w:szCs w:val="19"/>
              </w:rPr>
            </w:pPr>
            <w:r>
              <w:rPr>
                <w:color w:val="auto"/>
                <w:sz w:val="19"/>
                <w:szCs w:val="19"/>
              </w:rPr>
              <w:t>0</w:t>
            </w:r>
          </w:p>
        </w:tc>
        <w:tc>
          <w:tcPr>
            <w:tcW w:w="385" w:type="pct"/>
            <w:gridSpan w:val="3"/>
            <w:tcBorders>
              <w:top w:val="single" w:sz="4" w:space="0" w:color="auto"/>
              <w:left w:val="single" w:sz="4" w:space="0" w:color="auto"/>
              <w:bottom w:val="single" w:sz="4" w:space="0" w:color="auto"/>
              <w:right w:val="single" w:sz="4" w:space="0" w:color="auto"/>
            </w:tcBorders>
            <w:shd w:val="clear" w:color="auto" w:fill="auto"/>
          </w:tcPr>
          <w:p w14:paraId="696DC5E3" w14:textId="77777777" w:rsidR="00E92DD5" w:rsidRDefault="00E92DD5" w:rsidP="001375D4">
            <w:pPr>
              <w:jc w:val="left"/>
              <w:rPr>
                <w:color w:val="auto"/>
                <w:sz w:val="19"/>
                <w:szCs w:val="19"/>
              </w:rPr>
            </w:pPr>
            <w:r>
              <w:rPr>
                <w:color w:val="auto"/>
                <w:sz w:val="19"/>
                <w:szCs w:val="19"/>
              </w:rPr>
              <w:t>0</w:t>
            </w:r>
          </w:p>
        </w:tc>
        <w:tc>
          <w:tcPr>
            <w:tcW w:w="375" w:type="pct"/>
            <w:tcBorders>
              <w:top w:val="single" w:sz="4" w:space="0" w:color="auto"/>
              <w:left w:val="single" w:sz="4" w:space="0" w:color="auto"/>
              <w:bottom w:val="single" w:sz="4" w:space="0" w:color="auto"/>
              <w:right w:val="single" w:sz="4" w:space="0" w:color="auto"/>
            </w:tcBorders>
            <w:shd w:val="clear" w:color="auto" w:fill="auto"/>
          </w:tcPr>
          <w:p w14:paraId="334D7D3E" w14:textId="77777777" w:rsidR="00E92DD5" w:rsidRDefault="00E92DD5" w:rsidP="001375D4">
            <w:pPr>
              <w:jc w:val="left"/>
              <w:rPr>
                <w:color w:val="auto"/>
                <w:sz w:val="19"/>
                <w:szCs w:val="19"/>
              </w:rPr>
            </w:pPr>
            <w:r>
              <w:rPr>
                <w:color w:val="auto"/>
                <w:sz w:val="19"/>
                <w:szCs w:val="19"/>
              </w:rPr>
              <w:t>10</w:t>
            </w:r>
          </w:p>
        </w:tc>
        <w:tc>
          <w:tcPr>
            <w:tcW w:w="473" w:type="pct"/>
            <w:tcBorders>
              <w:top w:val="single" w:sz="4" w:space="0" w:color="auto"/>
              <w:left w:val="single" w:sz="4" w:space="0" w:color="auto"/>
              <w:bottom w:val="single" w:sz="4" w:space="0" w:color="auto"/>
              <w:right w:val="single" w:sz="4" w:space="0" w:color="auto"/>
            </w:tcBorders>
            <w:shd w:val="clear" w:color="auto" w:fill="auto"/>
          </w:tcPr>
          <w:p w14:paraId="3ECA7CF4" w14:textId="77777777" w:rsidR="00E92DD5" w:rsidRDefault="00E92DD5" w:rsidP="001375D4">
            <w:pPr>
              <w:jc w:val="left"/>
              <w:rPr>
                <w:color w:val="auto"/>
                <w:sz w:val="19"/>
                <w:szCs w:val="19"/>
              </w:rPr>
            </w:pPr>
            <w:r>
              <w:rPr>
                <w:color w:val="auto"/>
                <w:sz w:val="19"/>
                <w:szCs w:val="19"/>
              </w:rPr>
              <w:t>0</w:t>
            </w:r>
          </w:p>
        </w:tc>
        <w:tc>
          <w:tcPr>
            <w:tcW w:w="362" w:type="pct"/>
            <w:tcBorders>
              <w:top w:val="single" w:sz="4" w:space="0" w:color="auto"/>
              <w:left w:val="single" w:sz="4" w:space="0" w:color="auto"/>
              <w:bottom w:val="single" w:sz="4" w:space="0" w:color="auto"/>
              <w:right w:val="single" w:sz="4" w:space="0" w:color="auto"/>
            </w:tcBorders>
            <w:shd w:val="clear" w:color="auto" w:fill="auto"/>
          </w:tcPr>
          <w:p w14:paraId="792876C7" w14:textId="77777777" w:rsidR="00E92DD5" w:rsidRDefault="00E92DD5" w:rsidP="001375D4">
            <w:pPr>
              <w:jc w:val="left"/>
              <w:rPr>
                <w:color w:val="auto"/>
                <w:sz w:val="19"/>
                <w:szCs w:val="19"/>
              </w:rPr>
            </w:pPr>
            <w:r>
              <w:rPr>
                <w:color w:val="auto"/>
                <w:sz w:val="19"/>
                <w:szCs w:val="19"/>
              </w:rPr>
              <w:t>0</w:t>
            </w:r>
          </w:p>
        </w:tc>
        <w:tc>
          <w:tcPr>
            <w:tcW w:w="424" w:type="pct"/>
            <w:tcBorders>
              <w:top w:val="single" w:sz="4" w:space="0" w:color="auto"/>
              <w:left w:val="single" w:sz="4" w:space="0" w:color="auto"/>
              <w:bottom w:val="single" w:sz="4" w:space="0" w:color="auto"/>
              <w:right w:val="single" w:sz="4" w:space="0" w:color="auto"/>
            </w:tcBorders>
            <w:shd w:val="clear" w:color="auto" w:fill="auto"/>
          </w:tcPr>
          <w:p w14:paraId="20619DD7" w14:textId="77777777" w:rsidR="00E92DD5" w:rsidRDefault="00E92DD5" w:rsidP="001375D4">
            <w:pPr>
              <w:jc w:val="left"/>
              <w:rPr>
                <w:color w:val="auto"/>
                <w:sz w:val="19"/>
                <w:szCs w:val="19"/>
              </w:rPr>
            </w:pPr>
            <w:r>
              <w:rPr>
                <w:color w:val="auto"/>
                <w:sz w:val="19"/>
                <w:szCs w:val="19"/>
              </w:rPr>
              <w:t>0</w:t>
            </w:r>
          </w:p>
        </w:tc>
        <w:tc>
          <w:tcPr>
            <w:tcW w:w="676" w:type="pct"/>
            <w:tcBorders>
              <w:top w:val="single" w:sz="4" w:space="0" w:color="auto"/>
              <w:left w:val="single" w:sz="4" w:space="0" w:color="auto"/>
              <w:bottom w:val="single" w:sz="4" w:space="0" w:color="auto"/>
              <w:right w:val="single" w:sz="4" w:space="0" w:color="auto"/>
            </w:tcBorders>
            <w:shd w:val="clear" w:color="auto" w:fill="auto"/>
          </w:tcPr>
          <w:p w14:paraId="5BF10A29" w14:textId="77777777" w:rsidR="00E92DD5" w:rsidRDefault="00E92DD5" w:rsidP="001375D4">
            <w:pPr>
              <w:jc w:val="left"/>
              <w:rPr>
                <w:color w:val="auto"/>
                <w:sz w:val="19"/>
                <w:szCs w:val="19"/>
              </w:rPr>
            </w:pPr>
            <w:r>
              <w:rPr>
                <w:color w:val="auto"/>
                <w:sz w:val="19"/>
                <w:szCs w:val="19"/>
              </w:rPr>
              <w:t>7</w:t>
            </w:r>
          </w:p>
        </w:tc>
      </w:tr>
      <w:tr w:rsidR="00E92DD5" w:rsidRPr="00BF0490" w14:paraId="31D5276E" w14:textId="77777777" w:rsidTr="00ED3DF3">
        <w:trPr>
          <w:cantSplit/>
          <w:trHeight w:val="20"/>
        </w:trPr>
        <w:tc>
          <w:tcPr>
            <w:tcW w:w="705" w:type="pct"/>
            <w:vMerge/>
            <w:tcBorders>
              <w:left w:val="single" w:sz="4" w:space="0" w:color="auto"/>
              <w:bottom w:val="single" w:sz="4" w:space="0" w:color="auto"/>
              <w:right w:val="single" w:sz="4" w:space="0" w:color="auto"/>
            </w:tcBorders>
          </w:tcPr>
          <w:p w14:paraId="5DF8B75F" w14:textId="77777777" w:rsidR="00E92DD5" w:rsidRPr="00BF0490" w:rsidRDefault="00E92DD5" w:rsidP="001375D4">
            <w:pPr>
              <w:jc w:val="left"/>
              <w:rPr>
                <w:sz w:val="19"/>
                <w:szCs w:val="19"/>
              </w:rPr>
            </w:pPr>
          </w:p>
        </w:tc>
        <w:tc>
          <w:tcPr>
            <w:tcW w:w="4295" w:type="pct"/>
            <w:gridSpan w:val="12"/>
            <w:tcBorders>
              <w:left w:val="single" w:sz="4" w:space="0" w:color="auto"/>
              <w:bottom w:val="single" w:sz="4" w:space="0" w:color="auto"/>
              <w:right w:val="single" w:sz="4" w:space="0" w:color="auto"/>
            </w:tcBorders>
            <w:shd w:val="clear" w:color="auto" w:fill="70AD47" w:themeFill="accent6"/>
          </w:tcPr>
          <w:p w14:paraId="6C86399C" w14:textId="44E98C29" w:rsidR="00E92DD5" w:rsidRDefault="00E92DD5" w:rsidP="00ED3DF3">
            <w:pPr>
              <w:jc w:val="left"/>
              <w:rPr>
                <w:sz w:val="19"/>
                <w:szCs w:val="19"/>
              </w:rPr>
            </w:pPr>
            <w:r>
              <w:rPr>
                <w:sz w:val="19"/>
                <w:szCs w:val="19"/>
              </w:rPr>
              <w:t>eWater/CEW</w:t>
            </w:r>
            <w:r w:rsidRPr="00BF0490">
              <w:rPr>
                <w:sz w:val="19"/>
                <w:szCs w:val="19"/>
              </w:rPr>
              <w:t xml:space="preserve"> decreased the likelihood of low DO by increasing water mixing and oxygen exchange at the surface. This was assessed as the extra days per year with water velocities &gt;0.18 m/s due to eWater</w:t>
            </w:r>
            <w:r>
              <w:rPr>
                <w:sz w:val="19"/>
                <w:szCs w:val="19"/>
              </w:rPr>
              <w:t>/CEW compared with No eWater. The contributions were significant, ranging from moderate to substantial across the sites in most years</w:t>
            </w:r>
            <w:r w:rsidRPr="00BF0490">
              <w:rPr>
                <w:sz w:val="19"/>
                <w:szCs w:val="19"/>
              </w:rPr>
              <w:t xml:space="preserve">. </w:t>
            </w:r>
            <w:r w:rsidR="008D22DC" w:rsidRPr="00BF0490">
              <w:rPr>
                <w:sz w:val="19"/>
                <w:szCs w:val="19"/>
              </w:rPr>
              <w:t xml:space="preserve">A substantial contribution was </w:t>
            </w:r>
            <w:r w:rsidR="00FD2E7E" w:rsidRPr="00BF0490">
              <w:rPr>
                <w:sz w:val="19"/>
                <w:szCs w:val="19"/>
              </w:rPr>
              <w:t>considered greater than 30 days, moderate 15</w:t>
            </w:r>
            <w:r w:rsidR="00FD2E7E">
              <w:rPr>
                <w:sz w:val="19"/>
                <w:szCs w:val="19"/>
              </w:rPr>
              <w:t>–</w:t>
            </w:r>
            <w:r w:rsidR="00FD2E7E" w:rsidRPr="00BF0490">
              <w:rPr>
                <w:sz w:val="19"/>
                <w:szCs w:val="19"/>
              </w:rPr>
              <w:t>30 days, minor 7</w:t>
            </w:r>
            <w:r w:rsidR="00FD2E7E">
              <w:rPr>
                <w:sz w:val="19"/>
                <w:szCs w:val="19"/>
              </w:rPr>
              <w:t>–</w:t>
            </w:r>
            <w:r w:rsidR="00FD2E7E" w:rsidRPr="00BF0490">
              <w:rPr>
                <w:sz w:val="19"/>
                <w:szCs w:val="19"/>
              </w:rPr>
              <w:t>14 days and negligible &lt; 7days.</w:t>
            </w:r>
          </w:p>
          <w:p w14:paraId="745D1400" w14:textId="5C130186" w:rsidR="00E92DD5" w:rsidRDefault="00E92DD5" w:rsidP="001375D4">
            <w:pPr>
              <w:rPr>
                <w:sz w:val="19"/>
                <w:szCs w:val="19"/>
              </w:rPr>
            </w:pPr>
            <w:r>
              <w:rPr>
                <w:sz w:val="19"/>
                <w:szCs w:val="19"/>
              </w:rPr>
              <w:t>Note: Data for 2016-17 analyses commence</w:t>
            </w:r>
            <w:r w:rsidR="00ED3DF3">
              <w:rPr>
                <w:sz w:val="19"/>
                <w:szCs w:val="19"/>
              </w:rPr>
              <w:t>d</w:t>
            </w:r>
            <w:r>
              <w:rPr>
                <w:sz w:val="19"/>
                <w:szCs w:val="19"/>
              </w:rPr>
              <w:t xml:space="preserve"> </w:t>
            </w:r>
            <w:r w:rsidR="00ED3DF3">
              <w:rPr>
                <w:sz w:val="19"/>
                <w:szCs w:val="19"/>
              </w:rPr>
              <w:t xml:space="preserve">6 </w:t>
            </w:r>
            <w:r>
              <w:rPr>
                <w:sz w:val="19"/>
                <w:szCs w:val="19"/>
              </w:rPr>
              <w:t>January 2017 to avoid flood period.</w:t>
            </w:r>
          </w:p>
        </w:tc>
      </w:tr>
      <w:tr w:rsidR="00E92DD5" w:rsidRPr="00BF0490" w14:paraId="321E89EA" w14:textId="77777777" w:rsidTr="00AE483E">
        <w:trPr>
          <w:cantSplit/>
          <w:trHeight w:val="533"/>
        </w:trPr>
        <w:tc>
          <w:tcPr>
            <w:tcW w:w="705" w:type="pct"/>
            <w:vMerge w:val="restart"/>
            <w:tcBorders>
              <w:top w:val="single" w:sz="4" w:space="0" w:color="auto"/>
              <w:left w:val="single" w:sz="4" w:space="0" w:color="auto"/>
              <w:right w:val="single" w:sz="4" w:space="0" w:color="auto"/>
            </w:tcBorders>
          </w:tcPr>
          <w:p w14:paraId="5956824C" w14:textId="77777777" w:rsidR="00E92DD5" w:rsidRPr="00BF0490" w:rsidRDefault="00E92DD5" w:rsidP="001375D4">
            <w:pPr>
              <w:jc w:val="left"/>
              <w:rPr>
                <w:rFonts w:cs="Arial"/>
                <w:color w:val="auto"/>
                <w:sz w:val="19"/>
                <w:szCs w:val="19"/>
              </w:rPr>
            </w:pPr>
            <w:r w:rsidRPr="00BF0490">
              <w:rPr>
                <w:sz w:val="19"/>
                <w:szCs w:val="19"/>
              </w:rPr>
              <w:lastRenderedPageBreak/>
              <w:t>What did CEW contribute to patterns and rates of primary productivity?</w:t>
            </w:r>
          </w:p>
        </w:tc>
        <w:tc>
          <w:tcPr>
            <w:tcW w:w="630" w:type="pct"/>
            <w:vMerge w:val="restart"/>
            <w:tcBorders>
              <w:top w:val="single" w:sz="4" w:space="0" w:color="auto"/>
              <w:left w:val="single" w:sz="4" w:space="0" w:color="auto"/>
              <w:right w:val="single" w:sz="4" w:space="0" w:color="auto"/>
            </w:tcBorders>
          </w:tcPr>
          <w:p w14:paraId="66D1878E" w14:textId="77777777" w:rsidR="00E92DD5" w:rsidRPr="00BF0490" w:rsidRDefault="00E92DD5" w:rsidP="001375D4">
            <w:pPr>
              <w:jc w:val="left"/>
              <w:rPr>
                <w:rFonts w:cs="Arial"/>
                <w:color w:val="auto"/>
                <w:sz w:val="19"/>
                <w:szCs w:val="19"/>
              </w:rPr>
            </w:pPr>
            <w:r w:rsidRPr="00C575B0">
              <w:rPr>
                <w:b/>
                <w:bCs/>
                <w:color w:val="auto"/>
                <w:sz w:val="19"/>
                <w:szCs w:val="19"/>
              </w:rPr>
              <w:t>DS Lock 6</w:t>
            </w:r>
          </w:p>
        </w:tc>
        <w:tc>
          <w:tcPr>
            <w:tcW w:w="586" w:type="pct"/>
            <w:gridSpan w:val="2"/>
            <w:tcBorders>
              <w:top w:val="single" w:sz="4" w:space="0" w:color="auto"/>
              <w:left w:val="single" w:sz="4" w:space="0" w:color="auto"/>
              <w:bottom w:val="single" w:sz="4" w:space="0" w:color="auto"/>
              <w:right w:val="single" w:sz="4" w:space="0" w:color="auto"/>
            </w:tcBorders>
          </w:tcPr>
          <w:p w14:paraId="0F4A4CA6"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38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06B2BA9" w14:textId="77777777" w:rsidR="00E92DD5" w:rsidRPr="00BF0490" w:rsidRDefault="00E92DD5" w:rsidP="001375D4">
            <w:pPr>
              <w:jc w:val="left"/>
              <w:rPr>
                <w:rFonts w:cs="Arial"/>
                <w:color w:val="auto"/>
                <w:sz w:val="19"/>
                <w:szCs w:val="19"/>
              </w:rPr>
            </w:pPr>
            <w:r w:rsidRPr="00BF0490">
              <w:rPr>
                <w:rFonts w:cs="Arial"/>
                <w:color w:val="auto"/>
                <w:sz w:val="19"/>
                <w:szCs w:val="19"/>
              </w:rPr>
              <w:t>1</w:t>
            </w:r>
          </w:p>
        </w:tc>
        <w:tc>
          <w:tcPr>
            <w:tcW w:w="385"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A76C472" w14:textId="77777777" w:rsidR="00E92DD5" w:rsidRPr="00BF0490" w:rsidRDefault="00E92DD5" w:rsidP="001375D4">
            <w:pPr>
              <w:jc w:val="left"/>
              <w:rPr>
                <w:rFonts w:cs="Arial"/>
                <w:color w:val="auto"/>
                <w:sz w:val="19"/>
                <w:szCs w:val="19"/>
              </w:rPr>
            </w:pPr>
            <w:r w:rsidRPr="00BF0490">
              <w:rPr>
                <w:rFonts w:cs="Arial"/>
                <w:color w:val="auto"/>
                <w:sz w:val="19"/>
                <w:szCs w:val="19"/>
              </w:rPr>
              <w:t>2</w:t>
            </w:r>
          </w:p>
        </w:tc>
        <w:tc>
          <w:tcPr>
            <w:tcW w:w="37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95AF8EB" w14:textId="77777777" w:rsidR="00E92DD5" w:rsidRPr="00BF0490" w:rsidRDefault="00E92DD5" w:rsidP="001375D4">
            <w:pPr>
              <w:jc w:val="left"/>
              <w:rPr>
                <w:rFonts w:cs="Arial"/>
                <w:color w:val="auto"/>
                <w:sz w:val="19"/>
                <w:szCs w:val="19"/>
              </w:rPr>
            </w:pPr>
            <w:r>
              <w:rPr>
                <w:rFonts w:cs="Arial"/>
                <w:color w:val="auto"/>
                <w:sz w:val="19"/>
                <w:szCs w:val="19"/>
              </w:rPr>
              <w:t>1</w:t>
            </w:r>
          </w:p>
        </w:tc>
        <w:tc>
          <w:tcPr>
            <w:tcW w:w="47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20C2F5B" w14:textId="1FE73981" w:rsidR="00E92DD5" w:rsidRPr="00BF0490" w:rsidRDefault="00E92DD5" w:rsidP="001375D4">
            <w:pPr>
              <w:jc w:val="left"/>
              <w:rPr>
                <w:rFonts w:cs="Arial"/>
                <w:color w:val="auto"/>
                <w:sz w:val="19"/>
                <w:szCs w:val="19"/>
              </w:rPr>
            </w:pPr>
            <w:r w:rsidRPr="00BF0490">
              <w:rPr>
                <w:rFonts w:cs="Arial"/>
                <w:color w:val="auto"/>
                <w:sz w:val="19"/>
                <w:szCs w:val="19"/>
              </w:rPr>
              <w:t>2</w:t>
            </w:r>
            <w:r>
              <w:rPr>
                <w:rFonts w:cs="Arial"/>
                <w:color w:val="auto"/>
                <w:sz w:val="19"/>
                <w:szCs w:val="19"/>
              </w:rPr>
              <w:t>.5</w:t>
            </w:r>
          </w:p>
        </w:tc>
        <w:tc>
          <w:tcPr>
            <w:tcW w:w="36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88183AE" w14:textId="0495C848" w:rsidR="00E92DD5" w:rsidRPr="00BF0490" w:rsidRDefault="00E92DD5" w:rsidP="001375D4">
            <w:pPr>
              <w:jc w:val="left"/>
              <w:rPr>
                <w:rFonts w:cs="Arial"/>
                <w:color w:val="auto"/>
                <w:sz w:val="19"/>
                <w:szCs w:val="19"/>
              </w:rPr>
            </w:pPr>
            <w:r>
              <w:rPr>
                <w:rFonts w:cs="Arial"/>
                <w:color w:val="auto"/>
                <w:sz w:val="19"/>
                <w:szCs w:val="19"/>
              </w:rPr>
              <w:t>1.5</w:t>
            </w:r>
          </w:p>
        </w:tc>
        <w:tc>
          <w:tcPr>
            <w:tcW w:w="42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A5B14F" w14:textId="77777777" w:rsidR="00E92DD5" w:rsidRPr="00BF0490" w:rsidRDefault="00E92DD5" w:rsidP="001375D4">
            <w:pPr>
              <w:jc w:val="left"/>
              <w:rPr>
                <w:rFonts w:cs="Arial"/>
                <w:color w:val="auto"/>
                <w:sz w:val="19"/>
                <w:szCs w:val="19"/>
              </w:rPr>
            </w:pPr>
            <w:r>
              <w:rPr>
                <w:rFonts w:cs="Arial"/>
                <w:color w:val="auto"/>
                <w:sz w:val="19"/>
                <w:szCs w:val="19"/>
              </w:rPr>
              <w:t>1.5</w:t>
            </w:r>
          </w:p>
        </w:tc>
        <w:tc>
          <w:tcPr>
            <w:tcW w:w="67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E8FEA5B" w14:textId="01313166" w:rsidR="00E92DD5" w:rsidRDefault="00E92DD5" w:rsidP="001375D4">
            <w:pPr>
              <w:jc w:val="left"/>
              <w:rPr>
                <w:rFonts w:cs="Arial"/>
                <w:color w:val="auto"/>
                <w:sz w:val="19"/>
                <w:szCs w:val="19"/>
              </w:rPr>
            </w:pPr>
            <w:r>
              <w:rPr>
                <w:rFonts w:cs="Arial"/>
                <w:color w:val="auto"/>
                <w:sz w:val="19"/>
                <w:szCs w:val="19"/>
              </w:rPr>
              <w:t>3</w:t>
            </w:r>
          </w:p>
        </w:tc>
      </w:tr>
      <w:tr w:rsidR="00E92DD5" w:rsidRPr="00BF0490" w14:paraId="14EC9124" w14:textId="77777777" w:rsidTr="00AE483E">
        <w:trPr>
          <w:cantSplit/>
          <w:trHeight w:val="317"/>
        </w:trPr>
        <w:tc>
          <w:tcPr>
            <w:tcW w:w="705" w:type="pct"/>
            <w:vMerge/>
            <w:tcBorders>
              <w:top w:val="single" w:sz="4" w:space="0" w:color="auto"/>
              <w:left w:val="single" w:sz="4" w:space="0" w:color="auto"/>
              <w:right w:val="single" w:sz="4" w:space="0" w:color="auto"/>
            </w:tcBorders>
          </w:tcPr>
          <w:p w14:paraId="589D9C37"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317ECB63" w14:textId="77777777" w:rsidR="00E92DD5" w:rsidRPr="00BF0490" w:rsidRDefault="00E92DD5" w:rsidP="001375D4">
            <w:pPr>
              <w:jc w:val="left"/>
              <w:rPr>
                <w:rFonts w:cs="Arial"/>
                <w:color w:val="auto"/>
                <w:sz w:val="19"/>
                <w:szCs w:val="19"/>
              </w:rPr>
            </w:pPr>
          </w:p>
        </w:tc>
        <w:tc>
          <w:tcPr>
            <w:tcW w:w="586" w:type="pct"/>
            <w:gridSpan w:val="2"/>
            <w:tcBorders>
              <w:top w:val="single" w:sz="4" w:space="0" w:color="auto"/>
              <w:left w:val="single" w:sz="4" w:space="0" w:color="auto"/>
              <w:right w:val="single" w:sz="4" w:space="0" w:color="auto"/>
            </w:tcBorders>
          </w:tcPr>
          <w:p w14:paraId="684D73E6"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384" w:type="pct"/>
            <w:tcBorders>
              <w:top w:val="single" w:sz="4" w:space="0" w:color="auto"/>
              <w:left w:val="single" w:sz="4" w:space="0" w:color="auto"/>
              <w:right w:val="single" w:sz="4" w:space="0" w:color="auto"/>
            </w:tcBorders>
            <w:shd w:val="clear" w:color="auto" w:fill="E2EFD9" w:themeFill="accent6" w:themeFillTint="33"/>
          </w:tcPr>
          <w:p w14:paraId="7E641DB6" w14:textId="77777777" w:rsidR="00E92DD5" w:rsidRPr="00BF0490" w:rsidRDefault="00E92DD5" w:rsidP="001375D4">
            <w:pPr>
              <w:jc w:val="left"/>
              <w:rPr>
                <w:rFonts w:cs="Arial"/>
                <w:color w:val="auto"/>
                <w:sz w:val="19"/>
                <w:szCs w:val="19"/>
              </w:rPr>
            </w:pPr>
            <w:r w:rsidRPr="00BF0490">
              <w:rPr>
                <w:rFonts w:cs="Arial"/>
                <w:color w:val="auto"/>
                <w:sz w:val="19"/>
                <w:szCs w:val="19"/>
              </w:rPr>
              <w:t>1</w:t>
            </w:r>
          </w:p>
        </w:tc>
        <w:tc>
          <w:tcPr>
            <w:tcW w:w="385" w:type="pct"/>
            <w:gridSpan w:val="3"/>
            <w:tcBorders>
              <w:top w:val="single" w:sz="4" w:space="0" w:color="auto"/>
              <w:left w:val="single" w:sz="4" w:space="0" w:color="auto"/>
              <w:right w:val="single" w:sz="4" w:space="0" w:color="auto"/>
            </w:tcBorders>
            <w:shd w:val="clear" w:color="auto" w:fill="E2EFD9" w:themeFill="accent6" w:themeFillTint="33"/>
          </w:tcPr>
          <w:p w14:paraId="61D4C32E" w14:textId="77777777" w:rsidR="00E92DD5" w:rsidRPr="00BF0490" w:rsidRDefault="00E92DD5" w:rsidP="001375D4">
            <w:pPr>
              <w:jc w:val="left"/>
              <w:rPr>
                <w:rFonts w:cs="Arial"/>
                <w:color w:val="auto"/>
                <w:sz w:val="19"/>
                <w:szCs w:val="19"/>
              </w:rPr>
            </w:pPr>
            <w:r w:rsidRPr="00BF0490">
              <w:rPr>
                <w:rFonts w:cs="Arial"/>
                <w:color w:val="auto"/>
                <w:sz w:val="19"/>
                <w:szCs w:val="19"/>
              </w:rPr>
              <w:t>2</w:t>
            </w:r>
          </w:p>
        </w:tc>
        <w:tc>
          <w:tcPr>
            <w:tcW w:w="375" w:type="pct"/>
            <w:tcBorders>
              <w:top w:val="single" w:sz="4" w:space="0" w:color="auto"/>
              <w:left w:val="single" w:sz="4" w:space="0" w:color="auto"/>
              <w:right w:val="single" w:sz="4" w:space="0" w:color="auto"/>
            </w:tcBorders>
            <w:shd w:val="clear" w:color="auto" w:fill="E2EFD9" w:themeFill="accent6" w:themeFillTint="33"/>
          </w:tcPr>
          <w:p w14:paraId="3A50A37D"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473" w:type="pct"/>
            <w:tcBorders>
              <w:top w:val="single" w:sz="4" w:space="0" w:color="auto"/>
              <w:left w:val="single" w:sz="4" w:space="0" w:color="auto"/>
              <w:right w:val="single" w:sz="4" w:space="0" w:color="auto"/>
            </w:tcBorders>
            <w:shd w:val="clear" w:color="auto" w:fill="E2EFD9" w:themeFill="accent6" w:themeFillTint="33"/>
          </w:tcPr>
          <w:p w14:paraId="429CBBD7" w14:textId="5740D538" w:rsidR="00E92DD5" w:rsidRPr="00BF0490" w:rsidRDefault="00E92DD5" w:rsidP="001375D4">
            <w:pPr>
              <w:jc w:val="left"/>
              <w:rPr>
                <w:rFonts w:cs="Arial"/>
                <w:color w:val="auto"/>
                <w:sz w:val="19"/>
                <w:szCs w:val="19"/>
              </w:rPr>
            </w:pPr>
            <w:r w:rsidRPr="00BF0490">
              <w:rPr>
                <w:rFonts w:cs="Arial"/>
                <w:color w:val="auto"/>
                <w:sz w:val="19"/>
                <w:szCs w:val="19"/>
              </w:rPr>
              <w:t>2</w:t>
            </w:r>
          </w:p>
        </w:tc>
        <w:tc>
          <w:tcPr>
            <w:tcW w:w="362" w:type="pct"/>
            <w:tcBorders>
              <w:top w:val="single" w:sz="4" w:space="0" w:color="auto"/>
              <w:left w:val="single" w:sz="4" w:space="0" w:color="auto"/>
              <w:right w:val="single" w:sz="4" w:space="0" w:color="auto"/>
            </w:tcBorders>
            <w:shd w:val="clear" w:color="auto" w:fill="E2EFD9" w:themeFill="accent6" w:themeFillTint="33"/>
          </w:tcPr>
          <w:p w14:paraId="11DF013F" w14:textId="77777777" w:rsidR="00E92DD5" w:rsidRPr="00BF0490" w:rsidRDefault="00E92DD5" w:rsidP="001375D4">
            <w:pPr>
              <w:jc w:val="left"/>
              <w:rPr>
                <w:rFonts w:cs="Arial"/>
                <w:color w:val="auto"/>
                <w:sz w:val="19"/>
                <w:szCs w:val="19"/>
              </w:rPr>
            </w:pPr>
            <w:r>
              <w:rPr>
                <w:rFonts w:cs="Arial"/>
                <w:color w:val="auto"/>
                <w:sz w:val="19"/>
                <w:szCs w:val="19"/>
              </w:rPr>
              <w:t>1.5</w:t>
            </w:r>
          </w:p>
        </w:tc>
        <w:tc>
          <w:tcPr>
            <w:tcW w:w="424" w:type="pct"/>
            <w:tcBorders>
              <w:top w:val="single" w:sz="4" w:space="0" w:color="auto"/>
              <w:left w:val="single" w:sz="4" w:space="0" w:color="auto"/>
              <w:right w:val="single" w:sz="4" w:space="0" w:color="auto"/>
            </w:tcBorders>
            <w:shd w:val="clear" w:color="auto" w:fill="E2EFD9" w:themeFill="accent6" w:themeFillTint="33"/>
          </w:tcPr>
          <w:p w14:paraId="333F9512" w14:textId="6D40A3E7" w:rsidR="00E92DD5" w:rsidRPr="00BF0490" w:rsidRDefault="00E92DD5" w:rsidP="001375D4">
            <w:pPr>
              <w:jc w:val="left"/>
              <w:rPr>
                <w:rFonts w:cs="Arial"/>
                <w:color w:val="auto"/>
                <w:sz w:val="19"/>
                <w:szCs w:val="19"/>
              </w:rPr>
            </w:pPr>
            <w:r>
              <w:rPr>
                <w:rFonts w:cs="Arial"/>
                <w:color w:val="auto"/>
                <w:sz w:val="19"/>
                <w:szCs w:val="19"/>
              </w:rPr>
              <w:t>1</w:t>
            </w:r>
          </w:p>
        </w:tc>
        <w:tc>
          <w:tcPr>
            <w:tcW w:w="676" w:type="pct"/>
            <w:tcBorders>
              <w:top w:val="single" w:sz="4" w:space="0" w:color="auto"/>
              <w:left w:val="single" w:sz="4" w:space="0" w:color="auto"/>
              <w:right w:val="single" w:sz="4" w:space="0" w:color="auto"/>
            </w:tcBorders>
            <w:shd w:val="clear" w:color="auto" w:fill="E2EFD9" w:themeFill="accent6" w:themeFillTint="33"/>
          </w:tcPr>
          <w:p w14:paraId="29469C72" w14:textId="63DCC310" w:rsidR="00E92DD5" w:rsidRDefault="00E92DD5" w:rsidP="001375D4">
            <w:pPr>
              <w:jc w:val="left"/>
              <w:rPr>
                <w:rFonts w:cs="Arial"/>
                <w:color w:val="auto"/>
                <w:sz w:val="19"/>
                <w:szCs w:val="19"/>
              </w:rPr>
            </w:pPr>
            <w:r>
              <w:rPr>
                <w:rFonts w:cs="Arial"/>
                <w:color w:val="auto"/>
                <w:sz w:val="19"/>
                <w:szCs w:val="19"/>
              </w:rPr>
              <w:t>2.5</w:t>
            </w:r>
          </w:p>
        </w:tc>
      </w:tr>
      <w:tr w:rsidR="00E92DD5" w:rsidRPr="00BF0490" w14:paraId="5C808029" w14:textId="77777777" w:rsidTr="00AE483E">
        <w:trPr>
          <w:cantSplit/>
          <w:trHeight w:val="637"/>
        </w:trPr>
        <w:tc>
          <w:tcPr>
            <w:tcW w:w="705" w:type="pct"/>
            <w:vMerge/>
            <w:tcBorders>
              <w:top w:val="single" w:sz="4" w:space="0" w:color="auto"/>
              <w:left w:val="single" w:sz="4" w:space="0" w:color="auto"/>
              <w:right w:val="single" w:sz="4" w:space="0" w:color="auto"/>
            </w:tcBorders>
          </w:tcPr>
          <w:p w14:paraId="5288CFBE" w14:textId="77777777" w:rsidR="00E92DD5" w:rsidRPr="00BF0490" w:rsidRDefault="00E92DD5" w:rsidP="001375D4">
            <w:pPr>
              <w:jc w:val="left"/>
              <w:rPr>
                <w:sz w:val="19"/>
                <w:szCs w:val="19"/>
              </w:rPr>
            </w:pPr>
          </w:p>
        </w:tc>
        <w:tc>
          <w:tcPr>
            <w:tcW w:w="630" w:type="pct"/>
            <w:vMerge w:val="restart"/>
            <w:tcBorders>
              <w:top w:val="single" w:sz="4" w:space="0" w:color="auto"/>
              <w:left w:val="single" w:sz="4" w:space="0" w:color="auto"/>
              <w:right w:val="single" w:sz="4" w:space="0" w:color="auto"/>
            </w:tcBorders>
          </w:tcPr>
          <w:p w14:paraId="659698AB" w14:textId="77777777" w:rsidR="00E92DD5" w:rsidRPr="00BF0490" w:rsidRDefault="00E92DD5" w:rsidP="001375D4">
            <w:pPr>
              <w:jc w:val="left"/>
              <w:rPr>
                <w:rFonts w:cs="Arial"/>
                <w:color w:val="auto"/>
                <w:sz w:val="19"/>
                <w:szCs w:val="19"/>
              </w:rPr>
            </w:pPr>
            <w:r w:rsidRPr="00C575B0">
              <w:rPr>
                <w:b/>
                <w:bCs/>
                <w:color w:val="auto"/>
                <w:sz w:val="19"/>
                <w:szCs w:val="19"/>
              </w:rPr>
              <w:t>DS Lock 4</w:t>
            </w:r>
          </w:p>
        </w:tc>
        <w:tc>
          <w:tcPr>
            <w:tcW w:w="586" w:type="pct"/>
            <w:gridSpan w:val="2"/>
            <w:tcBorders>
              <w:top w:val="single" w:sz="4" w:space="0" w:color="auto"/>
              <w:left w:val="single" w:sz="4" w:space="0" w:color="auto"/>
              <w:right w:val="single" w:sz="4" w:space="0" w:color="auto"/>
            </w:tcBorders>
          </w:tcPr>
          <w:p w14:paraId="5D6BC07F"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384" w:type="pct"/>
            <w:tcBorders>
              <w:top w:val="single" w:sz="4" w:space="0" w:color="auto"/>
              <w:left w:val="single" w:sz="4" w:space="0" w:color="auto"/>
              <w:right w:val="single" w:sz="4" w:space="0" w:color="auto"/>
            </w:tcBorders>
            <w:shd w:val="clear" w:color="auto" w:fill="D9D9D9" w:themeFill="background1" w:themeFillShade="D9"/>
          </w:tcPr>
          <w:p w14:paraId="09C4A2F4" w14:textId="77777777" w:rsidR="00E92DD5" w:rsidRPr="00BF0490" w:rsidRDefault="00E92DD5" w:rsidP="001375D4">
            <w:pPr>
              <w:jc w:val="left"/>
              <w:rPr>
                <w:rFonts w:cs="Arial"/>
                <w:color w:val="auto"/>
                <w:sz w:val="19"/>
                <w:szCs w:val="19"/>
              </w:rPr>
            </w:pPr>
          </w:p>
        </w:tc>
        <w:tc>
          <w:tcPr>
            <w:tcW w:w="385" w:type="pct"/>
            <w:gridSpan w:val="3"/>
            <w:tcBorders>
              <w:top w:val="single" w:sz="4" w:space="0" w:color="auto"/>
              <w:left w:val="single" w:sz="4" w:space="0" w:color="auto"/>
              <w:right w:val="single" w:sz="4" w:space="0" w:color="auto"/>
            </w:tcBorders>
            <w:shd w:val="clear" w:color="auto" w:fill="D9D9D9" w:themeFill="background1" w:themeFillShade="D9"/>
          </w:tcPr>
          <w:p w14:paraId="57AC23CF" w14:textId="77777777" w:rsidR="00E92DD5" w:rsidRPr="00BF0490" w:rsidRDefault="00E92DD5" w:rsidP="001375D4">
            <w:pPr>
              <w:jc w:val="left"/>
              <w:rPr>
                <w:rFonts w:cs="Arial"/>
                <w:color w:val="auto"/>
                <w:sz w:val="19"/>
                <w:szCs w:val="19"/>
              </w:rPr>
            </w:pPr>
          </w:p>
        </w:tc>
        <w:tc>
          <w:tcPr>
            <w:tcW w:w="375" w:type="pct"/>
            <w:tcBorders>
              <w:top w:val="single" w:sz="4" w:space="0" w:color="auto"/>
              <w:left w:val="single" w:sz="4" w:space="0" w:color="auto"/>
              <w:right w:val="single" w:sz="4" w:space="0" w:color="auto"/>
            </w:tcBorders>
            <w:shd w:val="clear" w:color="auto" w:fill="D9D9D9" w:themeFill="background1" w:themeFillShade="D9"/>
          </w:tcPr>
          <w:p w14:paraId="01E6ACBF" w14:textId="77777777" w:rsidR="00E92DD5" w:rsidRPr="00BF0490" w:rsidRDefault="00E92DD5" w:rsidP="001375D4">
            <w:pPr>
              <w:jc w:val="left"/>
              <w:rPr>
                <w:rFonts w:cs="Arial"/>
                <w:color w:val="auto"/>
                <w:sz w:val="19"/>
                <w:szCs w:val="19"/>
              </w:rPr>
            </w:pPr>
          </w:p>
        </w:tc>
        <w:tc>
          <w:tcPr>
            <w:tcW w:w="473" w:type="pct"/>
            <w:tcBorders>
              <w:top w:val="single" w:sz="4" w:space="0" w:color="auto"/>
              <w:left w:val="single" w:sz="4" w:space="0" w:color="auto"/>
              <w:right w:val="single" w:sz="4" w:space="0" w:color="auto"/>
            </w:tcBorders>
            <w:shd w:val="clear" w:color="auto" w:fill="D9D9D9" w:themeFill="background1" w:themeFillShade="D9"/>
          </w:tcPr>
          <w:p w14:paraId="097DC81F" w14:textId="77777777" w:rsidR="00E92DD5" w:rsidRPr="00BF0490" w:rsidRDefault="00E92DD5" w:rsidP="001375D4">
            <w:pPr>
              <w:jc w:val="left"/>
              <w:rPr>
                <w:rFonts w:cs="Arial"/>
                <w:color w:val="auto"/>
                <w:sz w:val="19"/>
                <w:szCs w:val="19"/>
              </w:rPr>
            </w:pPr>
          </w:p>
        </w:tc>
        <w:tc>
          <w:tcPr>
            <w:tcW w:w="362" w:type="pct"/>
            <w:tcBorders>
              <w:top w:val="single" w:sz="4" w:space="0" w:color="auto"/>
              <w:left w:val="single" w:sz="4" w:space="0" w:color="auto"/>
              <w:right w:val="single" w:sz="4" w:space="0" w:color="auto"/>
            </w:tcBorders>
            <w:shd w:val="clear" w:color="auto" w:fill="D9D9D9" w:themeFill="background1" w:themeFillShade="D9"/>
          </w:tcPr>
          <w:p w14:paraId="39731199" w14:textId="77777777" w:rsidR="00E92DD5" w:rsidRDefault="00E92DD5" w:rsidP="001375D4">
            <w:pPr>
              <w:jc w:val="left"/>
              <w:rPr>
                <w:rFonts w:cs="Arial"/>
                <w:color w:val="auto"/>
                <w:sz w:val="19"/>
                <w:szCs w:val="19"/>
              </w:rPr>
            </w:pPr>
          </w:p>
        </w:tc>
        <w:tc>
          <w:tcPr>
            <w:tcW w:w="424" w:type="pct"/>
            <w:tcBorders>
              <w:top w:val="single" w:sz="4" w:space="0" w:color="auto"/>
              <w:left w:val="single" w:sz="4" w:space="0" w:color="auto"/>
              <w:right w:val="single" w:sz="4" w:space="0" w:color="auto"/>
            </w:tcBorders>
            <w:shd w:val="clear" w:color="auto" w:fill="E2EFD9" w:themeFill="accent6" w:themeFillTint="33"/>
          </w:tcPr>
          <w:p w14:paraId="0E76FE3B" w14:textId="77777777" w:rsidR="00E92DD5" w:rsidRDefault="00E92DD5" w:rsidP="001375D4">
            <w:pPr>
              <w:jc w:val="left"/>
              <w:rPr>
                <w:rFonts w:cs="Arial"/>
                <w:color w:val="auto"/>
                <w:sz w:val="19"/>
                <w:szCs w:val="19"/>
              </w:rPr>
            </w:pPr>
            <w:r>
              <w:rPr>
                <w:rFonts w:cs="Arial"/>
                <w:color w:val="auto"/>
                <w:sz w:val="19"/>
                <w:szCs w:val="19"/>
              </w:rPr>
              <w:t>0</w:t>
            </w:r>
          </w:p>
        </w:tc>
        <w:tc>
          <w:tcPr>
            <w:tcW w:w="676" w:type="pct"/>
            <w:tcBorders>
              <w:top w:val="single" w:sz="4" w:space="0" w:color="auto"/>
              <w:left w:val="single" w:sz="4" w:space="0" w:color="auto"/>
              <w:right w:val="single" w:sz="4" w:space="0" w:color="auto"/>
            </w:tcBorders>
            <w:shd w:val="clear" w:color="auto" w:fill="E2EFD9" w:themeFill="accent6" w:themeFillTint="33"/>
          </w:tcPr>
          <w:p w14:paraId="0603D7F5" w14:textId="77777777" w:rsidR="00E92DD5" w:rsidRDefault="00E92DD5" w:rsidP="001375D4">
            <w:pPr>
              <w:jc w:val="left"/>
              <w:rPr>
                <w:rFonts w:cs="Arial"/>
                <w:color w:val="auto"/>
                <w:sz w:val="19"/>
                <w:szCs w:val="19"/>
              </w:rPr>
            </w:pPr>
            <w:r>
              <w:rPr>
                <w:rFonts w:cs="Arial"/>
                <w:color w:val="auto"/>
                <w:sz w:val="19"/>
                <w:szCs w:val="19"/>
              </w:rPr>
              <w:t>0</w:t>
            </w:r>
          </w:p>
        </w:tc>
      </w:tr>
      <w:tr w:rsidR="00E92DD5" w:rsidRPr="00BF0490" w14:paraId="38178496" w14:textId="77777777" w:rsidTr="00AE483E">
        <w:trPr>
          <w:cantSplit/>
          <w:trHeight w:val="421"/>
        </w:trPr>
        <w:tc>
          <w:tcPr>
            <w:tcW w:w="705" w:type="pct"/>
            <w:vMerge/>
            <w:tcBorders>
              <w:top w:val="single" w:sz="4" w:space="0" w:color="auto"/>
              <w:left w:val="single" w:sz="4" w:space="0" w:color="auto"/>
              <w:right w:val="single" w:sz="4" w:space="0" w:color="auto"/>
            </w:tcBorders>
          </w:tcPr>
          <w:p w14:paraId="48C17A8A"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4186CB36" w14:textId="77777777" w:rsidR="00E92DD5" w:rsidRPr="00BF0490" w:rsidRDefault="00E92DD5" w:rsidP="001375D4">
            <w:pPr>
              <w:jc w:val="left"/>
              <w:rPr>
                <w:rFonts w:cs="Arial"/>
                <w:color w:val="auto"/>
                <w:sz w:val="19"/>
                <w:szCs w:val="19"/>
              </w:rPr>
            </w:pPr>
          </w:p>
        </w:tc>
        <w:tc>
          <w:tcPr>
            <w:tcW w:w="586" w:type="pct"/>
            <w:gridSpan w:val="2"/>
            <w:tcBorders>
              <w:top w:val="single" w:sz="4" w:space="0" w:color="auto"/>
              <w:left w:val="single" w:sz="4" w:space="0" w:color="auto"/>
              <w:right w:val="single" w:sz="4" w:space="0" w:color="auto"/>
            </w:tcBorders>
          </w:tcPr>
          <w:p w14:paraId="6B2EB09B"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384" w:type="pct"/>
            <w:tcBorders>
              <w:top w:val="single" w:sz="4" w:space="0" w:color="auto"/>
              <w:left w:val="single" w:sz="4" w:space="0" w:color="auto"/>
              <w:right w:val="single" w:sz="4" w:space="0" w:color="auto"/>
            </w:tcBorders>
            <w:shd w:val="clear" w:color="auto" w:fill="D9D9D9" w:themeFill="background1" w:themeFillShade="D9"/>
          </w:tcPr>
          <w:p w14:paraId="793A09EA" w14:textId="77777777" w:rsidR="00E92DD5" w:rsidRPr="00BF0490" w:rsidRDefault="00E92DD5" w:rsidP="001375D4">
            <w:pPr>
              <w:jc w:val="left"/>
              <w:rPr>
                <w:rFonts w:cs="Arial"/>
                <w:color w:val="auto"/>
                <w:sz w:val="19"/>
                <w:szCs w:val="19"/>
              </w:rPr>
            </w:pPr>
          </w:p>
        </w:tc>
        <w:tc>
          <w:tcPr>
            <w:tcW w:w="385" w:type="pct"/>
            <w:gridSpan w:val="3"/>
            <w:tcBorders>
              <w:top w:val="single" w:sz="4" w:space="0" w:color="auto"/>
              <w:left w:val="single" w:sz="4" w:space="0" w:color="auto"/>
              <w:right w:val="single" w:sz="4" w:space="0" w:color="auto"/>
            </w:tcBorders>
            <w:shd w:val="clear" w:color="auto" w:fill="D9D9D9" w:themeFill="background1" w:themeFillShade="D9"/>
          </w:tcPr>
          <w:p w14:paraId="429B4D85" w14:textId="77777777" w:rsidR="00E92DD5" w:rsidRPr="00BF0490" w:rsidRDefault="00E92DD5" w:rsidP="001375D4">
            <w:pPr>
              <w:jc w:val="left"/>
              <w:rPr>
                <w:rFonts w:cs="Arial"/>
                <w:color w:val="auto"/>
                <w:sz w:val="19"/>
                <w:szCs w:val="19"/>
              </w:rPr>
            </w:pPr>
          </w:p>
        </w:tc>
        <w:tc>
          <w:tcPr>
            <w:tcW w:w="375" w:type="pct"/>
            <w:tcBorders>
              <w:top w:val="single" w:sz="4" w:space="0" w:color="auto"/>
              <w:left w:val="single" w:sz="4" w:space="0" w:color="auto"/>
              <w:right w:val="single" w:sz="4" w:space="0" w:color="auto"/>
            </w:tcBorders>
            <w:shd w:val="clear" w:color="auto" w:fill="D9D9D9" w:themeFill="background1" w:themeFillShade="D9"/>
          </w:tcPr>
          <w:p w14:paraId="5AF9B65D" w14:textId="77777777" w:rsidR="00E92DD5" w:rsidRPr="00BF0490" w:rsidRDefault="00E92DD5" w:rsidP="001375D4">
            <w:pPr>
              <w:jc w:val="left"/>
              <w:rPr>
                <w:rFonts w:cs="Arial"/>
                <w:color w:val="auto"/>
                <w:sz w:val="19"/>
                <w:szCs w:val="19"/>
              </w:rPr>
            </w:pPr>
          </w:p>
        </w:tc>
        <w:tc>
          <w:tcPr>
            <w:tcW w:w="473" w:type="pct"/>
            <w:tcBorders>
              <w:top w:val="single" w:sz="4" w:space="0" w:color="auto"/>
              <w:left w:val="single" w:sz="4" w:space="0" w:color="auto"/>
              <w:right w:val="single" w:sz="4" w:space="0" w:color="auto"/>
            </w:tcBorders>
            <w:shd w:val="clear" w:color="auto" w:fill="D9D9D9" w:themeFill="background1" w:themeFillShade="D9"/>
          </w:tcPr>
          <w:p w14:paraId="38D5FFD4" w14:textId="77777777" w:rsidR="00E92DD5" w:rsidRPr="00BF0490" w:rsidRDefault="00E92DD5" w:rsidP="001375D4">
            <w:pPr>
              <w:jc w:val="left"/>
              <w:rPr>
                <w:rFonts w:cs="Arial"/>
                <w:color w:val="auto"/>
                <w:sz w:val="19"/>
                <w:szCs w:val="19"/>
              </w:rPr>
            </w:pPr>
          </w:p>
        </w:tc>
        <w:tc>
          <w:tcPr>
            <w:tcW w:w="362" w:type="pct"/>
            <w:tcBorders>
              <w:top w:val="single" w:sz="4" w:space="0" w:color="auto"/>
              <w:left w:val="single" w:sz="4" w:space="0" w:color="auto"/>
              <w:right w:val="single" w:sz="4" w:space="0" w:color="auto"/>
            </w:tcBorders>
            <w:shd w:val="clear" w:color="auto" w:fill="D9D9D9" w:themeFill="background1" w:themeFillShade="D9"/>
          </w:tcPr>
          <w:p w14:paraId="04C42D07" w14:textId="77777777" w:rsidR="00E92DD5" w:rsidRDefault="00E92DD5" w:rsidP="001375D4">
            <w:pPr>
              <w:jc w:val="left"/>
              <w:rPr>
                <w:rFonts w:cs="Arial"/>
                <w:color w:val="auto"/>
                <w:sz w:val="19"/>
                <w:szCs w:val="19"/>
              </w:rPr>
            </w:pPr>
          </w:p>
        </w:tc>
        <w:tc>
          <w:tcPr>
            <w:tcW w:w="424" w:type="pct"/>
            <w:tcBorders>
              <w:top w:val="single" w:sz="4" w:space="0" w:color="auto"/>
              <w:left w:val="single" w:sz="4" w:space="0" w:color="auto"/>
              <w:right w:val="single" w:sz="4" w:space="0" w:color="auto"/>
            </w:tcBorders>
            <w:shd w:val="clear" w:color="auto" w:fill="E2EFD9" w:themeFill="accent6" w:themeFillTint="33"/>
          </w:tcPr>
          <w:p w14:paraId="7500242E" w14:textId="77777777" w:rsidR="00E92DD5" w:rsidRDefault="00E92DD5" w:rsidP="001375D4">
            <w:pPr>
              <w:jc w:val="left"/>
              <w:rPr>
                <w:rFonts w:cs="Arial"/>
                <w:color w:val="auto"/>
                <w:sz w:val="19"/>
                <w:szCs w:val="19"/>
              </w:rPr>
            </w:pPr>
            <w:r>
              <w:rPr>
                <w:rFonts w:cs="Arial"/>
                <w:color w:val="auto"/>
                <w:sz w:val="19"/>
                <w:szCs w:val="19"/>
              </w:rPr>
              <w:t>0</w:t>
            </w:r>
          </w:p>
        </w:tc>
        <w:tc>
          <w:tcPr>
            <w:tcW w:w="676" w:type="pct"/>
            <w:tcBorders>
              <w:top w:val="single" w:sz="4" w:space="0" w:color="auto"/>
              <w:left w:val="single" w:sz="4" w:space="0" w:color="auto"/>
              <w:right w:val="single" w:sz="4" w:space="0" w:color="auto"/>
            </w:tcBorders>
            <w:shd w:val="clear" w:color="auto" w:fill="E2EFD9" w:themeFill="accent6" w:themeFillTint="33"/>
          </w:tcPr>
          <w:p w14:paraId="2178F339" w14:textId="77777777" w:rsidR="00E92DD5" w:rsidRDefault="00E92DD5" w:rsidP="001375D4">
            <w:pPr>
              <w:jc w:val="left"/>
              <w:rPr>
                <w:rFonts w:cs="Arial"/>
                <w:color w:val="auto"/>
                <w:sz w:val="19"/>
                <w:szCs w:val="19"/>
              </w:rPr>
            </w:pPr>
            <w:r>
              <w:rPr>
                <w:rFonts w:cs="Arial"/>
                <w:color w:val="auto"/>
                <w:sz w:val="19"/>
                <w:szCs w:val="19"/>
              </w:rPr>
              <w:t>0</w:t>
            </w:r>
          </w:p>
        </w:tc>
      </w:tr>
      <w:tr w:rsidR="00E92DD5" w:rsidRPr="00BF0490" w14:paraId="6B0173C6" w14:textId="77777777" w:rsidTr="00AE483E">
        <w:trPr>
          <w:cantSplit/>
          <w:trHeight w:val="613"/>
        </w:trPr>
        <w:tc>
          <w:tcPr>
            <w:tcW w:w="705" w:type="pct"/>
            <w:vMerge/>
            <w:tcBorders>
              <w:top w:val="single" w:sz="4" w:space="0" w:color="auto"/>
              <w:left w:val="single" w:sz="4" w:space="0" w:color="auto"/>
              <w:right w:val="single" w:sz="4" w:space="0" w:color="auto"/>
            </w:tcBorders>
          </w:tcPr>
          <w:p w14:paraId="79462EC7" w14:textId="77777777" w:rsidR="00E92DD5" w:rsidRPr="00BF0490" w:rsidRDefault="00E92DD5" w:rsidP="001375D4">
            <w:pPr>
              <w:jc w:val="left"/>
              <w:rPr>
                <w:sz w:val="19"/>
                <w:szCs w:val="19"/>
              </w:rPr>
            </w:pPr>
          </w:p>
        </w:tc>
        <w:tc>
          <w:tcPr>
            <w:tcW w:w="630" w:type="pct"/>
            <w:vMerge w:val="restart"/>
            <w:tcBorders>
              <w:top w:val="single" w:sz="4" w:space="0" w:color="auto"/>
              <w:left w:val="single" w:sz="4" w:space="0" w:color="auto"/>
              <w:right w:val="single" w:sz="4" w:space="0" w:color="auto"/>
            </w:tcBorders>
          </w:tcPr>
          <w:p w14:paraId="147D82A7" w14:textId="77777777" w:rsidR="00E92DD5" w:rsidRPr="00BF0490" w:rsidRDefault="00E92DD5" w:rsidP="001375D4">
            <w:pPr>
              <w:jc w:val="left"/>
              <w:rPr>
                <w:rFonts w:cs="Arial"/>
                <w:color w:val="auto"/>
                <w:sz w:val="19"/>
                <w:szCs w:val="19"/>
              </w:rPr>
            </w:pPr>
            <w:r w:rsidRPr="00C575B0">
              <w:rPr>
                <w:b/>
                <w:bCs/>
                <w:color w:val="auto"/>
                <w:sz w:val="19"/>
                <w:szCs w:val="19"/>
              </w:rPr>
              <w:t>DS Lock 1</w:t>
            </w:r>
          </w:p>
        </w:tc>
        <w:tc>
          <w:tcPr>
            <w:tcW w:w="586" w:type="pct"/>
            <w:gridSpan w:val="2"/>
            <w:tcBorders>
              <w:top w:val="single" w:sz="4" w:space="0" w:color="auto"/>
              <w:left w:val="single" w:sz="4" w:space="0" w:color="auto"/>
              <w:right w:val="single" w:sz="4" w:space="0" w:color="auto"/>
            </w:tcBorders>
          </w:tcPr>
          <w:p w14:paraId="2E0A0BF9"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384" w:type="pct"/>
            <w:tcBorders>
              <w:top w:val="single" w:sz="4" w:space="0" w:color="auto"/>
              <w:left w:val="single" w:sz="4" w:space="0" w:color="auto"/>
              <w:right w:val="single" w:sz="4" w:space="0" w:color="auto"/>
            </w:tcBorders>
            <w:shd w:val="clear" w:color="auto" w:fill="E2EFD9" w:themeFill="accent6" w:themeFillTint="33"/>
          </w:tcPr>
          <w:p w14:paraId="527A17FD"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85" w:type="pct"/>
            <w:gridSpan w:val="3"/>
            <w:tcBorders>
              <w:top w:val="single" w:sz="4" w:space="0" w:color="auto"/>
              <w:left w:val="single" w:sz="4" w:space="0" w:color="auto"/>
              <w:right w:val="single" w:sz="4" w:space="0" w:color="auto"/>
            </w:tcBorders>
            <w:shd w:val="clear" w:color="auto" w:fill="E2EFD9" w:themeFill="accent6" w:themeFillTint="33"/>
          </w:tcPr>
          <w:p w14:paraId="30F71828"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75" w:type="pct"/>
            <w:tcBorders>
              <w:top w:val="single" w:sz="4" w:space="0" w:color="auto"/>
              <w:left w:val="single" w:sz="4" w:space="0" w:color="auto"/>
              <w:right w:val="single" w:sz="4" w:space="0" w:color="auto"/>
            </w:tcBorders>
            <w:shd w:val="clear" w:color="auto" w:fill="E2EFD9" w:themeFill="accent6" w:themeFillTint="33"/>
          </w:tcPr>
          <w:p w14:paraId="126688CE" w14:textId="27341741" w:rsidR="00E92DD5" w:rsidRPr="00BF0490" w:rsidRDefault="00E92DD5" w:rsidP="001375D4">
            <w:pPr>
              <w:jc w:val="left"/>
              <w:rPr>
                <w:rFonts w:cs="Arial"/>
                <w:color w:val="auto"/>
                <w:sz w:val="19"/>
                <w:szCs w:val="19"/>
              </w:rPr>
            </w:pPr>
            <w:r>
              <w:rPr>
                <w:rFonts w:cs="Arial"/>
                <w:color w:val="auto"/>
                <w:sz w:val="19"/>
                <w:szCs w:val="19"/>
              </w:rPr>
              <w:t>1</w:t>
            </w:r>
          </w:p>
        </w:tc>
        <w:tc>
          <w:tcPr>
            <w:tcW w:w="473" w:type="pct"/>
            <w:tcBorders>
              <w:top w:val="single" w:sz="4" w:space="0" w:color="auto"/>
              <w:left w:val="single" w:sz="4" w:space="0" w:color="auto"/>
              <w:right w:val="single" w:sz="4" w:space="0" w:color="auto"/>
            </w:tcBorders>
            <w:shd w:val="clear" w:color="auto" w:fill="E2EFD9" w:themeFill="accent6" w:themeFillTint="33"/>
          </w:tcPr>
          <w:p w14:paraId="029B0B40"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62" w:type="pct"/>
            <w:tcBorders>
              <w:top w:val="single" w:sz="4" w:space="0" w:color="auto"/>
              <w:left w:val="single" w:sz="4" w:space="0" w:color="auto"/>
              <w:right w:val="single" w:sz="4" w:space="0" w:color="auto"/>
            </w:tcBorders>
            <w:shd w:val="clear" w:color="auto" w:fill="E2EFD9" w:themeFill="accent6" w:themeFillTint="33"/>
          </w:tcPr>
          <w:p w14:paraId="110B4383" w14:textId="77777777" w:rsidR="00E92DD5" w:rsidRDefault="00E92DD5" w:rsidP="001375D4">
            <w:pPr>
              <w:jc w:val="left"/>
              <w:rPr>
                <w:rFonts w:cs="Arial"/>
                <w:color w:val="auto"/>
                <w:sz w:val="19"/>
                <w:szCs w:val="19"/>
              </w:rPr>
            </w:pPr>
            <w:r>
              <w:rPr>
                <w:rFonts w:cs="Arial"/>
                <w:color w:val="auto"/>
                <w:sz w:val="19"/>
                <w:szCs w:val="19"/>
              </w:rPr>
              <w:t>0</w:t>
            </w:r>
          </w:p>
        </w:tc>
        <w:tc>
          <w:tcPr>
            <w:tcW w:w="424" w:type="pct"/>
            <w:tcBorders>
              <w:top w:val="single" w:sz="4" w:space="0" w:color="auto"/>
              <w:left w:val="single" w:sz="4" w:space="0" w:color="auto"/>
              <w:right w:val="single" w:sz="4" w:space="0" w:color="auto"/>
            </w:tcBorders>
            <w:shd w:val="clear" w:color="auto" w:fill="E2EFD9" w:themeFill="accent6" w:themeFillTint="33"/>
          </w:tcPr>
          <w:p w14:paraId="7829A0FA" w14:textId="146CD54F" w:rsidR="00E92DD5" w:rsidRDefault="00E92DD5" w:rsidP="001375D4">
            <w:pPr>
              <w:jc w:val="left"/>
              <w:rPr>
                <w:rFonts w:cs="Arial"/>
                <w:color w:val="auto"/>
                <w:sz w:val="19"/>
                <w:szCs w:val="19"/>
              </w:rPr>
            </w:pPr>
            <w:r>
              <w:rPr>
                <w:rFonts w:cs="Arial"/>
                <w:color w:val="auto"/>
                <w:sz w:val="19"/>
                <w:szCs w:val="19"/>
              </w:rPr>
              <w:t>1.5</w:t>
            </w:r>
          </w:p>
        </w:tc>
        <w:tc>
          <w:tcPr>
            <w:tcW w:w="676" w:type="pct"/>
            <w:tcBorders>
              <w:top w:val="single" w:sz="4" w:space="0" w:color="auto"/>
              <w:left w:val="single" w:sz="4" w:space="0" w:color="auto"/>
              <w:right w:val="single" w:sz="4" w:space="0" w:color="auto"/>
            </w:tcBorders>
            <w:shd w:val="clear" w:color="auto" w:fill="E2EFD9" w:themeFill="accent6" w:themeFillTint="33"/>
          </w:tcPr>
          <w:p w14:paraId="701183FD" w14:textId="2E3FF01F" w:rsidR="00E92DD5" w:rsidRDefault="00E92DD5" w:rsidP="001375D4">
            <w:pPr>
              <w:jc w:val="left"/>
              <w:rPr>
                <w:rFonts w:cs="Arial"/>
                <w:color w:val="auto"/>
                <w:sz w:val="19"/>
                <w:szCs w:val="19"/>
              </w:rPr>
            </w:pPr>
            <w:r>
              <w:rPr>
                <w:rFonts w:cs="Arial"/>
                <w:color w:val="auto"/>
                <w:sz w:val="19"/>
                <w:szCs w:val="19"/>
              </w:rPr>
              <w:t>1</w:t>
            </w:r>
          </w:p>
        </w:tc>
      </w:tr>
      <w:tr w:rsidR="00E92DD5" w:rsidRPr="00BF0490" w14:paraId="085FEE8E" w14:textId="77777777" w:rsidTr="00C5668B">
        <w:trPr>
          <w:cantSplit/>
          <w:trHeight w:val="597"/>
        </w:trPr>
        <w:tc>
          <w:tcPr>
            <w:tcW w:w="705" w:type="pct"/>
            <w:vMerge/>
            <w:tcBorders>
              <w:top w:val="single" w:sz="4" w:space="0" w:color="auto"/>
              <w:left w:val="single" w:sz="4" w:space="0" w:color="auto"/>
              <w:right w:val="single" w:sz="4" w:space="0" w:color="auto"/>
            </w:tcBorders>
          </w:tcPr>
          <w:p w14:paraId="31C35E4E"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2F05950D" w14:textId="77777777" w:rsidR="00E92DD5" w:rsidRPr="00BF0490" w:rsidRDefault="00E92DD5" w:rsidP="001375D4">
            <w:pPr>
              <w:jc w:val="left"/>
              <w:rPr>
                <w:rFonts w:cs="Arial"/>
                <w:color w:val="auto"/>
                <w:sz w:val="19"/>
                <w:szCs w:val="19"/>
              </w:rPr>
            </w:pPr>
          </w:p>
        </w:tc>
        <w:tc>
          <w:tcPr>
            <w:tcW w:w="586" w:type="pct"/>
            <w:gridSpan w:val="2"/>
            <w:tcBorders>
              <w:top w:val="single" w:sz="4" w:space="0" w:color="auto"/>
              <w:left w:val="single" w:sz="4" w:space="0" w:color="auto"/>
              <w:right w:val="single" w:sz="4" w:space="0" w:color="auto"/>
            </w:tcBorders>
          </w:tcPr>
          <w:p w14:paraId="0433EED7"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384" w:type="pct"/>
            <w:tcBorders>
              <w:top w:val="single" w:sz="4" w:space="0" w:color="auto"/>
              <w:left w:val="single" w:sz="4" w:space="0" w:color="auto"/>
              <w:right w:val="single" w:sz="4" w:space="0" w:color="auto"/>
            </w:tcBorders>
            <w:shd w:val="clear" w:color="auto" w:fill="E2EFD9" w:themeFill="accent6" w:themeFillTint="33"/>
          </w:tcPr>
          <w:p w14:paraId="575E5CC9"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85" w:type="pct"/>
            <w:gridSpan w:val="3"/>
            <w:tcBorders>
              <w:top w:val="single" w:sz="4" w:space="0" w:color="auto"/>
              <w:left w:val="single" w:sz="4" w:space="0" w:color="auto"/>
              <w:right w:val="single" w:sz="4" w:space="0" w:color="auto"/>
            </w:tcBorders>
            <w:shd w:val="clear" w:color="auto" w:fill="E2EFD9" w:themeFill="accent6" w:themeFillTint="33"/>
          </w:tcPr>
          <w:p w14:paraId="5A1A6B14"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75" w:type="pct"/>
            <w:tcBorders>
              <w:top w:val="single" w:sz="4" w:space="0" w:color="auto"/>
              <w:left w:val="single" w:sz="4" w:space="0" w:color="auto"/>
              <w:right w:val="single" w:sz="4" w:space="0" w:color="auto"/>
            </w:tcBorders>
            <w:shd w:val="clear" w:color="auto" w:fill="E2EFD9" w:themeFill="accent6" w:themeFillTint="33"/>
          </w:tcPr>
          <w:p w14:paraId="428AB2DC"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473" w:type="pct"/>
            <w:tcBorders>
              <w:top w:val="single" w:sz="4" w:space="0" w:color="auto"/>
              <w:left w:val="single" w:sz="4" w:space="0" w:color="auto"/>
              <w:right w:val="single" w:sz="4" w:space="0" w:color="auto"/>
            </w:tcBorders>
            <w:shd w:val="clear" w:color="auto" w:fill="E2EFD9" w:themeFill="accent6" w:themeFillTint="33"/>
          </w:tcPr>
          <w:p w14:paraId="5DFC7E88"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62" w:type="pct"/>
            <w:tcBorders>
              <w:top w:val="single" w:sz="4" w:space="0" w:color="auto"/>
              <w:left w:val="single" w:sz="4" w:space="0" w:color="auto"/>
              <w:right w:val="single" w:sz="4" w:space="0" w:color="auto"/>
            </w:tcBorders>
            <w:shd w:val="clear" w:color="auto" w:fill="E2EFD9" w:themeFill="accent6" w:themeFillTint="33"/>
          </w:tcPr>
          <w:p w14:paraId="3A8F14BA" w14:textId="77777777" w:rsidR="00E92DD5" w:rsidRDefault="00E92DD5" w:rsidP="001375D4">
            <w:pPr>
              <w:jc w:val="left"/>
              <w:rPr>
                <w:rFonts w:cs="Arial"/>
                <w:color w:val="auto"/>
                <w:sz w:val="19"/>
                <w:szCs w:val="19"/>
              </w:rPr>
            </w:pPr>
            <w:r>
              <w:rPr>
                <w:rFonts w:cs="Arial"/>
                <w:color w:val="auto"/>
                <w:sz w:val="19"/>
                <w:szCs w:val="19"/>
              </w:rPr>
              <w:t>0</w:t>
            </w:r>
          </w:p>
        </w:tc>
        <w:tc>
          <w:tcPr>
            <w:tcW w:w="424" w:type="pct"/>
            <w:tcBorders>
              <w:top w:val="single" w:sz="4" w:space="0" w:color="auto"/>
              <w:left w:val="single" w:sz="4" w:space="0" w:color="auto"/>
              <w:right w:val="single" w:sz="4" w:space="0" w:color="auto"/>
            </w:tcBorders>
            <w:shd w:val="clear" w:color="auto" w:fill="E2EFD9" w:themeFill="accent6" w:themeFillTint="33"/>
          </w:tcPr>
          <w:p w14:paraId="1E1AFDF0" w14:textId="77777777" w:rsidR="00E92DD5" w:rsidRDefault="00E92DD5" w:rsidP="001375D4">
            <w:pPr>
              <w:jc w:val="left"/>
              <w:rPr>
                <w:rFonts w:cs="Arial"/>
                <w:color w:val="auto"/>
                <w:sz w:val="19"/>
                <w:szCs w:val="19"/>
              </w:rPr>
            </w:pPr>
            <w:r>
              <w:rPr>
                <w:rFonts w:cs="Arial"/>
                <w:color w:val="auto"/>
                <w:sz w:val="19"/>
                <w:szCs w:val="19"/>
              </w:rPr>
              <w:t>1</w:t>
            </w:r>
          </w:p>
        </w:tc>
        <w:tc>
          <w:tcPr>
            <w:tcW w:w="676" w:type="pct"/>
            <w:tcBorders>
              <w:top w:val="single" w:sz="4" w:space="0" w:color="auto"/>
              <w:left w:val="single" w:sz="4" w:space="0" w:color="auto"/>
              <w:right w:val="single" w:sz="4" w:space="0" w:color="auto"/>
            </w:tcBorders>
            <w:shd w:val="clear" w:color="auto" w:fill="E2EFD9" w:themeFill="accent6" w:themeFillTint="33"/>
          </w:tcPr>
          <w:p w14:paraId="0C8C95EA" w14:textId="77777777" w:rsidR="00E92DD5" w:rsidRDefault="00E92DD5" w:rsidP="001375D4">
            <w:pPr>
              <w:jc w:val="left"/>
              <w:rPr>
                <w:rFonts w:cs="Arial"/>
                <w:color w:val="auto"/>
                <w:sz w:val="19"/>
                <w:szCs w:val="19"/>
              </w:rPr>
            </w:pPr>
            <w:r>
              <w:rPr>
                <w:rFonts w:cs="Arial"/>
                <w:color w:val="auto"/>
                <w:sz w:val="19"/>
                <w:szCs w:val="19"/>
              </w:rPr>
              <w:t>1</w:t>
            </w:r>
          </w:p>
        </w:tc>
      </w:tr>
      <w:tr w:rsidR="00E92DD5" w:rsidRPr="00BF0490" w14:paraId="3B7958A8" w14:textId="77777777" w:rsidTr="00C5668B">
        <w:trPr>
          <w:cantSplit/>
          <w:trHeight w:val="2210"/>
        </w:trPr>
        <w:tc>
          <w:tcPr>
            <w:tcW w:w="705" w:type="pct"/>
            <w:vMerge/>
            <w:tcBorders>
              <w:left w:val="single" w:sz="4" w:space="0" w:color="auto"/>
              <w:right w:val="single" w:sz="4" w:space="0" w:color="auto"/>
            </w:tcBorders>
          </w:tcPr>
          <w:p w14:paraId="634F6812" w14:textId="77777777" w:rsidR="00E92DD5" w:rsidRPr="00BF0490" w:rsidRDefault="00E92DD5" w:rsidP="001375D4">
            <w:pPr>
              <w:jc w:val="left"/>
              <w:rPr>
                <w:sz w:val="19"/>
                <w:szCs w:val="19"/>
              </w:rPr>
            </w:pPr>
          </w:p>
        </w:tc>
        <w:tc>
          <w:tcPr>
            <w:tcW w:w="4295" w:type="pct"/>
            <w:gridSpan w:val="12"/>
            <w:tcBorders>
              <w:left w:val="single" w:sz="4" w:space="0" w:color="auto"/>
              <w:right w:val="single" w:sz="4" w:space="0" w:color="auto"/>
            </w:tcBorders>
            <w:shd w:val="clear" w:color="auto" w:fill="E2EFD9" w:themeFill="accent6" w:themeFillTint="33"/>
          </w:tcPr>
          <w:p w14:paraId="6F9B7F8E" w14:textId="6E245406" w:rsidR="00E92DD5" w:rsidRPr="00BF0490" w:rsidRDefault="00E92DD5" w:rsidP="001375D4">
            <w:pPr>
              <w:rPr>
                <w:sz w:val="19"/>
                <w:szCs w:val="19"/>
              </w:rPr>
            </w:pPr>
            <w:r w:rsidRPr="00BF0490">
              <w:rPr>
                <w:sz w:val="19"/>
                <w:szCs w:val="19"/>
              </w:rPr>
              <w:t xml:space="preserve">Increased </w:t>
            </w:r>
            <w:r>
              <w:rPr>
                <w:sz w:val="19"/>
                <w:szCs w:val="19"/>
              </w:rPr>
              <w:t>eWater delivery</w:t>
            </w:r>
            <w:r w:rsidRPr="00BF0490">
              <w:rPr>
                <w:sz w:val="19"/>
                <w:szCs w:val="19"/>
              </w:rPr>
              <w:t xml:space="preserve"> generally reduced the volumetric rate of primary production but increased the cross-sectional rate. This increased the overall “carrying capacity” of the river, although the implications of changes in the ratios of these two measures are unknown. </w:t>
            </w:r>
            <w:r>
              <w:rPr>
                <w:sz w:val="19"/>
                <w:szCs w:val="19"/>
              </w:rPr>
              <w:t xml:space="preserve">The average percentage changes in cross-sectional GPP over the monitoring period are used to assess the influences of environmental flows on primary production. </w:t>
            </w:r>
            <w:r w:rsidRPr="00BF0490">
              <w:rPr>
                <w:sz w:val="19"/>
                <w:szCs w:val="19"/>
              </w:rPr>
              <w:t>At the LMR sites, increase</w:t>
            </w:r>
            <w:r>
              <w:rPr>
                <w:sz w:val="19"/>
                <w:szCs w:val="19"/>
              </w:rPr>
              <w:t>s</w:t>
            </w:r>
            <w:r w:rsidRPr="00BF0490">
              <w:rPr>
                <w:sz w:val="19"/>
                <w:szCs w:val="19"/>
              </w:rPr>
              <w:t xml:space="preserve"> in cross-sectional GPP </w:t>
            </w:r>
            <w:r>
              <w:rPr>
                <w:sz w:val="19"/>
                <w:szCs w:val="19"/>
              </w:rPr>
              <w:t xml:space="preserve">in response to eWater/CEW delivery </w:t>
            </w:r>
            <w:r w:rsidRPr="00BF0490">
              <w:rPr>
                <w:sz w:val="19"/>
                <w:szCs w:val="19"/>
              </w:rPr>
              <w:t xml:space="preserve">were </w:t>
            </w:r>
            <w:r>
              <w:rPr>
                <w:sz w:val="19"/>
                <w:szCs w:val="19"/>
              </w:rPr>
              <w:t>small</w:t>
            </w:r>
            <w:r w:rsidRPr="00BF0490">
              <w:rPr>
                <w:sz w:val="19"/>
                <w:szCs w:val="19"/>
              </w:rPr>
              <w:t xml:space="preserve"> </w:t>
            </w:r>
            <w:r>
              <w:rPr>
                <w:sz w:val="19"/>
                <w:szCs w:val="19"/>
              </w:rPr>
              <w:t>because of</w:t>
            </w:r>
            <w:r w:rsidRPr="00BF0490">
              <w:rPr>
                <w:sz w:val="19"/>
                <w:szCs w:val="19"/>
              </w:rPr>
              <w:t xml:space="preserve"> the </w:t>
            </w:r>
            <w:r>
              <w:rPr>
                <w:sz w:val="19"/>
                <w:szCs w:val="19"/>
              </w:rPr>
              <w:t>stable</w:t>
            </w:r>
            <w:r w:rsidRPr="00BF0490">
              <w:rPr>
                <w:sz w:val="19"/>
                <w:szCs w:val="19"/>
              </w:rPr>
              <w:t xml:space="preserve"> water levels </w:t>
            </w:r>
            <w:r>
              <w:rPr>
                <w:sz w:val="19"/>
                <w:szCs w:val="19"/>
              </w:rPr>
              <w:t>induced</w:t>
            </w:r>
            <w:r w:rsidRPr="00BF0490">
              <w:rPr>
                <w:sz w:val="19"/>
                <w:szCs w:val="19"/>
              </w:rPr>
              <w:t xml:space="preserve"> by </w:t>
            </w:r>
            <w:r>
              <w:rPr>
                <w:sz w:val="19"/>
                <w:szCs w:val="19"/>
              </w:rPr>
              <w:t xml:space="preserve">the </w:t>
            </w:r>
            <w:r w:rsidRPr="00BF0490">
              <w:rPr>
                <w:sz w:val="19"/>
                <w:szCs w:val="19"/>
              </w:rPr>
              <w:t>weirs</w:t>
            </w:r>
            <w:r>
              <w:rPr>
                <w:sz w:val="19"/>
                <w:szCs w:val="19"/>
              </w:rPr>
              <w:t xml:space="preserve">, but also because of the relatively short flow </w:t>
            </w:r>
            <w:r w:rsidR="0014455D">
              <w:rPr>
                <w:sz w:val="19"/>
                <w:szCs w:val="19"/>
              </w:rPr>
              <w:t>periods. However, changes during the flow pulses were larger than seasonal averages and likely to impact food web resources, but an evaluation of this is not yet developed.</w:t>
            </w:r>
            <w:r w:rsidR="0014455D" w:rsidRPr="00BF0490">
              <w:rPr>
                <w:sz w:val="19"/>
                <w:szCs w:val="19"/>
              </w:rPr>
              <w:t xml:space="preserve"> </w:t>
            </w:r>
            <w:r w:rsidR="008D22DC" w:rsidRPr="00BF0490">
              <w:rPr>
                <w:sz w:val="19"/>
                <w:szCs w:val="19"/>
              </w:rPr>
              <w:t xml:space="preserve"> A substantial contribution was considered an increase in </w:t>
            </w:r>
            <w:r w:rsidR="008D22DC">
              <w:rPr>
                <w:sz w:val="19"/>
                <w:szCs w:val="19"/>
              </w:rPr>
              <w:t xml:space="preserve">average </w:t>
            </w:r>
            <w:r w:rsidR="008D22DC" w:rsidRPr="00BF0490">
              <w:rPr>
                <w:sz w:val="19"/>
                <w:szCs w:val="19"/>
              </w:rPr>
              <w:t>cross-sectional GPP of 20% or greater, moderate 11</w:t>
            </w:r>
            <w:r w:rsidR="008D22DC">
              <w:rPr>
                <w:sz w:val="19"/>
                <w:szCs w:val="19"/>
              </w:rPr>
              <w:t>–</w:t>
            </w:r>
            <w:r w:rsidR="008D22DC" w:rsidRPr="00BF0490">
              <w:rPr>
                <w:sz w:val="19"/>
                <w:szCs w:val="19"/>
              </w:rPr>
              <w:t>19%, minor 5</w:t>
            </w:r>
            <w:r w:rsidR="008D22DC">
              <w:rPr>
                <w:sz w:val="19"/>
                <w:szCs w:val="19"/>
              </w:rPr>
              <w:t>–</w:t>
            </w:r>
            <w:r w:rsidR="008D22DC" w:rsidRPr="00BF0490">
              <w:rPr>
                <w:sz w:val="19"/>
                <w:szCs w:val="19"/>
              </w:rPr>
              <w:t>10%, negligible &lt;5%.</w:t>
            </w:r>
          </w:p>
        </w:tc>
      </w:tr>
      <w:tr w:rsidR="001D7B5C" w:rsidRPr="00BF0490" w14:paraId="2552DA1D" w14:textId="77777777" w:rsidTr="00D85084">
        <w:trPr>
          <w:cantSplit/>
          <w:trHeight w:val="20"/>
        </w:trPr>
        <w:tc>
          <w:tcPr>
            <w:tcW w:w="705" w:type="pct"/>
            <w:vMerge w:val="restart"/>
            <w:tcBorders>
              <w:top w:val="single" w:sz="4" w:space="0" w:color="auto"/>
              <w:left w:val="single" w:sz="4" w:space="0" w:color="auto"/>
              <w:right w:val="single" w:sz="4" w:space="0" w:color="auto"/>
            </w:tcBorders>
          </w:tcPr>
          <w:p w14:paraId="394AF86D" w14:textId="77777777" w:rsidR="00E92DD5" w:rsidRPr="00BF0490" w:rsidRDefault="00E92DD5" w:rsidP="001375D4">
            <w:pPr>
              <w:jc w:val="left"/>
              <w:rPr>
                <w:rFonts w:cs="Arial"/>
                <w:color w:val="auto"/>
                <w:sz w:val="19"/>
                <w:szCs w:val="19"/>
              </w:rPr>
            </w:pPr>
            <w:r w:rsidRPr="00BF0490">
              <w:rPr>
                <w:sz w:val="19"/>
                <w:szCs w:val="19"/>
              </w:rPr>
              <w:t>What did CEW contribute to patterns and rates of decomposition?</w:t>
            </w:r>
          </w:p>
        </w:tc>
        <w:tc>
          <w:tcPr>
            <w:tcW w:w="630" w:type="pct"/>
            <w:vMerge w:val="restart"/>
            <w:tcBorders>
              <w:top w:val="single" w:sz="4" w:space="0" w:color="auto"/>
              <w:left w:val="single" w:sz="4" w:space="0" w:color="auto"/>
              <w:right w:val="single" w:sz="4" w:space="0" w:color="auto"/>
            </w:tcBorders>
          </w:tcPr>
          <w:p w14:paraId="0C294DCF" w14:textId="77777777" w:rsidR="00E92DD5" w:rsidRPr="00BF0490" w:rsidRDefault="00E92DD5" w:rsidP="001375D4">
            <w:pPr>
              <w:jc w:val="left"/>
              <w:rPr>
                <w:rFonts w:cs="Arial"/>
                <w:color w:val="auto"/>
                <w:sz w:val="19"/>
                <w:szCs w:val="19"/>
              </w:rPr>
            </w:pPr>
            <w:r w:rsidRPr="00C575B0">
              <w:rPr>
                <w:b/>
                <w:bCs/>
                <w:color w:val="auto"/>
                <w:sz w:val="19"/>
                <w:szCs w:val="19"/>
              </w:rPr>
              <w:t>DS Lock 6</w:t>
            </w:r>
          </w:p>
        </w:tc>
        <w:tc>
          <w:tcPr>
            <w:tcW w:w="549" w:type="pct"/>
            <w:tcBorders>
              <w:top w:val="single" w:sz="4" w:space="0" w:color="auto"/>
              <w:left w:val="single" w:sz="4" w:space="0" w:color="auto"/>
              <w:bottom w:val="single" w:sz="4" w:space="0" w:color="auto"/>
              <w:right w:val="single" w:sz="4" w:space="0" w:color="auto"/>
            </w:tcBorders>
          </w:tcPr>
          <w:p w14:paraId="279ABA5E"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451" w:type="pct"/>
            <w:gridSpan w:val="3"/>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5EC7C84" w14:textId="77777777" w:rsidR="00E92DD5" w:rsidRPr="00BF0490" w:rsidRDefault="00E92DD5" w:rsidP="001375D4">
            <w:pPr>
              <w:jc w:val="left"/>
              <w:rPr>
                <w:rFonts w:cs="Arial"/>
                <w:color w:val="auto"/>
                <w:sz w:val="19"/>
                <w:szCs w:val="19"/>
              </w:rPr>
            </w:pPr>
            <w:r>
              <w:rPr>
                <w:rFonts w:cs="Arial"/>
                <w:color w:val="auto"/>
                <w:sz w:val="19"/>
                <w:szCs w:val="19"/>
              </w:rPr>
              <w:t>5</w:t>
            </w:r>
          </w:p>
        </w:tc>
        <w:tc>
          <w:tcPr>
            <w:tcW w:w="33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C71C207" w14:textId="77777777" w:rsidR="00E92DD5" w:rsidRPr="00BF0490" w:rsidRDefault="00E92DD5" w:rsidP="001375D4">
            <w:pPr>
              <w:jc w:val="left"/>
              <w:rPr>
                <w:rFonts w:cs="Arial"/>
                <w:color w:val="auto"/>
                <w:sz w:val="19"/>
                <w:szCs w:val="19"/>
              </w:rPr>
            </w:pPr>
            <w:r>
              <w:rPr>
                <w:rFonts w:cs="Arial"/>
                <w:color w:val="auto"/>
                <w:sz w:val="19"/>
                <w:szCs w:val="19"/>
              </w:rPr>
              <w:t>4</w:t>
            </w:r>
          </w:p>
        </w:tc>
        <w:tc>
          <w:tcPr>
            <w:tcW w:w="393"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32D3394" w14:textId="77777777" w:rsidR="00E92DD5" w:rsidRPr="00BF0490" w:rsidRDefault="00E92DD5" w:rsidP="001375D4">
            <w:pPr>
              <w:jc w:val="left"/>
              <w:rPr>
                <w:rFonts w:cs="Arial"/>
                <w:color w:val="auto"/>
                <w:sz w:val="19"/>
                <w:szCs w:val="19"/>
              </w:rPr>
            </w:pPr>
            <w:r>
              <w:rPr>
                <w:rFonts w:cs="Arial"/>
                <w:color w:val="auto"/>
                <w:sz w:val="19"/>
                <w:szCs w:val="19"/>
              </w:rPr>
              <w:t>8</w:t>
            </w:r>
          </w:p>
        </w:tc>
        <w:tc>
          <w:tcPr>
            <w:tcW w:w="473" w:type="pc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8206E9B" w14:textId="77777777" w:rsidR="00E92DD5" w:rsidRPr="00BF0490" w:rsidRDefault="00E92DD5" w:rsidP="001375D4">
            <w:pPr>
              <w:jc w:val="left"/>
              <w:rPr>
                <w:rFonts w:cs="Arial"/>
                <w:color w:val="auto"/>
                <w:sz w:val="19"/>
                <w:szCs w:val="19"/>
              </w:rPr>
            </w:pPr>
            <w:r>
              <w:rPr>
                <w:rFonts w:cs="Arial"/>
                <w:color w:val="auto"/>
                <w:sz w:val="19"/>
                <w:szCs w:val="19"/>
              </w:rPr>
              <w:t>10</w:t>
            </w:r>
          </w:p>
        </w:tc>
        <w:tc>
          <w:tcPr>
            <w:tcW w:w="36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F403935" w14:textId="77777777" w:rsidR="00E92DD5" w:rsidRPr="00BF0490" w:rsidRDefault="00E92DD5" w:rsidP="001375D4">
            <w:pPr>
              <w:jc w:val="left"/>
              <w:rPr>
                <w:rFonts w:cs="Arial"/>
                <w:color w:val="auto"/>
                <w:sz w:val="19"/>
                <w:szCs w:val="19"/>
              </w:rPr>
            </w:pPr>
            <w:r>
              <w:rPr>
                <w:rFonts w:cs="Arial"/>
                <w:color w:val="auto"/>
                <w:sz w:val="19"/>
                <w:szCs w:val="19"/>
              </w:rPr>
              <w:t>3</w:t>
            </w:r>
          </w:p>
        </w:tc>
        <w:tc>
          <w:tcPr>
            <w:tcW w:w="42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DDF6B44" w14:textId="77777777" w:rsidR="00E92DD5" w:rsidRPr="00BF0490" w:rsidRDefault="00E92DD5" w:rsidP="001375D4">
            <w:pPr>
              <w:jc w:val="left"/>
              <w:rPr>
                <w:rFonts w:cs="Arial"/>
                <w:color w:val="auto"/>
                <w:sz w:val="19"/>
                <w:szCs w:val="19"/>
              </w:rPr>
            </w:pPr>
            <w:r>
              <w:rPr>
                <w:rFonts w:cs="Arial"/>
                <w:color w:val="auto"/>
                <w:sz w:val="19"/>
                <w:szCs w:val="19"/>
              </w:rPr>
              <w:t>1</w:t>
            </w:r>
          </w:p>
        </w:tc>
        <w:tc>
          <w:tcPr>
            <w:tcW w:w="676" w:type="pct"/>
            <w:tcBorders>
              <w:top w:val="single" w:sz="4" w:space="0" w:color="auto"/>
              <w:left w:val="single" w:sz="4" w:space="0" w:color="auto"/>
              <w:bottom w:val="single" w:sz="4" w:space="0" w:color="auto"/>
              <w:right w:val="single" w:sz="4" w:space="0" w:color="auto"/>
            </w:tcBorders>
            <w:shd w:val="clear" w:color="auto" w:fill="70AD47" w:themeFill="accent6"/>
          </w:tcPr>
          <w:p w14:paraId="6F22CE57" w14:textId="77777777" w:rsidR="00E92DD5" w:rsidRDefault="00E92DD5" w:rsidP="001375D4">
            <w:pPr>
              <w:jc w:val="left"/>
              <w:rPr>
                <w:rFonts w:cs="Arial"/>
                <w:color w:val="auto"/>
                <w:sz w:val="19"/>
                <w:szCs w:val="19"/>
              </w:rPr>
            </w:pPr>
            <w:r>
              <w:rPr>
                <w:rFonts w:cs="Arial"/>
                <w:color w:val="auto"/>
                <w:sz w:val="19"/>
                <w:szCs w:val="19"/>
              </w:rPr>
              <w:t>15</w:t>
            </w:r>
          </w:p>
        </w:tc>
      </w:tr>
      <w:tr w:rsidR="001D7B5C" w:rsidRPr="00BF0490" w14:paraId="31521A11" w14:textId="77777777" w:rsidTr="00AE483E">
        <w:trPr>
          <w:cantSplit/>
          <w:trHeight w:val="512"/>
        </w:trPr>
        <w:tc>
          <w:tcPr>
            <w:tcW w:w="705" w:type="pct"/>
            <w:vMerge/>
            <w:tcBorders>
              <w:left w:val="single" w:sz="4" w:space="0" w:color="auto"/>
              <w:right w:val="single" w:sz="4" w:space="0" w:color="auto"/>
            </w:tcBorders>
          </w:tcPr>
          <w:p w14:paraId="768663C6"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1CAE8995" w14:textId="77777777" w:rsidR="00E92DD5" w:rsidRPr="00BF0490" w:rsidRDefault="00E92DD5" w:rsidP="001375D4">
            <w:pPr>
              <w:jc w:val="left"/>
              <w:rPr>
                <w:rFonts w:cs="Arial"/>
                <w:color w:val="auto"/>
                <w:sz w:val="19"/>
                <w:szCs w:val="19"/>
              </w:rPr>
            </w:pPr>
          </w:p>
        </w:tc>
        <w:tc>
          <w:tcPr>
            <w:tcW w:w="549" w:type="pct"/>
            <w:tcBorders>
              <w:top w:val="single" w:sz="4" w:space="0" w:color="auto"/>
              <w:left w:val="single" w:sz="4" w:space="0" w:color="auto"/>
              <w:right w:val="single" w:sz="4" w:space="0" w:color="auto"/>
            </w:tcBorders>
          </w:tcPr>
          <w:p w14:paraId="6EE0ED45"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451" w:type="pct"/>
            <w:gridSpan w:val="3"/>
            <w:tcBorders>
              <w:top w:val="single" w:sz="4" w:space="0" w:color="auto"/>
              <w:left w:val="single" w:sz="4" w:space="0" w:color="auto"/>
              <w:right w:val="single" w:sz="4" w:space="0" w:color="auto"/>
            </w:tcBorders>
            <w:shd w:val="clear" w:color="auto" w:fill="E2EFD9" w:themeFill="accent6" w:themeFillTint="33"/>
          </w:tcPr>
          <w:p w14:paraId="45FB6F98" w14:textId="77777777" w:rsidR="00E92DD5" w:rsidRPr="00BF0490" w:rsidRDefault="00E92DD5" w:rsidP="001375D4">
            <w:pPr>
              <w:jc w:val="left"/>
              <w:rPr>
                <w:rFonts w:cs="Arial"/>
                <w:color w:val="auto"/>
                <w:sz w:val="19"/>
                <w:szCs w:val="19"/>
              </w:rPr>
            </w:pPr>
            <w:r w:rsidRPr="00BF0490">
              <w:rPr>
                <w:rFonts w:cs="Arial"/>
                <w:color w:val="auto"/>
                <w:sz w:val="19"/>
                <w:szCs w:val="19"/>
              </w:rPr>
              <w:t>1</w:t>
            </w:r>
          </w:p>
        </w:tc>
        <w:tc>
          <w:tcPr>
            <w:tcW w:w="337" w:type="pct"/>
            <w:tcBorders>
              <w:top w:val="single" w:sz="4" w:space="0" w:color="auto"/>
              <w:left w:val="single" w:sz="4" w:space="0" w:color="auto"/>
              <w:right w:val="single" w:sz="4" w:space="0" w:color="auto"/>
            </w:tcBorders>
            <w:shd w:val="clear" w:color="auto" w:fill="E2EFD9" w:themeFill="accent6" w:themeFillTint="33"/>
          </w:tcPr>
          <w:p w14:paraId="59F4FA0D" w14:textId="77777777" w:rsidR="00E92DD5" w:rsidRPr="00BF0490" w:rsidRDefault="00E92DD5" w:rsidP="001375D4">
            <w:pPr>
              <w:jc w:val="left"/>
              <w:rPr>
                <w:rFonts w:cs="Arial"/>
                <w:color w:val="auto"/>
                <w:sz w:val="19"/>
                <w:szCs w:val="19"/>
              </w:rPr>
            </w:pPr>
            <w:r>
              <w:rPr>
                <w:rFonts w:cs="Arial"/>
                <w:color w:val="auto"/>
                <w:sz w:val="19"/>
                <w:szCs w:val="19"/>
              </w:rPr>
              <w:t>4</w:t>
            </w:r>
          </w:p>
        </w:tc>
        <w:tc>
          <w:tcPr>
            <w:tcW w:w="393" w:type="pct"/>
            <w:gridSpan w:val="2"/>
            <w:tcBorders>
              <w:top w:val="single" w:sz="4" w:space="0" w:color="auto"/>
              <w:left w:val="single" w:sz="4" w:space="0" w:color="auto"/>
              <w:right w:val="single" w:sz="4" w:space="0" w:color="auto"/>
            </w:tcBorders>
            <w:shd w:val="clear" w:color="auto" w:fill="E2EFD9" w:themeFill="accent6" w:themeFillTint="33"/>
          </w:tcPr>
          <w:p w14:paraId="2629AAC7" w14:textId="77777777" w:rsidR="00E92DD5" w:rsidRPr="00BF0490" w:rsidRDefault="00E92DD5" w:rsidP="001375D4">
            <w:pPr>
              <w:jc w:val="left"/>
              <w:rPr>
                <w:rFonts w:cs="Arial"/>
                <w:color w:val="auto"/>
                <w:sz w:val="19"/>
                <w:szCs w:val="19"/>
              </w:rPr>
            </w:pPr>
            <w:r>
              <w:rPr>
                <w:rFonts w:cs="Arial"/>
                <w:color w:val="auto"/>
                <w:sz w:val="19"/>
                <w:szCs w:val="19"/>
              </w:rPr>
              <w:t>4</w:t>
            </w:r>
          </w:p>
        </w:tc>
        <w:tc>
          <w:tcPr>
            <w:tcW w:w="473" w:type="pct"/>
            <w:tcBorders>
              <w:top w:val="single" w:sz="4" w:space="0" w:color="auto"/>
              <w:left w:val="single" w:sz="4" w:space="0" w:color="auto"/>
              <w:right w:val="single" w:sz="4" w:space="0" w:color="auto"/>
            </w:tcBorders>
            <w:shd w:val="clear" w:color="auto" w:fill="C5E0B3" w:themeFill="accent6" w:themeFillTint="66"/>
          </w:tcPr>
          <w:p w14:paraId="278956E8" w14:textId="77777777" w:rsidR="00E92DD5" w:rsidRPr="00BF0490" w:rsidRDefault="00E92DD5" w:rsidP="001375D4">
            <w:pPr>
              <w:jc w:val="left"/>
              <w:rPr>
                <w:rFonts w:cs="Arial"/>
                <w:color w:val="auto"/>
                <w:sz w:val="19"/>
                <w:szCs w:val="19"/>
              </w:rPr>
            </w:pPr>
            <w:r>
              <w:rPr>
                <w:rFonts w:cs="Arial"/>
                <w:color w:val="auto"/>
                <w:sz w:val="19"/>
                <w:szCs w:val="19"/>
              </w:rPr>
              <w:t>6</w:t>
            </w:r>
          </w:p>
        </w:tc>
        <w:tc>
          <w:tcPr>
            <w:tcW w:w="362" w:type="pct"/>
            <w:tcBorders>
              <w:top w:val="single" w:sz="4" w:space="0" w:color="auto"/>
              <w:left w:val="single" w:sz="4" w:space="0" w:color="auto"/>
              <w:right w:val="single" w:sz="4" w:space="0" w:color="auto"/>
            </w:tcBorders>
            <w:shd w:val="clear" w:color="auto" w:fill="E2EFD9" w:themeFill="accent6" w:themeFillTint="33"/>
          </w:tcPr>
          <w:p w14:paraId="5AD7C81D" w14:textId="77777777" w:rsidR="00E92DD5" w:rsidRPr="00BF0490" w:rsidRDefault="00E92DD5" w:rsidP="001375D4">
            <w:pPr>
              <w:jc w:val="left"/>
              <w:rPr>
                <w:rFonts w:cs="Arial"/>
                <w:color w:val="auto"/>
                <w:sz w:val="19"/>
                <w:szCs w:val="19"/>
              </w:rPr>
            </w:pPr>
            <w:r>
              <w:rPr>
                <w:rFonts w:cs="Arial"/>
                <w:color w:val="auto"/>
                <w:sz w:val="19"/>
                <w:szCs w:val="19"/>
              </w:rPr>
              <w:t>2</w:t>
            </w:r>
          </w:p>
        </w:tc>
        <w:tc>
          <w:tcPr>
            <w:tcW w:w="424" w:type="pct"/>
            <w:tcBorders>
              <w:top w:val="single" w:sz="4" w:space="0" w:color="auto"/>
              <w:left w:val="single" w:sz="4" w:space="0" w:color="auto"/>
              <w:right w:val="single" w:sz="4" w:space="0" w:color="auto"/>
            </w:tcBorders>
            <w:shd w:val="clear" w:color="auto" w:fill="E2EFD9" w:themeFill="accent6" w:themeFillTint="33"/>
          </w:tcPr>
          <w:p w14:paraId="2324E577" w14:textId="77777777" w:rsidR="00E92DD5" w:rsidRPr="00BF0490" w:rsidRDefault="00E92DD5" w:rsidP="001375D4">
            <w:pPr>
              <w:jc w:val="left"/>
              <w:rPr>
                <w:rFonts w:cs="Arial"/>
                <w:color w:val="auto"/>
                <w:sz w:val="19"/>
                <w:szCs w:val="19"/>
              </w:rPr>
            </w:pPr>
            <w:r>
              <w:rPr>
                <w:rFonts w:cs="Arial"/>
                <w:color w:val="auto"/>
                <w:sz w:val="19"/>
                <w:szCs w:val="19"/>
              </w:rPr>
              <w:t>1</w:t>
            </w:r>
          </w:p>
        </w:tc>
        <w:tc>
          <w:tcPr>
            <w:tcW w:w="676" w:type="pct"/>
            <w:tcBorders>
              <w:top w:val="single" w:sz="4" w:space="0" w:color="auto"/>
              <w:left w:val="single" w:sz="4" w:space="0" w:color="auto"/>
              <w:right w:val="single" w:sz="4" w:space="0" w:color="auto"/>
            </w:tcBorders>
            <w:shd w:val="clear" w:color="auto" w:fill="70AD47" w:themeFill="accent6"/>
          </w:tcPr>
          <w:p w14:paraId="5983D368" w14:textId="77777777" w:rsidR="00E92DD5" w:rsidRDefault="00E92DD5" w:rsidP="001375D4">
            <w:pPr>
              <w:jc w:val="left"/>
              <w:rPr>
                <w:rFonts w:cs="Arial"/>
                <w:color w:val="auto"/>
                <w:sz w:val="19"/>
                <w:szCs w:val="19"/>
              </w:rPr>
            </w:pPr>
            <w:r>
              <w:rPr>
                <w:rFonts w:cs="Arial"/>
                <w:color w:val="auto"/>
                <w:sz w:val="19"/>
                <w:szCs w:val="19"/>
              </w:rPr>
              <w:t>13</w:t>
            </w:r>
          </w:p>
        </w:tc>
      </w:tr>
      <w:tr w:rsidR="001D7B5C" w:rsidRPr="00BF0490" w14:paraId="71196BC5" w14:textId="77777777" w:rsidTr="00AE483E">
        <w:trPr>
          <w:cantSplit/>
          <w:trHeight w:val="690"/>
        </w:trPr>
        <w:tc>
          <w:tcPr>
            <w:tcW w:w="705" w:type="pct"/>
            <w:vMerge/>
            <w:tcBorders>
              <w:left w:val="single" w:sz="4" w:space="0" w:color="auto"/>
              <w:right w:val="single" w:sz="4" w:space="0" w:color="auto"/>
            </w:tcBorders>
          </w:tcPr>
          <w:p w14:paraId="35BEDD7C" w14:textId="77777777" w:rsidR="00E92DD5" w:rsidRPr="00BF0490" w:rsidRDefault="00E92DD5" w:rsidP="001375D4">
            <w:pPr>
              <w:jc w:val="left"/>
              <w:rPr>
                <w:sz w:val="19"/>
                <w:szCs w:val="19"/>
              </w:rPr>
            </w:pPr>
          </w:p>
        </w:tc>
        <w:tc>
          <w:tcPr>
            <w:tcW w:w="630" w:type="pct"/>
            <w:vMerge w:val="restart"/>
            <w:tcBorders>
              <w:left w:val="single" w:sz="4" w:space="0" w:color="auto"/>
              <w:right w:val="single" w:sz="4" w:space="0" w:color="auto"/>
            </w:tcBorders>
          </w:tcPr>
          <w:p w14:paraId="7643B9AE" w14:textId="77777777" w:rsidR="00E92DD5" w:rsidRPr="00BF0490" w:rsidRDefault="00E92DD5" w:rsidP="001375D4">
            <w:pPr>
              <w:jc w:val="left"/>
              <w:rPr>
                <w:rFonts w:cs="Arial"/>
                <w:color w:val="auto"/>
                <w:sz w:val="19"/>
                <w:szCs w:val="19"/>
              </w:rPr>
            </w:pPr>
            <w:r w:rsidRPr="00C575B0">
              <w:rPr>
                <w:b/>
                <w:bCs/>
                <w:color w:val="auto"/>
                <w:sz w:val="19"/>
                <w:szCs w:val="19"/>
              </w:rPr>
              <w:t>DS Lock 4</w:t>
            </w:r>
          </w:p>
        </w:tc>
        <w:tc>
          <w:tcPr>
            <w:tcW w:w="549" w:type="pct"/>
            <w:tcBorders>
              <w:top w:val="single" w:sz="4" w:space="0" w:color="auto"/>
              <w:left w:val="single" w:sz="4" w:space="0" w:color="auto"/>
              <w:right w:val="single" w:sz="4" w:space="0" w:color="auto"/>
            </w:tcBorders>
          </w:tcPr>
          <w:p w14:paraId="1F374E09"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451" w:type="pct"/>
            <w:gridSpan w:val="3"/>
            <w:tcBorders>
              <w:top w:val="single" w:sz="4" w:space="0" w:color="auto"/>
              <w:left w:val="single" w:sz="4" w:space="0" w:color="auto"/>
              <w:right w:val="single" w:sz="4" w:space="0" w:color="auto"/>
            </w:tcBorders>
            <w:shd w:val="clear" w:color="auto" w:fill="auto"/>
          </w:tcPr>
          <w:p w14:paraId="27B972A2" w14:textId="77777777" w:rsidR="00E92DD5" w:rsidRPr="00BF0490" w:rsidRDefault="00E92DD5" w:rsidP="001375D4">
            <w:pPr>
              <w:jc w:val="left"/>
              <w:rPr>
                <w:rFonts w:cs="Arial"/>
                <w:color w:val="auto"/>
                <w:sz w:val="19"/>
                <w:szCs w:val="19"/>
              </w:rPr>
            </w:pPr>
          </w:p>
        </w:tc>
        <w:tc>
          <w:tcPr>
            <w:tcW w:w="337" w:type="pct"/>
            <w:tcBorders>
              <w:top w:val="single" w:sz="4" w:space="0" w:color="auto"/>
              <w:left w:val="single" w:sz="4" w:space="0" w:color="auto"/>
              <w:right w:val="single" w:sz="4" w:space="0" w:color="auto"/>
            </w:tcBorders>
            <w:shd w:val="clear" w:color="auto" w:fill="auto"/>
          </w:tcPr>
          <w:p w14:paraId="106F6FA5" w14:textId="77777777" w:rsidR="00E92DD5" w:rsidRPr="00BF0490" w:rsidRDefault="00E92DD5" w:rsidP="001375D4">
            <w:pPr>
              <w:jc w:val="left"/>
              <w:rPr>
                <w:rFonts w:cs="Arial"/>
                <w:color w:val="auto"/>
                <w:sz w:val="19"/>
                <w:szCs w:val="19"/>
              </w:rPr>
            </w:pPr>
          </w:p>
        </w:tc>
        <w:tc>
          <w:tcPr>
            <w:tcW w:w="393" w:type="pct"/>
            <w:gridSpan w:val="2"/>
            <w:tcBorders>
              <w:top w:val="single" w:sz="4" w:space="0" w:color="auto"/>
              <w:left w:val="single" w:sz="4" w:space="0" w:color="auto"/>
              <w:right w:val="single" w:sz="4" w:space="0" w:color="auto"/>
            </w:tcBorders>
            <w:shd w:val="clear" w:color="auto" w:fill="auto"/>
          </w:tcPr>
          <w:p w14:paraId="1E1AC8A9" w14:textId="77777777" w:rsidR="00E92DD5" w:rsidRPr="00BF0490" w:rsidRDefault="00E92DD5" w:rsidP="001375D4">
            <w:pPr>
              <w:jc w:val="left"/>
              <w:rPr>
                <w:rFonts w:cs="Arial"/>
                <w:color w:val="auto"/>
                <w:sz w:val="19"/>
                <w:szCs w:val="19"/>
              </w:rPr>
            </w:pPr>
          </w:p>
        </w:tc>
        <w:tc>
          <w:tcPr>
            <w:tcW w:w="473" w:type="pct"/>
            <w:tcBorders>
              <w:top w:val="single" w:sz="4" w:space="0" w:color="auto"/>
              <w:left w:val="single" w:sz="4" w:space="0" w:color="auto"/>
              <w:right w:val="single" w:sz="4" w:space="0" w:color="auto"/>
            </w:tcBorders>
            <w:shd w:val="clear" w:color="auto" w:fill="auto"/>
          </w:tcPr>
          <w:p w14:paraId="0490CC52" w14:textId="77777777" w:rsidR="00E92DD5" w:rsidRPr="00BF0490" w:rsidRDefault="00E92DD5" w:rsidP="001375D4">
            <w:pPr>
              <w:jc w:val="left"/>
              <w:rPr>
                <w:rFonts w:cs="Arial"/>
                <w:color w:val="auto"/>
                <w:sz w:val="19"/>
                <w:szCs w:val="19"/>
              </w:rPr>
            </w:pPr>
          </w:p>
        </w:tc>
        <w:tc>
          <w:tcPr>
            <w:tcW w:w="362" w:type="pct"/>
            <w:tcBorders>
              <w:top w:val="single" w:sz="4" w:space="0" w:color="auto"/>
              <w:left w:val="single" w:sz="4" w:space="0" w:color="auto"/>
              <w:right w:val="single" w:sz="4" w:space="0" w:color="auto"/>
            </w:tcBorders>
            <w:shd w:val="clear" w:color="auto" w:fill="auto"/>
          </w:tcPr>
          <w:p w14:paraId="41FB1FDC" w14:textId="77777777" w:rsidR="00E92DD5" w:rsidRDefault="00E92DD5" w:rsidP="001375D4">
            <w:pPr>
              <w:jc w:val="left"/>
              <w:rPr>
                <w:rFonts w:cs="Arial"/>
                <w:color w:val="auto"/>
                <w:sz w:val="19"/>
                <w:szCs w:val="19"/>
              </w:rPr>
            </w:pPr>
          </w:p>
        </w:tc>
        <w:tc>
          <w:tcPr>
            <w:tcW w:w="424" w:type="pct"/>
            <w:tcBorders>
              <w:top w:val="single" w:sz="4" w:space="0" w:color="auto"/>
              <w:left w:val="single" w:sz="4" w:space="0" w:color="auto"/>
              <w:right w:val="single" w:sz="4" w:space="0" w:color="auto"/>
            </w:tcBorders>
            <w:shd w:val="clear" w:color="auto" w:fill="C5E0B3" w:themeFill="accent6" w:themeFillTint="66"/>
          </w:tcPr>
          <w:p w14:paraId="5A020BFE" w14:textId="77777777" w:rsidR="00E92DD5" w:rsidRDefault="00E92DD5" w:rsidP="001375D4">
            <w:pPr>
              <w:jc w:val="left"/>
              <w:rPr>
                <w:rFonts w:cs="Arial"/>
                <w:color w:val="auto"/>
                <w:sz w:val="19"/>
                <w:szCs w:val="19"/>
              </w:rPr>
            </w:pPr>
            <w:r>
              <w:rPr>
                <w:rFonts w:cs="Arial"/>
                <w:color w:val="auto"/>
                <w:sz w:val="19"/>
                <w:szCs w:val="19"/>
              </w:rPr>
              <w:t>5</w:t>
            </w:r>
          </w:p>
        </w:tc>
        <w:tc>
          <w:tcPr>
            <w:tcW w:w="676" w:type="pct"/>
            <w:tcBorders>
              <w:top w:val="single" w:sz="4" w:space="0" w:color="auto"/>
              <w:left w:val="single" w:sz="4" w:space="0" w:color="auto"/>
              <w:right w:val="single" w:sz="4" w:space="0" w:color="auto"/>
            </w:tcBorders>
            <w:shd w:val="clear" w:color="auto" w:fill="70AD47" w:themeFill="accent6"/>
          </w:tcPr>
          <w:p w14:paraId="1B92FDA5" w14:textId="77777777" w:rsidR="00E92DD5" w:rsidRDefault="00E92DD5" w:rsidP="001375D4">
            <w:pPr>
              <w:jc w:val="left"/>
              <w:rPr>
                <w:rFonts w:cs="Arial"/>
                <w:color w:val="auto"/>
                <w:sz w:val="19"/>
                <w:szCs w:val="19"/>
              </w:rPr>
            </w:pPr>
            <w:r>
              <w:rPr>
                <w:rFonts w:cs="Arial"/>
                <w:color w:val="auto"/>
                <w:sz w:val="19"/>
                <w:szCs w:val="19"/>
              </w:rPr>
              <w:t>12</w:t>
            </w:r>
          </w:p>
        </w:tc>
      </w:tr>
      <w:tr w:rsidR="001D7B5C" w:rsidRPr="00BF0490" w14:paraId="6E5351CA" w14:textId="77777777" w:rsidTr="00AE483E">
        <w:trPr>
          <w:cantSplit/>
          <w:trHeight w:val="507"/>
        </w:trPr>
        <w:tc>
          <w:tcPr>
            <w:tcW w:w="705" w:type="pct"/>
            <w:vMerge/>
            <w:tcBorders>
              <w:left w:val="single" w:sz="4" w:space="0" w:color="auto"/>
              <w:right w:val="single" w:sz="4" w:space="0" w:color="auto"/>
            </w:tcBorders>
          </w:tcPr>
          <w:p w14:paraId="774853AF"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2CBF48CD" w14:textId="77777777" w:rsidR="00E92DD5" w:rsidRPr="00BF0490" w:rsidRDefault="00E92DD5" w:rsidP="001375D4">
            <w:pPr>
              <w:jc w:val="left"/>
              <w:rPr>
                <w:rFonts w:cs="Arial"/>
                <w:color w:val="auto"/>
                <w:sz w:val="19"/>
                <w:szCs w:val="19"/>
              </w:rPr>
            </w:pPr>
          </w:p>
        </w:tc>
        <w:tc>
          <w:tcPr>
            <w:tcW w:w="549" w:type="pct"/>
            <w:tcBorders>
              <w:top w:val="single" w:sz="4" w:space="0" w:color="auto"/>
              <w:left w:val="single" w:sz="4" w:space="0" w:color="auto"/>
              <w:right w:val="single" w:sz="4" w:space="0" w:color="auto"/>
            </w:tcBorders>
          </w:tcPr>
          <w:p w14:paraId="4158AD6D"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451" w:type="pct"/>
            <w:gridSpan w:val="3"/>
            <w:tcBorders>
              <w:top w:val="single" w:sz="4" w:space="0" w:color="auto"/>
              <w:left w:val="single" w:sz="4" w:space="0" w:color="auto"/>
              <w:right w:val="single" w:sz="4" w:space="0" w:color="auto"/>
            </w:tcBorders>
            <w:shd w:val="clear" w:color="auto" w:fill="auto"/>
          </w:tcPr>
          <w:p w14:paraId="0201F6FC" w14:textId="77777777" w:rsidR="00E92DD5" w:rsidRPr="00BF0490" w:rsidRDefault="00E92DD5" w:rsidP="001375D4">
            <w:pPr>
              <w:jc w:val="left"/>
              <w:rPr>
                <w:rFonts w:cs="Arial"/>
                <w:color w:val="auto"/>
                <w:sz w:val="19"/>
                <w:szCs w:val="19"/>
              </w:rPr>
            </w:pPr>
          </w:p>
        </w:tc>
        <w:tc>
          <w:tcPr>
            <w:tcW w:w="337" w:type="pct"/>
            <w:tcBorders>
              <w:top w:val="single" w:sz="4" w:space="0" w:color="auto"/>
              <w:left w:val="single" w:sz="4" w:space="0" w:color="auto"/>
              <w:right w:val="single" w:sz="4" w:space="0" w:color="auto"/>
            </w:tcBorders>
            <w:shd w:val="clear" w:color="auto" w:fill="auto"/>
          </w:tcPr>
          <w:p w14:paraId="206CC07F" w14:textId="77777777" w:rsidR="00E92DD5" w:rsidRPr="00BF0490" w:rsidRDefault="00E92DD5" w:rsidP="001375D4">
            <w:pPr>
              <w:jc w:val="left"/>
              <w:rPr>
                <w:rFonts w:cs="Arial"/>
                <w:color w:val="auto"/>
                <w:sz w:val="19"/>
                <w:szCs w:val="19"/>
              </w:rPr>
            </w:pPr>
          </w:p>
        </w:tc>
        <w:tc>
          <w:tcPr>
            <w:tcW w:w="393" w:type="pct"/>
            <w:gridSpan w:val="2"/>
            <w:tcBorders>
              <w:top w:val="single" w:sz="4" w:space="0" w:color="auto"/>
              <w:left w:val="single" w:sz="4" w:space="0" w:color="auto"/>
              <w:right w:val="single" w:sz="4" w:space="0" w:color="auto"/>
            </w:tcBorders>
            <w:shd w:val="clear" w:color="auto" w:fill="auto"/>
          </w:tcPr>
          <w:p w14:paraId="07217C4B" w14:textId="77777777" w:rsidR="00E92DD5" w:rsidRPr="00BF0490" w:rsidRDefault="00E92DD5" w:rsidP="001375D4">
            <w:pPr>
              <w:jc w:val="left"/>
              <w:rPr>
                <w:rFonts w:cs="Arial"/>
                <w:color w:val="auto"/>
                <w:sz w:val="19"/>
                <w:szCs w:val="19"/>
              </w:rPr>
            </w:pPr>
          </w:p>
        </w:tc>
        <w:tc>
          <w:tcPr>
            <w:tcW w:w="473" w:type="pct"/>
            <w:tcBorders>
              <w:top w:val="single" w:sz="4" w:space="0" w:color="auto"/>
              <w:left w:val="single" w:sz="4" w:space="0" w:color="auto"/>
              <w:right w:val="single" w:sz="4" w:space="0" w:color="auto"/>
            </w:tcBorders>
            <w:shd w:val="clear" w:color="auto" w:fill="auto"/>
          </w:tcPr>
          <w:p w14:paraId="2AA9FD8C" w14:textId="77777777" w:rsidR="00E92DD5" w:rsidRPr="00BF0490" w:rsidRDefault="00E92DD5" w:rsidP="001375D4">
            <w:pPr>
              <w:jc w:val="left"/>
              <w:rPr>
                <w:rFonts w:cs="Arial"/>
                <w:color w:val="auto"/>
                <w:sz w:val="19"/>
                <w:szCs w:val="19"/>
              </w:rPr>
            </w:pPr>
          </w:p>
        </w:tc>
        <w:tc>
          <w:tcPr>
            <w:tcW w:w="362" w:type="pct"/>
            <w:tcBorders>
              <w:top w:val="single" w:sz="4" w:space="0" w:color="auto"/>
              <w:left w:val="single" w:sz="4" w:space="0" w:color="auto"/>
              <w:right w:val="single" w:sz="4" w:space="0" w:color="auto"/>
            </w:tcBorders>
            <w:shd w:val="clear" w:color="auto" w:fill="auto"/>
          </w:tcPr>
          <w:p w14:paraId="5670B575" w14:textId="77777777" w:rsidR="00E92DD5" w:rsidRDefault="00E92DD5" w:rsidP="001375D4">
            <w:pPr>
              <w:jc w:val="left"/>
              <w:rPr>
                <w:rFonts w:cs="Arial"/>
                <w:color w:val="auto"/>
                <w:sz w:val="19"/>
                <w:szCs w:val="19"/>
              </w:rPr>
            </w:pPr>
          </w:p>
        </w:tc>
        <w:tc>
          <w:tcPr>
            <w:tcW w:w="424" w:type="pct"/>
            <w:tcBorders>
              <w:top w:val="single" w:sz="4" w:space="0" w:color="auto"/>
              <w:left w:val="single" w:sz="4" w:space="0" w:color="auto"/>
              <w:right w:val="single" w:sz="4" w:space="0" w:color="auto"/>
            </w:tcBorders>
            <w:shd w:val="clear" w:color="auto" w:fill="C5E0B3" w:themeFill="accent6" w:themeFillTint="66"/>
          </w:tcPr>
          <w:p w14:paraId="3CEE1BED" w14:textId="77777777" w:rsidR="00E92DD5" w:rsidRDefault="00E92DD5" w:rsidP="001375D4">
            <w:pPr>
              <w:jc w:val="left"/>
              <w:rPr>
                <w:rFonts w:cs="Arial"/>
                <w:color w:val="auto"/>
                <w:sz w:val="19"/>
                <w:szCs w:val="19"/>
              </w:rPr>
            </w:pPr>
            <w:r>
              <w:rPr>
                <w:rFonts w:cs="Arial"/>
                <w:color w:val="auto"/>
                <w:sz w:val="19"/>
                <w:szCs w:val="19"/>
              </w:rPr>
              <w:t>5</w:t>
            </w:r>
          </w:p>
        </w:tc>
        <w:tc>
          <w:tcPr>
            <w:tcW w:w="676" w:type="pct"/>
            <w:tcBorders>
              <w:top w:val="single" w:sz="4" w:space="0" w:color="auto"/>
              <w:left w:val="single" w:sz="4" w:space="0" w:color="auto"/>
              <w:right w:val="single" w:sz="4" w:space="0" w:color="auto"/>
            </w:tcBorders>
            <w:shd w:val="clear" w:color="auto" w:fill="C5E0B3" w:themeFill="accent6" w:themeFillTint="66"/>
          </w:tcPr>
          <w:p w14:paraId="15B22572" w14:textId="77777777" w:rsidR="00E92DD5" w:rsidRDefault="00E92DD5" w:rsidP="001375D4">
            <w:pPr>
              <w:jc w:val="left"/>
              <w:rPr>
                <w:rFonts w:cs="Arial"/>
                <w:color w:val="auto"/>
                <w:sz w:val="19"/>
                <w:szCs w:val="19"/>
              </w:rPr>
            </w:pPr>
            <w:r>
              <w:rPr>
                <w:rFonts w:cs="Arial"/>
                <w:color w:val="auto"/>
                <w:sz w:val="19"/>
                <w:szCs w:val="19"/>
              </w:rPr>
              <w:t>9</w:t>
            </w:r>
          </w:p>
        </w:tc>
      </w:tr>
      <w:tr w:rsidR="001D7B5C" w:rsidRPr="00BF0490" w14:paraId="707843CC" w14:textId="77777777" w:rsidTr="00AE483E">
        <w:trPr>
          <w:cantSplit/>
          <w:trHeight w:val="667"/>
        </w:trPr>
        <w:tc>
          <w:tcPr>
            <w:tcW w:w="705" w:type="pct"/>
            <w:vMerge/>
            <w:tcBorders>
              <w:left w:val="single" w:sz="4" w:space="0" w:color="auto"/>
              <w:right w:val="single" w:sz="4" w:space="0" w:color="auto"/>
            </w:tcBorders>
          </w:tcPr>
          <w:p w14:paraId="0D75A840" w14:textId="77777777" w:rsidR="00E92DD5" w:rsidRPr="00BF0490" w:rsidRDefault="00E92DD5" w:rsidP="001375D4">
            <w:pPr>
              <w:jc w:val="left"/>
              <w:rPr>
                <w:sz w:val="19"/>
                <w:szCs w:val="19"/>
              </w:rPr>
            </w:pPr>
          </w:p>
        </w:tc>
        <w:tc>
          <w:tcPr>
            <w:tcW w:w="630" w:type="pct"/>
            <w:vMerge w:val="restart"/>
            <w:tcBorders>
              <w:left w:val="single" w:sz="4" w:space="0" w:color="auto"/>
              <w:right w:val="single" w:sz="4" w:space="0" w:color="auto"/>
            </w:tcBorders>
          </w:tcPr>
          <w:p w14:paraId="75C44815" w14:textId="77777777" w:rsidR="00E92DD5" w:rsidRPr="00BF0490" w:rsidRDefault="00E92DD5" w:rsidP="001375D4">
            <w:pPr>
              <w:jc w:val="left"/>
              <w:rPr>
                <w:rFonts w:cs="Arial"/>
                <w:color w:val="auto"/>
                <w:sz w:val="19"/>
                <w:szCs w:val="19"/>
              </w:rPr>
            </w:pPr>
            <w:r w:rsidRPr="00C575B0">
              <w:rPr>
                <w:b/>
                <w:bCs/>
                <w:color w:val="auto"/>
                <w:sz w:val="19"/>
                <w:szCs w:val="19"/>
              </w:rPr>
              <w:t>DS Lock 1</w:t>
            </w:r>
          </w:p>
        </w:tc>
        <w:tc>
          <w:tcPr>
            <w:tcW w:w="549" w:type="pct"/>
            <w:tcBorders>
              <w:top w:val="single" w:sz="4" w:space="0" w:color="auto"/>
              <w:left w:val="single" w:sz="4" w:space="0" w:color="auto"/>
              <w:right w:val="single" w:sz="4" w:space="0" w:color="auto"/>
            </w:tcBorders>
          </w:tcPr>
          <w:p w14:paraId="060E4D9C" w14:textId="77777777" w:rsidR="00E92DD5" w:rsidRPr="00BF0490" w:rsidRDefault="00E92DD5" w:rsidP="001375D4">
            <w:pPr>
              <w:jc w:val="left"/>
              <w:rPr>
                <w:rFonts w:cs="Arial"/>
                <w:color w:val="auto"/>
                <w:sz w:val="19"/>
                <w:szCs w:val="19"/>
              </w:rPr>
            </w:pPr>
            <w:r w:rsidRPr="00BF0490">
              <w:rPr>
                <w:rFonts w:cs="Arial"/>
                <w:color w:val="auto"/>
                <w:sz w:val="19"/>
                <w:szCs w:val="19"/>
              </w:rPr>
              <w:t>All eWater</w:t>
            </w:r>
          </w:p>
        </w:tc>
        <w:tc>
          <w:tcPr>
            <w:tcW w:w="451" w:type="pct"/>
            <w:gridSpan w:val="3"/>
            <w:tcBorders>
              <w:top w:val="single" w:sz="4" w:space="0" w:color="auto"/>
              <w:left w:val="single" w:sz="4" w:space="0" w:color="auto"/>
              <w:right w:val="single" w:sz="4" w:space="0" w:color="auto"/>
            </w:tcBorders>
            <w:shd w:val="clear" w:color="auto" w:fill="E2EFD9" w:themeFill="accent6" w:themeFillTint="33"/>
          </w:tcPr>
          <w:p w14:paraId="6DC41670" w14:textId="77777777" w:rsidR="00E92DD5" w:rsidRPr="00BF0490" w:rsidRDefault="00E92DD5" w:rsidP="001375D4">
            <w:pPr>
              <w:jc w:val="left"/>
              <w:rPr>
                <w:rFonts w:cs="Arial"/>
                <w:color w:val="auto"/>
                <w:sz w:val="19"/>
                <w:szCs w:val="19"/>
              </w:rPr>
            </w:pPr>
            <w:r>
              <w:rPr>
                <w:rFonts w:cs="Arial"/>
                <w:color w:val="auto"/>
                <w:sz w:val="19"/>
                <w:szCs w:val="19"/>
              </w:rPr>
              <w:t>2</w:t>
            </w:r>
          </w:p>
        </w:tc>
        <w:tc>
          <w:tcPr>
            <w:tcW w:w="337" w:type="pct"/>
            <w:tcBorders>
              <w:top w:val="single" w:sz="4" w:space="0" w:color="auto"/>
              <w:left w:val="single" w:sz="4" w:space="0" w:color="auto"/>
              <w:right w:val="single" w:sz="4" w:space="0" w:color="auto"/>
            </w:tcBorders>
            <w:shd w:val="clear" w:color="auto" w:fill="E2EFD9" w:themeFill="accent6" w:themeFillTint="33"/>
          </w:tcPr>
          <w:p w14:paraId="169DAC71"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93" w:type="pct"/>
            <w:gridSpan w:val="2"/>
            <w:tcBorders>
              <w:top w:val="single" w:sz="4" w:space="0" w:color="auto"/>
              <w:left w:val="single" w:sz="4" w:space="0" w:color="auto"/>
              <w:right w:val="single" w:sz="4" w:space="0" w:color="auto"/>
            </w:tcBorders>
            <w:shd w:val="clear" w:color="auto" w:fill="C5E0B3" w:themeFill="accent6" w:themeFillTint="66"/>
          </w:tcPr>
          <w:p w14:paraId="39ED384D" w14:textId="77777777" w:rsidR="00E92DD5" w:rsidRPr="00BF0490" w:rsidRDefault="00E92DD5" w:rsidP="001375D4">
            <w:pPr>
              <w:jc w:val="left"/>
              <w:rPr>
                <w:rFonts w:cs="Arial"/>
                <w:color w:val="auto"/>
                <w:sz w:val="19"/>
                <w:szCs w:val="19"/>
              </w:rPr>
            </w:pPr>
            <w:r>
              <w:rPr>
                <w:rFonts w:cs="Arial"/>
                <w:color w:val="auto"/>
                <w:sz w:val="19"/>
                <w:szCs w:val="19"/>
              </w:rPr>
              <w:t>10</w:t>
            </w:r>
          </w:p>
        </w:tc>
        <w:tc>
          <w:tcPr>
            <w:tcW w:w="473" w:type="pct"/>
            <w:tcBorders>
              <w:top w:val="single" w:sz="4" w:space="0" w:color="auto"/>
              <w:left w:val="single" w:sz="4" w:space="0" w:color="auto"/>
              <w:right w:val="single" w:sz="4" w:space="0" w:color="auto"/>
            </w:tcBorders>
            <w:shd w:val="clear" w:color="auto" w:fill="E2EFD9" w:themeFill="accent6" w:themeFillTint="33"/>
          </w:tcPr>
          <w:p w14:paraId="5C95C63A" w14:textId="77777777" w:rsidR="00E92DD5" w:rsidRPr="00BF0490" w:rsidRDefault="00E92DD5" w:rsidP="001375D4">
            <w:pPr>
              <w:jc w:val="left"/>
              <w:rPr>
                <w:rFonts w:cs="Arial"/>
                <w:color w:val="auto"/>
                <w:sz w:val="19"/>
                <w:szCs w:val="19"/>
              </w:rPr>
            </w:pPr>
            <w:r>
              <w:rPr>
                <w:rFonts w:cs="Arial"/>
                <w:color w:val="auto"/>
                <w:sz w:val="19"/>
                <w:szCs w:val="19"/>
              </w:rPr>
              <w:t>4</w:t>
            </w:r>
          </w:p>
        </w:tc>
        <w:tc>
          <w:tcPr>
            <w:tcW w:w="362" w:type="pct"/>
            <w:tcBorders>
              <w:top w:val="single" w:sz="4" w:space="0" w:color="auto"/>
              <w:left w:val="single" w:sz="4" w:space="0" w:color="auto"/>
              <w:right w:val="single" w:sz="4" w:space="0" w:color="auto"/>
            </w:tcBorders>
            <w:shd w:val="clear" w:color="auto" w:fill="E2EFD9" w:themeFill="accent6" w:themeFillTint="33"/>
          </w:tcPr>
          <w:p w14:paraId="78E27A41" w14:textId="77777777" w:rsidR="00E92DD5" w:rsidRDefault="00E92DD5" w:rsidP="001375D4">
            <w:pPr>
              <w:jc w:val="left"/>
              <w:rPr>
                <w:rFonts w:cs="Arial"/>
                <w:color w:val="auto"/>
                <w:sz w:val="19"/>
                <w:szCs w:val="19"/>
              </w:rPr>
            </w:pPr>
            <w:r>
              <w:rPr>
                <w:rFonts w:cs="Arial"/>
                <w:color w:val="auto"/>
                <w:sz w:val="19"/>
                <w:szCs w:val="19"/>
              </w:rPr>
              <w:t>2</w:t>
            </w:r>
          </w:p>
        </w:tc>
        <w:tc>
          <w:tcPr>
            <w:tcW w:w="424" w:type="pct"/>
            <w:tcBorders>
              <w:top w:val="single" w:sz="4" w:space="0" w:color="auto"/>
              <w:left w:val="single" w:sz="4" w:space="0" w:color="auto"/>
              <w:right w:val="single" w:sz="4" w:space="0" w:color="auto"/>
            </w:tcBorders>
            <w:shd w:val="clear" w:color="auto" w:fill="C5E0B3" w:themeFill="accent6" w:themeFillTint="66"/>
          </w:tcPr>
          <w:p w14:paraId="237911FE" w14:textId="77777777" w:rsidR="00E92DD5" w:rsidRDefault="00E92DD5" w:rsidP="001375D4">
            <w:pPr>
              <w:jc w:val="left"/>
              <w:rPr>
                <w:rFonts w:cs="Arial"/>
                <w:color w:val="auto"/>
                <w:sz w:val="19"/>
                <w:szCs w:val="19"/>
              </w:rPr>
            </w:pPr>
            <w:r>
              <w:rPr>
                <w:rFonts w:cs="Arial"/>
                <w:color w:val="auto"/>
                <w:sz w:val="19"/>
                <w:szCs w:val="19"/>
              </w:rPr>
              <w:t>7</w:t>
            </w:r>
          </w:p>
        </w:tc>
        <w:tc>
          <w:tcPr>
            <w:tcW w:w="676" w:type="pct"/>
            <w:tcBorders>
              <w:top w:val="single" w:sz="4" w:space="0" w:color="auto"/>
              <w:left w:val="single" w:sz="4" w:space="0" w:color="auto"/>
              <w:right w:val="single" w:sz="4" w:space="0" w:color="auto"/>
            </w:tcBorders>
            <w:shd w:val="clear" w:color="auto" w:fill="C5E0B3" w:themeFill="accent6" w:themeFillTint="66"/>
          </w:tcPr>
          <w:p w14:paraId="76B3F2D8" w14:textId="77777777" w:rsidR="00E92DD5" w:rsidRDefault="00E92DD5" w:rsidP="001375D4">
            <w:pPr>
              <w:jc w:val="left"/>
              <w:rPr>
                <w:rFonts w:cs="Arial"/>
                <w:color w:val="auto"/>
                <w:sz w:val="19"/>
                <w:szCs w:val="19"/>
              </w:rPr>
            </w:pPr>
            <w:r>
              <w:rPr>
                <w:rFonts w:cs="Arial"/>
                <w:color w:val="auto"/>
                <w:sz w:val="19"/>
                <w:szCs w:val="19"/>
              </w:rPr>
              <w:t>8</w:t>
            </w:r>
          </w:p>
        </w:tc>
      </w:tr>
      <w:tr w:rsidR="001D7B5C" w:rsidRPr="00BF0490" w14:paraId="1264B13C" w14:textId="77777777" w:rsidTr="00D85084">
        <w:trPr>
          <w:cantSplit/>
          <w:trHeight w:val="1026"/>
        </w:trPr>
        <w:tc>
          <w:tcPr>
            <w:tcW w:w="705" w:type="pct"/>
            <w:vMerge/>
            <w:tcBorders>
              <w:left w:val="single" w:sz="4" w:space="0" w:color="auto"/>
              <w:right w:val="single" w:sz="4" w:space="0" w:color="auto"/>
            </w:tcBorders>
          </w:tcPr>
          <w:p w14:paraId="50CDE8B6" w14:textId="77777777" w:rsidR="00E92DD5" w:rsidRPr="00BF0490" w:rsidRDefault="00E92DD5" w:rsidP="001375D4">
            <w:pPr>
              <w:jc w:val="left"/>
              <w:rPr>
                <w:sz w:val="19"/>
                <w:szCs w:val="19"/>
              </w:rPr>
            </w:pPr>
          </w:p>
        </w:tc>
        <w:tc>
          <w:tcPr>
            <w:tcW w:w="630" w:type="pct"/>
            <w:vMerge/>
            <w:tcBorders>
              <w:left w:val="single" w:sz="4" w:space="0" w:color="auto"/>
              <w:right w:val="single" w:sz="4" w:space="0" w:color="auto"/>
            </w:tcBorders>
          </w:tcPr>
          <w:p w14:paraId="066574D9" w14:textId="77777777" w:rsidR="00E92DD5" w:rsidRPr="00BF0490" w:rsidRDefault="00E92DD5" w:rsidP="001375D4">
            <w:pPr>
              <w:jc w:val="left"/>
              <w:rPr>
                <w:rFonts w:cs="Arial"/>
                <w:color w:val="auto"/>
                <w:sz w:val="19"/>
                <w:szCs w:val="19"/>
              </w:rPr>
            </w:pPr>
          </w:p>
        </w:tc>
        <w:tc>
          <w:tcPr>
            <w:tcW w:w="549" w:type="pct"/>
            <w:tcBorders>
              <w:top w:val="single" w:sz="4" w:space="0" w:color="auto"/>
              <w:left w:val="single" w:sz="4" w:space="0" w:color="auto"/>
              <w:right w:val="single" w:sz="4" w:space="0" w:color="auto"/>
            </w:tcBorders>
          </w:tcPr>
          <w:p w14:paraId="7D405D6E" w14:textId="77777777" w:rsidR="00E92DD5" w:rsidRPr="00BF0490" w:rsidRDefault="00E92DD5" w:rsidP="001375D4">
            <w:pPr>
              <w:jc w:val="left"/>
              <w:rPr>
                <w:rFonts w:cs="Arial"/>
                <w:color w:val="auto"/>
                <w:sz w:val="19"/>
                <w:szCs w:val="19"/>
              </w:rPr>
            </w:pPr>
            <w:r w:rsidRPr="00BF0490">
              <w:rPr>
                <w:rFonts w:cs="Arial"/>
                <w:color w:val="auto"/>
                <w:sz w:val="19"/>
                <w:szCs w:val="19"/>
              </w:rPr>
              <w:t>CEW</w:t>
            </w:r>
          </w:p>
        </w:tc>
        <w:tc>
          <w:tcPr>
            <w:tcW w:w="451" w:type="pct"/>
            <w:gridSpan w:val="3"/>
            <w:tcBorders>
              <w:top w:val="single" w:sz="4" w:space="0" w:color="auto"/>
              <w:left w:val="single" w:sz="4" w:space="0" w:color="auto"/>
              <w:right w:val="single" w:sz="4" w:space="0" w:color="auto"/>
            </w:tcBorders>
            <w:shd w:val="clear" w:color="auto" w:fill="E2EFD9" w:themeFill="accent6" w:themeFillTint="33"/>
          </w:tcPr>
          <w:p w14:paraId="294D326F" w14:textId="77777777" w:rsidR="00E92DD5" w:rsidRPr="00BF0490" w:rsidRDefault="00E92DD5" w:rsidP="001375D4">
            <w:pPr>
              <w:jc w:val="left"/>
              <w:rPr>
                <w:rFonts w:cs="Arial"/>
                <w:color w:val="auto"/>
                <w:sz w:val="19"/>
                <w:szCs w:val="19"/>
              </w:rPr>
            </w:pPr>
            <w:r>
              <w:rPr>
                <w:rFonts w:cs="Arial"/>
                <w:color w:val="auto"/>
                <w:sz w:val="19"/>
                <w:szCs w:val="19"/>
              </w:rPr>
              <w:t>2</w:t>
            </w:r>
          </w:p>
        </w:tc>
        <w:tc>
          <w:tcPr>
            <w:tcW w:w="337" w:type="pct"/>
            <w:tcBorders>
              <w:top w:val="single" w:sz="4" w:space="0" w:color="auto"/>
              <w:left w:val="single" w:sz="4" w:space="0" w:color="auto"/>
              <w:right w:val="single" w:sz="4" w:space="0" w:color="auto"/>
            </w:tcBorders>
            <w:shd w:val="clear" w:color="auto" w:fill="E2EFD9" w:themeFill="accent6" w:themeFillTint="33"/>
          </w:tcPr>
          <w:p w14:paraId="11948E57" w14:textId="77777777" w:rsidR="00E92DD5" w:rsidRPr="00BF0490" w:rsidRDefault="00E92DD5" w:rsidP="001375D4">
            <w:pPr>
              <w:jc w:val="left"/>
              <w:rPr>
                <w:rFonts w:cs="Arial"/>
                <w:color w:val="auto"/>
                <w:sz w:val="19"/>
                <w:szCs w:val="19"/>
              </w:rPr>
            </w:pPr>
            <w:r>
              <w:rPr>
                <w:rFonts w:cs="Arial"/>
                <w:color w:val="auto"/>
                <w:sz w:val="19"/>
                <w:szCs w:val="19"/>
              </w:rPr>
              <w:t>0</w:t>
            </w:r>
          </w:p>
        </w:tc>
        <w:tc>
          <w:tcPr>
            <w:tcW w:w="393" w:type="pct"/>
            <w:gridSpan w:val="2"/>
            <w:tcBorders>
              <w:top w:val="single" w:sz="4" w:space="0" w:color="auto"/>
              <w:left w:val="single" w:sz="4" w:space="0" w:color="auto"/>
              <w:right w:val="single" w:sz="4" w:space="0" w:color="auto"/>
            </w:tcBorders>
            <w:shd w:val="clear" w:color="auto" w:fill="C5E0B3" w:themeFill="accent6" w:themeFillTint="66"/>
          </w:tcPr>
          <w:p w14:paraId="0B25540F" w14:textId="77777777" w:rsidR="00E92DD5" w:rsidRPr="00BF0490" w:rsidRDefault="00E92DD5" w:rsidP="001375D4">
            <w:pPr>
              <w:jc w:val="left"/>
              <w:rPr>
                <w:rFonts w:cs="Arial"/>
                <w:color w:val="auto"/>
                <w:sz w:val="19"/>
                <w:szCs w:val="19"/>
              </w:rPr>
            </w:pPr>
            <w:r>
              <w:rPr>
                <w:rFonts w:cs="Arial"/>
                <w:color w:val="auto"/>
                <w:sz w:val="19"/>
                <w:szCs w:val="19"/>
              </w:rPr>
              <w:t>5</w:t>
            </w:r>
          </w:p>
        </w:tc>
        <w:tc>
          <w:tcPr>
            <w:tcW w:w="473" w:type="pct"/>
            <w:tcBorders>
              <w:top w:val="single" w:sz="4" w:space="0" w:color="auto"/>
              <w:left w:val="single" w:sz="4" w:space="0" w:color="auto"/>
              <w:right w:val="single" w:sz="4" w:space="0" w:color="auto"/>
            </w:tcBorders>
            <w:shd w:val="clear" w:color="auto" w:fill="E2EFD9" w:themeFill="accent6" w:themeFillTint="33"/>
          </w:tcPr>
          <w:p w14:paraId="32167C9F" w14:textId="77777777" w:rsidR="00E92DD5" w:rsidRPr="00BF0490" w:rsidRDefault="00E92DD5" w:rsidP="001375D4">
            <w:pPr>
              <w:jc w:val="left"/>
              <w:rPr>
                <w:rFonts w:cs="Arial"/>
                <w:color w:val="auto"/>
                <w:sz w:val="19"/>
                <w:szCs w:val="19"/>
              </w:rPr>
            </w:pPr>
            <w:r>
              <w:rPr>
                <w:rFonts w:cs="Arial"/>
                <w:color w:val="auto"/>
                <w:sz w:val="19"/>
                <w:szCs w:val="19"/>
              </w:rPr>
              <w:t>2</w:t>
            </w:r>
          </w:p>
        </w:tc>
        <w:tc>
          <w:tcPr>
            <w:tcW w:w="362" w:type="pct"/>
            <w:tcBorders>
              <w:top w:val="single" w:sz="4" w:space="0" w:color="auto"/>
              <w:left w:val="single" w:sz="4" w:space="0" w:color="auto"/>
              <w:right w:val="single" w:sz="4" w:space="0" w:color="auto"/>
            </w:tcBorders>
            <w:shd w:val="clear" w:color="auto" w:fill="E2EFD9" w:themeFill="accent6" w:themeFillTint="33"/>
          </w:tcPr>
          <w:p w14:paraId="23B7A9F1" w14:textId="77777777" w:rsidR="00E92DD5" w:rsidRDefault="00E92DD5" w:rsidP="001375D4">
            <w:pPr>
              <w:jc w:val="left"/>
              <w:rPr>
                <w:rFonts w:cs="Arial"/>
                <w:color w:val="auto"/>
                <w:sz w:val="19"/>
                <w:szCs w:val="19"/>
              </w:rPr>
            </w:pPr>
            <w:r>
              <w:rPr>
                <w:rFonts w:cs="Arial"/>
                <w:color w:val="auto"/>
                <w:sz w:val="19"/>
                <w:szCs w:val="19"/>
              </w:rPr>
              <w:t>1</w:t>
            </w:r>
          </w:p>
        </w:tc>
        <w:tc>
          <w:tcPr>
            <w:tcW w:w="424" w:type="pct"/>
            <w:tcBorders>
              <w:top w:val="single" w:sz="4" w:space="0" w:color="auto"/>
              <w:left w:val="single" w:sz="4" w:space="0" w:color="auto"/>
              <w:right w:val="single" w:sz="4" w:space="0" w:color="auto"/>
            </w:tcBorders>
            <w:shd w:val="clear" w:color="auto" w:fill="E2EFD9" w:themeFill="accent6" w:themeFillTint="33"/>
          </w:tcPr>
          <w:p w14:paraId="57FF55A5" w14:textId="77777777" w:rsidR="00E92DD5" w:rsidRDefault="00E92DD5" w:rsidP="001375D4">
            <w:pPr>
              <w:jc w:val="left"/>
              <w:rPr>
                <w:rFonts w:cs="Arial"/>
                <w:color w:val="auto"/>
                <w:sz w:val="19"/>
                <w:szCs w:val="19"/>
              </w:rPr>
            </w:pPr>
            <w:r>
              <w:rPr>
                <w:rFonts w:cs="Arial"/>
                <w:color w:val="auto"/>
                <w:sz w:val="19"/>
                <w:szCs w:val="19"/>
              </w:rPr>
              <w:t>4</w:t>
            </w:r>
          </w:p>
        </w:tc>
        <w:tc>
          <w:tcPr>
            <w:tcW w:w="676" w:type="pct"/>
            <w:tcBorders>
              <w:top w:val="single" w:sz="4" w:space="0" w:color="auto"/>
              <w:left w:val="single" w:sz="4" w:space="0" w:color="auto"/>
              <w:right w:val="single" w:sz="4" w:space="0" w:color="auto"/>
            </w:tcBorders>
            <w:shd w:val="clear" w:color="auto" w:fill="C5E0B3" w:themeFill="accent6" w:themeFillTint="66"/>
          </w:tcPr>
          <w:p w14:paraId="798585A3" w14:textId="77777777" w:rsidR="00E92DD5" w:rsidRDefault="00E92DD5" w:rsidP="001375D4">
            <w:pPr>
              <w:jc w:val="left"/>
              <w:rPr>
                <w:rFonts w:cs="Arial"/>
                <w:color w:val="auto"/>
                <w:sz w:val="19"/>
                <w:szCs w:val="19"/>
              </w:rPr>
            </w:pPr>
            <w:r>
              <w:rPr>
                <w:rFonts w:cs="Arial"/>
                <w:color w:val="auto"/>
                <w:sz w:val="19"/>
                <w:szCs w:val="19"/>
              </w:rPr>
              <w:t>5</w:t>
            </w:r>
          </w:p>
        </w:tc>
      </w:tr>
      <w:tr w:rsidR="00C5668B" w:rsidRPr="00BF0490" w14:paraId="2CC91064" w14:textId="77777777" w:rsidTr="001D7B5C">
        <w:trPr>
          <w:cantSplit/>
          <w:trHeight w:val="2064"/>
        </w:trPr>
        <w:tc>
          <w:tcPr>
            <w:tcW w:w="705" w:type="pct"/>
            <w:vMerge/>
            <w:tcBorders>
              <w:left w:val="single" w:sz="4" w:space="0" w:color="auto"/>
              <w:bottom w:val="single" w:sz="4" w:space="0" w:color="auto"/>
              <w:right w:val="single" w:sz="4" w:space="0" w:color="auto"/>
            </w:tcBorders>
          </w:tcPr>
          <w:p w14:paraId="3BEFF761" w14:textId="77777777" w:rsidR="00C5668B" w:rsidRPr="00BF0490" w:rsidRDefault="00C5668B" w:rsidP="001375D4">
            <w:pPr>
              <w:jc w:val="left"/>
              <w:rPr>
                <w:sz w:val="19"/>
                <w:szCs w:val="19"/>
              </w:rPr>
            </w:pPr>
          </w:p>
        </w:tc>
        <w:tc>
          <w:tcPr>
            <w:tcW w:w="4295" w:type="pct"/>
            <w:gridSpan w:val="12"/>
            <w:tcBorders>
              <w:left w:val="single" w:sz="4" w:space="0" w:color="auto"/>
              <w:right w:val="single" w:sz="4" w:space="0" w:color="auto"/>
            </w:tcBorders>
            <w:shd w:val="clear" w:color="auto" w:fill="E2EFD9" w:themeFill="accent6" w:themeFillTint="33"/>
          </w:tcPr>
          <w:p w14:paraId="06E8D1E6" w14:textId="26BED64D" w:rsidR="00C5668B" w:rsidRPr="00BF0490" w:rsidRDefault="00C5668B" w:rsidP="00C5668B">
            <w:pPr>
              <w:rPr>
                <w:sz w:val="19"/>
                <w:szCs w:val="19"/>
              </w:rPr>
            </w:pPr>
            <w:r w:rsidRPr="00BF0490">
              <w:rPr>
                <w:sz w:val="19"/>
                <w:szCs w:val="19"/>
              </w:rPr>
              <w:t>Bacterial respiration (BCR), a measure of decomposition, is directly related to DOC concentrations. Modelling of the influence of flows on BCR assumed that</w:t>
            </w:r>
            <w:r>
              <w:rPr>
                <w:sz w:val="19"/>
                <w:szCs w:val="19"/>
              </w:rPr>
              <w:t xml:space="preserve"> daily</w:t>
            </w:r>
            <w:r w:rsidRPr="00BF0490">
              <w:rPr>
                <w:sz w:val="19"/>
                <w:szCs w:val="19"/>
              </w:rPr>
              <w:t xml:space="preserve"> DOC concentrations were the same with and without eWater</w:t>
            </w:r>
            <w:r>
              <w:rPr>
                <w:sz w:val="19"/>
                <w:szCs w:val="19"/>
              </w:rPr>
              <w:t xml:space="preserve"> and so volumetric BCR was unaffected by flows</w:t>
            </w:r>
            <w:r w:rsidRPr="00BF0490">
              <w:rPr>
                <w:sz w:val="19"/>
                <w:szCs w:val="19"/>
              </w:rPr>
              <w:t xml:space="preserve">. </w:t>
            </w:r>
            <w:r>
              <w:rPr>
                <w:sz w:val="19"/>
                <w:szCs w:val="19"/>
              </w:rPr>
              <w:t>Evaluation was based on the percentage</w:t>
            </w:r>
            <w:r w:rsidRPr="00BF0490">
              <w:rPr>
                <w:sz w:val="19"/>
                <w:szCs w:val="19"/>
              </w:rPr>
              <w:t xml:space="preserve"> </w:t>
            </w:r>
            <w:r>
              <w:rPr>
                <w:sz w:val="19"/>
                <w:szCs w:val="19"/>
              </w:rPr>
              <w:t>changes</w:t>
            </w:r>
            <w:r w:rsidRPr="00BF0490">
              <w:rPr>
                <w:sz w:val="19"/>
                <w:szCs w:val="19"/>
              </w:rPr>
              <w:t xml:space="preserve"> in river </w:t>
            </w:r>
            <w:r>
              <w:rPr>
                <w:sz w:val="19"/>
                <w:szCs w:val="19"/>
              </w:rPr>
              <w:t>cross-sectional</w:t>
            </w:r>
            <w:r w:rsidRPr="00BF0490">
              <w:rPr>
                <w:sz w:val="19"/>
                <w:szCs w:val="19"/>
              </w:rPr>
              <w:t xml:space="preserve"> BCR due to the addition of CEW</w:t>
            </w:r>
            <w:r>
              <w:rPr>
                <w:sz w:val="19"/>
                <w:szCs w:val="19"/>
              </w:rPr>
              <w:t xml:space="preserve"> or eWater</w:t>
            </w:r>
            <w:r w:rsidRPr="00BF0490">
              <w:rPr>
                <w:sz w:val="19"/>
                <w:szCs w:val="19"/>
              </w:rPr>
              <w:t xml:space="preserve"> </w:t>
            </w:r>
            <w:r>
              <w:rPr>
                <w:sz w:val="19"/>
                <w:szCs w:val="19"/>
              </w:rPr>
              <w:t xml:space="preserve">which were determined from the average change in cross-sectional area over the monitoring period. </w:t>
            </w:r>
            <w:r w:rsidR="00864BD3">
              <w:rPr>
                <w:sz w:val="19"/>
                <w:szCs w:val="19"/>
              </w:rPr>
              <w:t>From 2014</w:t>
            </w:r>
            <w:r w:rsidR="00864BD3">
              <w:rPr>
                <w:rFonts w:ascii="Calibri" w:hAnsi="Calibri" w:cs="Calibri"/>
                <w:sz w:val="19"/>
                <w:szCs w:val="19"/>
              </w:rPr>
              <w:t>–</w:t>
            </w:r>
            <w:r w:rsidR="00864BD3">
              <w:rPr>
                <w:sz w:val="19"/>
                <w:szCs w:val="19"/>
              </w:rPr>
              <w:t>2021, increases were generally small at all sites due to</w:t>
            </w:r>
            <w:r w:rsidR="00864BD3">
              <w:t xml:space="preserve"> </w:t>
            </w:r>
            <w:r w:rsidR="00864BD3" w:rsidRPr="00DC2D82">
              <w:rPr>
                <w:sz w:val="19"/>
                <w:szCs w:val="19"/>
              </w:rPr>
              <w:t>the constant water level maintained by the weirs</w:t>
            </w:r>
            <w:r w:rsidR="00864BD3">
              <w:rPr>
                <w:sz w:val="19"/>
                <w:szCs w:val="19"/>
              </w:rPr>
              <w:t xml:space="preserve"> and the short flow pulses except that, in 2020-21, there were moderate increases below Locks 6 and 4 due to eWater and a moderate increase below Lock 6 due to CEW</w:t>
            </w:r>
            <w:r w:rsidR="00AB25C7">
              <w:rPr>
                <w:sz w:val="19"/>
                <w:szCs w:val="19"/>
              </w:rPr>
              <w:t>,</w:t>
            </w:r>
            <w:r w:rsidR="00864BD3" w:rsidRPr="00D70C47">
              <w:t xml:space="preserve"> </w:t>
            </w:r>
            <w:r w:rsidR="00864BD3" w:rsidRPr="00D70C47">
              <w:rPr>
                <w:sz w:val="19"/>
                <w:szCs w:val="19"/>
              </w:rPr>
              <w:t>increasing basal food resources to the river</w:t>
            </w:r>
            <w:r>
              <w:rPr>
                <w:sz w:val="19"/>
                <w:szCs w:val="19"/>
              </w:rPr>
              <w:t xml:space="preserve">. </w:t>
            </w:r>
            <w:r w:rsidRPr="00BF0490">
              <w:rPr>
                <w:sz w:val="19"/>
                <w:szCs w:val="19"/>
              </w:rPr>
              <w:t>A substantial contribution was considered an increase in cross-sectional BCR of 20% or greater, moderate 11</w:t>
            </w:r>
            <w:r>
              <w:rPr>
                <w:sz w:val="19"/>
                <w:szCs w:val="19"/>
              </w:rPr>
              <w:t>–</w:t>
            </w:r>
            <w:r w:rsidRPr="00BF0490">
              <w:rPr>
                <w:sz w:val="19"/>
                <w:szCs w:val="19"/>
              </w:rPr>
              <w:t>19%, minor 5</w:t>
            </w:r>
            <w:r>
              <w:rPr>
                <w:sz w:val="19"/>
                <w:szCs w:val="19"/>
              </w:rPr>
              <w:t>–</w:t>
            </w:r>
            <w:r w:rsidRPr="00BF0490">
              <w:rPr>
                <w:sz w:val="19"/>
                <w:szCs w:val="19"/>
              </w:rPr>
              <w:t>10%, negligible &lt;5%.</w:t>
            </w:r>
          </w:p>
        </w:tc>
      </w:tr>
    </w:tbl>
    <w:p w14:paraId="2F10FF13" w14:textId="5881A4A3" w:rsidR="00E92DD5" w:rsidRDefault="00AE69FC" w:rsidP="00E92DD5">
      <w:pPr>
        <w:spacing w:before="0" w:after="0" w:line="240" w:lineRule="auto"/>
        <w:jc w:val="left"/>
        <w:rPr>
          <w:color w:val="auto"/>
          <w:kern w:val="0"/>
          <w:sz w:val="19"/>
          <w:szCs w:val="19"/>
          <w:lang w:val="en-US" w:bidi="en-US"/>
        </w:rPr>
      </w:pPr>
      <w:r>
        <w:rPr>
          <w:color w:val="auto"/>
          <w:kern w:val="0"/>
          <w:sz w:val="19"/>
          <w:szCs w:val="19"/>
          <w:lang w:val="en-US" w:bidi="en-US"/>
        </w:rPr>
        <w:t>C</w:t>
      </w:r>
      <w:r w:rsidR="00E92DD5" w:rsidRPr="00BF0490">
        <w:rPr>
          <w:color w:val="auto"/>
          <w:kern w:val="0"/>
          <w:sz w:val="19"/>
          <w:szCs w:val="19"/>
          <w:lang w:val="en-US" w:bidi="en-US"/>
        </w:rPr>
        <w:t>ontribution (to what extent CEW contributed towards the outcome, with the significance of the outcome considered):</w:t>
      </w:r>
    </w:p>
    <w:p w14:paraId="3A165598" w14:textId="77777777" w:rsidR="00E92DD5" w:rsidRPr="00BF0490" w:rsidRDefault="00E92DD5" w:rsidP="00E92DD5">
      <w:pPr>
        <w:spacing w:before="0" w:after="0" w:line="240" w:lineRule="auto"/>
        <w:jc w:val="left"/>
        <w:rPr>
          <w:color w:val="auto"/>
          <w:kern w:val="0"/>
          <w:sz w:val="19"/>
          <w:szCs w:val="19"/>
          <w:lang w:val="en-US" w:bidi="en-US"/>
        </w:rPr>
      </w:pPr>
    </w:p>
    <w:tbl>
      <w:tblPr>
        <w:tblW w:w="8252"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E92DD5" w:rsidRPr="00BF0490" w14:paraId="3BA6B53C" w14:textId="77777777" w:rsidTr="001375D4">
        <w:tc>
          <w:tcPr>
            <w:tcW w:w="222" w:type="dxa"/>
            <w:shd w:val="clear" w:color="auto" w:fill="D9D9D9" w:themeFill="background1" w:themeFillShade="D9"/>
          </w:tcPr>
          <w:p w14:paraId="05DE6BF5" w14:textId="77777777" w:rsidR="00E92DD5" w:rsidRPr="00BF0490" w:rsidRDefault="00E92DD5" w:rsidP="001375D4">
            <w:pPr>
              <w:contextualSpacing/>
              <w:rPr>
                <w:sz w:val="19"/>
                <w:szCs w:val="19"/>
              </w:rPr>
            </w:pPr>
          </w:p>
        </w:tc>
        <w:tc>
          <w:tcPr>
            <w:tcW w:w="1066" w:type="dxa"/>
            <w:vAlign w:val="center"/>
          </w:tcPr>
          <w:p w14:paraId="40E05146" w14:textId="77777777" w:rsidR="00E92DD5" w:rsidRPr="00BF0490" w:rsidRDefault="00E92DD5" w:rsidP="001375D4">
            <w:pPr>
              <w:contextualSpacing/>
              <w:rPr>
                <w:sz w:val="19"/>
                <w:szCs w:val="19"/>
              </w:rPr>
            </w:pPr>
            <w:r w:rsidRPr="00BF0490">
              <w:rPr>
                <w:sz w:val="19"/>
                <w:szCs w:val="19"/>
              </w:rPr>
              <w:t>Unknown</w:t>
            </w:r>
          </w:p>
        </w:tc>
        <w:tc>
          <w:tcPr>
            <w:tcW w:w="222" w:type="dxa"/>
            <w:shd w:val="clear" w:color="auto" w:fill="FF0000"/>
            <w:vAlign w:val="center"/>
          </w:tcPr>
          <w:p w14:paraId="789AB7E7" w14:textId="77777777" w:rsidR="00E92DD5" w:rsidRPr="00BF0490" w:rsidRDefault="00E92DD5" w:rsidP="001375D4">
            <w:pPr>
              <w:contextualSpacing/>
              <w:rPr>
                <w:sz w:val="19"/>
                <w:szCs w:val="19"/>
              </w:rPr>
            </w:pPr>
          </w:p>
        </w:tc>
        <w:tc>
          <w:tcPr>
            <w:tcW w:w="1069" w:type="dxa"/>
            <w:vAlign w:val="center"/>
          </w:tcPr>
          <w:p w14:paraId="628E1213" w14:textId="77777777" w:rsidR="00E92DD5" w:rsidRPr="00BF0490" w:rsidRDefault="00E92DD5" w:rsidP="001375D4">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7F585829" w14:textId="77777777" w:rsidR="00E92DD5" w:rsidRPr="00BF0490" w:rsidRDefault="00E92DD5" w:rsidP="001375D4">
            <w:pPr>
              <w:contextualSpacing/>
              <w:rPr>
                <w:sz w:val="19"/>
                <w:szCs w:val="19"/>
              </w:rPr>
            </w:pPr>
          </w:p>
        </w:tc>
        <w:tc>
          <w:tcPr>
            <w:tcW w:w="1704" w:type="dxa"/>
            <w:vAlign w:val="center"/>
          </w:tcPr>
          <w:p w14:paraId="7B3B275C" w14:textId="77777777" w:rsidR="00E92DD5" w:rsidRPr="00BF0490" w:rsidRDefault="00E92DD5" w:rsidP="001375D4">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2761E80A" w14:textId="77777777" w:rsidR="00E92DD5" w:rsidRPr="00BF0490" w:rsidRDefault="00E92DD5" w:rsidP="001375D4">
            <w:pPr>
              <w:contextualSpacing/>
              <w:rPr>
                <w:sz w:val="19"/>
                <w:szCs w:val="19"/>
              </w:rPr>
            </w:pPr>
          </w:p>
        </w:tc>
        <w:tc>
          <w:tcPr>
            <w:tcW w:w="727" w:type="dxa"/>
            <w:vAlign w:val="center"/>
          </w:tcPr>
          <w:p w14:paraId="720F8599" w14:textId="77777777" w:rsidR="00E92DD5" w:rsidRPr="00BF0490" w:rsidRDefault="00E92DD5" w:rsidP="001375D4">
            <w:pPr>
              <w:contextualSpacing/>
              <w:rPr>
                <w:sz w:val="19"/>
                <w:szCs w:val="19"/>
              </w:rPr>
            </w:pPr>
            <w:r w:rsidRPr="00BF0490">
              <w:rPr>
                <w:sz w:val="19"/>
                <w:szCs w:val="19"/>
              </w:rPr>
              <w:t>Minor</w:t>
            </w:r>
          </w:p>
        </w:tc>
        <w:tc>
          <w:tcPr>
            <w:tcW w:w="222" w:type="dxa"/>
            <w:shd w:val="clear" w:color="auto" w:fill="70AD47" w:themeFill="accent6"/>
            <w:vAlign w:val="center"/>
          </w:tcPr>
          <w:p w14:paraId="588520BD" w14:textId="77777777" w:rsidR="00E92DD5" w:rsidRPr="00BF0490" w:rsidRDefault="00E92DD5" w:rsidP="001375D4">
            <w:pPr>
              <w:contextualSpacing/>
              <w:rPr>
                <w:sz w:val="19"/>
                <w:szCs w:val="19"/>
              </w:rPr>
            </w:pPr>
          </w:p>
        </w:tc>
        <w:tc>
          <w:tcPr>
            <w:tcW w:w="1144" w:type="dxa"/>
            <w:vAlign w:val="center"/>
          </w:tcPr>
          <w:p w14:paraId="0645CAB4" w14:textId="77777777" w:rsidR="00E92DD5" w:rsidRPr="00BF0490" w:rsidRDefault="00E92DD5" w:rsidP="001375D4">
            <w:pPr>
              <w:contextualSpacing/>
              <w:rPr>
                <w:sz w:val="19"/>
                <w:szCs w:val="19"/>
              </w:rPr>
            </w:pPr>
            <w:r w:rsidRPr="00BF0490">
              <w:rPr>
                <w:sz w:val="19"/>
                <w:szCs w:val="19"/>
              </w:rPr>
              <w:t>Moderate</w:t>
            </w:r>
          </w:p>
        </w:tc>
        <w:tc>
          <w:tcPr>
            <w:tcW w:w="222" w:type="dxa"/>
            <w:shd w:val="clear" w:color="auto" w:fill="5B9BD5" w:themeFill="accent1"/>
          </w:tcPr>
          <w:p w14:paraId="3E7E1F47" w14:textId="77777777" w:rsidR="00E92DD5" w:rsidRPr="00BF0490" w:rsidRDefault="00E92DD5" w:rsidP="001375D4">
            <w:pPr>
              <w:contextualSpacing/>
              <w:rPr>
                <w:sz w:val="19"/>
                <w:szCs w:val="19"/>
              </w:rPr>
            </w:pPr>
          </w:p>
        </w:tc>
        <w:tc>
          <w:tcPr>
            <w:tcW w:w="1210" w:type="dxa"/>
            <w:vAlign w:val="center"/>
          </w:tcPr>
          <w:p w14:paraId="0782B000" w14:textId="77777777" w:rsidR="00E92DD5" w:rsidRPr="00BF0490" w:rsidRDefault="00E92DD5" w:rsidP="001375D4">
            <w:pPr>
              <w:contextualSpacing/>
              <w:jc w:val="left"/>
              <w:rPr>
                <w:sz w:val="19"/>
                <w:szCs w:val="19"/>
              </w:rPr>
            </w:pPr>
            <w:r w:rsidRPr="00BF0490">
              <w:rPr>
                <w:sz w:val="19"/>
                <w:szCs w:val="19"/>
              </w:rPr>
              <w:t>Substantial</w:t>
            </w:r>
          </w:p>
        </w:tc>
      </w:tr>
    </w:tbl>
    <w:p w14:paraId="05839259" w14:textId="77777777" w:rsidR="00E92DD5" w:rsidRDefault="00E92DD5" w:rsidP="00E92DD5"/>
    <w:p w14:paraId="122BC210" w14:textId="77777777" w:rsidR="002009D1" w:rsidRDefault="002009D1" w:rsidP="002009D1">
      <w:pPr>
        <w:pStyle w:val="Heading3"/>
      </w:pPr>
      <w:r>
        <w:t>Discussion</w:t>
      </w:r>
    </w:p>
    <w:p w14:paraId="179FF5D1" w14:textId="7F4F70C2" w:rsidR="00FD2E7E" w:rsidRDefault="00E92DD5" w:rsidP="00FD2E7E">
      <w:pPr>
        <w:rPr>
          <w:lang w:val="en-US"/>
        </w:rPr>
      </w:pPr>
      <w:r>
        <w:rPr>
          <w:lang w:val="en-US"/>
        </w:rPr>
        <w:t>Dissolved oxygen concentrations remained near saturation levels throughout the 2020-21 monitoring period, reflecting the moderate flows (&lt;18,000 ML/d) and low heterotrophic respiration rates. Environmental water delivery contributed to the maintenance of the DO concentrations by</w:t>
      </w:r>
      <w:r w:rsidRPr="009F638A">
        <w:t xml:space="preserve"> </w:t>
      </w:r>
      <w:r>
        <w:t>increasing water velocities above 0.18 m/s and</w:t>
      </w:r>
      <w:r>
        <w:rPr>
          <w:lang w:val="en-US"/>
        </w:rPr>
        <w:t xml:space="preserve"> sustaining critical surface gas exchange for an additional 55 to 100 days across the different monitoring sites (</w:t>
      </w:r>
      <w:r w:rsidR="00B91D64">
        <w:rPr>
          <w:lang w:val="en-US"/>
        </w:rPr>
        <w:fldChar w:fldCharType="begin"/>
      </w:r>
      <w:r w:rsidR="00B91D64">
        <w:rPr>
          <w:lang w:val="en-US"/>
        </w:rPr>
        <w:instrText xml:space="preserve"> REF _Ref95920514 \h </w:instrText>
      </w:r>
      <w:r w:rsidR="00B91D64">
        <w:rPr>
          <w:lang w:val="en-US"/>
        </w:rPr>
      </w:r>
      <w:r w:rsidR="00B91D64">
        <w:rPr>
          <w:lang w:val="en-US"/>
        </w:rPr>
        <w:fldChar w:fldCharType="separate"/>
      </w:r>
      <w:r w:rsidR="003C13F6">
        <w:t xml:space="preserve">Table </w:t>
      </w:r>
      <w:r w:rsidR="003C13F6">
        <w:rPr>
          <w:noProof/>
        </w:rPr>
        <w:t>4</w:t>
      </w:r>
      <w:r w:rsidR="00B91D64">
        <w:rPr>
          <w:lang w:val="en-US"/>
        </w:rPr>
        <w:fldChar w:fldCharType="end"/>
      </w:r>
      <w:r>
        <w:rPr>
          <w:lang w:val="en-US"/>
        </w:rPr>
        <w:t xml:space="preserve">). </w:t>
      </w:r>
      <w:r>
        <w:t xml:space="preserve">These contributions are significant, </w:t>
      </w:r>
      <w:r w:rsidR="008D22DC">
        <w:t>helping avoid potential DO drawdown and the associated potential for fish kills.</w:t>
      </w:r>
    </w:p>
    <w:p w14:paraId="1446D5C8" w14:textId="53B8AFEB" w:rsidR="00E92DD5" w:rsidRDefault="008D22DC" w:rsidP="00FD2E7E">
      <w:r>
        <w:t>T</w:t>
      </w:r>
      <w:r w:rsidRPr="0058711E">
        <w:t xml:space="preserve">he </w:t>
      </w:r>
      <w:r>
        <w:t>effects</w:t>
      </w:r>
      <w:r w:rsidRPr="0058711E">
        <w:t xml:space="preserve"> of </w:t>
      </w:r>
      <w:r>
        <w:t xml:space="preserve">environmental flows </w:t>
      </w:r>
      <w:r w:rsidRPr="0058711E">
        <w:t xml:space="preserve">on </w:t>
      </w:r>
      <w:r>
        <w:t>volumetric GPP rates</w:t>
      </w:r>
      <w:r w:rsidRPr="0058711E">
        <w:t xml:space="preserve"> w</w:t>
      </w:r>
      <w:r>
        <w:t>ere substantial during the 2020-21 flow pulse with maximum reductions of 10</w:t>
      </w:r>
      <w:r>
        <w:rPr>
          <w:rFonts w:ascii="Calibri" w:hAnsi="Calibri" w:cs="Calibri"/>
        </w:rPr>
        <w:t>–</w:t>
      </w:r>
      <w:r>
        <w:t>30% apparent in the time series (</w:t>
      </w:r>
      <w:r w:rsidR="0014455D">
        <w:rPr>
          <w:lang w:val="en-US"/>
        </w:rPr>
        <w:fldChar w:fldCharType="begin"/>
      </w:r>
      <w:r w:rsidR="0014455D">
        <w:rPr>
          <w:lang w:val="en-US"/>
        </w:rPr>
        <w:instrText xml:space="preserve"> REF _Ref96527818 \h </w:instrText>
      </w:r>
      <w:r w:rsidR="0014455D">
        <w:rPr>
          <w:lang w:val="en-US"/>
        </w:rPr>
      </w:r>
      <w:r w:rsidR="0014455D">
        <w:rPr>
          <w:lang w:val="en-US"/>
        </w:rPr>
        <w:fldChar w:fldCharType="separate"/>
      </w:r>
      <w:r w:rsidR="0014455D">
        <w:t xml:space="preserve">Figure </w:t>
      </w:r>
      <w:r w:rsidR="0014455D">
        <w:rPr>
          <w:noProof/>
        </w:rPr>
        <w:t>18</w:t>
      </w:r>
      <w:r w:rsidR="0014455D">
        <w:rPr>
          <w:lang w:val="en-US"/>
        </w:rPr>
        <w:fldChar w:fldCharType="end"/>
      </w:r>
      <w:r w:rsidR="0014455D">
        <w:t>). These reductions might be expected to impact planktivores dependent on the food concentration for their feeding efficiency (</w:t>
      </w:r>
      <w:r w:rsidR="0014455D" w:rsidRPr="007631D9">
        <w:t xml:space="preserve">Rothhaupt 1990; </w:t>
      </w:r>
      <w:r w:rsidR="0014455D">
        <w:t xml:space="preserve">Kiørboe </w:t>
      </w:r>
      <w:r w:rsidR="0014455D" w:rsidRPr="007631D9">
        <w:rPr>
          <w:i/>
          <w:iCs/>
        </w:rPr>
        <w:t>et al.</w:t>
      </w:r>
      <w:r w:rsidR="0014455D">
        <w:t xml:space="preserve"> 2018), but the effect is difficult to assess. In part</w:t>
      </w:r>
      <w:r w:rsidR="007631D9">
        <w:t>,</w:t>
      </w:r>
      <w:r w:rsidR="00E92DD5">
        <w:t xml:space="preserve"> this is because the flow pulse was relatively short, ca one month of the three-month monitored peak production period, such that the integrated impact was a 10% or less reduction in GPP.</w:t>
      </w:r>
      <w:r w:rsidR="00E92DD5" w:rsidRPr="0058711E">
        <w:t xml:space="preserve"> </w:t>
      </w:r>
      <w:r w:rsidR="00E92DD5">
        <w:t xml:space="preserve">To assess the potential ecological impacts of volumetric reductions in GPP there is a need to develop evaluation criteria that consider the magnitude and patterns of responses to unregulated flows, where increases and decreases in production are normal occurrences. An estimate of integrated GPP for unregulated </w:t>
      </w:r>
      <w:r w:rsidR="00E92DD5" w:rsidRPr="00E60906">
        <w:rPr>
          <w:color w:val="000000" w:themeColor="text1"/>
        </w:rPr>
        <w:t>conditions</w:t>
      </w:r>
      <w:r w:rsidR="0099227A" w:rsidRPr="00E60906">
        <w:rPr>
          <w:color w:val="000000" w:themeColor="text1"/>
        </w:rPr>
        <w:t xml:space="preserve"> (e.g. prior to river regulation or under conditions without weir impact)</w:t>
      </w:r>
      <w:r w:rsidR="00E92DD5" w:rsidRPr="00E60906">
        <w:rPr>
          <w:color w:val="000000" w:themeColor="text1"/>
        </w:rPr>
        <w:t xml:space="preserve">, and the fluctuations in GPP in response to unregulated flows, would provide a context for assessment of </w:t>
      </w:r>
      <w:r w:rsidR="00E92DD5">
        <w:t>the influence of the weirs, and of the regulated flow changes, on integrated GPP.</w:t>
      </w:r>
    </w:p>
    <w:p w14:paraId="7C8403C3" w14:textId="7BB7D2BC" w:rsidR="00E92DD5" w:rsidRDefault="00E92DD5" w:rsidP="00E92DD5">
      <w:r>
        <w:t>Increases in flow increased the cross-sectional areas at the monitoring sites by 10</w:t>
      </w:r>
      <w:r>
        <w:rPr>
          <w:rFonts w:ascii="Calibri" w:hAnsi="Calibri" w:cs="Calibri"/>
        </w:rPr>
        <w:t>–</w:t>
      </w:r>
      <w:r>
        <w:t xml:space="preserve">40%, but because these increases were associated with similar, but opposite relative changes in </w:t>
      </w:r>
      <w:r>
        <w:lastRenderedPageBreak/>
        <w:t xml:space="preserve">water depth, increases in the overall cross-sectional rates of production were </w:t>
      </w:r>
      <w:r w:rsidR="00DC60E0">
        <w:t xml:space="preserve">small, &lt;10% below Locks 6 and 1 and slightly negative below Lock 4. </w:t>
      </w:r>
      <w:r>
        <w:t>The impacts of these changes on food resources are difficult to assess,</w:t>
      </w:r>
      <w:r w:rsidRPr="00B712E9">
        <w:t xml:space="preserve"> </w:t>
      </w:r>
      <w:r>
        <w:t xml:space="preserve">and as discussed with respect to changing volumetric rates, evaluation criteria are required that set these findings in the context of responses to unregulated conditions. </w:t>
      </w:r>
    </w:p>
    <w:p w14:paraId="6F915330" w14:textId="6BBD42C9" w:rsidR="00E92DD5" w:rsidRDefault="00E92DD5" w:rsidP="00E92DD5">
      <w:pPr>
        <w:rPr>
          <w:lang w:val="en-US"/>
        </w:rPr>
      </w:pPr>
      <w:r>
        <w:t xml:space="preserve">Previously, the influences of flow on metabolism were modelled at an unregulated river site and demonstrated significant increases in the integrated cross-sectional production of up to 30% or more when flows were increased by environmental water (Ye </w:t>
      </w:r>
      <w:r w:rsidRPr="009D6230">
        <w:rPr>
          <w:i/>
          <w:iCs/>
        </w:rPr>
        <w:t xml:space="preserve">et al. </w:t>
      </w:r>
      <w:r>
        <w:t>2020</w:t>
      </w:r>
      <w:r w:rsidR="0036505B">
        <w:t>a</w:t>
      </w:r>
      <w:r>
        <w:t xml:space="preserve">). Conversely, a reduction in average depth during low flows reduced the cross-sectional rate of GPP, but increased the volumetric rate by 20% in the modelled reach, a result that might not have occurred where water depth was controlled by a weir, such as in the LMR. This illustrates the major effect weirs have on metabolism through their disruption of the normal relationships between flow, water level and cross-sectional area. Understanding the relevance of these morphological disruptions to the functioning of food webs is important in order to manage flows for the benefit of the riverine ecosystem. </w:t>
      </w:r>
      <w:r>
        <w:rPr>
          <w:szCs w:val="22"/>
        </w:rPr>
        <w:t>Data to improve this understanding is being collected in the MER LMR Research Project “From Productivity to Murray Cod recruitment</w:t>
      </w:r>
      <w:r w:rsidR="00F65EE3">
        <w:rPr>
          <w:szCs w:val="22"/>
        </w:rPr>
        <w:t>”</w:t>
      </w:r>
      <w:r>
        <w:rPr>
          <w:szCs w:val="22"/>
        </w:rPr>
        <w:t>.</w:t>
      </w:r>
    </w:p>
    <w:p w14:paraId="35314250" w14:textId="616034FD" w:rsidR="00E92DD5" w:rsidRDefault="00E92DD5" w:rsidP="00E92DD5">
      <w:r>
        <w:t>In addition to photosynthetic production, the food web was also supported b</w:t>
      </w:r>
      <w:r w:rsidRPr="0058711E">
        <w:t xml:space="preserve">y the supply of </w:t>
      </w:r>
      <w:r>
        <w:t xml:space="preserve">heterotrophic production through DOC utilisation. </w:t>
      </w:r>
      <w:r>
        <w:rPr>
          <w:lang w:val="en-US"/>
        </w:rPr>
        <w:t>During</w:t>
      </w:r>
      <w:r w:rsidRPr="0058711E">
        <w:rPr>
          <w:lang w:val="en-US"/>
        </w:rPr>
        <w:t xml:space="preserve"> most </w:t>
      </w:r>
      <w:r>
        <w:rPr>
          <w:lang w:val="en-US"/>
        </w:rPr>
        <w:t xml:space="preserve">of the 2020-21 </w:t>
      </w:r>
      <w:r w:rsidRPr="0058711E">
        <w:rPr>
          <w:lang w:val="en-US"/>
        </w:rPr>
        <w:t>monitoring period</w:t>
      </w:r>
      <w:r w:rsidR="00A7679A">
        <w:rPr>
          <w:lang w:val="en-US"/>
        </w:rPr>
        <w:t>,</w:t>
      </w:r>
      <w:r w:rsidRPr="0058711E">
        <w:rPr>
          <w:lang w:val="en-US"/>
        </w:rPr>
        <w:t xml:space="preserve"> the bacterial contribution to </w:t>
      </w:r>
      <w:r>
        <w:rPr>
          <w:lang w:val="en-US"/>
        </w:rPr>
        <w:t>E</w:t>
      </w:r>
      <w:r w:rsidRPr="0058711E">
        <w:rPr>
          <w:lang w:val="en-US"/>
        </w:rPr>
        <w:t xml:space="preserve">R was </w:t>
      </w:r>
      <w:r>
        <w:rPr>
          <w:lang w:val="en-US"/>
        </w:rPr>
        <w:t>smaller</w:t>
      </w:r>
      <w:r w:rsidRPr="0058711E">
        <w:rPr>
          <w:lang w:val="en-US"/>
        </w:rPr>
        <w:t xml:space="preserve"> </w:t>
      </w:r>
      <w:r>
        <w:rPr>
          <w:lang w:val="en-US"/>
        </w:rPr>
        <w:t xml:space="preserve">than that of </w:t>
      </w:r>
      <w:r w:rsidRPr="0058711E">
        <w:rPr>
          <w:lang w:val="en-US"/>
        </w:rPr>
        <w:t>phytoplankton</w:t>
      </w:r>
      <w:r>
        <w:rPr>
          <w:lang w:val="en-US"/>
        </w:rPr>
        <w:t xml:space="preserve"> (</w:t>
      </w:r>
      <w:r w:rsidR="00FA59B8">
        <w:rPr>
          <w:lang w:val="en-US"/>
        </w:rPr>
        <w:fldChar w:fldCharType="begin"/>
      </w:r>
      <w:r w:rsidR="00FA59B8">
        <w:rPr>
          <w:lang w:val="en-US"/>
        </w:rPr>
        <w:instrText xml:space="preserve"> REF _Ref59030717 \h </w:instrText>
      </w:r>
      <w:r w:rsidR="00FA59B8">
        <w:rPr>
          <w:lang w:val="en-US"/>
        </w:rPr>
      </w:r>
      <w:r w:rsidR="00FA59B8">
        <w:rPr>
          <w:lang w:val="en-US"/>
        </w:rPr>
        <w:fldChar w:fldCharType="separate"/>
      </w:r>
      <w:r w:rsidR="003C13F6">
        <w:t xml:space="preserve">Figure </w:t>
      </w:r>
      <w:r w:rsidR="003C13F6">
        <w:rPr>
          <w:noProof/>
        </w:rPr>
        <w:t>19</w:t>
      </w:r>
      <w:r w:rsidR="00FA59B8">
        <w:rPr>
          <w:lang w:val="en-US"/>
        </w:rPr>
        <w:fldChar w:fldCharType="end"/>
      </w:r>
      <w:r w:rsidR="00FA59B8">
        <w:rPr>
          <w:lang w:val="en-US"/>
        </w:rPr>
        <w:t>)</w:t>
      </w:r>
      <w:r w:rsidRPr="0058711E">
        <w:rPr>
          <w:lang w:val="en-US"/>
        </w:rPr>
        <w:t xml:space="preserve">. </w:t>
      </w:r>
      <w:r>
        <w:rPr>
          <w:lang w:val="en-US"/>
        </w:rPr>
        <w:t xml:space="preserve">The </w:t>
      </w:r>
      <w:r w:rsidRPr="0058711E">
        <w:rPr>
          <w:lang w:val="en-US"/>
        </w:rPr>
        <w:t xml:space="preserve">combined net production (CNP) of </w:t>
      </w:r>
      <w:r>
        <w:rPr>
          <w:lang w:val="en-US"/>
        </w:rPr>
        <w:t xml:space="preserve">phytoplankton and bacteria was similar in magnitude to estimates of NEP reflecting the small bacterial contribution resulting from low and stable DOC concentrations. </w:t>
      </w:r>
      <w:r>
        <w:t xml:space="preserve">In previous seasons, when DOC concentrations were higher, the bacterial contribution to net production was larger and at times exceeded that of the phytoplankton (Ye </w:t>
      </w:r>
      <w:r w:rsidRPr="002829F6">
        <w:rPr>
          <w:i/>
          <w:iCs/>
        </w:rPr>
        <w:t>et al.</w:t>
      </w:r>
      <w:r>
        <w:t xml:space="preserve"> 2020</w:t>
      </w:r>
      <w:r w:rsidR="0036505B">
        <w:t>a</w:t>
      </w:r>
      <w:r>
        <w:t xml:space="preserve">). </w:t>
      </w:r>
      <w:r>
        <w:rPr>
          <w:lang w:val="en-US"/>
        </w:rPr>
        <w:t xml:space="preserve">Both </w:t>
      </w:r>
      <w:r w:rsidRPr="0058711E">
        <w:rPr>
          <w:lang w:val="en-US"/>
        </w:rPr>
        <w:t xml:space="preserve">heterotrophic </w:t>
      </w:r>
      <w:r>
        <w:rPr>
          <w:lang w:val="en-US"/>
        </w:rPr>
        <w:t>and</w:t>
      </w:r>
      <w:r w:rsidRPr="0058711E">
        <w:rPr>
          <w:lang w:val="en-US"/>
        </w:rPr>
        <w:t xml:space="preserve"> phytoplankton production </w:t>
      </w:r>
      <w:r>
        <w:rPr>
          <w:lang w:val="en-US"/>
        </w:rPr>
        <w:t>are</w:t>
      </w:r>
      <w:r w:rsidRPr="0058711E">
        <w:rPr>
          <w:lang w:val="en-US"/>
        </w:rPr>
        <w:t xml:space="preserve"> important source</w:t>
      </w:r>
      <w:r>
        <w:rPr>
          <w:lang w:val="en-US"/>
        </w:rPr>
        <w:t>s</w:t>
      </w:r>
      <w:r w:rsidRPr="0058711E">
        <w:rPr>
          <w:lang w:val="en-US"/>
        </w:rPr>
        <w:t xml:space="preserve"> of organic carbon to the river</w:t>
      </w:r>
      <w:r>
        <w:rPr>
          <w:lang w:val="en-US"/>
        </w:rPr>
        <w:t xml:space="preserve"> and </w:t>
      </w:r>
      <w:r w:rsidRPr="0058711E">
        <w:t xml:space="preserve">supplies of DOC </w:t>
      </w:r>
      <w:r>
        <w:t>are</w:t>
      </w:r>
      <w:r w:rsidRPr="0058711E">
        <w:t xml:space="preserve"> critical to providing food webs with organic carbon </w:t>
      </w:r>
      <w:r>
        <w:t>through the heterotrophic pathway</w:t>
      </w:r>
      <w:r w:rsidRPr="0058711E">
        <w:t>.</w:t>
      </w:r>
      <w:r>
        <w:t xml:space="preserve"> </w:t>
      </w:r>
    </w:p>
    <w:p w14:paraId="3DC9C3DD" w14:textId="707501B0" w:rsidR="00E92DD5" w:rsidRPr="0058711E" w:rsidRDefault="00E92DD5" w:rsidP="00E92DD5">
      <w:pPr>
        <w:rPr>
          <w:lang w:val="en-US"/>
        </w:rPr>
      </w:pPr>
      <w:r w:rsidRPr="0058711E">
        <w:t xml:space="preserve">The </w:t>
      </w:r>
      <w:r>
        <w:t>effects</w:t>
      </w:r>
      <w:r w:rsidRPr="0058711E">
        <w:t xml:space="preserve"> of </w:t>
      </w:r>
      <w:r>
        <w:t xml:space="preserve">environmental flows </w:t>
      </w:r>
      <w:r w:rsidRPr="0058711E">
        <w:t xml:space="preserve">on </w:t>
      </w:r>
      <w:r>
        <w:t>decomposition were estimated from BCR, but as daily DOC concentrations were considered equivalent between the flows with and without environmental water, daily volumetric rates of BCR were unchanged by environmental flows. Instead, analyses focused on responses of cross-sectional rates, and daily changes were substantial with increases of up to 40%, matching the changes in cross-sectional areas. As the period of the flow pulse was relatively short,</w:t>
      </w:r>
      <w:r w:rsidRPr="00434EDF">
        <w:t xml:space="preserve"> </w:t>
      </w:r>
      <w:r>
        <w:t>integrated decomposition was less than the peak values, but rates were still 12 and 15% higher below Lock 4 and Lock 6 due to environmental flows. Increased BCR rates result in enhanced BNP, increasing basal food resources to the river.</w:t>
      </w:r>
    </w:p>
    <w:p w14:paraId="006BD619" w14:textId="7F36BCE1" w:rsidR="00E92DD5" w:rsidRDefault="00E92DD5" w:rsidP="00E92DD5">
      <w:r>
        <w:t xml:space="preserve">Metabolism is influenced by water quality, </w:t>
      </w:r>
      <w:r w:rsidRPr="00A210FD">
        <w:t>especially turbidity and DOC</w:t>
      </w:r>
      <w:r>
        <w:t xml:space="preserve"> as both affect the light available for photosynthesis, with DOC also critical to heterotrophic production</w:t>
      </w:r>
      <w:r w:rsidR="00DC60E0">
        <w:t>. Data from the LMR have not demonstrated an influence of the major nutrients, nitrogen and phosphorus, as metabolism has appeared unresponsive to changing concentrations. This suggested that light and DOC were limiting the development of microbial populations and that nutrient limitation was not being induced.</w:t>
      </w:r>
    </w:p>
    <w:p w14:paraId="2996D25E" w14:textId="1D790F7A" w:rsidR="00E33F30" w:rsidRDefault="00E33F30" w:rsidP="00E33F30">
      <w:pPr>
        <w:pStyle w:val="Heading3"/>
      </w:pPr>
      <w:r>
        <w:lastRenderedPageBreak/>
        <w:t>Management</w:t>
      </w:r>
      <w:r w:rsidR="00FE06BF">
        <w:t xml:space="preserve"> implications</w:t>
      </w:r>
    </w:p>
    <w:p w14:paraId="7AD944D4" w14:textId="14BC3B2C" w:rsidR="00E92DD5" w:rsidRDefault="00DC60E0" w:rsidP="00E92DD5">
      <w:pPr>
        <w:rPr>
          <w:szCs w:val="22"/>
        </w:rPr>
      </w:pPr>
      <w:r>
        <w:rPr>
          <w:szCs w:val="22"/>
        </w:rPr>
        <w:t xml:space="preserve">In general, Commonwealth environmental water deliveries increased the average water depth reducing volumetric GPP, but simultaneously increased cross-sectional areas which either increased or decreased the cross-sectional GPP depending on the channel shape. </w:t>
      </w:r>
      <w:r w:rsidRPr="00E33F30">
        <w:rPr>
          <w:szCs w:val="22"/>
        </w:rPr>
        <w:t xml:space="preserve"> </w:t>
      </w:r>
      <w:r>
        <w:rPr>
          <w:szCs w:val="22"/>
        </w:rPr>
        <w:t>Shifts in the volumetric and cross-sectional rates of food production are likely to have fundamental effects on the composition and functioning of food webs.</w:t>
      </w:r>
      <w:r w:rsidRPr="00511E94">
        <w:rPr>
          <w:szCs w:val="22"/>
        </w:rPr>
        <w:t xml:space="preserve"> </w:t>
      </w:r>
      <w:r w:rsidR="00E92DD5">
        <w:rPr>
          <w:szCs w:val="22"/>
        </w:rPr>
        <w:t xml:space="preserve">The empirical models demonstrated that changes in flow had a </w:t>
      </w:r>
      <w:r w:rsidR="00E33F30">
        <w:rPr>
          <w:szCs w:val="22"/>
        </w:rPr>
        <w:t xml:space="preserve">greater positive influence </w:t>
      </w:r>
      <w:r w:rsidR="00E92DD5">
        <w:rPr>
          <w:szCs w:val="22"/>
        </w:rPr>
        <w:t>on these metabolic attributes in unregulated channels undergoing more ‘natural’ responses in water depth and cross-sectional area than in river reaches</w:t>
      </w:r>
      <w:r w:rsidR="00E92DD5" w:rsidRPr="002F043A">
        <w:rPr>
          <w:szCs w:val="22"/>
        </w:rPr>
        <w:t xml:space="preserve"> </w:t>
      </w:r>
      <w:r w:rsidR="00E92DD5">
        <w:rPr>
          <w:szCs w:val="22"/>
        </w:rPr>
        <w:t xml:space="preserve">regulated by weirs (Ye </w:t>
      </w:r>
      <w:r w:rsidR="00E92DD5" w:rsidRPr="00A90089">
        <w:rPr>
          <w:i/>
          <w:iCs/>
          <w:szCs w:val="22"/>
        </w:rPr>
        <w:t>et al.</w:t>
      </w:r>
      <w:r w:rsidR="00E92DD5">
        <w:rPr>
          <w:szCs w:val="22"/>
        </w:rPr>
        <w:t xml:space="preserve"> 2020</w:t>
      </w:r>
      <w:r w:rsidR="0036505B">
        <w:rPr>
          <w:szCs w:val="22"/>
        </w:rPr>
        <w:t>a</w:t>
      </w:r>
      <w:r w:rsidR="00E92DD5">
        <w:rPr>
          <w:szCs w:val="22"/>
        </w:rPr>
        <w:t>). What is not clear is how these different patterns influence overall food web productivity. Currently, t</w:t>
      </w:r>
      <w:r w:rsidR="00E92DD5">
        <w:t>here are no suitable ecological models to place the changes induced by river regulation into the context of unregulated river responses, or to assess the implications of these to food resources and food web size and structure. The empirical models derived from the metabolism monitoring data indicated that, compared to unregulated sites, weirs might be increasing total cross-sectional production</w:t>
      </w:r>
      <w:r w:rsidR="00E92DD5" w:rsidRPr="00737F59">
        <w:t xml:space="preserve"> </w:t>
      </w:r>
      <w:r w:rsidR="00E92DD5">
        <w:t xml:space="preserve">by holding water levels above natural low flow levels, but reducing volumetric rates by sustaining greater depths. </w:t>
      </w:r>
      <w:r w:rsidR="00E92DD5">
        <w:rPr>
          <w:szCs w:val="22"/>
        </w:rPr>
        <w:t xml:space="preserve">Data from </w:t>
      </w:r>
      <w:r>
        <w:rPr>
          <w:szCs w:val="22"/>
        </w:rPr>
        <w:t xml:space="preserve">unregulated sites would </w:t>
      </w:r>
      <w:r w:rsidR="00E92DD5">
        <w:rPr>
          <w:szCs w:val="22"/>
        </w:rPr>
        <w:t>help to assess the impact of these production shifts on biotic community composition and help provide management targets that align more with natural responses. The need to identify suitable metabolic and food web targets is critical to the application of metabolic measurements to river management, and the most suitable template is likely to be the response to more natural, unregulated conditions.</w:t>
      </w:r>
    </w:p>
    <w:p w14:paraId="1FE93C32" w14:textId="77777777" w:rsidR="00DC60E0" w:rsidRDefault="00DC60E0" w:rsidP="00DC60E0">
      <w:r>
        <w:rPr>
          <w:szCs w:val="22"/>
        </w:rPr>
        <w:t>Environmental flows which alter the attenuation of light through increased turbidity have a major influence on GPP. Turbidity in the LMR is substantially influenced by flows from the Darling River which naturally moved downstream into South Australia but are now</w:t>
      </w:r>
      <w:r>
        <w:t xml:space="preserve"> often diverted into Lake Victoria for later supply. The impact of turbidity on river metabolism raises questions regarding the timing and volume of supply from these turbid sources and the benefits of mixing flows of different water quality to manage turbidity. The historical influence of turbidity on production in the LMR is unknown making target setting difficult. The empirical metabolism models provide a means for assessing the influence of turbidity on production, and for investigating historical influences, including their timing and duration, to help set suitable targets.</w:t>
      </w:r>
    </w:p>
    <w:p w14:paraId="36D45181" w14:textId="51B71FA8" w:rsidR="00E92DD5" w:rsidRDefault="00DC60E0" w:rsidP="00DC60E0">
      <w:pPr>
        <w:rPr>
          <w:szCs w:val="22"/>
        </w:rPr>
      </w:pPr>
      <w:r>
        <w:rPr>
          <w:szCs w:val="22"/>
        </w:rPr>
        <w:t xml:space="preserve">A major driver of metabolic activity is the external supply of organic carbon to the river. </w:t>
      </w:r>
      <w:r>
        <w:rPr>
          <w:lang w:val="en-US"/>
        </w:rPr>
        <w:t>Estimates of the autotrophic, heterotrophic and combined net production (</w:t>
      </w:r>
      <w:r w:rsidRPr="0058711E">
        <w:rPr>
          <w:lang w:val="en-US"/>
        </w:rPr>
        <w:t>CNP</w:t>
      </w:r>
      <w:r>
        <w:rPr>
          <w:lang w:val="en-US"/>
        </w:rPr>
        <w:t>)</w:t>
      </w:r>
      <w:r w:rsidRPr="0058711E">
        <w:rPr>
          <w:lang w:val="en-US"/>
        </w:rPr>
        <w:t xml:space="preserve"> </w:t>
      </w:r>
      <w:r>
        <w:rPr>
          <w:lang w:val="en-US"/>
        </w:rPr>
        <w:t xml:space="preserve">over all monitored years have </w:t>
      </w:r>
      <w:r w:rsidRPr="0058711E">
        <w:rPr>
          <w:lang w:val="en-US"/>
        </w:rPr>
        <w:t>demonstrate</w:t>
      </w:r>
      <w:r>
        <w:rPr>
          <w:lang w:val="en-US"/>
        </w:rPr>
        <w:t>d</w:t>
      </w:r>
      <w:r w:rsidRPr="0058711E">
        <w:rPr>
          <w:lang w:val="en-US"/>
        </w:rPr>
        <w:t xml:space="preserve"> that </w:t>
      </w:r>
      <w:r>
        <w:rPr>
          <w:lang w:val="en-US"/>
        </w:rPr>
        <w:t>both were</w:t>
      </w:r>
      <w:r w:rsidRPr="0058711E">
        <w:rPr>
          <w:lang w:val="en-US"/>
        </w:rPr>
        <w:t xml:space="preserve"> important source</w:t>
      </w:r>
      <w:r>
        <w:rPr>
          <w:lang w:val="en-US"/>
        </w:rPr>
        <w:t>s</w:t>
      </w:r>
      <w:r w:rsidRPr="0058711E">
        <w:rPr>
          <w:lang w:val="en-US"/>
        </w:rPr>
        <w:t xml:space="preserve"> of organic carbon</w:t>
      </w:r>
      <w:r>
        <w:rPr>
          <w:lang w:val="en-US"/>
        </w:rPr>
        <w:t xml:space="preserve"> to the LMR, with autotrophs generally providing a larger contribution. However, the</w:t>
      </w:r>
      <w:r w:rsidRPr="0058711E">
        <w:t xml:space="preserve"> </w:t>
      </w:r>
      <w:r>
        <w:t xml:space="preserve">external </w:t>
      </w:r>
      <w:r w:rsidRPr="0058711E">
        <w:t xml:space="preserve">DOC </w:t>
      </w:r>
      <w:r>
        <w:t xml:space="preserve">supply was </w:t>
      </w:r>
      <w:r w:rsidRPr="0058711E">
        <w:t xml:space="preserve">critical </w:t>
      </w:r>
      <w:r>
        <w:t xml:space="preserve">in determining the response of the heterotrophic pathway and during floods when DOC increased, this became the major source of organic carbon (Ye </w:t>
      </w:r>
      <w:r w:rsidRPr="00A90089">
        <w:rPr>
          <w:i/>
          <w:iCs/>
        </w:rPr>
        <w:t>et al.</w:t>
      </w:r>
      <w:r>
        <w:t xml:space="preserve"> 2018)</w:t>
      </w:r>
      <w:r w:rsidRPr="0058711E">
        <w:t>.</w:t>
      </w:r>
      <w:r>
        <w:t xml:space="preserve"> </w:t>
      </w:r>
      <w:r>
        <w:rPr>
          <w:szCs w:val="22"/>
        </w:rPr>
        <w:t>These changes influence the quantity, quality, and characteristics of the food supply to the food web, but</w:t>
      </w:r>
      <w:r>
        <w:t xml:space="preserve"> t</w:t>
      </w:r>
      <w:r>
        <w:rPr>
          <w:szCs w:val="22"/>
        </w:rPr>
        <w:t>he influences on riverine community structure, including higher trophic levels, are not well known and is a major impediment to linking basal food resources to desired ecological outcomes. Data to improve this understanding is being collected in the MER LMR Research Project “From Productivity to Murray Cod recruitment”.</w:t>
      </w:r>
    </w:p>
    <w:p w14:paraId="0A478D05" w14:textId="2101394B" w:rsidR="00E92DD5" w:rsidRDefault="00E92DD5" w:rsidP="00E92DD5">
      <w:r>
        <w:rPr>
          <w:szCs w:val="22"/>
        </w:rPr>
        <w:lastRenderedPageBreak/>
        <w:t>E</w:t>
      </w:r>
      <w:r w:rsidRPr="0055622C">
        <w:rPr>
          <w:szCs w:val="22"/>
        </w:rPr>
        <w:t xml:space="preserve">nvironmental </w:t>
      </w:r>
      <w:r>
        <w:rPr>
          <w:szCs w:val="22"/>
        </w:rPr>
        <w:t xml:space="preserve">flows </w:t>
      </w:r>
      <w:r w:rsidRPr="00907559">
        <w:rPr>
          <w:szCs w:val="22"/>
        </w:rPr>
        <w:t>can help reduc</w:t>
      </w:r>
      <w:r w:rsidRPr="00516E54">
        <w:rPr>
          <w:szCs w:val="22"/>
        </w:rPr>
        <w:t>e the likelihood of low DO</w:t>
      </w:r>
      <w:r w:rsidRPr="00907981">
        <w:rPr>
          <w:szCs w:val="22"/>
        </w:rPr>
        <w:t xml:space="preserve"> concentrations in the LMR if </w:t>
      </w:r>
      <w:r>
        <w:rPr>
          <w:szCs w:val="22"/>
        </w:rPr>
        <w:t xml:space="preserve">they increase </w:t>
      </w:r>
      <w:r w:rsidRPr="0055622C">
        <w:rPr>
          <w:szCs w:val="22"/>
        </w:rPr>
        <w:t xml:space="preserve">water velocities above a level </w:t>
      </w:r>
      <w:r>
        <w:rPr>
          <w:szCs w:val="22"/>
        </w:rPr>
        <w:t>of ~0.18</w:t>
      </w:r>
      <w:r w:rsidRPr="00907559">
        <w:rPr>
          <w:szCs w:val="22"/>
        </w:rPr>
        <w:t>m/s, below</w:t>
      </w:r>
      <w:r w:rsidRPr="00516E54">
        <w:rPr>
          <w:szCs w:val="22"/>
        </w:rPr>
        <w:t xml:space="preserve"> which surface oxygen exchange is poor.</w:t>
      </w:r>
      <w:r>
        <w:rPr>
          <w:szCs w:val="22"/>
        </w:rPr>
        <w:t xml:space="preserve"> However, the level of flow required to generate adequate surface exchange to offset de-oxygenation is also influenced by the DOC concentration which affects heterotrophic respiratory oxygen depletion. If DOC is high, then surface exchange may not be able to re-supply oxygen at rates sufficient to sustain oxygen levels, potentially leading to </w:t>
      </w:r>
      <w:r w:rsidRPr="0058711E">
        <w:t>“black water” events (</w:t>
      </w:r>
      <w:r>
        <w:rPr>
          <w:iCs/>
        </w:rPr>
        <w:t xml:space="preserve">Baldwin </w:t>
      </w:r>
      <w:r w:rsidRPr="001B7AE7">
        <w:rPr>
          <w:i/>
          <w:iCs/>
        </w:rPr>
        <w:t>et al.</w:t>
      </w:r>
      <w:r>
        <w:rPr>
          <w:iCs/>
        </w:rPr>
        <w:t xml:space="preserve"> 2016; </w:t>
      </w:r>
      <w:r w:rsidRPr="0058711E">
        <w:t>Whitworth and Baldwin 2016)</w:t>
      </w:r>
      <w:r>
        <w:t xml:space="preserve">. Currently there are no suitable models for critically assessing these interactions at the river scale. </w:t>
      </w:r>
    </w:p>
    <w:p w14:paraId="07649EA3" w14:textId="76A42203" w:rsidR="00E92DD5" w:rsidRDefault="00E92DD5" w:rsidP="00E92DD5">
      <w:pPr>
        <w:rPr>
          <w:szCs w:val="22"/>
        </w:rPr>
      </w:pPr>
      <w:r>
        <w:t>T</w:t>
      </w:r>
      <w:r>
        <w:rPr>
          <w:szCs w:val="22"/>
        </w:rPr>
        <w:t>he links between hydrology, water quality and metabolism are complex, and the developed empirical models that describe individual processes such as gas exchange, vertical attenuation, GPP, and ER, interact</w:t>
      </w:r>
      <w:r w:rsidRPr="00BD0D8F">
        <w:rPr>
          <w:szCs w:val="22"/>
        </w:rPr>
        <w:t xml:space="preserve"> </w:t>
      </w:r>
      <w:r>
        <w:rPr>
          <w:szCs w:val="22"/>
        </w:rPr>
        <w:t xml:space="preserve">dynamically both in time and space. The individual models identify the magnitude of responses in metabolism that environmental flows may produce, but the application of these models would be greatly enhanced by incorporation into a dynamic, integrated, river scale framework. The Source model (Welsh </w:t>
      </w:r>
      <w:r w:rsidRPr="00FA59B8">
        <w:rPr>
          <w:i/>
          <w:iCs/>
          <w:szCs w:val="22"/>
        </w:rPr>
        <w:t>et al</w:t>
      </w:r>
      <w:r>
        <w:rPr>
          <w:szCs w:val="22"/>
        </w:rPr>
        <w:t>. 2013) provides such a structure and would enable the models to be used in a more predictive way to assess the likely impacts of environmental water delivery. Such a model would also assist in the analyses of historical data to investigate and compare responses in regulated and unregulated river reaches, helping provide a framework for improved target setting.</w:t>
      </w:r>
    </w:p>
    <w:p w14:paraId="3A267E73" w14:textId="77777777" w:rsidR="00E92DD5" w:rsidRDefault="00E92DD5" w:rsidP="00E92DD5">
      <w:pPr>
        <w:pStyle w:val="Heading3"/>
      </w:pPr>
      <w:bookmarkStart w:id="145" w:name="_Hlk66267195"/>
      <w:bookmarkStart w:id="146" w:name="_Hlk69300522"/>
      <w:r>
        <w:t>Conclusion</w:t>
      </w:r>
    </w:p>
    <w:bookmarkEnd w:id="145"/>
    <w:p w14:paraId="71CDD432" w14:textId="77777777" w:rsidR="00E92DD5" w:rsidRDefault="00E92DD5" w:rsidP="00E92DD5">
      <w:r w:rsidRPr="0058711E">
        <w:t xml:space="preserve">The </w:t>
      </w:r>
      <w:r>
        <w:t>study has</w:t>
      </w:r>
      <w:r w:rsidRPr="0058711E">
        <w:t xml:space="preserve"> identified </w:t>
      </w:r>
      <w:r>
        <w:t xml:space="preserve">flow modified </w:t>
      </w:r>
      <w:r w:rsidRPr="0058711E">
        <w:t>environmental</w:t>
      </w:r>
      <w:r>
        <w:t xml:space="preserve"> conditions that</w:t>
      </w:r>
      <w:r w:rsidRPr="0058711E">
        <w:t xml:space="preserve"> influence GPP and </w:t>
      </w:r>
      <w:r>
        <w:t>E</w:t>
      </w:r>
      <w:r w:rsidRPr="0058711E">
        <w:t>R</w:t>
      </w:r>
      <w:r>
        <w:t xml:space="preserve"> including the: </w:t>
      </w:r>
    </w:p>
    <w:p w14:paraId="00527AE1" w14:textId="77777777" w:rsidR="00E92DD5" w:rsidRDefault="00E92DD5" w:rsidP="00E92DD5">
      <w:pPr>
        <w:pStyle w:val="ListParagraph"/>
        <w:numPr>
          <w:ilvl w:val="0"/>
          <w:numId w:val="19"/>
        </w:numPr>
      </w:pPr>
      <w:r>
        <w:t xml:space="preserve">reliance of GPP on the mean light encountered by phytoplankton; </w:t>
      </w:r>
    </w:p>
    <w:p w14:paraId="7740AED3" w14:textId="77777777" w:rsidR="00E92DD5" w:rsidRDefault="00E92DD5" w:rsidP="00E92DD5">
      <w:pPr>
        <w:pStyle w:val="ListParagraph"/>
        <w:numPr>
          <w:ilvl w:val="0"/>
          <w:numId w:val="19"/>
        </w:numPr>
      </w:pPr>
      <w:r>
        <w:t xml:space="preserve">effects on GPP of interactions between flow and channel morphometry; </w:t>
      </w:r>
    </w:p>
    <w:p w14:paraId="077FD17D" w14:textId="77777777" w:rsidR="00E92DD5" w:rsidRDefault="00E92DD5" w:rsidP="00E92DD5">
      <w:pPr>
        <w:pStyle w:val="ListParagraph"/>
        <w:numPr>
          <w:ilvl w:val="0"/>
          <w:numId w:val="19"/>
        </w:numPr>
      </w:pPr>
      <w:r>
        <w:t xml:space="preserve">reliance of the mean light on turbidity and DOC; </w:t>
      </w:r>
    </w:p>
    <w:p w14:paraId="4D945B70" w14:textId="77777777" w:rsidR="00E92DD5" w:rsidRDefault="00E92DD5" w:rsidP="00E92DD5">
      <w:pPr>
        <w:pStyle w:val="ListParagraph"/>
        <w:numPr>
          <w:ilvl w:val="0"/>
          <w:numId w:val="19"/>
        </w:numPr>
      </w:pPr>
      <w:r>
        <w:t xml:space="preserve">respiration rates of phytoplankton and bacteria; </w:t>
      </w:r>
    </w:p>
    <w:p w14:paraId="4F84A5E9" w14:textId="77777777" w:rsidR="00E92DD5" w:rsidRDefault="00E92DD5" w:rsidP="00E92DD5">
      <w:pPr>
        <w:pStyle w:val="ListParagraph"/>
        <w:numPr>
          <w:ilvl w:val="0"/>
          <w:numId w:val="19"/>
        </w:numPr>
      </w:pPr>
      <w:r>
        <w:t>reliance of bacterial respiration on DOC concentration;</w:t>
      </w:r>
    </w:p>
    <w:p w14:paraId="2EDDCDC3" w14:textId="77777777" w:rsidR="00E92DD5" w:rsidRDefault="00E92DD5" w:rsidP="00E92DD5">
      <w:pPr>
        <w:pStyle w:val="ListParagraph"/>
        <w:numPr>
          <w:ilvl w:val="0"/>
          <w:numId w:val="19"/>
        </w:numPr>
      </w:pPr>
      <w:r>
        <w:t>contributions of phytoplankton and bacteria to net production;</w:t>
      </w:r>
    </w:p>
    <w:p w14:paraId="0E2B7DD2" w14:textId="77777777" w:rsidR="00E92DD5" w:rsidRDefault="00E92DD5" w:rsidP="00E92DD5">
      <w:pPr>
        <w:pStyle w:val="ListParagraph"/>
        <w:numPr>
          <w:ilvl w:val="0"/>
          <w:numId w:val="19"/>
        </w:numPr>
      </w:pPr>
      <w:r>
        <w:t xml:space="preserve">effect of water velocity on surface oxygen exchange; and </w:t>
      </w:r>
    </w:p>
    <w:p w14:paraId="35869BCF" w14:textId="77777777" w:rsidR="00E92DD5" w:rsidRDefault="00E92DD5" w:rsidP="00E92DD5">
      <w:pPr>
        <w:pStyle w:val="ListParagraph"/>
        <w:numPr>
          <w:ilvl w:val="0"/>
          <w:numId w:val="19"/>
        </w:numPr>
      </w:pPr>
      <w:r>
        <w:t>contribution of environmental flow to improving velocities and reducing the likelihood of low DO</w:t>
      </w:r>
      <w:r w:rsidRPr="0058711E">
        <w:t>.</w:t>
      </w:r>
      <w:r>
        <w:t xml:space="preserve"> </w:t>
      </w:r>
    </w:p>
    <w:p w14:paraId="4FA3CB66" w14:textId="2B7C6EBD" w:rsidR="00C17137" w:rsidRPr="00907981" w:rsidRDefault="00E92DD5" w:rsidP="00E92DD5">
      <w:bookmarkStart w:id="147" w:name="_Hlk69289979"/>
      <w:r>
        <w:t xml:space="preserve">Understanding </w:t>
      </w:r>
      <w:bookmarkEnd w:id="146"/>
      <w:bookmarkEnd w:id="147"/>
      <w:r>
        <w:t>these interactions is critical to predicting the likely changes in metabolism and net production within a particular river reach due to the delivery of environmental flows of given volume and water quality. The findings in relation to weir pools reflect their effect on river hydrology with a major impact on metabolism through disruption of the relationships between flow, water level and cross-sectional area. Knowledge of these links provides the means for assessing the effects of environmental flows on the basal food resources, an important target for river management. The dynamic nature of these interactions highlights the need for measurements at a range of different sites, and for the incorporation of the models into an integrating, river-scale framework</w:t>
      </w:r>
      <w:r w:rsidRPr="007F0615">
        <w:t xml:space="preserve"> </w:t>
      </w:r>
      <w:r>
        <w:t xml:space="preserve">to help provide a template for target setting. </w:t>
      </w:r>
      <w:r w:rsidR="00C17137">
        <w:br w:type="page"/>
      </w:r>
    </w:p>
    <w:p w14:paraId="366DF2D2" w14:textId="471463F2" w:rsidR="00914280" w:rsidRPr="00FA59B8" w:rsidRDefault="00914280" w:rsidP="00914280">
      <w:pPr>
        <w:pStyle w:val="Heading2"/>
      </w:pPr>
      <w:bookmarkStart w:id="148" w:name="_Toc441838734"/>
      <w:bookmarkStart w:id="149" w:name="_Toc3558338"/>
      <w:bookmarkStart w:id="150" w:name="_Ref35855504"/>
      <w:bookmarkStart w:id="151" w:name="_Toc101963774"/>
      <w:r w:rsidRPr="00FA59B8">
        <w:lastRenderedPageBreak/>
        <w:t>Matter Transport</w:t>
      </w:r>
      <w:bookmarkEnd w:id="148"/>
      <w:bookmarkEnd w:id="149"/>
      <w:bookmarkEnd w:id="150"/>
      <w:r w:rsidR="00BE09D3" w:rsidRPr="00FA59B8">
        <w:t xml:space="preserve"> and Coorong Habitat</w:t>
      </w:r>
      <w:bookmarkEnd w:id="151"/>
    </w:p>
    <w:p w14:paraId="7A293EE6" w14:textId="49F2B386" w:rsidR="009C13C5" w:rsidRDefault="00727A84" w:rsidP="00C73815">
      <w:pPr>
        <w:pStyle w:val="Heading2"/>
        <w:numPr>
          <w:ilvl w:val="0"/>
          <w:numId w:val="0"/>
        </w:numPr>
      </w:pPr>
      <w:r w:rsidRPr="00FA59B8">
        <w:t xml:space="preserve">   </w:t>
      </w:r>
      <w:bookmarkStart w:id="152" w:name="_Toc101963775"/>
      <w:r w:rsidR="009C13C5" w:rsidRPr="00FA59B8">
        <w:t>2.3.1</w:t>
      </w:r>
      <w:r w:rsidR="00C73815" w:rsidRPr="00FA59B8">
        <w:t xml:space="preserve">  </w:t>
      </w:r>
      <w:r w:rsidR="009C13C5" w:rsidRPr="00FA59B8">
        <w:t xml:space="preserve"> Matter Transport</w:t>
      </w:r>
      <w:bookmarkEnd w:id="152"/>
    </w:p>
    <w:p w14:paraId="3311F602" w14:textId="77777777" w:rsidR="00B60940" w:rsidRDefault="00B60940" w:rsidP="00B60940">
      <w:pPr>
        <w:pStyle w:val="Heading3"/>
      </w:pPr>
      <w:r>
        <w:t>Background</w:t>
      </w:r>
    </w:p>
    <w:p w14:paraId="53176EB0" w14:textId="77777777" w:rsidR="00B60940" w:rsidRDefault="00B60940" w:rsidP="00B60940">
      <w:pPr>
        <w:rPr>
          <w:rFonts w:eastAsia="Arial Unicode MS"/>
          <w:lang w:eastAsia="en-AU"/>
        </w:rPr>
      </w:pPr>
      <w:r w:rsidRPr="00CE2630">
        <w:rPr>
          <w:rFonts w:eastAsia="Arial Unicode MS"/>
          <w:lang w:eastAsia="en-AU"/>
        </w:rPr>
        <w:t>Freshwater flows to estuaries shape habitat, transport nutrients to drive productivity, and generate a salinity gradient that impacts water quality and provides spawning cues for fish</w:t>
      </w:r>
      <w:r>
        <w:rPr>
          <w:rFonts w:eastAsia="Arial Unicode MS"/>
          <w:lang w:eastAsia="en-AU"/>
        </w:rPr>
        <w:t xml:space="preserve">. Reduced flow may increase the intrusion of salt into the system from the ocean whilst simultaneously decreasing the export of salt from inland reaches. </w:t>
      </w:r>
      <w:r>
        <w:t>As there is continual deposition of salt onto the landscape (predominately from rainfall), it can accumulate if not transported by flow and exported from the system</w:t>
      </w:r>
      <w:r>
        <w:rPr>
          <w:rFonts w:eastAsia="Arial Unicode MS"/>
          <w:lang w:eastAsia="en-AU"/>
        </w:rPr>
        <w:t xml:space="preserve">. Additionally, a change in the flow regime will alter the mobilisation of nutrients from the floodplain and change the subsequent primary productivity within the river. Environmental flows can be used to reinstate some of the natural processes or to increase the magnitude of the processes that control the availability and transport of dissolved and particulate matter. Salinity, dissolved and particulate organic nutrients, and chlorophyll </w:t>
      </w:r>
      <w:r>
        <w:rPr>
          <w:rFonts w:eastAsia="Arial Unicode MS"/>
          <w:i/>
          <w:lang w:eastAsia="en-AU"/>
        </w:rPr>
        <w:t>a</w:t>
      </w:r>
      <w:r>
        <w:rPr>
          <w:rFonts w:eastAsia="Arial Unicode MS"/>
          <w:lang w:eastAsia="en-AU"/>
        </w:rPr>
        <w:t xml:space="preserve"> are often measured or modelled to understand the influence of flows on the concentrations and transport of matter.</w:t>
      </w:r>
    </w:p>
    <w:p w14:paraId="44FE261C" w14:textId="580F8420" w:rsidR="00B60940" w:rsidRDefault="00B60940" w:rsidP="00B60940">
      <w:pPr>
        <w:rPr>
          <w:rFonts w:eastAsia="Arial Unicode MS"/>
          <w:lang w:eastAsia="en-AU"/>
        </w:rPr>
      </w:pPr>
      <w:r>
        <w:rPr>
          <w:rFonts w:eastAsia="Arial Unicode MS"/>
          <w:lang w:eastAsia="en-AU"/>
        </w:rPr>
        <w:t xml:space="preserve">In general, restoring river flow to an estuary is an important tool for salinity management by limiting seawater intrusion into the estuary. In the case of the Murray River, it is further complicated as seawater entering the Murray Mouth is highly dependent on how river water is released from the barrages, and these dynamics impact salinity in the connected Coorong. The Coorong is a 120 km long shallow reverse estuary that runs parallel to the coast and is separated from the Southern Ocean by Young Husband Peninsula. As water evaporates from the North and South lagoons, it is replaced with water coming from the north. When river water is exiting the barrages, it reduces sea-water intrusion and maintains fresher conditions around the Murray Mouth which enables fresher water to replenish water evaporated in the Coorong. When there is more seawater intrusion into the Murray Mouth, this transports considerable </w:t>
      </w:r>
      <w:r w:rsidRPr="00DC308B">
        <w:rPr>
          <w:rFonts w:eastAsia="Arial Unicode MS"/>
          <w:lang w:eastAsia="en-AU"/>
        </w:rPr>
        <w:t xml:space="preserve">amounts of </w:t>
      </w:r>
      <w:r>
        <w:rPr>
          <w:rFonts w:eastAsia="Arial Unicode MS"/>
          <w:lang w:eastAsia="en-AU"/>
        </w:rPr>
        <w:t>salt into the Coorong as this water travels south-east to replenish water evaporated from the lagoons. The salinity of the Coorong is a key determinant of habitat suitability for macrophytes, invertebrates and fish.</w:t>
      </w:r>
    </w:p>
    <w:p w14:paraId="6508E7A5" w14:textId="77777777" w:rsidR="00B60940" w:rsidRDefault="00B60940" w:rsidP="00B60940">
      <w:r>
        <w:t xml:space="preserve">Nutrients drive system productivity and so understanding how they are transported between the various components of riverine ecosystems can offer insights into river and estuary productivity (assessed as Chlorophyll concentration). Dissolved inorganic nutrients are essential resources for the growth and survival of biota and are readily assimilated </w:t>
      </w:r>
      <w:r>
        <w:rPr>
          <w:noProof/>
        </w:rPr>
        <w:t>(Poff</w:t>
      </w:r>
      <w:r>
        <w:rPr>
          <w:i/>
          <w:noProof/>
        </w:rPr>
        <w:t xml:space="preserve"> </w:t>
      </w:r>
      <w:r w:rsidRPr="0034540E">
        <w:rPr>
          <w:i/>
          <w:noProof/>
        </w:rPr>
        <w:t>et al.</w:t>
      </w:r>
      <w:r>
        <w:rPr>
          <w:noProof/>
        </w:rPr>
        <w:t xml:space="preserve"> 1997)</w:t>
      </w:r>
      <w:r>
        <w:t xml:space="preserve">. In healthy ecosystems, mobilisation of nutrients can enhance productivity and support ecosystems, however, in poorly flushed or over-enriched systems, the addition of nutrients leads to eutrophication and numerous undesirable consequences. </w:t>
      </w:r>
    </w:p>
    <w:p w14:paraId="21AB9F3A" w14:textId="01BD9BD6" w:rsidR="00B60940" w:rsidRDefault="00B60940" w:rsidP="00B60940">
      <w:r>
        <w:rPr>
          <w:lang w:val="en-US"/>
        </w:rPr>
        <w:t xml:space="preserve">To assess the </w:t>
      </w:r>
      <w:r>
        <w:t xml:space="preserve">contribution of environmental water delivery </w:t>
      </w:r>
      <w:r>
        <w:rPr>
          <w:lang w:val="en-US"/>
        </w:rPr>
        <w:t>to matter transport in the LMR from 1 July 2020 to 30 June 2021, a hydrodynamic-biogeochemical model was applied for the region below Lock 1 to the Murray Mouth (</w:t>
      </w:r>
      <w:r>
        <w:rPr>
          <w:lang w:val="en-US"/>
        </w:rPr>
        <w:fldChar w:fldCharType="begin"/>
      </w:r>
      <w:r>
        <w:rPr>
          <w:lang w:val="en-US"/>
        </w:rPr>
        <w:instrText xml:space="preserve"> REF _Ref469926522 \h  \* MERGEFORMAT </w:instrText>
      </w:r>
      <w:r>
        <w:rPr>
          <w:lang w:val="en-US"/>
        </w:rPr>
      </w:r>
      <w:r>
        <w:rPr>
          <w:lang w:val="en-US"/>
        </w:rPr>
        <w:fldChar w:fldCharType="separate"/>
      </w:r>
      <w:r w:rsidR="003C13F6">
        <w:t xml:space="preserve">Figure </w:t>
      </w:r>
      <w:r w:rsidR="003C13F6">
        <w:rPr>
          <w:noProof/>
        </w:rPr>
        <w:t>1</w:t>
      </w:r>
      <w:r>
        <w:rPr>
          <w:lang w:val="en-US"/>
        </w:rPr>
        <w:fldChar w:fldCharType="end"/>
      </w:r>
      <w:r>
        <w:rPr>
          <w:lang w:val="en-US"/>
        </w:rPr>
        <w:t>).</w:t>
      </w:r>
      <w:r w:rsidR="001206F2">
        <w:rPr>
          <w:lang w:val="en-US"/>
        </w:rPr>
        <w:t xml:space="preserve"> The cumulative impacts environmental water delivery on salt and nutrient transport</w:t>
      </w:r>
      <w:r w:rsidR="001206F2">
        <w:t xml:space="preserve"> in the Coorong were assessed with the Coorong Dynamics Model (CDM) in the years 1 July 2017 – 30 June 2021. </w:t>
      </w:r>
      <w:r w:rsidR="001206F2">
        <w:rPr>
          <w:lang w:val="en-US"/>
        </w:rPr>
        <w:t xml:space="preserve">The </w:t>
      </w:r>
      <w:r w:rsidR="001206F2">
        <w:rPr>
          <w:lang w:val="en-US"/>
        </w:rPr>
        <w:lastRenderedPageBreak/>
        <w:t xml:space="preserve">model has been </w:t>
      </w:r>
      <w:r w:rsidR="001206F2">
        <w:t>validated with water quality data, and is used to understand salt, nutrient and phytoplankton movement.</w:t>
      </w:r>
    </w:p>
    <w:p w14:paraId="50083854" w14:textId="77777777" w:rsidR="00B60940" w:rsidRDefault="00B60940" w:rsidP="00B60940">
      <w:pPr>
        <w:rPr>
          <w:i/>
          <w:u w:val="single"/>
        </w:rPr>
      </w:pPr>
      <w:r>
        <w:rPr>
          <w:i/>
          <w:u w:val="single"/>
        </w:rPr>
        <w:t>Major hypotheses</w:t>
      </w:r>
    </w:p>
    <w:p w14:paraId="6665DA8F" w14:textId="77777777" w:rsidR="00B60940" w:rsidRDefault="00B60940" w:rsidP="00B60940">
      <w:r>
        <w:t>Commonwealth environmental water will:</w:t>
      </w:r>
    </w:p>
    <w:p w14:paraId="6C7E9D4D" w14:textId="77777777" w:rsidR="00B60940" w:rsidRDefault="00B60940" w:rsidP="00B60940">
      <w:pPr>
        <w:numPr>
          <w:ilvl w:val="0"/>
          <w:numId w:val="5"/>
        </w:numPr>
        <w:jc w:val="left"/>
      </w:pPr>
      <w:r>
        <w:t>Increase the mobilisation of salt from the Basin and increase the transport of salt passing from Lock 1 through the Murray River Channel and through the Lower Lakes and Murray Mouth;</w:t>
      </w:r>
    </w:p>
    <w:p w14:paraId="50658EC1" w14:textId="77777777" w:rsidR="00B60940" w:rsidRDefault="00B60940" w:rsidP="00B60940">
      <w:pPr>
        <w:numPr>
          <w:ilvl w:val="0"/>
          <w:numId w:val="5"/>
        </w:numPr>
        <w:jc w:val="left"/>
        <w:rPr>
          <w:color w:val="auto"/>
          <w:szCs w:val="22"/>
        </w:rPr>
      </w:pPr>
      <w:r>
        <w:t>Increase the mobilisation of nutrients from the Basin and increase nutrient loads p</w:t>
      </w:r>
      <w:r>
        <w:rPr>
          <w:szCs w:val="22"/>
        </w:rPr>
        <w:t xml:space="preserve">assing from Lock 1 through the Murray River Channel and through the Lower </w:t>
      </w:r>
      <w:r>
        <w:rPr>
          <w:color w:val="auto"/>
          <w:szCs w:val="22"/>
        </w:rPr>
        <w:t>Lakes and Murray Mouth;</w:t>
      </w:r>
    </w:p>
    <w:p w14:paraId="63225EA6" w14:textId="77777777" w:rsidR="00B60940" w:rsidRPr="00A229CC" w:rsidRDefault="00B60940" w:rsidP="00B60940">
      <w:pPr>
        <w:numPr>
          <w:ilvl w:val="0"/>
          <w:numId w:val="5"/>
        </w:numPr>
        <w:jc w:val="left"/>
        <w:rPr>
          <w:rFonts w:ascii="Frutiger LT Std 45 Light" w:hAnsi="Frutiger LT Std 45 Light" w:cs="Frutiger LT Std 45 Light"/>
          <w:color w:val="auto"/>
          <w:spacing w:val="5"/>
          <w:szCs w:val="22"/>
        </w:rPr>
      </w:pPr>
      <w:r>
        <w:rPr>
          <w:color w:val="auto"/>
          <w:szCs w:val="22"/>
        </w:rPr>
        <w:t>Increase suspended solid loads (including phytoplankton biomass) passing from Lock 1 through the Murray River Channel and through the Lower Lakes and Murray Mouth; and</w:t>
      </w:r>
    </w:p>
    <w:p w14:paraId="3895ECA8" w14:textId="77777777" w:rsidR="00B60940" w:rsidRDefault="00B60940" w:rsidP="00B60940">
      <w:pPr>
        <w:numPr>
          <w:ilvl w:val="0"/>
          <w:numId w:val="5"/>
        </w:numPr>
        <w:jc w:val="left"/>
      </w:pPr>
      <w:r>
        <w:t>Decrease the rate of salt and nutrient accumulation in the North and South lagoons of the Coorong.</w:t>
      </w:r>
    </w:p>
    <w:p w14:paraId="297ED630" w14:textId="5DD11E00" w:rsidR="00B60940" w:rsidRPr="008A4754" w:rsidRDefault="00B60940" w:rsidP="008A4754">
      <w:r w:rsidRPr="005B5B30">
        <w:t xml:space="preserve">Through the </w:t>
      </w:r>
      <w:r>
        <w:t xml:space="preserve">modelling undertaken in the Long-Term Intervention Monitoring (LTIM) Project, it was well established that environmental flow diluted the concentration nutrients and salinity in the reach between Lock 1 and the barrages, including Lake Alexandrina and Lake Albert. Furthermore they increased the load (volume x concentration) of nutrients and salt that was exported from the reach. This report focuses on export from the basin which is the flow and matter that exit the barrages. This addresses the hypotheses above acknowledging that environmental flow increases the transport of salt and nutrients that pass from Lock 1 through the Murray Channel and through the Lower Lakes. The impact of water exiting the barrages on the salt flux and salinity in the Coorong was also assessed as salinity is a key determinant of suitable habitat for fish and </w:t>
      </w:r>
      <w:r w:rsidRPr="005B5B30">
        <w:rPr>
          <w:i/>
        </w:rPr>
        <w:t>Ruppia</w:t>
      </w:r>
      <w:r>
        <w:t>.</w:t>
      </w:r>
    </w:p>
    <w:p w14:paraId="01EBAE88" w14:textId="77777777" w:rsidR="00B60940" w:rsidRDefault="00B60940" w:rsidP="00B60940">
      <w:pPr>
        <w:pStyle w:val="Heading3"/>
      </w:pPr>
      <w:r>
        <w:t>Methods</w:t>
      </w:r>
    </w:p>
    <w:p w14:paraId="499348A2" w14:textId="77777777" w:rsidR="00B60940" w:rsidRPr="0068464D" w:rsidRDefault="00B60940" w:rsidP="00B60940">
      <w:pPr>
        <w:rPr>
          <w:bCs/>
          <w:i/>
          <w:u w:val="single"/>
        </w:rPr>
      </w:pPr>
      <w:r w:rsidRPr="0068464D">
        <w:rPr>
          <w:bCs/>
          <w:i/>
          <w:u w:val="single"/>
        </w:rPr>
        <w:t>eWater modelling assessment scenarios</w:t>
      </w:r>
    </w:p>
    <w:p w14:paraId="325655A8" w14:textId="77777777" w:rsidR="00B60940" w:rsidRDefault="00B60940" w:rsidP="00B60940">
      <w:r>
        <w:t>Five scenarios were considered in this modelling investigation:</w:t>
      </w:r>
    </w:p>
    <w:p w14:paraId="3520E09A" w14:textId="3CFD886F" w:rsidR="00B60940" w:rsidRDefault="00B60940" w:rsidP="00B60940">
      <w:pPr>
        <w:pStyle w:val="ListParagraph"/>
        <w:numPr>
          <w:ilvl w:val="0"/>
          <w:numId w:val="21"/>
        </w:numPr>
        <w:spacing w:before="0" w:after="160" w:line="259" w:lineRule="auto"/>
        <w:ind w:left="567" w:hanging="425"/>
        <w:jc w:val="left"/>
      </w:pPr>
      <w:r w:rsidRPr="00E86DA6">
        <w:rPr>
          <w:b/>
        </w:rPr>
        <w:t xml:space="preserve">All water (base-case scenario): </w:t>
      </w:r>
      <w:r>
        <w:t xml:space="preserve">this scenario </w:t>
      </w:r>
      <w:r w:rsidRPr="00E86DA6">
        <w:t>represen</w:t>
      </w:r>
      <w:r>
        <w:t>ts</w:t>
      </w:r>
      <w:r w:rsidRPr="00E86DA6">
        <w:t xml:space="preserve"> observed conditions</w:t>
      </w:r>
      <w:r>
        <w:t xml:space="preserve"> and was run with the compiled barrage flows from </w:t>
      </w:r>
      <w:r w:rsidR="008A4754">
        <w:t xml:space="preserve">1 July </w:t>
      </w:r>
      <w:r>
        <w:t xml:space="preserve">2017 to </w:t>
      </w:r>
      <w:r w:rsidR="008A4754">
        <w:t xml:space="preserve">30 June </w:t>
      </w:r>
      <w:r>
        <w:t>2021;</w:t>
      </w:r>
    </w:p>
    <w:p w14:paraId="4955543A" w14:textId="4B2DBDAC" w:rsidR="00B60940" w:rsidRDefault="00B60940" w:rsidP="00B60940">
      <w:pPr>
        <w:pStyle w:val="ListParagraph"/>
        <w:numPr>
          <w:ilvl w:val="0"/>
          <w:numId w:val="21"/>
        </w:numPr>
        <w:spacing w:before="0" w:after="160" w:line="259" w:lineRule="auto"/>
        <w:ind w:left="567" w:hanging="425"/>
        <w:jc w:val="left"/>
      </w:pPr>
      <w:r w:rsidRPr="00E86DA6">
        <w:rPr>
          <w:b/>
        </w:rPr>
        <w:t>No CEW 4 years:</w:t>
      </w:r>
      <w:r>
        <w:t xml:space="preserve"> this scenario was run with assumption that there was no </w:t>
      </w:r>
      <w:r w:rsidRPr="00E86DA6">
        <w:t>Commonwealth environmental water</w:t>
      </w:r>
      <w:r>
        <w:t xml:space="preserve"> (CEW) through the barrages from </w:t>
      </w:r>
      <w:r w:rsidR="008A4754">
        <w:t xml:space="preserve">1 July </w:t>
      </w:r>
      <w:r>
        <w:t xml:space="preserve">2017 to </w:t>
      </w:r>
      <w:r w:rsidR="008A4754">
        <w:t xml:space="preserve">20 June </w:t>
      </w:r>
      <w:r>
        <w:t>2021, aiming to investigate the continuous effect of CEW water on the Coorong in 4 years;</w:t>
      </w:r>
    </w:p>
    <w:p w14:paraId="698D1E91" w14:textId="3AB7A77D" w:rsidR="00B60940" w:rsidRDefault="00B60940" w:rsidP="00B60940">
      <w:pPr>
        <w:pStyle w:val="ListParagraph"/>
        <w:numPr>
          <w:ilvl w:val="0"/>
          <w:numId w:val="21"/>
        </w:numPr>
        <w:spacing w:before="0" w:after="160" w:line="259" w:lineRule="auto"/>
        <w:ind w:left="567" w:hanging="425"/>
        <w:jc w:val="left"/>
      </w:pPr>
      <w:r w:rsidRPr="00E86DA6">
        <w:rPr>
          <w:b/>
        </w:rPr>
        <w:t>No eWater 4 years:</w:t>
      </w:r>
      <w:r>
        <w:t xml:space="preserve"> this scenario was run with assumption that there was </w:t>
      </w:r>
      <w:r w:rsidR="005D4C2E">
        <w:t xml:space="preserve">not </w:t>
      </w:r>
      <w:r>
        <w:t>any environmental water (including no CEW) through the barrages</w:t>
      </w:r>
      <w:r w:rsidRPr="00AA6949">
        <w:t xml:space="preserve"> </w:t>
      </w:r>
      <w:r>
        <w:t xml:space="preserve">from </w:t>
      </w:r>
      <w:r w:rsidR="008A4754">
        <w:t xml:space="preserve">1 July </w:t>
      </w:r>
      <w:r>
        <w:t xml:space="preserve">2017 to </w:t>
      </w:r>
      <w:r w:rsidR="008A4754">
        <w:t xml:space="preserve">30 June </w:t>
      </w:r>
      <w:r>
        <w:t>2021,</w:t>
      </w:r>
      <w:r w:rsidRPr="00AA6949">
        <w:t xml:space="preserve"> </w:t>
      </w:r>
      <w:r>
        <w:t>aiming to investigate the continuous effect of all eWater on the Coorong in 4 years;</w:t>
      </w:r>
    </w:p>
    <w:p w14:paraId="65DA9749" w14:textId="6EE140AB" w:rsidR="00B60940" w:rsidRDefault="00B60940" w:rsidP="00B60940">
      <w:pPr>
        <w:pStyle w:val="ListParagraph"/>
        <w:numPr>
          <w:ilvl w:val="0"/>
          <w:numId w:val="21"/>
        </w:numPr>
        <w:spacing w:before="0" w:after="160" w:line="259" w:lineRule="auto"/>
        <w:ind w:left="567" w:hanging="425"/>
        <w:jc w:val="left"/>
      </w:pPr>
      <w:r w:rsidRPr="00E86DA6">
        <w:rPr>
          <w:b/>
        </w:rPr>
        <w:t xml:space="preserve">No CEW 1 year: </w:t>
      </w:r>
      <w:r>
        <w:t xml:space="preserve">this scenario was run with assumption that there was no CEW water through the barrages in the last modelling year from </w:t>
      </w:r>
      <w:r w:rsidR="008A4754">
        <w:t xml:space="preserve">1 July </w:t>
      </w:r>
      <w:r>
        <w:t xml:space="preserve">2020 to </w:t>
      </w:r>
      <w:r w:rsidR="008A4754">
        <w:t xml:space="preserve">30 June </w:t>
      </w:r>
      <w:r>
        <w:t>2021, aiming to investigate the effect of CEW water on the Coorong in the last year only;</w:t>
      </w:r>
    </w:p>
    <w:p w14:paraId="0DEAB9F8" w14:textId="0149F327" w:rsidR="00B60940" w:rsidRDefault="00B60940" w:rsidP="00B60940">
      <w:pPr>
        <w:pStyle w:val="ListParagraph"/>
        <w:numPr>
          <w:ilvl w:val="0"/>
          <w:numId w:val="21"/>
        </w:numPr>
        <w:ind w:left="567" w:hanging="425"/>
      </w:pPr>
      <w:r w:rsidRPr="00CF44C9">
        <w:rPr>
          <w:b/>
        </w:rPr>
        <w:t>No eWater 1 year:</w:t>
      </w:r>
      <w:r>
        <w:t xml:space="preserve"> this scenario was run with assumption that there was not any environmental water (including no CEW) through the barrages</w:t>
      </w:r>
      <w:r w:rsidRPr="00AA6949">
        <w:t xml:space="preserve"> </w:t>
      </w:r>
      <w:r>
        <w:t xml:space="preserve">from </w:t>
      </w:r>
      <w:r w:rsidR="008A4754">
        <w:t xml:space="preserve">1 July </w:t>
      </w:r>
      <w:r>
        <w:t xml:space="preserve">2017 to </w:t>
      </w:r>
      <w:r w:rsidR="008A4754">
        <w:lastRenderedPageBreak/>
        <w:t xml:space="preserve">30 June </w:t>
      </w:r>
      <w:r>
        <w:t>2021, aiming to investigate the effect of all eWater on the Coorong in the last year only</w:t>
      </w:r>
    </w:p>
    <w:p w14:paraId="00ED0889" w14:textId="77777777" w:rsidR="00B60940" w:rsidRDefault="00B60940" w:rsidP="00B60940">
      <w:r>
        <w:t>This report presents the outcomes from the modelling assessment, with deliveries of:</w:t>
      </w:r>
    </w:p>
    <w:p w14:paraId="206D0E0B" w14:textId="77777777" w:rsidR="00B60940" w:rsidRDefault="00B60940" w:rsidP="00B60940">
      <w:pPr>
        <w:pStyle w:val="ListParagraph"/>
        <w:numPr>
          <w:ilvl w:val="0"/>
          <w:numId w:val="21"/>
        </w:numPr>
        <w:spacing w:before="0" w:after="160" w:line="259" w:lineRule="auto"/>
        <w:ind w:left="567" w:hanging="425"/>
        <w:jc w:val="left"/>
      </w:pPr>
      <w:r>
        <w:t>Barrage flow analysis in the ‘All Water’, ‘No CEW’ and ‘No eWater’ scenarios;</w:t>
      </w:r>
    </w:p>
    <w:p w14:paraId="12C07E29" w14:textId="77777777" w:rsidR="00B60940" w:rsidRDefault="00B60940" w:rsidP="00B60940">
      <w:pPr>
        <w:pStyle w:val="ListParagraph"/>
        <w:numPr>
          <w:ilvl w:val="0"/>
          <w:numId w:val="21"/>
        </w:numPr>
        <w:spacing w:before="0" w:after="160" w:line="259" w:lineRule="auto"/>
        <w:ind w:left="567" w:hanging="425"/>
        <w:jc w:val="left"/>
      </w:pPr>
      <w:r>
        <w:t>Time series and transect comparisons of salinity and nutrient concentrations between the five investigated scenarios;</w:t>
      </w:r>
    </w:p>
    <w:p w14:paraId="7DB4B8C7" w14:textId="77777777" w:rsidR="00B60940" w:rsidRDefault="00B60940" w:rsidP="00B60940">
      <w:pPr>
        <w:pStyle w:val="ListParagraph"/>
        <w:numPr>
          <w:ilvl w:val="0"/>
          <w:numId w:val="21"/>
        </w:numPr>
        <w:spacing w:before="0" w:after="160" w:line="259" w:lineRule="auto"/>
        <w:ind w:left="567" w:hanging="425"/>
        <w:jc w:val="left"/>
      </w:pPr>
      <w:r>
        <w:t xml:space="preserve">Detailed salt and nutrient fluxes analysis through the barrages, Murray Mouth, Long Point (North Lagoon) transect, and Parnka Point (South Lagoon) transect in all scenarios; </w:t>
      </w:r>
    </w:p>
    <w:p w14:paraId="1921B699" w14:textId="77777777" w:rsidR="00B60940" w:rsidRDefault="00B60940" w:rsidP="00B60940">
      <w:pPr>
        <w:pStyle w:val="ListParagraph"/>
        <w:numPr>
          <w:ilvl w:val="0"/>
          <w:numId w:val="21"/>
        </w:numPr>
        <w:spacing w:before="0" w:after="160" w:line="259" w:lineRule="auto"/>
        <w:ind w:left="567" w:hanging="425"/>
        <w:jc w:val="left"/>
      </w:pPr>
      <w:r>
        <w:t>Mean and median concentrations at the mouth, North Lagoon, and South Lagoon in all scenarios; and</w:t>
      </w:r>
    </w:p>
    <w:p w14:paraId="2D544ABD" w14:textId="3FF4012D" w:rsidR="00B60940" w:rsidRPr="008A4754" w:rsidRDefault="00B60940" w:rsidP="00B60940">
      <w:pPr>
        <w:pStyle w:val="ListParagraph"/>
        <w:numPr>
          <w:ilvl w:val="0"/>
          <w:numId w:val="21"/>
        </w:numPr>
        <w:spacing w:before="0" w:after="160" w:line="259" w:lineRule="auto"/>
        <w:ind w:left="567" w:hanging="425"/>
        <w:jc w:val="left"/>
      </w:pPr>
      <w:r w:rsidRPr="004B7FAC">
        <w:rPr>
          <w:i/>
          <w:iCs/>
        </w:rPr>
        <w:t>Ruppia</w:t>
      </w:r>
      <w:r>
        <w:t xml:space="preserve"> and fish habitat analysis in all scenarios.</w:t>
      </w:r>
    </w:p>
    <w:p w14:paraId="15C3FFAB" w14:textId="77777777" w:rsidR="00B60940" w:rsidRPr="003F5291" w:rsidRDefault="00B60940" w:rsidP="00B60940">
      <w:pPr>
        <w:rPr>
          <w:bCs/>
          <w:i/>
          <w:u w:val="single"/>
        </w:rPr>
      </w:pPr>
      <w:r w:rsidRPr="003F5291">
        <w:rPr>
          <w:rFonts w:eastAsia="Arial Unicode MS"/>
          <w:bCs/>
          <w:i/>
          <w:u w:val="single"/>
          <w:lang w:eastAsia="en-AU"/>
        </w:rPr>
        <w:t>Hydrodynamic-biogeochemical models</w:t>
      </w:r>
      <w:bookmarkStart w:id="153" w:name="_Hlk64576496"/>
    </w:p>
    <w:p w14:paraId="32828906" w14:textId="5D583994" w:rsidR="00B60940" w:rsidRPr="008A4754" w:rsidRDefault="00B60940" w:rsidP="00B60940">
      <w:r w:rsidRPr="005C2B4E">
        <w:t>The Coorong Dynamic Model (CDM), a high-resolution model of the Coorong that had been used in the 20</w:t>
      </w:r>
      <w:r>
        <w:t>19-</w:t>
      </w:r>
      <w:r w:rsidRPr="005C2B4E">
        <w:t xml:space="preserve">20 </w:t>
      </w:r>
      <w:r>
        <w:t xml:space="preserve">environmental water </w:t>
      </w:r>
      <w:r w:rsidRPr="005C2B4E">
        <w:t>assessment and undergone developments during the H</w:t>
      </w:r>
      <w:r>
        <w:t xml:space="preserve">ealthy </w:t>
      </w:r>
      <w:r w:rsidRPr="005C2B4E">
        <w:t>C</w:t>
      </w:r>
      <w:r>
        <w:t xml:space="preserve">oorong </w:t>
      </w:r>
      <w:r w:rsidRPr="005C2B4E">
        <w:t>H</w:t>
      </w:r>
      <w:r>
        <w:t xml:space="preserve">ealthy </w:t>
      </w:r>
      <w:r w:rsidRPr="005C2B4E">
        <w:t>B</w:t>
      </w:r>
      <w:r>
        <w:t>asin</w:t>
      </w:r>
      <w:r w:rsidRPr="005C2B4E">
        <w:t xml:space="preserve"> </w:t>
      </w:r>
      <w:r>
        <w:t xml:space="preserve">(HCHB) </w:t>
      </w:r>
      <w:r w:rsidRPr="005C2B4E">
        <w:t>project, was</w:t>
      </w:r>
      <w:r w:rsidRPr="005C2B4E">
        <w:rPr>
          <w:lang w:val="en-US"/>
        </w:rPr>
        <w:t xml:space="preserve"> used to assess the effects of environmental water delivery on salt and nutrient transport. The modelling platform was consisted with a hydrodynamic model TUFLOW-FV, developed by BMT Global Pty Ltd., which is coupled with a biogeochemical model AED, developed by the University of Western Australia. The CDM had a high resolution mesh for better resolving the water quality conditions and habitat, and </w:t>
      </w:r>
      <w:r w:rsidRPr="005C2B4E">
        <w:t xml:space="preserve">has been previously used to assess the contribution of environmental water to </w:t>
      </w:r>
      <w:r>
        <w:t xml:space="preserve">the transport of </w:t>
      </w:r>
      <w:r w:rsidRPr="005C2B4E">
        <w:t>dissolved and particulate matter for water years 2017</w:t>
      </w:r>
      <w:r>
        <w:rPr>
          <w:rFonts w:ascii="Calibri" w:hAnsi="Calibri" w:cs="Calibri"/>
        </w:rPr>
        <w:t>–</w:t>
      </w:r>
      <w:r w:rsidRPr="005C2B4E">
        <w:t>2020 (</w:t>
      </w:r>
      <w:r w:rsidRPr="005C2B4E">
        <w:rPr>
          <w:lang w:val="en-US"/>
        </w:rPr>
        <w:t xml:space="preserve">Ye </w:t>
      </w:r>
      <w:r w:rsidRPr="0034540E">
        <w:rPr>
          <w:i/>
          <w:lang w:val="en-US"/>
        </w:rPr>
        <w:t>et al</w:t>
      </w:r>
      <w:r w:rsidRPr="000571E5">
        <w:rPr>
          <w:iCs/>
          <w:lang w:val="en-US"/>
        </w:rPr>
        <w:t>.</w:t>
      </w:r>
      <w:r w:rsidRPr="005C2B4E">
        <w:rPr>
          <w:lang w:val="en-US"/>
        </w:rPr>
        <w:t xml:space="preserve"> 2021</w:t>
      </w:r>
      <w:r w:rsidRPr="005C2B4E">
        <w:t>). The model has undergone development during the HCHB T</w:t>
      </w:r>
      <w:r>
        <w:t xml:space="preserve">rials </w:t>
      </w:r>
      <w:r w:rsidRPr="005C2B4E">
        <w:t>&amp;</w:t>
      </w:r>
      <w:r>
        <w:t xml:space="preserve"> </w:t>
      </w:r>
      <w:r w:rsidRPr="005C2B4E">
        <w:t>I</w:t>
      </w:r>
      <w:r>
        <w:t>nvestigation</w:t>
      </w:r>
      <w:r w:rsidRPr="005C2B4E">
        <w:t xml:space="preserve"> projects since the last </w:t>
      </w:r>
      <w:r>
        <w:t xml:space="preserve">environmental water </w:t>
      </w:r>
      <w:r w:rsidRPr="005C2B4E">
        <w:t>assessment report</w:t>
      </w:r>
      <w:r>
        <w:t xml:space="preserve"> (Ye </w:t>
      </w:r>
      <w:r w:rsidRPr="0034540E">
        <w:rPr>
          <w:i/>
          <w:iCs/>
        </w:rPr>
        <w:t>et al</w:t>
      </w:r>
      <w:r w:rsidRPr="0034540E">
        <w:t>.</w:t>
      </w:r>
      <w:r>
        <w:t xml:space="preserve"> 2021)</w:t>
      </w:r>
      <w:r w:rsidRPr="005C2B4E">
        <w:t>, such as improvement in the sediment flux settings based on the newly available sediment survey data (Mosley et al. 2020), and updates in the barrage flows, tidal elevations and Salt Creek flow data</w:t>
      </w:r>
      <w:r>
        <w:t xml:space="preserve"> (see Appendix D)</w:t>
      </w:r>
      <w:r w:rsidRPr="005C2B4E">
        <w:t>. Details of the CDM development, model sensitivity analysis and model performance ha</w:t>
      </w:r>
      <w:r>
        <w:t>ve</w:t>
      </w:r>
      <w:r w:rsidRPr="005C2B4E">
        <w:t xml:space="preserve"> been summarised in the online </w:t>
      </w:r>
      <w:hyperlink r:id="rId83" w:history="1">
        <w:r w:rsidRPr="005C2B4E">
          <w:rPr>
            <w:rStyle w:val="Hyperlink"/>
          </w:rPr>
          <w:t>CDM manual</w:t>
        </w:r>
      </w:hyperlink>
      <w:r>
        <w:t xml:space="preserve"> (http://aquaticecodynamics.github.io/cdm/index.html)</w:t>
      </w:r>
    </w:p>
    <w:p w14:paraId="54CF7BF4" w14:textId="77777777" w:rsidR="00B60940" w:rsidRDefault="00B60940" w:rsidP="00B60940">
      <w:pPr>
        <w:rPr>
          <w:i/>
          <w:u w:val="single"/>
        </w:rPr>
      </w:pPr>
      <w:r>
        <w:rPr>
          <w:i/>
          <w:u w:val="single"/>
        </w:rPr>
        <w:t>Barrage flow analysis</w:t>
      </w:r>
    </w:p>
    <w:p w14:paraId="36D31223" w14:textId="56A42E46" w:rsidR="00B60940" w:rsidRPr="00CF44C9" w:rsidRDefault="00B60940" w:rsidP="00B60940">
      <w:r w:rsidRPr="00CF44C9">
        <w:t xml:space="preserve">Analysis of the </w:t>
      </w:r>
      <w:r w:rsidR="001206F2" w:rsidRPr="00CF44C9">
        <w:t xml:space="preserve">flow </w:t>
      </w:r>
      <w:r w:rsidR="001206F2">
        <w:t>through</w:t>
      </w:r>
      <w:r w:rsidR="001206F2" w:rsidRPr="00CF44C9">
        <w:t xml:space="preserve"> the </w:t>
      </w:r>
      <w:r w:rsidRPr="00CF44C9">
        <w:t xml:space="preserve">barrages is shown in detail in </w:t>
      </w:r>
      <w:r w:rsidR="006F0025">
        <w:fldChar w:fldCharType="begin"/>
      </w:r>
      <w:r w:rsidR="006F0025">
        <w:instrText xml:space="preserve"> REF _Ref96529617 \h </w:instrText>
      </w:r>
      <w:r w:rsidR="006F0025">
        <w:fldChar w:fldCharType="separate"/>
      </w:r>
      <w:r w:rsidR="003C13F6">
        <w:t xml:space="preserve">Figure </w:t>
      </w:r>
      <w:r w:rsidR="003C13F6">
        <w:rPr>
          <w:noProof/>
        </w:rPr>
        <w:t>21</w:t>
      </w:r>
      <w:r w:rsidR="006F0025">
        <w:fldChar w:fldCharType="end"/>
      </w:r>
      <w:r w:rsidR="006F0025">
        <w:t>–</w:t>
      </w:r>
      <w:r w:rsidR="006F0025">
        <w:fldChar w:fldCharType="begin"/>
      </w:r>
      <w:r w:rsidR="006F0025">
        <w:instrText xml:space="preserve"> REF _Ref96529618 \h </w:instrText>
      </w:r>
      <w:r w:rsidR="006F0025">
        <w:fldChar w:fldCharType="separate"/>
      </w:r>
      <w:r w:rsidR="003C13F6">
        <w:t xml:space="preserve">Figure </w:t>
      </w:r>
      <w:r w:rsidR="003C13F6">
        <w:rPr>
          <w:noProof/>
        </w:rPr>
        <w:t>24</w:t>
      </w:r>
      <w:r w:rsidR="006F0025">
        <w:fldChar w:fldCharType="end"/>
      </w:r>
      <w:r w:rsidRPr="00CF44C9">
        <w:t xml:space="preserve">. The contribution of </w:t>
      </w:r>
      <w:r>
        <w:t xml:space="preserve">environmental water </w:t>
      </w:r>
      <w:r w:rsidRPr="00CF44C9">
        <w:t>to the total barra</w:t>
      </w:r>
      <w:r>
        <w:t xml:space="preserve">ge flow is shown in </w:t>
      </w:r>
      <w:r w:rsidR="006F0025">
        <w:fldChar w:fldCharType="begin"/>
      </w:r>
      <w:r w:rsidR="006F0025">
        <w:instrText xml:space="preserve"> REF _Ref96529617 \h </w:instrText>
      </w:r>
      <w:r w:rsidR="006F0025">
        <w:fldChar w:fldCharType="separate"/>
      </w:r>
      <w:r w:rsidR="003C13F6">
        <w:t xml:space="preserve">Figure </w:t>
      </w:r>
      <w:r w:rsidR="003C13F6">
        <w:rPr>
          <w:noProof/>
        </w:rPr>
        <w:t>21</w:t>
      </w:r>
      <w:r w:rsidR="006F0025">
        <w:fldChar w:fldCharType="end"/>
      </w:r>
      <w:r w:rsidRPr="00CF44C9">
        <w:t xml:space="preserve">, which indicates </w:t>
      </w:r>
      <w:r>
        <w:t xml:space="preserve">that </w:t>
      </w:r>
      <w:r w:rsidR="001206F2" w:rsidRPr="00CF44C9">
        <w:t>the</w:t>
      </w:r>
      <w:r w:rsidR="001206F2">
        <w:t xml:space="preserve"> environmental water </w:t>
      </w:r>
      <w:r w:rsidR="001206F2" w:rsidRPr="00CF44C9">
        <w:t>dominated the barrage</w:t>
      </w:r>
      <w:r w:rsidR="001206F2">
        <w:t xml:space="preserve"> flow</w:t>
      </w:r>
      <w:r w:rsidR="001206F2" w:rsidRPr="00CF44C9">
        <w:t xml:space="preserve">s over </w:t>
      </w:r>
      <w:r w:rsidRPr="00CF44C9">
        <w:t xml:space="preserve">the study period from </w:t>
      </w:r>
      <w:r w:rsidR="008A4754">
        <w:t xml:space="preserve">1 </w:t>
      </w:r>
      <w:r>
        <w:t>July 2020</w:t>
      </w:r>
      <w:r w:rsidRPr="00CF44C9">
        <w:t xml:space="preserve"> to</w:t>
      </w:r>
      <w:r w:rsidR="008A4754">
        <w:t xml:space="preserve"> 30</w:t>
      </w:r>
      <w:r w:rsidRPr="00CF44C9">
        <w:t xml:space="preserve"> </w:t>
      </w:r>
      <w:r>
        <w:t xml:space="preserve">June </w:t>
      </w:r>
      <w:r w:rsidRPr="00CF44C9">
        <w:t xml:space="preserve">2021, except a pulse of natural </w:t>
      </w:r>
      <w:r>
        <w:t xml:space="preserve">(unregulated flow) </w:t>
      </w:r>
      <w:r w:rsidRPr="00CF44C9">
        <w:t>flow in July</w:t>
      </w:r>
      <w:r>
        <w:rPr>
          <w:rFonts w:ascii="Calibri" w:hAnsi="Calibri" w:cs="Calibri"/>
        </w:rPr>
        <w:t>–</w:t>
      </w:r>
      <w:r w:rsidRPr="00CF44C9">
        <w:t xml:space="preserve">October 2020. </w:t>
      </w:r>
      <w:r w:rsidR="00ED289A" w:rsidRPr="00CF44C9">
        <w:t xml:space="preserve">As the data provided for the environmental water accounting </w:t>
      </w:r>
      <w:r w:rsidR="00ED289A">
        <w:t xml:space="preserve">only contained the total flow for all the barrage combined, and </w:t>
      </w:r>
      <w:r w:rsidR="00ED289A" w:rsidRPr="00CF44C9">
        <w:t xml:space="preserve">do not resolve details of specific </w:t>
      </w:r>
      <w:r w:rsidR="00ED289A">
        <w:t>release</w:t>
      </w:r>
      <w:r w:rsidR="00ED289A" w:rsidRPr="00CF44C9">
        <w:t>s</w:t>
      </w:r>
      <w:r w:rsidR="00ED289A">
        <w:t xml:space="preserve"> of each barrage (which were required for the model)</w:t>
      </w:r>
      <w:r w:rsidR="00ED289A" w:rsidRPr="00CF44C9">
        <w:t>, we compared the environmental water data with the local estimates of barrage flow</w:t>
      </w:r>
      <w:r w:rsidR="00ED289A">
        <w:t xml:space="preserve"> provided by the DEW barrage calculator</w:t>
      </w:r>
      <w:r w:rsidR="00ED289A" w:rsidRPr="00CF44C9">
        <w:t xml:space="preserve"> </w:t>
      </w:r>
      <w:r w:rsidRPr="00CF44C9">
        <w:t>(</w:t>
      </w:r>
      <w:r w:rsidR="006F0025">
        <w:fldChar w:fldCharType="begin"/>
      </w:r>
      <w:r w:rsidR="006F0025">
        <w:instrText xml:space="preserve"> REF _Ref96529617 \h </w:instrText>
      </w:r>
      <w:r w:rsidR="006F0025">
        <w:fldChar w:fldCharType="separate"/>
      </w:r>
      <w:r w:rsidR="003C13F6">
        <w:t xml:space="preserve">Figure </w:t>
      </w:r>
      <w:r w:rsidR="003C13F6">
        <w:rPr>
          <w:noProof/>
        </w:rPr>
        <w:t>21</w:t>
      </w:r>
      <w:r w:rsidR="006F0025">
        <w:fldChar w:fldCharType="end"/>
      </w:r>
      <w:r w:rsidR="006F0025">
        <w:t>–</w:t>
      </w:r>
      <w:r w:rsidR="006F0025">
        <w:fldChar w:fldCharType="begin"/>
      </w:r>
      <w:r w:rsidR="006F0025">
        <w:instrText xml:space="preserve"> REF _Ref96529656 \h </w:instrText>
      </w:r>
      <w:r w:rsidR="006F0025">
        <w:fldChar w:fldCharType="separate"/>
      </w:r>
      <w:r w:rsidR="003C13F6">
        <w:t xml:space="preserve">Figure </w:t>
      </w:r>
      <w:r w:rsidR="003C13F6">
        <w:rPr>
          <w:noProof/>
        </w:rPr>
        <w:t>23</w:t>
      </w:r>
      <w:r w:rsidR="006F0025">
        <w:fldChar w:fldCharType="end"/>
      </w:r>
      <w:r w:rsidRPr="00CF44C9">
        <w:t xml:space="preserve">), </w:t>
      </w:r>
      <w:r w:rsidR="00ED289A" w:rsidRPr="00CF44C9">
        <w:t xml:space="preserve">then </w:t>
      </w:r>
      <w:r w:rsidR="00ED289A">
        <w:t>used this to allocate</w:t>
      </w:r>
      <w:r w:rsidR="00ED289A" w:rsidRPr="00CF44C9">
        <w:t xml:space="preserve"> the actual daily</w:t>
      </w:r>
      <w:r w:rsidR="00ED289A">
        <w:t xml:space="preserve"> environmental</w:t>
      </w:r>
      <w:r w:rsidR="00ED289A" w:rsidRPr="00CF44C9">
        <w:t xml:space="preserve"> </w:t>
      </w:r>
      <w:r w:rsidR="00ED289A">
        <w:t>flow to each barrage based on the overall proportion of barrage flow</w:t>
      </w:r>
      <w:r>
        <w:t xml:space="preserve"> (</w:t>
      </w:r>
      <w:r w:rsidR="006F0025">
        <w:fldChar w:fldCharType="begin"/>
      </w:r>
      <w:r w:rsidR="006F0025">
        <w:instrText xml:space="preserve"> REF _Ref96529618 \h </w:instrText>
      </w:r>
      <w:r w:rsidR="006F0025">
        <w:fldChar w:fldCharType="separate"/>
      </w:r>
      <w:r w:rsidR="003C13F6">
        <w:t xml:space="preserve">Figure </w:t>
      </w:r>
      <w:r w:rsidR="003C13F6">
        <w:rPr>
          <w:noProof/>
        </w:rPr>
        <w:t>24</w:t>
      </w:r>
      <w:r w:rsidR="006F0025">
        <w:fldChar w:fldCharType="end"/>
      </w:r>
      <w:r w:rsidRPr="00CF44C9">
        <w:t>)</w:t>
      </w:r>
      <w:r w:rsidR="001206F2" w:rsidRPr="00CF44C9">
        <w:t>. The</w:t>
      </w:r>
      <w:r w:rsidRPr="00CF44C9">
        <w:t>. The results indicate the dominance of flows through Goolwa and Tauwitchere over the period of interest, with some minor pulse</w:t>
      </w:r>
      <w:r>
        <w:t>s</w:t>
      </w:r>
      <w:r w:rsidRPr="00CF44C9">
        <w:t xml:space="preserve"> through Mundoo (</w:t>
      </w:r>
      <w:r w:rsidR="006F0025">
        <w:fldChar w:fldCharType="begin"/>
      </w:r>
      <w:r w:rsidR="006F0025">
        <w:instrText xml:space="preserve"> REF _Ref96529618 \h </w:instrText>
      </w:r>
      <w:r w:rsidR="006F0025">
        <w:fldChar w:fldCharType="separate"/>
      </w:r>
      <w:r w:rsidR="003C13F6">
        <w:t xml:space="preserve">Figure </w:t>
      </w:r>
      <w:r w:rsidR="003C13F6">
        <w:rPr>
          <w:noProof/>
        </w:rPr>
        <w:t>24</w:t>
      </w:r>
      <w:r w:rsidR="006F0025">
        <w:fldChar w:fldCharType="end"/>
      </w:r>
      <w:r w:rsidRPr="00CF44C9">
        <w:t xml:space="preserve">). </w:t>
      </w:r>
    </w:p>
    <w:p w14:paraId="5A6BA207" w14:textId="77777777" w:rsidR="00B60940" w:rsidRDefault="00B60940" w:rsidP="00B60940"/>
    <w:p w14:paraId="6E33D429" w14:textId="5B798B55" w:rsidR="00B60940" w:rsidRPr="00CF44C9" w:rsidRDefault="00ED289A" w:rsidP="00B60940">
      <w:r w:rsidRPr="003F12C8">
        <w:rPr>
          <w:noProof/>
          <w:lang w:eastAsia="zh-CN"/>
        </w:rPr>
        <w:lastRenderedPageBreak/>
        <w:drawing>
          <wp:inline distT="0" distB="0" distL="0" distR="0" wp14:anchorId="60E33470" wp14:editId="120D8D15">
            <wp:extent cx="5730750" cy="3096883"/>
            <wp:effectExtent l="0" t="0" r="3810" b="8890"/>
            <wp:docPr id="32" name="Picture 32" descr="C:\Users\00064235\AED Dropbox\AED_FlowMER_db\3_data\2021eWater\plots_final\eWater_stackarea_barr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064235\AED Dropbox\AED_FlowMER_db\3_data\2021eWater\plots_final\eWater_stackarea_barrages.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7380" r="7071"/>
                    <a:stretch/>
                  </pic:blipFill>
                  <pic:spPr bwMode="auto">
                    <a:xfrm>
                      <a:off x="0" y="0"/>
                      <a:ext cx="5740121" cy="3101947"/>
                    </a:xfrm>
                    <a:prstGeom prst="rect">
                      <a:avLst/>
                    </a:prstGeom>
                    <a:noFill/>
                    <a:ln>
                      <a:noFill/>
                    </a:ln>
                    <a:extLst>
                      <a:ext uri="{53640926-AAD7-44D8-BBD7-CCE9431645EC}">
                        <a14:shadowObscured xmlns:a14="http://schemas.microsoft.com/office/drawing/2010/main"/>
                      </a:ext>
                    </a:extLst>
                  </pic:spPr>
                </pic:pic>
              </a:graphicData>
            </a:graphic>
          </wp:inline>
        </w:drawing>
      </w:r>
    </w:p>
    <w:p w14:paraId="3D3A271B" w14:textId="339513CE" w:rsidR="00B60940" w:rsidRPr="00CF44C9" w:rsidRDefault="00B60940" w:rsidP="008A4754">
      <w:pPr>
        <w:pStyle w:val="Captions"/>
      </w:pPr>
      <w:r w:rsidRPr="00CF44C9">
        <w:t xml:space="preserve"> </w:t>
      </w:r>
      <w:bookmarkStart w:id="154" w:name="_Ref96529617"/>
      <w:bookmarkStart w:id="155" w:name="_Toc101963813"/>
      <w:r w:rsidR="006F0025">
        <w:t xml:space="preserve">Figure </w:t>
      </w:r>
      <w:r w:rsidR="006F0025">
        <w:fldChar w:fldCharType="begin"/>
      </w:r>
      <w:r w:rsidR="006F0025">
        <w:instrText xml:space="preserve"> SEQ Figure \* ARABIC </w:instrText>
      </w:r>
      <w:r w:rsidR="006F0025">
        <w:fldChar w:fldCharType="separate"/>
      </w:r>
      <w:r w:rsidR="003C13F6">
        <w:rPr>
          <w:noProof/>
        </w:rPr>
        <w:t>21</w:t>
      </w:r>
      <w:r w:rsidR="006F0025">
        <w:fldChar w:fldCharType="end"/>
      </w:r>
      <w:bookmarkEnd w:id="154"/>
      <w:r w:rsidRPr="00CF44C9">
        <w:t xml:space="preserve">. Summary of history of flow </w:t>
      </w:r>
      <w:r w:rsidR="00B73207">
        <w:t>through</w:t>
      </w:r>
      <w:r w:rsidR="00B73207" w:rsidRPr="00CF44C9">
        <w:t xml:space="preserve"> </w:t>
      </w:r>
      <w:r w:rsidRPr="00CF44C9">
        <w:t xml:space="preserve">the barrages, from </w:t>
      </w:r>
      <w:r>
        <w:t xml:space="preserve">July </w:t>
      </w:r>
      <w:r w:rsidRPr="00CF44C9">
        <w:t xml:space="preserve">2015 until </w:t>
      </w:r>
      <w:r>
        <w:t xml:space="preserve">June </w:t>
      </w:r>
      <w:r w:rsidRPr="00CF44C9">
        <w:t>2021, spanning the large 2016 flow event and a pulse of natural flow in July</w:t>
      </w:r>
      <w:r>
        <w:t xml:space="preserve"> </w:t>
      </w:r>
      <w:r>
        <w:rPr>
          <w:rFonts w:ascii="Calibri" w:hAnsi="Calibri" w:cs="Calibri"/>
        </w:rPr>
        <w:t xml:space="preserve">– </w:t>
      </w:r>
      <w:r w:rsidRPr="00CF44C9">
        <w:t xml:space="preserve">October 2020, categorised based on </w:t>
      </w:r>
      <w:r w:rsidR="00ED289A" w:rsidRPr="00CF44C9">
        <w:t>water source.</w:t>
      </w:r>
      <w:bookmarkEnd w:id="155"/>
    </w:p>
    <w:p w14:paraId="0AA6B9E8" w14:textId="0AFCCC98" w:rsidR="00B60940" w:rsidRPr="00CF44C9" w:rsidRDefault="00ED289A" w:rsidP="00B60940">
      <w:r w:rsidRPr="001F5096">
        <w:rPr>
          <w:noProof/>
          <w:lang w:eastAsia="zh-CN"/>
        </w:rPr>
        <w:drawing>
          <wp:inline distT="0" distB="0" distL="0" distR="0" wp14:anchorId="1F419772" wp14:editId="12154A26">
            <wp:extent cx="5690644" cy="2993366"/>
            <wp:effectExtent l="0" t="0" r="5715" b="0"/>
            <wp:docPr id="45" name="Picture 45" descr="C:\Users\00064235\AED Dropbox\AED_FlowMER_db\6_reporting\eWater2021\plots_final\eWater_stackarea_flow_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064235\AED Dropbox\AED_FlowMER_db\6_reporting\eWater2021\plots_final\eWater_stackarea_flow_comparison.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777" t="1629" r="6767"/>
                    <a:stretch/>
                  </pic:blipFill>
                  <pic:spPr bwMode="auto">
                    <a:xfrm>
                      <a:off x="0" y="0"/>
                      <a:ext cx="5707630" cy="3002301"/>
                    </a:xfrm>
                    <a:prstGeom prst="rect">
                      <a:avLst/>
                    </a:prstGeom>
                    <a:noFill/>
                    <a:ln>
                      <a:noFill/>
                    </a:ln>
                    <a:extLst>
                      <a:ext uri="{53640926-AAD7-44D8-BBD7-CCE9431645EC}">
                        <a14:shadowObscured xmlns:a14="http://schemas.microsoft.com/office/drawing/2010/main"/>
                      </a:ext>
                    </a:extLst>
                  </pic:spPr>
                </pic:pic>
              </a:graphicData>
            </a:graphic>
          </wp:inline>
        </w:drawing>
      </w:r>
    </w:p>
    <w:p w14:paraId="26CA76D9" w14:textId="4B7B84F0" w:rsidR="00B60940" w:rsidRPr="00CF44C9" w:rsidRDefault="006F0025" w:rsidP="006F0025">
      <w:pPr>
        <w:pStyle w:val="Captions"/>
      </w:pPr>
      <w:bookmarkStart w:id="156" w:name="_Toc101963814"/>
      <w:r>
        <w:t xml:space="preserve">Figure </w:t>
      </w:r>
      <w:r>
        <w:fldChar w:fldCharType="begin"/>
      </w:r>
      <w:r>
        <w:instrText xml:space="preserve"> SEQ Figure \* ARABIC </w:instrText>
      </w:r>
      <w:r>
        <w:fldChar w:fldCharType="separate"/>
      </w:r>
      <w:r w:rsidR="003C13F6">
        <w:rPr>
          <w:noProof/>
        </w:rPr>
        <w:t>22</w:t>
      </w:r>
      <w:r>
        <w:fldChar w:fldCharType="end"/>
      </w:r>
      <w:r w:rsidR="00B60940" w:rsidRPr="00CF44C9">
        <w:t xml:space="preserve">. Comparison of </w:t>
      </w:r>
      <w:r w:rsidR="00B60940" w:rsidRPr="00CF44C9">
        <w:rPr>
          <w:i/>
        </w:rPr>
        <w:t>daily</w:t>
      </w:r>
      <w:r w:rsidR="00B60940" w:rsidRPr="00CF44C9">
        <w:t xml:space="preserve"> barrage flow between the datasets from environmental water accounting (upper panel) and from local estimates of barrage flow (lower panel), spanning the modelling period from </w:t>
      </w:r>
      <w:r w:rsidR="00B60940">
        <w:t xml:space="preserve">July </w:t>
      </w:r>
      <w:r w:rsidR="00B60940" w:rsidRPr="00CF44C9">
        <w:t xml:space="preserve">2017 to </w:t>
      </w:r>
      <w:r w:rsidR="00ED289A">
        <w:t xml:space="preserve">June </w:t>
      </w:r>
      <w:r w:rsidR="00ED289A" w:rsidRPr="00CF44C9">
        <w:t>2021.</w:t>
      </w:r>
      <w:bookmarkEnd w:id="156"/>
    </w:p>
    <w:p w14:paraId="403E3D32" w14:textId="77777777" w:rsidR="00B60940" w:rsidRDefault="00B60940" w:rsidP="00B60940"/>
    <w:p w14:paraId="2EBE8EC1" w14:textId="5C082D3C" w:rsidR="00B60940" w:rsidRPr="00CF44C9" w:rsidRDefault="00ED289A" w:rsidP="00B60940">
      <w:r w:rsidRPr="00724A5C">
        <w:rPr>
          <w:noProof/>
          <w:lang w:eastAsia="zh-CN"/>
        </w:rPr>
        <w:lastRenderedPageBreak/>
        <w:drawing>
          <wp:inline distT="0" distB="0" distL="0" distR="0" wp14:anchorId="40BC2DDD" wp14:editId="587FD855">
            <wp:extent cx="5656886" cy="2725947"/>
            <wp:effectExtent l="0" t="0" r="1270" b="0"/>
            <wp:docPr id="46" name="Picture 46" descr="C:\Users\00064235\AED Dropbox\AED_FlowMER_db\3_data\2021eWater\plots_final\monthly_stack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064235\AED Dropbox\AED_FlowMER_db\3_data\2021eWater\plots_final\monthly_stackarea.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4062"/>
                    <a:stretch/>
                  </pic:blipFill>
                  <pic:spPr bwMode="auto">
                    <a:xfrm>
                      <a:off x="0" y="0"/>
                      <a:ext cx="5660261" cy="2727573"/>
                    </a:xfrm>
                    <a:prstGeom prst="rect">
                      <a:avLst/>
                    </a:prstGeom>
                    <a:noFill/>
                    <a:ln>
                      <a:noFill/>
                    </a:ln>
                    <a:extLst>
                      <a:ext uri="{53640926-AAD7-44D8-BBD7-CCE9431645EC}">
                        <a14:shadowObscured xmlns:a14="http://schemas.microsoft.com/office/drawing/2010/main"/>
                      </a:ext>
                    </a:extLst>
                  </pic:spPr>
                </pic:pic>
              </a:graphicData>
            </a:graphic>
          </wp:inline>
        </w:drawing>
      </w:r>
    </w:p>
    <w:p w14:paraId="7EDEEA87" w14:textId="6B332A7F" w:rsidR="00B60940" w:rsidRPr="00CF44C9" w:rsidRDefault="006F0025" w:rsidP="006F0025">
      <w:pPr>
        <w:pStyle w:val="Captions"/>
      </w:pPr>
      <w:bookmarkStart w:id="157" w:name="_Ref96529656"/>
      <w:bookmarkStart w:id="158" w:name="_Toc101963815"/>
      <w:r>
        <w:t xml:space="preserve">Figure </w:t>
      </w:r>
      <w:r>
        <w:fldChar w:fldCharType="begin"/>
      </w:r>
      <w:r>
        <w:instrText xml:space="preserve"> SEQ Figure \* ARABIC </w:instrText>
      </w:r>
      <w:r>
        <w:fldChar w:fldCharType="separate"/>
      </w:r>
      <w:r w:rsidR="003C13F6">
        <w:rPr>
          <w:noProof/>
        </w:rPr>
        <w:t>23</w:t>
      </w:r>
      <w:r>
        <w:fldChar w:fldCharType="end"/>
      </w:r>
      <w:bookmarkEnd w:id="157"/>
      <w:r w:rsidR="00B60940" w:rsidRPr="00CF44C9">
        <w:t xml:space="preserve">. Comparison of </w:t>
      </w:r>
      <w:r w:rsidR="00B60940" w:rsidRPr="00CF44C9">
        <w:rPr>
          <w:i/>
        </w:rPr>
        <w:t>monthly</w:t>
      </w:r>
      <w:r w:rsidR="00B60940" w:rsidRPr="00CF44C9">
        <w:t xml:space="preserve"> barrage flow between the datasets from environmental water accounting (upper panel) and from local estimates of barrage flow (lower panel), spanning the modelling period from </w:t>
      </w:r>
      <w:r w:rsidR="00B60940">
        <w:t xml:space="preserve">July </w:t>
      </w:r>
      <w:r w:rsidR="00B60940" w:rsidRPr="00CF44C9">
        <w:t xml:space="preserve">2017 to </w:t>
      </w:r>
      <w:r w:rsidR="00ED289A">
        <w:t xml:space="preserve">June </w:t>
      </w:r>
      <w:r w:rsidR="00ED289A" w:rsidRPr="00CF44C9">
        <w:t>2021.</w:t>
      </w:r>
      <w:bookmarkEnd w:id="158"/>
    </w:p>
    <w:p w14:paraId="48D83AC6" w14:textId="77777777" w:rsidR="00B60940" w:rsidRPr="00CF44C9" w:rsidRDefault="00B60940" w:rsidP="00B60940"/>
    <w:p w14:paraId="2A538FFA" w14:textId="77777777" w:rsidR="00B60940" w:rsidRPr="00CF44C9" w:rsidRDefault="00B60940" w:rsidP="00B60940">
      <w:r w:rsidRPr="00CF44C9">
        <w:rPr>
          <w:noProof/>
          <w:lang w:val="en-US"/>
        </w:rPr>
        <w:drawing>
          <wp:inline distT="0" distB="0" distL="0" distR="0" wp14:anchorId="17B81F35" wp14:editId="0D91EB2E">
            <wp:extent cx="5731510" cy="2649802"/>
            <wp:effectExtent l="0" t="0" r="2540" b="0"/>
            <wp:docPr id="67" name="Picture 67" descr="E:\database\Lowerlakes_CEW\eWater\data\eWater_2020_2021\plots_final\flow_stack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base\Lowerlakes_CEW\eWater\data\eWater_2020_2021\plots_final\flow_stackarea.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2649802"/>
                    </a:xfrm>
                    <a:prstGeom prst="rect">
                      <a:avLst/>
                    </a:prstGeom>
                    <a:noFill/>
                    <a:ln>
                      <a:noFill/>
                    </a:ln>
                  </pic:spPr>
                </pic:pic>
              </a:graphicData>
            </a:graphic>
          </wp:inline>
        </w:drawing>
      </w:r>
    </w:p>
    <w:p w14:paraId="726BFB27" w14:textId="25485900" w:rsidR="00B60940" w:rsidRPr="0041530A" w:rsidRDefault="006F0025" w:rsidP="008A4754">
      <w:pPr>
        <w:pStyle w:val="Captions"/>
      </w:pPr>
      <w:bookmarkStart w:id="159" w:name="_Ref96529618"/>
      <w:bookmarkStart w:id="160" w:name="_Toc101963816"/>
      <w:r>
        <w:t xml:space="preserve">Figure </w:t>
      </w:r>
      <w:r>
        <w:fldChar w:fldCharType="begin"/>
      </w:r>
      <w:r>
        <w:instrText xml:space="preserve"> SEQ Figure \* ARABIC </w:instrText>
      </w:r>
      <w:r>
        <w:fldChar w:fldCharType="separate"/>
      </w:r>
      <w:r w:rsidR="003C13F6">
        <w:rPr>
          <w:noProof/>
        </w:rPr>
        <w:t>24</w:t>
      </w:r>
      <w:r>
        <w:fldChar w:fldCharType="end"/>
      </w:r>
      <w:bookmarkEnd w:id="159"/>
      <w:r w:rsidR="00B60940" w:rsidRPr="00CF44C9">
        <w:t xml:space="preserve">. Summary of flow over each barrage, spanning the modelling period from </w:t>
      </w:r>
      <w:r w:rsidR="00B60940">
        <w:t xml:space="preserve">July </w:t>
      </w:r>
      <w:r w:rsidR="00B60940" w:rsidRPr="00CF44C9">
        <w:t>2017 to</w:t>
      </w:r>
      <w:r w:rsidR="00B60940">
        <w:t xml:space="preserve"> June </w:t>
      </w:r>
      <w:r w:rsidR="00B60940" w:rsidRPr="00CF44C9">
        <w:t>2021.</w:t>
      </w:r>
      <w:bookmarkEnd w:id="153"/>
      <w:bookmarkEnd w:id="160"/>
    </w:p>
    <w:p w14:paraId="338EF431" w14:textId="77777777" w:rsidR="00B60940" w:rsidRDefault="00B60940" w:rsidP="00B60940">
      <w:pPr>
        <w:pStyle w:val="Heading3"/>
        <w:rPr>
          <w:lang w:eastAsia="en-AU"/>
        </w:rPr>
      </w:pPr>
      <w:r w:rsidRPr="00565AEA">
        <w:t>Results</w:t>
      </w:r>
    </w:p>
    <w:p w14:paraId="0E3ABA5F" w14:textId="77777777" w:rsidR="00B60940" w:rsidRPr="007A5F1E" w:rsidRDefault="00B60940" w:rsidP="00B60940">
      <w:pPr>
        <w:rPr>
          <w:i/>
          <w:u w:val="single"/>
        </w:rPr>
      </w:pPr>
      <w:r w:rsidRPr="007A5F1E">
        <w:rPr>
          <w:i/>
          <w:u w:val="single"/>
        </w:rPr>
        <w:t>Salinity dynamics in the Coorong</w:t>
      </w:r>
    </w:p>
    <w:p w14:paraId="7E0C7552" w14:textId="5B539F09" w:rsidR="00B60940" w:rsidRPr="009F5051" w:rsidRDefault="00B60940" w:rsidP="00B60940">
      <w:r w:rsidRPr="00B040AA">
        <w:t>Example transect plot of predicted salinity in all scenarios with comparison to the observations along the Coorong at the</w:t>
      </w:r>
      <w:r>
        <w:t xml:space="preserve"> beginning of the season</w:t>
      </w:r>
      <w:r w:rsidRPr="00B040AA">
        <w:t xml:space="preserve"> </w:t>
      </w:r>
      <w:r>
        <w:t xml:space="preserve">(1 July 2020 – 1 Oct </w:t>
      </w:r>
      <w:r w:rsidRPr="00B040AA">
        <w:t>2020</w:t>
      </w:r>
      <w:r>
        <w:t xml:space="preserve">; </w:t>
      </w:r>
      <w:r w:rsidR="006F0025">
        <w:fldChar w:fldCharType="begin"/>
      </w:r>
      <w:r w:rsidR="006F0025">
        <w:instrText xml:space="preserve"> REF _Ref96529694 \h </w:instrText>
      </w:r>
      <w:r w:rsidR="006F0025">
        <w:fldChar w:fldCharType="separate"/>
      </w:r>
      <w:r w:rsidR="003C13F6">
        <w:t xml:space="preserve">Figure </w:t>
      </w:r>
      <w:r w:rsidR="003C13F6">
        <w:rPr>
          <w:noProof/>
        </w:rPr>
        <w:t>25</w:t>
      </w:r>
      <w:r w:rsidR="006F0025">
        <w:fldChar w:fldCharType="end"/>
      </w:r>
      <w:r w:rsidR="006F0025">
        <w:t xml:space="preserve"> </w:t>
      </w:r>
      <w:r>
        <w:t>upper panel)</w:t>
      </w:r>
      <w:r w:rsidRPr="00B040AA">
        <w:t xml:space="preserve"> and </w:t>
      </w:r>
      <w:r>
        <w:t>at the end of the season (1 April 2021</w:t>
      </w:r>
      <w:r w:rsidRPr="00B040AA">
        <w:t>-</w:t>
      </w:r>
      <w:r>
        <w:t xml:space="preserve"> 1 </w:t>
      </w:r>
      <w:r w:rsidR="005D4C2E">
        <w:t>July 202</w:t>
      </w:r>
      <w:r w:rsidR="001206F2">
        <w:t>1</w:t>
      </w:r>
      <w:r w:rsidR="005D4C2E">
        <w:t xml:space="preserve">; </w:t>
      </w:r>
      <w:r>
        <w:t>(</w:t>
      </w:r>
      <w:r w:rsidR="006F0025">
        <w:fldChar w:fldCharType="begin"/>
      </w:r>
      <w:r w:rsidR="006F0025">
        <w:instrText xml:space="preserve"> REF _Ref96529694 \h </w:instrText>
      </w:r>
      <w:r w:rsidR="006F0025">
        <w:fldChar w:fldCharType="separate"/>
      </w:r>
      <w:r w:rsidR="003C13F6">
        <w:t xml:space="preserve">Figure </w:t>
      </w:r>
      <w:r w:rsidR="003C13F6">
        <w:rPr>
          <w:noProof/>
        </w:rPr>
        <w:t>25</w:t>
      </w:r>
      <w:r w:rsidR="006F0025">
        <w:fldChar w:fldCharType="end"/>
      </w:r>
      <w:r w:rsidR="006F0025">
        <w:t xml:space="preserve"> </w:t>
      </w:r>
      <w:r>
        <w:t>lower panel)</w:t>
      </w:r>
      <w:r w:rsidRPr="00B040AA">
        <w:t xml:space="preserve">, which indicates higher salinity in the ‘no CEW’ and ‘no eWater’ scenarios. </w:t>
      </w:r>
      <w:r>
        <w:t>T</w:t>
      </w:r>
      <w:r w:rsidRPr="009F5051">
        <w:t xml:space="preserve">hese time periods were chosen because they represented the cumulative effects of eWater on the salinity in the last year of modelling period; the upper panel showed the </w:t>
      </w:r>
      <w:r w:rsidRPr="009F5051">
        <w:lastRenderedPageBreak/>
        <w:t>effect in the beginning season (</w:t>
      </w:r>
      <w:r>
        <w:t>1 July – 1 Oct 2020)</w:t>
      </w:r>
      <w:r w:rsidRPr="009F5051">
        <w:t xml:space="preserve"> and the lower panel showed the effect in the end season (</w:t>
      </w:r>
      <w:r>
        <w:t xml:space="preserve">1 April </w:t>
      </w:r>
      <w:r w:rsidRPr="009F5051">
        <w:t xml:space="preserve">2021 – </w:t>
      </w:r>
      <w:r>
        <w:t xml:space="preserve">1 July </w:t>
      </w:r>
      <w:r w:rsidRPr="009F5051">
        <w:t>2021).</w:t>
      </w:r>
    </w:p>
    <w:p w14:paraId="29E57E13" w14:textId="2D2FC253" w:rsidR="00B60940" w:rsidRPr="005E38EF" w:rsidRDefault="00B60940" w:rsidP="00B60940">
      <w:r w:rsidRPr="005E38EF">
        <w:t xml:space="preserve">Predicted salinity changes in all scenarios at selected sites along the Coorong is presented below in Figure </w:t>
      </w:r>
      <w:r>
        <w:t>D5</w:t>
      </w:r>
      <w:r w:rsidR="006F0025">
        <w:t>, Appendix D</w:t>
      </w:r>
      <w:r w:rsidRPr="005E38EF">
        <w:t xml:space="preserve">. The predicted salinity from the ‘all water’ scenario, which overlapped with the ‘no CEW 1 year’ and ‘no eWater 1 year’ scenarios in the first 3 years, showed </w:t>
      </w:r>
      <w:r>
        <w:t>good</w:t>
      </w:r>
      <w:r w:rsidRPr="005E38EF">
        <w:t xml:space="preserve"> agreements with observations at most of the sites along the Coorong, except at Goolwa (A4261036) where the model generally underestimated the salinity. However, the salinity at the key areas of interest in the </w:t>
      </w:r>
      <w:r>
        <w:t>S</w:t>
      </w:r>
      <w:r w:rsidRPr="005E38EF">
        <w:t xml:space="preserve">outh </w:t>
      </w:r>
      <w:r>
        <w:t>L</w:t>
      </w:r>
      <w:r w:rsidRPr="005E38EF">
        <w:t xml:space="preserve">agoon (sites A4260633, A4261209, and A4261165) have been well predicted. </w:t>
      </w:r>
      <w:r>
        <w:t>It is evident</w:t>
      </w:r>
      <w:r w:rsidRPr="005E38EF">
        <w:t xml:space="preserve"> that the no CEW and no eWater conditions led to higher salinity at all sites. </w:t>
      </w:r>
    </w:p>
    <w:p w14:paraId="150F75C8" w14:textId="77777777" w:rsidR="00B60940" w:rsidRPr="005E38EF" w:rsidRDefault="00B60940" w:rsidP="00B60940">
      <w:pPr>
        <w:rPr>
          <w:i/>
          <w:u w:val="single"/>
        </w:rPr>
      </w:pPr>
      <w:r w:rsidRPr="006F0025">
        <w:rPr>
          <w:i/>
          <w:noProof/>
          <w:lang w:val="en-US"/>
        </w:rPr>
        <w:drawing>
          <wp:inline distT="0" distB="0" distL="0" distR="0" wp14:anchorId="31F7FCA8" wp14:editId="11A494AC">
            <wp:extent cx="5727700" cy="5702223"/>
            <wp:effectExtent l="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7700" cy="5702223"/>
                    </a:xfrm>
                    <a:prstGeom prst="rect">
                      <a:avLst/>
                    </a:prstGeom>
                    <a:noFill/>
                    <a:ln>
                      <a:noFill/>
                    </a:ln>
                  </pic:spPr>
                </pic:pic>
              </a:graphicData>
            </a:graphic>
          </wp:inline>
        </w:drawing>
      </w:r>
    </w:p>
    <w:p w14:paraId="0D263D3F" w14:textId="3C649E9A" w:rsidR="00B60940" w:rsidRPr="000E3ECB" w:rsidRDefault="006F0025" w:rsidP="006F0025">
      <w:pPr>
        <w:pStyle w:val="Captions"/>
      </w:pPr>
      <w:bookmarkStart w:id="161" w:name="_Ref96529694"/>
      <w:bookmarkStart w:id="162" w:name="_Toc101963817"/>
      <w:r>
        <w:t xml:space="preserve">Figure </w:t>
      </w:r>
      <w:r>
        <w:fldChar w:fldCharType="begin"/>
      </w:r>
      <w:r>
        <w:instrText xml:space="preserve"> SEQ Figure \* ARABIC </w:instrText>
      </w:r>
      <w:r>
        <w:fldChar w:fldCharType="separate"/>
      </w:r>
      <w:r w:rsidR="003C13F6">
        <w:rPr>
          <w:noProof/>
        </w:rPr>
        <w:t>25</w:t>
      </w:r>
      <w:r>
        <w:fldChar w:fldCharType="end"/>
      </w:r>
      <w:bookmarkEnd w:id="161"/>
      <w:r w:rsidR="00B60940" w:rsidRPr="000E3ECB">
        <w:t>. Transect comparison of measured and simulated salinity along the Coorong lagoon in July-September 2020 (upper panel) and April-June 2021 (lower panel). The boxplots indicate the field observations; the solid lines indicate the median values and the shaded area indicate the 25</w:t>
      </w:r>
      <w:r w:rsidR="00B60940" w:rsidRPr="000E3ECB">
        <w:rPr>
          <w:vertAlign w:val="superscript"/>
        </w:rPr>
        <w:t>th</w:t>
      </w:r>
      <w:r w:rsidR="00B60940" w:rsidRPr="000E3ECB">
        <w:t xml:space="preserve"> to 75</w:t>
      </w:r>
      <w:r w:rsidR="00B60940" w:rsidRPr="000E3ECB">
        <w:rPr>
          <w:vertAlign w:val="superscript"/>
        </w:rPr>
        <w:t>th</w:t>
      </w:r>
      <w:r w:rsidR="00B60940" w:rsidRPr="000E3ECB">
        <w:t xml:space="preserve"> percentile from the modelling assessment.</w:t>
      </w:r>
      <w:bookmarkEnd w:id="162"/>
      <w:r w:rsidR="00B60940" w:rsidRPr="000E3ECB">
        <w:t xml:space="preserve"> </w:t>
      </w:r>
    </w:p>
    <w:p w14:paraId="7B4C08DB" w14:textId="77777777" w:rsidR="00B60940" w:rsidRPr="0075498A" w:rsidRDefault="00B60940" w:rsidP="00B60940">
      <w:pPr>
        <w:rPr>
          <w:color w:val="auto"/>
        </w:rPr>
      </w:pPr>
      <w:r w:rsidRPr="0075498A">
        <w:rPr>
          <w:i/>
          <w:iCs/>
          <w:color w:val="auto"/>
          <w:u w:val="single"/>
        </w:rPr>
        <w:t>Salt flux through the Murray barrages, the mouth and the Coorong</w:t>
      </w:r>
      <w:r w:rsidRPr="0075498A" w:rsidDel="005E1D8A">
        <w:rPr>
          <w:i/>
          <w:color w:val="auto"/>
          <w:u w:val="single"/>
        </w:rPr>
        <w:t xml:space="preserve"> </w:t>
      </w:r>
    </w:p>
    <w:p w14:paraId="2EFCB5CB" w14:textId="18826C79" w:rsidR="00B60940" w:rsidRPr="001832D4" w:rsidRDefault="00B60940" w:rsidP="00B60940">
      <w:r w:rsidRPr="001832D4">
        <w:lastRenderedPageBreak/>
        <w:t xml:space="preserve">Salt loads for </w:t>
      </w:r>
      <w:r w:rsidR="007E3A2C">
        <w:t xml:space="preserve">2020-21 </w:t>
      </w:r>
      <w:r w:rsidRPr="001832D4">
        <w:t xml:space="preserve">modelling year are summarised in </w:t>
      </w:r>
      <w:r w:rsidR="005F4372">
        <w:fldChar w:fldCharType="begin"/>
      </w:r>
      <w:r w:rsidR="005F4372">
        <w:instrText xml:space="preserve"> REF _Ref96589963 \h </w:instrText>
      </w:r>
      <w:r w:rsidR="005F4372">
        <w:fldChar w:fldCharType="separate"/>
      </w:r>
      <w:r w:rsidR="003C13F6">
        <w:t xml:space="preserve">Table </w:t>
      </w:r>
      <w:r w:rsidR="003C13F6">
        <w:rPr>
          <w:noProof/>
        </w:rPr>
        <w:t>5</w:t>
      </w:r>
      <w:r w:rsidR="005F4372">
        <w:fldChar w:fldCharType="end"/>
      </w:r>
      <w:r w:rsidRPr="001832D4">
        <w:t xml:space="preserve">. A total salt load of </w:t>
      </w:r>
      <w:r w:rsidR="001206F2" w:rsidRPr="001832D4">
        <w:t xml:space="preserve">1,846,289 tonnes </w:t>
      </w:r>
      <w:r w:rsidRPr="001832D4">
        <w:t>was exported from the river basins into the Coorong</w:t>
      </w:r>
      <w:r w:rsidR="007E3A2C">
        <w:t xml:space="preserve"> in this year</w:t>
      </w:r>
      <w:r w:rsidRPr="001832D4">
        <w:t xml:space="preserve">. If there was no environmental water in 2020-21 then a total salt load of 620,843 </w:t>
      </w:r>
      <w:r>
        <w:t xml:space="preserve">tonnes </w:t>
      </w:r>
      <w:r w:rsidRPr="001832D4">
        <w:t xml:space="preserve">would have been exported from the basin. </w:t>
      </w:r>
      <w:r w:rsidR="007E3A2C">
        <w:t xml:space="preserve">Commonwealth environmental </w:t>
      </w:r>
      <w:r>
        <w:t>water was responsible for the export of 1.07 million tonnes of salt, representing 87% of the total contribution by environmental water.</w:t>
      </w:r>
    </w:p>
    <w:p w14:paraId="2FD6E684" w14:textId="5C58B9EC" w:rsidR="00B60940" w:rsidRPr="001832D4" w:rsidRDefault="00B60940" w:rsidP="00B60940">
      <w:r w:rsidRPr="001832D4">
        <w:t xml:space="preserve">In 2020-21, there was a net export of salt of 268,730 tonnes from the Coorong into the southern ocean (through the Murray Mouth). Without environmental water, there would be a net import of 4,570,048 tonnes of salt from the southern ocean to the Coorong. Environmental water decreased salt import by approximately 4.8 million tonnes in 2020-21, most of which </w:t>
      </w:r>
      <w:r>
        <w:t xml:space="preserve">was </w:t>
      </w:r>
      <w:r w:rsidRPr="001832D4">
        <w:t xml:space="preserve">attributable to Commonwealth environmental water (4.2 million tonnes). The environmental water also helped to reduce the salt flux to the </w:t>
      </w:r>
      <w:r>
        <w:t>N</w:t>
      </w:r>
      <w:r w:rsidRPr="001832D4">
        <w:t xml:space="preserve">orth </w:t>
      </w:r>
      <w:r>
        <w:t>Lagoon</w:t>
      </w:r>
      <w:r w:rsidRPr="001832D4">
        <w:t xml:space="preserve"> and </w:t>
      </w:r>
      <w:r>
        <w:t>S</w:t>
      </w:r>
      <w:r w:rsidRPr="001832D4">
        <w:t xml:space="preserve">outh </w:t>
      </w:r>
      <w:r>
        <w:t>Lagoon</w:t>
      </w:r>
      <w:r w:rsidRPr="001832D4">
        <w:t xml:space="preserve"> (</w:t>
      </w:r>
      <w:r w:rsidR="005F4372">
        <w:fldChar w:fldCharType="begin"/>
      </w:r>
      <w:r w:rsidR="005F4372">
        <w:instrText xml:space="preserve"> REF _Ref96589963 \h </w:instrText>
      </w:r>
      <w:r w:rsidR="005F4372">
        <w:fldChar w:fldCharType="separate"/>
      </w:r>
      <w:r w:rsidR="003C13F6">
        <w:t xml:space="preserve">Table </w:t>
      </w:r>
      <w:r w:rsidR="003C13F6">
        <w:rPr>
          <w:noProof/>
        </w:rPr>
        <w:t>5</w:t>
      </w:r>
      <w:r w:rsidR="005F4372">
        <w:fldChar w:fldCharType="end"/>
      </w:r>
      <w:r w:rsidR="005F4372">
        <w:t>;</w:t>
      </w:r>
      <w:r w:rsidR="006F0025">
        <w:t xml:space="preserve"> </w:t>
      </w:r>
      <w:r w:rsidR="006F0025">
        <w:fldChar w:fldCharType="begin"/>
      </w:r>
      <w:r w:rsidR="006F0025">
        <w:instrText xml:space="preserve"> REF _Ref96529732 \h </w:instrText>
      </w:r>
      <w:r w:rsidR="006F0025">
        <w:fldChar w:fldCharType="separate"/>
      </w:r>
      <w:r w:rsidR="003C13F6">
        <w:t xml:space="preserve">Figure </w:t>
      </w:r>
      <w:r w:rsidR="003C13F6">
        <w:rPr>
          <w:noProof/>
        </w:rPr>
        <w:t>26</w:t>
      </w:r>
      <w:r w:rsidR="006F0025">
        <w:fldChar w:fldCharType="end"/>
      </w:r>
      <w:r w:rsidRPr="001832D4">
        <w:t xml:space="preserve">). The southward salt fluxes to the north Coorong and south Coorong in the ‘all water’ scenario were 1,189,661 and 2,376,665 tonnes, respectively, which were much less than the ‘no eWater 1 year’ scenario of 4,416,836 and 3,331,846 tonnes. </w:t>
      </w:r>
    </w:p>
    <w:p w14:paraId="62563184" w14:textId="1A754677" w:rsidR="00B60940" w:rsidRDefault="005F4372" w:rsidP="005F4372">
      <w:pPr>
        <w:pStyle w:val="Caption"/>
        <w:rPr>
          <w:b w:val="0"/>
        </w:rPr>
      </w:pPr>
      <w:bookmarkStart w:id="163" w:name="_Ref96589963"/>
      <w:bookmarkStart w:id="164" w:name="_Toc101963863"/>
      <w:r>
        <w:t xml:space="preserve">Table </w:t>
      </w:r>
      <w:fldSimple w:instr=" SEQ Table \* ARABIC ">
        <w:r w:rsidR="003C13F6">
          <w:rPr>
            <w:noProof/>
          </w:rPr>
          <w:t>5</w:t>
        </w:r>
      </w:fldSimple>
      <w:bookmarkEnd w:id="163"/>
      <w:r>
        <w:t xml:space="preserve">. </w:t>
      </w:r>
      <w:r w:rsidR="00ED289A" w:rsidRPr="001832D4">
        <w:t>Summary of salt flux (tonnes) though barrages, Murray mouth, Long Point (</w:t>
      </w:r>
      <w:r w:rsidR="00ED289A">
        <w:t>N</w:t>
      </w:r>
      <w:r w:rsidR="00ED289A" w:rsidRPr="001832D4">
        <w:t xml:space="preserve">orth </w:t>
      </w:r>
      <w:r w:rsidR="00ED289A">
        <w:t>Lagoon</w:t>
      </w:r>
      <w:r w:rsidR="00ED289A" w:rsidRPr="001832D4">
        <w:t>) and Parnka Point (</w:t>
      </w:r>
      <w:r w:rsidR="00ED289A">
        <w:t>South Lagoon)</w:t>
      </w:r>
      <w:r w:rsidR="00ED289A" w:rsidRPr="001832D4">
        <w:t xml:space="preserve"> </w:t>
      </w:r>
      <w:r w:rsidR="00ED289A">
        <w:t>in 2020-21.</w:t>
      </w:r>
      <w:bookmarkEnd w:id="164"/>
    </w:p>
    <w:tbl>
      <w:tblPr>
        <w:tblStyle w:val="GridTable5Dark-Accent11"/>
        <w:tblW w:w="7933" w:type="dxa"/>
        <w:jc w:val="center"/>
        <w:tblLook w:val="04A0" w:firstRow="1" w:lastRow="0" w:firstColumn="1" w:lastColumn="0" w:noHBand="0" w:noVBand="1"/>
      </w:tblPr>
      <w:tblGrid>
        <w:gridCol w:w="2547"/>
        <w:gridCol w:w="3544"/>
        <w:gridCol w:w="1842"/>
      </w:tblGrid>
      <w:tr w:rsidR="005F4372" w:rsidRPr="00B06F93" w14:paraId="775E41EF" w14:textId="77777777" w:rsidTr="00AA483E">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auto"/>
              <w:bottom w:val="single" w:sz="4" w:space="0" w:color="auto"/>
            </w:tcBorders>
            <w:shd w:val="clear" w:color="auto" w:fill="auto"/>
            <w:hideMark/>
          </w:tcPr>
          <w:p w14:paraId="4325A053" w14:textId="77777777" w:rsidR="005F4372" w:rsidRPr="00B06F93" w:rsidRDefault="005F4372" w:rsidP="005F4372">
            <w:pPr>
              <w:contextualSpacing/>
              <w:rPr>
                <w:rFonts w:cs="Calibri"/>
                <w:sz w:val="18"/>
                <w:szCs w:val="18"/>
              </w:rPr>
            </w:pPr>
            <w:r w:rsidRPr="00B06F93">
              <w:rPr>
                <w:rFonts w:cs="Calibri"/>
                <w:sz w:val="18"/>
                <w:szCs w:val="18"/>
              </w:rPr>
              <w:t>Site</w:t>
            </w:r>
          </w:p>
        </w:tc>
        <w:tc>
          <w:tcPr>
            <w:tcW w:w="3544" w:type="dxa"/>
            <w:tcBorders>
              <w:top w:val="single" w:sz="4" w:space="0" w:color="auto"/>
              <w:bottom w:val="single" w:sz="4" w:space="0" w:color="auto"/>
            </w:tcBorders>
            <w:shd w:val="clear" w:color="auto" w:fill="auto"/>
            <w:hideMark/>
          </w:tcPr>
          <w:p w14:paraId="15847B61" w14:textId="77777777" w:rsidR="005F4372" w:rsidRPr="00B06F93" w:rsidRDefault="005F4372" w:rsidP="005F4372">
            <w:pPr>
              <w:contextualSpacing/>
              <w:cnfStyle w:val="100000000000" w:firstRow="1"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Scenario</w:t>
            </w:r>
          </w:p>
        </w:tc>
        <w:tc>
          <w:tcPr>
            <w:tcW w:w="1842" w:type="dxa"/>
            <w:tcBorders>
              <w:top w:val="single" w:sz="4" w:space="0" w:color="auto"/>
              <w:bottom w:val="single" w:sz="4" w:space="0" w:color="auto"/>
            </w:tcBorders>
            <w:shd w:val="clear" w:color="auto" w:fill="auto"/>
            <w:hideMark/>
          </w:tcPr>
          <w:p w14:paraId="167DE8F2" w14:textId="1892C0E7" w:rsidR="005F4372" w:rsidRPr="00B06F93" w:rsidRDefault="00C47EC3" w:rsidP="005F4372">
            <w:pPr>
              <w:contextualSpacing/>
              <w:jc w:val="right"/>
              <w:cnfStyle w:val="100000000000" w:firstRow="1"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Salt flux (tonnes)</w:t>
            </w:r>
          </w:p>
        </w:tc>
      </w:tr>
      <w:tr w:rsidR="005F4372" w:rsidRPr="00B06F93" w14:paraId="5FA6C5C1"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tcBorders>
              <w:top w:val="single" w:sz="4" w:space="0" w:color="auto"/>
            </w:tcBorders>
            <w:shd w:val="clear" w:color="auto" w:fill="auto"/>
            <w:hideMark/>
          </w:tcPr>
          <w:p w14:paraId="76146C9A" w14:textId="77777777" w:rsidR="005F4372" w:rsidRPr="00B06F93" w:rsidRDefault="005F4372" w:rsidP="005F4372">
            <w:pPr>
              <w:contextualSpacing/>
              <w:rPr>
                <w:rFonts w:cs="Calibri"/>
                <w:sz w:val="18"/>
                <w:szCs w:val="18"/>
              </w:rPr>
            </w:pPr>
            <w:r w:rsidRPr="00B06F93">
              <w:rPr>
                <w:rFonts w:cs="Calibri"/>
                <w:sz w:val="18"/>
                <w:szCs w:val="18"/>
              </w:rPr>
              <w:t>Barrages (from lakes to Coorong)</w:t>
            </w:r>
          </w:p>
        </w:tc>
        <w:tc>
          <w:tcPr>
            <w:tcW w:w="3544" w:type="dxa"/>
            <w:tcBorders>
              <w:top w:val="single" w:sz="4" w:space="0" w:color="auto"/>
            </w:tcBorders>
            <w:shd w:val="clear" w:color="auto" w:fill="auto"/>
            <w:hideMark/>
          </w:tcPr>
          <w:p w14:paraId="089736AD"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 xml:space="preserve">With </w:t>
            </w:r>
            <w:r w:rsidRPr="005F4372">
              <w:rPr>
                <w:rFonts w:cs="Calibri"/>
                <w:sz w:val="18"/>
                <w:szCs w:val="18"/>
              </w:rPr>
              <w:t>all w</w:t>
            </w:r>
            <w:r w:rsidRPr="00B06F93">
              <w:rPr>
                <w:rFonts w:cs="Calibri"/>
                <w:sz w:val="18"/>
                <w:szCs w:val="18"/>
              </w:rPr>
              <w:t>ater</w:t>
            </w:r>
          </w:p>
        </w:tc>
        <w:tc>
          <w:tcPr>
            <w:tcW w:w="1842" w:type="dxa"/>
            <w:tcBorders>
              <w:top w:val="single" w:sz="4" w:space="0" w:color="auto"/>
            </w:tcBorders>
            <w:shd w:val="clear" w:color="auto" w:fill="auto"/>
            <w:noWrap/>
            <w:hideMark/>
          </w:tcPr>
          <w:p w14:paraId="2C193F86"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1</w:t>
            </w:r>
            <w:r>
              <w:rPr>
                <w:rFonts w:cs="Calibri"/>
                <w:sz w:val="18"/>
                <w:szCs w:val="18"/>
              </w:rPr>
              <w:t>,</w:t>
            </w:r>
            <w:r w:rsidRPr="00B06F93">
              <w:rPr>
                <w:rFonts w:cs="Calibri"/>
                <w:sz w:val="18"/>
                <w:szCs w:val="18"/>
              </w:rPr>
              <w:t>846</w:t>
            </w:r>
            <w:r>
              <w:rPr>
                <w:rFonts w:cs="Calibri"/>
                <w:sz w:val="18"/>
                <w:szCs w:val="18"/>
              </w:rPr>
              <w:t>,</w:t>
            </w:r>
            <w:r w:rsidRPr="00B06F93">
              <w:rPr>
                <w:rFonts w:cs="Calibri"/>
                <w:sz w:val="18"/>
                <w:szCs w:val="18"/>
              </w:rPr>
              <w:t>289</w:t>
            </w:r>
          </w:p>
        </w:tc>
      </w:tr>
      <w:tr w:rsidR="005F4372" w:rsidRPr="00B06F93" w14:paraId="304DCA59"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1BFD614C" w14:textId="77777777" w:rsidR="005F4372" w:rsidRPr="00B06F93" w:rsidRDefault="005F4372" w:rsidP="005F4372">
            <w:pPr>
              <w:contextualSpacing/>
              <w:rPr>
                <w:rFonts w:cs="Calibri"/>
                <w:sz w:val="18"/>
                <w:szCs w:val="18"/>
              </w:rPr>
            </w:pPr>
          </w:p>
        </w:tc>
        <w:tc>
          <w:tcPr>
            <w:tcW w:w="3544" w:type="dxa"/>
            <w:shd w:val="clear" w:color="auto" w:fill="auto"/>
            <w:hideMark/>
          </w:tcPr>
          <w:p w14:paraId="628A4E77"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CEW 4 years (07/2017 - 07/2021)</w:t>
            </w:r>
          </w:p>
        </w:tc>
        <w:tc>
          <w:tcPr>
            <w:tcW w:w="1842" w:type="dxa"/>
            <w:shd w:val="clear" w:color="auto" w:fill="auto"/>
            <w:noWrap/>
            <w:hideMark/>
          </w:tcPr>
          <w:p w14:paraId="6EF10B5C"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774</w:t>
            </w:r>
            <w:r>
              <w:rPr>
                <w:rFonts w:cs="Calibri"/>
                <w:sz w:val="18"/>
                <w:szCs w:val="18"/>
              </w:rPr>
              <w:t>,</w:t>
            </w:r>
            <w:r w:rsidRPr="00B06F93">
              <w:rPr>
                <w:rFonts w:cs="Calibri"/>
                <w:sz w:val="18"/>
                <w:szCs w:val="18"/>
              </w:rPr>
              <w:t>436</w:t>
            </w:r>
          </w:p>
        </w:tc>
      </w:tr>
      <w:tr w:rsidR="005F4372" w:rsidRPr="00B06F93" w14:paraId="5E997337"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335890F9" w14:textId="77777777" w:rsidR="005F4372" w:rsidRPr="00B06F93" w:rsidRDefault="005F4372" w:rsidP="005F4372">
            <w:pPr>
              <w:contextualSpacing/>
              <w:rPr>
                <w:rFonts w:cs="Calibri"/>
                <w:sz w:val="18"/>
                <w:szCs w:val="18"/>
              </w:rPr>
            </w:pPr>
          </w:p>
        </w:tc>
        <w:tc>
          <w:tcPr>
            <w:tcW w:w="3544" w:type="dxa"/>
            <w:shd w:val="clear" w:color="auto" w:fill="auto"/>
            <w:hideMark/>
          </w:tcPr>
          <w:p w14:paraId="67BE75B9"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eWater 4 years (07/2017 - 07/2021)</w:t>
            </w:r>
          </w:p>
        </w:tc>
        <w:tc>
          <w:tcPr>
            <w:tcW w:w="1842" w:type="dxa"/>
            <w:shd w:val="clear" w:color="auto" w:fill="auto"/>
            <w:noWrap/>
            <w:hideMark/>
          </w:tcPr>
          <w:p w14:paraId="10B72F2C"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620</w:t>
            </w:r>
            <w:r>
              <w:rPr>
                <w:rFonts w:cs="Calibri"/>
                <w:sz w:val="18"/>
                <w:szCs w:val="18"/>
              </w:rPr>
              <w:t>,</w:t>
            </w:r>
            <w:r w:rsidRPr="00B06F93">
              <w:rPr>
                <w:rFonts w:cs="Calibri"/>
                <w:sz w:val="18"/>
                <w:szCs w:val="18"/>
              </w:rPr>
              <w:t>843</w:t>
            </w:r>
          </w:p>
        </w:tc>
      </w:tr>
      <w:tr w:rsidR="005F4372" w:rsidRPr="00B06F93" w14:paraId="5654F052"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3FE5E2B7" w14:textId="77777777" w:rsidR="005F4372" w:rsidRPr="00B06F93" w:rsidRDefault="005F4372" w:rsidP="005F4372">
            <w:pPr>
              <w:contextualSpacing/>
              <w:rPr>
                <w:rFonts w:cs="Calibri"/>
                <w:sz w:val="18"/>
                <w:szCs w:val="18"/>
              </w:rPr>
            </w:pPr>
          </w:p>
        </w:tc>
        <w:tc>
          <w:tcPr>
            <w:tcW w:w="3544" w:type="dxa"/>
            <w:shd w:val="clear" w:color="auto" w:fill="auto"/>
            <w:hideMark/>
          </w:tcPr>
          <w:p w14:paraId="7137693C"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CEW 1 year (07/2020 - 07/2021)</w:t>
            </w:r>
          </w:p>
        </w:tc>
        <w:tc>
          <w:tcPr>
            <w:tcW w:w="1842" w:type="dxa"/>
            <w:shd w:val="clear" w:color="auto" w:fill="auto"/>
            <w:noWrap/>
            <w:hideMark/>
          </w:tcPr>
          <w:p w14:paraId="75CD0C11"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774</w:t>
            </w:r>
            <w:r>
              <w:rPr>
                <w:rFonts w:cs="Calibri"/>
                <w:sz w:val="18"/>
                <w:szCs w:val="18"/>
              </w:rPr>
              <w:t>,</w:t>
            </w:r>
            <w:r w:rsidRPr="00B06F93">
              <w:rPr>
                <w:rFonts w:cs="Calibri"/>
                <w:sz w:val="18"/>
                <w:szCs w:val="18"/>
              </w:rPr>
              <w:t>436</w:t>
            </w:r>
          </w:p>
        </w:tc>
      </w:tr>
      <w:tr w:rsidR="005F4372" w:rsidRPr="00B06F93" w14:paraId="5BAA8A34"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13945548" w14:textId="77777777" w:rsidR="005F4372" w:rsidRPr="00B06F93" w:rsidRDefault="005F4372" w:rsidP="005F4372">
            <w:pPr>
              <w:contextualSpacing/>
              <w:rPr>
                <w:rFonts w:cs="Calibri"/>
                <w:sz w:val="18"/>
                <w:szCs w:val="18"/>
              </w:rPr>
            </w:pPr>
          </w:p>
        </w:tc>
        <w:tc>
          <w:tcPr>
            <w:tcW w:w="3544" w:type="dxa"/>
            <w:tcBorders>
              <w:bottom w:val="single" w:sz="4" w:space="0" w:color="auto"/>
            </w:tcBorders>
            <w:shd w:val="clear" w:color="auto" w:fill="auto"/>
            <w:hideMark/>
          </w:tcPr>
          <w:p w14:paraId="3C985651"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eWater 1 year (07/2020 - 07/2021)</w:t>
            </w:r>
          </w:p>
        </w:tc>
        <w:tc>
          <w:tcPr>
            <w:tcW w:w="1842" w:type="dxa"/>
            <w:tcBorders>
              <w:bottom w:val="single" w:sz="4" w:space="0" w:color="auto"/>
            </w:tcBorders>
            <w:shd w:val="clear" w:color="auto" w:fill="auto"/>
            <w:noWrap/>
            <w:hideMark/>
          </w:tcPr>
          <w:p w14:paraId="3B342CE1"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620</w:t>
            </w:r>
            <w:r>
              <w:rPr>
                <w:rFonts w:cs="Calibri"/>
                <w:sz w:val="18"/>
                <w:szCs w:val="18"/>
              </w:rPr>
              <w:t>,</w:t>
            </w:r>
            <w:r w:rsidRPr="00B06F93">
              <w:rPr>
                <w:rFonts w:cs="Calibri"/>
                <w:sz w:val="18"/>
                <w:szCs w:val="18"/>
              </w:rPr>
              <w:t>843</w:t>
            </w:r>
          </w:p>
        </w:tc>
      </w:tr>
      <w:tr w:rsidR="005F4372" w:rsidRPr="00B06F93" w14:paraId="47C294EC"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tcBorders>
              <w:top w:val="single" w:sz="4" w:space="0" w:color="auto"/>
            </w:tcBorders>
            <w:shd w:val="clear" w:color="auto" w:fill="auto"/>
            <w:hideMark/>
          </w:tcPr>
          <w:p w14:paraId="3884DE42" w14:textId="77777777" w:rsidR="005F4372" w:rsidRPr="00B06F93" w:rsidRDefault="005F4372" w:rsidP="005F4372">
            <w:pPr>
              <w:contextualSpacing/>
              <w:rPr>
                <w:rFonts w:cs="Calibri"/>
                <w:sz w:val="18"/>
                <w:szCs w:val="18"/>
              </w:rPr>
            </w:pPr>
            <w:r w:rsidRPr="00B06F93">
              <w:rPr>
                <w:rFonts w:cs="Calibri"/>
                <w:sz w:val="18"/>
                <w:szCs w:val="18"/>
              </w:rPr>
              <w:t>Murray Mouth (from Southern Ocean to Coorong)</w:t>
            </w:r>
          </w:p>
        </w:tc>
        <w:tc>
          <w:tcPr>
            <w:tcW w:w="3544" w:type="dxa"/>
            <w:tcBorders>
              <w:top w:val="single" w:sz="4" w:space="0" w:color="auto"/>
            </w:tcBorders>
            <w:shd w:val="clear" w:color="auto" w:fill="auto"/>
            <w:hideMark/>
          </w:tcPr>
          <w:p w14:paraId="5C4F5CFF"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With all water</w:t>
            </w:r>
          </w:p>
        </w:tc>
        <w:tc>
          <w:tcPr>
            <w:tcW w:w="1842" w:type="dxa"/>
            <w:tcBorders>
              <w:top w:val="single" w:sz="4" w:space="0" w:color="auto"/>
            </w:tcBorders>
            <w:shd w:val="clear" w:color="auto" w:fill="auto"/>
            <w:noWrap/>
            <w:hideMark/>
          </w:tcPr>
          <w:p w14:paraId="6BAF865D"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-268</w:t>
            </w:r>
            <w:r>
              <w:rPr>
                <w:rFonts w:cs="Calibri"/>
                <w:sz w:val="18"/>
                <w:szCs w:val="18"/>
              </w:rPr>
              <w:t>,</w:t>
            </w:r>
            <w:r w:rsidRPr="00B06F93">
              <w:rPr>
                <w:rFonts w:cs="Calibri"/>
                <w:sz w:val="18"/>
                <w:szCs w:val="18"/>
              </w:rPr>
              <w:t>730</w:t>
            </w:r>
          </w:p>
        </w:tc>
      </w:tr>
      <w:tr w:rsidR="005F4372" w:rsidRPr="00B06F93" w14:paraId="5E7AEA01"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0ED7F462" w14:textId="77777777" w:rsidR="005F4372" w:rsidRPr="00B06F93" w:rsidRDefault="005F4372" w:rsidP="005F4372">
            <w:pPr>
              <w:contextualSpacing/>
              <w:rPr>
                <w:rFonts w:cs="Calibri"/>
                <w:sz w:val="18"/>
                <w:szCs w:val="18"/>
              </w:rPr>
            </w:pPr>
          </w:p>
        </w:tc>
        <w:tc>
          <w:tcPr>
            <w:tcW w:w="3544" w:type="dxa"/>
            <w:shd w:val="clear" w:color="auto" w:fill="auto"/>
            <w:hideMark/>
          </w:tcPr>
          <w:p w14:paraId="0DC7147E"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CEW 4 years (07/2017 - 07/2021)</w:t>
            </w:r>
          </w:p>
        </w:tc>
        <w:tc>
          <w:tcPr>
            <w:tcW w:w="1842" w:type="dxa"/>
            <w:shd w:val="clear" w:color="auto" w:fill="auto"/>
            <w:noWrap/>
            <w:hideMark/>
          </w:tcPr>
          <w:p w14:paraId="2969E4CA"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2</w:t>
            </w:r>
            <w:r>
              <w:rPr>
                <w:rFonts w:cs="Calibri"/>
                <w:sz w:val="18"/>
                <w:szCs w:val="18"/>
              </w:rPr>
              <w:t>,</w:t>
            </w:r>
            <w:r w:rsidRPr="00B06F93">
              <w:rPr>
                <w:rFonts w:cs="Calibri"/>
                <w:sz w:val="18"/>
                <w:szCs w:val="18"/>
              </w:rPr>
              <w:t>948</w:t>
            </w:r>
            <w:r>
              <w:rPr>
                <w:rFonts w:cs="Calibri"/>
                <w:sz w:val="18"/>
                <w:szCs w:val="18"/>
              </w:rPr>
              <w:t>,</w:t>
            </w:r>
            <w:r w:rsidRPr="00B06F93">
              <w:rPr>
                <w:rFonts w:cs="Calibri"/>
                <w:sz w:val="18"/>
                <w:szCs w:val="18"/>
              </w:rPr>
              <w:t>191</w:t>
            </w:r>
          </w:p>
        </w:tc>
      </w:tr>
      <w:tr w:rsidR="005F4372" w:rsidRPr="00B06F93" w14:paraId="66E954D8"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2C70134A" w14:textId="77777777" w:rsidR="005F4372" w:rsidRPr="00B06F93" w:rsidRDefault="005F4372" w:rsidP="005F4372">
            <w:pPr>
              <w:contextualSpacing/>
              <w:rPr>
                <w:rFonts w:cs="Calibri"/>
                <w:sz w:val="18"/>
                <w:szCs w:val="18"/>
              </w:rPr>
            </w:pPr>
          </w:p>
        </w:tc>
        <w:tc>
          <w:tcPr>
            <w:tcW w:w="3544" w:type="dxa"/>
            <w:shd w:val="clear" w:color="auto" w:fill="auto"/>
            <w:hideMark/>
          </w:tcPr>
          <w:p w14:paraId="62A0B913"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eWater 4 years (07/2017 - 07/2021)</w:t>
            </w:r>
          </w:p>
        </w:tc>
        <w:tc>
          <w:tcPr>
            <w:tcW w:w="1842" w:type="dxa"/>
            <w:shd w:val="clear" w:color="auto" w:fill="auto"/>
            <w:noWrap/>
            <w:hideMark/>
          </w:tcPr>
          <w:p w14:paraId="4AE8FAC6"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512</w:t>
            </w:r>
            <w:r>
              <w:rPr>
                <w:rFonts w:cs="Calibri"/>
                <w:sz w:val="18"/>
                <w:szCs w:val="18"/>
              </w:rPr>
              <w:t>,</w:t>
            </w:r>
            <w:r w:rsidRPr="00B06F93">
              <w:rPr>
                <w:rFonts w:cs="Calibri"/>
                <w:sz w:val="18"/>
                <w:szCs w:val="18"/>
              </w:rPr>
              <w:t>169</w:t>
            </w:r>
          </w:p>
        </w:tc>
      </w:tr>
      <w:tr w:rsidR="005F4372" w:rsidRPr="00B06F93" w14:paraId="57C46A36"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2068D749" w14:textId="77777777" w:rsidR="005F4372" w:rsidRPr="00B06F93" w:rsidRDefault="005F4372" w:rsidP="005F4372">
            <w:pPr>
              <w:contextualSpacing/>
              <w:rPr>
                <w:rFonts w:cs="Calibri"/>
                <w:sz w:val="18"/>
                <w:szCs w:val="18"/>
              </w:rPr>
            </w:pPr>
          </w:p>
        </w:tc>
        <w:tc>
          <w:tcPr>
            <w:tcW w:w="3544" w:type="dxa"/>
            <w:shd w:val="clear" w:color="auto" w:fill="auto"/>
            <w:hideMark/>
          </w:tcPr>
          <w:p w14:paraId="7117C5D0"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CEW 1 year (07/2020 - 07/2021)</w:t>
            </w:r>
          </w:p>
        </w:tc>
        <w:tc>
          <w:tcPr>
            <w:tcW w:w="1842" w:type="dxa"/>
            <w:shd w:val="clear" w:color="auto" w:fill="auto"/>
            <w:noWrap/>
            <w:hideMark/>
          </w:tcPr>
          <w:p w14:paraId="380CA28A"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963</w:t>
            </w:r>
            <w:r>
              <w:rPr>
                <w:rFonts w:cs="Calibri"/>
                <w:sz w:val="18"/>
                <w:szCs w:val="18"/>
              </w:rPr>
              <w:t>,</w:t>
            </w:r>
            <w:r w:rsidRPr="00B06F93">
              <w:rPr>
                <w:rFonts w:cs="Calibri"/>
                <w:sz w:val="18"/>
                <w:szCs w:val="18"/>
              </w:rPr>
              <w:t>604</w:t>
            </w:r>
          </w:p>
        </w:tc>
      </w:tr>
      <w:tr w:rsidR="005F4372" w:rsidRPr="00B06F93" w14:paraId="37D00493"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252B90E8" w14:textId="77777777" w:rsidR="005F4372" w:rsidRPr="00B06F93" w:rsidRDefault="005F4372" w:rsidP="005F4372">
            <w:pPr>
              <w:contextualSpacing/>
              <w:rPr>
                <w:rFonts w:cs="Calibri"/>
                <w:sz w:val="18"/>
                <w:szCs w:val="18"/>
              </w:rPr>
            </w:pPr>
          </w:p>
        </w:tc>
        <w:tc>
          <w:tcPr>
            <w:tcW w:w="3544" w:type="dxa"/>
            <w:tcBorders>
              <w:bottom w:val="single" w:sz="4" w:space="0" w:color="auto"/>
            </w:tcBorders>
            <w:shd w:val="clear" w:color="auto" w:fill="auto"/>
            <w:hideMark/>
          </w:tcPr>
          <w:p w14:paraId="1362CE5B"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eWater 1 year (07/2020 - 07/2021)</w:t>
            </w:r>
          </w:p>
        </w:tc>
        <w:tc>
          <w:tcPr>
            <w:tcW w:w="1842" w:type="dxa"/>
            <w:tcBorders>
              <w:bottom w:val="single" w:sz="4" w:space="0" w:color="auto"/>
            </w:tcBorders>
            <w:shd w:val="clear" w:color="auto" w:fill="auto"/>
            <w:noWrap/>
            <w:hideMark/>
          </w:tcPr>
          <w:p w14:paraId="509323C4"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4</w:t>
            </w:r>
            <w:r>
              <w:rPr>
                <w:rFonts w:cs="Calibri"/>
                <w:sz w:val="18"/>
                <w:szCs w:val="18"/>
              </w:rPr>
              <w:t>,</w:t>
            </w:r>
            <w:r w:rsidRPr="00B06F93">
              <w:rPr>
                <w:rFonts w:cs="Calibri"/>
                <w:sz w:val="18"/>
                <w:szCs w:val="18"/>
              </w:rPr>
              <w:t>570</w:t>
            </w:r>
            <w:r>
              <w:rPr>
                <w:rFonts w:cs="Calibri"/>
                <w:sz w:val="18"/>
                <w:szCs w:val="18"/>
              </w:rPr>
              <w:t>,</w:t>
            </w:r>
            <w:r w:rsidRPr="00B06F93">
              <w:rPr>
                <w:rFonts w:cs="Calibri"/>
                <w:sz w:val="18"/>
                <w:szCs w:val="18"/>
              </w:rPr>
              <w:t>048</w:t>
            </w:r>
          </w:p>
        </w:tc>
      </w:tr>
      <w:tr w:rsidR="005F4372" w:rsidRPr="00B06F93" w14:paraId="01B237CA"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tcBorders>
              <w:top w:val="single" w:sz="4" w:space="0" w:color="auto"/>
            </w:tcBorders>
            <w:shd w:val="clear" w:color="auto" w:fill="auto"/>
            <w:hideMark/>
          </w:tcPr>
          <w:p w14:paraId="424C443C" w14:textId="7BE7F504" w:rsidR="005F4372" w:rsidRPr="00B06F93" w:rsidRDefault="005F4372" w:rsidP="005F4372">
            <w:pPr>
              <w:contextualSpacing/>
              <w:rPr>
                <w:rFonts w:cs="Calibri"/>
                <w:sz w:val="18"/>
                <w:szCs w:val="18"/>
              </w:rPr>
            </w:pPr>
            <w:r w:rsidRPr="00B06F93">
              <w:rPr>
                <w:rFonts w:cs="Calibri"/>
                <w:sz w:val="18"/>
                <w:szCs w:val="18"/>
              </w:rPr>
              <w:t xml:space="preserve">North </w:t>
            </w:r>
            <w:r>
              <w:rPr>
                <w:rFonts w:cs="Calibri"/>
                <w:sz w:val="18"/>
                <w:szCs w:val="18"/>
              </w:rPr>
              <w:t>Lagoon</w:t>
            </w:r>
            <w:r w:rsidRPr="00B06F93">
              <w:rPr>
                <w:rFonts w:cs="Calibri"/>
                <w:sz w:val="18"/>
                <w:szCs w:val="18"/>
              </w:rPr>
              <w:t xml:space="preserve"> (southward)</w:t>
            </w:r>
          </w:p>
        </w:tc>
        <w:tc>
          <w:tcPr>
            <w:tcW w:w="3544" w:type="dxa"/>
            <w:tcBorders>
              <w:top w:val="single" w:sz="4" w:space="0" w:color="auto"/>
            </w:tcBorders>
            <w:shd w:val="clear" w:color="auto" w:fill="auto"/>
            <w:hideMark/>
          </w:tcPr>
          <w:p w14:paraId="02E27A8E"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With all water</w:t>
            </w:r>
          </w:p>
        </w:tc>
        <w:tc>
          <w:tcPr>
            <w:tcW w:w="1842" w:type="dxa"/>
            <w:tcBorders>
              <w:top w:val="single" w:sz="4" w:space="0" w:color="auto"/>
            </w:tcBorders>
            <w:shd w:val="clear" w:color="auto" w:fill="auto"/>
            <w:noWrap/>
            <w:hideMark/>
          </w:tcPr>
          <w:p w14:paraId="45845B5F"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1</w:t>
            </w:r>
            <w:r>
              <w:rPr>
                <w:rFonts w:cs="Calibri"/>
                <w:sz w:val="18"/>
                <w:szCs w:val="18"/>
              </w:rPr>
              <w:t>,</w:t>
            </w:r>
            <w:r w:rsidRPr="00B06F93">
              <w:rPr>
                <w:rFonts w:cs="Calibri"/>
                <w:sz w:val="18"/>
                <w:szCs w:val="18"/>
              </w:rPr>
              <w:t>189</w:t>
            </w:r>
            <w:r>
              <w:rPr>
                <w:rFonts w:cs="Calibri"/>
                <w:sz w:val="18"/>
                <w:szCs w:val="18"/>
              </w:rPr>
              <w:t>,</w:t>
            </w:r>
            <w:r w:rsidRPr="00B06F93">
              <w:rPr>
                <w:rFonts w:cs="Calibri"/>
                <w:sz w:val="18"/>
                <w:szCs w:val="18"/>
              </w:rPr>
              <w:t>661</w:t>
            </w:r>
          </w:p>
        </w:tc>
      </w:tr>
      <w:tr w:rsidR="005F4372" w:rsidRPr="00B06F93" w14:paraId="4E919E7E"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2D12F68F" w14:textId="77777777" w:rsidR="005F4372" w:rsidRPr="00B06F93" w:rsidRDefault="005F4372" w:rsidP="005F4372">
            <w:pPr>
              <w:contextualSpacing/>
              <w:rPr>
                <w:rFonts w:cs="Calibri"/>
                <w:sz w:val="18"/>
                <w:szCs w:val="18"/>
              </w:rPr>
            </w:pPr>
          </w:p>
        </w:tc>
        <w:tc>
          <w:tcPr>
            <w:tcW w:w="3544" w:type="dxa"/>
            <w:shd w:val="clear" w:color="auto" w:fill="auto"/>
            <w:hideMark/>
          </w:tcPr>
          <w:p w14:paraId="4B898BF1"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CEW 4 years (07/2017 - 07/2021)</w:t>
            </w:r>
          </w:p>
        </w:tc>
        <w:tc>
          <w:tcPr>
            <w:tcW w:w="1842" w:type="dxa"/>
            <w:shd w:val="clear" w:color="auto" w:fill="auto"/>
            <w:noWrap/>
            <w:hideMark/>
          </w:tcPr>
          <w:p w14:paraId="76CA6BAC"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540</w:t>
            </w:r>
            <w:r>
              <w:rPr>
                <w:rFonts w:cs="Calibri"/>
                <w:sz w:val="18"/>
                <w:szCs w:val="18"/>
              </w:rPr>
              <w:t>,</w:t>
            </w:r>
            <w:r w:rsidRPr="00B06F93">
              <w:rPr>
                <w:rFonts w:cs="Calibri"/>
                <w:sz w:val="18"/>
                <w:szCs w:val="18"/>
              </w:rPr>
              <w:t>085</w:t>
            </w:r>
          </w:p>
        </w:tc>
      </w:tr>
      <w:tr w:rsidR="005F4372" w:rsidRPr="00B06F93" w14:paraId="73E1F029"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437A2F1A" w14:textId="77777777" w:rsidR="005F4372" w:rsidRPr="00B06F93" w:rsidRDefault="005F4372" w:rsidP="005F4372">
            <w:pPr>
              <w:contextualSpacing/>
              <w:rPr>
                <w:rFonts w:cs="Calibri"/>
                <w:sz w:val="18"/>
                <w:szCs w:val="18"/>
              </w:rPr>
            </w:pPr>
          </w:p>
        </w:tc>
        <w:tc>
          <w:tcPr>
            <w:tcW w:w="3544" w:type="dxa"/>
            <w:shd w:val="clear" w:color="auto" w:fill="auto"/>
            <w:hideMark/>
          </w:tcPr>
          <w:p w14:paraId="416DBE6E"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eWater 4 years (07/2017 - 07/2021)</w:t>
            </w:r>
          </w:p>
        </w:tc>
        <w:tc>
          <w:tcPr>
            <w:tcW w:w="1842" w:type="dxa"/>
            <w:shd w:val="clear" w:color="auto" w:fill="auto"/>
            <w:noWrap/>
            <w:hideMark/>
          </w:tcPr>
          <w:p w14:paraId="2A2F4E77"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886</w:t>
            </w:r>
            <w:r>
              <w:rPr>
                <w:rFonts w:cs="Calibri"/>
                <w:sz w:val="18"/>
                <w:szCs w:val="18"/>
              </w:rPr>
              <w:t>,</w:t>
            </w:r>
            <w:r w:rsidRPr="00B06F93">
              <w:rPr>
                <w:rFonts w:cs="Calibri"/>
                <w:sz w:val="18"/>
                <w:szCs w:val="18"/>
              </w:rPr>
              <w:t>882</w:t>
            </w:r>
          </w:p>
        </w:tc>
      </w:tr>
      <w:tr w:rsidR="005F4372" w:rsidRPr="00B06F93" w14:paraId="3C206256"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auto"/>
            <w:hideMark/>
          </w:tcPr>
          <w:p w14:paraId="3DC7594B" w14:textId="77777777" w:rsidR="005F4372" w:rsidRPr="00B06F93" w:rsidRDefault="005F4372" w:rsidP="005F4372">
            <w:pPr>
              <w:contextualSpacing/>
              <w:rPr>
                <w:rFonts w:cs="Calibri"/>
                <w:sz w:val="18"/>
                <w:szCs w:val="18"/>
              </w:rPr>
            </w:pPr>
          </w:p>
        </w:tc>
        <w:tc>
          <w:tcPr>
            <w:tcW w:w="3544" w:type="dxa"/>
            <w:shd w:val="clear" w:color="auto" w:fill="auto"/>
            <w:hideMark/>
          </w:tcPr>
          <w:p w14:paraId="23B96A97"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CEW 1 year (07/2020 - 07/2021)</w:t>
            </w:r>
          </w:p>
        </w:tc>
        <w:tc>
          <w:tcPr>
            <w:tcW w:w="1842" w:type="dxa"/>
            <w:shd w:val="clear" w:color="auto" w:fill="auto"/>
            <w:noWrap/>
            <w:hideMark/>
          </w:tcPr>
          <w:p w14:paraId="1B3ADC41"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4</w:t>
            </w:r>
            <w:r>
              <w:rPr>
                <w:rFonts w:cs="Calibri"/>
                <w:sz w:val="18"/>
                <w:szCs w:val="18"/>
              </w:rPr>
              <w:t>,</w:t>
            </w:r>
            <w:r w:rsidRPr="00B06F93">
              <w:rPr>
                <w:rFonts w:cs="Calibri"/>
                <w:sz w:val="18"/>
                <w:szCs w:val="18"/>
              </w:rPr>
              <w:t>030</w:t>
            </w:r>
            <w:r>
              <w:rPr>
                <w:rFonts w:cs="Calibri"/>
                <w:sz w:val="18"/>
                <w:szCs w:val="18"/>
              </w:rPr>
              <w:t>,</w:t>
            </w:r>
            <w:r w:rsidRPr="00B06F93">
              <w:rPr>
                <w:rFonts w:cs="Calibri"/>
                <w:sz w:val="18"/>
                <w:szCs w:val="18"/>
              </w:rPr>
              <w:t>524</w:t>
            </w:r>
          </w:p>
        </w:tc>
      </w:tr>
      <w:tr w:rsidR="005F4372" w:rsidRPr="00B06F93" w14:paraId="628F7374"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416943FA" w14:textId="77777777" w:rsidR="005F4372" w:rsidRPr="00B06F93" w:rsidRDefault="005F4372" w:rsidP="005F4372">
            <w:pPr>
              <w:contextualSpacing/>
              <w:rPr>
                <w:rFonts w:cs="Calibri"/>
                <w:sz w:val="18"/>
                <w:szCs w:val="18"/>
              </w:rPr>
            </w:pPr>
          </w:p>
        </w:tc>
        <w:tc>
          <w:tcPr>
            <w:tcW w:w="3544" w:type="dxa"/>
            <w:tcBorders>
              <w:bottom w:val="single" w:sz="4" w:space="0" w:color="auto"/>
            </w:tcBorders>
            <w:shd w:val="clear" w:color="auto" w:fill="auto"/>
            <w:hideMark/>
          </w:tcPr>
          <w:p w14:paraId="7E619346"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eWater 1 year (07/2020 - 07/2021)</w:t>
            </w:r>
          </w:p>
        </w:tc>
        <w:tc>
          <w:tcPr>
            <w:tcW w:w="1842" w:type="dxa"/>
            <w:tcBorders>
              <w:bottom w:val="single" w:sz="4" w:space="0" w:color="auto"/>
            </w:tcBorders>
            <w:shd w:val="clear" w:color="auto" w:fill="auto"/>
            <w:noWrap/>
            <w:hideMark/>
          </w:tcPr>
          <w:p w14:paraId="005BF33F"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4</w:t>
            </w:r>
            <w:r>
              <w:rPr>
                <w:rFonts w:cs="Calibri"/>
                <w:sz w:val="18"/>
                <w:szCs w:val="18"/>
              </w:rPr>
              <w:t>,</w:t>
            </w:r>
            <w:r w:rsidRPr="00B06F93">
              <w:rPr>
                <w:rFonts w:cs="Calibri"/>
                <w:sz w:val="18"/>
                <w:szCs w:val="18"/>
              </w:rPr>
              <w:t>416</w:t>
            </w:r>
            <w:r>
              <w:rPr>
                <w:rFonts w:cs="Calibri"/>
                <w:sz w:val="18"/>
                <w:szCs w:val="18"/>
              </w:rPr>
              <w:t>,</w:t>
            </w:r>
            <w:r w:rsidRPr="00B06F93">
              <w:rPr>
                <w:rFonts w:cs="Calibri"/>
                <w:sz w:val="18"/>
                <w:szCs w:val="18"/>
              </w:rPr>
              <w:t>836</w:t>
            </w:r>
          </w:p>
        </w:tc>
      </w:tr>
      <w:tr w:rsidR="005F4372" w:rsidRPr="00B06F93" w14:paraId="1E67A77C"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val="restart"/>
            <w:tcBorders>
              <w:top w:val="single" w:sz="4" w:space="0" w:color="auto"/>
              <w:bottom w:val="single" w:sz="4" w:space="0" w:color="auto"/>
            </w:tcBorders>
            <w:shd w:val="clear" w:color="auto" w:fill="auto"/>
            <w:hideMark/>
          </w:tcPr>
          <w:p w14:paraId="344D127E" w14:textId="263CCB66" w:rsidR="005F4372" w:rsidRPr="00B06F93" w:rsidRDefault="005F4372" w:rsidP="005F4372">
            <w:pPr>
              <w:contextualSpacing/>
              <w:rPr>
                <w:rFonts w:cs="Calibri"/>
                <w:sz w:val="18"/>
                <w:szCs w:val="18"/>
              </w:rPr>
            </w:pPr>
            <w:r w:rsidRPr="00B06F93">
              <w:rPr>
                <w:rFonts w:cs="Calibri"/>
                <w:sz w:val="18"/>
                <w:szCs w:val="18"/>
              </w:rPr>
              <w:t xml:space="preserve">South </w:t>
            </w:r>
            <w:r>
              <w:rPr>
                <w:rFonts w:cs="Calibri"/>
                <w:sz w:val="18"/>
                <w:szCs w:val="18"/>
              </w:rPr>
              <w:t>Lagoon</w:t>
            </w:r>
            <w:r w:rsidRPr="00B06F93">
              <w:rPr>
                <w:rFonts w:cs="Calibri"/>
                <w:sz w:val="18"/>
                <w:szCs w:val="18"/>
              </w:rPr>
              <w:t xml:space="preserve"> (southward)</w:t>
            </w:r>
          </w:p>
        </w:tc>
        <w:tc>
          <w:tcPr>
            <w:tcW w:w="3544" w:type="dxa"/>
            <w:tcBorders>
              <w:top w:val="single" w:sz="4" w:space="0" w:color="auto"/>
            </w:tcBorders>
            <w:shd w:val="clear" w:color="auto" w:fill="auto"/>
            <w:hideMark/>
          </w:tcPr>
          <w:p w14:paraId="0BCB3C7A"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With all water</w:t>
            </w:r>
          </w:p>
        </w:tc>
        <w:tc>
          <w:tcPr>
            <w:tcW w:w="1842" w:type="dxa"/>
            <w:tcBorders>
              <w:top w:val="single" w:sz="4" w:space="0" w:color="auto"/>
            </w:tcBorders>
            <w:shd w:val="clear" w:color="auto" w:fill="auto"/>
            <w:noWrap/>
            <w:hideMark/>
          </w:tcPr>
          <w:p w14:paraId="0EDBB97D"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2</w:t>
            </w:r>
            <w:r>
              <w:rPr>
                <w:rFonts w:cs="Calibri"/>
                <w:sz w:val="18"/>
                <w:szCs w:val="18"/>
              </w:rPr>
              <w:t>,</w:t>
            </w:r>
            <w:r w:rsidRPr="00B06F93">
              <w:rPr>
                <w:rFonts w:cs="Calibri"/>
                <w:sz w:val="18"/>
                <w:szCs w:val="18"/>
              </w:rPr>
              <w:t>376</w:t>
            </w:r>
            <w:r>
              <w:rPr>
                <w:rFonts w:cs="Calibri"/>
                <w:sz w:val="18"/>
                <w:szCs w:val="18"/>
              </w:rPr>
              <w:t>,</w:t>
            </w:r>
            <w:r w:rsidRPr="00B06F93">
              <w:rPr>
                <w:rFonts w:cs="Calibri"/>
                <w:sz w:val="18"/>
                <w:szCs w:val="18"/>
              </w:rPr>
              <w:t>665</w:t>
            </w:r>
          </w:p>
        </w:tc>
      </w:tr>
      <w:tr w:rsidR="005F4372" w:rsidRPr="00B06F93" w14:paraId="19E9D1BD"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099106EF" w14:textId="77777777" w:rsidR="005F4372" w:rsidRPr="00B06F93" w:rsidRDefault="005F4372" w:rsidP="005F4372">
            <w:pPr>
              <w:contextualSpacing/>
              <w:rPr>
                <w:rFonts w:cs="Calibri"/>
                <w:sz w:val="18"/>
                <w:szCs w:val="18"/>
              </w:rPr>
            </w:pPr>
          </w:p>
        </w:tc>
        <w:tc>
          <w:tcPr>
            <w:tcW w:w="3544" w:type="dxa"/>
            <w:shd w:val="clear" w:color="auto" w:fill="auto"/>
            <w:hideMark/>
          </w:tcPr>
          <w:p w14:paraId="1BC3ABDC"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CEW 4 years (07/2017 - 07/2021)</w:t>
            </w:r>
          </w:p>
        </w:tc>
        <w:tc>
          <w:tcPr>
            <w:tcW w:w="1842" w:type="dxa"/>
            <w:shd w:val="clear" w:color="auto" w:fill="auto"/>
            <w:noWrap/>
            <w:hideMark/>
          </w:tcPr>
          <w:p w14:paraId="3CA4D0C4"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4</w:t>
            </w:r>
            <w:r>
              <w:rPr>
                <w:rFonts w:cs="Calibri"/>
                <w:sz w:val="18"/>
                <w:szCs w:val="18"/>
              </w:rPr>
              <w:t>,</w:t>
            </w:r>
            <w:r w:rsidRPr="00B06F93">
              <w:rPr>
                <w:rFonts w:cs="Calibri"/>
                <w:sz w:val="18"/>
                <w:szCs w:val="18"/>
              </w:rPr>
              <w:t>439</w:t>
            </w:r>
            <w:r>
              <w:rPr>
                <w:rFonts w:cs="Calibri"/>
                <w:sz w:val="18"/>
                <w:szCs w:val="18"/>
              </w:rPr>
              <w:t>,</w:t>
            </w:r>
            <w:r w:rsidRPr="00B06F93">
              <w:rPr>
                <w:rFonts w:cs="Calibri"/>
                <w:sz w:val="18"/>
                <w:szCs w:val="18"/>
              </w:rPr>
              <w:t>346</w:t>
            </w:r>
          </w:p>
        </w:tc>
      </w:tr>
      <w:tr w:rsidR="005F4372" w:rsidRPr="00B06F93" w14:paraId="07D6747C"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3A1FEDAB" w14:textId="77777777" w:rsidR="005F4372" w:rsidRPr="00B06F93" w:rsidRDefault="005F4372" w:rsidP="005F4372">
            <w:pPr>
              <w:contextualSpacing/>
              <w:rPr>
                <w:rFonts w:cs="Calibri"/>
                <w:sz w:val="18"/>
                <w:szCs w:val="18"/>
              </w:rPr>
            </w:pPr>
          </w:p>
        </w:tc>
        <w:tc>
          <w:tcPr>
            <w:tcW w:w="3544" w:type="dxa"/>
            <w:shd w:val="clear" w:color="auto" w:fill="auto"/>
            <w:hideMark/>
          </w:tcPr>
          <w:p w14:paraId="75ED80D3"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eWater 4 years (07/2017 - 07/2021)</w:t>
            </w:r>
          </w:p>
        </w:tc>
        <w:tc>
          <w:tcPr>
            <w:tcW w:w="1842" w:type="dxa"/>
            <w:shd w:val="clear" w:color="auto" w:fill="auto"/>
            <w:noWrap/>
            <w:hideMark/>
          </w:tcPr>
          <w:p w14:paraId="33741856"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4</w:t>
            </w:r>
            <w:r>
              <w:rPr>
                <w:rFonts w:cs="Calibri"/>
                <w:sz w:val="18"/>
                <w:szCs w:val="18"/>
              </w:rPr>
              <w:t>,</w:t>
            </w:r>
            <w:r w:rsidRPr="00B06F93">
              <w:rPr>
                <w:rFonts w:cs="Calibri"/>
                <w:sz w:val="18"/>
                <w:szCs w:val="18"/>
              </w:rPr>
              <w:t>672</w:t>
            </w:r>
            <w:r>
              <w:rPr>
                <w:rFonts w:cs="Calibri"/>
                <w:sz w:val="18"/>
                <w:szCs w:val="18"/>
              </w:rPr>
              <w:t>,</w:t>
            </w:r>
            <w:r w:rsidRPr="00B06F93">
              <w:rPr>
                <w:rFonts w:cs="Calibri"/>
                <w:sz w:val="18"/>
                <w:szCs w:val="18"/>
              </w:rPr>
              <w:t>910</w:t>
            </w:r>
          </w:p>
        </w:tc>
      </w:tr>
      <w:tr w:rsidR="005F4372" w:rsidRPr="00B06F93" w14:paraId="3F9E9CE4" w14:textId="77777777" w:rsidTr="00C47EC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493F7956" w14:textId="77777777" w:rsidR="005F4372" w:rsidRPr="00B06F93" w:rsidRDefault="005F4372" w:rsidP="005F4372">
            <w:pPr>
              <w:contextualSpacing/>
              <w:rPr>
                <w:rFonts w:cs="Calibri"/>
                <w:sz w:val="18"/>
                <w:szCs w:val="18"/>
              </w:rPr>
            </w:pPr>
          </w:p>
        </w:tc>
        <w:tc>
          <w:tcPr>
            <w:tcW w:w="3544" w:type="dxa"/>
            <w:tcBorders>
              <w:bottom w:val="single" w:sz="4" w:space="0" w:color="FFFFFF" w:themeColor="background1"/>
            </w:tcBorders>
            <w:shd w:val="clear" w:color="auto" w:fill="auto"/>
            <w:hideMark/>
          </w:tcPr>
          <w:p w14:paraId="231EAC3D" w14:textId="77777777" w:rsidR="005F4372" w:rsidRPr="00B06F93" w:rsidRDefault="005F4372" w:rsidP="005F4372">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No CEW 1 year (07/2020 - 07/2021)</w:t>
            </w:r>
          </w:p>
        </w:tc>
        <w:tc>
          <w:tcPr>
            <w:tcW w:w="1842" w:type="dxa"/>
            <w:tcBorders>
              <w:bottom w:val="single" w:sz="4" w:space="0" w:color="FFFFFF" w:themeColor="background1"/>
            </w:tcBorders>
            <w:shd w:val="clear" w:color="auto" w:fill="auto"/>
            <w:noWrap/>
            <w:hideMark/>
          </w:tcPr>
          <w:p w14:paraId="6AC26B63" w14:textId="77777777" w:rsidR="005F4372" w:rsidRPr="00B06F93" w:rsidRDefault="005F4372" w:rsidP="005F4372">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166</w:t>
            </w:r>
            <w:r>
              <w:rPr>
                <w:rFonts w:cs="Calibri"/>
                <w:sz w:val="18"/>
                <w:szCs w:val="18"/>
              </w:rPr>
              <w:t>,</w:t>
            </w:r>
            <w:r w:rsidRPr="00B06F93">
              <w:rPr>
                <w:rFonts w:cs="Calibri"/>
                <w:sz w:val="18"/>
                <w:szCs w:val="18"/>
              </w:rPr>
              <w:t>868</w:t>
            </w:r>
          </w:p>
        </w:tc>
      </w:tr>
      <w:tr w:rsidR="005F4372" w:rsidRPr="00B06F93" w14:paraId="4B19F040" w14:textId="77777777" w:rsidTr="00C47EC3">
        <w:trPr>
          <w:trHeight w:val="300"/>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single" w:sz="4" w:space="0" w:color="auto"/>
            </w:tcBorders>
            <w:shd w:val="clear" w:color="auto" w:fill="auto"/>
            <w:hideMark/>
          </w:tcPr>
          <w:p w14:paraId="42F5AE32" w14:textId="77777777" w:rsidR="005F4372" w:rsidRPr="00B06F93" w:rsidRDefault="005F4372" w:rsidP="005F4372">
            <w:pPr>
              <w:contextualSpacing/>
              <w:rPr>
                <w:rFonts w:cs="Calibri"/>
                <w:sz w:val="18"/>
                <w:szCs w:val="18"/>
              </w:rPr>
            </w:pPr>
          </w:p>
        </w:tc>
        <w:tc>
          <w:tcPr>
            <w:tcW w:w="3544" w:type="dxa"/>
            <w:tcBorders>
              <w:bottom w:val="single" w:sz="4" w:space="0" w:color="auto"/>
            </w:tcBorders>
            <w:shd w:val="clear" w:color="auto" w:fill="auto"/>
            <w:hideMark/>
          </w:tcPr>
          <w:p w14:paraId="6628860F" w14:textId="77777777" w:rsidR="005F4372" w:rsidRPr="00B06F93" w:rsidRDefault="005F4372" w:rsidP="005F4372">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No eWater 1 year (07/2020 - 07/2021)</w:t>
            </w:r>
          </w:p>
        </w:tc>
        <w:tc>
          <w:tcPr>
            <w:tcW w:w="1842" w:type="dxa"/>
            <w:tcBorders>
              <w:bottom w:val="single" w:sz="4" w:space="0" w:color="auto"/>
            </w:tcBorders>
            <w:shd w:val="clear" w:color="auto" w:fill="auto"/>
            <w:noWrap/>
            <w:hideMark/>
          </w:tcPr>
          <w:p w14:paraId="3BABDBBF" w14:textId="77777777" w:rsidR="005F4372" w:rsidRPr="00B06F93" w:rsidRDefault="005F4372" w:rsidP="005F4372">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B06F93">
              <w:rPr>
                <w:rFonts w:cs="Calibri"/>
                <w:sz w:val="18"/>
                <w:szCs w:val="18"/>
              </w:rPr>
              <w:t>3</w:t>
            </w:r>
            <w:r>
              <w:rPr>
                <w:rFonts w:cs="Calibri"/>
                <w:sz w:val="18"/>
                <w:szCs w:val="18"/>
              </w:rPr>
              <w:t>,</w:t>
            </w:r>
            <w:r w:rsidRPr="00B06F93">
              <w:rPr>
                <w:rFonts w:cs="Calibri"/>
                <w:sz w:val="18"/>
                <w:szCs w:val="18"/>
              </w:rPr>
              <w:t>331</w:t>
            </w:r>
            <w:r>
              <w:rPr>
                <w:rFonts w:cs="Calibri"/>
                <w:sz w:val="18"/>
                <w:szCs w:val="18"/>
              </w:rPr>
              <w:t>,</w:t>
            </w:r>
            <w:r w:rsidRPr="00B06F93">
              <w:rPr>
                <w:rFonts w:cs="Calibri"/>
                <w:sz w:val="18"/>
                <w:szCs w:val="18"/>
              </w:rPr>
              <w:t>846</w:t>
            </w:r>
          </w:p>
        </w:tc>
      </w:tr>
    </w:tbl>
    <w:p w14:paraId="6E83121B" w14:textId="77777777" w:rsidR="00B60940" w:rsidRPr="00915406" w:rsidRDefault="00B60940" w:rsidP="00B60940">
      <w:pPr>
        <w:rPr>
          <w:b/>
        </w:rPr>
      </w:pPr>
    </w:p>
    <w:p w14:paraId="70B6990D" w14:textId="77777777" w:rsidR="00B60940" w:rsidRPr="001832D4" w:rsidRDefault="00B60940" w:rsidP="00B60940">
      <w:r w:rsidRPr="001832D4">
        <w:rPr>
          <w:noProof/>
          <w:lang w:val="en-US"/>
        </w:rPr>
        <w:lastRenderedPageBreak/>
        <w:drawing>
          <wp:inline distT="0" distB="0" distL="0" distR="0" wp14:anchorId="71E84394" wp14:editId="76756E56">
            <wp:extent cx="5731510" cy="4301001"/>
            <wp:effectExtent l="0" t="0" r="2540" b="4445"/>
            <wp:docPr id="69" name="Picture 69" descr="E:\database\Lowerlakes_CEW\eWater\flux\plot_monthly_flux\bar_fluxes_cumulative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atabase\Lowerlakes_CEW\eWater\flux\plot_monthly_flux\bar_fluxes_cumulative_all.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4301001"/>
                    </a:xfrm>
                    <a:prstGeom prst="rect">
                      <a:avLst/>
                    </a:prstGeom>
                    <a:noFill/>
                    <a:ln>
                      <a:noFill/>
                    </a:ln>
                  </pic:spPr>
                </pic:pic>
              </a:graphicData>
            </a:graphic>
          </wp:inline>
        </w:drawing>
      </w:r>
    </w:p>
    <w:p w14:paraId="281A7DBD" w14:textId="4B6CBD58" w:rsidR="00B60940" w:rsidRPr="001832D4" w:rsidRDefault="006F0025" w:rsidP="006F0025">
      <w:pPr>
        <w:pStyle w:val="Captions"/>
      </w:pPr>
      <w:bookmarkStart w:id="165" w:name="_Ref96529732"/>
      <w:bookmarkStart w:id="166" w:name="_Toc101963818"/>
      <w:r>
        <w:t xml:space="preserve">Figure </w:t>
      </w:r>
      <w:r>
        <w:fldChar w:fldCharType="begin"/>
      </w:r>
      <w:r>
        <w:instrText xml:space="preserve"> SEQ Figure \* ARABIC </w:instrText>
      </w:r>
      <w:r>
        <w:fldChar w:fldCharType="separate"/>
      </w:r>
      <w:r w:rsidR="003C13F6">
        <w:rPr>
          <w:noProof/>
        </w:rPr>
        <w:t>26</w:t>
      </w:r>
      <w:r>
        <w:fldChar w:fldCharType="end"/>
      </w:r>
      <w:bookmarkEnd w:id="165"/>
      <w:r w:rsidR="00B60940" w:rsidRPr="001832D4">
        <w:t>. Cumulative salt flux with and without environmental water delivery through the Long Point and Parnka Point for July 2017–Ju</w:t>
      </w:r>
      <w:r w:rsidR="00B60940">
        <w:t>ne</w:t>
      </w:r>
      <w:r w:rsidR="00B60940" w:rsidRPr="001832D4">
        <w:t xml:space="preserve"> 2021.</w:t>
      </w:r>
      <w:bookmarkEnd w:id="166"/>
      <w:r w:rsidR="00B60940" w:rsidRPr="001832D4">
        <w:t xml:space="preserve"> </w:t>
      </w:r>
    </w:p>
    <w:p w14:paraId="5E70DDB2" w14:textId="585CE7E1" w:rsidR="00AE69FC" w:rsidRDefault="00B60940" w:rsidP="00B60940">
      <w:r>
        <w:t>E</w:t>
      </w:r>
      <w:r w:rsidRPr="00EC7554">
        <w:t xml:space="preserve">nvironmental water reduced the salinity in the estuary especially in the </w:t>
      </w:r>
      <w:r>
        <w:t>S</w:t>
      </w:r>
      <w:r w:rsidRPr="00EC7554">
        <w:t xml:space="preserve">outh </w:t>
      </w:r>
      <w:r>
        <w:t>Lagoon</w:t>
      </w:r>
      <w:r w:rsidRPr="00F5086D">
        <w:t xml:space="preserve"> </w:t>
      </w:r>
      <w:r>
        <w:t>(</w:t>
      </w:r>
      <w:r w:rsidR="005F4372">
        <w:fldChar w:fldCharType="begin"/>
      </w:r>
      <w:r w:rsidR="005F4372">
        <w:instrText xml:space="preserve"> REF _Ref96589998 \h </w:instrText>
      </w:r>
      <w:r w:rsidR="005F4372">
        <w:fldChar w:fldCharType="separate"/>
      </w:r>
      <w:r w:rsidR="003C13F6">
        <w:t xml:space="preserve">Table </w:t>
      </w:r>
      <w:r w:rsidR="003C13F6">
        <w:rPr>
          <w:noProof/>
        </w:rPr>
        <w:t>6</w:t>
      </w:r>
      <w:r w:rsidR="005F4372">
        <w:fldChar w:fldCharType="end"/>
      </w:r>
      <w:r>
        <w:t>)</w:t>
      </w:r>
      <w:r w:rsidRPr="00EC7554">
        <w:t>, where the me</w:t>
      </w:r>
      <w:r>
        <w:t>dia</w:t>
      </w:r>
      <w:r w:rsidRPr="00EC7554">
        <w:t xml:space="preserve">n salinity in 2020-21 would have been </w:t>
      </w:r>
      <w:r>
        <w:t>143.9 psu</w:t>
      </w:r>
      <w:r w:rsidRPr="00EC7554">
        <w:t xml:space="preserve"> if there was no environmental water since 2017, compared to the </w:t>
      </w:r>
      <w:r>
        <w:t>median</w:t>
      </w:r>
      <w:r w:rsidRPr="00EC7554">
        <w:t xml:space="preserve"> value of 95 psu in the ‘all water’ scenario. The mean nutrient concentrations and chlorophyll-</w:t>
      </w:r>
      <w:r w:rsidRPr="00173FE7">
        <w:t>a</w:t>
      </w:r>
      <w:r w:rsidRPr="00EC7554">
        <w:t xml:space="preserve"> concentration in the south Coorong were also generally lower in the ‘all water’ scenario compared to the ‘no eWater 4 years’ scenario, indicating the cumulative effect of the environmental water helped to improve the water quality in this area.</w:t>
      </w:r>
    </w:p>
    <w:p w14:paraId="461F6F04" w14:textId="77777777" w:rsidR="00AE69FC" w:rsidRDefault="00AE69FC" w:rsidP="00AE69FC">
      <w:r>
        <w:br w:type="page"/>
      </w:r>
    </w:p>
    <w:p w14:paraId="2AF5D98C" w14:textId="30C281A8" w:rsidR="00B60940" w:rsidRPr="0067604F" w:rsidRDefault="005F4372" w:rsidP="005F4372">
      <w:pPr>
        <w:pStyle w:val="Caption"/>
        <w:rPr>
          <w:b w:val="0"/>
        </w:rPr>
      </w:pPr>
      <w:bookmarkStart w:id="167" w:name="_Ref96589998"/>
      <w:bookmarkStart w:id="168" w:name="_Toc101963864"/>
      <w:r>
        <w:lastRenderedPageBreak/>
        <w:t xml:space="preserve">Table </w:t>
      </w:r>
      <w:fldSimple w:instr=" SEQ Table \* ARABIC ">
        <w:r w:rsidR="003C13F6">
          <w:rPr>
            <w:noProof/>
          </w:rPr>
          <w:t>6</w:t>
        </w:r>
      </w:fldSimple>
      <w:bookmarkEnd w:id="167"/>
      <w:r>
        <w:t>.</w:t>
      </w:r>
      <w:r w:rsidR="00B60940" w:rsidRPr="0067604F">
        <w:t xml:space="preserve"> Summary of mean</w:t>
      </w:r>
      <w:r w:rsidR="00B60940">
        <w:t xml:space="preserve"> and median </w:t>
      </w:r>
      <w:r w:rsidR="00B60940" w:rsidRPr="0067604F">
        <w:t xml:space="preserve">salinity, concentrations at the Murray </w:t>
      </w:r>
      <w:r w:rsidR="00B60940">
        <w:t>M</w:t>
      </w:r>
      <w:r w:rsidR="00B60940" w:rsidRPr="0067604F">
        <w:t xml:space="preserve">outh, </w:t>
      </w:r>
      <w:r w:rsidR="00B60940">
        <w:t>N</w:t>
      </w:r>
      <w:r w:rsidR="00B60940" w:rsidRPr="0067604F">
        <w:t xml:space="preserve">orth </w:t>
      </w:r>
      <w:r w:rsidR="00B60940">
        <w:t>Lagoon</w:t>
      </w:r>
      <w:r w:rsidR="00B60940" w:rsidRPr="0067604F">
        <w:t xml:space="preserve">, and </w:t>
      </w:r>
      <w:r w:rsidR="00B60940">
        <w:t>S</w:t>
      </w:r>
      <w:r w:rsidR="00B60940" w:rsidRPr="0067604F">
        <w:t xml:space="preserve">outh </w:t>
      </w:r>
      <w:r w:rsidR="00B60940">
        <w:t>Lagoon</w:t>
      </w:r>
      <w:r w:rsidR="00B60940" w:rsidRPr="0067604F">
        <w:t xml:space="preserve"> </w:t>
      </w:r>
      <w:r w:rsidR="00B60940">
        <w:t xml:space="preserve">between July </w:t>
      </w:r>
      <w:r w:rsidR="00B60940" w:rsidRPr="0067604F">
        <w:t xml:space="preserve">2020 – </w:t>
      </w:r>
      <w:r w:rsidR="00B60940">
        <w:t xml:space="preserve">June </w:t>
      </w:r>
      <w:r w:rsidR="00B60940" w:rsidRPr="0067604F">
        <w:t>2021.</w:t>
      </w:r>
      <w:bookmarkEnd w:id="168"/>
      <w:r w:rsidR="00B60940" w:rsidRPr="0067604F">
        <w:t xml:space="preserve"> </w:t>
      </w:r>
    </w:p>
    <w:tbl>
      <w:tblPr>
        <w:tblStyle w:val="GridTable5Dark-Accent11"/>
        <w:tblW w:w="8897" w:type="dxa"/>
        <w:tblLayout w:type="fixed"/>
        <w:tblLook w:val="04A0" w:firstRow="1" w:lastRow="0" w:firstColumn="1" w:lastColumn="0" w:noHBand="0" w:noVBand="1"/>
      </w:tblPr>
      <w:tblGrid>
        <w:gridCol w:w="988"/>
        <w:gridCol w:w="3402"/>
        <w:gridCol w:w="1559"/>
        <w:gridCol w:w="1417"/>
        <w:gridCol w:w="1531"/>
      </w:tblGrid>
      <w:tr w:rsidR="00B60940" w:rsidRPr="00FF3604" w14:paraId="1D4EB08B" w14:textId="77777777" w:rsidTr="00AA483E">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bottom w:val="single" w:sz="4" w:space="0" w:color="auto"/>
              <w:right w:val="single" w:sz="4" w:space="0" w:color="FFFFFF" w:themeColor="background1"/>
            </w:tcBorders>
            <w:shd w:val="clear" w:color="auto" w:fill="auto"/>
            <w:hideMark/>
          </w:tcPr>
          <w:p w14:paraId="34A78835" w14:textId="77777777" w:rsidR="00B60940" w:rsidRPr="00234EE0" w:rsidRDefault="00B60940" w:rsidP="004473EB">
            <w:pPr>
              <w:contextualSpacing/>
              <w:rPr>
                <w:rFonts w:cs="Calibri"/>
                <w:sz w:val="18"/>
                <w:szCs w:val="18"/>
              </w:rPr>
            </w:pPr>
            <w:r w:rsidRPr="00234EE0">
              <w:rPr>
                <w:rFonts w:cs="Calibri"/>
                <w:sz w:val="18"/>
                <w:szCs w:val="18"/>
              </w:rPr>
              <w:t>Site</w:t>
            </w:r>
          </w:p>
        </w:tc>
        <w:tc>
          <w:tcPr>
            <w:tcW w:w="340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hideMark/>
          </w:tcPr>
          <w:p w14:paraId="1A212383" w14:textId="77777777" w:rsidR="00B60940" w:rsidRPr="00234EE0" w:rsidRDefault="00B60940" w:rsidP="004473EB">
            <w:pPr>
              <w:contextualSpacing/>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Scenario</w:t>
            </w:r>
          </w:p>
        </w:tc>
        <w:tc>
          <w:tcPr>
            <w:tcW w:w="1559"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hideMark/>
          </w:tcPr>
          <w:p w14:paraId="045C0C4B" w14:textId="77777777" w:rsidR="00B60940" w:rsidRPr="00234EE0" w:rsidRDefault="00B60940" w:rsidP="004473EB">
            <w:pPr>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Murray Mouth Salinity (PSU)</w:t>
            </w:r>
          </w:p>
        </w:tc>
        <w:tc>
          <w:tcPr>
            <w:tcW w:w="141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auto"/>
            <w:hideMark/>
          </w:tcPr>
          <w:p w14:paraId="5A505975" w14:textId="77777777" w:rsidR="00B60940" w:rsidRPr="00234EE0" w:rsidRDefault="00B60940" w:rsidP="004473EB">
            <w:pPr>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North lagoon Salinity (PSU)</w:t>
            </w:r>
          </w:p>
        </w:tc>
        <w:tc>
          <w:tcPr>
            <w:tcW w:w="1531" w:type="dxa"/>
            <w:tcBorders>
              <w:top w:val="single" w:sz="4" w:space="0" w:color="auto"/>
              <w:left w:val="single" w:sz="4" w:space="0" w:color="FFFFFF" w:themeColor="background1"/>
              <w:bottom w:val="single" w:sz="4" w:space="0" w:color="auto"/>
            </w:tcBorders>
            <w:shd w:val="clear" w:color="auto" w:fill="auto"/>
            <w:hideMark/>
          </w:tcPr>
          <w:p w14:paraId="5784D0E4" w14:textId="77777777" w:rsidR="00B60940" w:rsidRPr="00234EE0" w:rsidRDefault="00B60940" w:rsidP="004473EB">
            <w:pPr>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South lagoon Salinity (PSU))</w:t>
            </w:r>
          </w:p>
        </w:tc>
      </w:tr>
      <w:tr w:rsidR="00B60940" w:rsidRPr="00FF3604" w14:paraId="3F95069B" w14:textId="77777777" w:rsidTr="00AA483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4" w:space="0" w:color="auto"/>
            </w:tcBorders>
            <w:shd w:val="clear" w:color="auto" w:fill="auto"/>
            <w:hideMark/>
          </w:tcPr>
          <w:p w14:paraId="6ED785AE" w14:textId="77777777" w:rsidR="00B60940" w:rsidRPr="00234EE0" w:rsidRDefault="00B60940" w:rsidP="004473EB">
            <w:pPr>
              <w:contextualSpacing/>
              <w:rPr>
                <w:rFonts w:cs="Calibri"/>
                <w:sz w:val="18"/>
                <w:szCs w:val="18"/>
              </w:rPr>
            </w:pPr>
            <w:r w:rsidRPr="00234EE0">
              <w:rPr>
                <w:rFonts w:cs="Calibri"/>
                <w:sz w:val="18"/>
                <w:szCs w:val="18"/>
              </w:rPr>
              <w:t>Mean Salinity</w:t>
            </w:r>
          </w:p>
        </w:tc>
        <w:tc>
          <w:tcPr>
            <w:tcW w:w="3402" w:type="dxa"/>
            <w:tcBorders>
              <w:top w:val="single" w:sz="4" w:space="0" w:color="auto"/>
            </w:tcBorders>
            <w:shd w:val="clear" w:color="auto" w:fill="auto"/>
            <w:hideMark/>
          </w:tcPr>
          <w:p w14:paraId="5D306576" w14:textId="77777777" w:rsidR="00B60940" w:rsidRPr="00234EE0" w:rsidRDefault="00B60940" w:rsidP="004473EB">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With all water</w:t>
            </w:r>
          </w:p>
        </w:tc>
        <w:tc>
          <w:tcPr>
            <w:tcW w:w="1559" w:type="dxa"/>
            <w:tcBorders>
              <w:top w:val="single" w:sz="4" w:space="0" w:color="auto"/>
            </w:tcBorders>
            <w:shd w:val="clear" w:color="auto" w:fill="auto"/>
            <w:noWrap/>
            <w:hideMark/>
          </w:tcPr>
          <w:p w14:paraId="24B14672"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12.6</w:t>
            </w:r>
          </w:p>
        </w:tc>
        <w:tc>
          <w:tcPr>
            <w:tcW w:w="1417" w:type="dxa"/>
            <w:tcBorders>
              <w:top w:val="single" w:sz="4" w:space="0" w:color="auto"/>
            </w:tcBorders>
            <w:shd w:val="clear" w:color="auto" w:fill="auto"/>
            <w:noWrap/>
          </w:tcPr>
          <w:p w14:paraId="3FE85071"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18.3</w:t>
            </w:r>
          </w:p>
        </w:tc>
        <w:tc>
          <w:tcPr>
            <w:tcW w:w="1531" w:type="dxa"/>
            <w:tcBorders>
              <w:top w:val="single" w:sz="4" w:space="0" w:color="auto"/>
            </w:tcBorders>
            <w:shd w:val="clear" w:color="auto" w:fill="auto"/>
            <w:noWrap/>
            <w:hideMark/>
          </w:tcPr>
          <w:p w14:paraId="4E62CE66"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95.41</w:t>
            </w:r>
          </w:p>
        </w:tc>
      </w:tr>
      <w:tr w:rsidR="00B60940" w:rsidRPr="00FF3604" w14:paraId="3267C2E0" w14:textId="77777777" w:rsidTr="00AA483E">
        <w:trPr>
          <w:trHeight w:val="30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auto"/>
            <w:hideMark/>
          </w:tcPr>
          <w:p w14:paraId="532B4332" w14:textId="77777777" w:rsidR="00B60940" w:rsidRPr="00234EE0" w:rsidRDefault="00B60940" w:rsidP="004473EB">
            <w:pPr>
              <w:contextualSpacing/>
              <w:rPr>
                <w:rFonts w:cs="Calibri"/>
                <w:sz w:val="18"/>
                <w:szCs w:val="18"/>
              </w:rPr>
            </w:pPr>
          </w:p>
        </w:tc>
        <w:tc>
          <w:tcPr>
            <w:tcW w:w="3402" w:type="dxa"/>
            <w:shd w:val="clear" w:color="auto" w:fill="auto"/>
            <w:hideMark/>
          </w:tcPr>
          <w:p w14:paraId="3DBDBBAB" w14:textId="77777777" w:rsidR="00B60940" w:rsidRPr="00234EE0" w:rsidRDefault="00B60940" w:rsidP="004473EB">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4 years (07/2017 - 06/2021)</w:t>
            </w:r>
          </w:p>
        </w:tc>
        <w:tc>
          <w:tcPr>
            <w:tcW w:w="1559" w:type="dxa"/>
            <w:shd w:val="clear" w:color="auto" w:fill="auto"/>
            <w:noWrap/>
            <w:hideMark/>
          </w:tcPr>
          <w:p w14:paraId="32D5552E"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24.3</w:t>
            </w:r>
          </w:p>
        </w:tc>
        <w:tc>
          <w:tcPr>
            <w:tcW w:w="1417" w:type="dxa"/>
            <w:shd w:val="clear" w:color="auto" w:fill="auto"/>
            <w:noWrap/>
          </w:tcPr>
          <w:p w14:paraId="3D31992E"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38.5</w:t>
            </w:r>
          </w:p>
        </w:tc>
        <w:tc>
          <w:tcPr>
            <w:tcW w:w="1531" w:type="dxa"/>
            <w:shd w:val="clear" w:color="auto" w:fill="auto"/>
            <w:noWrap/>
            <w:hideMark/>
          </w:tcPr>
          <w:p w14:paraId="32CE60E3"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135.2</w:t>
            </w:r>
          </w:p>
        </w:tc>
      </w:tr>
      <w:tr w:rsidR="00B60940" w:rsidRPr="00FF3604" w14:paraId="3D0BC749" w14:textId="77777777" w:rsidTr="00AA48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auto"/>
            <w:hideMark/>
          </w:tcPr>
          <w:p w14:paraId="51ABE01E" w14:textId="77777777" w:rsidR="00B60940" w:rsidRPr="00234EE0" w:rsidRDefault="00B60940" w:rsidP="004473EB">
            <w:pPr>
              <w:contextualSpacing/>
              <w:rPr>
                <w:rFonts w:cs="Calibri"/>
                <w:sz w:val="18"/>
                <w:szCs w:val="18"/>
              </w:rPr>
            </w:pPr>
          </w:p>
        </w:tc>
        <w:tc>
          <w:tcPr>
            <w:tcW w:w="3402" w:type="dxa"/>
            <w:shd w:val="clear" w:color="auto" w:fill="auto"/>
            <w:hideMark/>
          </w:tcPr>
          <w:p w14:paraId="49C1C972" w14:textId="77777777" w:rsidR="00B60940" w:rsidRPr="00234EE0" w:rsidRDefault="00B60940" w:rsidP="004473EB">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1559" w:type="dxa"/>
            <w:shd w:val="clear" w:color="auto" w:fill="auto"/>
            <w:noWrap/>
            <w:hideMark/>
          </w:tcPr>
          <w:p w14:paraId="2A59FF7E"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25.8</w:t>
            </w:r>
          </w:p>
        </w:tc>
        <w:tc>
          <w:tcPr>
            <w:tcW w:w="1417" w:type="dxa"/>
            <w:shd w:val="clear" w:color="auto" w:fill="auto"/>
            <w:noWrap/>
          </w:tcPr>
          <w:p w14:paraId="59AB5FE3"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41.1</w:t>
            </w:r>
          </w:p>
        </w:tc>
        <w:tc>
          <w:tcPr>
            <w:tcW w:w="1531" w:type="dxa"/>
            <w:shd w:val="clear" w:color="auto" w:fill="auto"/>
            <w:noWrap/>
            <w:hideMark/>
          </w:tcPr>
          <w:p w14:paraId="1E8A5C83"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142.4</w:t>
            </w:r>
          </w:p>
        </w:tc>
      </w:tr>
      <w:tr w:rsidR="00B60940" w:rsidRPr="00FF3604" w14:paraId="7065FFB9" w14:textId="77777777" w:rsidTr="00AA483E">
        <w:trPr>
          <w:trHeight w:val="330"/>
        </w:trPr>
        <w:tc>
          <w:tcPr>
            <w:cnfStyle w:val="001000000000" w:firstRow="0" w:lastRow="0" w:firstColumn="1" w:lastColumn="0" w:oddVBand="0" w:evenVBand="0" w:oddHBand="0" w:evenHBand="0" w:firstRowFirstColumn="0" w:firstRowLastColumn="0" w:lastRowFirstColumn="0" w:lastRowLastColumn="0"/>
            <w:tcW w:w="988" w:type="dxa"/>
            <w:vMerge/>
            <w:shd w:val="clear" w:color="auto" w:fill="auto"/>
            <w:hideMark/>
          </w:tcPr>
          <w:p w14:paraId="07E9101E" w14:textId="77777777" w:rsidR="00B60940" w:rsidRPr="00234EE0" w:rsidRDefault="00B60940" w:rsidP="004473EB">
            <w:pPr>
              <w:contextualSpacing/>
              <w:rPr>
                <w:rFonts w:cs="Calibri"/>
                <w:sz w:val="18"/>
                <w:szCs w:val="18"/>
              </w:rPr>
            </w:pPr>
          </w:p>
        </w:tc>
        <w:tc>
          <w:tcPr>
            <w:tcW w:w="3402" w:type="dxa"/>
            <w:shd w:val="clear" w:color="auto" w:fill="auto"/>
            <w:hideMark/>
          </w:tcPr>
          <w:p w14:paraId="131C0526" w14:textId="77777777" w:rsidR="00B60940" w:rsidRPr="00234EE0" w:rsidRDefault="00B60940" w:rsidP="004473EB">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1559" w:type="dxa"/>
            <w:shd w:val="clear" w:color="auto" w:fill="auto"/>
            <w:noWrap/>
            <w:hideMark/>
          </w:tcPr>
          <w:p w14:paraId="34FE49C3"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23.1</w:t>
            </w:r>
          </w:p>
        </w:tc>
        <w:tc>
          <w:tcPr>
            <w:tcW w:w="1417" w:type="dxa"/>
            <w:shd w:val="clear" w:color="auto" w:fill="auto"/>
            <w:noWrap/>
          </w:tcPr>
          <w:p w14:paraId="1A609835"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30.31</w:t>
            </w:r>
          </w:p>
        </w:tc>
        <w:tc>
          <w:tcPr>
            <w:tcW w:w="1531" w:type="dxa"/>
            <w:shd w:val="clear" w:color="auto" w:fill="auto"/>
            <w:noWrap/>
            <w:hideMark/>
          </w:tcPr>
          <w:p w14:paraId="06BBDEFB"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98.7</w:t>
            </w:r>
          </w:p>
        </w:tc>
      </w:tr>
      <w:tr w:rsidR="00B60940" w:rsidRPr="00FF3604" w14:paraId="0370F8C2" w14:textId="77777777" w:rsidTr="00AA48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auto"/>
            <w:hideMark/>
          </w:tcPr>
          <w:p w14:paraId="1410536C" w14:textId="77777777" w:rsidR="00B60940" w:rsidRPr="00234EE0" w:rsidRDefault="00B60940" w:rsidP="004473EB">
            <w:pPr>
              <w:contextualSpacing/>
              <w:rPr>
                <w:rFonts w:cs="Calibri"/>
                <w:sz w:val="18"/>
                <w:szCs w:val="18"/>
              </w:rPr>
            </w:pPr>
          </w:p>
        </w:tc>
        <w:tc>
          <w:tcPr>
            <w:tcW w:w="3402" w:type="dxa"/>
            <w:tcBorders>
              <w:bottom w:val="single" w:sz="4" w:space="0" w:color="auto"/>
            </w:tcBorders>
            <w:shd w:val="clear" w:color="auto" w:fill="auto"/>
            <w:hideMark/>
          </w:tcPr>
          <w:p w14:paraId="515D0969" w14:textId="77777777" w:rsidR="00B60940" w:rsidRPr="00234EE0" w:rsidRDefault="00B60940" w:rsidP="004473EB">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1559" w:type="dxa"/>
            <w:tcBorders>
              <w:bottom w:val="single" w:sz="4" w:space="0" w:color="auto"/>
            </w:tcBorders>
            <w:shd w:val="clear" w:color="auto" w:fill="auto"/>
            <w:noWrap/>
            <w:hideMark/>
          </w:tcPr>
          <w:p w14:paraId="793EDD4E"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24.5</w:t>
            </w:r>
          </w:p>
        </w:tc>
        <w:tc>
          <w:tcPr>
            <w:tcW w:w="1417" w:type="dxa"/>
            <w:tcBorders>
              <w:bottom w:val="single" w:sz="4" w:space="0" w:color="auto"/>
            </w:tcBorders>
            <w:shd w:val="clear" w:color="auto" w:fill="auto"/>
            <w:noWrap/>
          </w:tcPr>
          <w:p w14:paraId="7BBCE335"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32.11</w:t>
            </w:r>
          </w:p>
        </w:tc>
        <w:tc>
          <w:tcPr>
            <w:tcW w:w="1531" w:type="dxa"/>
            <w:tcBorders>
              <w:bottom w:val="single" w:sz="4" w:space="0" w:color="auto"/>
            </w:tcBorders>
            <w:shd w:val="clear" w:color="auto" w:fill="auto"/>
            <w:noWrap/>
            <w:hideMark/>
          </w:tcPr>
          <w:p w14:paraId="18655B6C"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99.2</w:t>
            </w:r>
          </w:p>
        </w:tc>
      </w:tr>
      <w:tr w:rsidR="00B60940" w:rsidRPr="00FF3604" w14:paraId="136B118A" w14:textId="77777777" w:rsidTr="00AA483E">
        <w:trPr>
          <w:trHeight w:val="300"/>
        </w:trPr>
        <w:tc>
          <w:tcPr>
            <w:cnfStyle w:val="001000000000" w:firstRow="0" w:lastRow="0" w:firstColumn="1" w:lastColumn="0" w:oddVBand="0" w:evenVBand="0" w:oddHBand="0" w:evenHBand="0" w:firstRowFirstColumn="0" w:firstRowLastColumn="0" w:lastRowFirstColumn="0" w:lastRowLastColumn="0"/>
            <w:tcW w:w="988" w:type="dxa"/>
            <w:vMerge w:val="restart"/>
            <w:tcBorders>
              <w:top w:val="single" w:sz="4" w:space="0" w:color="auto"/>
              <w:bottom w:val="single" w:sz="4" w:space="0" w:color="auto"/>
            </w:tcBorders>
            <w:shd w:val="clear" w:color="auto" w:fill="auto"/>
            <w:hideMark/>
          </w:tcPr>
          <w:p w14:paraId="2003D8A2" w14:textId="77777777" w:rsidR="00B60940" w:rsidRPr="00234EE0" w:rsidRDefault="00B60940" w:rsidP="004473EB">
            <w:pPr>
              <w:contextualSpacing/>
              <w:rPr>
                <w:rFonts w:cs="Calibri"/>
                <w:sz w:val="18"/>
                <w:szCs w:val="18"/>
              </w:rPr>
            </w:pPr>
            <w:r w:rsidRPr="00234EE0">
              <w:rPr>
                <w:rFonts w:cs="Calibri"/>
                <w:sz w:val="18"/>
                <w:szCs w:val="18"/>
              </w:rPr>
              <w:t>Median Salinity</w:t>
            </w:r>
          </w:p>
        </w:tc>
        <w:tc>
          <w:tcPr>
            <w:tcW w:w="3402" w:type="dxa"/>
            <w:tcBorders>
              <w:top w:val="single" w:sz="4" w:space="0" w:color="auto"/>
            </w:tcBorders>
            <w:shd w:val="clear" w:color="auto" w:fill="auto"/>
            <w:hideMark/>
          </w:tcPr>
          <w:p w14:paraId="4E9A947E" w14:textId="77777777" w:rsidR="00B60940" w:rsidRPr="00234EE0" w:rsidRDefault="00B60940" w:rsidP="004473EB">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With all water</w:t>
            </w:r>
          </w:p>
        </w:tc>
        <w:tc>
          <w:tcPr>
            <w:tcW w:w="1559" w:type="dxa"/>
            <w:tcBorders>
              <w:top w:val="single" w:sz="4" w:space="0" w:color="auto"/>
            </w:tcBorders>
            <w:shd w:val="clear" w:color="auto" w:fill="auto"/>
            <w:noWrap/>
            <w:hideMark/>
          </w:tcPr>
          <w:p w14:paraId="1B3F9738"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12.7</w:t>
            </w:r>
          </w:p>
        </w:tc>
        <w:tc>
          <w:tcPr>
            <w:tcW w:w="1417" w:type="dxa"/>
            <w:tcBorders>
              <w:top w:val="single" w:sz="4" w:space="0" w:color="auto"/>
            </w:tcBorders>
            <w:shd w:val="clear" w:color="auto" w:fill="auto"/>
            <w:noWrap/>
            <w:hideMark/>
          </w:tcPr>
          <w:p w14:paraId="7198F2F7"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18.1</w:t>
            </w:r>
          </w:p>
        </w:tc>
        <w:tc>
          <w:tcPr>
            <w:tcW w:w="1531" w:type="dxa"/>
            <w:tcBorders>
              <w:top w:val="single" w:sz="4" w:space="0" w:color="auto"/>
            </w:tcBorders>
            <w:shd w:val="clear" w:color="auto" w:fill="auto"/>
            <w:noWrap/>
            <w:hideMark/>
          </w:tcPr>
          <w:p w14:paraId="13ADF3B5"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95.0</w:t>
            </w:r>
          </w:p>
        </w:tc>
      </w:tr>
      <w:tr w:rsidR="00B60940" w:rsidRPr="00FF3604" w14:paraId="75D8763D" w14:textId="77777777" w:rsidTr="00AA48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auto"/>
            <w:hideMark/>
          </w:tcPr>
          <w:p w14:paraId="0D8CAA1C" w14:textId="77777777" w:rsidR="00B60940" w:rsidRPr="00234EE0" w:rsidRDefault="00B60940" w:rsidP="004473EB">
            <w:pPr>
              <w:contextualSpacing/>
              <w:rPr>
                <w:rFonts w:cs="Calibri"/>
                <w:sz w:val="18"/>
                <w:szCs w:val="18"/>
              </w:rPr>
            </w:pPr>
          </w:p>
        </w:tc>
        <w:tc>
          <w:tcPr>
            <w:tcW w:w="3402" w:type="dxa"/>
            <w:shd w:val="clear" w:color="auto" w:fill="auto"/>
            <w:hideMark/>
          </w:tcPr>
          <w:p w14:paraId="6866B8E1" w14:textId="77777777" w:rsidR="00B60940" w:rsidRPr="00234EE0" w:rsidRDefault="00B60940" w:rsidP="004473EB">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4 years (07/2017 - 07/2021)</w:t>
            </w:r>
          </w:p>
        </w:tc>
        <w:tc>
          <w:tcPr>
            <w:tcW w:w="1559" w:type="dxa"/>
            <w:shd w:val="clear" w:color="auto" w:fill="auto"/>
            <w:noWrap/>
            <w:hideMark/>
          </w:tcPr>
          <w:p w14:paraId="47CF7F3B"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29.6</w:t>
            </w:r>
          </w:p>
        </w:tc>
        <w:tc>
          <w:tcPr>
            <w:tcW w:w="1417" w:type="dxa"/>
            <w:shd w:val="clear" w:color="auto" w:fill="auto"/>
            <w:noWrap/>
            <w:hideMark/>
          </w:tcPr>
          <w:p w14:paraId="7E50DF0F"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37.7</w:t>
            </w:r>
          </w:p>
        </w:tc>
        <w:tc>
          <w:tcPr>
            <w:tcW w:w="1531" w:type="dxa"/>
            <w:shd w:val="clear" w:color="auto" w:fill="auto"/>
            <w:noWrap/>
            <w:hideMark/>
          </w:tcPr>
          <w:p w14:paraId="7F8A407A"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136.6</w:t>
            </w:r>
          </w:p>
        </w:tc>
      </w:tr>
      <w:tr w:rsidR="00B60940" w:rsidRPr="00FF3604" w14:paraId="51C331EB" w14:textId="77777777" w:rsidTr="00AA483E">
        <w:trPr>
          <w:trHeight w:val="300"/>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auto"/>
            <w:hideMark/>
          </w:tcPr>
          <w:p w14:paraId="0C3CEDFC" w14:textId="77777777" w:rsidR="00B60940" w:rsidRPr="00234EE0" w:rsidRDefault="00B60940" w:rsidP="004473EB">
            <w:pPr>
              <w:contextualSpacing/>
              <w:rPr>
                <w:rFonts w:cs="Calibri"/>
                <w:sz w:val="18"/>
                <w:szCs w:val="18"/>
              </w:rPr>
            </w:pPr>
          </w:p>
        </w:tc>
        <w:tc>
          <w:tcPr>
            <w:tcW w:w="3402" w:type="dxa"/>
            <w:shd w:val="clear" w:color="auto" w:fill="auto"/>
            <w:hideMark/>
          </w:tcPr>
          <w:p w14:paraId="18829EB6" w14:textId="77777777" w:rsidR="00B60940" w:rsidRPr="00234EE0" w:rsidRDefault="00B60940" w:rsidP="004473EB">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1559" w:type="dxa"/>
            <w:shd w:val="clear" w:color="auto" w:fill="auto"/>
            <w:noWrap/>
            <w:hideMark/>
          </w:tcPr>
          <w:p w14:paraId="660F6E80"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30.5</w:t>
            </w:r>
          </w:p>
        </w:tc>
        <w:tc>
          <w:tcPr>
            <w:tcW w:w="1417" w:type="dxa"/>
            <w:shd w:val="clear" w:color="auto" w:fill="auto"/>
            <w:noWrap/>
            <w:hideMark/>
          </w:tcPr>
          <w:p w14:paraId="790F2227"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39.4</w:t>
            </w:r>
          </w:p>
        </w:tc>
        <w:tc>
          <w:tcPr>
            <w:tcW w:w="1531" w:type="dxa"/>
            <w:shd w:val="clear" w:color="auto" w:fill="auto"/>
            <w:noWrap/>
            <w:hideMark/>
          </w:tcPr>
          <w:p w14:paraId="549E2375"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143.9</w:t>
            </w:r>
          </w:p>
        </w:tc>
      </w:tr>
      <w:tr w:rsidR="00B60940" w:rsidRPr="00FF3604" w14:paraId="29C634A7" w14:textId="77777777" w:rsidTr="00AA48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auto"/>
            <w:hideMark/>
          </w:tcPr>
          <w:p w14:paraId="485EEC39" w14:textId="77777777" w:rsidR="00B60940" w:rsidRPr="00234EE0" w:rsidRDefault="00B60940" w:rsidP="004473EB">
            <w:pPr>
              <w:contextualSpacing/>
              <w:rPr>
                <w:rFonts w:cs="Calibri"/>
                <w:sz w:val="18"/>
                <w:szCs w:val="18"/>
              </w:rPr>
            </w:pPr>
          </w:p>
        </w:tc>
        <w:tc>
          <w:tcPr>
            <w:tcW w:w="3402" w:type="dxa"/>
            <w:tcBorders>
              <w:bottom w:val="single" w:sz="4" w:space="0" w:color="FFFFFF" w:themeColor="background1"/>
            </w:tcBorders>
            <w:shd w:val="clear" w:color="auto" w:fill="auto"/>
            <w:hideMark/>
          </w:tcPr>
          <w:p w14:paraId="7C99171A" w14:textId="77777777" w:rsidR="00B60940" w:rsidRPr="00234EE0" w:rsidRDefault="00B60940" w:rsidP="004473EB">
            <w:pPr>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1559" w:type="dxa"/>
            <w:tcBorders>
              <w:bottom w:val="single" w:sz="4" w:space="0" w:color="FFFFFF" w:themeColor="background1"/>
            </w:tcBorders>
            <w:shd w:val="clear" w:color="auto" w:fill="auto"/>
            <w:noWrap/>
            <w:hideMark/>
          </w:tcPr>
          <w:p w14:paraId="18183CD4"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27.7</w:t>
            </w:r>
          </w:p>
        </w:tc>
        <w:tc>
          <w:tcPr>
            <w:tcW w:w="1417" w:type="dxa"/>
            <w:tcBorders>
              <w:bottom w:val="single" w:sz="4" w:space="0" w:color="FFFFFF" w:themeColor="background1"/>
            </w:tcBorders>
            <w:shd w:val="clear" w:color="auto" w:fill="auto"/>
            <w:noWrap/>
            <w:hideMark/>
          </w:tcPr>
          <w:p w14:paraId="74E25892"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32.0</w:t>
            </w:r>
          </w:p>
        </w:tc>
        <w:tc>
          <w:tcPr>
            <w:tcW w:w="1531" w:type="dxa"/>
            <w:tcBorders>
              <w:bottom w:val="single" w:sz="4" w:space="0" w:color="FFFFFF" w:themeColor="background1"/>
            </w:tcBorders>
            <w:shd w:val="clear" w:color="auto" w:fill="auto"/>
            <w:noWrap/>
            <w:hideMark/>
          </w:tcPr>
          <w:p w14:paraId="2A6CC4CA" w14:textId="77777777" w:rsidR="00B60940" w:rsidRPr="00234EE0" w:rsidRDefault="00B60940" w:rsidP="004473EB">
            <w:pPr>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100.1</w:t>
            </w:r>
          </w:p>
        </w:tc>
      </w:tr>
      <w:tr w:rsidR="00B60940" w:rsidRPr="00FF3604" w14:paraId="66CCB217" w14:textId="77777777" w:rsidTr="00AA483E">
        <w:trPr>
          <w:trHeight w:val="300"/>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auto"/>
            <w:hideMark/>
          </w:tcPr>
          <w:p w14:paraId="33DEB825" w14:textId="77777777" w:rsidR="00B60940" w:rsidRPr="00234EE0" w:rsidRDefault="00B60940" w:rsidP="004473EB">
            <w:pPr>
              <w:contextualSpacing/>
              <w:rPr>
                <w:rFonts w:cs="Calibri"/>
                <w:sz w:val="18"/>
                <w:szCs w:val="18"/>
              </w:rPr>
            </w:pPr>
          </w:p>
        </w:tc>
        <w:tc>
          <w:tcPr>
            <w:tcW w:w="3402" w:type="dxa"/>
            <w:tcBorders>
              <w:bottom w:val="single" w:sz="4" w:space="0" w:color="auto"/>
            </w:tcBorders>
            <w:shd w:val="clear" w:color="auto" w:fill="auto"/>
            <w:hideMark/>
          </w:tcPr>
          <w:p w14:paraId="024B363E" w14:textId="77777777" w:rsidR="00B60940" w:rsidRPr="00234EE0" w:rsidRDefault="00B60940" w:rsidP="004473EB">
            <w:pPr>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1559" w:type="dxa"/>
            <w:tcBorders>
              <w:bottom w:val="single" w:sz="4" w:space="0" w:color="auto"/>
            </w:tcBorders>
            <w:shd w:val="clear" w:color="auto" w:fill="auto"/>
            <w:noWrap/>
            <w:hideMark/>
          </w:tcPr>
          <w:p w14:paraId="1A6C90FD"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29.5</w:t>
            </w:r>
          </w:p>
        </w:tc>
        <w:tc>
          <w:tcPr>
            <w:tcW w:w="1417" w:type="dxa"/>
            <w:tcBorders>
              <w:bottom w:val="single" w:sz="4" w:space="0" w:color="auto"/>
            </w:tcBorders>
            <w:shd w:val="clear" w:color="auto" w:fill="auto"/>
            <w:noWrap/>
            <w:hideMark/>
          </w:tcPr>
          <w:p w14:paraId="5202F0AF"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33.7</w:t>
            </w:r>
          </w:p>
        </w:tc>
        <w:tc>
          <w:tcPr>
            <w:tcW w:w="1531" w:type="dxa"/>
            <w:tcBorders>
              <w:bottom w:val="single" w:sz="4" w:space="0" w:color="auto"/>
            </w:tcBorders>
            <w:shd w:val="clear" w:color="auto" w:fill="auto"/>
            <w:noWrap/>
            <w:hideMark/>
          </w:tcPr>
          <w:p w14:paraId="55D851F3" w14:textId="77777777" w:rsidR="00B60940" w:rsidRPr="00234EE0" w:rsidRDefault="00B60940" w:rsidP="004473EB">
            <w:pPr>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101.4</w:t>
            </w:r>
          </w:p>
        </w:tc>
      </w:tr>
    </w:tbl>
    <w:p w14:paraId="00442403" w14:textId="77777777" w:rsidR="00B60940" w:rsidRDefault="00B60940" w:rsidP="00B60940"/>
    <w:p w14:paraId="512633D2" w14:textId="77777777" w:rsidR="00B60940" w:rsidRPr="00A70967" w:rsidRDefault="00B60940" w:rsidP="00B60940">
      <w:pPr>
        <w:rPr>
          <w:i/>
          <w:u w:val="single"/>
        </w:rPr>
      </w:pPr>
      <w:r w:rsidRPr="00A70967">
        <w:rPr>
          <w:i/>
          <w:u w:val="single"/>
        </w:rPr>
        <w:t>Nutrients and chlorophyll a</w:t>
      </w:r>
    </w:p>
    <w:p w14:paraId="0241A3EC" w14:textId="2E7B4561" w:rsidR="001206F2" w:rsidRPr="001832D4" w:rsidRDefault="00B60940" w:rsidP="001206F2">
      <w:r w:rsidRPr="001832D4">
        <w:t xml:space="preserve">The total nutrient loads in 07/2020 – 07/2021 are summarised in </w:t>
      </w:r>
      <w:r w:rsidR="005F4372">
        <w:fldChar w:fldCharType="begin"/>
      </w:r>
      <w:r w:rsidR="005F4372">
        <w:instrText xml:space="preserve"> REF _Ref96590017 \h </w:instrText>
      </w:r>
      <w:r w:rsidR="005F4372">
        <w:fldChar w:fldCharType="separate"/>
      </w:r>
      <w:r w:rsidR="003C13F6">
        <w:t xml:space="preserve">Table </w:t>
      </w:r>
      <w:r w:rsidR="003C13F6">
        <w:rPr>
          <w:noProof/>
        </w:rPr>
        <w:t>7</w:t>
      </w:r>
      <w:r w:rsidR="005F4372">
        <w:fldChar w:fldCharType="end"/>
      </w:r>
      <w:r w:rsidRPr="001832D4">
        <w:t xml:space="preserve">, which showed the barrage flow brought a large amount of nutrient </w:t>
      </w:r>
      <w:r w:rsidR="00E33F30" w:rsidRPr="001832D4">
        <w:t xml:space="preserve">from </w:t>
      </w:r>
      <w:r w:rsidR="001206F2" w:rsidRPr="001832D4">
        <w:t xml:space="preserve">the river basin into </w:t>
      </w:r>
      <w:r w:rsidR="00E33F30" w:rsidRPr="001832D4">
        <w:t>the Coorong, most of which were then export</w:t>
      </w:r>
      <w:r w:rsidR="00E33F30">
        <w:t>ed</w:t>
      </w:r>
      <w:r w:rsidR="00E33F30" w:rsidRPr="001832D4">
        <w:t xml:space="preserve"> </w:t>
      </w:r>
      <w:r w:rsidRPr="001832D4">
        <w:t xml:space="preserve">to the southern ocean through the Murray </w:t>
      </w:r>
      <w:r>
        <w:t>M</w:t>
      </w:r>
      <w:r w:rsidRPr="001832D4">
        <w:t xml:space="preserve">outh. The environmental water also helped to reduce the TN flux to the </w:t>
      </w:r>
      <w:r>
        <w:t>N</w:t>
      </w:r>
      <w:r w:rsidRPr="001832D4">
        <w:t xml:space="preserve">orth </w:t>
      </w:r>
      <w:r>
        <w:t>Lagoon</w:t>
      </w:r>
      <w:r w:rsidRPr="001832D4">
        <w:t xml:space="preserve"> and </w:t>
      </w:r>
      <w:r>
        <w:t>S</w:t>
      </w:r>
      <w:r w:rsidRPr="001832D4">
        <w:t xml:space="preserve">outh </w:t>
      </w:r>
      <w:r>
        <w:t>Lagoon</w:t>
      </w:r>
      <w:r w:rsidRPr="001832D4">
        <w:t xml:space="preserve"> (</w:t>
      </w:r>
      <w:r w:rsidR="006F0025">
        <w:fldChar w:fldCharType="begin"/>
      </w:r>
      <w:r w:rsidR="006F0025">
        <w:instrText xml:space="preserve"> REF _Ref96529741 \h </w:instrText>
      </w:r>
      <w:r w:rsidR="006F0025">
        <w:fldChar w:fldCharType="separate"/>
      </w:r>
      <w:r w:rsidR="003C13F6">
        <w:t xml:space="preserve">Figure </w:t>
      </w:r>
      <w:r w:rsidR="003C13F6">
        <w:rPr>
          <w:noProof/>
        </w:rPr>
        <w:t>27</w:t>
      </w:r>
      <w:r w:rsidR="006F0025">
        <w:fldChar w:fldCharType="end"/>
      </w:r>
      <w:r w:rsidRPr="001832D4">
        <w:t>)</w:t>
      </w:r>
      <w:r>
        <w:t xml:space="preserve">. While environmental water has a very large and ecologically significant impact on nutrient export it does not </w:t>
      </w:r>
      <w:r w:rsidR="00E33F30">
        <w:t xml:space="preserve">impact </w:t>
      </w:r>
      <w:r w:rsidR="001206F2">
        <w:t>the concentrations of nutrients very much (Table D1, Appendix D).</w:t>
      </w:r>
    </w:p>
    <w:p w14:paraId="38062CDA" w14:textId="2B3A540D" w:rsidR="00BE71E1" w:rsidRDefault="00BE71E1" w:rsidP="00B60940">
      <w:pPr>
        <w:sectPr w:rsidR="00BE71E1">
          <w:pgSz w:w="11900" w:h="16840"/>
          <w:pgMar w:top="1440" w:right="1440" w:bottom="1440" w:left="1440" w:header="709" w:footer="709" w:gutter="0"/>
          <w:cols w:space="720"/>
        </w:sectPr>
      </w:pPr>
    </w:p>
    <w:p w14:paraId="088369F4" w14:textId="61EF6518" w:rsidR="00B60940" w:rsidRPr="001832D4" w:rsidRDefault="00B60940" w:rsidP="00B60940"/>
    <w:p w14:paraId="34845D5B" w14:textId="2B2DEF60" w:rsidR="00B60940" w:rsidRDefault="005F4372" w:rsidP="005F4372">
      <w:pPr>
        <w:pStyle w:val="Caption"/>
        <w:rPr>
          <w:b w:val="0"/>
          <w:bCs w:val="0"/>
        </w:rPr>
      </w:pPr>
      <w:bookmarkStart w:id="169" w:name="_Ref96590017"/>
      <w:bookmarkStart w:id="170" w:name="_Toc101963865"/>
      <w:r>
        <w:t xml:space="preserve">Table </w:t>
      </w:r>
      <w:fldSimple w:instr=" SEQ Table \* ARABIC ">
        <w:r w:rsidR="003C13F6">
          <w:rPr>
            <w:noProof/>
          </w:rPr>
          <w:t>7</w:t>
        </w:r>
      </w:fldSimple>
      <w:bookmarkEnd w:id="169"/>
      <w:r w:rsidR="00B60940" w:rsidRPr="001832D4">
        <w:t>. Total loads of inorganic and organic matter (tonnes) in 2020-21.</w:t>
      </w:r>
      <w:r w:rsidR="00C47EC3">
        <w:t xml:space="preserve"> </w:t>
      </w:r>
      <w:r w:rsidR="00C47EC3" w:rsidRPr="00C47EC3">
        <w:t>Chl-a</w:t>
      </w:r>
      <w:r w:rsidR="00C47EC3">
        <w:t>= chlorphyll-a, ON = organic nitrogen, OP = organic phosphorus.</w:t>
      </w:r>
      <w:bookmarkEnd w:id="170"/>
    </w:p>
    <w:tbl>
      <w:tblPr>
        <w:tblStyle w:val="GridTable5Dark-Accent11"/>
        <w:tblW w:w="4710" w:type="pct"/>
        <w:tblLayout w:type="fixed"/>
        <w:tblLook w:val="04A0" w:firstRow="1" w:lastRow="0" w:firstColumn="1" w:lastColumn="0" w:noHBand="0" w:noVBand="1"/>
      </w:tblPr>
      <w:tblGrid>
        <w:gridCol w:w="2649"/>
        <w:gridCol w:w="3627"/>
        <w:gridCol w:w="1803"/>
        <w:gridCol w:w="804"/>
        <w:gridCol w:w="1135"/>
        <w:gridCol w:w="831"/>
        <w:gridCol w:w="831"/>
        <w:gridCol w:w="736"/>
        <w:gridCol w:w="725"/>
      </w:tblGrid>
      <w:tr w:rsidR="00D65011" w:rsidRPr="007018EC" w14:paraId="618AC10C" w14:textId="77777777" w:rsidTr="00D6501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tcBorders>
              <w:top w:val="single" w:sz="4" w:space="0" w:color="auto"/>
              <w:bottom w:val="single" w:sz="4" w:space="0" w:color="auto"/>
            </w:tcBorders>
            <w:shd w:val="clear" w:color="auto" w:fill="auto"/>
            <w:hideMark/>
          </w:tcPr>
          <w:p w14:paraId="618CAE1E" w14:textId="77777777" w:rsidR="001206F2" w:rsidRPr="00234EE0" w:rsidRDefault="001206F2" w:rsidP="0028547B">
            <w:pPr>
              <w:spacing w:line="240" w:lineRule="auto"/>
              <w:contextualSpacing/>
              <w:rPr>
                <w:rFonts w:cs="Calibri"/>
                <w:sz w:val="18"/>
                <w:szCs w:val="18"/>
              </w:rPr>
            </w:pPr>
            <w:r w:rsidRPr="00234EE0">
              <w:rPr>
                <w:rFonts w:cs="Calibri"/>
                <w:sz w:val="18"/>
                <w:szCs w:val="18"/>
              </w:rPr>
              <w:t>Site</w:t>
            </w:r>
          </w:p>
        </w:tc>
        <w:tc>
          <w:tcPr>
            <w:tcW w:w="1380" w:type="pct"/>
            <w:tcBorders>
              <w:top w:val="single" w:sz="4" w:space="0" w:color="auto"/>
              <w:bottom w:val="single" w:sz="4" w:space="0" w:color="auto"/>
            </w:tcBorders>
            <w:shd w:val="clear" w:color="auto" w:fill="auto"/>
            <w:hideMark/>
          </w:tcPr>
          <w:p w14:paraId="6D008CB6" w14:textId="77777777" w:rsidR="001206F2" w:rsidRPr="00234EE0" w:rsidRDefault="001206F2" w:rsidP="0028547B">
            <w:pPr>
              <w:spacing w:line="240" w:lineRule="auto"/>
              <w:contextualSpacing/>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Scenario</w:t>
            </w:r>
          </w:p>
        </w:tc>
        <w:tc>
          <w:tcPr>
            <w:tcW w:w="686" w:type="pct"/>
            <w:tcBorders>
              <w:top w:val="single" w:sz="4" w:space="0" w:color="auto"/>
              <w:bottom w:val="single" w:sz="4" w:space="0" w:color="auto"/>
            </w:tcBorders>
            <w:shd w:val="clear" w:color="auto" w:fill="auto"/>
            <w:hideMark/>
          </w:tcPr>
          <w:p w14:paraId="49231DD3"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Ammonium</w:t>
            </w:r>
          </w:p>
        </w:tc>
        <w:tc>
          <w:tcPr>
            <w:tcW w:w="306" w:type="pct"/>
            <w:tcBorders>
              <w:top w:val="single" w:sz="4" w:space="0" w:color="auto"/>
              <w:bottom w:val="single" w:sz="4" w:space="0" w:color="auto"/>
            </w:tcBorders>
            <w:shd w:val="clear" w:color="auto" w:fill="auto"/>
            <w:hideMark/>
          </w:tcPr>
          <w:p w14:paraId="633BFD4B"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Nitrate</w:t>
            </w:r>
          </w:p>
        </w:tc>
        <w:tc>
          <w:tcPr>
            <w:tcW w:w="432" w:type="pct"/>
            <w:tcBorders>
              <w:top w:val="single" w:sz="4" w:space="0" w:color="auto"/>
              <w:bottom w:val="single" w:sz="4" w:space="0" w:color="auto"/>
            </w:tcBorders>
            <w:shd w:val="clear" w:color="auto" w:fill="auto"/>
            <w:hideMark/>
          </w:tcPr>
          <w:p w14:paraId="0F7117B1"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Phosphate</w:t>
            </w:r>
          </w:p>
        </w:tc>
        <w:tc>
          <w:tcPr>
            <w:tcW w:w="316" w:type="pct"/>
            <w:tcBorders>
              <w:top w:val="single" w:sz="4" w:space="0" w:color="auto"/>
              <w:bottom w:val="single" w:sz="4" w:space="0" w:color="auto"/>
            </w:tcBorders>
            <w:shd w:val="clear" w:color="auto" w:fill="auto"/>
            <w:hideMark/>
          </w:tcPr>
          <w:p w14:paraId="00A694EE"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Silica</w:t>
            </w:r>
          </w:p>
        </w:tc>
        <w:tc>
          <w:tcPr>
            <w:tcW w:w="316" w:type="pct"/>
            <w:tcBorders>
              <w:top w:val="single" w:sz="4" w:space="0" w:color="auto"/>
              <w:bottom w:val="single" w:sz="4" w:space="0" w:color="auto"/>
            </w:tcBorders>
            <w:shd w:val="clear" w:color="auto" w:fill="auto"/>
            <w:hideMark/>
          </w:tcPr>
          <w:p w14:paraId="11AC27B6"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ON</w:t>
            </w:r>
          </w:p>
        </w:tc>
        <w:tc>
          <w:tcPr>
            <w:tcW w:w="280" w:type="pct"/>
            <w:tcBorders>
              <w:top w:val="single" w:sz="4" w:space="0" w:color="auto"/>
              <w:bottom w:val="single" w:sz="4" w:space="0" w:color="auto"/>
            </w:tcBorders>
            <w:shd w:val="clear" w:color="auto" w:fill="auto"/>
            <w:hideMark/>
          </w:tcPr>
          <w:p w14:paraId="147C1BE8"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OP</w:t>
            </w:r>
          </w:p>
        </w:tc>
        <w:tc>
          <w:tcPr>
            <w:tcW w:w="277" w:type="pct"/>
            <w:tcBorders>
              <w:top w:val="single" w:sz="4" w:space="0" w:color="auto"/>
              <w:bottom w:val="single" w:sz="4" w:space="0" w:color="auto"/>
            </w:tcBorders>
            <w:shd w:val="clear" w:color="auto" w:fill="auto"/>
            <w:hideMark/>
          </w:tcPr>
          <w:p w14:paraId="78474764" w14:textId="77777777" w:rsidR="001206F2" w:rsidRPr="00234EE0" w:rsidRDefault="001206F2" w:rsidP="0028547B">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Chl</w:t>
            </w:r>
            <w:r>
              <w:rPr>
                <w:rFonts w:cs="Calibri"/>
                <w:sz w:val="18"/>
                <w:szCs w:val="18"/>
              </w:rPr>
              <w:t>-</w:t>
            </w:r>
            <w:r w:rsidRPr="00234EE0">
              <w:rPr>
                <w:rFonts w:cs="Calibri"/>
                <w:i/>
                <w:iCs/>
                <w:sz w:val="18"/>
                <w:szCs w:val="18"/>
              </w:rPr>
              <w:t>a</w:t>
            </w:r>
          </w:p>
        </w:tc>
      </w:tr>
      <w:tr w:rsidR="00D65011" w:rsidRPr="007018EC" w14:paraId="01A5594E"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val="restart"/>
            <w:tcBorders>
              <w:top w:val="single" w:sz="4" w:space="0" w:color="auto"/>
            </w:tcBorders>
            <w:shd w:val="clear" w:color="auto" w:fill="auto"/>
            <w:hideMark/>
          </w:tcPr>
          <w:p w14:paraId="231CD961" w14:textId="77777777" w:rsidR="001206F2" w:rsidRPr="00234EE0" w:rsidRDefault="001206F2" w:rsidP="0028547B">
            <w:pPr>
              <w:spacing w:line="240" w:lineRule="auto"/>
              <w:contextualSpacing/>
              <w:rPr>
                <w:rFonts w:cs="Calibri"/>
                <w:sz w:val="18"/>
                <w:szCs w:val="18"/>
              </w:rPr>
            </w:pPr>
            <w:r w:rsidRPr="00234EE0">
              <w:rPr>
                <w:rFonts w:cs="Calibri"/>
                <w:sz w:val="18"/>
                <w:szCs w:val="18"/>
              </w:rPr>
              <w:t>Barrages (from lakes to Coorong)</w:t>
            </w:r>
          </w:p>
        </w:tc>
        <w:tc>
          <w:tcPr>
            <w:tcW w:w="1380" w:type="pct"/>
            <w:tcBorders>
              <w:top w:val="single" w:sz="4" w:space="0" w:color="auto"/>
            </w:tcBorders>
            <w:shd w:val="clear" w:color="auto" w:fill="auto"/>
            <w:hideMark/>
          </w:tcPr>
          <w:p w14:paraId="24CC26EC"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With all water</w:t>
            </w:r>
          </w:p>
        </w:tc>
        <w:tc>
          <w:tcPr>
            <w:tcW w:w="686" w:type="pct"/>
            <w:tcBorders>
              <w:top w:val="single" w:sz="4" w:space="0" w:color="auto"/>
            </w:tcBorders>
            <w:shd w:val="clear" w:color="auto" w:fill="auto"/>
            <w:noWrap/>
            <w:hideMark/>
          </w:tcPr>
          <w:p w14:paraId="46FDE68E"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31.8</w:t>
            </w:r>
          </w:p>
        </w:tc>
        <w:tc>
          <w:tcPr>
            <w:tcW w:w="306" w:type="pct"/>
            <w:tcBorders>
              <w:top w:val="single" w:sz="4" w:space="0" w:color="auto"/>
            </w:tcBorders>
            <w:shd w:val="clear" w:color="auto" w:fill="auto"/>
            <w:noWrap/>
            <w:hideMark/>
          </w:tcPr>
          <w:p w14:paraId="15829F9E"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29.7</w:t>
            </w:r>
          </w:p>
        </w:tc>
        <w:tc>
          <w:tcPr>
            <w:tcW w:w="432" w:type="pct"/>
            <w:tcBorders>
              <w:top w:val="single" w:sz="4" w:space="0" w:color="auto"/>
            </w:tcBorders>
            <w:shd w:val="clear" w:color="auto" w:fill="auto"/>
            <w:noWrap/>
            <w:hideMark/>
          </w:tcPr>
          <w:p w14:paraId="4F32358F"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55.7</w:t>
            </w:r>
          </w:p>
        </w:tc>
        <w:tc>
          <w:tcPr>
            <w:tcW w:w="316" w:type="pct"/>
            <w:tcBorders>
              <w:top w:val="single" w:sz="4" w:space="0" w:color="auto"/>
            </w:tcBorders>
            <w:shd w:val="clear" w:color="auto" w:fill="auto"/>
            <w:noWrap/>
            <w:hideMark/>
          </w:tcPr>
          <w:p w14:paraId="543D7B86"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1256.0</w:t>
            </w:r>
          </w:p>
        </w:tc>
        <w:tc>
          <w:tcPr>
            <w:tcW w:w="316" w:type="pct"/>
            <w:tcBorders>
              <w:top w:val="single" w:sz="4" w:space="0" w:color="auto"/>
            </w:tcBorders>
            <w:shd w:val="clear" w:color="auto" w:fill="auto"/>
            <w:noWrap/>
            <w:hideMark/>
          </w:tcPr>
          <w:p w14:paraId="55B8B5F2"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2328.5</w:t>
            </w:r>
          </w:p>
        </w:tc>
        <w:tc>
          <w:tcPr>
            <w:tcW w:w="280" w:type="pct"/>
            <w:tcBorders>
              <w:top w:val="single" w:sz="4" w:space="0" w:color="auto"/>
            </w:tcBorders>
            <w:shd w:val="clear" w:color="auto" w:fill="auto"/>
            <w:noWrap/>
            <w:hideMark/>
          </w:tcPr>
          <w:p w14:paraId="2A28DED4"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263.5</w:t>
            </w:r>
          </w:p>
        </w:tc>
        <w:tc>
          <w:tcPr>
            <w:tcW w:w="277" w:type="pct"/>
            <w:tcBorders>
              <w:top w:val="single" w:sz="4" w:space="0" w:color="auto"/>
            </w:tcBorders>
            <w:shd w:val="clear" w:color="auto" w:fill="auto"/>
            <w:noWrap/>
            <w:hideMark/>
          </w:tcPr>
          <w:p w14:paraId="7CF943A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43.2</w:t>
            </w:r>
          </w:p>
        </w:tc>
      </w:tr>
      <w:tr w:rsidR="00D65011" w:rsidRPr="007018EC" w14:paraId="3C397805"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3F5FADB9"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54986860"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4 years (07/2017 - 07/2021)</w:t>
            </w:r>
          </w:p>
        </w:tc>
        <w:tc>
          <w:tcPr>
            <w:tcW w:w="686" w:type="pct"/>
            <w:shd w:val="clear" w:color="auto" w:fill="auto"/>
            <w:noWrap/>
            <w:hideMark/>
          </w:tcPr>
          <w:p w14:paraId="75E90BD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15.6</w:t>
            </w:r>
          </w:p>
        </w:tc>
        <w:tc>
          <w:tcPr>
            <w:tcW w:w="306" w:type="pct"/>
            <w:shd w:val="clear" w:color="auto" w:fill="auto"/>
            <w:noWrap/>
            <w:hideMark/>
          </w:tcPr>
          <w:p w14:paraId="0877C5DF"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13.8</w:t>
            </w:r>
          </w:p>
        </w:tc>
        <w:tc>
          <w:tcPr>
            <w:tcW w:w="432" w:type="pct"/>
            <w:shd w:val="clear" w:color="auto" w:fill="auto"/>
            <w:noWrap/>
            <w:hideMark/>
          </w:tcPr>
          <w:p w14:paraId="75EEA73E"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17.6</w:t>
            </w:r>
          </w:p>
        </w:tc>
        <w:tc>
          <w:tcPr>
            <w:tcW w:w="316" w:type="pct"/>
            <w:shd w:val="clear" w:color="auto" w:fill="auto"/>
            <w:noWrap/>
            <w:hideMark/>
          </w:tcPr>
          <w:p w14:paraId="5F92EE4E"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530.0</w:t>
            </w:r>
          </w:p>
        </w:tc>
        <w:tc>
          <w:tcPr>
            <w:tcW w:w="316" w:type="pct"/>
            <w:shd w:val="clear" w:color="auto" w:fill="auto"/>
            <w:noWrap/>
            <w:hideMark/>
          </w:tcPr>
          <w:p w14:paraId="22CD1F0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926.1</w:t>
            </w:r>
          </w:p>
        </w:tc>
        <w:tc>
          <w:tcPr>
            <w:tcW w:w="280" w:type="pct"/>
            <w:shd w:val="clear" w:color="auto" w:fill="auto"/>
            <w:noWrap/>
            <w:hideMark/>
          </w:tcPr>
          <w:p w14:paraId="322CDABD"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66.1</w:t>
            </w:r>
          </w:p>
        </w:tc>
        <w:tc>
          <w:tcPr>
            <w:tcW w:w="277" w:type="pct"/>
            <w:shd w:val="clear" w:color="auto" w:fill="auto"/>
            <w:noWrap/>
            <w:hideMark/>
          </w:tcPr>
          <w:p w14:paraId="7DD0542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17.8</w:t>
            </w:r>
          </w:p>
        </w:tc>
      </w:tr>
      <w:tr w:rsidR="00D65011" w:rsidRPr="007018EC" w14:paraId="2D58EF57"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03BE2A77"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316FD81F"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686" w:type="pct"/>
            <w:shd w:val="clear" w:color="auto" w:fill="auto"/>
            <w:noWrap/>
            <w:hideMark/>
          </w:tcPr>
          <w:p w14:paraId="2AC2DC4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12.9</w:t>
            </w:r>
          </w:p>
        </w:tc>
        <w:tc>
          <w:tcPr>
            <w:tcW w:w="306" w:type="pct"/>
            <w:shd w:val="clear" w:color="auto" w:fill="auto"/>
            <w:noWrap/>
            <w:hideMark/>
          </w:tcPr>
          <w:p w14:paraId="1089606B"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10.9</w:t>
            </w:r>
          </w:p>
        </w:tc>
        <w:tc>
          <w:tcPr>
            <w:tcW w:w="432" w:type="pct"/>
            <w:shd w:val="clear" w:color="auto" w:fill="auto"/>
            <w:noWrap/>
            <w:hideMark/>
          </w:tcPr>
          <w:p w14:paraId="0144AD6F"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13.6</w:t>
            </w:r>
          </w:p>
        </w:tc>
        <w:tc>
          <w:tcPr>
            <w:tcW w:w="316" w:type="pct"/>
            <w:shd w:val="clear" w:color="auto" w:fill="auto"/>
            <w:noWrap/>
            <w:hideMark/>
          </w:tcPr>
          <w:p w14:paraId="42BE368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415.7</w:t>
            </w:r>
          </w:p>
        </w:tc>
        <w:tc>
          <w:tcPr>
            <w:tcW w:w="316" w:type="pct"/>
            <w:shd w:val="clear" w:color="auto" w:fill="auto"/>
            <w:noWrap/>
            <w:hideMark/>
          </w:tcPr>
          <w:p w14:paraId="163E52D4"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745.0</w:t>
            </w:r>
          </w:p>
        </w:tc>
        <w:tc>
          <w:tcPr>
            <w:tcW w:w="280" w:type="pct"/>
            <w:shd w:val="clear" w:color="auto" w:fill="auto"/>
            <w:noWrap/>
            <w:hideMark/>
          </w:tcPr>
          <w:p w14:paraId="6FFC4B0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54.3</w:t>
            </w:r>
          </w:p>
        </w:tc>
        <w:tc>
          <w:tcPr>
            <w:tcW w:w="277" w:type="pct"/>
            <w:shd w:val="clear" w:color="auto" w:fill="auto"/>
            <w:noWrap/>
            <w:hideMark/>
          </w:tcPr>
          <w:p w14:paraId="3CD75EB4"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14.2</w:t>
            </w:r>
          </w:p>
        </w:tc>
      </w:tr>
      <w:tr w:rsidR="00D65011" w:rsidRPr="007018EC" w14:paraId="5C42A039"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47E2AF2D"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5E6731A1"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686" w:type="pct"/>
            <w:shd w:val="clear" w:color="auto" w:fill="auto"/>
            <w:noWrap/>
            <w:hideMark/>
          </w:tcPr>
          <w:p w14:paraId="37E7D6FD"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15.6</w:t>
            </w:r>
          </w:p>
        </w:tc>
        <w:tc>
          <w:tcPr>
            <w:tcW w:w="306" w:type="pct"/>
            <w:shd w:val="clear" w:color="auto" w:fill="auto"/>
            <w:noWrap/>
            <w:hideMark/>
          </w:tcPr>
          <w:p w14:paraId="542F782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13.8</w:t>
            </w:r>
          </w:p>
        </w:tc>
        <w:tc>
          <w:tcPr>
            <w:tcW w:w="432" w:type="pct"/>
            <w:shd w:val="clear" w:color="auto" w:fill="auto"/>
            <w:noWrap/>
            <w:hideMark/>
          </w:tcPr>
          <w:p w14:paraId="3C2184F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17.6</w:t>
            </w:r>
          </w:p>
        </w:tc>
        <w:tc>
          <w:tcPr>
            <w:tcW w:w="316" w:type="pct"/>
            <w:shd w:val="clear" w:color="auto" w:fill="auto"/>
            <w:noWrap/>
            <w:hideMark/>
          </w:tcPr>
          <w:p w14:paraId="6CF73A9E"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530.0</w:t>
            </w:r>
          </w:p>
        </w:tc>
        <w:tc>
          <w:tcPr>
            <w:tcW w:w="316" w:type="pct"/>
            <w:shd w:val="clear" w:color="auto" w:fill="auto"/>
            <w:noWrap/>
            <w:hideMark/>
          </w:tcPr>
          <w:p w14:paraId="6390AA65"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926.1</w:t>
            </w:r>
          </w:p>
        </w:tc>
        <w:tc>
          <w:tcPr>
            <w:tcW w:w="280" w:type="pct"/>
            <w:shd w:val="clear" w:color="auto" w:fill="auto"/>
            <w:noWrap/>
            <w:hideMark/>
          </w:tcPr>
          <w:p w14:paraId="3FE5CD3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66.1</w:t>
            </w:r>
          </w:p>
        </w:tc>
        <w:tc>
          <w:tcPr>
            <w:tcW w:w="277" w:type="pct"/>
            <w:shd w:val="clear" w:color="auto" w:fill="auto"/>
            <w:noWrap/>
            <w:hideMark/>
          </w:tcPr>
          <w:p w14:paraId="6DFE9FB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17.8</w:t>
            </w:r>
          </w:p>
        </w:tc>
      </w:tr>
      <w:tr w:rsidR="00D65011" w:rsidRPr="007018EC" w14:paraId="2CF669BC"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03099C14" w14:textId="77777777" w:rsidR="001206F2" w:rsidRPr="00234EE0" w:rsidRDefault="001206F2" w:rsidP="0028547B">
            <w:pPr>
              <w:spacing w:line="240" w:lineRule="auto"/>
              <w:contextualSpacing/>
              <w:rPr>
                <w:rFonts w:cs="Calibri"/>
                <w:sz w:val="18"/>
                <w:szCs w:val="18"/>
              </w:rPr>
            </w:pPr>
          </w:p>
        </w:tc>
        <w:tc>
          <w:tcPr>
            <w:tcW w:w="1380" w:type="pct"/>
            <w:tcBorders>
              <w:bottom w:val="single" w:sz="4" w:space="0" w:color="auto"/>
            </w:tcBorders>
            <w:shd w:val="clear" w:color="auto" w:fill="auto"/>
            <w:hideMark/>
          </w:tcPr>
          <w:p w14:paraId="22B557ED"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686" w:type="pct"/>
            <w:tcBorders>
              <w:bottom w:val="single" w:sz="4" w:space="0" w:color="auto"/>
            </w:tcBorders>
            <w:shd w:val="clear" w:color="auto" w:fill="auto"/>
            <w:noWrap/>
            <w:hideMark/>
          </w:tcPr>
          <w:p w14:paraId="21FADC7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12.9</w:t>
            </w:r>
          </w:p>
        </w:tc>
        <w:tc>
          <w:tcPr>
            <w:tcW w:w="306" w:type="pct"/>
            <w:tcBorders>
              <w:bottom w:val="single" w:sz="4" w:space="0" w:color="auto"/>
            </w:tcBorders>
            <w:shd w:val="clear" w:color="auto" w:fill="auto"/>
            <w:noWrap/>
            <w:hideMark/>
          </w:tcPr>
          <w:p w14:paraId="2FE8A902"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10.9</w:t>
            </w:r>
          </w:p>
        </w:tc>
        <w:tc>
          <w:tcPr>
            <w:tcW w:w="432" w:type="pct"/>
            <w:tcBorders>
              <w:bottom w:val="single" w:sz="4" w:space="0" w:color="auto"/>
            </w:tcBorders>
            <w:shd w:val="clear" w:color="auto" w:fill="auto"/>
            <w:noWrap/>
            <w:hideMark/>
          </w:tcPr>
          <w:p w14:paraId="0BA87B29"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13.6</w:t>
            </w:r>
          </w:p>
        </w:tc>
        <w:tc>
          <w:tcPr>
            <w:tcW w:w="316" w:type="pct"/>
            <w:tcBorders>
              <w:bottom w:val="single" w:sz="4" w:space="0" w:color="auto"/>
            </w:tcBorders>
            <w:shd w:val="clear" w:color="auto" w:fill="auto"/>
            <w:noWrap/>
            <w:hideMark/>
          </w:tcPr>
          <w:p w14:paraId="598987AB"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415.7</w:t>
            </w:r>
          </w:p>
        </w:tc>
        <w:tc>
          <w:tcPr>
            <w:tcW w:w="316" w:type="pct"/>
            <w:tcBorders>
              <w:bottom w:val="single" w:sz="4" w:space="0" w:color="auto"/>
            </w:tcBorders>
            <w:shd w:val="clear" w:color="auto" w:fill="auto"/>
            <w:noWrap/>
            <w:hideMark/>
          </w:tcPr>
          <w:p w14:paraId="0C2698AB"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745.0</w:t>
            </w:r>
          </w:p>
        </w:tc>
        <w:tc>
          <w:tcPr>
            <w:tcW w:w="280" w:type="pct"/>
            <w:tcBorders>
              <w:bottom w:val="single" w:sz="4" w:space="0" w:color="auto"/>
            </w:tcBorders>
            <w:shd w:val="clear" w:color="auto" w:fill="auto"/>
            <w:noWrap/>
            <w:hideMark/>
          </w:tcPr>
          <w:p w14:paraId="3FBBA10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54.3</w:t>
            </w:r>
          </w:p>
        </w:tc>
        <w:tc>
          <w:tcPr>
            <w:tcW w:w="277" w:type="pct"/>
            <w:tcBorders>
              <w:bottom w:val="single" w:sz="4" w:space="0" w:color="auto"/>
            </w:tcBorders>
            <w:shd w:val="clear" w:color="auto" w:fill="auto"/>
            <w:noWrap/>
            <w:hideMark/>
          </w:tcPr>
          <w:p w14:paraId="1C1D594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14.2</w:t>
            </w:r>
          </w:p>
        </w:tc>
      </w:tr>
      <w:tr w:rsidR="00D65011" w:rsidRPr="007018EC" w14:paraId="1533948F"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val="restart"/>
            <w:tcBorders>
              <w:top w:val="single" w:sz="4" w:space="0" w:color="auto"/>
            </w:tcBorders>
            <w:shd w:val="clear" w:color="auto" w:fill="auto"/>
            <w:hideMark/>
          </w:tcPr>
          <w:p w14:paraId="04431795" w14:textId="77777777" w:rsidR="001206F2" w:rsidRPr="00234EE0" w:rsidRDefault="001206F2" w:rsidP="0028547B">
            <w:pPr>
              <w:spacing w:line="240" w:lineRule="auto"/>
              <w:contextualSpacing/>
              <w:rPr>
                <w:rFonts w:cs="Calibri"/>
                <w:sz w:val="18"/>
                <w:szCs w:val="18"/>
              </w:rPr>
            </w:pPr>
            <w:r w:rsidRPr="00234EE0">
              <w:rPr>
                <w:rFonts w:cs="Calibri"/>
                <w:sz w:val="18"/>
                <w:szCs w:val="18"/>
              </w:rPr>
              <w:t>Murray Mouth (from Southern Ocean to Coorong)</w:t>
            </w:r>
          </w:p>
        </w:tc>
        <w:tc>
          <w:tcPr>
            <w:tcW w:w="1380" w:type="pct"/>
            <w:tcBorders>
              <w:top w:val="single" w:sz="4" w:space="0" w:color="auto"/>
            </w:tcBorders>
            <w:shd w:val="clear" w:color="auto" w:fill="auto"/>
            <w:hideMark/>
          </w:tcPr>
          <w:p w14:paraId="1CEC7125"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With all water</w:t>
            </w:r>
          </w:p>
        </w:tc>
        <w:tc>
          <w:tcPr>
            <w:tcW w:w="686" w:type="pct"/>
            <w:tcBorders>
              <w:top w:val="single" w:sz="4" w:space="0" w:color="auto"/>
            </w:tcBorders>
            <w:shd w:val="clear" w:color="auto" w:fill="auto"/>
            <w:noWrap/>
            <w:hideMark/>
          </w:tcPr>
          <w:p w14:paraId="35BD4CE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-34.6</w:t>
            </w:r>
          </w:p>
        </w:tc>
        <w:tc>
          <w:tcPr>
            <w:tcW w:w="306" w:type="pct"/>
            <w:tcBorders>
              <w:top w:val="single" w:sz="4" w:space="0" w:color="auto"/>
            </w:tcBorders>
            <w:shd w:val="clear" w:color="auto" w:fill="auto"/>
            <w:noWrap/>
            <w:hideMark/>
          </w:tcPr>
          <w:p w14:paraId="3A3BA65D"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-15.5</w:t>
            </w:r>
          </w:p>
        </w:tc>
        <w:tc>
          <w:tcPr>
            <w:tcW w:w="432" w:type="pct"/>
            <w:tcBorders>
              <w:top w:val="single" w:sz="4" w:space="0" w:color="auto"/>
            </w:tcBorders>
            <w:shd w:val="clear" w:color="auto" w:fill="auto"/>
            <w:noWrap/>
            <w:hideMark/>
          </w:tcPr>
          <w:p w14:paraId="1D6A07F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-18.4</w:t>
            </w:r>
          </w:p>
        </w:tc>
        <w:tc>
          <w:tcPr>
            <w:tcW w:w="316" w:type="pct"/>
            <w:tcBorders>
              <w:top w:val="single" w:sz="4" w:space="0" w:color="auto"/>
            </w:tcBorders>
            <w:shd w:val="clear" w:color="auto" w:fill="auto"/>
            <w:noWrap/>
            <w:hideMark/>
          </w:tcPr>
          <w:p w14:paraId="07C061D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-1172.8</w:t>
            </w:r>
          </w:p>
        </w:tc>
        <w:tc>
          <w:tcPr>
            <w:tcW w:w="316" w:type="pct"/>
            <w:tcBorders>
              <w:top w:val="single" w:sz="4" w:space="0" w:color="auto"/>
            </w:tcBorders>
            <w:shd w:val="clear" w:color="auto" w:fill="auto"/>
            <w:noWrap/>
            <w:hideMark/>
          </w:tcPr>
          <w:p w14:paraId="7A75C65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-1276.1</w:t>
            </w:r>
          </w:p>
        </w:tc>
        <w:tc>
          <w:tcPr>
            <w:tcW w:w="280" w:type="pct"/>
            <w:tcBorders>
              <w:top w:val="single" w:sz="4" w:space="0" w:color="auto"/>
            </w:tcBorders>
            <w:shd w:val="clear" w:color="auto" w:fill="auto"/>
            <w:noWrap/>
            <w:hideMark/>
          </w:tcPr>
          <w:p w14:paraId="1347375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-110.6</w:t>
            </w:r>
          </w:p>
        </w:tc>
        <w:tc>
          <w:tcPr>
            <w:tcW w:w="277" w:type="pct"/>
            <w:tcBorders>
              <w:top w:val="single" w:sz="4" w:space="0" w:color="auto"/>
            </w:tcBorders>
            <w:shd w:val="clear" w:color="auto" w:fill="auto"/>
            <w:noWrap/>
            <w:hideMark/>
          </w:tcPr>
          <w:p w14:paraId="2E23244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-31.6</w:t>
            </w:r>
          </w:p>
        </w:tc>
      </w:tr>
      <w:tr w:rsidR="00D65011" w:rsidRPr="007018EC" w14:paraId="7F7A57F4"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76D6E07A"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2C6EA0CE"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4 years (07/2017 - 07/2021)</w:t>
            </w:r>
          </w:p>
        </w:tc>
        <w:tc>
          <w:tcPr>
            <w:tcW w:w="686" w:type="pct"/>
            <w:shd w:val="clear" w:color="auto" w:fill="auto"/>
            <w:noWrap/>
            <w:hideMark/>
          </w:tcPr>
          <w:p w14:paraId="2B1BDBAC"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-23.3</w:t>
            </w:r>
          </w:p>
        </w:tc>
        <w:tc>
          <w:tcPr>
            <w:tcW w:w="306" w:type="pct"/>
            <w:shd w:val="clear" w:color="auto" w:fill="auto"/>
            <w:noWrap/>
            <w:hideMark/>
          </w:tcPr>
          <w:p w14:paraId="66C7315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-9.6</w:t>
            </w:r>
          </w:p>
        </w:tc>
        <w:tc>
          <w:tcPr>
            <w:tcW w:w="432" w:type="pct"/>
            <w:shd w:val="clear" w:color="auto" w:fill="auto"/>
            <w:noWrap/>
            <w:hideMark/>
          </w:tcPr>
          <w:p w14:paraId="02BCF156"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-5.0</w:t>
            </w:r>
          </w:p>
        </w:tc>
        <w:tc>
          <w:tcPr>
            <w:tcW w:w="316" w:type="pct"/>
            <w:shd w:val="clear" w:color="auto" w:fill="auto"/>
            <w:noWrap/>
            <w:hideMark/>
          </w:tcPr>
          <w:p w14:paraId="2583271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-373.3</w:t>
            </w:r>
          </w:p>
        </w:tc>
        <w:tc>
          <w:tcPr>
            <w:tcW w:w="316" w:type="pct"/>
            <w:shd w:val="clear" w:color="auto" w:fill="auto"/>
            <w:noWrap/>
            <w:hideMark/>
          </w:tcPr>
          <w:p w14:paraId="337F75B3"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-380.7</w:t>
            </w:r>
          </w:p>
        </w:tc>
        <w:tc>
          <w:tcPr>
            <w:tcW w:w="280" w:type="pct"/>
            <w:shd w:val="clear" w:color="auto" w:fill="auto"/>
            <w:noWrap/>
            <w:hideMark/>
          </w:tcPr>
          <w:p w14:paraId="3BD3246D"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-18.9</w:t>
            </w:r>
          </w:p>
        </w:tc>
        <w:tc>
          <w:tcPr>
            <w:tcW w:w="277" w:type="pct"/>
            <w:shd w:val="clear" w:color="auto" w:fill="auto"/>
            <w:noWrap/>
            <w:hideMark/>
          </w:tcPr>
          <w:p w14:paraId="2E293F9E"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-3.7</w:t>
            </w:r>
          </w:p>
        </w:tc>
      </w:tr>
      <w:tr w:rsidR="00D65011" w:rsidRPr="007018EC" w14:paraId="5F03CAF8"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138D1764"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26C71299"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686" w:type="pct"/>
            <w:shd w:val="clear" w:color="auto" w:fill="auto"/>
            <w:noWrap/>
            <w:hideMark/>
          </w:tcPr>
          <w:p w14:paraId="3E21450F"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-21.0</w:t>
            </w:r>
          </w:p>
        </w:tc>
        <w:tc>
          <w:tcPr>
            <w:tcW w:w="306" w:type="pct"/>
            <w:shd w:val="clear" w:color="auto" w:fill="auto"/>
            <w:noWrap/>
            <w:hideMark/>
          </w:tcPr>
          <w:p w14:paraId="1D63233F"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-7.7</w:t>
            </w:r>
          </w:p>
        </w:tc>
        <w:tc>
          <w:tcPr>
            <w:tcW w:w="432" w:type="pct"/>
            <w:shd w:val="clear" w:color="auto" w:fill="auto"/>
            <w:noWrap/>
            <w:hideMark/>
          </w:tcPr>
          <w:p w14:paraId="7F4BF6B5"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-3.4</w:t>
            </w:r>
          </w:p>
        </w:tc>
        <w:tc>
          <w:tcPr>
            <w:tcW w:w="316" w:type="pct"/>
            <w:shd w:val="clear" w:color="auto" w:fill="auto"/>
            <w:noWrap/>
            <w:hideMark/>
          </w:tcPr>
          <w:p w14:paraId="20448141"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-250.2</w:t>
            </w:r>
          </w:p>
        </w:tc>
        <w:tc>
          <w:tcPr>
            <w:tcW w:w="316" w:type="pct"/>
            <w:shd w:val="clear" w:color="auto" w:fill="auto"/>
            <w:noWrap/>
            <w:hideMark/>
          </w:tcPr>
          <w:p w14:paraId="7F1F6C0F"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-256.6</w:t>
            </w:r>
          </w:p>
        </w:tc>
        <w:tc>
          <w:tcPr>
            <w:tcW w:w="280" w:type="pct"/>
            <w:shd w:val="clear" w:color="auto" w:fill="auto"/>
            <w:noWrap/>
            <w:hideMark/>
          </w:tcPr>
          <w:p w14:paraId="7381664B"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-12.7</w:t>
            </w:r>
          </w:p>
        </w:tc>
        <w:tc>
          <w:tcPr>
            <w:tcW w:w="277" w:type="pct"/>
            <w:shd w:val="clear" w:color="auto" w:fill="auto"/>
            <w:noWrap/>
            <w:hideMark/>
          </w:tcPr>
          <w:p w14:paraId="463E4C5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0.4</w:t>
            </w:r>
          </w:p>
        </w:tc>
      </w:tr>
      <w:tr w:rsidR="00D65011" w:rsidRPr="007018EC" w14:paraId="2AEA3CC9"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2F8E87BA"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09F9B92C"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686" w:type="pct"/>
            <w:shd w:val="clear" w:color="auto" w:fill="auto"/>
            <w:noWrap/>
            <w:hideMark/>
          </w:tcPr>
          <w:p w14:paraId="4C41953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-24.8</w:t>
            </w:r>
          </w:p>
        </w:tc>
        <w:tc>
          <w:tcPr>
            <w:tcW w:w="306" w:type="pct"/>
            <w:shd w:val="clear" w:color="auto" w:fill="auto"/>
            <w:noWrap/>
            <w:hideMark/>
          </w:tcPr>
          <w:p w14:paraId="0B063CB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-12.1</w:t>
            </w:r>
          </w:p>
        </w:tc>
        <w:tc>
          <w:tcPr>
            <w:tcW w:w="432" w:type="pct"/>
            <w:shd w:val="clear" w:color="auto" w:fill="auto"/>
            <w:noWrap/>
            <w:hideMark/>
          </w:tcPr>
          <w:p w14:paraId="09541B3D"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-5.0</w:t>
            </w:r>
          </w:p>
        </w:tc>
        <w:tc>
          <w:tcPr>
            <w:tcW w:w="316" w:type="pct"/>
            <w:shd w:val="clear" w:color="auto" w:fill="auto"/>
            <w:noWrap/>
            <w:hideMark/>
          </w:tcPr>
          <w:p w14:paraId="7AA5B611"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-363.0</w:t>
            </w:r>
          </w:p>
        </w:tc>
        <w:tc>
          <w:tcPr>
            <w:tcW w:w="316" w:type="pct"/>
            <w:shd w:val="clear" w:color="auto" w:fill="auto"/>
            <w:noWrap/>
            <w:hideMark/>
          </w:tcPr>
          <w:p w14:paraId="4246B23F"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-383.2</w:t>
            </w:r>
          </w:p>
        </w:tc>
        <w:tc>
          <w:tcPr>
            <w:tcW w:w="280" w:type="pct"/>
            <w:shd w:val="clear" w:color="auto" w:fill="auto"/>
            <w:noWrap/>
            <w:hideMark/>
          </w:tcPr>
          <w:p w14:paraId="2D30EF5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-18.5</w:t>
            </w:r>
          </w:p>
        </w:tc>
        <w:tc>
          <w:tcPr>
            <w:tcW w:w="277" w:type="pct"/>
            <w:shd w:val="clear" w:color="auto" w:fill="auto"/>
            <w:noWrap/>
            <w:hideMark/>
          </w:tcPr>
          <w:p w14:paraId="495A5E8E"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-4.0</w:t>
            </w:r>
          </w:p>
        </w:tc>
      </w:tr>
      <w:tr w:rsidR="00D65011" w:rsidRPr="007018EC" w14:paraId="2719C57D"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772AC4A1" w14:textId="77777777" w:rsidR="001206F2" w:rsidRPr="00234EE0" w:rsidRDefault="001206F2" w:rsidP="0028547B">
            <w:pPr>
              <w:spacing w:line="240" w:lineRule="auto"/>
              <w:contextualSpacing/>
              <w:rPr>
                <w:rFonts w:cs="Calibri"/>
                <w:sz w:val="18"/>
                <w:szCs w:val="18"/>
              </w:rPr>
            </w:pPr>
          </w:p>
        </w:tc>
        <w:tc>
          <w:tcPr>
            <w:tcW w:w="1380" w:type="pct"/>
            <w:tcBorders>
              <w:bottom w:val="single" w:sz="4" w:space="0" w:color="auto"/>
            </w:tcBorders>
            <w:shd w:val="clear" w:color="auto" w:fill="auto"/>
            <w:hideMark/>
          </w:tcPr>
          <w:p w14:paraId="3EC65DFB"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686" w:type="pct"/>
            <w:tcBorders>
              <w:bottom w:val="single" w:sz="4" w:space="0" w:color="auto"/>
            </w:tcBorders>
            <w:shd w:val="clear" w:color="auto" w:fill="auto"/>
            <w:noWrap/>
            <w:hideMark/>
          </w:tcPr>
          <w:p w14:paraId="5B104C03"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-22.6</w:t>
            </w:r>
          </w:p>
        </w:tc>
        <w:tc>
          <w:tcPr>
            <w:tcW w:w="306" w:type="pct"/>
            <w:tcBorders>
              <w:bottom w:val="single" w:sz="4" w:space="0" w:color="auto"/>
            </w:tcBorders>
            <w:shd w:val="clear" w:color="auto" w:fill="auto"/>
            <w:noWrap/>
            <w:hideMark/>
          </w:tcPr>
          <w:p w14:paraId="1B40E32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-10.5</w:t>
            </w:r>
          </w:p>
        </w:tc>
        <w:tc>
          <w:tcPr>
            <w:tcW w:w="432" w:type="pct"/>
            <w:tcBorders>
              <w:bottom w:val="single" w:sz="4" w:space="0" w:color="auto"/>
            </w:tcBorders>
            <w:shd w:val="clear" w:color="auto" w:fill="auto"/>
            <w:noWrap/>
            <w:hideMark/>
          </w:tcPr>
          <w:p w14:paraId="23576E1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-3.4</w:t>
            </w:r>
          </w:p>
        </w:tc>
        <w:tc>
          <w:tcPr>
            <w:tcW w:w="316" w:type="pct"/>
            <w:tcBorders>
              <w:bottom w:val="single" w:sz="4" w:space="0" w:color="auto"/>
            </w:tcBorders>
            <w:shd w:val="clear" w:color="auto" w:fill="auto"/>
            <w:noWrap/>
            <w:hideMark/>
          </w:tcPr>
          <w:p w14:paraId="6C274C2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-238.5</w:t>
            </w:r>
          </w:p>
        </w:tc>
        <w:tc>
          <w:tcPr>
            <w:tcW w:w="316" w:type="pct"/>
            <w:tcBorders>
              <w:bottom w:val="single" w:sz="4" w:space="0" w:color="auto"/>
            </w:tcBorders>
            <w:shd w:val="clear" w:color="auto" w:fill="auto"/>
            <w:noWrap/>
            <w:hideMark/>
          </w:tcPr>
          <w:p w14:paraId="3AA198A3"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-258.9</w:t>
            </w:r>
          </w:p>
        </w:tc>
        <w:tc>
          <w:tcPr>
            <w:tcW w:w="280" w:type="pct"/>
            <w:tcBorders>
              <w:bottom w:val="single" w:sz="4" w:space="0" w:color="auto"/>
            </w:tcBorders>
            <w:shd w:val="clear" w:color="auto" w:fill="auto"/>
            <w:noWrap/>
            <w:hideMark/>
          </w:tcPr>
          <w:p w14:paraId="646973A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-12.2</w:t>
            </w:r>
          </w:p>
        </w:tc>
        <w:tc>
          <w:tcPr>
            <w:tcW w:w="277" w:type="pct"/>
            <w:tcBorders>
              <w:bottom w:val="single" w:sz="4" w:space="0" w:color="auto"/>
            </w:tcBorders>
            <w:shd w:val="clear" w:color="auto" w:fill="auto"/>
            <w:noWrap/>
            <w:hideMark/>
          </w:tcPr>
          <w:p w14:paraId="3C87216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0.02</w:t>
            </w:r>
          </w:p>
        </w:tc>
      </w:tr>
      <w:tr w:rsidR="00D65011" w:rsidRPr="007018EC" w14:paraId="2805D1FD"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val="restart"/>
            <w:tcBorders>
              <w:top w:val="single" w:sz="4" w:space="0" w:color="auto"/>
            </w:tcBorders>
            <w:shd w:val="clear" w:color="auto" w:fill="auto"/>
            <w:hideMark/>
          </w:tcPr>
          <w:p w14:paraId="22BA080E" w14:textId="77777777" w:rsidR="001206F2" w:rsidRPr="00234EE0" w:rsidRDefault="001206F2" w:rsidP="0028547B">
            <w:pPr>
              <w:spacing w:line="240" w:lineRule="auto"/>
              <w:contextualSpacing/>
              <w:rPr>
                <w:rFonts w:cs="Calibri"/>
                <w:sz w:val="18"/>
                <w:szCs w:val="18"/>
              </w:rPr>
            </w:pPr>
            <w:r w:rsidRPr="00234EE0">
              <w:rPr>
                <w:rFonts w:cs="Calibri"/>
                <w:sz w:val="18"/>
                <w:szCs w:val="18"/>
              </w:rPr>
              <w:t>North Lagoon (southward)</w:t>
            </w:r>
          </w:p>
        </w:tc>
        <w:tc>
          <w:tcPr>
            <w:tcW w:w="1380" w:type="pct"/>
            <w:tcBorders>
              <w:top w:val="single" w:sz="4" w:space="0" w:color="auto"/>
            </w:tcBorders>
            <w:shd w:val="clear" w:color="auto" w:fill="auto"/>
            <w:hideMark/>
          </w:tcPr>
          <w:p w14:paraId="55D3CB0A"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With all water</w:t>
            </w:r>
          </w:p>
        </w:tc>
        <w:tc>
          <w:tcPr>
            <w:tcW w:w="686" w:type="pct"/>
            <w:tcBorders>
              <w:top w:val="single" w:sz="4" w:space="0" w:color="auto"/>
            </w:tcBorders>
            <w:shd w:val="clear" w:color="auto" w:fill="auto"/>
            <w:noWrap/>
            <w:hideMark/>
          </w:tcPr>
          <w:p w14:paraId="39212330"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-1.1</w:t>
            </w:r>
          </w:p>
        </w:tc>
        <w:tc>
          <w:tcPr>
            <w:tcW w:w="306" w:type="pct"/>
            <w:tcBorders>
              <w:top w:val="single" w:sz="4" w:space="0" w:color="auto"/>
            </w:tcBorders>
            <w:shd w:val="clear" w:color="auto" w:fill="auto"/>
            <w:noWrap/>
            <w:hideMark/>
          </w:tcPr>
          <w:p w14:paraId="474FB923"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2.7</w:t>
            </w:r>
          </w:p>
        </w:tc>
        <w:tc>
          <w:tcPr>
            <w:tcW w:w="432" w:type="pct"/>
            <w:tcBorders>
              <w:top w:val="single" w:sz="4" w:space="0" w:color="auto"/>
            </w:tcBorders>
            <w:shd w:val="clear" w:color="auto" w:fill="auto"/>
            <w:noWrap/>
            <w:hideMark/>
          </w:tcPr>
          <w:p w14:paraId="587E3F3E"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14.1</w:t>
            </w:r>
          </w:p>
        </w:tc>
        <w:tc>
          <w:tcPr>
            <w:tcW w:w="316" w:type="pct"/>
            <w:tcBorders>
              <w:top w:val="single" w:sz="4" w:space="0" w:color="auto"/>
            </w:tcBorders>
            <w:shd w:val="clear" w:color="auto" w:fill="auto"/>
            <w:noWrap/>
            <w:hideMark/>
          </w:tcPr>
          <w:p w14:paraId="7E4D0AF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72.4</w:t>
            </w:r>
          </w:p>
        </w:tc>
        <w:tc>
          <w:tcPr>
            <w:tcW w:w="316" w:type="pct"/>
            <w:tcBorders>
              <w:top w:val="single" w:sz="4" w:space="0" w:color="auto"/>
            </w:tcBorders>
            <w:shd w:val="clear" w:color="auto" w:fill="auto"/>
            <w:noWrap/>
            <w:hideMark/>
          </w:tcPr>
          <w:p w14:paraId="6CAA463F"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254.5</w:t>
            </w:r>
          </w:p>
        </w:tc>
        <w:tc>
          <w:tcPr>
            <w:tcW w:w="280" w:type="pct"/>
            <w:tcBorders>
              <w:top w:val="single" w:sz="4" w:space="0" w:color="auto"/>
            </w:tcBorders>
            <w:shd w:val="clear" w:color="auto" w:fill="auto"/>
            <w:noWrap/>
            <w:hideMark/>
          </w:tcPr>
          <w:p w14:paraId="5B55D8CB"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57.2</w:t>
            </w:r>
          </w:p>
        </w:tc>
        <w:tc>
          <w:tcPr>
            <w:tcW w:w="277" w:type="pct"/>
            <w:tcBorders>
              <w:top w:val="single" w:sz="4" w:space="0" w:color="auto"/>
            </w:tcBorders>
            <w:shd w:val="clear" w:color="auto" w:fill="auto"/>
            <w:noWrap/>
            <w:hideMark/>
          </w:tcPr>
          <w:p w14:paraId="076AD1F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5.7</w:t>
            </w:r>
          </w:p>
        </w:tc>
      </w:tr>
      <w:tr w:rsidR="00D65011" w:rsidRPr="007018EC" w14:paraId="31062206"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0255A7E9"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2B1756AF"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4 years (07/2017 - 07/2021)</w:t>
            </w:r>
          </w:p>
        </w:tc>
        <w:tc>
          <w:tcPr>
            <w:tcW w:w="686" w:type="pct"/>
            <w:shd w:val="clear" w:color="auto" w:fill="auto"/>
            <w:noWrap/>
            <w:hideMark/>
          </w:tcPr>
          <w:p w14:paraId="3965448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2.1</w:t>
            </w:r>
          </w:p>
        </w:tc>
        <w:tc>
          <w:tcPr>
            <w:tcW w:w="306" w:type="pct"/>
            <w:shd w:val="clear" w:color="auto" w:fill="auto"/>
            <w:noWrap/>
            <w:hideMark/>
          </w:tcPr>
          <w:p w14:paraId="7D02CE6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2.6</w:t>
            </w:r>
          </w:p>
        </w:tc>
        <w:tc>
          <w:tcPr>
            <w:tcW w:w="432" w:type="pct"/>
            <w:shd w:val="clear" w:color="auto" w:fill="auto"/>
            <w:noWrap/>
            <w:hideMark/>
          </w:tcPr>
          <w:p w14:paraId="6FB60E33"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4.0</w:t>
            </w:r>
          </w:p>
        </w:tc>
        <w:tc>
          <w:tcPr>
            <w:tcW w:w="316" w:type="pct"/>
            <w:shd w:val="clear" w:color="auto" w:fill="auto"/>
            <w:noWrap/>
            <w:hideMark/>
          </w:tcPr>
          <w:p w14:paraId="364BBC3B"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149.4</w:t>
            </w:r>
          </w:p>
        </w:tc>
        <w:tc>
          <w:tcPr>
            <w:tcW w:w="316" w:type="pct"/>
            <w:shd w:val="clear" w:color="auto" w:fill="auto"/>
            <w:noWrap/>
            <w:hideMark/>
          </w:tcPr>
          <w:p w14:paraId="1280E71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181.0</w:t>
            </w:r>
          </w:p>
        </w:tc>
        <w:tc>
          <w:tcPr>
            <w:tcW w:w="280" w:type="pct"/>
            <w:shd w:val="clear" w:color="auto" w:fill="auto"/>
            <w:noWrap/>
            <w:hideMark/>
          </w:tcPr>
          <w:p w14:paraId="762E5E61"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19.8</w:t>
            </w:r>
          </w:p>
        </w:tc>
        <w:tc>
          <w:tcPr>
            <w:tcW w:w="277" w:type="pct"/>
            <w:shd w:val="clear" w:color="auto" w:fill="auto"/>
            <w:noWrap/>
            <w:hideMark/>
          </w:tcPr>
          <w:p w14:paraId="6BE7A732"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6.0</w:t>
            </w:r>
          </w:p>
        </w:tc>
      </w:tr>
      <w:tr w:rsidR="00D65011" w:rsidRPr="007018EC" w14:paraId="35723644"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53541991"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5C65C443"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686" w:type="pct"/>
            <w:shd w:val="clear" w:color="auto" w:fill="auto"/>
            <w:noWrap/>
            <w:hideMark/>
          </w:tcPr>
          <w:p w14:paraId="4727307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3.0</w:t>
            </w:r>
          </w:p>
        </w:tc>
        <w:tc>
          <w:tcPr>
            <w:tcW w:w="306" w:type="pct"/>
            <w:shd w:val="clear" w:color="auto" w:fill="auto"/>
            <w:noWrap/>
            <w:hideMark/>
          </w:tcPr>
          <w:p w14:paraId="457AC47B"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3.0</w:t>
            </w:r>
          </w:p>
        </w:tc>
        <w:tc>
          <w:tcPr>
            <w:tcW w:w="432" w:type="pct"/>
            <w:shd w:val="clear" w:color="auto" w:fill="auto"/>
            <w:noWrap/>
            <w:hideMark/>
          </w:tcPr>
          <w:p w14:paraId="11D08392"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3.2</w:t>
            </w:r>
          </w:p>
        </w:tc>
        <w:tc>
          <w:tcPr>
            <w:tcW w:w="316" w:type="pct"/>
            <w:shd w:val="clear" w:color="auto" w:fill="auto"/>
            <w:noWrap/>
            <w:hideMark/>
          </w:tcPr>
          <w:p w14:paraId="07542633"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158.5</w:t>
            </w:r>
          </w:p>
        </w:tc>
        <w:tc>
          <w:tcPr>
            <w:tcW w:w="316" w:type="pct"/>
            <w:shd w:val="clear" w:color="auto" w:fill="auto"/>
            <w:noWrap/>
            <w:hideMark/>
          </w:tcPr>
          <w:p w14:paraId="424A21CF"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174.3</w:t>
            </w:r>
          </w:p>
        </w:tc>
        <w:tc>
          <w:tcPr>
            <w:tcW w:w="280" w:type="pct"/>
            <w:shd w:val="clear" w:color="auto" w:fill="auto"/>
            <w:noWrap/>
            <w:hideMark/>
          </w:tcPr>
          <w:p w14:paraId="30FFCD4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18.1</w:t>
            </w:r>
          </w:p>
        </w:tc>
        <w:tc>
          <w:tcPr>
            <w:tcW w:w="277" w:type="pct"/>
            <w:shd w:val="clear" w:color="auto" w:fill="auto"/>
            <w:noWrap/>
            <w:hideMark/>
          </w:tcPr>
          <w:p w14:paraId="6072F6C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6.1</w:t>
            </w:r>
          </w:p>
        </w:tc>
      </w:tr>
      <w:tr w:rsidR="00D65011" w:rsidRPr="007018EC" w14:paraId="0F71E1AF"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shd w:val="clear" w:color="auto" w:fill="auto"/>
            <w:hideMark/>
          </w:tcPr>
          <w:p w14:paraId="79989FD9"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6F393D2B"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686" w:type="pct"/>
            <w:shd w:val="clear" w:color="auto" w:fill="auto"/>
            <w:noWrap/>
            <w:hideMark/>
          </w:tcPr>
          <w:p w14:paraId="01EC85D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1.0</w:t>
            </w:r>
          </w:p>
        </w:tc>
        <w:tc>
          <w:tcPr>
            <w:tcW w:w="306" w:type="pct"/>
            <w:shd w:val="clear" w:color="auto" w:fill="auto"/>
            <w:noWrap/>
            <w:hideMark/>
          </w:tcPr>
          <w:p w14:paraId="69D7869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w:t>
            </w:r>
          </w:p>
        </w:tc>
        <w:tc>
          <w:tcPr>
            <w:tcW w:w="432" w:type="pct"/>
            <w:shd w:val="clear" w:color="auto" w:fill="auto"/>
            <w:noWrap/>
            <w:hideMark/>
          </w:tcPr>
          <w:p w14:paraId="0C53F20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4.0</w:t>
            </w:r>
          </w:p>
        </w:tc>
        <w:tc>
          <w:tcPr>
            <w:tcW w:w="316" w:type="pct"/>
            <w:shd w:val="clear" w:color="auto" w:fill="auto"/>
            <w:noWrap/>
            <w:hideMark/>
          </w:tcPr>
          <w:p w14:paraId="0B78E1D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155.7</w:t>
            </w:r>
          </w:p>
        </w:tc>
        <w:tc>
          <w:tcPr>
            <w:tcW w:w="316" w:type="pct"/>
            <w:shd w:val="clear" w:color="auto" w:fill="auto"/>
            <w:noWrap/>
            <w:hideMark/>
          </w:tcPr>
          <w:p w14:paraId="377CD32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177.3</w:t>
            </w:r>
          </w:p>
        </w:tc>
        <w:tc>
          <w:tcPr>
            <w:tcW w:w="280" w:type="pct"/>
            <w:shd w:val="clear" w:color="auto" w:fill="auto"/>
            <w:noWrap/>
            <w:hideMark/>
          </w:tcPr>
          <w:p w14:paraId="4ABCE45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20.0</w:t>
            </w:r>
          </w:p>
        </w:tc>
        <w:tc>
          <w:tcPr>
            <w:tcW w:w="277" w:type="pct"/>
            <w:shd w:val="clear" w:color="auto" w:fill="auto"/>
            <w:noWrap/>
            <w:hideMark/>
          </w:tcPr>
          <w:p w14:paraId="4B90DCC2"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5.9</w:t>
            </w:r>
          </w:p>
        </w:tc>
      </w:tr>
      <w:tr w:rsidR="00D65011" w:rsidRPr="007018EC" w14:paraId="3DD45CD4"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1EEBBCEF" w14:textId="77777777" w:rsidR="001206F2" w:rsidRPr="00234EE0" w:rsidRDefault="001206F2" w:rsidP="0028547B">
            <w:pPr>
              <w:spacing w:line="240" w:lineRule="auto"/>
              <w:contextualSpacing/>
              <w:rPr>
                <w:rFonts w:cs="Calibri"/>
                <w:sz w:val="18"/>
                <w:szCs w:val="18"/>
              </w:rPr>
            </w:pPr>
          </w:p>
        </w:tc>
        <w:tc>
          <w:tcPr>
            <w:tcW w:w="1380" w:type="pct"/>
            <w:tcBorders>
              <w:bottom w:val="single" w:sz="4" w:space="0" w:color="auto"/>
            </w:tcBorders>
            <w:shd w:val="clear" w:color="auto" w:fill="auto"/>
            <w:hideMark/>
          </w:tcPr>
          <w:p w14:paraId="54BBE5CE"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686" w:type="pct"/>
            <w:tcBorders>
              <w:bottom w:val="single" w:sz="4" w:space="0" w:color="auto"/>
            </w:tcBorders>
            <w:shd w:val="clear" w:color="auto" w:fill="auto"/>
            <w:noWrap/>
            <w:hideMark/>
          </w:tcPr>
          <w:p w14:paraId="476BE68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w:t>
            </w:r>
          </w:p>
        </w:tc>
        <w:tc>
          <w:tcPr>
            <w:tcW w:w="306" w:type="pct"/>
            <w:tcBorders>
              <w:bottom w:val="single" w:sz="4" w:space="0" w:color="auto"/>
            </w:tcBorders>
            <w:shd w:val="clear" w:color="auto" w:fill="auto"/>
            <w:noWrap/>
            <w:hideMark/>
          </w:tcPr>
          <w:p w14:paraId="1177A8F4"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1.4</w:t>
            </w:r>
          </w:p>
        </w:tc>
        <w:tc>
          <w:tcPr>
            <w:tcW w:w="432" w:type="pct"/>
            <w:tcBorders>
              <w:bottom w:val="single" w:sz="4" w:space="0" w:color="auto"/>
            </w:tcBorders>
            <w:shd w:val="clear" w:color="auto" w:fill="auto"/>
            <w:noWrap/>
            <w:hideMark/>
          </w:tcPr>
          <w:p w14:paraId="36995F4D"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3.2</w:t>
            </w:r>
          </w:p>
        </w:tc>
        <w:tc>
          <w:tcPr>
            <w:tcW w:w="316" w:type="pct"/>
            <w:tcBorders>
              <w:bottom w:val="single" w:sz="4" w:space="0" w:color="auto"/>
            </w:tcBorders>
            <w:shd w:val="clear" w:color="auto" w:fill="auto"/>
            <w:noWrap/>
            <w:hideMark/>
          </w:tcPr>
          <w:p w14:paraId="34E9CB7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166.1</w:t>
            </w:r>
          </w:p>
        </w:tc>
        <w:tc>
          <w:tcPr>
            <w:tcW w:w="316" w:type="pct"/>
            <w:tcBorders>
              <w:bottom w:val="single" w:sz="4" w:space="0" w:color="auto"/>
            </w:tcBorders>
            <w:shd w:val="clear" w:color="auto" w:fill="auto"/>
            <w:noWrap/>
            <w:hideMark/>
          </w:tcPr>
          <w:p w14:paraId="082F5A71"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171.3</w:t>
            </w:r>
          </w:p>
        </w:tc>
        <w:tc>
          <w:tcPr>
            <w:tcW w:w="280" w:type="pct"/>
            <w:tcBorders>
              <w:bottom w:val="single" w:sz="4" w:space="0" w:color="auto"/>
            </w:tcBorders>
            <w:shd w:val="clear" w:color="auto" w:fill="auto"/>
            <w:noWrap/>
            <w:hideMark/>
          </w:tcPr>
          <w:p w14:paraId="1BAD5C19"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18.4</w:t>
            </w:r>
          </w:p>
        </w:tc>
        <w:tc>
          <w:tcPr>
            <w:tcW w:w="277" w:type="pct"/>
            <w:tcBorders>
              <w:bottom w:val="single" w:sz="4" w:space="0" w:color="auto"/>
            </w:tcBorders>
            <w:shd w:val="clear" w:color="auto" w:fill="auto"/>
            <w:noWrap/>
            <w:hideMark/>
          </w:tcPr>
          <w:p w14:paraId="64B2E3A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5.9</w:t>
            </w:r>
          </w:p>
        </w:tc>
      </w:tr>
      <w:tr w:rsidR="00D65011" w:rsidRPr="007018EC" w14:paraId="787FAE7B"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val="restart"/>
            <w:tcBorders>
              <w:top w:val="single" w:sz="4" w:space="0" w:color="auto"/>
              <w:bottom w:val="single" w:sz="4" w:space="0" w:color="auto"/>
            </w:tcBorders>
            <w:shd w:val="clear" w:color="auto" w:fill="auto"/>
            <w:hideMark/>
          </w:tcPr>
          <w:p w14:paraId="16F9FEB8" w14:textId="77777777" w:rsidR="001206F2" w:rsidRPr="00234EE0" w:rsidRDefault="001206F2" w:rsidP="0028547B">
            <w:pPr>
              <w:spacing w:line="240" w:lineRule="auto"/>
              <w:contextualSpacing/>
              <w:rPr>
                <w:rFonts w:cs="Calibri"/>
                <w:sz w:val="18"/>
                <w:szCs w:val="18"/>
              </w:rPr>
            </w:pPr>
            <w:r w:rsidRPr="00234EE0">
              <w:rPr>
                <w:rFonts w:cs="Calibri"/>
                <w:sz w:val="18"/>
                <w:szCs w:val="18"/>
              </w:rPr>
              <w:t>South Lagoon (southward)</w:t>
            </w:r>
          </w:p>
        </w:tc>
        <w:tc>
          <w:tcPr>
            <w:tcW w:w="1380" w:type="pct"/>
            <w:tcBorders>
              <w:top w:val="single" w:sz="4" w:space="0" w:color="auto"/>
            </w:tcBorders>
            <w:shd w:val="clear" w:color="auto" w:fill="auto"/>
            <w:hideMark/>
          </w:tcPr>
          <w:p w14:paraId="0FAD9A2F"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With all water</w:t>
            </w:r>
          </w:p>
        </w:tc>
        <w:tc>
          <w:tcPr>
            <w:tcW w:w="686" w:type="pct"/>
            <w:tcBorders>
              <w:top w:val="single" w:sz="4" w:space="0" w:color="auto"/>
            </w:tcBorders>
            <w:shd w:val="clear" w:color="auto" w:fill="auto"/>
            <w:noWrap/>
            <w:hideMark/>
          </w:tcPr>
          <w:p w14:paraId="1200BF8A"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9.7</w:t>
            </w:r>
          </w:p>
        </w:tc>
        <w:tc>
          <w:tcPr>
            <w:tcW w:w="306" w:type="pct"/>
            <w:tcBorders>
              <w:top w:val="single" w:sz="4" w:space="0" w:color="auto"/>
            </w:tcBorders>
            <w:shd w:val="clear" w:color="auto" w:fill="auto"/>
            <w:noWrap/>
            <w:hideMark/>
          </w:tcPr>
          <w:p w14:paraId="41C0C90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2.1</w:t>
            </w:r>
          </w:p>
        </w:tc>
        <w:tc>
          <w:tcPr>
            <w:tcW w:w="432" w:type="pct"/>
            <w:tcBorders>
              <w:top w:val="single" w:sz="4" w:space="0" w:color="auto"/>
            </w:tcBorders>
            <w:shd w:val="clear" w:color="auto" w:fill="auto"/>
            <w:noWrap/>
            <w:hideMark/>
          </w:tcPr>
          <w:p w14:paraId="1BECFEB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-0.02</w:t>
            </w:r>
          </w:p>
        </w:tc>
        <w:tc>
          <w:tcPr>
            <w:tcW w:w="316" w:type="pct"/>
            <w:tcBorders>
              <w:top w:val="single" w:sz="4" w:space="0" w:color="auto"/>
            </w:tcBorders>
            <w:shd w:val="clear" w:color="auto" w:fill="auto"/>
            <w:noWrap/>
            <w:hideMark/>
          </w:tcPr>
          <w:p w14:paraId="6DF47EE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154.7</w:t>
            </w:r>
          </w:p>
        </w:tc>
        <w:tc>
          <w:tcPr>
            <w:tcW w:w="316" w:type="pct"/>
            <w:tcBorders>
              <w:top w:val="single" w:sz="4" w:space="0" w:color="auto"/>
            </w:tcBorders>
            <w:shd w:val="clear" w:color="auto" w:fill="auto"/>
            <w:noWrap/>
            <w:hideMark/>
          </w:tcPr>
          <w:p w14:paraId="57B56E9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160.4</w:t>
            </w:r>
          </w:p>
        </w:tc>
        <w:tc>
          <w:tcPr>
            <w:tcW w:w="280" w:type="pct"/>
            <w:tcBorders>
              <w:top w:val="single" w:sz="4" w:space="0" w:color="auto"/>
            </w:tcBorders>
            <w:shd w:val="clear" w:color="auto" w:fill="auto"/>
            <w:noWrap/>
            <w:hideMark/>
          </w:tcPr>
          <w:p w14:paraId="666138E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15.1</w:t>
            </w:r>
          </w:p>
        </w:tc>
        <w:tc>
          <w:tcPr>
            <w:tcW w:w="277" w:type="pct"/>
            <w:tcBorders>
              <w:top w:val="single" w:sz="4" w:space="0" w:color="auto"/>
            </w:tcBorders>
            <w:shd w:val="clear" w:color="auto" w:fill="auto"/>
            <w:noWrap/>
            <w:hideMark/>
          </w:tcPr>
          <w:p w14:paraId="3AD0D4C7"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0.6</w:t>
            </w:r>
          </w:p>
        </w:tc>
      </w:tr>
      <w:tr w:rsidR="00D65011" w:rsidRPr="007018EC" w14:paraId="495F6B8E"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55559CDE"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506FD7F9"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4 years (07/2017 - 07/2021)</w:t>
            </w:r>
          </w:p>
        </w:tc>
        <w:tc>
          <w:tcPr>
            <w:tcW w:w="686" w:type="pct"/>
            <w:shd w:val="clear" w:color="auto" w:fill="auto"/>
            <w:noWrap/>
            <w:hideMark/>
          </w:tcPr>
          <w:p w14:paraId="6DBD57CD"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15.0</w:t>
            </w:r>
          </w:p>
        </w:tc>
        <w:tc>
          <w:tcPr>
            <w:tcW w:w="306" w:type="pct"/>
            <w:shd w:val="clear" w:color="auto" w:fill="auto"/>
            <w:noWrap/>
            <w:hideMark/>
          </w:tcPr>
          <w:p w14:paraId="13DE4657"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24.4</w:t>
            </w:r>
          </w:p>
        </w:tc>
        <w:tc>
          <w:tcPr>
            <w:tcW w:w="432" w:type="pct"/>
            <w:shd w:val="clear" w:color="auto" w:fill="auto"/>
            <w:noWrap/>
            <w:hideMark/>
          </w:tcPr>
          <w:p w14:paraId="513D3C9D"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0.2</w:t>
            </w:r>
          </w:p>
        </w:tc>
        <w:tc>
          <w:tcPr>
            <w:tcW w:w="316" w:type="pct"/>
            <w:shd w:val="clear" w:color="auto" w:fill="auto"/>
            <w:noWrap/>
            <w:hideMark/>
          </w:tcPr>
          <w:p w14:paraId="354B380A"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207.1</w:t>
            </w:r>
          </w:p>
        </w:tc>
        <w:tc>
          <w:tcPr>
            <w:tcW w:w="316" w:type="pct"/>
            <w:shd w:val="clear" w:color="auto" w:fill="auto"/>
            <w:noWrap/>
            <w:hideMark/>
          </w:tcPr>
          <w:p w14:paraId="21B1ABC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169.0</w:t>
            </w:r>
          </w:p>
        </w:tc>
        <w:tc>
          <w:tcPr>
            <w:tcW w:w="280" w:type="pct"/>
            <w:shd w:val="clear" w:color="auto" w:fill="auto"/>
            <w:noWrap/>
            <w:hideMark/>
          </w:tcPr>
          <w:p w14:paraId="3817CA7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13.8</w:t>
            </w:r>
          </w:p>
        </w:tc>
        <w:tc>
          <w:tcPr>
            <w:tcW w:w="277" w:type="pct"/>
            <w:shd w:val="clear" w:color="auto" w:fill="auto"/>
            <w:noWrap/>
            <w:hideMark/>
          </w:tcPr>
          <w:p w14:paraId="03BECA31"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w:t>
            </w:r>
          </w:p>
        </w:tc>
      </w:tr>
      <w:tr w:rsidR="00D65011" w:rsidRPr="007018EC" w14:paraId="4DF8627A"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6CADF170" w14:textId="77777777" w:rsidR="001206F2" w:rsidRPr="00234EE0" w:rsidRDefault="001206F2" w:rsidP="0028547B">
            <w:pPr>
              <w:spacing w:line="240" w:lineRule="auto"/>
              <w:contextualSpacing/>
              <w:rPr>
                <w:rFonts w:cs="Calibri"/>
                <w:sz w:val="18"/>
                <w:szCs w:val="18"/>
              </w:rPr>
            </w:pPr>
          </w:p>
        </w:tc>
        <w:tc>
          <w:tcPr>
            <w:tcW w:w="1380" w:type="pct"/>
            <w:shd w:val="clear" w:color="auto" w:fill="auto"/>
            <w:hideMark/>
          </w:tcPr>
          <w:p w14:paraId="68144122"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4 years (07/2017 - 07/2021)</w:t>
            </w:r>
          </w:p>
        </w:tc>
        <w:tc>
          <w:tcPr>
            <w:tcW w:w="686" w:type="pct"/>
            <w:shd w:val="clear" w:color="auto" w:fill="auto"/>
            <w:noWrap/>
            <w:hideMark/>
          </w:tcPr>
          <w:p w14:paraId="6C13A17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16.3</w:t>
            </w:r>
          </w:p>
        </w:tc>
        <w:tc>
          <w:tcPr>
            <w:tcW w:w="306" w:type="pct"/>
            <w:shd w:val="clear" w:color="auto" w:fill="auto"/>
            <w:noWrap/>
            <w:hideMark/>
          </w:tcPr>
          <w:p w14:paraId="48267CEB"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31.7</w:t>
            </w:r>
          </w:p>
        </w:tc>
        <w:tc>
          <w:tcPr>
            <w:tcW w:w="432" w:type="pct"/>
            <w:shd w:val="clear" w:color="auto" w:fill="auto"/>
            <w:noWrap/>
            <w:hideMark/>
          </w:tcPr>
          <w:p w14:paraId="079314D2"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0.2</w:t>
            </w:r>
          </w:p>
        </w:tc>
        <w:tc>
          <w:tcPr>
            <w:tcW w:w="316" w:type="pct"/>
            <w:shd w:val="clear" w:color="auto" w:fill="auto"/>
            <w:noWrap/>
            <w:hideMark/>
          </w:tcPr>
          <w:p w14:paraId="309280C6"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213.0</w:t>
            </w:r>
          </w:p>
        </w:tc>
        <w:tc>
          <w:tcPr>
            <w:tcW w:w="316" w:type="pct"/>
            <w:shd w:val="clear" w:color="auto" w:fill="auto"/>
            <w:noWrap/>
            <w:hideMark/>
          </w:tcPr>
          <w:p w14:paraId="7F63068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169.4</w:t>
            </w:r>
          </w:p>
        </w:tc>
        <w:tc>
          <w:tcPr>
            <w:tcW w:w="280" w:type="pct"/>
            <w:shd w:val="clear" w:color="auto" w:fill="auto"/>
            <w:noWrap/>
            <w:hideMark/>
          </w:tcPr>
          <w:p w14:paraId="14FDE6F3"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13.9</w:t>
            </w:r>
          </w:p>
        </w:tc>
        <w:tc>
          <w:tcPr>
            <w:tcW w:w="277" w:type="pct"/>
            <w:shd w:val="clear" w:color="auto" w:fill="auto"/>
            <w:noWrap/>
            <w:hideMark/>
          </w:tcPr>
          <w:p w14:paraId="6B91A874"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1.4</w:t>
            </w:r>
          </w:p>
        </w:tc>
      </w:tr>
      <w:tr w:rsidR="00D65011" w:rsidRPr="007018EC" w14:paraId="6AF928A4" w14:textId="77777777" w:rsidTr="00D6501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4CE6B15F" w14:textId="77777777" w:rsidR="001206F2" w:rsidRPr="00234EE0" w:rsidRDefault="001206F2" w:rsidP="0028547B">
            <w:pPr>
              <w:spacing w:line="240" w:lineRule="auto"/>
              <w:contextualSpacing/>
              <w:rPr>
                <w:rFonts w:cs="Calibri"/>
                <w:sz w:val="18"/>
                <w:szCs w:val="18"/>
              </w:rPr>
            </w:pPr>
          </w:p>
        </w:tc>
        <w:tc>
          <w:tcPr>
            <w:tcW w:w="1380" w:type="pct"/>
            <w:tcBorders>
              <w:bottom w:val="single" w:sz="4" w:space="0" w:color="FFFFFF" w:themeColor="background1"/>
            </w:tcBorders>
            <w:shd w:val="clear" w:color="auto" w:fill="auto"/>
            <w:hideMark/>
          </w:tcPr>
          <w:p w14:paraId="492F5530" w14:textId="77777777" w:rsidR="001206F2" w:rsidRPr="00234EE0" w:rsidRDefault="001206F2" w:rsidP="0028547B">
            <w:pPr>
              <w:spacing w:line="240" w:lineRule="auto"/>
              <w:contextualSpacing/>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No CEW 1 year (07/2020 - 07/2021)</w:t>
            </w:r>
          </w:p>
        </w:tc>
        <w:tc>
          <w:tcPr>
            <w:tcW w:w="686" w:type="pct"/>
            <w:tcBorders>
              <w:bottom w:val="single" w:sz="4" w:space="0" w:color="FFFFFF" w:themeColor="background1"/>
            </w:tcBorders>
            <w:shd w:val="clear" w:color="auto" w:fill="auto"/>
            <w:noWrap/>
            <w:hideMark/>
          </w:tcPr>
          <w:p w14:paraId="37E3FDD0"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11.2</w:t>
            </w:r>
          </w:p>
        </w:tc>
        <w:tc>
          <w:tcPr>
            <w:tcW w:w="306" w:type="pct"/>
            <w:tcBorders>
              <w:bottom w:val="single" w:sz="4" w:space="0" w:color="FFFFFF" w:themeColor="background1"/>
            </w:tcBorders>
            <w:shd w:val="clear" w:color="auto" w:fill="auto"/>
            <w:noWrap/>
            <w:hideMark/>
          </w:tcPr>
          <w:p w14:paraId="408CD334"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3.5</w:t>
            </w:r>
          </w:p>
        </w:tc>
        <w:tc>
          <w:tcPr>
            <w:tcW w:w="432" w:type="pct"/>
            <w:tcBorders>
              <w:bottom w:val="single" w:sz="4" w:space="0" w:color="FFFFFF" w:themeColor="background1"/>
            </w:tcBorders>
            <w:shd w:val="clear" w:color="auto" w:fill="auto"/>
            <w:noWrap/>
            <w:hideMark/>
          </w:tcPr>
          <w:p w14:paraId="758F460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-0.004</w:t>
            </w:r>
          </w:p>
        </w:tc>
        <w:tc>
          <w:tcPr>
            <w:tcW w:w="316" w:type="pct"/>
            <w:tcBorders>
              <w:bottom w:val="single" w:sz="4" w:space="0" w:color="FFFFFF" w:themeColor="background1"/>
            </w:tcBorders>
            <w:shd w:val="clear" w:color="auto" w:fill="auto"/>
            <w:noWrap/>
            <w:hideMark/>
          </w:tcPr>
          <w:p w14:paraId="147EA070"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176.3</w:t>
            </w:r>
          </w:p>
        </w:tc>
        <w:tc>
          <w:tcPr>
            <w:tcW w:w="316" w:type="pct"/>
            <w:tcBorders>
              <w:bottom w:val="single" w:sz="4" w:space="0" w:color="FFFFFF" w:themeColor="background1"/>
            </w:tcBorders>
            <w:shd w:val="clear" w:color="auto" w:fill="auto"/>
            <w:noWrap/>
            <w:hideMark/>
          </w:tcPr>
          <w:p w14:paraId="58DDA228"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158.9</w:t>
            </w:r>
          </w:p>
        </w:tc>
        <w:tc>
          <w:tcPr>
            <w:tcW w:w="280" w:type="pct"/>
            <w:tcBorders>
              <w:bottom w:val="single" w:sz="4" w:space="0" w:color="FFFFFF" w:themeColor="background1"/>
            </w:tcBorders>
            <w:shd w:val="clear" w:color="auto" w:fill="auto"/>
            <w:noWrap/>
            <w:hideMark/>
          </w:tcPr>
          <w:p w14:paraId="49A2BE95"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12.0</w:t>
            </w:r>
          </w:p>
        </w:tc>
        <w:tc>
          <w:tcPr>
            <w:tcW w:w="277" w:type="pct"/>
            <w:tcBorders>
              <w:bottom w:val="single" w:sz="4" w:space="0" w:color="FFFFFF" w:themeColor="background1"/>
            </w:tcBorders>
            <w:shd w:val="clear" w:color="auto" w:fill="auto"/>
            <w:noWrap/>
            <w:hideMark/>
          </w:tcPr>
          <w:p w14:paraId="0376431C" w14:textId="77777777" w:rsidR="001206F2" w:rsidRPr="00234EE0" w:rsidRDefault="001206F2" w:rsidP="0028547B">
            <w:pPr>
              <w:spacing w:line="240" w:lineRule="auto"/>
              <w:contextualSpacing/>
              <w:jc w:val="right"/>
              <w:cnfStyle w:val="000000100000" w:firstRow="0" w:lastRow="0" w:firstColumn="0" w:lastColumn="0" w:oddVBand="0" w:evenVBand="0" w:oddHBand="1" w:evenHBand="0" w:firstRowFirstColumn="0" w:firstRowLastColumn="0" w:lastRowFirstColumn="0" w:lastRowLastColumn="0"/>
              <w:rPr>
                <w:rFonts w:cs="Calibri"/>
                <w:sz w:val="18"/>
                <w:szCs w:val="18"/>
              </w:rPr>
            </w:pPr>
            <w:r w:rsidRPr="00234EE0">
              <w:rPr>
                <w:rFonts w:cs="Calibri"/>
                <w:sz w:val="18"/>
                <w:szCs w:val="18"/>
              </w:rPr>
              <w:t>0.6</w:t>
            </w:r>
          </w:p>
        </w:tc>
      </w:tr>
      <w:tr w:rsidR="00D65011" w:rsidRPr="007018EC" w14:paraId="0FAA00D2" w14:textId="77777777" w:rsidTr="00D65011">
        <w:trPr>
          <w:trHeight w:val="340"/>
        </w:trPr>
        <w:tc>
          <w:tcPr>
            <w:cnfStyle w:val="001000000000" w:firstRow="0" w:lastRow="0" w:firstColumn="1" w:lastColumn="0" w:oddVBand="0" w:evenVBand="0" w:oddHBand="0" w:evenHBand="0" w:firstRowFirstColumn="0" w:firstRowLastColumn="0" w:lastRowFirstColumn="0" w:lastRowLastColumn="0"/>
            <w:tcW w:w="1008" w:type="pct"/>
            <w:vMerge/>
            <w:tcBorders>
              <w:bottom w:val="single" w:sz="4" w:space="0" w:color="auto"/>
            </w:tcBorders>
            <w:shd w:val="clear" w:color="auto" w:fill="auto"/>
            <w:hideMark/>
          </w:tcPr>
          <w:p w14:paraId="73990081" w14:textId="77777777" w:rsidR="001206F2" w:rsidRPr="00234EE0" w:rsidRDefault="001206F2" w:rsidP="0028547B">
            <w:pPr>
              <w:spacing w:line="240" w:lineRule="auto"/>
              <w:contextualSpacing/>
              <w:rPr>
                <w:rFonts w:cs="Calibri"/>
                <w:sz w:val="18"/>
                <w:szCs w:val="18"/>
              </w:rPr>
            </w:pPr>
          </w:p>
        </w:tc>
        <w:tc>
          <w:tcPr>
            <w:tcW w:w="1380" w:type="pct"/>
            <w:tcBorders>
              <w:bottom w:val="single" w:sz="4" w:space="0" w:color="auto"/>
            </w:tcBorders>
            <w:shd w:val="clear" w:color="auto" w:fill="auto"/>
            <w:hideMark/>
          </w:tcPr>
          <w:p w14:paraId="4FB5487A" w14:textId="77777777" w:rsidR="001206F2" w:rsidRPr="00234EE0" w:rsidRDefault="001206F2" w:rsidP="0028547B">
            <w:pPr>
              <w:spacing w:line="240" w:lineRule="auto"/>
              <w:contextualSpacing/>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No eWater 1 year (07/2020 - 07/2021)</w:t>
            </w:r>
          </w:p>
        </w:tc>
        <w:tc>
          <w:tcPr>
            <w:tcW w:w="686" w:type="pct"/>
            <w:tcBorders>
              <w:bottom w:val="single" w:sz="4" w:space="0" w:color="auto"/>
            </w:tcBorders>
            <w:shd w:val="clear" w:color="auto" w:fill="auto"/>
            <w:noWrap/>
            <w:hideMark/>
          </w:tcPr>
          <w:p w14:paraId="78AA54A5"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11.7</w:t>
            </w:r>
          </w:p>
        </w:tc>
        <w:tc>
          <w:tcPr>
            <w:tcW w:w="306" w:type="pct"/>
            <w:tcBorders>
              <w:bottom w:val="single" w:sz="4" w:space="0" w:color="auto"/>
            </w:tcBorders>
            <w:shd w:val="clear" w:color="auto" w:fill="auto"/>
            <w:noWrap/>
            <w:hideMark/>
          </w:tcPr>
          <w:p w14:paraId="397E4676"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3.9</w:t>
            </w:r>
          </w:p>
        </w:tc>
        <w:tc>
          <w:tcPr>
            <w:tcW w:w="432" w:type="pct"/>
            <w:tcBorders>
              <w:bottom w:val="single" w:sz="4" w:space="0" w:color="auto"/>
            </w:tcBorders>
            <w:shd w:val="clear" w:color="auto" w:fill="auto"/>
            <w:noWrap/>
            <w:hideMark/>
          </w:tcPr>
          <w:p w14:paraId="3C61F4E9"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-0.006</w:t>
            </w:r>
          </w:p>
        </w:tc>
        <w:tc>
          <w:tcPr>
            <w:tcW w:w="316" w:type="pct"/>
            <w:tcBorders>
              <w:bottom w:val="single" w:sz="4" w:space="0" w:color="auto"/>
            </w:tcBorders>
            <w:shd w:val="clear" w:color="auto" w:fill="auto"/>
            <w:noWrap/>
            <w:hideMark/>
          </w:tcPr>
          <w:p w14:paraId="14FD5288"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181.4</w:t>
            </w:r>
          </w:p>
        </w:tc>
        <w:tc>
          <w:tcPr>
            <w:tcW w:w="316" w:type="pct"/>
            <w:tcBorders>
              <w:bottom w:val="single" w:sz="4" w:space="0" w:color="auto"/>
            </w:tcBorders>
            <w:shd w:val="clear" w:color="auto" w:fill="auto"/>
            <w:noWrap/>
            <w:hideMark/>
          </w:tcPr>
          <w:p w14:paraId="5553F49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159.1</w:t>
            </w:r>
          </w:p>
        </w:tc>
        <w:tc>
          <w:tcPr>
            <w:tcW w:w="280" w:type="pct"/>
            <w:tcBorders>
              <w:bottom w:val="single" w:sz="4" w:space="0" w:color="auto"/>
            </w:tcBorders>
            <w:shd w:val="clear" w:color="auto" w:fill="auto"/>
            <w:noWrap/>
            <w:hideMark/>
          </w:tcPr>
          <w:p w14:paraId="10DBF046"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12.1</w:t>
            </w:r>
          </w:p>
        </w:tc>
        <w:tc>
          <w:tcPr>
            <w:tcW w:w="277" w:type="pct"/>
            <w:tcBorders>
              <w:bottom w:val="single" w:sz="4" w:space="0" w:color="auto"/>
            </w:tcBorders>
            <w:shd w:val="clear" w:color="auto" w:fill="auto"/>
            <w:noWrap/>
            <w:hideMark/>
          </w:tcPr>
          <w:p w14:paraId="609D5A9C" w14:textId="77777777" w:rsidR="001206F2" w:rsidRPr="00234EE0" w:rsidRDefault="001206F2" w:rsidP="0028547B">
            <w:pPr>
              <w:spacing w:line="240" w:lineRule="auto"/>
              <w:contextualSpacing/>
              <w:jc w:val="right"/>
              <w:cnfStyle w:val="000000000000" w:firstRow="0" w:lastRow="0" w:firstColumn="0" w:lastColumn="0" w:oddVBand="0" w:evenVBand="0" w:oddHBand="0" w:evenHBand="0" w:firstRowFirstColumn="0" w:firstRowLastColumn="0" w:lastRowFirstColumn="0" w:lastRowLastColumn="0"/>
              <w:rPr>
                <w:rFonts w:cs="Calibri"/>
                <w:sz w:val="18"/>
                <w:szCs w:val="18"/>
              </w:rPr>
            </w:pPr>
            <w:r w:rsidRPr="00234EE0">
              <w:rPr>
                <w:rFonts w:cs="Calibri"/>
                <w:sz w:val="18"/>
                <w:szCs w:val="18"/>
              </w:rPr>
              <w:t>0.7</w:t>
            </w:r>
          </w:p>
        </w:tc>
      </w:tr>
    </w:tbl>
    <w:p w14:paraId="17B35599" w14:textId="77777777" w:rsidR="00BE71E1" w:rsidRDefault="00BE71E1" w:rsidP="00B60940">
      <w:pPr>
        <w:sectPr w:rsidR="00BE71E1" w:rsidSect="00BE71E1">
          <w:pgSz w:w="16840" w:h="11900" w:orient="landscape"/>
          <w:pgMar w:top="1440" w:right="1440" w:bottom="1440" w:left="1440" w:header="709" w:footer="709" w:gutter="0"/>
          <w:cols w:space="720"/>
        </w:sectPr>
      </w:pPr>
    </w:p>
    <w:p w14:paraId="5C033BF3" w14:textId="5FF36695" w:rsidR="00B60940" w:rsidRPr="001832D4" w:rsidRDefault="00B60940" w:rsidP="00B60940">
      <w:r w:rsidRPr="001832D4">
        <w:rPr>
          <w:noProof/>
          <w:lang w:val="en-US"/>
        </w:rPr>
        <w:lastRenderedPageBreak/>
        <w:drawing>
          <wp:inline distT="0" distB="0" distL="0" distR="0" wp14:anchorId="1216D6E6" wp14:editId="113F0090">
            <wp:extent cx="5731510" cy="4301001"/>
            <wp:effectExtent l="0" t="0" r="2540" b="4445"/>
            <wp:docPr id="70" name="Picture 70" descr="E:\database\Lowerlakes_CEW\eWater\flux\plot_monthly_flux\TN_bar_fluxes_cumulative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database\Lowerlakes_CEW\eWater\flux\plot_monthly_flux\TN_bar_fluxes_cumulative_all.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4301001"/>
                    </a:xfrm>
                    <a:prstGeom prst="rect">
                      <a:avLst/>
                    </a:prstGeom>
                    <a:noFill/>
                    <a:ln>
                      <a:noFill/>
                    </a:ln>
                  </pic:spPr>
                </pic:pic>
              </a:graphicData>
            </a:graphic>
          </wp:inline>
        </w:drawing>
      </w:r>
    </w:p>
    <w:p w14:paraId="73CDE48E" w14:textId="0FFC455F" w:rsidR="00B60940" w:rsidRPr="001832D4" w:rsidRDefault="006F0025" w:rsidP="006F0025">
      <w:pPr>
        <w:pStyle w:val="Captions"/>
      </w:pPr>
      <w:bookmarkStart w:id="171" w:name="_Ref96529741"/>
      <w:bookmarkStart w:id="172" w:name="_Toc101963819"/>
      <w:r>
        <w:t xml:space="preserve">Figure </w:t>
      </w:r>
      <w:r>
        <w:fldChar w:fldCharType="begin"/>
      </w:r>
      <w:r>
        <w:instrText xml:space="preserve"> SEQ Figure \* ARABIC </w:instrText>
      </w:r>
      <w:r>
        <w:fldChar w:fldCharType="separate"/>
      </w:r>
      <w:r w:rsidR="003C13F6">
        <w:rPr>
          <w:noProof/>
        </w:rPr>
        <w:t>27</w:t>
      </w:r>
      <w:r>
        <w:fldChar w:fldCharType="end"/>
      </w:r>
      <w:bookmarkEnd w:id="171"/>
      <w:r w:rsidR="00B60940" w:rsidRPr="001832D4">
        <w:t xml:space="preserve">. </w:t>
      </w:r>
      <w:r w:rsidR="00E33F30" w:rsidRPr="001832D4">
        <w:t>Cumulative</w:t>
      </w:r>
      <w:r w:rsidR="00D65011" w:rsidRPr="001832D4">
        <w:t xml:space="preserve"> TN </w:t>
      </w:r>
      <w:r w:rsidR="00E33F30" w:rsidRPr="001832D4">
        <w:t>flux with and without environmental water delivery through the Long Point and Parnka Point for July 2017–July 2021.</w:t>
      </w:r>
      <w:bookmarkEnd w:id="172"/>
    </w:p>
    <w:p w14:paraId="3CC6235C" w14:textId="77777777" w:rsidR="00B60940" w:rsidRDefault="00B60940" w:rsidP="00B60940"/>
    <w:p w14:paraId="18475013" w14:textId="77777777" w:rsidR="00B60940" w:rsidRDefault="00B60940" w:rsidP="00B60940"/>
    <w:p w14:paraId="02D79F9B" w14:textId="77777777" w:rsidR="00B60940" w:rsidRDefault="00B60940" w:rsidP="00B60940"/>
    <w:p w14:paraId="2512A15A" w14:textId="77777777" w:rsidR="00B60940" w:rsidRDefault="00B60940" w:rsidP="00B60940"/>
    <w:p w14:paraId="56C4BB55" w14:textId="77777777" w:rsidR="00B60940" w:rsidRDefault="00B60940" w:rsidP="00B60940">
      <w:pPr>
        <w:spacing w:before="0" w:after="0"/>
        <w:jc w:val="left"/>
        <w:rPr>
          <w:rFonts w:eastAsiaTheme="majorEastAsia" w:cstheme="majorBidi"/>
          <w:b/>
          <w:i/>
          <w:color w:val="44546A" w:themeColor="text2"/>
          <w:sz w:val="24"/>
          <w:szCs w:val="24"/>
        </w:rPr>
        <w:sectPr w:rsidR="00B60940">
          <w:pgSz w:w="11900" w:h="16840"/>
          <w:pgMar w:top="1440" w:right="1440" w:bottom="1440" w:left="1440" w:header="709" w:footer="709" w:gutter="0"/>
          <w:cols w:space="720"/>
        </w:sectPr>
      </w:pPr>
    </w:p>
    <w:p w14:paraId="5453A137" w14:textId="77777777" w:rsidR="00B60940" w:rsidRDefault="00B60940" w:rsidP="00B60940">
      <w:pPr>
        <w:pStyle w:val="Heading3"/>
      </w:pPr>
      <w:r>
        <w:lastRenderedPageBreak/>
        <w:t>Evaluation</w:t>
      </w:r>
    </w:p>
    <w:p w14:paraId="275CA60E" w14:textId="52335CF0" w:rsidR="00B60940" w:rsidRDefault="00B60940" w:rsidP="00B60940">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3C13F6">
        <w:t>2.1</w:t>
      </w:r>
      <w:r>
        <w:fldChar w:fldCharType="end"/>
      </w:r>
      <w:r>
        <w:t>).</w:t>
      </w:r>
    </w:p>
    <w:p w14:paraId="285B3038" w14:textId="31E1C120" w:rsidR="00B60940" w:rsidRDefault="00A1041C" w:rsidP="00A1041C">
      <w:pPr>
        <w:pStyle w:val="Caption"/>
      </w:pPr>
      <w:bookmarkStart w:id="173" w:name="_Toc59032080"/>
      <w:bookmarkStart w:id="174" w:name="_Toc101963866"/>
      <w:r>
        <w:t xml:space="preserve">Table </w:t>
      </w:r>
      <w:fldSimple w:instr=" SEQ Table \* ARABIC ">
        <w:r w:rsidR="003C13F6">
          <w:rPr>
            <w:noProof/>
          </w:rPr>
          <w:t>8</w:t>
        </w:r>
      </w:fldSimple>
      <w:r>
        <w:t xml:space="preserve">. </w:t>
      </w:r>
      <w:r w:rsidR="00B60940">
        <w:t>Matter Transport evaluation questions and answers. CEW = Commonwealth environmental water.</w:t>
      </w:r>
      <w:bookmarkEnd w:id="173"/>
      <w:bookmarkEnd w:id="174"/>
      <w:r w:rsidR="00B60940">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0"/>
        <w:gridCol w:w="1275"/>
        <w:gridCol w:w="851"/>
        <w:gridCol w:w="992"/>
        <w:gridCol w:w="849"/>
        <w:gridCol w:w="994"/>
        <w:gridCol w:w="992"/>
        <w:gridCol w:w="992"/>
        <w:gridCol w:w="941"/>
      </w:tblGrid>
      <w:tr w:rsidR="00D65011" w:rsidRPr="009F4137" w14:paraId="36D56D74" w14:textId="77777777" w:rsidTr="007A7588">
        <w:trPr>
          <w:cantSplit/>
          <w:trHeight w:val="20"/>
          <w:tblHeader/>
        </w:trPr>
        <w:tc>
          <w:tcPr>
            <w:tcW w:w="1334" w:type="pct"/>
            <w:gridSpan w:val="2"/>
            <w:vMerge w:val="restart"/>
            <w:tcBorders>
              <w:top w:val="single" w:sz="4" w:space="0" w:color="auto"/>
              <w:left w:val="single" w:sz="4" w:space="0" w:color="auto"/>
              <w:bottom w:val="single" w:sz="4" w:space="0" w:color="auto"/>
              <w:right w:val="single" w:sz="4" w:space="0" w:color="auto"/>
            </w:tcBorders>
            <w:hideMark/>
          </w:tcPr>
          <w:p w14:paraId="1C5DF384" w14:textId="77777777" w:rsidR="00D65011" w:rsidRPr="00782298" w:rsidRDefault="00D65011" w:rsidP="0028547B">
            <w:pPr>
              <w:jc w:val="center"/>
              <w:rPr>
                <w:rFonts w:cs="Arial"/>
                <w:b/>
                <w:sz w:val="18"/>
                <w:szCs w:val="18"/>
              </w:rPr>
            </w:pPr>
            <w:r w:rsidRPr="00782298">
              <w:rPr>
                <w:rFonts w:cs="Arial"/>
                <w:b/>
                <w:sz w:val="18"/>
                <w:szCs w:val="18"/>
              </w:rPr>
              <w:t xml:space="preserve">CEWO evaluation questions </w:t>
            </w:r>
          </w:p>
        </w:tc>
        <w:tc>
          <w:tcPr>
            <w:tcW w:w="3666" w:type="pct"/>
            <w:gridSpan w:val="7"/>
            <w:tcBorders>
              <w:top w:val="single" w:sz="4" w:space="0" w:color="auto"/>
              <w:left w:val="single" w:sz="4" w:space="0" w:color="auto"/>
              <w:bottom w:val="single" w:sz="4" w:space="0" w:color="auto"/>
              <w:right w:val="single" w:sz="4" w:space="0" w:color="auto"/>
            </w:tcBorders>
            <w:vAlign w:val="bottom"/>
            <w:hideMark/>
          </w:tcPr>
          <w:p w14:paraId="5B53BF0E" w14:textId="77777777" w:rsidR="00D65011" w:rsidRPr="00782298" w:rsidRDefault="00D65011" w:rsidP="0028547B">
            <w:pPr>
              <w:jc w:val="center"/>
              <w:rPr>
                <w:rFonts w:cs="Arial"/>
                <w:b/>
                <w:sz w:val="18"/>
                <w:szCs w:val="18"/>
              </w:rPr>
            </w:pPr>
            <w:r w:rsidRPr="00782298">
              <w:rPr>
                <w:rFonts w:cs="Arial"/>
                <w:b/>
                <w:sz w:val="18"/>
                <w:szCs w:val="18"/>
              </w:rPr>
              <w:t>Outcomes of CEW delivery</w:t>
            </w:r>
          </w:p>
        </w:tc>
      </w:tr>
      <w:tr w:rsidR="007A7588" w:rsidRPr="009F4137" w14:paraId="02D5CEAE" w14:textId="77777777" w:rsidTr="007A7588">
        <w:trPr>
          <w:cantSplit/>
          <w:trHeight w:val="20"/>
          <w:tblHeader/>
        </w:trPr>
        <w:tc>
          <w:tcPr>
            <w:tcW w:w="1334" w:type="pct"/>
            <w:gridSpan w:val="2"/>
            <w:vMerge/>
            <w:tcBorders>
              <w:top w:val="single" w:sz="4" w:space="0" w:color="auto"/>
              <w:left w:val="single" w:sz="4" w:space="0" w:color="auto"/>
              <w:bottom w:val="single" w:sz="4" w:space="0" w:color="auto"/>
              <w:right w:val="single" w:sz="4" w:space="0" w:color="auto"/>
            </w:tcBorders>
            <w:vAlign w:val="center"/>
            <w:hideMark/>
          </w:tcPr>
          <w:p w14:paraId="34D4CE2A" w14:textId="77777777" w:rsidR="00D65011" w:rsidRPr="00463F61" w:rsidRDefault="00D65011" w:rsidP="0028547B">
            <w:pPr>
              <w:spacing w:before="0" w:after="0" w:line="256" w:lineRule="auto"/>
              <w:jc w:val="left"/>
              <w:rPr>
                <w:rFonts w:cs="Arial"/>
                <w:b/>
                <w:sz w:val="18"/>
                <w:szCs w:val="18"/>
              </w:rPr>
            </w:pPr>
          </w:p>
        </w:tc>
        <w:tc>
          <w:tcPr>
            <w:tcW w:w="472" w:type="pct"/>
            <w:tcBorders>
              <w:top w:val="single" w:sz="4" w:space="0" w:color="auto"/>
              <w:left w:val="single" w:sz="4" w:space="0" w:color="auto"/>
              <w:bottom w:val="single" w:sz="4" w:space="0" w:color="auto"/>
              <w:right w:val="single" w:sz="4" w:space="0" w:color="auto"/>
            </w:tcBorders>
            <w:vAlign w:val="bottom"/>
            <w:hideMark/>
          </w:tcPr>
          <w:p w14:paraId="62F5DE9F" w14:textId="57E9DADD" w:rsidR="00D65011" w:rsidRPr="00463F61" w:rsidRDefault="00D65011" w:rsidP="0028547B">
            <w:pPr>
              <w:jc w:val="center"/>
              <w:rPr>
                <w:rFonts w:cs="Arial"/>
                <w:b/>
                <w:sz w:val="18"/>
                <w:szCs w:val="18"/>
              </w:rPr>
            </w:pPr>
            <w:r w:rsidRPr="00463F61">
              <w:rPr>
                <w:rFonts w:cs="Arial"/>
                <w:b/>
                <w:sz w:val="18"/>
                <w:szCs w:val="18"/>
              </w:rPr>
              <w:t>14-15</w:t>
            </w:r>
          </w:p>
        </w:tc>
        <w:tc>
          <w:tcPr>
            <w:tcW w:w="550" w:type="pct"/>
            <w:tcBorders>
              <w:top w:val="single" w:sz="4" w:space="0" w:color="auto"/>
              <w:left w:val="single" w:sz="4" w:space="0" w:color="auto"/>
              <w:bottom w:val="single" w:sz="4" w:space="0" w:color="auto"/>
              <w:right w:val="single" w:sz="4" w:space="0" w:color="auto"/>
            </w:tcBorders>
            <w:vAlign w:val="bottom"/>
            <w:hideMark/>
          </w:tcPr>
          <w:p w14:paraId="0D6A70E7" w14:textId="417E34EA" w:rsidR="00D65011" w:rsidRPr="00463F61" w:rsidRDefault="00D65011" w:rsidP="0028547B">
            <w:pPr>
              <w:jc w:val="center"/>
              <w:rPr>
                <w:rFonts w:cs="Arial"/>
                <w:b/>
                <w:sz w:val="18"/>
                <w:szCs w:val="18"/>
              </w:rPr>
            </w:pPr>
            <w:r w:rsidRPr="00463F61">
              <w:rPr>
                <w:rFonts w:cs="Arial"/>
                <w:b/>
                <w:sz w:val="18"/>
                <w:szCs w:val="18"/>
              </w:rPr>
              <w:t>15-16</w:t>
            </w:r>
          </w:p>
        </w:tc>
        <w:tc>
          <w:tcPr>
            <w:tcW w:w="471" w:type="pct"/>
            <w:tcBorders>
              <w:top w:val="single" w:sz="4" w:space="0" w:color="auto"/>
              <w:left w:val="single" w:sz="4" w:space="0" w:color="auto"/>
              <w:bottom w:val="single" w:sz="4" w:space="0" w:color="auto"/>
              <w:right w:val="single" w:sz="4" w:space="0" w:color="auto"/>
            </w:tcBorders>
            <w:vAlign w:val="bottom"/>
            <w:hideMark/>
          </w:tcPr>
          <w:p w14:paraId="4779FA0D" w14:textId="21C0CCAD" w:rsidR="00D65011" w:rsidRPr="00463F61" w:rsidRDefault="00D65011" w:rsidP="0028547B">
            <w:pPr>
              <w:jc w:val="center"/>
              <w:rPr>
                <w:rFonts w:cs="Arial"/>
                <w:b/>
                <w:sz w:val="18"/>
                <w:szCs w:val="18"/>
              </w:rPr>
            </w:pPr>
            <w:r w:rsidRPr="00463F61">
              <w:rPr>
                <w:rFonts w:cs="Arial"/>
                <w:b/>
                <w:sz w:val="18"/>
                <w:szCs w:val="18"/>
              </w:rPr>
              <w:t>16-17</w:t>
            </w:r>
          </w:p>
        </w:tc>
        <w:tc>
          <w:tcPr>
            <w:tcW w:w="551" w:type="pct"/>
            <w:tcBorders>
              <w:top w:val="single" w:sz="4" w:space="0" w:color="auto"/>
              <w:left w:val="single" w:sz="4" w:space="0" w:color="auto"/>
              <w:bottom w:val="single" w:sz="4" w:space="0" w:color="auto"/>
              <w:right w:val="single" w:sz="4" w:space="0" w:color="auto"/>
            </w:tcBorders>
            <w:vAlign w:val="bottom"/>
            <w:hideMark/>
          </w:tcPr>
          <w:p w14:paraId="2D7A9E0A" w14:textId="7C78D040" w:rsidR="00D65011" w:rsidRPr="00463F61" w:rsidRDefault="00D65011" w:rsidP="0028547B">
            <w:pPr>
              <w:jc w:val="center"/>
              <w:rPr>
                <w:rFonts w:cs="Arial"/>
                <w:b/>
                <w:sz w:val="18"/>
                <w:szCs w:val="18"/>
              </w:rPr>
            </w:pPr>
            <w:r w:rsidRPr="00463F61">
              <w:rPr>
                <w:rFonts w:cs="Arial"/>
                <w:b/>
                <w:sz w:val="18"/>
                <w:szCs w:val="18"/>
              </w:rPr>
              <w:t>17-18</w:t>
            </w:r>
          </w:p>
        </w:tc>
        <w:tc>
          <w:tcPr>
            <w:tcW w:w="550" w:type="pct"/>
            <w:tcBorders>
              <w:top w:val="single" w:sz="4" w:space="0" w:color="auto"/>
              <w:left w:val="single" w:sz="4" w:space="0" w:color="auto"/>
              <w:bottom w:val="single" w:sz="4" w:space="0" w:color="auto"/>
              <w:right w:val="single" w:sz="4" w:space="0" w:color="auto"/>
            </w:tcBorders>
            <w:vAlign w:val="bottom"/>
            <w:hideMark/>
          </w:tcPr>
          <w:p w14:paraId="540DACE4" w14:textId="41DA2B6C" w:rsidR="00D65011" w:rsidRPr="00463F61" w:rsidRDefault="00D65011" w:rsidP="0028547B">
            <w:pPr>
              <w:jc w:val="center"/>
              <w:rPr>
                <w:rFonts w:cs="Arial"/>
                <w:b/>
                <w:sz w:val="18"/>
                <w:szCs w:val="18"/>
              </w:rPr>
            </w:pPr>
            <w:r w:rsidRPr="00463F61">
              <w:rPr>
                <w:rFonts w:cs="Arial"/>
                <w:b/>
                <w:sz w:val="18"/>
                <w:szCs w:val="18"/>
              </w:rPr>
              <w:t>18-19</w:t>
            </w:r>
          </w:p>
        </w:tc>
        <w:tc>
          <w:tcPr>
            <w:tcW w:w="550" w:type="pct"/>
            <w:tcBorders>
              <w:top w:val="single" w:sz="4" w:space="0" w:color="auto"/>
              <w:left w:val="single" w:sz="4" w:space="0" w:color="auto"/>
              <w:bottom w:val="single" w:sz="4" w:space="0" w:color="auto"/>
              <w:right w:val="single" w:sz="4" w:space="0" w:color="auto"/>
            </w:tcBorders>
            <w:hideMark/>
          </w:tcPr>
          <w:p w14:paraId="2BAE76B4" w14:textId="69C0B7F5" w:rsidR="00D65011" w:rsidRPr="00463F61" w:rsidRDefault="00D65011" w:rsidP="0028547B">
            <w:pPr>
              <w:jc w:val="center"/>
              <w:rPr>
                <w:rFonts w:cs="Arial"/>
                <w:b/>
                <w:sz w:val="18"/>
                <w:szCs w:val="18"/>
              </w:rPr>
            </w:pPr>
            <w:r w:rsidRPr="00463F61">
              <w:rPr>
                <w:rFonts w:cs="Arial"/>
                <w:b/>
                <w:sz w:val="18"/>
                <w:szCs w:val="18"/>
              </w:rPr>
              <w:t>19-20</w:t>
            </w:r>
          </w:p>
        </w:tc>
        <w:tc>
          <w:tcPr>
            <w:tcW w:w="522" w:type="pct"/>
            <w:tcBorders>
              <w:top w:val="single" w:sz="4" w:space="0" w:color="auto"/>
              <w:left w:val="single" w:sz="4" w:space="0" w:color="auto"/>
              <w:bottom w:val="single" w:sz="4" w:space="0" w:color="auto"/>
              <w:right w:val="single" w:sz="4" w:space="0" w:color="auto"/>
            </w:tcBorders>
          </w:tcPr>
          <w:p w14:paraId="5F0CA2FE" w14:textId="215E1729" w:rsidR="00D65011" w:rsidRPr="00463F61" w:rsidRDefault="00D65011" w:rsidP="0028547B">
            <w:pPr>
              <w:jc w:val="center"/>
              <w:rPr>
                <w:rFonts w:cs="Arial"/>
                <w:b/>
                <w:sz w:val="18"/>
                <w:szCs w:val="18"/>
              </w:rPr>
            </w:pPr>
            <w:r w:rsidRPr="00463F61">
              <w:rPr>
                <w:rFonts w:cs="Arial"/>
                <w:b/>
                <w:sz w:val="18"/>
                <w:szCs w:val="18"/>
              </w:rPr>
              <w:t>20-21</w:t>
            </w:r>
          </w:p>
        </w:tc>
      </w:tr>
      <w:tr w:rsidR="007A7588" w:rsidRPr="009F4137" w14:paraId="32E97889" w14:textId="77777777" w:rsidTr="007A7588">
        <w:trPr>
          <w:cantSplit/>
          <w:trHeight w:val="20"/>
        </w:trPr>
        <w:tc>
          <w:tcPr>
            <w:tcW w:w="627" w:type="pct"/>
            <w:vMerge w:val="restart"/>
            <w:tcBorders>
              <w:top w:val="single" w:sz="4" w:space="0" w:color="auto"/>
              <w:left w:val="single" w:sz="4" w:space="0" w:color="auto"/>
              <w:bottom w:val="single" w:sz="4" w:space="0" w:color="auto"/>
              <w:right w:val="single" w:sz="4" w:space="0" w:color="auto"/>
            </w:tcBorders>
          </w:tcPr>
          <w:p w14:paraId="5F66ABF8" w14:textId="77777777" w:rsidR="00D65011" w:rsidRPr="00782298" w:rsidRDefault="00D65011" w:rsidP="007A7588">
            <w:pPr>
              <w:contextualSpacing/>
              <w:jc w:val="left"/>
              <w:rPr>
                <w:rFonts w:cs="Arial"/>
                <w:color w:val="auto"/>
                <w:sz w:val="18"/>
                <w:szCs w:val="18"/>
              </w:rPr>
            </w:pPr>
            <w:r w:rsidRPr="00782298">
              <w:rPr>
                <w:sz w:val="18"/>
                <w:szCs w:val="18"/>
              </w:rPr>
              <w:t>What did CEW contribute to salinity:</w:t>
            </w:r>
          </w:p>
          <w:p w14:paraId="00E0433C" w14:textId="77777777" w:rsidR="00D65011" w:rsidRPr="00782298" w:rsidRDefault="00D65011" w:rsidP="007A7588">
            <w:pPr>
              <w:contextualSpacing/>
              <w:jc w:val="left"/>
              <w:rPr>
                <w:rFonts w:cs="Arial"/>
                <w:color w:val="auto"/>
                <w:sz w:val="18"/>
                <w:szCs w:val="18"/>
              </w:rPr>
            </w:pPr>
          </w:p>
        </w:tc>
        <w:tc>
          <w:tcPr>
            <w:tcW w:w="707" w:type="pct"/>
            <w:tcBorders>
              <w:top w:val="single" w:sz="4" w:space="0" w:color="auto"/>
              <w:left w:val="single" w:sz="4" w:space="0" w:color="auto"/>
              <w:bottom w:val="single" w:sz="4" w:space="0" w:color="auto"/>
              <w:right w:val="single" w:sz="4" w:space="0" w:color="auto"/>
            </w:tcBorders>
          </w:tcPr>
          <w:p w14:paraId="367FFBC3" w14:textId="77777777" w:rsidR="00D65011" w:rsidRPr="00782298" w:rsidRDefault="00D65011" w:rsidP="007A7588">
            <w:pPr>
              <w:contextualSpacing/>
              <w:jc w:val="right"/>
              <w:rPr>
                <w:rFonts w:cs="Arial"/>
                <w:color w:val="auto"/>
                <w:sz w:val="18"/>
                <w:szCs w:val="18"/>
              </w:rPr>
            </w:pPr>
            <w:r w:rsidRPr="00782298">
              <w:rPr>
                <w:rFonts w:cs="Arial"/>
                <w:color w:val="auto"/>
                <w:sz w:val="18"/>
                <w:szCs w:val="18"/>
              </w:rPr>
              <w:t>Levels?</w:t>
            </w:r>
          </w:p>
          <w:p w14:paraId="66EA2CB3" w14:textId="77777777" w:rsidR="00D65011" w:rsidRDefault="00D65011" w:rsidP="007A7588">
            <w:pPr>
              <w:contextualSpacing/>
              <w:jc w:val="right"/>
              <w:rPr>
                <w:rFonts w:cs="Arial"/>
                <w:color w:val="auto"/>
                <w:sz w:val="18"/>
                <w:szCs w:val="18"/>
              </w:rPr>
            </w:pPr>
            <w:r w:rsidRPr="00782298">
              <w:rPr>
                <w:rFonts w:cs="Arial"/>
                <w:color w:val="auto"/>
                <w:sz w:val="18"/>
                <w:szCs w:val="18"/>
              </w:rPr>
              <w:t>Reduction due to CEW (Median salinity presented, PSU</w:t>
            </w:r>
            <w:r>
              <w:rPr>
                <w:rFonts w:cs="Arial"/>
                <w:color w:val="auto"/>
                <w:sz w:val="18"/>
                <w:szCs w:val="18"/>
              </w:rPr>
              <w:t>)</w:t>
            </w:r>
            <w:r w:rsidRPr="00782298">
              <w:rPr>
                <w:rFonts w:cs="Arial"/>
                <w:color w:val="auto"/>
                <w:sz w:val="18"/>
                <w:szCs w:val="18"/>
              </w:rPr>
              <w:t xml:space="preserve"> </w:t>
            </w:r>
          </w:p>
          <w:p w14:paraId="40C1B18F" w14:textId="77777777" w:rsidR="00D65011" w:rsidRPr="00782298" w:rsidRDefault="00D65011" w:rsidP="007A7588">
            <w:pPr>
              <w:contextualSpacing/>
              <w:jc w:val="right"/>
              <w:rPr>
                <w:rFonts w:cs="Arial"/>
                <w:color w:val="auto"/>
                <w:sz w:val="18"/>
                <w:szCs w:val="18"/>
              </w:rPr>
            </w:pPr>
            <w:r>
              <w:rPr>
                <w:rFonts w:cs="Arial"/>
                <w:color w:val="auto"/>
                <w:sz w:val="18"/>
                <w:szCs w:val="18"/>
              </w:rPr>
              <w:t>A</w:t>
            </w:r>
            <w:r w:rsidRPr="00782298">
              <w:rPr>
                <w:rFonts w:cs="Arial"/>
                <w:color w:val="auto"/>
                <w:sz w:val="18"/>
                <w:szCs w:val="18"/>
              </w:rPr>
              <w:t>t the Murray Mouth</w:t>
            </w:r>
          </w:p>
        </w:tc>
        <w:tc>
          <w:tcPr>
            <w:tcW w:w="47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61C58F51" w14:textId="77777777" w:rsidR="00D65011" w:rsidRPr="007A7588" w:rsidRDefault="00D65011" w:rsidP="007A7588">
            <w:pPr>
              <w:contextualSpacing/>
              <w:jc w:val="left"/>
              <w:rPr>
                <w:rFonts w:cs="Arial"/>
                <w:color w:val="auto"/>
                <w:sz w:val="16"/>
                <w:szCs w:val="16"/>
              </w:rPr>
            </w:pPr>
            <w:r w:rsidRPr="007A7588">
              <w:rPr>
                <w:rFonts w:cs="Arial"/>
                <w:sz w:val="16"/>
                <w:szCs w:val="16"/>
              </w:rPr>
              <w:t>From 34.6 to 24.0 *</w:t>
            </w:r>
          </w:p>
        </w:tc>
        <w:tc>
          <w:tcPr>
            <w:tcW w:w="550"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318047E" w14:textId="77777777" w:rsidR="00D65011" w:rsidRPr="007A7588" w:rsidRDefault="00D65011" w:rsidP="007A7588">
            <w:pPr>
              <w:contextualSpacing/>
              <w:jc w:val="left"/>
              <w:rPr>
                <w:rFonts w:cs="Arial"/>
                <w:color w:val="auto"/>
                <w:sz w:val="16"/>
                <w:szCs w:val="16"/>
              </w:rPr>
            </w:pPr>
            <w:r w:rsidRPr="007A7588">
              <w:rPr>
                <w:rFonts w:cs="Arial"/>
                <w:sz w:val="16"/>
                <w:szCs w:val="16"/>
              </w:rPr>
              <w:t>From 35.1 to 29.7 *</w:t>
            </w:r>
          </w:p>
        </w:tc>
        <w:tc>
          <w:tcPr>
            <w:tcW w:w="471"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7B714F74" w14:textId="77777777" w:rsidR="00D65011" w:rsidRPr="007A7588" w:rsidRDefault="00D65011" w:rsidP="007A7588">
            <w:pPr>
              <w:contextualSpacing/>
              <w:jc w:val="left"/>
              <w:rPr>
                <w:rFonts w:cs="Arial"/>
                <w:color w:val="auto"/>
                <w:sz w:val="16"/>
                <w:szCs w:val="16"/>
              </w:rPr>
            </w:pPr>
            <w:r w:rsidRPr="007A7588">
              <w:rPr>
                <w:rFonts w:cs="Arial"/>
                <w:sz w:val="16"/>
                <w:szCs w:val="16"/>
              </w:rPr>
              <w:t>From 21.6 to 11.3 *</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450214BE" w14:textId="77777777" w:rsidR="00D65011" w:rsidRPr="007A7588" w:rsidRDefault="00D65011" w:rsidP="007A7588">
            <w:pPr>
              <w:contextualSpacing/>
              <w:jc w:val="left"/>
              <w:rPr>
                <w:rFonts w:cs="Arial"/>
                <w:color w:val="auto"/>
                <w:sz w:val="16"/>
                <w:szCs w:val="16"/>
              </w:rPr>
            </w:pPr>
            <w:r w:rsidRPr="007A7588">
              <w:rPr>
                <w:rFonts w:cs="Arial"/>
                <w:sz w:val="16"/>
                <w:szCs w:val="16"/>
              </w:rPr>
              <w:t>From 28.9 to 15.9*</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7BE2A3BF" w14:textId="77777777" w:rsidR="00D65011" w:rsidRPr="007A7588" w:rsidRDefault="00D65011" w:rsidP="007A7588">
            <w:pPr>
              <w:contextualSpacing/>
              <w:jc w:val="left"/>
              <w:rPr>
                <w:rFonts w:cs="Arial"/>
                <w:color w:val="auto"/>
                <w:sz w:val="16"/>
                <w:szCs w:val="16"/>
              </w:rPr>
            </w:pPr>
            <w:r w:rsidRPr="007A7588">
              <w:rPr>
                <w:rFonts w:cs="Arial"/>
                <w:sz w:val="16"/>
                <w:szCs w:val="16"/>
              </w:rPr>
              <w:t>From 31.9 to 21.1*</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40B0D7B7"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 xml:space="preserve">From 31.9 to 21.3* </w:t>
            </w:r>
          </w:p>
        </w:tc>
        <w:tc>
          <w:tcPr>
            <w:tcW w:w="522" w:type="pct"/>
            <w:tcBorders>
              <w:top w:val="single" w:sz="4" w:space="0" w:color="auto"/>
              <w:left w:val="single" w:sz="4" w:space="0" w:color="auto"/>
              <w:bottom w:val="single" w:sz="4" w:space="0" w:color="auto"/>
              <w:right w:val="single" w:sz="4" w:space="0" w:color="auto"/>
            </w:tcBorders>
            <w:shd w:val="clear" w:color="auto" w:fill="5B9BD5" w:themeFill="accent1"/>
          </w:tcPr>
          <w:p w14:paraId="5B504EBC"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From 27.7 (without CEW) to 12.7 (with CEW)</w:t>
            </w:r>
          </w:p>
        </w:tc>
      </w:tr>
      <w:tr w:rsidR="007A7588" w:rsidRPr="009F4137" w14:paraId="039C1386" w14:textId="77777777" w:rsidTr="007A7588">
        <w:trPr>
          <w:cantSplit/>
          <w:trHeight w:val="20"/>
        </w:trPr>
        <w:tc>
          <w:tcPr>
            <w:tcW w:w="627" w:type="pct"/>
            <w:vMerge/>
            <w:tcBorders>
              <w:top w:val="single" w:sz="4" w:space="0" w:color="auto"/>
              <w:left w:val="single" w:sz="4" w:space="0" w:color="auto"/>
              <w:bottom w:val="single" w:sz="4" w:space="0" w:color="auto"/>
              <w:right w:val="single" w:sz="4" w:space="0" w:color="auto"/>
            </w:tcBorders>
          </w:tcPr>
          <w:p w14:paraId="41C1EB5F" w14:textId="77777777" w:rsidR="00D65011" w:rsidRPr="00782298" w:rsidRDefault="00D65011" w:rsidP="007A7588">
            <w:pPr>
              <w:contextualSpacing/>
              <w:jc w:val="left"/>
              <w:rPr>
                <w:sz w:val="18"/>
                <w:szCs w:val="18"/>
              </w:rPr>
            </w:pPr>
          </w:p>
        </w:tc>
        <w:tc>
          <w:tcPr>
            <w:tcW w:w="707" w:type="pct"/>
            <w:tcBorders>
              <w:top w:val="single" w:sz="4" w:space="0" w:color="auto"/>
              <w:left w:val="single" w:sz="4" w:space="0" w:color="auto"/>
              <w:bottom w:val="single" w:sz="4" w:space="0" w:color="auto"/>
              <w:right w:val="single" w:sz="4" w:space="0" w:color="auto"/>
            </w:tcBorders>
          </w:tcPr>
          <w:p w14:paraId="476F7FEA" w14:textId="77777777" w:rsidR="00D65011" w:rsidRPr="00782298" w:rsidRDefault="00D65011" w:rsidP="007A7588">
            <w:pPr>
              <w:contextualSpacing/>
              <w:jc w:val="right"/>
              <w:rPr>
                <w:rFonts w:cs="Arial"/>
                <w:color w:val="auto"/>
                <w:sz w:val="18"/>
                <w:szCs w:val="18"/>
              </w:rPr>
            </w:pPr>
            <w:r>
              <w:rPr>
                <w:rFonts w:cs="Arial"/>
                <w:color w:val="auto"/>
                <w:sz w:val="18"/>
                <w:szCs w:val="18"/>
              </w:rPr>
              <w:t>In</w:t>
            </w:r>
            <w:r w:rsidRPr="00425363">
              <w:rPr>
                <w:rFonts w:cs="Arial"/>
                <w:color w:val="auto"/>
                <w:sz w:val="18"/>
                <w:szCs w:val="18"/>
              </w:rPr>
              <w:t xml:space="preserve"> the North </w:t>
            </w:r>
            <w:r>
              <w:rPr>
                <w:rFonts w:cs="Arial"/>
                <w:color w:val="auto"/>
                <w:sz w:val="18"/>
                <w:szCs w:val="18"/>
              </w:rPr>
              <w:t>Lagoon</w:t>
            </w:r>
            <w:r w:rsidRPr="00425363">
              <w:rPr>
                <w:rFonts w:cs="Arial"/>
                <w:color w:val="auto"/>
                <w:sz w:val="18"/>
                <w:szCs w:val="18"/>
              </w:rPr>
              <w:t xml:space="preserve"> (L</w:t>
            </w:r>
            <w:r>
              <w:rPr>
                <w:rFonts w:cs="Arial"/>
                <w:color w:val="auto"/>
                <w:sz w:val="18"/>
                <w:szCs w:val="18"/>
              </w:rPr>
              <w:t xml:space="preserve">ong </w:t>
            </w:r>
            <w:r w:rsidRPr="00425363">
              <w:rPr>
                <w:rFonts w:cs="Arial"/>
                <w:color w:val="auto"/>
                <w:sz w:val="18"/>
                <w:szCs w:val="18"/>
              </w:rPr>
              <w:t>P</w:t>
            </w:r>
            <w:r>
              <w:rPr>
                <w:rFonts w:cs="Arial"/>
                <w:color w:val="auto"/>
                <w:sz w:val="18"/>
                <w:szCs w:val="18"/>
              </w:rPr>
              <w:t>oint)</w:t>
            </w:r>
          </w:p>
        </w:tc>
        <w:tc>
          <w:tcPr>
            <w:tcW w:w="4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8B1D22"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E9751F" w14:textId="77777777" w:rsidR="00D65011" w:rsidRPr="007A7588" w:rsidRDefault="00D65011" w:rsidP="007A7588">
            <w:pPr>
              <w:contextualSpacing/>
              <w:jc w:val="left"/>
              <w:rPr>
                <w:rFonts w:cs="Arial"/>
                <w:sz w:val="16"/>
                <w:szCs w:val="16"/>
                <w:highlight w:val="lightGray"/>
              </w:rPr>
            </w:pP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3F02F4" w14:textId="77777777" w:rsidR="00D65011" w:rsidRPr="007A7588" w:rsidRDefault="00D65011" w:rsidP="007A7588">
            <w:pPr>
              <w:contextualSpacing/>
              <w:jc w:val="left"/>
              <w:rPr>
                <w:rFonts w:cs="Arial"/>
                <w:sz w:val="16"/>
                <w:szCs w:val="16"/>
                <w:highlight w:val="lightGray"/>
              </w:rPr>
            </w:pPr>
          </w:p>
        </w:tc>
        <w:tc>
          <w:tcPr>
            <w:tcW w:w="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60F234"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388B22"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3E73D0" w14:textId="77777777" w:rsidR="00D65011" w:rsidRPr="007A7588" w:rsidRDefault="00D65011" w:rsidP="007A7588">
            <w:pPr>
              <w:contextualSpacing/>
              <w:jc w:val="left"/>
              <w:rPr>
                <w:rFonts w:cs="Arial"/>
                <w:color w:val="auto"/>
                <w:sz w:val="16"/>
                <w:szCs w:val="16"/>
                <w:highlight w:val="lightGray"/>
              </w:rPr>
            </w:pP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tcPr>
          <w:p w14:paraId="09EDD1F3"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From 32.0 (without CEW) to 18.1 (with CEW)</w:t>
            </w:r>
          </w:p>
        </w:tc>
      </w:tr>
      <w:tr w:rsidR="007A7588" w:rsidRPr="009F4137" w14:paraId="282EFE9C" w14:textId="77777777" w:rsidTr="007A7588">
        <w:trPr>
          <w:cantSplit/>
          <w:trHeight w:val="20"/>
        </w:trPr>
        <w:tc>
          <w:tcPr>
            <w:tcW w:w="627" w:type="pct"/>
            <w:vMerge/>
            <w:tcBorders>
              <w:top w:val="single" w:sz="4" w:space="0" w:color="auto"/>
              <w:left w:val="single" w:sz="4" w:space="0" w:color="auto"/>
              <w:bottom w:val="single" w:sz="4" w:space="0" w:color="auto"/>
              <w:right w:val="single" w:sz="4" w:space="0" w:color="auto"/>
            </w:tcBorders>
          </w:tcPr>
          <w:p w14:paraId="15A5B0A8" w14:textId="77777777" w:rsidR="00D65011" w:rsidRPr="00782298" w:rsidRDefault="00D65011" w:rsidP="007A7588">
            <w:pPr>
              <w:contextualSpacing/>
              <w:jc w:val="left"/>
              <w:rPr>
                <w:sz w:val="18"/>
                <w:szCs w:val="18"/>
              </w:rPr>
            </w:pPr>
          </w:p>
        </w:tc>
        <w:tc>
          <w:tcPr>
            <w:tcW w:w="707" w:type="pct"/>
            <w:tcBorders>
              <w:top w:val="single" w:sz="4" w:space="0" w:color="auto"/>
              <w:left w:val="single" w:sz="4" w:space="0" w:color="auto"/>
              <w:bottom w:val="single" w:sz="4" w:space="0" w:color="auto"/>
              <w:right w:val="single" w:sz="4" w:space="0" w:color="auto"/>
            </w:tcBorders>
          </w:tcPr>
          <w:p w14:paraId="1076E09F" w14:textId="77777777" w:rsidR="00D65011" w:rsidRPr="00782298" w:rsidRDefault="00D65011" w:rsidP="007A7588">
            <w:pPr>
              <w:contextualSpacing/>
              <w:jc w:val="right"/>
              <w:rPr>
                <w:rFonts w:cs="Arial"/>
                <w:color w:val="auto"/>
                <w:sz w:val="18"/>
                <w:szCs w:val="18"/>
              </w:rPr>
            </w:pPr>
            <w:r>
              <w:rPr>
                <w:rFonts w:cs="Arial"/>
                <w:color w:val="auto"/>
                <w:sz w:val="18"/>
                <w:szCs w:val="18"/>
              </w:rPr>
              <w:t>In</w:t>
            </w:r>
            <w:r w:rsidRPr="00425363">
              <w:rPr>
                <w:rFonts w:cs="Arial"/>
                <w:color w:val="auto"/>
                <w:sz w:val="18"/>
                <w:szCs w:val="18"/>
              </w:rPr>
              <w:t xml:space="preserve"> the </w:t>
            </w:r>
            <w:r>
              <w:rPr>
                <w:rFonts w:cs="Arial"/>
                <w:color w:val="auto"/>
                <w:sz w:val="18"/>
                <w:szCs w:val="18"/>
              </w:rPr>
              <w:t>South</w:t>
            </w:r>
            <w:r w:rsidRPr="00425363">
              <w:rPr>
                <w:rFonts w:cs="Arial"/>
                <w:color w:val="auto"/>
                <w:sz w:val="18"/>
                <w:szCs w:val="18"/>
              </w:rPr>
              <w:t xml:space="preserve"> </w:t>
            </w:r>
            <w:r>
              <w:rPr>
                <w:rFonts w:cs="Arial"/>
                <w:color w:val="auto"/>
                <w:sz w:val="18"/>
                <w:szCs w:val="18"/>
              </w:rPr>
              <w:t>Lagoon</w:t>
            </w:r>
            <w:r w:rsidRPr="00425363">
              <w:rPr>
                <w:rFonts w:cs="Arial"/>
                <w:color w:val="auto"/>
                <w:sz w:val="18"/>
                <w:szCs w:val="18"/>
              </w:rPr>
              <w:t xml:space="preserve"> (</w:t>
            </w:r>
            <w:r>
              <w:rPr>
                <w:rFonts w:cs="Arial"/>
                <w:color w:val="auto"/>
                <w:sz w:val="18"/>
                <w:szCs w:val="18"/>
              </w:rPr>
              <w:t xml:space="preserve">Parnka </w:t>
            </w:r>
            <w:r w:rsidRPr="00425363">
              <w:rPr>
                <w:rFonts w:cs="Arial"/>
                <w:color w:val="auto"/>
                <w:sz w:val="18"/>
                <w:szCs w:val="18"/>
              </w:rPr>
              <w:t>P</w:t>
            </w:r>
            <w:r>
              <w:rPr>
                <w:rFonts w:cs="Arial"/>
                <w:color w:val="auto"/>
                <w:sz w:val="18"/>
                <w:szCs w:val="18"/>
              </w:rPr>
              <w:t>oint)</w:t>
            </w:r>
          </w:p>
        </w:tc>
        <w:tc>
          <w:tcPr>
            <w:tcW w:w="4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93E118"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2F2B70" w14:textId="77777777" w:rsidR="00D65011" w:rsidRPr="007A7588" w:rsidRDefault="00D65011" w:rsidP="007A7588">
            <w:pPr>
              <w:contextualSpacing/>
              <w:jc w:val="left"/>
              <w:rPr>
                <w:rFonts w:cs="Arial"/>
                <w:sz w:val="16"/>
                <w:szCs w:val="16"/>
                <w:highlight w:val="lightGray"/>
              </w:rPr>
            </w:pP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A239BC" w14:textId="77777777" w:rsidR="00D65011" w:rsidRPr="007A7588" w:rsidRDefault="00D65011" w:rsidP="007A7588">
            <w:pPr>
              <w:contextualSpacing/>
              <w:jc w:val="left"/>
              <w:rPr>
                <w:rFonts w:cs="Arial"/>
                <w:sz w:val="16"/>
                <w:szCs w:val="16"/>
                <w:highlight w:val="lightGray"/>
              </w:rPr>
            </w:pPr>
          </w:p>
        </w:tc>
        <w:tc>
          <w:tcPr>
            <w:tcW w:w="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8DB729"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B8A63D" w14:textId="77777777" w:rsidR="00D65011" w:rsidRPr="007A7588" w:rsidRDefault="00D65011" w:rsidP="007A7588">
            <w:pPr>
              <w:contextualSpacing/>
              <w:jc w:val="left"/>
              <w:rPr>
                <w:rFonts w:cs="Arial"/>
                <w:sz w:val="16"/>
                <w:szCs w:val="16"/>
                <w:highlight w:val="lightGray"/>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CE663A" w14:textId="77777777" w:rsidR="00D65011" w:rsidRPr="007A7588" w:rsidRDefault="00D65011" w:rsidP="007A7588">
            <w:pPr>
              <w:contextualSpacing/>
              <w:jc w:val="left"/>
              <w:rPr>
                <w:rFonts w:cs="Arial"/>
                <w:color w:val="auto"/>
                <w:sz w:val="16"/>
                <w:szCs w:val="16"/>
                <w:highlight w:val="lightGray"/>
              </w:rPr>
            </w:pPr>
          </w:p>
        </w:tc>
        <w:tc>
          <w:tcPr>
            <w:tcW w:w="522"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B348068"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From 100.1 (without CEW) to 95.0 (with CEW)</w:t>
            </w:r>
          </w:p>
        </w:tc>
      </w:tr>
      <w:tr w:rsidR="007A7588" w:rsidRPr="009F4137" w14:paraId="764BA12C" w14:textId="77777777" w:rsidTr="007A7588">
        <w:trPr>
          <w:cantSplit/>
          <w:trHeight w:val="20"/>
        </w:trPr>
        <w:tc>
          <w:tcPr>
            <w:tcW w:w="627" w:type="pct"/>
            <w:vMerge/>
            <w:tcBorders>
              <w:top w:val="single" w:sz="4" w:space="0" w:color="auto"/>
              <w:left w:val="single" w:sz="4" w:space="0" w:color="auto"/>
              <w:bottom w:val="single" w:sz="4" w:space="0" w:color="auto"/>
              <w:right w:val="single" w:sz="4" w:space="0" w:color="auto"/>
            </w:tcBorders>
            <w:vAlign w:val="center"/>
            <w:hideMark/>
          </w:tcPr>
          <w:p w14:paraId="2DEA5EA5" w14:textId="77777777" w:rsidR="00D65011" w:rsidRPr="00463F61" w:rsidRDefault="00D65011" w:rsidP="007A7588">
            <w:pPr>
              <w:spacing w:before="0" w:after="0" w:line="256" w:lineRule="auto"/>
              <w:contextualSpacing/>
              <w:jc w:val="left"/>
              <w:rPr>
                <w:rFonts w:cs="Arial"/>
                <w:color w:val="auto"/>
                <w:sz w:val="18"/>
                <w:szCs w:val="18"/>
              </w:rPr>
            </w:pPr>
          </w:p>
        </w:tc>
        <w:tc>
          <w:tcPr>
            <w:tcW w:w="707" w:type="pct"/>
            <w:tcBorders>
              <w:top w:val="single" w:sz="4" w:space="0" w:color="auto"/>
              <w:left w:val="single" w:sz="4" w:space="0" w:color="auto"/>
              <w:bottom w:val="single" w:sz="4" w:space="0" w:color="auto"/>
              <w:right w:val="single" w:sz="4" w:space="0" w:color="auto"/>
            </w:tcBorders>
            <w:hideMark/>
          </w:tcPr>
          <w:p w14:paraId="133DADB8" w14:textId="77777777" w:rsidR="00D65011" w:rsidRPr="00463F61" w:rsidRDefault="00D65011" w:rsidP="007A7588">
            <w:pPr>
              <w:contextualSpacing/>
              <w:jc w:val="right"/>
              <w:rPr>
                <w:rFonts w:cs="Arial"/>
                <w:color w:val="auto"/>
                <w:sz w:val="18"/>
                <w:szCs w:val="18"/>
              </w:rPr>
            </w:pPr>
            <w:r w:rsidRPr="00463F61">
              <w:rPr>
                <w:rFonts w:cs="Arial"/>
                <w:color w:val="auto"/>
                <w:sz w:val="18"/>
                <w:szCs w:val="18"/>
              </w:rPr>
              <w:t>Transport?</w:t>
            </w:r>
          </w:p>
          <w:p w14:paraId="403E3426" w14:textId="77777777" w:rsidR="00D65011" w:rsidRPr="00782298" w:rsidRDefault="00D65011" w:rsidP="007A7588">
            <w:pPr>
              <w:contextualSpacing/>
              <w:jc w:val="right"/>
              <w:rPr>
                <w:rFonts w:cs="Arial"/>
                <w:color w:val="auto"/>
                <w:sz w:val="18"/>
                <w:szCs w:val="18"/>
              </w:rPr>
            </w:pPr>
            <w:r w:rsidRPr="00463F61">
              <w:rPr>
                <w:rFonts w:cs="Arial"/>
                <w:color w:val="auto"/>
                <w:sz w:val="18"/>
                <w:szCs w:val="18"/>
              </w:rPr>
              <w:t xml:space="preserve">(tonnes salt per year) Additional export </w:t>
            </w:r>
            <w:r>
              <w:rPr>
                <w:rFonts w:cs="Arial"/>
                <w:color w:val="auto"/>
                <w:sz w:val="18"/>
                <w:szCs w:val="18"/>
              </w:rPr>
              <w:t>through</w:t>
            </w:r>
            <w:r w:rsidRPr="00463F61">
              <w:rPr>
                <w:rFonts w:cs="Arial"/>
                <w:color w:val="auto"/>
                <w:sz w:val="18"/>
                <w:szCs w:val="18"/>
              </w:rPr>
              <w:t xml:space="preserve"> </w:t>
            </w:r>
            <w:r>
              <w:rPr>
                <w:rFonts w:cs="Arial"/>
                <w:color w:val="auto"/>
                <w:sz w:val="18"/>
                <w:szCs w:val="18"/>
              </w:rPr>
              <w:t xml:space="preserve">the </w:t>
            </w:r>
            <w:r w:rsidRPr="00463F61">
              <w:rPr>
                <w:rFonts w:cs="Arial"/>
                <w:color w:val="auto"/>
                <w:sz w:val="18"/>
                <w:szCs w:val="18"/>
              </w:rPr>
              <w:t xml:space="preserve">barrages due to CEW </w:t>
            </w:r>
          </w:p>
        </w:tc>
        <w:tc>
          <w:tcPr>
            <w:tcW w:w="472"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2D637A83" w14:textId="77777777" w:rsidR="00D65011" w:rsidRPr="007A7588" w:rsidRDefault="00D65011" w:rsidP="007A7588">
            <w:pPr>
              <w:contextualSpacing/>
              <w:jc w:val="left"/>
              <w:rPr>
                <w:rFonts w:cs="Arial"/>
                <w:color w:val="auto"/>
                <w:sz w:val="16"/>
                <w:szCs w:val="16"/>
              </w:rPr>
            </w:pPr>
            <w:r w:rsidRPr="007A7588">
              <w:rPr>
                <w:rFonts w:cs="Arial"/>
                <w:sz w:val="16"/>
                <w:szCs w:val="16"/>
              </w:rPr>
              <w:t>285,064*</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5C5FABDC" w14:textId="77777777" w:rsidR="00D65011" w:rsidRPr="007A7588" w:rsidRDefault="00D65011" w:rsidP="007A7588">
            <w:pPr>
              <w:contextualSpacing/>
              <w:jc w:val="left"/>
              <w:rPr>
                <w:rFonts w:cs="Arial"/>
                <w:color w:val="auto"/>
                <w:sz w:val="16"/>
                <w:szCs w:val="16"/>
              </w:rPr>
            </w:pPr>
            <w:r w:rsidRPr="007A7588">
              <w:rPr>
                <w:rFonts w:cs="Arial"/>
                <w:sz w:val="16"/>
                <w:szCs w:val="16"/>
              </w:rPr>
              <w:t>251,632*</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D510092" w14:textId="77777777" w:rsidR="00D65011" w:rsidRPr="007A7588" w:rsidRDefault="00D65011" w:rsidP="007A7588">
            <w:pPr>
              <w:contextualSpacing/>
              <w:jc w:val="left"/>
              <w:rPr>
                <w:rFonts w:cs="Arial"/>
                <w:color w:val="auto"/>
                <w:sz w:val="16"/>
                <w:szCs w:val="16"/>
              </w:rPr>
            </w:pPr>
            <w:r w:rsidRPr="007A7588">
              <w:rPr>
                <w:rFonts w:cs="Arial"/>
                <w:sz w:val="16"/>
                <w:szCs w:val="16"/>
              </w:rPr>
              <w:t>120,867*</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078FBF3A" w14:textId="77777777" w:rsidR="00D65011" w:rsidRPr="007A7588" w:rsidRDefault="00D65011" w:rsidP="007A7588">
            <w:pPr>
              <w:contextualSpacing/>
              <w:jc w:val="left"/>
              <w:rPr>
                <w:rFonts w:cs="Arial"/>
                <w:sz w:val="16"/>
                <w:szCs w:val="16"/>
              </w:rPr>
            </w:pPr>
            <w:r w:rsidRPr="007A7588">
              <w:rPr>
                <w:rFonts w:cs="Arial"/>
                <w:sz w:val="16"/>
                <w:szCs w:val="16"/>
              </w:rPr>
              <w:t>436,848*</w:t>
            </w:r>
          </w:p>
          <w:p w14:paraId="30A7D3E9" w14:textId="77777777" w:rsidR="00D65011" w:rsidRPr="007A7588" w:rsidRDefault="00D65011" w:rsidP="007A7588">
            <w:pPr>
              <w:contextualSpacing/>
              <w:jc w:val="left"/>
              <w:rPr>
                <w:rFonts w:cs="Arial"/>
                <w:color w:val="auto"/>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31796232" w14:textId="77777777" w:rsidR="00D65011" w:rsidRPr="007A7588" w:rsidRDefault="00D65011" w:rsidP="007A7588">
            <w:pPr>
              <w:contextualSpacing/>
              <w:jc w:val="left"/>
              <w:rPr>
                <w:rFonts w:cs="Arial"/>
                <w:sz w:val="16"/>
                <w:szCs w:val="16"/>
              </w:rPr>
            </w:pPr>
            <w:r w:rsidRPr="007A7588">
              <w:rPr>
                <w:rFonts w:cs="Arial"/>
                <w:sz w:val="16"/>
                <w:szCs w:val="16"/>
              </w:rPr>
              <w:t>532,222*</w:t>
            </w:r>
          </w:p>
          <w:p w14:paraId="18B8D5C2" w14:textId="77777777" w:rsidR="00D65011" w:rsidRPr="007A7588" w:rsidRDefault="00D65011" w:rsidP="007A7588">
            <w:pPr>
              <w:contextualSpacing/>
              <w:jc w:val="left"/>
              <w:rPr>
                <w:rFonts w:cs="Arial"/>
                <w:color w:val="auto"/>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hideMark/>
          </w:tcPr>
          <w:p w14:paraId="05ED32CB"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623,999*</w:t>
            </w:r>
          </w:p>
        </w:tc>
        <w:tc>
          <w:tcPr>
            <w:tcW w:w="522" w:type="pct"/>
            <w:tcBorders>
              <w:top w:val="single" w:sz="4" w:space="0" w:color="auto"/>
              <w:left w:val="single" w:sz="4" w:space="0" w:color="auto"/>
              <w:bottom w:val="single" w:sz="4" w:space="0" w:color="auto"/>
              <w:right w:val="single" w:sz="4" w:space="0" w:color="auto"/>
            </w:tcBorders>
            <w:shd w:val="clear" w:color="auto" w:fill="5B9BD5" w:themeFill="accent1"/>
          </w:tcPr>
          <w:p w14:paraId="77C25BE0"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1,071,853</w:t>
            </w:r>
          </w:p>
        </w:tc>
      </w:tr>
      <w:tr w:rsidR="007A7588" w:rsidRPr="009F4137" w14:paraId="2F5EFFC9" w14:textId="77777777" w:rsidTr="007A7588">
        <w:trPr>
          <w:cantSplit/>
          <w:trHeight w:val="20"/>
        </w:trPr>
        <w:tc>
          <w:tcPr>
            <w:tcW w:w="627" w:type="pct"/>
            <w:tcBorders>
              <w:top w:val="single" w:sz="4" w:space="0" w:color="auto"/>
              <w:left w:val="single" w:sz="4" w:space="0" w:color="auto"/>
              <w:bottom w:val="single" w:sz="4" w:space="0" w:color="auto"/>
              <w:right w:val="single" w:sz="4" w:space="0" w:color="auto"/>
            </w:tcBorders>
            <w:vAlign w:val="center"/>
          </w:tcPr>
          <w:p w14:paraId="4E731E7A" w14:textId="77777777" w:rsidR="00D65011" w:rsidRPr="00D20CDA" w:rsidRDefault="00D65011" w:rsidP="007A7588">
            <w:pPr>
              <w:spacing w:before="0" w:after="0" w:line="256" w:lineRule="auto"/>
              <w:contextualSpacing/>
              <w:jc w:val="left"/>
              <w:rPr>
                <w:rFonts w:cs="Arial"/>
                <w:color w:val="auto"/>
                <w:sz w:val="18"/>
                <w:szCs w:val="18"/>
              </w:rPr>
            </w:pPr>
          </w:p>
        </w:tc>
        <w:tc>
          <w:tcPr>
            <w:tcW w:w="707" w:type="pct"/>
            <w:tcBorders>
              <w:top w:val="single" w:sz="4" w:space="0" w:color="auto"/>
              <w:left w:val="single" w:sz="4" w:space="0" w:color="auto"/>
              <w:bottom w:val="single" w:sz="4" w:space="0" w:color="auto"/>
              <w:right w:val="single" w:sz="4" w:space="0" w:color="auto"/>
            </w:tcBorders>
          </w:tcPr>
          <w:p w14:paraId="0DC2C9E1" w14:textId="255685A9" w:rsidR="00D65011" w:rsidRPr="00D20CDA" w:rsidRDefault="00D65011" w:rsidP="007A7588">
            <w:pPr>
              <w:contextualSpacing/>
              <w:jc w:val="right"/>
              <w:rPr>
                <w:rFonts w:cs="Arial"/>
                <w:color w:val="auto"/>
                <w:sz w:val="18"/>
                <w:szCs w:val="18"/>
              </w:rPr>
            </w:pPr>
            <w:r w:rsidRPr="00D20CDA">
              <w:rPr>
                <w:rFonts w:cs="Arial"/>
                <w:color w:val="auto"/>
                <w:sz w:val="18"/>
                <w:szCs w:val="18"/>
              </w:rPr>
              <w:t>Reduction of salt import at the Murray Mouth</w:t>
            </w:r>
          </w:p>
        </w:tc>
        <w:tc>
          <w:tcPr>
            <w:tcW w:w="472" w:type="pct"/>
            <w:tcBorders>
              <w:top w:val="single" w:sz="4" w:space="0" w:color="auto"/>
              <w:left w:val="single" w:sz="4" w:space="0" w:color="auto"/>
              <w:bottom w:val="single" w:sz="4" w:space="0" w:color="auto"/>
              <w:right w:val="single" w:sz="4" w:space="0" w:color="auto"/>
            </w:tcBorders>
            <w:shd w:val="clear" w:color="auto" w:fill="70AD47" w:themeFill="accent6"/>
          </w:tcPr>
          <w:p w14:paraId="04C76893" w14:textId="66E3DABB" w:rsidR="00D65011" w:rsidRPr="007A7588" w:rsidRDefault="00D65011" w:rsidP="007A7588">
            <w:pPr>
              <w:contextualSpacing/>
              <w:jc w:val="left"/>
              <w:rPr>
                <w:rFonts w:cs="Arial"/>
                <w:sz w:val="16"/>
                <w:szCs w:val="16"/>
              </w:rPr>
            </w:pPr>
            <w:r w:rsidRPr="007A7588">
              <w:rPr>
                <w:rFonts w:cs="Arial"/>
                <w:sz w:val="16"/>
                <w:szCs w:val="16"/>
              </w:rPr>
              <w:t>3,044,70*</w:t>
            </w:r>
          </w:p>
        </w:tc>
        <w:tc>
          <w:tcPr>
            <w:tcW w:w="550" w:type="pct"/>
            <w:tcBorders>
              <w:top w:val="single" w:sz="4" w:space="0" w:color="auto"/>
              <w:left w:val="single" w:sz="4" w:space="0" w:color="auto"/>
              <w:bottom w:val="single" w:sz="4" w:space="0" w:color="auto"/>
              <w:right w:val="single" w:sz="4" w:space="0" w:color="auto"/>
            </w:tcBorders>
            <w:shd w:val="clear" w:color="auto" w:fill="5B9BD5" w:themeFill="accent1"/>
          </w:tcPr>
          <w:p w14:paraId="71038CD7" w14:textId="77777777" w:rsidR="00D65011" w:rsidRPr="007A7588" w:rsidRDefault="00D65011" w:rsidP="007A7588">
            <w:pPr>
              <w:contextualSpacing/>
              <w:jc w:val="left"/>
              <w:rPr>
                <w:rFonts w:cs="Arial"/>
                <w:sz w:val="16"/>
                <w:szCs w:val="16"/>
              </w:rPr>
            </w:pPr>
            <w:r w:rsidRPr="007A7588">
              <w:rPr>
                <w:rFonts w:cs="Arial"/>
                <w:sz w:val="16"/>
                <w:szCs w:val="16"/>
              </w:rPr>
              <w:t>4,591,269*</w:t>
            </w:r>
          </w:p>
        </w:tc>
        <w:tc>
          <w:tcPr>
            <w:tcW w:w="47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03F1236" w14:textId="77777777" w:rsidR="00D65011" w:rsidRPr="007A7588" w:rsidRDefault="00D65011" w:rsidP="007A7588">
            <w:pPr>
              <w:contextualSpacing/>
              <w:jc w:val="left"/>
              <w:rPr>
                <w:rFonts w:cs="Arial"/>
                <w:sz w:val="16"/>
                <w:szCs w:val="16"/>
              </w:rPr>
            </w:pPr>
            <w:r w:rsidRPr="007A7588">
              <w:rPr>
                <w:rFonts w:cs="Arial"/>
                <w:sz w:val="16"/>
                <w:szCs w:val="16"/>
              </w:rPr>
              <w:t>519,292*</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tcPr>
          <w:p w14:paraId="7EAA7010" w14:textId="77777777" w:rsidR="00D65011" w:rsidRPr="007A7588" w:rsidRDefault="00D65011" w:rsidP="007A7588">
            <w:pPr>
              <w:contextualSpacing/>
              <w:jc w:val="left"/>
              <w:rPr>
                <w:rFonts w:cs="Arial"/>
                <w:sz w:val="16"/>
                <w:szCs w:val="16"/>
              </w:rPr>
            </w:pPr>
            <w:r w:rsidRPr="007A7588">
              <w:rPr>
                <w:rFonts w:cs="Arial"/>
                <w:sz w:val="16"/>
                <w:szCs w:val="16"/>
              </w:rPr>
              <w:t>1,670,937*</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6B9A1CD5" w14:textId="77777777" w:rsidR="00D65011" w:rsidRPr="007A7588" w:rsidRDefault="00D65011" w:rsidP="007A7588">
            <w:pPr>
              <w:contextualSpacing/>
              <w:jc w:val="left"/>
              <w:rPr>
                <w:rFonts w:cs="Arial"/>
                <w:sz w:val="16"/>
                <w:szCs w:val="16"/>
              </w:rPr>
            </w:pPr>
            <w:r w:rsidRPr="007A7588">
              <w:rPr>
                <w:rFonts w:cs="Arial"/>
                <w:sz w:val="16"/>
                <w:szCs w:val="16"/>
              </w:rPr>
              <w:t>1,847,273*</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1250FD82"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1,997,037*</w:t>
            </w:r>
          </w:p>
        </w:tc>
        <w:tc>
          <w:tcPr>
            <w:tcW w:w="522" w:type="pct"/>
            <w:tcBorders>
              <w:top w:val="single" w:sz="4" w:space="0" w:color="auto"/>
              <w:left w:val="single" w:sz="4" w:space="0" w:color="auto"/>
              <w:bottom w:val="single" w:sz="4" w:space="0" w:color="auto"/>
              <w:right w:val="single" w:sz="4" w:space="0" w:color="auto"/>
            </w:tcBorders>
            <w:shd w:val="clear" w:color="auto" w:fill="5B9BD5" w:themeFill="accent1"/>
          </w:tcPr>
          <w:p w14:paraId="481A2DE2"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4,232,334</w:t>
            </w:r>
          </w:p>
        </w:tc>
      </w:tr>
      <w:tr w:rsidR="007A7588" w:rsidRPr="009F4137" w14:paraId="4B4089A3" w14:textId="77777777" w:rsidTr="007A7588">
        <w:trPr>
          <w:cantSplit/>
          <w:trHeight w:val="20"/>
        </w:trPr>
        <w:tc>
          <w:tcPr>
            <w:tcW w:w="627" w:type="pct"/>
            <w:tcBorders>
              <w:top w:val="single" w:sz="4" w:space="0" w:color="auto"/>
              <w:left w:val="single" w:sz="4" w:space="0" w:color="auto"/>
              <w:bottom w:val="single" w:sz="4" w:space="0" w:color="auto"/>
              <w:right w:val="single" w:sz="4" w:space="0" w:color="auto"/>
            </w:tcBorders>
            <w:vAlign w:val="center"/>
          </w:tcPr>
          <w:p w14:paraId="6A877CD6" w14:textId="77777777" w:rsidR="00D65011" w:rsidRPr="00D20CDA" w:rsidRDefault="00D65011" w:rsidP="007A7588">
            <w:pPr>
              <w:spacing w:before="0" w:after="0" w:line="256" w:lineRule="auto"/>
              <w:contextualSpacing/>
              <w:jc w:val="left"/>
              <w:rPr>
                <w:rFonts w:cs="Arial"/>
                <w:color w:val="auto"/>
                <w:sz w:val="18"/>
                <w:szCs w:val="18"/>
              </w:rPr>
            </w:pPr>
          </w:p>
        </w:tc>
        <w:tc>
          <w:tcPr>
            <w:tcW w:w="707" w:type="pct"/>
            <w:tcBorders>
              <w:top w:val="single" w:sz="4" w:space="0" w:color="auto"/>
              <w:left w:val="single" w:sz="4" w:space="0" w:color="auto"/>
              <w:bottom w:val="single" w:sz="4" w:space="0" w:color="auto"/>
              <w:right w:val="single" w:sz="4" w:space="0" w:color="auto"/>
            </w:tcBorders>
          </w:tcPr>
          <w:p w14:paraId="6ACD0E22" w14:textId="77777777" w:rsidR="00D65011" w:rsidRPr="00D20CDA" w:rsidRDefault="00D65011" w:rsidP="007A7588">
            <w:pPr>
              <w:contextualSpacing/>
              <w:jc w:val="right"/>
              <w:rPr>
                <w:rFonts w:cs="Arial"/>
                <w:color w:val="auto"/>
                <w:sz w:val="18"/>
                <w:szCs w:val="18"/>
              </w:rPr>
            </w:pPr>
            <w:r w:rsidRPr="00D20CDA">
              <w:rPr>
                <w:rFonts w:cs="Arial"/>
                <w:color w:val="auto"/>
                <w:sz w:val="18"/>
                <w:szCs w:val="18"/>
              </w:rPr>
              <w:t xml:space="preserve">Reduction of southward salt flux at the North </w:t>
            </w:r>
            <w:r>
              <w:rPr>
                <w:rFonts w:cs="Arial"/>
                <w:color w:val="auto"/>
                <w:sz w:val="18"/>
                <w:szCs w:val="18"/>
              </w:rPr>
              <w:t>Lagoon</w:t>
            </w:r>
            <w:r w:rsidRPr="00D20CDA">
              <w:rPr>
                <w:rFonts w:cs="Arial"/>
                <w:color w:val="auto"/>
                <w:sz w:val="18"/>
                <w:szCs w:val="18"/>
              </w:rPr>
              <w:t xml:space="preserve"> (LP)</w:t>
            </w:r>
          </w:p>
        </w:tc>
        <w:tc>
          <w:tcPr>
            <w:tcW w:w="4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A419DF"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817307" w14:textId="77777777" w:rsidR="00D65011" w:rsidRPr="007A7588" w:rsidRDefault="00D65011" w:rsidP="007A7588">
            <w:pPr>
              <w:contextualSpacing/>
              <w:jc w:val="left"/>
              <w:rPr>
                <w:rFonts w:cs="Arial"/>
                <w:sz w:val="16"/>
                <w:szCs w:val="16"/>
              </w:rPr>
            </w:pP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26A669" w14:textId="77777777" w:rsidR="00D65011" w:rsidRPr="007A7588" w:rsidRDefault="00D65011" w:rsidP="007A7588">
            <w:pPr>
              <w:contextualSpacing/>
              <w:jc w:val="left"/>
              <w:rPr>
                <w:rFonts w:cs="Arial"/>
                <w:sz w:val="16"/>
                <w:szCs w:val="16"/>
              </w:rPr>
            </w:pPr>
          </w:p>
        </w:tc>
        <w:tc>
          <w:tcPr>
            <w:tcW w:w="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CB064D"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2BD9111"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3D72EB87" w14:textId="77777777" w:rsidR="00D65011" w:rsidRPr="007A7588" w:rsidRDefault="00D65011" w:rsidP="007A7588">
            <w:pPr>
              <w:contextualSpacing/>
              <w:jc w:val="left"/>
              <w:rPr>
                <w:rFonts w:cs="Arial"/>
                <w:color w:val="auto"/>
                <w:sz w:val="16"/>
                <w:szCs w:val="16"/>
              </w:rPr>
            </w:pPr>
            <w:r w:rsidRPr="007A7588">
              <w:rPr>
                <w:color w:val="auto"/>
                <w:sz w:val="16"/>
                <w:szCs w:val="16"/>
              </w:rPr>
              <w:t>1,979,123*</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tcPr>
          <w:p w14:paraId="7CC27647"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2,840,863</w:t>
            </w:r>
          </w:p>
        </w:tc>
      </w:tr>
      <w:tr w:rsidR="007A7588" w:rsidRPr="009F4137" w14:paraId="2B4BACAF" w14:textId="77777777" w:rsidTr="007A7588">
        <w:trPr>
          <w:cantSplit/>
          <w:trHeight w:val="20"/>
        </w:trPr>
        <w:tc>
          <w:tcPr>
            <w:tcW w:w="627" w:type="pct"/>
            <w:tcBorders>
              <w:top w:val="single" w:sz="4" w:space="0" w:color="auto"/>
              <w:left w:val="single" w:sz="4" w:space="0" w:color="auto"/>
              <w:bottom w:val="single" w:sz="4" w:space="0" w:color="auto"/>
              <w:right w:val="single" w:sz="4" w:space="0" w:color="auto"/>
            </w:tcBorders>
            <w:vAlign w:val="center"/>
          </w:tcPr>
          <w:p w14:paraId="05ED1832" w14:textId="77777777" w:rsidR="00D65011" w:rsidRPr="00D20CDA" w:rsidRDefault="00D65011" w:rsidP="007A7588">
            <w:pPr>
              <w:spacing w:before="0" w:after="0" w:line="256" w:lineRule="auto"/>
              <w:contextualSpacing/>
              <w:jc w:val="left"/>
              <w:rPr>
                <w:rFonts w:cs="Arial"/>
                <w:color w:val="auto"/>
                <w:sz w:val="18"/>
                <w:szCs w:val="18"/>
              </w:rPr>
            </w:pPr>
          </w:p>
        </w:tc>
        <w:tc>
          <w:tcPr>
            <w:tcW w:w="707" w:type="pct"/>
            <w:tcBorders>
              <w:top w:val="single" w:sz="4" w:space="0" w:color="auto"/>
              <w:left w:val="single" w:sz="4" w:space="0" w:color="auto"/>
              <w:bottom w:val="single" w:sz="4" w:space="0" w:color="auto"/>
              <w:right w:val="single" w:sz="4" w:space="0" w:color="auto"/>
            </w:tcBorders>
          </w:tcPr>
          <w:p w14:paraId="73C5F1CE" w14:textId="77777777" w:rsidR="00D65011" w:rsidRPr="00D20CDA" w:rsidRDefault="00D65011" w:rsidP="007A7588">
            <w:pPr>
              <w:contextualSpacing/>
              <w:jc w:val="right"/>
              <w:rPr>
                <w:rFonts w:cs="Arial"/>
                <w:color w:val="auto"/>
                <w:sz w:val="18"/>
                <w:szCs w:val="18"/>
              </w:rPr>
            </w:pPr>
            <w:r w:rsidRPr="00D20CDA">
              <w:rPr>
                <w:rFonts w:cs="Arial"/>
                <w:color w:val="auto"/>
                <w:sz w:val="18"/>
                <w:szCs w:val="18"/>
              </w:rPr>
              <w:t xml:space="preserve">Reduction of southward salt flux at South </w:t>
            </w:r>
            <w:r>
              <w:rPr>
                <w:rFonts w:cs="Arial"/>
                <w:color w:val="auto"/>
                <w:sz w:val="18"/>
                <w:szCs w:val="18"/>
              </w:rPr>
              <w:t>Lagoon</w:t>
            </w:r>
            <w:r w:rsidRPr="00D20CDA">
              <w:rPr>
                <w:rFonts w:cs="Arial"/>
                <w:color w:val="auto"/>
                <w:sz w:val="18"/>
                <w:szCs w:val="18"/>
              </w:rPr>
              <w:t xml:space="preserve"> (PP)</w:t>
            </w:r>
          </w:p>
        </w:tc>
        <w:tc>
          <w:tcPr>
            <w:tcW w:w="47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DA5C28"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0E28CC" w14:textId="77777777" w:rsidR="00D65011" w:rsidRPr="007A7588" w:rsidRDefault="00D65011" w:rsidP="007A7588">
            <w:pPr>
              <w:contextualSpacing/>
              <w:jc w:val="left"/>
              <w:rPr>
                <w:rFonts w:cs="Arial"/>
                <w:sz w:val="16"/>
                <w:szCs w:val="16"/>
              </w:rPr>
            </w:pPr>
          </w:p>
        </w:tc>
        <w:tc>
          <w:tcPr>
            <w:tcW w:w="4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3FF1C6" w14:textId="77777777" w:rsidR="00D65011" w:rsidRPr="007A7588" w:rsidRDefault="00D65011" w:rsidP="007A7588">
            <w:pPr>
              <w:contextualSpacing/>
              <w:jc w:val="left"/>
              <w:rPr>
                <w:rFonts w:cs="Arial"/>
                <w:sz w:val="16"/>
                <w:szCs w:val="16"/>
              </w:rPr>
            </w:pPr>
          </w:p>
        </w:tc>
        <w:tc>
          <w:tcPr>
            <w:tcW w:w="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2B26B2"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787ED7" w14:textId="77777777" w:rsidR="00D65011" w:rsidRPr="007A7588" w:rsidRDefault="00D65011" w:rsidP="007A7588">
            <w:pPr>
              <w:contextualSpacing/>
              <w:jc w:val="left"/>
              <w:rPr>
                <w:rFonts w:cs="Arial"/>
                <w:sz w:val="16"/>
                <w:szCs w:val="16"/>
              </w:rPr>
            </w:pP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48A6C177"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1.695,443*</w:t>
            </w:r>
          </w:p>
        </w:tc>
        <w:tc>
          <w:tcPr>
            <w:tcW w:w="522" w:type="pct"/>
            <w:tcBorders>
              <w:top w:val="single" w:sz="4" w:space="0" w:color="auto"/>
              <w:left w:val="single" w:sz="4" w:space="0" w:color="auto"/>
              <w:bottom w:val="single" w:sz="4" w:space="0" w:color="auto"/>
              <w:right w:val="single" w:sz="4" w:space="0" w:color="auto"/>
            </w:tcBorders>
            <w:shd w:val="clear" w:color="auto" w:fill="70AD47" w:themeFill="accent6"/>
          </w:tcPr>
          <w:p w14:paraId="4058D762" w14:textId="77777777" w:rsidR="00D65011" w:rsidRPr="007A7588" w:rsidRDefault="00D65011" w:rsidP="007A7588">
            <w:pPr>
              <w:contextualSpacing/>
              <w:jc w:val="left"/>
              <w:rPr>
                <w:rFonts w:cs="Arial"/>
                <w:color w:val="auto"/>
                <w:sz w:val="16"/>
                <w:szCs w:val="16"/>
              </w:rPr>
            </w:pPr>
            <w:r w:rsidRPr="007A7588">
              <w:rPr>
                <w:rFonts w:cs="Arial"/>
                <w:color w:val="auto"/>
                <w:sz w:val="16"/>
                <w:szCs w:val="16"/>
              </w:rPr>
              <w:t>790,203</w:t>
            </w:r>
          </w:p>
        </w:tc>
      </w:tr>
      <w:tr w:rsidR="00D65011" w:rsidRPr="009F4137" w14:paraId="15FE4C0E" w14:textId="77777777" w:rsidTr="007A7588">
        <w:trPr>
          <w:cantSplit/>
          <w:trHeight w:val="20"/>
        </w:trPr>
        <w:tc>
          <w:tcPr>
            <w:tcW w:w="1334" w:type="pct"/>
            <w:gridSpan w:val="2"/>
            <w:tcBorders>
              <w:top w:val="single" w:sz="4" w:space="0" w:color="auto"/>
              <w:left w:val="single" w:sz="4" w:space="0" w:color="auto"/>
              <w:bottom w:val="single" w:sz="4" w:space="0" w:color="auto"/>
              <w:right w:val="single" w:sz="4" w:space="0" w:color="auto"/>
            </w:tcBorders>
            <w:hideMark/>
          </w:tcPr>
          <w:p w14:paraId="112C8680" w14:textId="77777777" w:rsidR="00D65011" w:rsidRPr="00782298" w:rsidRDefault="00D65011" w:rsidP="007A7588">
            <w:pPr>
              <w:contextualSpacing/>
              <w:jc w:val="left"/>
              <w:rPr>
                <w:sz w:val="18"/>
                <w:szCs w:val="18"/>
              </w:rPr>
            </w:pPr>
            <w:r w:rsidRPr="00782298">
              <w:rPr>
                <w:sz w:val="18"/>
                <w:szCs w:val="18"/>
              </w:rPr>
              <w:t>What did CEW contribute to the salinity regime?</w:t>
            </w:r>
          </w:p>
        </w:tc>
        <w:tc>
          <w:tcPr>
            <w:tcW w:w="3666" w:type="pct"/>
            <w:gridSpan w:val="7"/>
            <w:tcBorders>
              <w:top w:val="single" w:sz="4" w:space="0" w:color="auto"/>
              <w:left w:val="single" w:sz="4" w:space="0" w:color="auto"/>
              <w:bottom w:val="single" w:sz="4" w:space="0" w:color="auto"/>
              <w:right w:val="single" w:sz="4" w:space="0" w:color="auto"/>
            </w:tcBorders>
            <w:shd w:val="clear" w:color="auto" w:fill="70AD47" w:themeFill="accent6"/>
            <w:hideMark/>
          </w:tcPr>
          <w:p w14:paraId="74309691" w14:textId="77777777" w:rsidR="00D65011" w:rsidRPr="00782298" w:rsidRDefault="00D65011" w:rsidP="007A7588">
            <w:pPr>
              <w:spacing w:line="240" w:lineRule="auto"/>
              <w:contextualSpacing/>
              <w:rPr>
                <w:sz w:val="18"/>
                <w:szCs w:val="18"/>
              </w:rPr>
            </w:pPr>
            <w:r w:rsidRPr="00782298">
              <w:rPr>
                <w:sz w:val="18"/>
                <w:szCs w:val="18"/>
              </w:rPr>
              <w:t xml:space="preserve">CEW increased salt export </w:t>
            </w:r>
            <w:r>
              <w:rPr>
                <w:sz w:val="18"/>
                <w:szCs w:val="18"/>
              </w:rPr>
              <w:t>through</w:t>
            </w:r>
            <w:r w:rsidRPr="00782298">
              <w:rPr>
                <w:sz w:val="18"/>
                <w:szCs w:val="18"/>
              </w:rPr>
              <w:t xml:space="preserve"> the barrages; and reduced salt intrusion into the Murray Mouth from the ocean, which reduced salinity in the Coorong.</w:t>
            </w:r>
          </w:p>
          <w:p w14:paraId="070D301E" w14:textId="77777777" w:rsidR="00D65011" w:rsidRPr="00782298" w:rsidRDefault="00D65011" w:rsidP="007A7588">
            <w:pPr>
              <w:contextualSpacing/>
              <w:rPr>
                <w:sz w:val="18"/>
                <w:szCs w:val="18"/>
              </w:rPr>
            </w:pPr>
            <w:r w:rsidRPr="00782298">
              <w:rPr>
                <w:sz w:val="18"/>
                <w:szCs w:val="18"/>
              </w:rPr>
              <w:t xml:space="preserve">CEW played a key role in delivering flow to the Coorong, particularly during dry years with </w:t>
            </w:r>
            <w:r>
              <w:rPr>
                <w:sz w:val="18"/>
                <w:szCs w:val="18"/>
              </w:rPr>
              <w:t xml:space="preserve">up to </w:t>
            </w:r>
            <w:r w:rsidRPr="00782298">
              <w:rPr>
                <w:sz w:val="18"/>
                <w:szCs w:val="18"/>
              </w:rPr>
              <w:t xml:space="preserve">100% of barrage releases being CEW.  </w:t>
            </w:r>
          </w:p>
          <w:p w14:paraId="1FFB90B2" w14:textId="77777777" w:rsidR="00D65011" w:rsidRPr="00782298" w:rsidRDefault="00D65011" w:rsidP="007A7588">
            <w:pPr>
              <w:contextualSpacing/>
              <w:rPr>
                <w:sz w:val="18"/>
                <w:szCs w:val="18"/>
              </w:rPr>
            </w:pPr>
            <w:r w:rsidRPr="00782298">
              <w:rPr>
                <w:sz w:val="18"/>
                <w:szCs w:val="18"/>
              </w:rPr>
              <w:t xml:space="preserve">CEW has played a key role in salt export from the Basin, </w:t>
            </w:r>
            <w:r>
              <w:rPr>
                <w:sz w:val="18"/>
                <w:szCs w:val="18"/>
              </w:rPr>
              <w:t>however, salt export remains</w:t>
            </w:r>
            <w:r w:rsidRPr="00782298">
              <w:rPr>
                <w:sz w:val="18"/>
                <w:szCs w:val="18"/>
              </w:rPr>
              <w:t xml:space="preserve"> below the Basin Plan target of 2 million tonnes of salt per year. In 2020-21 CEW contributed to over 1 million tonnes of salt export </w:t>
            </w:r>
            <w:r>
              <w:rPr>
                <w:sz w:val="18"/>
                <w:szCs w:val="18"/>
              </w:rPr>
              <w:t>through</w:t>
            </w:r>
            <w:r w:rsidRPr="00782298">
              <w:rPr>
                <w:sz w:val="18"/>
                <w:szCs w:val="18"/>
              </w:rPr>
              <w:t xml:space="preserve"> the barrages which was 58% of all salt exported.</w:t>
            </w:r>
            <w:r>
              <w:rPr>
                <w:sz w:val="18"/>
                <w:szCs w:val="18"/>
              </w:rPr>
              <w:t xml:space="preserve"> CEW plays a significant role in reducing salt import through the Murray Mouth and reducing salt transport into the North and South lagoons of the Coorong.</w:t>
            </w:r>
          </w:p>
          <w:p w14:paraId="10EAAD12" w14:textId="77777777" w:rsidR="00D65011" w:rsidRPr="00782298" w:rsidRDefault="00D65011" w:rsidP="007A7588">
            <w:pPr>
              <w:spacing w:line="240" w:lineRule="auto"/>
              <w:contextualSpacing/>
              <w:rPr>
                <w:sz w:val="18"/>
                <w:szCs w:val="18"/>
              </w:rPr>
            </w:pPr>
            <w:r w:rsidRPr="00782298">
              <w:rPr>
                <w:sz w:val="18"/>
                <w:szCs w:val="18"/>
              </w:rPr>
              <w:t>In the high flow year (2016-17), 1.5 million tonnes* was exported and CEW contributed 8% (120,867 tonnes) of salt export.</w:t>
            </w:r>
          </w:p>
        </w:tc>
      </w:tr>
    </w:tbl>
    <w:p w14:paraId="29593D6D" w14:textId="77777777" w:rsidR="00B60940" w:rsidRDefault="00B60940" w:rsidP="00B60940">
      <w:pPr>
        <w:spacing w:before="0" w:after="0" w:line="240" w:lineRule="auto"/>
        <w:jc w:val="left"/>
        <w:rPr>
          <w:color w:val="auto"/>
          <w:kern w:val="0"/>
          <w:sz w:val="19"/>
          <w:szCs w:val="19"/>
          <w:lang w:val="en-US" w:bidi="en-US"/>
        </w:rPr>
      </w:pPr>
    </w:p>
    <w:p w14:paraId="5F963764" w14:textId="1392D780" w:rsidR="00B60940" w:rsidRDefault="00B60940" w:rsidP="00B60940">
      <w:pPr>
        <w:spacing w:before="0" w:after="0" w:line="240" w:lineRule="auto"/>
        <w:rPr>
          <w:color w:val="auto"/>
          <w:kern w:val="0"/>
          <w:sz w:val="18"/>
          <w:szCs w:val="18"/>
          <w:lang w:val="en-US" w:bidi="en-US"/>
        </w:rPr>
      </w:pPr>
      <w:bookmarkStart w:id="175" w:name="_Hlk64578781"/>
      <w:r w:rsidRPr="00315757">
        <w:rPr>
          <w:color w:val="auto"/>
          <w:kern w:val="0"/>
          <w:sz w:val="18"/>
          <w:szCs w:val="18"/>
          <w:lang w:val="en-US" w:bidi="en-US"/>
        </w:rPr>
        <w:t>* The salt export and salinity data reported for years 2014-15 to 2016-17 are from the large domain model previously used in the LTIM reporting. The numbers for 2017-18 to 20</w:t>
      </w:r>
      <w:r>
        <w:rPr>
          <w:color w:val="auto"/>
          <w:kern w:val="0"/>
          <w:sz w:val="18"/>
          <w:szCs w:val="18"/>
          <w:lang w:val="en-US" w:bidi="en-US"/>
        </w:rPr>
        <w:t>19</w:t>
      </w:r>
      <w:r w:rsidRPr="00315757">
        <w:rPr>
          <w:color w:val="auto"/>
          <w:kern w:val="0"/>
          <w:sz w:val="18"/>
          <w:szCs w:val="18"/>
          <w:lang w:val="en-US" w:bidi="en-US"/>
        </w:rPr>
        <w:t>-2</w:t>
      </w:r>
      <w:r>
        <w:rPr>
          <w:color w:val="auto"/>
          <w:kern w:val="0"/>
          <w:sz w:val="18"/>
          <w:szCs w:val="18"/>
          <w:lang w:val="en-US" w:bidi="en-US"/>
        </w:rPr>
        <w:t xml:space="preserve">0 </w:t>
      </w:r>
      <w:r w:rsidRPr="00315757">
        <w:rPr>
          <w:color w:val="auto"/>
          <w:kern w:val="0"/>
          <w:sz w:val="18"/>
          <w:szCs w:val="18"/>
          <w:lang w:val="en-US" w:bidi="en-US"/>
        </w:rPr>
        <w:t>are from the new high-resolution Coorong only model, which uses a different method for barrage flow calculation and has a more accurate specification of salinity and salt fl</w:t>
      </w:r>
      <w:r>
        <w:rPr>
          <w:color w:val="auto"/>
          <w:kern w:val="0"/>
          <w:sz w:val="18"/>
          <w:szCs w:val="18"/>
          <w:lang w:val="en-US" w:bidi="en-US"/>
        </w:rPr>
        <w:t>ux</w:t>
      </w:r>
      <w:r w:rsidRPr="00315757">
        <w:rPr>
          <w:color w:val="auto"/>
          <w:kern w:val="0"/>
          <w:sz w:val="18"/>
          <w:szCs w:val="18"/>
          <w:lang w:val="en-US" w:bidi="en-US"/>
        </w:rPr>
        <w:t xml:space="preserve">. When we compared the two models, salt flux at the barrages </w:t>
      </w:r>
      <w:r>
        <w:rPr>
          <w:color w:val="auto"/>
          <w:kern w:val="0"/>
          <w:sz w:val="18"/>
          <w:szCs w:val="18"/>
          <w:lang w:val="en-US" w:bidi="en-US"/>
        </w:rPr>
        <w:t xml:space="preserve">was underestimated by </w:t>
      </w:r>
      <w:r w:rsidRPr="00315757">
        <w:rPr>
          <w:color w:val="auto"/>
          <w:kern w:val="0"/>
          <w:sz w:val="18"/>
          <w:szCs w:val="18"/>
          <w:lang w:val="en-US" w:bidi="en-US"/>
        </w:rPr>
        <w:t xml:space="preserve">the full domain model, and hence the 2014-15 to 2016-17 are systematically lower than the other years. The </w:t>
      </w:r>
      <w:r>
        <w:rPr>
          <w:color w:val="auto"/>
          <w:kern w:val="0"/>
          <w:sz w:val="18"/>
          <w:szCs w:val="18"/>
          <w:lang w:val="en-US" w:bidi="en-US"/>
        </w:rPr>
        <w:t xml:space="preserve">model has </w:t>
      </w:r>
      <w:r w:rsidRPr="00A1041C">
        <w:rPr>
          <w:color w:val="auto"/>
          <w:kern w:val="0"/>
          <w:sz w:val="18"/>
          <w:szCs w:val="18"/>
          <w:lang w:val="en-US" w:bidi="en-US"/>
        </w:rPr>
        <w:t xml:space="preserve">undergone further refinement as part of the Healthy Country Healthy Basin Project which predicts </w:t>
      </w:r>
      <w:r w:rsidR="003B4382" w:rsidRPr="00A1041C">
        <w:rPr>
          <w:color w:val="auto"/>
          <w:kern w:val="0"/>
          <w:sz w:val="18"/>
          <w:szCs w:val="18"/>
          <w:lang w:val="en-US" w:bidi="en-US"/>
        </w:rPr>
        <w:t>considerabl</w:t>
      </w:r>
      <w:r w:rsidR="003B4382">
        <w:rPr>
          <w:color w:val="auto"/>
          <w:kern w:val="0"/>
          <w:sz w:val="18"/>
          <w:szCs w:val="18"/>
          <w:lang w:val="en-US" w:bidi="en-US"/>
        </w:rPr>
        <w:t>y</w:t>
      </w:r>
      <w:r w:rsidR="003B4382" w:rsidRPr="00A1041C">
        <w:rPr>
          <w:color w:val="auto"/>
          <w:kern w:val="0"/>
          <w:sz w:val="18"/>
          <w:szCs w:val="18"/>
          <w:lang w:val="en-US" w:bidi="en-US"/>
        </w:rPr>
        <w:t xml:space="preserve"> </w:t>
      </w:r>
      <w:r w:rsidRPr="00A1041C">
        <w:rPr>
          <w:color w:val="auto"/>
          <w:kern w:val="0"/>
          <w:sz w:val="18"/>
          <w:szCs w:val="18"/>
          <w:lang w:val="en-US" w:bidi="en-US"/>
        </w:rPr>
        <w:t>more salt being exported through the barrages. The predictions of salt export reported</w:t>
      </w:r>
      <w:r w:rsidR="005F4372" w:rsidRPr="00A1041C">
        <w:rPr>
          <w:color w:val="auto"/>
          <w:kern w:val="0"/>
          <w:sz w:val="18"/>
          <w:szCs w:val="18"/>
          <w:lang w:val="en-US" w:bidi="en-US"/>
        </w:rPr>
        <w:t xml:space="preserve"> for 2020-21</w:t>
      </w:r>
      <w:r w:rsidRPr="00A1041C">
        <w:rPr>
          <w:color w:val="auto"/>
          <w:kern w:val="0"/>
          <w:sz w:val="18"/>
          <w:szCs w:val="18"/>
          <w:lang w:val="en-US" w:bidi="en-US"/>
        </w:rPr>
        <w:t xml:space="preserve"> in this report (</w:t>
      </w:r>
      <w:r w:rsidR="00A1041C" w:rsidRPr="00A1041C">
        <w:rPr>
          <w:color w:val="auto"/>
          <w:kern w:val="0"/>
          <w:sz w:val="18"/>
          <w:szCs w:val="18"/>
          <w:lang w:val="en-US" w:bidi="en-US"/>
        </w:rPr>
        <w:fldChar w:fldCharType="begin"/>
      </w:r>
      <w:r w:rsidR="00A1041C" w:rsidRPr="00A1041C">
        <w:rPr>
          <w:color w:val="auto"/>
          <w:kern w:val="0"/>
          <w:sz w:val="18"/>
          <w:szCs w:val="18"/>
          <w:lang w:val="en-US" w:bidi="en-US"/>
        </w:rPr>
        <w:instrText xml:space="preserve"> REF _Ref96589963 \h </w:instrText>
      </w:r>
      <w:r w:rsidR="00A1041C">
        <w:rPr>
          <w:color w:val="auto"/>
          <w:kern w:val="0"/>
          <w:sz w:val="18"/>
          <w:szCs w:val="18"/>
          <w:lang w:val="en-US" w:bidi="en-US"/>
        </w:rPr>
        <w:instrText xml:space="preserve"> \* MERGEFORMAT </w:instrText>
      </w:r>
      <w:r w:rsidR="00A1041C" w:rsidRPr="00A1041C">
        <w:rPr>
          <w:color w:val="auto"/>
          <w:kern w:val="0"/>
          <w:sz w:val="18"/>
          <w:szCs w:val="18"/>
          <w:lang w:val="en-US" w:bidi="en-US"/>
        </w:rPr>
      </w:r>
      <w:r w:rsidR="00A1041C" w:rsidRPr="00A1041C">
        <w:rPr>
          <w:color w:val="auto"/>
          <w:kern w:val="0"/>
          <w:sz w:val="18"/>
          <w:szCs w:val="18"/>
          <w:lang w:val="en-US" w:bidi="en-US"/>
        </w:rPr>
        <w:fldChar w:fldCharType="separate"/>
      </w:r>
      <w:r w:rsidR="003C13F6" w:rsidRPr="003C13F6">
        <w:rPr>
          <w:sz w:val="18"/>
          <w:szCs w:val="18"/>
        </w:rPr>
        <w:t xml:space="preserve">Table </w:t>
      </w:r>
      <w:r w:rsidR="003C13F6" w:rsidRPr="003C13F6">
        <w:rPr>
          <w:noProof/>
          <w:sz w:val="18"/>
          <w:szCs w:val="18"/>
        </w:rPr>
        <w:t>5</w:t>
      </w:r>
      <w:r w:rsidR="00A1041C" w:rsidRPr="00A1041C">
        <w:rPr>
          <w:color w:val="auto"/>
          <w:kern w:val="0"/>
          <w:sz w:val="18"/>
          <w:szCs w:val="18"/>
          <w:lang w:val="en-US" w:bidi="en-US"/>
        </w:rPr>
        <w:fldChar w:fldCharType="end"/>
      </w:r>
      <w:r w:rsidRPr="00A1041C">
        <w:rPr>
          <w:color w:val="auto"/>
          <w:kern w:val="0"/>
          <w:sz w:val="18"/>
          <w:szCs w:val="18"/>
          <w:lang w:val="en-US" w:bidi="en-US"/>
        </w:rPr>
        <w:t>) are</w:t>
      </w:r>
      <w:r w:rsidRPr="00315757">
        <w:rPr>
          <w:color w:val="auto"/>
          <w:kern w:val="0"/>
          <w:sz w:val="18"/>
          <w:szCs w:val="18"/>
          <w:lang w:val="en-US" w:bidi="en-US"/>
        </w:rPr>
        <w:t xml:space="preserve"> considered to be </w:t>
      </w:r>
      <w:r>
        <w:rPr>
          <w:color w:val="auto"/>
          <w:kern w:val="0"/>
          <w:sz w:val="18"/>
          <w:szCs w:val="18"/>
          <w:lang w:val="en-US" w:bidi="en-US"/>
        </w:rPr>
        <w:t>more</w:t>
      </w:r>
      <w:r w:rsidRPr="00315757">
        <w:rPr>
          <w:color w:val="auto"/>
          <w:kern w:val="0"/>
          <w:sz w:val="18"/>
          <w:szCs w:val="18"/>
          <w:lang w:val="en-US" w:bidi="en-US"/>
        </w:rPr>
        <w:t xml:space="preserve"> accurate</w:t>
      </w:r>
      <w:r>
        <w:rPr>
          <w:color w:val="auto"/>
          <w:kern w:val="0"/>
          <w:sz w:val="18"/>
          <w:szCs w:val="18"/>
          <w:lang w:val="en-US" w:bidi="en-US"/>
        </w:rPr>
        <w:t xml:space="preserve"> but they are larger than previously reported </w:t>
      </w:r>
      <w:r w:rsidRPr="00315757">
        <w:rPr>
          <w:color w:val="auto"/>
          <w:kern w:val="0"/>
          <w:sz w:val="18"/>
          <w:szCs w:val="18"/>
          <w:lang w:val="en-US" w:bidi="en-US"/>
        </w:rPr>
        <w:t>(Appendix D).</w:t>
      </w:r>
    </w:p>
    <w:p w14:paraId="20D7EB65" w14:textId="77777777" w:rsidR="00B60940" w:rsidRPr="00315757" w:rsidRDefault="00B60940" w:rsidP="00B60940">
      <w:pPr>
        <w:spacing w:before="0" w:after="0" w:line="240" w:lineRule="auto"/>
        <w:rPr>
          <w:color w:val="auto"/>
          <w:kern w:val="0"/>
          <w:sz w:val="4"/>
          <w:szCs w:val="4"/>
          <w:lang w:val="en-US" w:bidi="en-US"/>
        </w:rPr>
      </w:pPr>
    </w:p>
    <w:bookmarkEnd w:id="175"/>
    <w:p w14:paraId="0294906A" w14:textId="77777777" w:rsidR="00B60940" w:rsidRDefault="00B60940" w:rsidP="00B60940">
      <w:pPr>
        <w:spacing w:before="0" w:after="0" w:line="240" w:lineRule="auto"/>
        <w:jc w:val="left"/>
        <w:rPr>
          <w:color w:val="auto"/>
          <w:kern w:val="0"/>
          <w:sz w:val="19"/>
          <w:szCs w:val="19"/>
          <w:lang w:val="en-US" w:bidi="en-US"/>
        </w:rPr>
      </w:pPr>
      <w:r>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B60940" w14:paraId="55DD6105" w14:textId="77777777" w:rsidTr="004473EB">
        <w:tc>
          <w:tcPr>
            <w:tcW w:w="222" w:type="dxa"/>
            <w:shd w:val="clear" w:color="auto" w:fill="D9D9D9" w:themeFill="background1" w:themeFillShade="D9"/>
          </w:tcPr>
          <w:p w14:paraId="1874D2F4" w14:textId="77777777" w:rsidR="00B60940" w:rsidRDefault="00B60940" w:rsidP="004473EB">
            <w:pPr>
              <w:rPr>
                <w:sz w:val="19"/>
                <w:szCs w:val="19"/>
              </w:rPr>
            </w:pPr>
          </w:p>
        </w:tc>
        <w:tc>
          <w:tcPr>
            <w:tcW w:w="1066" w:type="dxa"/>
            <w:vAlign w:val="center"/>
            <w:hideMark/>
          </w:tcPr>
          <w:p w14:paraId="54CDA712" w14:textId="77777777" w:rsidR="00B60940" w:rsidRDefault="00B60940" w:rsidP="004473EB">
            <w:pPr>
              <w:rPr>
                <w:sz w:val="19"/>
                <w:szCs w:val="19"/>
              </w:rPr>
            </w:pPr>
            <w:r>
              <w:rPr>
                <w:sz w:val="19"/>
                <w:szCs w:val="19"/>
              </w:rPr>
              <w:t>Unknown</w:t>
            </w:r>
          </w:p>
        </w:tc>
        <w:tc>
          <w:tcPr>
            <w:tcW w:w="222" w:type="dxa"/>
            <w:shd w:val="clear" w:color="auto" w:fill="FF0000"/>
            <w:vAlign w:val="center"/>
          </w:tcPr>
          <w:p w14:paraId="708F3281" w14:textId="77777777" w:rsidR="00B60940" w:rsidRDefault="00B60940" w:rsidP="004473EB">
            <w:pPr>
              <w:rPr>
                <w:sz w:val="19"/>
                <w:szCs w:val="19"/>
              </w:rPr>
            </w:pPr>
          </w:p>
        </w:tc>
        <w:tc>
          <w:tcPr>
            <w:tcW w:w="1069" w:type="dxa"/>
            <w:vAlign w:val="center"/>
            <w:hideMark/>
          </w:tcPr>
          <w:p w14:paraId="40917E51" w14:textId="77777777" w:rsidR="00B60940" w:rsidRDefault="00B60940" w:rsidP="004473EB">
            <w:pPr>
              <w:rPr>
                <w:sz w:val="19"/>
                <w:szCs w:val="19"/>
              </w:rPr>
            </w:pPr>
            <w:r>
              <w:rPr>
                <w:sz w:val="19"/>
                <w:szCs w:val="19"/>
              </w:rPr>
              <w:t>Negative</w:t>
            </w:r>
          </w:p>
        </w:tc>
        <w:tc>
          <w:tcPr>
            <w:tcW w:w="222" w:type="dxa"/>
            <w:shd w:val="clear" w:color="auto" w:fill="E2EFD9" w:themeFill="accent6" w:themeFillTint="33"/>
            <w:vAlign w:val="center"/>
          </w:tcPr>
          <w:p w14:paraId="28A7C238" w14:textId="77777777" w:rsidR="00B60940" w:rsidRDefault="00B60940" w:rsidP="004473EB">
            <w:pPr>
              <w:rPr>
                <w:sz w:val="19"/>
                <w:szCs w:val="19"/>
              </w:rPr>
            </w:pPr>
          </w:p>
        </w:tc>
        <w:tc>
          <w:tcPr>
            <w:tcW w:w="1704" w:type="dxa"/>
            <w:vAlign w:val="center"/>
            <w:hideMark/>
          </w:tcPr>
          <w:p w14:paraId="46D29B2F" w14:textId="77777777" w:rsidR="00B60940" w:rsidRDefault="00B60940" w:rsidP="004473EB">
            <w:pPr>
              <w:rPr>
                <w:sz w:val="19"/>
                <w:szCs w:val="19"/>
              </w:rPr>
            </w:pPr>
            <w:r>
              <w:rPr>
                <w:sz w:val="19"/>
                <w:szCs w:val="19"/>
              </w:rPr>
              <w:t>None/negligible</w:t>
            </w:r>
          </w:p>
        </w:tc>
        <w:tc>
          <w:tcPr>
            <w:tcW w:w="222" w:type="dxa"/>
            <w:shd w:val="clear" w:color="auto" w:fill="A8D08D" w:themeFill="accent6" w:themeFillTint="99"/>
            <w:vAlign w:val="center"/>
          </w:tcPr>
          <w:p w14:paraId="189846CC" w14:textId="77777777" w:rsidR="00B60940" w:rsidRDefault="00B60940" w:rsidP="004473EB">
            <w:pPr>
              <w:rPr>
                <w:sz w:val="19"/>
                <w:szCs w:val="19"/>
              </w:rPr>
            </w:pPr>
          </w:p>
        </w:tc>
        <w:tc>
          <w:tcPr>
            <w:tcW w:w="727" w:type="dxa"/>
            <w:vAlign w:val="center"/>
            <w:hideMark/>
          </w:tcPr>
          <w:p w14:paraId="24E0C917" w14:textId="77777777" w:rsidR="00B60940" w:rsidRDefault="00B60940" w:rsidP="004473EB">
            <w:pPr>
              <w:rPr>
                <w:sz w:val="19"/>
                <w:szCs w:val="19"/>
              </w:rPr>
            </w:pPr>
            <w:r>
              <w:rPr>
                <w:sz w:val="19"/>
                <w:szCs w:val="19"/>
              </w:rPr>
              <w:t>Minor</w:t>
            </w:r>
          </w:p>
        </w:tc>
        <w:tc>
          <w:tcPr>
            <w:tcW w:w="222" w:type="dxa"/>
            <w:shd w:val="clear" w:color="auto" w:fill="70AD47" w:themeFill="accent6"/>
            <w:vAlign w:val="center"/>
          </w:tcPr>
          <w:p w14:paraId="5E8F4E0C" w14:textId="77777777" w:rsidR="00B60940" w:rsidRDefault="00B60940" w:rsidP="004473EB">
            <w:pPr>
              <w:rPr>
                <w:sz w:val="19"/>
                <w:szCs w:val="19"/>
              </w:rPr>
            </w:pPr>
          </w:p>
        </w:tc>
        <w:tc>
          <w:tcPr>
            <w:tcW w:w="1144" w:type="dxa"/>
            <w:vAlign w:val="center"/>
            <w:hideMark/>
          </w:tcPr>
          <w:p w14:paraId="3AB20245" w14:textId="77777777" w:rsidR="00B60940" w:rsidRDefault="00B60940" w:rsidP="004473EB">
            <w:pPr>
              <w:rPr>
                <w:sz w:val="19"/>
                <w:szCs w:val="19"/>
              </w:rPr>
            </w:pPr>
            <w:r>
              <w:rPr>
                <w:sz w:val="19"/>
                <w:szCs w:val="19"/>
              </w:rPr>
              <w:t>Moderate</w:t>
            </w:r>
          </w:p>
        </w:tc>
        <w:tc>
          <w:tcPr>
            <w:tcW w:w="222" w:type="dxa"/>
            <w:shd w:val="clear" w:color="auto" w:fill="5B9BD5" w:themeFill="accent1"/>
          </w:tcPr>
          <w:p w14:paraId="5A0DD7B9" w14:textId="77777777" w:rsidR="00B60940" w:rsidRDefault="00B60940" w:rsidP="004473EB">
            <w:pPr>
              <w:rPr>
                <w:sz w:val="19"/>
                <w:szCs w:val="19"/>
              </w:rPr>
            </w:pPr>
          </w:p>
        </w:tc>
        <w:tc>
          <w:tcPr>
            <w:tcW w:w="236" w:type="dxa"/>
            <w:vAlign w:val="center"/>
            <w:hideMark/>
          </w:tcPr>
          <w:p w14:paraId="6019B90F" w14:textId="77777777" w:rsidR="00B60940" w:rsidRDefault="00B60940" w:rsidP="004473EB">
            <w:pPr>
              <w:jc w:val="left"/>
              <w:rPr>
                <w:sz w:val="19"/>
                <w:szCs w:val="19"/>
              </w:rPr>
            </w:pPr>
            <w:r>
              <w:rPr>
                <w:sz w:val="19"/>
                <w:szCs w:val="19"/>
              </w:rPr>
              <w:t>Substantial</w:t>
            </w:r>
          </w:p>
        </w:tc>
      </w:tr>
    </w:tbl>
    <w:p w14:paraId="12658DA2" w14:textId="77777777" w:rsidR="00821FDD" w:rsidRDefault="00821FDD" w:rsidP="00086886"/>
    <w:p w14:paraId="2F5D0FA4" w14:textId="260B165C" w:rsidR="00B60940" w:rsidRDefault="00B60940" w:rsidP="00B60940">
      <w:pPr>
        <w:pStyle w:val="Heading3"/>
      </w:pPr>
      <w:r>
        <w:t>Discussion</w:t>
      </w:r>
    </w:p>
    <w:p w14:paraId="202DE5BD" w14:textId="77777777" w:rsidR="00B60940" w:rsidRDefault="00B60940" w:rsidP="00B60940">
      <w:pPr>
        <w:rPr>
          <w:i/>
          <w:u w:val="single"/>
        </w:rPr>
      </w:pPr>
      <w:r>
        <w:rPr>
          <w:i/>
          <w:u w:val="single"/>
        </w:rPr>
        <w:t>Salinity</w:t>
      </w:r>
    </w:p>
    <w:p w14:paraId="1BD3515D" w14:textId="7DB3E4AC" w:rsidR="00B60940" w:rsidRDefault="00B60940" w:rsidP="00B60940">
      <w:r>
        <w:t xml:space="preserve">Environmental water continued to be a major contributor </w:t>
      </w:r>
      <w:r w:rsidR="000F602B">
        <w:t xml:space="preserve">to </w:t>
      </w:r>
      <w:r w:rsidR="00D65011">
        <w:t xml:space="preserve">salt export from the basin, fresher </w:t>
      </w:r>
      <w:r>
        <w:t>conditions at the Murray Mouth and a barrier to influx of salt from the Southern Ocean to the Coorong which keeps the Coorong fresher. Commonwealth environmental water accounted for 80</w:t>
      </w:r>
      <w:r>
        <w:rPr>
          <w:rFonts w:ascii="Calibri" w:hAnsi="Calibri" w:cs="Calibri"/>
        </w:rPr>
        <w:t>–</w:t>
      </w:r>
      <w:r>
        <w:t>100% of annual environmental flow releases through the barrages during the dry years (between 2014-15 and 2020-21 except for 2016-17).</w:t>
      </w:r>
    </w:p>
    <w:p w14:paraId="14E51E20" w14:textId="1B498215" w:rsidR="00B60940" w:rsidRDefault="00B60940" w:rsidP="00B60940">
      <w:r>
        <w:t>Salinity in the Coorong is primarily a function of riverine inflows and tidal movement. When barrage flows are low, seawater enters the Murray Mouth and more salt is then transported to the Coorong where it is subject to evapo-concentration. Commonwealth environmental water contributed 58% of the total salt flux from the Murray-Darling basin in 2020-21. Furthermore</w:t>
      </w:r>
      <w:r w:rsidR="005D4C2E">
        <w:t>,</w:t>
      </w:r>
      <w:r>
        <w:t xml:space="preserve"> environmental water </w:t>
      </w:r>
      <w:r w:rsidR="00B73207">
        <w:t xml:space="preserve">through </w:t>
      </w:r>
      <w:r>
        <w:t xml:space="preserve">the barrages reduced the salt load to the South Lagoon measured as salt flux southward at Parnka point, by 4.67 million tonnes </w:t>
      </w:r>
      <w:r>
        <w:lastRenderedPageBreak/>
        <w:t xml:space="preserve">from July 2017 to June 2021. It is also evident that environmental water flowing </w:t>
      </w:r>
      <w:r w:rsidR="00B73207">
        <w:t xml:space="preserve">through </w:t>
      </w:r>
      <w:r>
        <w:t>the barrages is required in every year to reduce excessive salt accumulation within the Coorong (</w:t>
      </w:r>
      <w:r w:rsidR="006F0025">
        <w:fldChar w:fldCharType="begin"/>
      </w:r>
      <w:r w:rsidR="006F0025">
        <w:instrText xml:space="preserve"> REF _Ref96529765 \h </w:instrText>
      </w:r>
      <w:r w:rsidR="006F0025">
        <w:fldChar w:fldCharType="separate"/>
      </w:r>
      <w:r w:rsidR="003C13F6">
        <w:t xml:space="preserve">Figure </w:t>
      </w:r>
      <w:r w:rsidR="003C13F6">
        <w:rPr>
          <w:noProof/>
        </w:rPr>
        <w:t>29</w:t>
      </w:r>
      <w:r w:rsidR="006F0025">
        <w:fldChar w:fldCharType="end"/>
      </w:r>
      <w:r>
        <w:t>). If environmental water had not been delivered in 2020-21, an additional 3.1 million tonnes of salt would have accumulated in the South Lagoon.</w:t>
      </w:r>
    </w:p>
    <w:p w14:paraId="34C17416" w14:textId="14522ED7" w:rsidR="00B60940" w:rsidRDefault="00B60940" w:rsidP="00B60940">
      <w:r>
        <w:t xml:space="preserve">During the Millennium Drought, and particularly from 2007-08 to 2009-10, flow </w:t>
      </w:r>
      <w:r w:rsidR="00B73207">
        <w:t xml:space="preserve">through </w:t>
      </w:r>
      <w:r>
        <w:t xml:space="preserve">the barrages ceased and the import of salt into the Coorong resulted in salinity in the South Lagoon that was five times seawater, and demise of much of the aquatic life (Brookes </w:t>
      </w:r>
      <w:r>
        <w:rPr>
          <w:i/>
        </w:rPr>
        <w:t>et al.</w:t>
      </w:r>
      <w:r>
        <w:t xml:space="preserve"> 2009). Environmental water provides freshening flows but also acts to inhibit seawater intrusions, thereby maintaining more appropriate salinity conditions for estuarine biota in the Coorong. Given that barrage releases almost entirely (up to 100%) depend on Commonwealth environmental water in dry years, environmental water is critical for limiting salt flux to the South Lagoon. Even one year without barrage flow can result in a large flux of salt southwards (</w:t>
      </w:r>
      <w:r w:rsidR="00A1041C">
        <w:fldChar w:fldCharType="begin"/>
      </w:r>
      <w:r w:rsidR="00A1041C">
        <w:instrText xml:space="preserve"> REF _Ref96589963 \h </w:instrText>
      </w:r>
      <w:r w:rsidR="00A1041C">
        <w:fldChar w:fldCharType="separate"/>
      </w:r>
      <w:r w:rsidR="003C13F6">
        <w:t xml:space="preserve">Table </w:t>
      </w:r>
      <w:r w:rsidR="003C13F6">
        <w:rPr>
          <w:noProof/>
        </w:rPr>
        <w:t>5</w:t>
      </w:r>
      <w:r w:rsidR="00A1041C">
        <w:fldChar w:fldCharType="end"/>
      </w:r>
      <w:r w:rsidR="006F0025">
        <w:t xml:space="preserve">; </w:t>
      </w:r>
      <w:r w:rsidR="006F0025">
        <w:fldChar w:fldCharType="begin"/>
      </w:r>
      <w:r w:rsidR="006F0025">
        <w:instrText xml:space="preserve"> REF _Ref96529732 \h </w:instrText>
      </w:r>
      <w:r w:rsidR="006F0025">
        <w:fldChar w:fldCharType="separate"/>
      </w:r>
      <w:r w:rsidR="003C13F6">
        <w:t xml:space="preserve">Figure </w:t>
      </w:r>
      <w:r w:rsidR="003C13F6">
        <w:rPr>
          <w:noProof/>
        </w:rPr>
        <w:t>26</w:t>
      </w:r>
      <w:r w:rsidR="006F0025">
        <w:fldChar w:fldCharType="end"/>
      </w:r>
      <w:r>
        <w:t xml:space="preserve">). Salinity is a key determinant of </w:t>
      </w:r>
      <w:r>
        <w:rPr>
          <w:i/>
        </w:rPr>
        <w:t>Ruppia</w:t>
      </w:r>
      <w:r>
        <w:t xml:space="preserve"> and fish habitat and is addressed in the following section.</w:t>
      </w:r>
    </w:p>
    <w:p w14:paraId="7C8F4E40" w14:textId="77777777" w:rsidR="00B60940" w:rsidRDefault="00B60940" w:rsidP="00B60940">
      <w:pPr>
        <w:rPr>
          <w:i/>
          <w:u w:val="single"/>
        </w:rPr>
      </w:pPr>
      <w:r>
        <w:rPr>
          <w:i/>
          <w:u w:val="single"/>
        </w:rPr>
        <w:t>Nutrients</w:t>
      </w:r>
    </w:p>
    <w:p w14:paraId="3E0D7312" w14:textId="1F7B7D9B" w:rsidR="000F602B" w:rsidRDefault="00D65011" w:rsidP="000F602B">
      <w:r>
        <w:t>During the LTIM monitoring period (2014–2019), the median concentrations of nitrogen and phosphorus did not vary considerably with or without environmental water. Environmental water, however, contributed considerably to the transport of nutrients, and this was primarily due to additional water volume not a change in the nutrient concentrations. It was evident that environmental flows contributed a considerable load of nutrients to the Murray Mouth between 2014-15 and 2020-21. From this evidence, it can be concluded that environmental flows are a key driver in promoting estuarine productivity. Environmental water does not have a significant effect on median nutrient concentrations in the North or South Lagoon. There is a general consensus that elevated nutrients in the South Lagoon of the Coorong are contributing to the formation and persistence of algal mats. The legacy nutrients in the sediments are contributing to this issue but it is apparent nutrients delivered by environmental flows do not alter nutrient concentrations significantly.</w:t>
      </w:r>
    </w:p>
    <w:p w14:paraId="3675C87E" w14:textId="77777777" w:rsidR="00D65011" w:rsidRDefault="00D65011" w:rsidP="00D65011">
      <w:pPr>
        <w:pStyle w:val="Heading3"/>
      </w:pPr>
      <w:r>
        <w:t>Management implications</w:t>
      </w:r>
    </w:p>
    <w:p w14:paraId="4FD07098" w14:textId="60B00E83" w:rsidR="00B60940" w:rsidRDefault="00B60940" w:rsidP="00B60940">
      <w:r>
        <w:t>There are approximately 10</w:t>
      </w:r>
      <w:r>
        <w:rPr>
          <w:szCs w:val="22"/>
          <w:vertAlign w:val="superscript"/>
        </w:rPr>
        <w:t>11</w:t>
      </w:r>
      <w:r>
        <w:t xml:space="preserve"> tonnes of salt in groundwater in the MDB and an additional 1.5 million tonnes of salt is deposited in the basin each year by rainfall (Herczeg </w:t>
      </w:r>
      <w:r>
        <w:rPr>
          <w:i/>
        </w:rPr>
        <w:t>et al.</w:t>
      </w:r>
      <w:r>
        <w:t xml:space="preserve"> 2001). Unless salt is exported from the basin with flow, there will be a net accumulation of salt within the basin. The Basin Plan sets out a salt export objective (section 9.09) to ensure adequate flushing of salt from the Murray River system into the Southern Ocean. The Basin Plan’s indicative target for salt export from the Basin is 2 million tonnes per year. The five years of salt export modelling enable the contribution of environmental flows to salt export to be scrutinised. </w:t>
      </w:r>
    </w:p>
    <w:p w14:paraId="0A7C5542" w14:textId="77777777" w:rsidR="00B60940" w:rsidRDefault="00B60940" w:rsidP="00B60940">
      <w:r>
        <w:t>Commonwealth environmental water played a key role in salt export from the basin, accounting for 58–100% of total salt export, depending on the volume of unregulated flows and other environmental water. In the high flow year (2016-17), 1.5 million tonnes were exported and Commonwealth environmental water contributed 8%.</w:t>
      </w:r>
    </w:p>
    <w:p w14:paraId="5EDF76E1" w14:textId="6CF1C69B" w:rsidR="00B60940" w:rsidRDefault="00B60940" w:rsidP="00B60940">
      <w:r>
        <w:t xml:space="preserve">Maximum exports of matter from the Murray Mouth are likely to be achieved by delivering environmental water during periods of low oceanic water levels (e.g. summer). In contrast, environmental water delivery to the Murray River Channel at times of high oceanic water </w:t>
      </w:r>
      <w:r>
        <w:lastRenderedPageBreak/>
        <w:t xml:space="preserve">levels, which peak in the Austral winter, is likely to increase the exchange of water and associated nutrients and salt through the Coorong, rather than predominately through the Murray </w:t>
      </w:r>
      <w:r w:rsidR="00D65011">
        <w:t xml:space="preserve">Mouth. </w:t>
      </w:r>
    </w:p>
    <w:p w14:paraId="3DE06E87" w14:textId="77777777" w:rsidR="00B60940" w:rsidRDefault="00B60940" w:rsidP="00B60940">
      <w:pPr>
        <w:pStyle w:val="Heading3"/>
      </w:pPr>
      <w:r>
        <w:t xml:space="preserve">Conclusion </w:t>
      </w:r>
    </w:p>
    <w:p w14:paraId="30866298" w14:textId="195DF82E" w:rsidR="00A229CC" w:rsidRDefault="00B60940" w:rsidP="00B60940">
      <w:r w:rsidRPr="00851EBD">
        <w:t xml:space="preserve">Though the </w:t>
      </w:r>
      <w:r>
        <w:t xml:space="preserve">numbers of </w:t>
      </w:r>
      <w:r w:rsidRPr="00851EBD">
        <w:t xml:space="preserve">salt </w:t>
      </w:r>
      <w:r>
        <w:t xml:space="preserve">and </w:t>
      </w:r>
      <w:r w:rsidRPr="00851EBD">
        <w:t xml:space="preserve">nutrient fluxes from this modelling assessment are a little different to </w:t>
      </w:r>
      <w:r>
        <w:t xml:space="preserve">those in </w:t>
      </w:r>
      <w:r w:rsidRPr="00851EBD">
        <w:t xml:space="preserve">the </w:t>
      </w:r>
      <w:r>
        <w:t>2019-</w:t>
      </w:r>
      <w:r w:rsidRPr="00851EBD">
        <w:t>20 report</w:t>
      </w:r>
      <w:r>
        <w:t xml:space="preserve"> (Ye </w:t>
      </w:r>
      <w:r w:rsidRPr="0096453D">
        <w:rPr>
          <w:i/>
          <w:iCs/>
        </w:rPr>
        <w:t>et al.</w:t>
      </w:r>
      <w:r>
        <w:t xml:space="preserve"> 2021)</w:t>
      </w:r>
      <w:r w:rsidRPr="00851EBD">
        <w:t xml:space="preserve"> due to the changes in the scenario settings, barrage boundary conditions, and the biogeochemical model settings of the Coorong Dynamics Model, the conclusion from the current study remained similar to the ones from the </w:t>
      </w:r>
      <w:r>
        <w:t>2019-</w:t>
      </w:r>
      <w:r w:rsidRPr="00851EBD">
        <w:t xml:space="preserve">20 report, that the contributions of environmental water appear to have significantly increased the export of </w:t>
      </w:r>
      <w:r w:rsidR="000F602B" w:rsidRPr="00851EBD">
        <w:t xml:space="preserve">salt </w:t>
      </w:r>
      <w:r w:rsidR="000F602B">
        <w:t>from the Basin</w:t>
      </w:r>
      <w:r w:rsidR="000F602B" w:rsidRPr="00851EBD">
        <w:t xml:space="preserve">. </w:t>
      </w:r>
      <w:r w:rsidRPr="00851EBD">
        <w:t xml:space="preserve">Environmental water decreased salt import by approximately 4.8 million tonnes in 2020-21, most of which is attributable to Commonwealth environmental water (4.2 million tonnes). The environmental water also helped to reduce the salt flux </w:t>
      </w:r>
      <w:r>
        <w:t xml:space="preserve">southward </w:t>
      </w:r>
      <w:r w:rsidRPr="00851EBD">
        <w:t>to the north Coorong and south Coorong</w:t>
      </w:r>
      <w:r>
        <w:t xml:space="preserve"> to </w:t>
      </w:r>
      <w:r w:rsidRPr="00851EBD">
        <w:t>1,189,661 and 2,376,665 tonnes, respectively, which were much less than 4,416,836 and 3,331,846 tonnes</w:t>
      </w:r>
      <w:r>
        <w:t xml:space="preserve"> if no environmental water was delivered in 2020-21</w:t>
      </w:r>
      <w:r w:rsidRPr="00851EBD">
        <w:t xml:space="preserve">. </w:t>
      </w:r>
      <w:r w:rsidR="007117DA">
        <w:t xml:space="preserve"> </w:t>
      </w:r>
    </w:p>
    <w:p w14:paraId="2E8122A2" w14:textId="0237E2FE" w:rsidR="00A229CC" w:rsidRDefault="00727A84" w:rsidP="00A229CC">
      <w:pPr>
        <w:pStyle w:val="Heading2"/>
        <w:numPr>
          <w:ilvl w:val="0"/>
          <w:numId w:val="0"/>
        </w:numPr>
      </w:pPr>
      <w:r>
        <w:t xml:space="preserve">   </w:t>
      </w:r>
      <w:bookmarkStart w:id="176" w:name="_Toc101963776"/>
      <w:r w:rsidR="00A229CC">
        <w:t>2.3.</w:t>
      </w:r>
      <w:r w:rsidR="00A229CC" w:rsidRPr="00882599">
        <w:t>2</w:t>
      </w:r>
      <w:r w:rsidRPr="00882599">
        <w:t xml:space="preserve">   </w:t>
      </w:r>
      <w:r w:rsidR="00A229CC" w:rsidRPr="00882599">
        <w:t>Coorong Habitat</w:t>
      </w:r>
      <w:bookmarkEnd w:id="176"/>
    </w:p>
    <w:p w14:paraId="31397BB2" w14:textId="77777777" w:rsidR="00B60940" w:rsidRDefault="00B60940" w:rsidP="00B60940">
      <w:pPr>
        <w:pStyle w:val="Heading3"/>
      </w:pPr>
      <w:r>
        <w:t>Background</w:t>
      </w:r>
    </w:p>
    <w:p w14:paraId="054B385B" w14:textId="087C648D" w:rsidR="00B60940" w:rsidRDefault="00B60940" w:rsidP="00B60940">
      <w:r>
        <w:t xml:space="preserve">The Coorong is an estuarine lagoonal system with a natural salinity gradient ranging from freshwater to hyper-saline at the extremity. Freshwater flows are important in maintaining estuarine habitat and ecosystem health and preventing extreme hyper-salinity (Brookes </w:t>
      </w:r>
      <w:r w:rsidRPr="00375253">
        <w:rPr>
          <w:i/>
          <w:iCs/>
        </w:rPr>
        <w:t>et al</w:t>
      </w:r>
      <w:r>
        <w:t xml:space="preserve">. 2009). </w:t>
      </w:r>
      <w:r>
        <w:rPr>
          <w:i/>
          <w:iCs/>
        </w:rPr>
        <w:t>Ruppia tuberosa</w:t>
      </w:r>
      <w:r>
        <w:t xml:space="preserve"> is an important macrophyte in the Coorong that provides habitat for fish and food for herbivorous birds in the Coorong (Phillips and Muller 2006), and it can tolerate a salinity higher than natural seawater. The germination and growth of </w:t>
      </w:r>
      <w:r>
        <w:rPr>
          <w:i/>
          <w:iCs/>
        </w:rPr>
        <w:t>R. tuberosa</w:t>
      </w:r>
      <w:r>
        <w:t xml:space="preserve"> is known to be governed in large part by changes in salinity and water level regimes, which are influenced by flows through the barrages (Kim </w:t>
      </w:r>
      <w:r w:rsidRPr="0049657D">
        <w:rPr>
          <w:i/>
          <w:iCs/>
        </w:rPr>
        <w:t>et al.</w:t>
      </w:r>
      <w:r>
        <w:t xml:space="preserve"> 2013). Other factors that influence </w:t>
      </w:r>
      <w:r>
        <w:rPr>
          <w:i/>
          <w:iCs/>
        </w:rPr>
        <w:t>R. tuberosa</w:t>
      </w:r>
      <w:r>
        <w:t xml:space="preserve"> growth include nutrient availability, water temperature, sediment quality and interactions with algae, including shading of light and interference with flowers and fruits on the surface (Collier </w:t>
      </w:r>
      <w:r w:rsidRPr="00D26AC0">
        <w:rPr>
          <w:i/>
          <w:iCs/>
        </w:rPr>
        <w:t>et al</w:t>
      </w:r>
      <w:r>
        <w:t xml:space="preserve">. 2017). </w:t>
      </w:r>
      <w:r w:rsidR="00ED289A">
        <w:t xml:space="preserve">Flows over spring and into early summer are likely </w:t>
      </w:r>
      <w:r w:rsidR="00092564">
        <w:t xml:space="preserve">to be particularly beneficial as they delay the drop in water level in the South Lagoon and can prevent extreme salinities emerging, thereby improving chances of completion of the reproductive cycle of </w:t>
      </w:r>
      <w:r w:rsidR="00092564" w:rsidRPr="00E9217E">
        <w:rPr>
          <w:i/>
          <w:iCs/>
        </w:rPr>
        <w:t>Ruppia</w:t>
      </w:r>
      <w:r w:rsidR="00092564">
        <w:t xml:space="preserve">. In addition, salinity has also been identified as a key driver of fish distribution and assemblage structure by influencing the extent of estuarine fish habitat in the Coorong (Ye </w:t>
      </w:r>
      <w:r w:rsidR="00092564" w:rsidRPr="0049657D">
        <w:rPr>
          <w:i/>
          <w:iCs/>
        </w:rPr>
        <w:t>et al.</w:t>
      </w:r>
      <w:r w:rsidR="00092564">
        <w:t xml:space="preserve"> 2011; 2016a; Bice </w:t>
      </w:r>
      <w:r w:rsidR="00092564" w:rsidRPr="0049657D">
        <w:rPr>
          <w:i/>
          <w:iCs/>
        </w:rPr>
        <w:t>et al.</w:t>
      </w:r>
      <w:r w:rsidR="00092564">
        <w:t xml:space="preserve"> 2018). This sub-indicator aims to assess the benefits of environmental flows for the enhancement of </w:t>
      </w:r>
      <w:r w:rsidR="00092564">
        <w:rPr>
          <w:i/>
          <w:iCs/>
        </w:rPr>
        <w:t>R. tuberosa</w:t>
      </w:r>
      <w:r w:rsidR="00092564">
        <w:t xml:space="preserve"> habitat, particularly those that are </w:t>
      </w:r>
      <w:r w:rsidR="00ED289A">
        <w:t xml:space="preserve">delivered in late spring and early summer, as </w:t>
      </w:r>
      <w:r w:rsidR="00092564">
        <w:t>the improvement of estuarine fish habitat throughout the year for several key species with different levels of salinity tolerance.</w:t>
      </w:r>
    </w:p>
    <w:p w14:paraId="31BDA29F" w14:textId="77777777" w:rsidR="00B60940" w:rsidRDefault="00B60940" w:rsidP="00B60940">
      <w:pPr>
        <w:rPr>
          <w:i/>
          <w:u w:val="single"/>
        </w:rPr>
      </w:pPr>
      <w:r>
        <w:rPr>
          <w:i/>
          <w:u w:val="single"/>
        </w:rPr>
        <w:t>Major hypothesis</w:t>
      </w:r>
    </w:p>
    <w:p w14:paraId="1BF0C556" w14:textId="3AE2ACAF" w:rsidR="00092564" w:rsidRDefault="00092564" w:rsidP="00092564">
      <w:r>
        <w:t xml:space="preserve">Increased freshwater flow through the barrages and into the Coorong due to environmental watering will prevent areas of extreme salinity </w:t>
      </w:r>
      <w:r w:rsidR="00ED289A">
        <w:t xml:space="preserve">and maintain water levels in the Coorong, thus expanding the extent of </w:t>
      </w:r>
      <w:r w:rsidR="00ED289A" w:rsidRPr="0072624D">
        <w:rPr>
          <w:i/>
          <w:iCs/>
        </w:rPr>
        <w:t>R. tuberosa</w:t>
      </w:r>
      <w:r w:rsidR="00ED289A">
        <w:t xml:space="preserve"> and fish habitats.</w:t>
      </w:r>
    </w:p>
    <w:p w14:paraId="39C1DC09" w14:textId="77777777" w:rsidR="00B60940" w:rsidRDefault="00B60940" w:rsidP="00B60940">
      <w:pPr>
        <w:pStyle w:val="Heading3"/>
      </w:pPr>
      <w:r>
        <w:lastRenderedPageBreak/>
        <w:t>Methods</w:t>
      </w:r>
    </w:p>
    <w:p w14:paraId="28BD97B7" w14:textId="40BACE7C" w:rsidR="00B60940" w:rsidRDefault="00B60940" w:rsidP="00B60940">
      <w:pPr>
        <w:rPr>
          <w:lang w:eastAsia="en-AU"/>
        </w:rPr>
      </w:pPr>
      <w:r>
        <w:rPr>
          <w:lang w:eastAsia="en-AU"/>
        </w:rPr>
        <w:t xml:space="preserve">The habitat extent of </w:t>
      </w:r>
      <w:r>
        <w:rPr>
          <w:i/>
          <w:iCs/>
          <w:lang w:eastAsia="en-AU"/>
        </w:rPr>
        <w:t>R. tuberosa</w:t>
      </w:r>
      <w:r>
        <w:rPr>
          <w:lang w:eastAsia="en-AU"/>
        </w:rPr>
        <w:t xml:space="preserve"> (“</w:t>
      </w:r>
      <w:r w:rsidRPr="0049657D">
        <w:rPr>
          <w:i/>
          <w:iCs/>
          <w:lang w:eastAsia="en-AU"/>
        </w:rPr>
        <w:t>Ruppia</w:t>
      </w:r>
      <w:r>
        <w:rPr>
          <w:lang w:eastAsia="en-AU"/>
        </w:rPr>
        <w:t xml:space="preserve">”) and fish were estimated using previously reported environmental thresholds (Collier </w:t>
      </w:r>
      <w:r w:rsidRPr="00375253">
        <w:rPr>
          <w:i/>
          <w:iCs/>
          <w:lang w:eastAsia="en-AU"/>
        </w:rPr>
        <w:t>et al</w:t>
      </w:r>
      <w:r>
        <w:rPr>
          <w:lang w:eastAsia="en-AU"/>
        </w:rPr>
        <w:t xml:space="preserve">. 2017; Ye </w:t>
      </w:r>
      <w:r w:rsidRPr="00375253">
        <w:rPr>
          <w:i/>
          <w:iCs/>
          <w:lang w:eastAsia="en-AU"/>
        </w:rPr>
        <w:t>et al</w:t>
      </w:r>
      <w:r>
        <w:rPr>
          <w:lang w:eastAsia="en-AU"/>
        </w:rPr>
        <w:t xml:space="preserve">. 2016a), consistent with the 2019-20 MER report (Ye et al. 2021). </w:t>
      </w:r>
      <w:r w:rsidR="00ED289A">
        <w:rPr>
          <w:lang w:eastAsia="en-AU"/>
        </w:rPr>
        <w:t xml:space="preserve">The </w:t>
      </w:r>
      <w:r w:rsidR="00ED289A">
        <w:rPr>
          <w:i/>
          <w:iCs/>
          <w:lang w:eastAsia="en-AU"/>
        </w:rPr>
        <w:t xml:space="preserve">Ruppia </w:t>
      </w:r>
      <w:r w:rsidR="00ED289A">
        <w:rPr>
          <w:lang w:eastAsia="en-AU"/>
        </w:rPr>
        <w:t xml:space="preserve">ecological response model has </w:t>
      </w:r>
      <w:r w:rsidR="00092564">
        <w:rPr>
          <w:lang w:eastAsia="en-AU"/>
        </w:rPr>
        <w:t xml:space="preserve">capability to account for habitat suitability of critical life stages, and is designed to estimate the probability of replenishing the sediment seed-bank, turion sprouting, seedling development to juvenile plants, and adult plant flowering and seed setting (Collier </w:t>
      </w:r>
      <w:r w:rsidR="00092564" w:rsidRPr="00375253">
        <w:rPr>
          <w:i/>
          <w:iCs/>
          <w:lang w:eastAsia="en-AU"/>
        </w:rPr>
        <w:t>et al</w:t>
      </w:r>
      <w:r w:rsidR="00092564">
        <w:rPr>
          <w:lang w:eastAsia="en-AU"/>
        </w:rPr>
        <w:t xml:space="preserve">. 2017). Each stage (adult, seed, flowering) is assigned a habitat suitability based on cell specific light, depth, salinity and temperature, which in the end results in a combined probability of sexual life-cycle completion. </w:t>
      </w:r>
      <w:r w:rsidR="00ED289A">
        <w:rPr>
          <w:lang w:eastAsia="en-AU"/>
        </w:rPr>
        <w:t xml:space="preserve">A suitability index for asexual reproduction was considered but it is not considered sufficiently robust to include. Where </w:t>
      </w:r>
      <w:r w:rsidR="00092564">
        <w:rPr>
          <w:lang w:eastAsia="en-AU"/>
        </w:rPr>
        <w:t xml:space="preserve">the index was above 0.4, we computed a suitable area of habitat, by multiplying </w:t>
      </w:r>
      <w:r>
        <w:rPr>
          <w:lang w:eastAsia="en-AU"/>
        </w:rPr>
        <w:t xml:space="preserve">the habitat score by the cell area, and summing over all cells within both North and South lagoons. The fish habitat model was implemented to calculate probabilities of habitat suitability for juveniles of key species based on known salinity thresholds, adopting a seasonal effect by account for temperature sensitivity to the salinity thresholds, according to the same functions and parameters described in the previous report (Ye et al. 2021). </w:t>
      </w:r>
    </w:p>
    <w:p w14:paraId="0C720B12" w14:textId="77777777" w:rsidR="00B60940" w:rsidRDefault="00B60940" w:rsidP="00B60940">
      <w:pPr>
        <w:pStyle w:val="Heading3"/>
        <w:rPr>
          <w:lang w:eastAsia="en-AU"/>
        </w:rPr>
      </w:pPr>
      <w:r>
        <w:rPr>
          <w:lang w:eastAsia="en-AU"/>
        </w:rPr>
        <w:t>Results</w:t>
      </w:r>
    </w:p>
    <w:p w14:paraId="0E1F5EE0" w14:textId="29734C06" w:rsidR="00B60940" w:rsidRDefault="00B60940" w:rsidP="00B60940">
      <w:pPr>
        <w:rPr>
          <w:lang w:eastAsia="en-AU"/>
        </w:rPr>
      </w:pPr>
      <w:r>
        <w:rPr>
          <w:lang w:eastAsia="en-AU"/>
        </w:rPr>
        <w:t xml:space="preserve">The </w:t>
      </w:r>
      <w:r w:rsidRPr="00525B21">
        <w:rPr>
          <w:i/>
          <w:lang w:eastAsia="en-AU"/>
        </w:rPr>
        <w:t>Ruppia</w:t>
      </w:r>
      <w:r>
        <w:rPr>
          <w:lang w:eastAsia="en-AU"/>
        </w:rPr>
        <w:t xml:space="preserve"> habitat areas in the Coorong in the modelling years</w:t>
      </w:r>
      <w:r w:rsidRPr="00E15052">
        <w:rPr>
          <w:lang w:eastAsia="en-AU"/>
        </w:rPr>
        <w:t xml:space="preserve"> </w:t>
      </w:r>
      <w:r>
        <w:rPr>
          <w:lang w:eastAsia="en-AU"/>
        </w:rPr>
        <w:t>are summarised in</w:t>
      </w:r>
      <w:r w:rsidR="006F0025">
        <w:rPr>
          <w:lang w:eastAsia="en-AU"/>
        </w:rPr>
        <w:t xml:space="preserve"> </w:t>
      </w:r>
      <w:r w:rsidR="006F0025">
        <w:rPr>
          <w:lang w:eastAsia="en-AU"/>
        </w:rPr>
        <w:fldChar w:fldCharType="begin"/>
      </w:r>
      <w:r w:rsidR="006F0025">
        <w:rPr>
          <w:lang w:eastAsia="en-AU"/>
        </w:rPr>
        <w:instrText xml:space="preserve"> REF _Ref96529786 \h </w:instrText>
      </w:r>
      <w:r w:rsidR="006F0025">
        <w:rPr>
          <w:lang w:eastAsia="en-AU"/>
        </w:rPr>
      </w:r>
      <w:r w:rsidR="006F0025">
        <w:rPr>
          <w:lang w:eastAsia="en-AU"/>
        </w:rPr>
        <w:fldChar w:fldCharType="separate"/>
      </w:r>
      <w:r w:rsidR="003C13F6">
        <w:t xml:space="preserve">Figure </w:t>
      </w:r>
      <w:r w:rsidR="003C13F6">
        <w:rPr>
          <w:noProof/>
        </w:rPr>
        <w:t>28</w:t>
      </w:r>
      <w:r w:rsidR="006F0025">
        <w:rPr>
          <w:lang w:eastAsia="en-AU"/>
        </w:rPr>
        <w:fldChar w:fldCharType="end"/>
      </w:r>
      <w:r>
        <w:rPr>
          <w:lang w:eastAsia="en-AU"/>
        </w:rPr>
        <w:t xml:space="preserve">, including the suitable habitat area for different stages. The comparison of the overall area of habitat, which is an index to complete a full sexual reproduction life-cycle, showed a general decrease of </w:t>
      </w:r>
      <w:r w:rsidR="00A7359B">
        <w:rPr>
          <w:lang w:eastAsia="en-AU"/>
        </w:rPr>
        <w:t xml:space="preserve">44% the calendar year 2020 in </w:t>
      </w:r>
      <w:r>
        <w:rPr>
          <w:lang w:eastAsia="en-AU"/>
        </w:rPr>
        <w:t>the ‘no CEW 4 years’ and ‘no eWater 4 years’ scenarios when compared to the ‘all water’ scenario, and this appears to be mainly limited to the area suitable for successful flowering (</w:t>
      </w:r>
      <w:r w:rsidR="006F0025">
        <w:rPr>
          <w:lang w:eastAsia="en-AU"/>
        </w:rPr>
        <w:fldChar w:fldCharType="begin"/>
      </w:r>
      <w:r w:rsidR="006F0025">
        <w:rPr>
          <w:lang w:eastAsia="en-AU"/>
        </w:rPr>
        <w:instrText xml:space="preserve"> REF _Ref96529786 \h </w:instrText>
      </w:r>
      <w:r w:rsidR="006F0025">
        <w:rPr>
          <w:lang w:eastAsia="en-AU"/>
        </w:rPr>
      </w:r>
      <w:r w:rsidR="006F0025">
        <w:rPr>
          <w:lang w:eastAsia="en-AU"/>
        </w:rPr>
        <w:fldChar w:fldCharType="separate"/>
      </w:r>
      <w:r w:rsidR="003C13F6">
        <w:t xml:space="preserve">Figure </w:t>
      </w:r>
      <w:r w:rsidR="003C13F6">
        <w:rPr>
          <w:noProof/>
        </w:rPr>
        <w:t>28</w:t>
      </w:r>
      <w:r w:rsidR="006F0025">
        <w:rPr>
          <w:lang w:eastAsia="en-AU"/>
        </w:rPr>
        <w:fldChar w:fldCharType="end"/>
      </w:r>
      <w:r>
        <w:rPr>
          <w:lang w:eastAsia="en-AU"/>
        </w:rPr>
        <w:t>). The suitable habitat area for adults and seeds appears to be slightly higher in the scenario which has no environmental water delivery, but this was due to fresher salinity around the barrages and Murray Mouth (</w:t>
      </w:r>
      <w:r w:rsidR="006F0025">
        <w:rPr>
          <w:lang w:eastAsia="en-AU"/>
        </w:rPr>
        <w:fldChar w:fldCharType="begin"/>
      </w:r>
      <w:r w:rsidR="006F0025">
        <w:rPr>
          <w:lang w:eastAsia="en-AU"/>
        </w:rPr>
        <w:instrText xml:space="preserve"> REF _Ref96529765 \h </w:instrText>
      </w:r>
      <w:r w:rsidR="006F0025">
        <w:rPr>
          <w:lang w:eastAsia="en-AU"/>
        </w:rPr>
      </w:r>
      <w:r w:rsidR="006F0025">
        <w:rPr>
          <w:lang w:eastAsia="en-AU"/>
        </w:rPr>
        <w:fldChar w:fldCharType="separate"/>
      </w:r>
      <w:r w:rsidR="003C13F6">
        <w:t xml:space="preserve">Figure </w:t>
      </w:r>
      <w:r w:rsidR="003C13F6">
        <w:rPr>
          <w:noProof/>
        </w:rPr>
        <w:t>29</w:t>
      </w:r>
      <w:r w:rsidR="006F0025">
        <w:rPr>
          <w:lang w:eastAsia="en-AU"/>
        </w:rPr>
        <w:fldChar w:fldCharType="end"/>
      </w:r>
      <w:r w:rsidR="00092564">
        <w:rPr>
          <w:lang w:eastAsia="en-AU"/>
        </w:rPr>
        <w:t>),</w:t>
      </w:r>
      <w:r w:rsidR="00AD08CF">
        <w:rPr>
          <w:lang w:eastAsia="en-AU"/>
        </w:rPr>
        <w:t xml:space="preserve"> which is not the target area for </w:t>
      </w:r>
      <w:r w:rsidR="00AD08CF" w:rsidRPr="00BB16F5">
        <w:rPr>
          <w:i/>
          <w:iCs/>
          <w:lang w:eastAsia="en-AU"/>
        </w:rPr>
        <w:t>Ruppia</w:t>
      </w:r>
      <w:r w:rsidR="00AD08CF">
        <w:rPr>
          <w:lang w:eastAsia="en-AU"/>
        </w:rPr>
        <w:t xml:space="preserve"> management or restoration.</w:t>
      </w:r>
    </w:p>
    <w:p w14:paraId="648766BA" w14:textId="2C62AE7F" w:rsidR="00B60940" w:rsidRDefault="00B60940" w:rsidP="00B60940">
      <w:r>
        <w:t xml:space="preserve">The suitable habitat area for each fish species is summarised in </w:t>
      </w:r>
      <w:r w:rsidR="006F0025">
        <w:fldChar w:fldCharType="begin"/>
      </w:r>
      <w:r w:rsidR="006F0025">
        <w:instrText xml:space="preserve"> REF _Ref96529812 \h </w:instrText>
      </w:r>
      <w:r w:rsidR="006F0025">
        <w:fldChar w:fldCharType="separate"/>
      </w:r>
      <w:r w:rsidR="003C13F6">
        <w:t xml:space="preserve">Figure </w:t>
      </w:r>
      <w:r w:rsidR="003C13F6">
        <w:rPr>
          <w:noProof/>
        </w:rPr>
        <w:t>30</w:t>
      </w:r>
      <w:r w:rsidR="006F0025">
        <w:fldChar w:fldCharType="end"/>
      </w:r>
      <w:r>
        <w:t xml:space="preserve">, which showed the environmental flows had led to fresher conditions in the Coorong and an expansion of suitable fish habitat area. Reduction </w:t>
      </w:r>
      <w:r w:rsidR="00092564">
        <w:t xml:space="preserve">of fish </w:t>
      </w:r>
      <w:r>
        <w:t>habitat areas of ~6</w:t>
      </w:r>
      <w:r>
        <w:rPr>
          <w:rFonts w:ascii="Calibri" w:hAnsi="Calibri" w:cs="Calibri"/>
        </w:rPr>
        <w:t>–</w:t>
      </w:r>
      <w:r>
        <w:t>1</w:t>
      </w:r>
      <w:r w:rsidR="005E0C24">
        <w:t>1</w:t>
      </w:r>
      <w:r>
        <w:t>% were predicted if there was no environmental water in 2020-21, and the reduced area focused on the middle and south Coorong (</w:t>
      </w:r>
      <w:r w:rsidR="006F0025">
        <w:fldChar w:fldCharType="begin"/>
      </w:r>
      <w:r w:rsidR="006F0025">
        <w:instrText xml:space="preserve"> REF _Ref96529821 \h </w:instrText>
      </w:r>
      <w:r w:rsidR="006F0025">
        <w:fldChar w:fldCharType="separate"/>
      </w:r>
      <w:r w:rsidR="003C13F6">
        <w:t xml:space="preserve">Figure </w:t>
      </w:r>
      <w:r w:rsidR="003C13F6">
        <w:rPr>
          <w:noProof/>
        </w:rPr>
        <w:t>31</w:t>
      </w:r>
      <w:r w:rsidR="006F0025">
        <w:fldChar w:fldCharType="end"/>
      </w:r>
      <w:r>
        <w:t xml:space="preserve">). Reduction of </w:t>
      </w:r>
      <w:r w:rsidR="005E0C24">
        <w:t>33</w:t>
      </w:r>
      <w:r w:rsidR="005E0C24">
        <w:rPr>
          <w:rFonts w:ascii="Calibri" w:hAnsi="Calibri" w:cs="Calibri"/>
        </w:rPr>
        <w:t>–</w:t>
      </w:r>
      <w:r w:rsidR="005E0C24">
        <w:t xml:space="preserve">45% (species dependent) </w:t>
      </w:r>
      <w:r>
        <w:t xml:space="preserve">in the habitat areas for fish species were predicted in the Coorong if there is no environmental water for four years continuously </w:t>
      </w:r>
      <w:r w:rsidR="00092564">
        <w:t>(i.e. since July 2017) (</w:t>
      </w:r>
      <w:r w:rsidR="00ED289A">
        <w:fldChar w:fldCharType="begin"/>
      </w:r>
      <w:r w:rsidR="00ED289A">
        <w:instrText xml:space="preserve"> REF _Ref96529812 \h </w:instrText>
      </w:r>
      <w:r w:rsidR="00ED289A">
        <w:fldChar w:fldCharType="separate"/>
      </w:r>
      <w:r w:rsidR="00ED289A">
        <w:t xml:space="preserve">Figure </w:t>
      </w:r>
      <w:r w:rsidR="00ED289A">
        <w:rPr>
          <w:noProof/>
        </w:rPr>
        <w:t>30</w:t>
      </w:r>
      <w:r w:rsidR="00ED289A">
        <w:fldChar w:fldCharType="end"/>
      </w:r>
      <w:r w:rsidR="00092564">
        <w:t xml:space="preserve">). </w:t>
      </w:r>
      <w:r>
        <w:t xml:space="preserve"> </w:t>
      </w:r>
    </w:p>
    <w:p w14:paraId="397CE5FB" w14:textId="77777777" w:rsidR="00B60940" w:rsidRDefault="00B60940" w:rsidP="00B60940">
      <w:pPr>
        <w:rPr>
          <w:lang w:eastAsia="en-AU"/>
        </w:rPr>
      </w:pPr>
    </w:p>
    <w:p w14:paraId="078FA40E" w14:textId="77777777" w:rsidR="00B60940" w:rsidRDefault="00B60940" w:rsidP="00B60940">
      <w:pPr>
        <w:rPr>
          <w:lang w:eastAsia="en-AU"/>
        </w:rPr>
      </w:pPr>
    </w:p>
    <w:p w14:paraId="2C9566B5" w14:textId="77777777" w:rsidR="00B60940" w:rsidRDefault="00B60940" w:rsidP="00B60940">
      <w:pPr>
        <w:rPr>
          <w:lang w:eastAsia="en-AU"/>
        </w:rPr>
      </w:pPr>
      <w:r w:rsidRPr="001C2A12">
        <w:rPr>
          <w:noProof/>
          <w:lang w:val="en-US"/>
        </w:rPr>
        <w:lastRenderedPageBreak/>
        <w:drawing>
          <wp:inline distT="0" distB="0" distL="0" distR="0" wp14:anchorId="538E6123" wp14:editId="183153E8">
            <wp:extent cx="5731510" cy="2948711"/>
            <wp:effectExtent l="0" t="0" r="2540" b="4445"/>
            <wp:docPr id="71" name="Picture 71" descr="W:\CDM\MER_Coorong_eWater_2021\Plotting_Ruppia\Ruppia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CDM\MER_Coorong_eWater_2021\Plotting_Ruppia\Ruppia area.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2948711"/>
                    </a:xfrm>
                    <a:prstGeom prst="rect">
                      <a:avLst/>
                    </a:prstGeom>
                    <a:noFill/>
                    <a:ln>
                      <a:noFill/>
                    </a:ln>
                  </pic:spPr>
                </pic:pic>
              </a:graphicData>
            </a:graphic>
          </wp:inline>
        </w:drawing>
      </w:r>
    </w:p>
    <w:p w14:paraId="7A91FB60" w14:textId="3FE9C5ED" w:rsidR="00B60940" w:rsidRDefault="006F0025" w:rsidP="006F0025">
      <w:pPr>
        <w:pStyle w:val="Caption"/>
        <w:rPr>
          <w:lang w:eastAsia="en-AU"/>
        </w:rPr>
      </w:pPr>
      <w:bookmarkStart w:id="177" w:name="_Ref96529786"/>
      <w:bookmarkStart w:id="178" w:name="_Toc64301866"/>
      <w:bookmarkStart w:id="179" w:name="_Toc101963820"/>
      <w:r>
        <w:t xml:space="preserve">Figure </w:t>
      </w:r>
      <w:fldSimple w:instr=" SEQ Figure \* ARABIC ">
        <w:r w:rsidR="003C13F6">
          <w:rPr>
            <w:noProof/>
          </w:rPr>
          <w:t>28</w:t>
        </w:r>
      </w:fldSimple>
      <w:bookmarkEnd w:id="177"/>
      <w:r w:rsidR="00B60940">
        <w:t>.</w:t>
      </w:r>
      <w:r w:rsidR="00B60940">
        <w:rPr>
          <w:lang w:eastAsia="en-AU"/>
        </w:rPr>
        <w:t xml:space="preserve"> Habitat area suitable for </w:t>
      </w:r>
      <w:r w:rsidR="00B60940">
        <w:rPr>
          <w:i/>
          <w:lang w:eastAsia="en-AU"/>
        </w:rPr>
        <w:t>Ruppia tuberosa</w:t>
      </w:r>
      <w:r w:rsidR="00B60940" w:rsidRPr="00C86AD1">
        <w:rPr>
          <w:lang w:eastAsia="en-AU"/>
        </w:rPr>
        <w:t xml:space="preserve"> (overall and individual life stages), comparing the </w:t>
      </w:r>
      <w:r w:rsidR="00B60940">
        <w:rPr>
          <w:lang w:eastAsia="en-AU"/>
        </w:rPr>
        <w:t>“All water” (b</w:t>
      </w:r>
      <w:r w:rsidR="00B60940" w:rsidRPr="00C86AD1">
        <w:rPr>
          <w:lang w:eastAsia="en-AU"/>
        </w:rPr>
        <w:t>ase-case</w:t>
      </w:r>
      <w:r w:rsidR="00B60940">
        <w:rPr>
          <w:lang w:eastAsia="en-AU"/>
        </w:rPr>
        <w:t>)</w:t>
      </w:r>
      <w:r w:rsidR="00B60940" w:rsidRPr="00C86AD1">
        <w:rPr>
          <w:lang w:eastAsia="en-AU"/>
        </w:rPr>
        <w:t xml:space="preserve"> and </w:t>
      </w:r>
      <w:r w:rsidR="00B60940">
        <w:rPr>
          <w:lang w:eastAsia="en-AU"/>
        </w:rPr>
        <w:t>“no CEW”/”no eWater” scenarios.</w:t>
      </w:r>
      <w:bookmarkEnd w:id="178"/>
      <w:bookmarkEnd w:id="179"/>
    </w:p>
    <w:p w14:paraId="4D6598F8" w14:textId="77777777" w:rsidR="00B60940" w:rsidRDefault="00B60940" w:rsidP="00B60940">
      <w:pPr>
        <w:rPr>
          <w:lang w:eastAsia="en-AU"/>
        </w:rPr>
      </w:pPr>
    </w:p>
    <w:p w14:paraId="4DAA4F1D" w14:textId="77777777" w:rsidR="00B60940" w:rsidRDefault="00B60940" w:rsidP="00B60940">
      <w:pPr>
        <w:rPr>
          <w:lang w:eastAsia="en-AU"/>
        </w:rPr>
      </w:pPr>
    </w:p>
    <w:p w14:paraId="19A9F064" w14:textId="77777777" w:rsidR="00B60940" w:rsidRDefault="00B60940" w:rsidP="00B60940">
      <w:pPr>
        <w:rPr>
          <w:lang w:eastAsia="en-AU"/>
        </w:rPr>
      </w:pPr>
    </w:p>
    <w:p w14:paraId="2777F28A" w14:textId="77777777" w:rsidR="00B60940" w:rsidRDefault="00B60940" w:rsidP="00B60940">
      <w:pPr>
        <w:rPr>
          <w:lang w:eastAsia="en-AU"/>
        </w:rPr>
      </w:pPr>
      <w:r w:rsidRPr="002915F8">
        <w:rPr>
          <w:noProof/>
          <w:lang w:val="en-US"/>
        </w:rPr>
        <w:lastRenderedPageBreak/>
        <w:drawing>
          <wp:inline distT="0" distB="0" distL="0" distR="0" wp14:anchorId="376CBD1B" wp14:editId="619F75C5">
            <wp:extent cx="5731510" cy="6372091"/>
            <wp:effectExtent l="0" t="0" r="2540" b="0"/>
            <wp:docPr id="72" name="Picture 72" descr="W:\CDM\MER_Coorong_eWater_2021\Plotting_Ruppia\eWater2021_Scen4_all\Sheets\2020\HSI_sexual_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DM\MER_Coorong_eWater_2021\Plotting_Ruppia\eWater2021_Scen4_all\Sheets\2020\HSI_sexual_del.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6372091"/>
                    </a:xfrm>
                    <a:prstGeom prst="rect">
                      <a:avLst/>
                    </a:prstGeom>
                    <a:noFill/>
                    <a:ln>
                      <a:noFill/>
                    </a:ln>
                  </pic:spPr>
                </pic:pic>
              </a:graphicData>
            </a:graphic>
          </wp:inline>
        </w:drawing>
      </w:r>
    </w:p>
    <w:p w14:paraId="3FA0532D" w14:textId="1B5CCCF5" w:rsidR="00B60940" w:rsidRPr="00A229CC" w:rsidRDefault="006F0025" w:rsidP="006F0025">
      <w:pPr>
        <w:pStyle w:val="Caption"/>
      </w:pPr>
      <w:bookmarkStart w:id="180" w:name="_Ref96529765"/>
      <w:bookmarkStart w:id="181" w:name="_Toc64301865"/>
      <w:bookmarkStart w:id="182" w:name="_Toc101963821"/>
      <w:r>
        <w:t xml:space="preserve">Figure </w:t>
      </w:r>
      <w:fldSimple w:instr=" SEQ Figure \* ARABIC ">
        <w:r w:rsidR="003C13F6">
          <w:rPr>
            <w:noProof/>
          </w:rPr>
          <w:t>29</w:t>
        </w:r>
      </w:fldSimple>
      <w:bookmarkEnd w:id="180"/>
      <w:r w:rsidR="00B60940">
        <w:t xml:space="preserve">. Differences of </w:t>
      </w:r>
      <w:r w:rsidR="00B60940" w:rsidRPr="00C86AD1">
        <w:rPr>
          <w:i/>
          <w:iCs/>
        </w:rPr>
        <w:t>Ruppia</w:t>
      </w:r>
      <w:r w:rsidR="00B60940">
        <w:t xml:space="preserve"> HSI (habitat suitability index) values between the no environmental water since 2017 (No eWater 4 years) and the “All water” (base-case) conditions. The index is computed for each stage (adult, flower, seed) of the life-cycle, and the overall suitability (HSI sexual) is based on where all life-stage requirements are met. More saline conditions in the ‘no eWater 4 years” scenario led to a loss of good habitat in the South </w:t>
      </w:r>
      <w:bookmarkEnd w:id="181"/>
      <w:r w:rsidR="00ED289A">
        <w:t>Lagoon (blue indicates contraction, orange indicates expansion) that meets the requirements of all life-stages.</w:t>
      </w:r>
      <w:bookmarkEnd w:id="182"/>
    </w:p>
    <w:p w14:paraId="04A3C449" w14:textId="77777777" w:rsidR="00B60940" w:rsidRDefault="00B60940" w:rsidP="00B60940">
      <w:pPr>
        <w:rPr>
          <w:lang w:eastAsia="en-AU"/>
        </w:rPr>
      </w:pPr>
    </w:p>
    <w:p w14:paraId="19ADDD51" w14:textId="77777777" w:rsidR="00B60940" w:rsidRDefault="00B60940" w:rsidP="00B60940">
      <w:pPr>
        <w:rPr>
          <w:lang w:eastAsia="en-AU"/>
        </w:rPr>
      </w:pPr>
    </w:p>
    <w:p w14:paraId="3E103A20" w14:textId="77777777" w:rsidR="00B60940" w:rsidRDefault="00B60940" w:rsidP="00B60940">
      <w:pPr>
        <w:rPr>
          <w:lang w:eastAsia="en-AU"/>
        </w:rPr>
      </w:pPr>
    </w:p>
    <w:p w14:paraId="0F92C554" w14:textId="77777777" w:rsidR="00B60940" w:rsidRDefault="00B60940" w:rsidP="00B60940">
      <w:pPr>
        <w:rPr>
          <w:lang w:eastAsia="en-AU"/>
        </w:rPr>
      </w:pPr>
    </w:p>
    <w:p w14:paraId="26037C88" w14:textId="77777777" w:rsidR="00882599" w:rsidRDefault="00882599" w:rsidP="00B60940">
      <w:pPr>
        <w:rPr>
          <w:lang w:eastAsia="en-AU"/>
        </w:rPr>
        <w:sectPr w:rsidR="00882599">
          <w:pgSz w:w="11906" w:h="16838"/>
          <w:pgMar w:top="1440" w:right="1440" w:bottom="1440" w:left="1440" w:header="708" w:footer="708" w:gutter="0"/>
          <w:cols w:space="720"/>
        </w:sectPr>
      </w:pPr>
    </w:p>
    <w:p w14:paraId="709ABE6F" w14:textId="491545C8" w:rsidR="00B60940" w:rsidRDefault="00B60940" w:rsidP="00882599">
      <w:pPr>
        <w:jc w:val="center"/>
        <w:rPr>
          <w:lang w:eastAsia="en-AU"/>
        </w:rPr>
      </w:pPr>
      <w:r w:rsidRPr="001C2A12">
        <w:rPr>
          <w:noProof/>
          <w:lang w:val="en-US"/>
        </w:rPr>
        <w:lastRenderedPageBreak/>
        <w:drawing>
          <wp:inline distT="0" distB="0" distL="0" distR="0" wp14:anchorId="3D75F2EA" wp14:editId="7E13B412">
            <wp:extent cx="8316000" cy="2558770"/>
            <wp:effectExtent l="0" t="0" r="0" b="0"/>
            <wp:docPr id="74" name="Picture 74" descr="W:\CDM\MER_Coorong_eWater_2021\Plotting_fish\plots\fish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CDM\MER_Coorong_eWater_2021\Plotting_fish\plots\fish area.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316000" cy="2558770"/>
                    </a:xfrm>
                    <a:prstGeom prst="rect">
                      <a:avLst/>
                    </a:prstGeom>
                    <a:noFill/>
                    <a:ln>
                      <a:noFill/>
                    </a:ln>
                  </pic:spPr>
                </pic:pic>
              </a:graphicData>
            </a:graphic>
          </wp:inline>
        </w:drawing>
      </w:r>
      <w:r w:rsidRPr="001C2A12">
        <w:rPr>
          <w:noProof/>
          <w:lang w:val="en-US"/>
        </w:rPr>
        <w:drawing>
          <wp:inline distT="0" distB="0" distL="0" distR="0" wp14:anchorId="7996B185" wp14:editId="5F7D4CCB">
            <wp:extent cx="8316000" cy="2558770"/>
            <wp:effectExtent l="0" t="0" r="0" b="0"/>
            <wp:docPr id="76" name="Picture 76" descr="W:\CDM\MER_Coorong_eWater_2021\Plotting_fish\plots\fish area 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CDM\MER_Coorong_eWater_2021\Plotting_fish\plots\fish area change.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316000" cy="2558770"/>
                    </a:xfrm>
                    <a:prstGeom prst="rect">
                      <a:avLst/>
                    </a:prstGeom>
                    <a:noFill/>
                    <a:ln>
                      <a:noFill/>
                    </a:ln>
                  </pic:spPr>
                </pic:pic>
              </a:graphicData>
            </a:graphic>
          </wp:inline>
        </w:drawing>
      </w:r>
    </w:p>
    <w:p w14:paraId="748F9F80" w14:textId="08A438E6" w:rsidR="00ED289A" w:rsidRDefault="006F0025" w:rsidP="00ED289A">
      <w:pPr>
        <w:pStyle w:val="Caption"/>
        <w:rPr>
          <w:lang w:eastAsia="en-AU"/>
        </w:rPr>
      </w:pPr>
      <w:bookmarkStart w:id="183" w:name="_Ref96529812"/>
      <w:bookmarkStart w:id="184" w:name="_Toc64301868"/>
      <w:bookmarkStart w:id="185" w:name="_Toc101963822"/>
      <w:r>
        <w:t xml:space="preserve">Figure </w:t>
      </w:r>
      <w:fldSimple w:instr=" SEQ Figure \* ARABIC ">
        <w:r w:rsidR="003C13F6">
          <w:rPr>
            <w:noProof/>
          </w:rPr>
          <w:t>30</w:t>
        </w:r>
      </w:fldSimple>
      <w:bookmarkEnd w:id="183"/>
      <w:r w:rsidR="00B60940">
        <w:t xml:space="preserve">. </w:t>
      </w:r>
      <w:bookmarkEnd w:id="184"/>
      <w:r w:rsidR="00ED289A">
        <w:rPr>
          <w:lang w:eastAsia="en-AU"/>
        </w:rPr>
        <w:t>Habitat area of juvenile stages of key fish species for the scenarios (top). Change in area (%) that would have been in the case of no environmental water is shown in the bottom panel. Environmental water gives a large habitat expansion for all species and this increases year on year.</w:t>
      </w:r>
      <w:bookmarkEnd w:id="185"/>
    </w:p>
    <w:p w14:paraId="706DC9CF" w14:textId="16E5BF5C" w:rsidR="00B60940" w:rsidRDefault="00B60940" w:rsidP="00882599">
      <w:pPr>
        <w:jc w:val="center"/>
        <w:rPr>
          <w:lang w:eastAsia="en-AU"/>
        </w:rPr>
      </w:pPr>
      <w:r w:rsidRPr="0002321A">
        <w:rPr>
          <w:noProof/>
          <w:lang w:val="en-US"/>
        </w:rPr>
        <w:lastRenderedPageBreak/>
        <w:drawing>
          <wp:inline distT="0" distB="0" distL="0" distR="0" wp14:anchorId="210A27D3" wp14:editId="7680DFC3">
            <wp:extent cx="8738953" cy="4784651"/>
            <wp:effectExtent l="0" t="0" r="5080" b="0"/>
            <wp:docPr id="78" name="Picture 78" descr="W:\CDM\MER_Coorong_eWater_2021\Plotting_fish\plots\eWater2021_Scen2_all\hardyheadHSI_del_2020delMap_eWater2021_Scen2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CDM\MER_Coorong_eWater_2021\Plotting_fish\plots\eWater2021_Scen2_all\hardyheadHSI_del_2020delMap_eWater2021_Scen2_all.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0139" t="8649" r="16395" b="10845"/>
                    <a:stretch/>
                  </pic:blipFill>
                  <pic:spPr bwMode="auto">
                    <a:xfrm>
                      <a:off x="0" y="0"/>
                      <a:ext cx="8782753" cy="480863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E408E7" w14:textId="7A69947D" w:rsidR="00B60940" w:rsidRDefault="006F0025" w:rsidP="006F0025">
      <w:pPr>
        <w:pStyle w:val="Caption"/>
        <w:rPr>
          <w:lang w:eastAsia="en-AU"/>
        </w:rPr>
      </w:pPr>
      <w:bookmarkStart w:id="186" w:name="_Ref96529821"/>
      <w:bookmarkStart w:id="187" w:name="_Toc64301867"/>
      <w:bookmarkStart w:id="188" w:name="_Toc101963823"/>
      <w:r>
        <w:t xml:space="preserve">Figure </w:t>
      </w:r>
      <w:fldSimple w:instr=" SEQ Figure \* ARABIC ">
        <w:r w:rsidR="003C13F6">
          <w:rPr>
            <w:noProof/>
          </w:rPr>
          <w:t>31</w:t>
        </w:r>
      </w:fldSimple>
      <w:bookmarkEnd w:id="186"/>
      <w:r w:rsidR="00B60940">
        <w:t>.</w:t>
      </w:r>
      <w:r w:rsidR="00B60940">
        <w:rPr>
          <w:lang w:eastAsia="en-AU"/>
        </w:rPr>
        <w:t xml:space="preserve"> Monthly habitat area “lost” for smallmouth hardyhead during 07/2020 – 07/2021 if there was no environmental water delivery in 2020-21 (calculated as the difference between habitat in the “All water” (base-case) and “no eWater 1 year” scenario. Large areas of the South Lagoon have a decrease in habitat quality, highlighting areas that have benefited from environmental water since 07/2020.</w:t>
      </w:r>
      <w:bookmarkEnd w:id="187"/>
      <w:bookmarkEnd w:id="188"/>
    </w:p>
    <w:p w14:paraId="5367023E" w14:textId="77777777" w:rsidR="00882599" w:rsidRDefault="00882599" w:rsidP="00B60940">
      <w:pPr>
        <w:sectPr w:rsidR="00882599" w:rsidSect="00882599">
          <w:pgSz w:w="16838" w:h="11906" w:orient="landscape"/>
          <w:pgMar w:top="1440" w:right="1440" w:bottom="1440" w:left="1440" w:header="709" w:footer="709" w:gutter="0"/>
          <w:cols w:space="720"/>
        </w:sectPr>
      </w:pPr>
    </w:p>
    <w:p w14:paraId="5FCBBA9C" w14:textId="77777777" w:rsidR="00B60940" w:rsidRDefault="00B60940" w:rsidP="00B60940">
      <w:pPr>
        <w:pStyle w:val="Heading3"/>
      </w:pPr>
      <w:r>
        <w:lastRenderedPageBreak/>
        <w:t>Evaluation</w:t>
      </w:r>
    </w:p>
    <w:p w14:paraId="25C2D79A" w14:textId="781B2034" w:rsidR="00B60940" w:rsidRDefault="00B60940" w:rsidP="00B60940">
      <w:bookmarkStart w:id="189" w:name="_Hlk59151248"/>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3C13F6">
        <w:t>2.1</w:t>
      </w:r>
      <w:r>
        <w:fldChar w:fldCharType="end"/>
      </w:r>
      <w:r>
        <w:t>).</w:t>
      </w:r>
    </w:p>
    <w:p w14:paraId="3ED5FC1F" w14:textId="3C1CEAED" w:rsidR="00B60940" w:rsidRDefault="00A1041C" w:rsidP="00A1041C">
      <w:pPr>
        <w:pStyle w:val="Caption"/>
      </w:pPr>
      <w:bookmarkStart w:id="190" w:name="_Toc101963867"/>
      <w:bookmarkEnd w:id="189"/>
      <w:r>
        <w:t xml:space="preserve">Table </w:t>
      </w:r>
      <w:fldSimple w:instr=" SEQ Table \* ARABIC ">
        <w:r w:rsidR="003C13F6">
          <w:rPr>
            <w:noProof/>
          </w:rPr>
          <w:t>9</w:t>
        </w:r>
      </w:fldSimple>
      <w:r>
        <w:t xml:space="preserve">. </w:t>
      </w:r>
      <w:r w:rsidR="00B60940">
        <w:t>Coorong habitat evaluation questions and answers. CEW = Commonwealth environmental water, eWater = environmental water.</w:t>
      </w:r>
      <w:bookmarkEnd w:id="190"/>
    </w:p>
    <w:tbl>
      <w:tblPr>
        <w:tblW w:w="48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1530"/>
        <w:gridCol w:w="1530"/>
        <w:gridCol w:w="1530"/>
        <w:gridCol w:w="1530"/>
      </w:tblGrid>
      <w:tr w:rsidR="00B60940" w14:paraId="43827D42" w14:textId="77777777" w:rsidTr="004473EB">
        <w:trPr>
          <w:cantSplit/>
          <w:trHeight w:val="20"/>
          <w:tblHeader/>
        </w:trPr>
        <w:tc>
          <w:tcPr>
            <w:tcW w:w="1516" w:type="pct"/>
            <w:vMerge w:val="restart"/>
            <w:tcBorders>
              <w:top w:val="single" w:sz="4" w:space="0" w:color="auto"/>
              <w:left w:val="single" w:sz="4" w:space="0" w:color="auto"/>
              <w:bottom w:val="single" w:sz="4" w:space="0" w:color="auto"/>
              <w:right w:val="single" w:sz="4" w:space="0" w:color="auto"/>
            </w:tcBorders>
            <w:hideMark/>
          </w:tcPr>
          <w:p w14:paraId="32360E8C" w14:textId="77777777" w:rsidR="00B60940" w:rsidRDefault="00B60940" w:rsidP="004473EB">
            <w:pPr>
              <w:jc w:val="center"/>
              <w:rPr>
                <w:rFonts w:cs="Arial"/>
                <w:b/>
                <w:sz w:val="19"/>
                <w:szCs w:val="19"/>
              </w:rPr>
            </w:pPr>
            <w:bookmarkStart w:id="191" w:name="_Hlk64584639"/>
            <w:r>
              <w:rPr>
                <w:rFonts w:cs="Arial"/>
                <w:b/>
                <w:sz w:val="19"/>
                <w:szCs w:val="19"/>
              </w:rPr>
              <w:t xml:space="preserve">CEWO evaluation questions </w:t>
            </w:r>
          </w:p>
        </w:tc>
        <w:tc>
          <w:tcPr>
            <w:tcW w:w="3484" w:type="pct"/>
            <w:gridSpan w:val="4"/>
            <w:tcBorders>
              <w:top w:val="single" w:sz="4" w:space="0" w:color="auto"/>
              <w:left w:val="single" w:sz="4" w:space="0" w:color="auto"/>
              <w:bottom w:val="single" w:sz="4" w:space="0" w:color="auto"/>
              <w:right w:val="single" w:sz="4" w:space="0" w:color="auto"/>
            </w:tcBorders>
            <w:vAlign w:val="bottom"/>
          </w:tcPr>
          <w:p w14:paraId="5ED8F02B" w14:textId="77777777" w:rsidR="00B60940" w:rsidRDefault="00B60940" w:rsidP="004473EB">
            <w:pPr>
              <w:jc w:val="center"/>
              <w:rPr>
                <w:rFonts w:cs="Arial"/>
                <w:b/>
                <w:sz w:val="19"/>
                <w:szCs w:val="19"/>
              </w:rPr>
            </w:pPr>
            <w:r>
              <w:rPr>
                <w:rFonts w:cs="Arial"/>
                <w:b/>
                <w:sz w:val="19"/>
                <w:szCs w:val="19"/>
              </w:rPr>
              <w:t>Outcomes of CEW delivery</w:t>
            </w:r>
          </w:p>
        </w:tc>
      </w:tr>
      <w:tr w:rsidR="00B60940" w14:paraId="40BD165C" w14:textId="77777777" w:rsidTr="004473EB">
        <w:trPr>
          <w:cantSplit/>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0C2C70" w14:textId="77777777" w:rsidR="00B60940" w:rsidRDefault="00B60940" w:rsidP="004473EB">
            <w:pPr>
              <w:spacing w:before="0" w:after="0" w:line="256" w:lineRule="auto"/>
              <w:jc w:val="left"/>
              <w:rPr>
                <w:rFonts w:cs="Arial"/>
                <w:b/>
                <w:sz w:val="19"/>
                <w:szCs w:val="19"/>
              </w:rPr>
            </w:pPr>
          </w:p>
        </w:tc>
        <w:tc>
          <w:tcPr>
            <w:tcW w:w="871" w:type="pct"/>
            <w:tcBorders>
              <w:top w:val="single" w:sz="4" w:space="0" w:color="auto"/>
              <w:left w:val="single" w:sz="4" w:space="0" w:color="auto"/>
              <w:bottom w:val="single" w:sz="4" w:space="0" w:color="auto"/>
              <w:right w:val="single" w:sz="4" w:space="0" w:color="auto"/>
            </w:tcBorders>
            <w:vAlign w:val="bottom"/>
            <w:hideMark/>
          </w:tcPr>
          <w:p w14:paraId="6E1187E5" w14:textId="77777777" w:rsidR="00B60940" w:rsidRDefault="00B60940" w:rsidP="004473EB">
            <w:pPr>
              <w:jc w:val="center"/>
              <w:rPr>
                <w:rFonts w:cs="Arial"/>
                <w:b/>
                <w:sz w:val="19"/>
                <w:szCs w:val="19"/>
              </w:rPr>
            </w:pPr>
            <w:r>
              <w:rPr>
                <w:rFonts w:cs="Arial"/>
                <w:b/>
                <w:sz w:val="19"/>
                <w:szCs w:val="19"/>
              </w:rPr>
              <w:t>2017-18</w:t>
            </w:r>
          </w:p>
        </w:tc>
        <w:tc>
          <w:tcPr>
            <w:tcW w:w="871" w:type="pct"/>
            <w:tcBorders>
              <w:top w:val="single" w:sz="4" w:space="0" w:color="auto"/>
              <w:left w:val="single" w:sz="4" w:space="0" w:color="auto"/>
              <w:bottom w:val="single" w:sz="4" w:space="0" w:color="auto"/>
              <w:right w:val="single" w:sz="4" w:space="0" w:color="auto"/>
            </w:tcBorders>
            <w:vAlign w:val="bottom"/>
          </w:tcPr>
          <w:p w14:paraId="319759C6" w14:textId="77777777" w:rsidR="00B60940" w:rsidRDefault="00B60940" w:rsidP="004473EB">
            <w:pPr>
              <w:jc w:val="center"/>
              <w:rPr>
                <w:rFonts w:cs="Arial"/>
                <w:b/>
                <w:sz w:val="19"/>
                <w:szCs w:val="19"/>
              </w:rPr>
            </w:pPr>
            <w:r>
              <w:rPr>
                <w:rFonts w:cs="Arial"/>
                <w:b/>
                <w:sz w:val="19"/>
                <w:szCs w:val="19"/>
              </w:rPr>
              <w:t>2018-19</w:t>
            </w:r>
          </w:p>
        </w:tc>
        <w:tc>
          <w:tcPr>
            <w:tcW w:w="871" w:type="pct"/>
            <w:tcBorders>
              <w:top w:val="single" w:sz="4" w:space="0" w:color="auto"/>
              <w:left w:val="single" w:sz="4" w:space="0" w:color="auto"/>
              <w:bottom w:val="single" w:sz="4" w:space="0" w:color="auto"/>
              <w:right w:val="single" w:sz="4" w:space="0" w:color="auto"/>
            </w:tcBorders>
            <w:vAlign w:val="bottom"/>
          </w:tcPr>
          <w:p w14:paraId="165BD2AE" w14:textId="77777777" w:rsidR="00B60940" w:rsidRDefault="00B60940" w:rsidP="004473EB">
            <w:pPr>
              <w:jc w:val="center"/>
              <w:rPr>
                <w:rFonts w:cs="Arial"/>
                <w:b/>
                <w:sz w:val="19"/>
                <w:szCs w:val="19"/>
              </w:rPr>
            </w:pPr>
            <w:r>
              <w:rPr>
                <w:rFonts w:cs="Arial"/>
                <w:b/>
                <w:sz w:val="19"/>
                <w:szCs w:val="19"/>
              </w:rPr>
              <w:t>2019-20</w:t>
            </w:r>
          </w:p>
        </w:tc>
        <w:tc>
          <w:tcPr>
            <w:tcW w:w="871" w:type="pct"/>
            <w:tcBorders>
              <w:top w:val="single" w:sz="4" w:space="0" w:color="auto"/>
              <w:left w:val="single" w:sz="4" w:space="0" w:color="auto"/>
              <w:bottom w:val="single" w:sz="4" w:space="0" w:color="auto"/>
              <w:right w:val="single" w:sz="4" w:space="0" w:color="auto"/>
            </w:tcBorders>
            <w:vAlign w:val="bottom"/>
          </w:tcPr>
          <w:p w14:paraId="5BAE1734" w14:textId="77777777" w:rsidR="00B60940" w:rsidRDefault="00B60940" w:rsidP="004473EB">
            <w:pPr>
              <w:jc w:val="center"/>
              <w:rPr>
                <w:rFonts w:cs="Arial"/>
                <w:b/>
                <w:sz w:val="19"/>
                <w:szCs w:val="19"/>
              </w:rPr>
            </w:pPr>
            <w:r>
              <w:rPr>
                <w:rFonts w:cs="Arial"/>
                <w:b/>
                <w:sz w:val="19"/>
                <w:szCs w:val="19"/>
              </w:rPr>
              <w:t>2020-21</w:t>
            </w:r>
          </w:p>
        </w:tc>
      </w:tr>
      <w:bookmarkEnd w:id="191"/>
      <w:tr w:rsidR="00B60940" w14:paraId="342364CE" w14:textId="77777777" w:rsidTr="004473EB">
        <w:trPr>
          <w:cantSplit/>
          <w:trHeight w:val="818"/>
        </w:trPr>
        <w:tc>
          <w:tcPr>
            <w:tcW w:w="1516" w:type="pct"/>
            <w:tcBorders>
              <w:top w:val="single" w:sz="4" w:space="0" w:color="auto"/>
              <w:left w:val="single" w:sz="4" w:space="0" w:color="auto"/>
              <w:bottom w:val="single" w:sz="4" w:space="0" w:color="auto"/>
              <w:right w:val="single" w:sz="4" w:space="0" w:color="auto"/>
            </w:tcBorders>
            <w:hideMark/>
          </w:tcPr>
          <w:p w14:paraId="310F938D" w14:textId="77777777" w:rsidR="00B60940" w:rsidRDefault="00B60940" w:rsidP="004473EB">
            <w:pPr>
              <w:jc w:val="left"/>
              <w:rPr>
                <w:color w:val="auto"/>
                <w:sz w:val="19"/>
                <w:szCs w:val="19"/>
              </w:rPr>
            </w:pPr>
            <w:r>
              <w:rPr>
                <w:sz w:val="19"/>
                <w:szCs w:val="19"/>
              </w:rPr>
              <w:t xml:space="preserve">What did CEW contribute to improving </w:t>
            </w:r>
            <w:r>
              <w:rPr>
                <w:i/>
                <w:sz w:val="19"/>
                <w:szCs w:val="19"/>
              </w:rPr>
              <w:t>Ruppia tuberosa</w:t>
            </w:r>
            <w:r>
              <w:rPr>
                <w:sz w:val="19"/>
                <w:szCs w:val="19"/>
              </w:rPr>
              <w:t xml:space="preserve"> habitat in the Coorong? </w:t>
            </w:r>
          </w:p>
        </w:tc>
        <w:tc>
          <w:tcPr>
            <w:tcW w:w="3484" w:type="pct"/>
            <w:gridSpan w:val="4"/>
            <w:tcBorders>
              <w:top w:val="single" w:sz="4" w:space="0" w:color="auto"/>
              <w:left w:val="single" w:sz="4" w:space="0" w:color="auto"/>
              <w:bottom w:val="single" w:sz="4" w:space="0" w:color="auto"/>
              <w:right w:val="single" w:sz="4" w:space="0" w:color="auto"/>
            </w:tcBorders>
            <w:shd w:val="clear" w:color="auto" w:fill="70AD47" w:themeFill="accent6"/>
            <w:hideMark/>
          </w:tcPr>
          <w:p w14:paraId="3D9C50AE" w14:textId="77777777" w:rsidR="00B60940" w:rsidRDefault="00B60940" w:rsidP="004473EB">
            <w:pPr>
              <w:jc w:val="left"/>
              <w:rPr>
                <w:sz w:val="19"/>
                <w:szCs w:val="19"/>
              </w:rPr>
            </w:pPr>
            <w:r>
              <w:rPr>
                <w:sz w:val="19"/>
                <w:szCs w:val="19"/>
              </w:rPr>
              <w:t xml:space="preserve">Habitat suitable for overall sexual life-cycle completion of </w:t>
            </w:r>
            <w:r w:rsidRPr="00ED3172">
              <w:rPr>
                <w:i/>
                <w:iCs/>
                <w:sz w:val="19"/>
                <w:szCs w:val="19"/>
              </w:rPr>
              <w:t>Ruppia</w:t>
            </w:r>
            <w:r>
              <w:rPr>
                <w:sz w:val="19"/>
                <w:szCs w:val="19"/>
              </w:rPr>
              <w:t xml:space="preserve"> was significantly improved with eWater (including CEW). A single year with no environmental water did not have a significant impact on the area suitable for overall sexual productivity but the suitable area quickly contracted if CEW or other eWater was not delivered over consecutive years. </w:t>
            </w:r>
          </w:p>
          <w:p w14:paraId="30CFEF7D" w14:textId="38F920A7" w:rsidR="00B60940" w:rsidRDefault="00B60940" w:rsidP="004473EB">
            <w:pPr>
              <w:jc w:val="left"/>
              <w:rPr>
                <w:sz w:val="19"/>
                <w:szCs w:val="19"/>
              </w:rPr>
            </w:pPr>
            <w:r>
              <w:rPr>
                <w:sz w:val="19"/>
                <w:szCs w:val="19"/>
              </w:rPr>
              <w:t xml:space="preserve">Without CEW the area suitable for </w:t>
            </w:r>
            <w:r w:rsidRPr="00525B21">
              <w:rPr>
                <w:i/>
                <w:sz w:val="19"/>
                <w:szCs w:val="19"/>
              </w:rPr>
              <w:t>Ruppia</w:t>
            </w:r>
            <w:r>
              <w:rPr>
                <w:sz w:val="19"/>
                <w:szCs w:val="19"/>
              </w:rPr>
              <w:t xml:space="preserve"> would be </w:t>
            </w:r>
            <w:r w:rsidR="00A7679A">
              <w:rPr>
                <w:sz w:val="19"/>
                <w:szCs w:val="19"/>
              </w:rPr>
              <w:t>44</w:t>
            </w:r>
            <w:r>
              <w:rPr>
                <w:sz w:val="19"/>
                <w:szCs w:val="19"/>
              </w:rPr>
              <w:t>% less after four years than the area of suitable habitat when CEW was delivered. This highlights the importance of eWater to the ecological restoration of the Coorong.</w:t>
            </w:r>
          </w:p>
        </w:tc>
      </w:tr>
      <w:tr w:rsidR="00B60940" w14:paraId="674777F9" w14:textId="77777777" w:rsidTr="00511864">
        <w:trPr>
          <w:cantSplit/>
          <w:trHeight w:val="2970"/>
        </w:trPr>
        <w:tc>
          <w:tcPr>
            <w:tcW w:w="1516" w:type="pct"/>
            <w:tcBorders>
              <w:top w:val="single" w:sz="4" w:space="0" w:color="auto"/>
              <w:left w:val="single" w:sz="4" w:space="0" w:color="auto"/>
              <w:bottom w:val="single" w:sz="4" w:space="0" w:color="auto"/>
              <w:right w:val="single" w:sz="4" w:space="0" w:color="auto"/>
            </w:tcBorders>
            <w:hideMark/>
          </w:tcPr>
          <w:p w14:paraId="4CDEF6DF" w14:textId="77777777" w:rsidR="00B60940" w:rsidRDefault="00B60940" w:rsidP="004473EB">
            <w:pPr>
              <w:jc w:val="left"/>
              <w:rPr>
                <w:color w:val="auto"/>
                <w:sz w:val="19"/>
                <w:szCs w:val="19"/>
              </w:rPr>
            </w:pPr>
            <w:r>
              <w:rPr>
                <w:sz w:val="19"/>
                <w:szCs w:val="19"/>
              </w:rPr>
              <w:t>What did CEW contribute to improving fish habitat in the Coorong?</w:t>
            </w:r>
          </w:p>
        </w:tc>
        <w:tc>
          <w:tcPr>
            <w:tcW w:w="3484" w:type="pct"/>
            <w:gridSpan w:val="4"/>
            <w:tcBorders>
              <w:top w:val="single" w:sz="4" w:space="0" w:color="auto"/>
              <w:left w:val="single" w:sz="4" w:space="0" w:color="auto"/>
              <w:bottom w:val="single" w:sz="4" w:space="0" w:color="auto"/>
              <w:right w:val="single" w:sz="4" w:space="0" w:color="auto"/>
            </w:tcBorders>
            <w:shd w:val="clear" w:color="auto" w:fill="5B9BD5" w:themeFill="accent1"/>
            <w:hideMark/>
          </w:tcPr>
          <w:p w14:paraId="20B1A028" w14:textId="2B96A702" w:rsidR="00B60940" w:rsidRDefault="00B60940" w:rsidP="004473EB">
            <w:pPr>
              <w:jc w:val="left"/>
              <w:rPr>
                <w:sz w:val="19"/>
                <w:szCs w:val="19"/>
              </w:rPr>
            </w:pPr>
            <w:r>
              <w:rPr>
                <w:sz w:val="19"/>
                <w:szCs w:val="19"/>
              </w:rPr>
              <w:t>eWater</w:t>
            </w:r>
            <w:r w:rsidRPr="0098371B">
              <w:rPr>
                <w:sz w:val="19"/>
                <w:szCs w:val="19"/>
              </w:rPr>
              <w:t xml:space="preserve"> led to fresher conditions in the Coorong and an expansion of suitable fish habitat area throughout the year. Without eWater</w:t>
            </w:r>
            <w:r w:rsidR="00A459BF">
              <w:rPr>
                <w:sz w:val="19"/>
                <w:szCs w:val="19"/>
              </w:rPr>
              <w:t xml:space="preserve"> (or CEW)</w:t>
            </w:r>
            <w:r w:rsidR="00944808">
              <w:rPr>
                <w:sz w:val="19"/>
                <w:szCs w:val="19"/>
              </w:rPr>
              <w:t xml:space="preserve"> from 2017-18 to 2020-21</w:t>
            </w:r>
            <w:r>
              <w:rPr>
                <w:sz w:val="19"/>
                <w:szCs w:val="19"/>
              </w:rPr>
              <w:t>,</w:t>
            </w:r>
            <w:r w:rsidRPr="0098371B">
              <w:rPr>
                <w:sz w:val="19"/>
                <w:szCs w:val="19"/>
              </w:rPr>
              <w:t xml:space="preserve"> </w:t>
            </w:r>
            <w:r w:rsidR="00944808" w:rsidRPr="00944808">
              <w:rPr>
                <w:sz w:val="19"/>
                <w:szCs w:val="19"/>
              </w:rPr>
              <w:t>the area of suitable habitat for mulloway, congolli and smallmouth hardyhead would have declined by 39%</w:t>
            </w:r>
            <w:r w:rsidR="00A459BF">
              <w:rPr>
                <w:sz w:val="19"/>
                <w:szCs w:val="19"/>
              </w:rPr>
              <w:t xml:space="preserve"> (34%)</w:t>
            </w:r>
            <w:r w:rsidR="00944808" w:rsidRPr="00944808">
              <w:rPr>
                <w:sz w:val="19"/>
                <w:szCs w:val="19"/>
              </w:rPr>
              <w:t>, 42%</w:t>
            </w:r>
            <w:r w:rsidR="00A459BF">
              <w:rPr>
                <w:sz w:val="19"/>
                <w:szCs w:val="19"/>
              </w:rPr>
              <w:t xml:space="preserve"> (39%)</w:t>
            </w:r>
            <w:r w:rsidR="00944808" w:rsidRPr="00944808">
              <w:rPr>
                <w:sz w:val="19"/>
                <w:szCs w:val="19"/>
              </w:rPr>
              <w:t xml:space="preserve"> and 45%</w:t>
            </w:r>
            <w:r w:rsidR="00A459BF">
              <w:rPr>
                <w:sz w:val="19"/>
                <w:szCs w:val="19"/>
              </w:rPr>
              <w:t xml:space="preserve"> (42%)</w:t>
            </w:r>
            <w:r w:rsidR="00944808" w:rsidRPr="00944808">
              <w:rPr>
                <w:sz w:val="19"/>
                <w:szCs w:val="19"/>
              </w:rPr>
              <w:t xml:space="preserve"> (modelled) respectively, in 2020-21. </w:t>
            </w:r>
            <w:r w:rsidRPr="0098371B">
              <w:rPr>
                <w:sz w:val="19"/>
                <w:szCs w:val="19"/>
              </w:rPr>
              <w:t>A similar trend is evident for black bream, Tamar goby, greenback flounder</w:t>
            </w:r>
            <w:r w:rsidR="00944808">
              <w:rPr>
                <w:sz w:val="19"/>
                <w:szCs w:val="19"/>
              </w:rPr>
              <w:t xml:space="preserve"> and</w:t>
            </w:r>
            <w:r w:rsidRPr="0098371B">
              <w:rPr>
                <w:sz w:val="19"/>
                <w:szCs w:val="19"/>
              </w:rPr>
              <w:t xml:space="preserve"> yelloweye mullet.</w:t>
            </w:r>
            <w:r>
              <w:rPr>
                <w:sz w:val="19"/>
                <w:szCs w:val="19"/>
              </w:rPr>
              <w:t xml:space="preserve"> </w:t>
            </w:r>
          </w:p>
          <w:p w14:paraId="5959DB86" w14:textId="77777777" w:rsidR="00B60940" w:rsidRPr="0098371B" w:rsidRDefault="00B60940" w:rsidP="004473EB">
            <w:pPr>
              <w:jc w:val="left"/>
              <w:rPr>
                <w:sz w:val="19"/>
                <w:szCs w:val="19"/>
              </w:rPr>
            </w:pPr>
            <w:r>
              <w:rPr>
                <w:sz w:val="19"/>
                <w:szCs w:val="19"/>
              </w:rPr>
              <w:t>A major expansion of suitable habitat into the south Coorong is critically important to restore biodiversity in this recovering ecosystem.</w:t>
            </w:r>
          </w:p>
        </w:tc>
      </w:tr>
    </w:tbl>
    <w:p w14:paraId="3BD2728F" w14:textId="77777777" w:rsidR="00B60940" w:rsidRPr="00AE4E36" w:rsidRDefault="00B60940" w:rsidP="00B60940">
      <w:pPr>
        <w:spacing w:before="0" w:after="0" w:line="240" w:lineRule="auto"/>
        <w:jc w:val="left"/>
        <w:rPr>
          <w:color w:val="auto"/>
          <w:kern w:val="0"/>
          <w:sz w:val="19"/>
          <w:szCs w:val="19"/>
          <w:lang w:bidi="en-US"/>
        </w:rPr>
      </w:pPr>
    </w:p>
    <w:p w14:paraId="1381AF65" w14:textId="77777777" w:rsidR="00B60940" w:rsidRDefault="00B60940" w:rsidP="00B60940">
      <w:pPr>
        <w:spacing w:before="0" w:after="0" w:line="240" w:lineRule="auto"/>
        <w:jc w:val="left"/>
        <w:rPr>
          <w:color w:val="auto"/>
          <w:kern w:val="0"/>
          <w:sz w:val="19"/>
          <w:szCs w:val="19"/>
          <w:lang w:val="en-US" w:bidi="en-US"/>
        </w:rPr>
      </w:pPr>
      <w:r>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B60940" w14:paraId="36039926" w14:textId="77777777" w:rsidTr="004473EB">
        <w:tc>
          <w:tcPr>
            <w:tcW w:w="222" w:type="dxa"/>
            <w:shd w:val="clear" w:color="auto" w:fill="D9D9D9" w:themeFill="background1" w:themeFillShade="D9"/>
          </w:tcPr>
          <w:p w14:paraId="71326831" w14:textId="77777777" w:rsidR="00B60940" w:rsidRDefault="00B60940" w:rsidP="004473EB">
            <w:pPr>
              <w:rPr>
                <w:sz w:val="19"/>
                <w:szCs w:val="19"/>
              </w:rPr>
            </w:pPr>
          </w:p>
        </w:tc>
        <w:tc>
          <w:tcPr>
            <w:tcW w:w="1066" w:type="dxa"/>
            <w:vAlign w:val="center"/>
            <w:hideMark/>
          </w:tcPr>
          <w:p w14:paraId="35D409FA" w14:textId="77777777" w:rsidR="00B60940" w:rsidRDefault="00B60940" w:rsidP="004473EB">
            <w:pPr>
              <w:rPr>
                <w:sz w:val="19"/>
                <w:szCs w:val="19"/>
              </w:rPr>
            </w:pPr>
            <w:r>
              <w:rPr>
                <w:sz w:val="19"/>
                <w:szCs w:val="19"/>
              </w:rPr>
              <w:t>Unknown</w:t>
            </w:r>
          </w:p>
        </w:tc>
        <w:tc>
          <w:tcPr>
            <w:tcW w:w="222" w:type="dxa"/>
            <w:shd w:val="clear" w:color="auto" w:fill="FF0000"/>
            <w:vAlign w:val="center"/>
          </w:tcPr>
          <w:p w14:paraId="228F7E22" w14:textId="77777777" w:rsidR="00B60940" w:rsidRDefault="00B60940" w:rsidP="004473EB">
            <w:pPr>
              <w:rPr>
                <w:sz w:val="19"/>
                <w:szCs w:val="19"/>
              </w:rPr>
            </w:pPr>
          </w:p>
        </w:tc>
        <w:tc>
          <w:tcPr>
            <w:tcW w:w="1069" w:type="dxa"/>
            <w:vAlign w:val="center"/>
            <w:hideMark/>
          </w:tcPr>
          <w:p w14:paraId="75E6AEAC" w14:textId="77777777" w:rsidR="00B60940" w:rsidRDefault="00B60940" w:rsidP="004473EB">
            <w:pPr>
              <w:rPr>
                <w:sz w:val="19"/>
                <w:szCs w:val="19"/>
              </w:rPr>
            </w:pPr>
            <w:r>
              <w:rPr>
                <w:sz w:val="19"/>
                <w:szCs w:val="19"/>
              </w:rPr>
              <w:t>Negative</w:t>
            </w:r>
          </w:p>
        </w:tc>
        <w:tc>
          <w:tcPr>
            <w:tcW w:w="222" w:type="dxa"/>
            <w:shd w:val="clear" w:color="auto" w:fill="E2EFD9" w:themeFill="accent6" w:themeFillTint="33"/>
            <w:vAlign w:val="center"/>
          </w:tcPr>
          <w:p w14:paraId="2DC7F1E6" w14:textId="77777777" w:rsidR="00B60940" w:rsidRDefault="00B60940" w:rsidP="004473EB">
            <w:pPr>
              <w:rPr>
                <w:sz w:val="19"/>
                <w:szCs w:val="19"/>
              </w:rPr>
            </w:pPr>
          </w:p>
        </w:tc>
        <w:tc>
          <w:tcPr>
            <w:tcW w:w="1704" w:type="dxa"/>
            <w:vAlign w:val="center"/>
            <w:hideMark/>
          </w:tcPr>
          <w:p w14:paraId="6A97D04E" w14:textId="77777777" w:rsidR="00B60940" w:rsidRDefault="00B60940" w:rsidP="004473EB">
            <w:pPr>
              <w:rPr>
                <w:sz w:val="19"/>
                <w:szCs w:val="19"/>
              </w:rPr>
            </w:pPr>
            <w:r>
              <w:rPr>
                <w:sz w:val="19"/>
                <w:szCs w:val="19"/>
              </w:rPr>
              <w:t>None/negligible</w:t>
            </w:r>
          </w:p>
        </w:tc>
        <w:tc>
          <w:tcPr>
            <w:tcW w:w="222" w:type="dxa"/>
            <w:shd w:val="clear" w:color="auto" w:fill="A8D08D" w:themeFill="accent6" w:themeFillTint="99"/>
            <w:vAlign w:val="center"/>
          </w:tcPr>
          <w:p w14:paraId="5D1F32AD" w14:textId="77777777" w:rsidR="00B60940" w:rsidRDefault="00B60940" w:rsidP="004473EB">
            <w:pPr>
              <w:rPr>
                <w:sz w:val="19"/>
                <w:szCs w:val="19"/>
              </w:rPr>
            </w:pPr>
          </w:p>
        </w:tc>
        <w:tc>
          <w:tcPr>
            <w:tcW w:w="727" w:type="dxa"/>
            <w:vAlign w:val="center"/>
            <w:hideMark/>
          </w:tcPr>
          <w:p w14:paraId="10E7F7BC" w14:textId="77777777" w:rsidR="00B60940" w:rsidRDefault="00B60940" w:rsidP="004473EB">
            <w:pPr>
              <w:rPr>
                <w:sz w:val="19"/>
                <w:szCs w:val="19"/>
              </w:rPr>
            </w:pPr>
            <w:r>
              <w:rPr>
                <w:sz w:val="19"/>
                <w:szCs w:val="19"/>
              </w:rPr>
              <w:t>Minor</w:t>
            </w:r>
          </w:p>
        </w:tc>
        <w:tc>
          <w:tcPr>
            <w:tcW w:w="222" w:type="dxa"/>
            <w:shd w:val="clear" w:color="auto" w:fill="70AD47" w:themeFill="accent6"/>
            <w:vAlign w:val="center"/>
          </w:tcPr>
          <w:p w14:paraId="2E179574" w14:textId="77777777" w:rsidR="00B60940" w:rsidRDefault="00B60940" w:rsidP="004473EB">
            <w:pPr>
              <w:rPr>
                <w:sz w:val="19"/>
                <w:szCs w:val="19"/>
              </w:rPr>
            </w:pPr>
          </w:p>
        </w:tc>
        <w:tc>
          <w:tcPr>
            <w:tcW w:w="1144" w:type="dxa"/>
            <w:vAlign w:val="center"/>
            <w:hideMark/>
          </w:tcPr>
          <w:p w14:paraId="59CD58C8" w14:textId="77777777" w:rsidR="00B60940" w:rsidRDefault="00B60940" w:rsidP="004473EB">
            <w:pPr>
              <w:rPr>
                <w:sz w:val="19"/>
                <w:szCs w:val="19"/>
              </w:rPr>
            </w:pPr>
            <w:r>
              <w:rPr>
                <w:sz w:val="19"/>
                <w:szCs w:val="19"/>
              </w:rPr>
              <w:t>Moderate</w:t>
            </w:r>
          </w:p>
        </w:tc>
        <w:tc>
          <w:tcPr>
            <w:tcW w:w="222" w:type="dxa"/>
            <w:shd w:val="clear" w:color="auto" w:fill="5B9BD5" w:themeFill="accent1"/>
          </w:tcPr>
          <w:p w14:paraId="35D3E219" w14:textId="77777777" w:rsidR="00B60940" w:rsidRDefault="00B60940" w:rsidP="004473EB">
            <w:pPr>
              <w:rPr>
                <w:sz w:val="19"/>
                <w:szCs w:val="19"/>
              </w:rPr>
            </w:pPr>
          </w:p>
        </w:tc>
        <w:tc>
          <w:tcPr>
            <w:tcW w:w="236" w:type="dxa"/>
            <w:vAlign w:val="center"/>
            <w:hideMark/>
          </w:tcPr>
          <w:p w14:paraId="1C95B313" w14:textId="77777777" w:rsidR="00B60940" w:rsidRDefault="00B60940" w:rsidP="004473EB">
            <w:pPr>
              <w:jc w:val="left"/>
              <w:rPr>
                <w:sz w:val="19"/>
                <w:szCs w:val="19"/>
              </w:rPr>
            </w:pPr>
            <w:r>
              <w:rPr>
                <w:sz w:val="19"/>
                <w:szCs w:val="19"/>
              </w:rPr>
              <w:t>Substantial</w:t>
            </w:r>
          </w:p>
        </w:tc>
      </w:tr>
    </w:tbl>
    <w:p w14:paraId="431717F4" w14:textId="77777777" w:rsidR="00B60940" w:rsidRDefault="00B60940" w:rsidP="00B60940"/>
    <w:p w14:paraId="67FEBA9D" w14:textId="77777777" w:rsidR="00B60940" w:rsidRDefault="00B60940" w:rsidP="00B60940">
      <w:pPr>
        <w:pStyle w:val="Heading3"/>
      </w:pPr>
      <w:bookmarkStart w:id="192" w:name="_Hlk96029461"/>
      <w:r w:rsidRPr="00A229CC">
        <w:t>Discussion</w:t>
      </w:r>
    </w:p>
    <w:p w14:paraId="324A041C" w14:textId="43DF43F7" w:rsidR="00B60940" w:rsidRDefault="00B60940" w:rsidP="00B60940">
      <w:r>
        <w:rPr>
          <w:lang w:eastAsia="en-AU"/>
        </w:rPr>
        <w:t>Salinity is a key determinant of habitat suitability in the Coorong, and</w:t>
      </w:r>
      <w:r>
        <w:t xml:space="preserve"> is primarily a function of riverine inflows, seawater ingress and tidal movement. When barrage flows are low, seawater enters the Murray Mouth and more salt is then transported to the Coorong. It is evident that environmental water is critical for maintaining appropriate salinity in the Coorong and maintaining suitable habitat. If Commonwealth environmental water had not been delivered in 2020-21 (No CEW 1 year scenario), an additional </w:t>
      </w:r>
      <w:r w:rsidR="00092564">
        <w:t>790,203 tonnes</w:t>
      </w:r>
      <w:r>
        <w:t xml:space="preserve"> of salt would have accumulated in the South Lagoon (see </w:t>
      </w:r>
      <w:r w:rsidR="00A1041C">
        <w:fldChar w:fldCharType="begin"/>
      </w:r>
      <w:r w:rsidR="00A1041C">
        <w:instrText xml:space="preserve"> REF _Ref96589963 \h </w:instrText>
      </w:r>
      <w:r w:rsidR="00A1041C">
        <w:fldChar w:fldCharType="separate"/>
      </w:r>
      <w:r w:rsidR="003C13F6">
        <w:t xml:space="preserve">Table </w:t>
      </w:r>
      <w:r w:rsidR="003C13F6">
        <w:rPr>
          <w:noProof/>
        </w:rPr>
        <w:t>5</w:t>
      </w:r>
      <w:r w:rsidR="00A1041C">
        <w:fldChar w:fldCharType="end"/>
      </w:r>
      <w:r>
        <w:t>).</w:t>
      </w:r>
    </w:p>
    <w:bookmarkEnd w:id="192"/>
    <w:p w14:paraId="673F250F" w14:textId="7F8B078B" w:rsidR="00ED289A" w:rsidRDefault="00ED289A" w:rsidP="00ED289A">
      <w:pPr>
        <w:rPr>
          <w:lang w:eastAsia="en-AU"/>
        </w:rPr>
      </w:pPr>
      <w:r>
        <w:lastRenderedPageBreak/>
        <w:t xml:space="preserve">The area of suitable habitat for </w:t>
      </w:r>
      <w:r w:rsidRPr="00ED3172">
        <w:rPr>
          <w:i/>
          <w:iCs/>
        </w:rPr>
        <w:t>Ruppia</w:t>
      </w:r>
      <w:r>
        <w:t xml:space="preserve"> sexual reproduction increased through the three-year period (January 2018</w:t>
      </w:r>
      <w:r>
        <w:rPr>
          <w:rFonts w:ascii="Calibri" w:hAnsi="Calibri" w:cs="Calibri"/>
        </w:rPr>
        <w:t>–</w:t>
      </w:r>
      <w:r>
        <w:t>December 2020) from approximately 11 to 20 km</w:t>
      </w:r>
      <w:r>
        <w:rPr>
          <w:szCs w:val="21"/>
          <w:vertAlign w:val="superscript"/>
        </w:rPr>
        <w:t>2</w:t>
      </w:r>
      <w:r>
        <w:rPr>
          <w:szCs w:val="21"/>
        </w:rPr>
        <w:t>,</w:t>
      </w:r>
      <w:r>
        <w:t xml:space="preserve"> </w:t>
      </w:r>
      <w:r>
        <w:rPr>
          <w:lang w:eastAsia="en-AU"/>
        </w:rPr>
        <w:t xml:space="preserve">largely attributable to an anticipated improvement in flowering success. The salinity at the commencement of the simulation is likely to have an impact on the habitat suitability area. The large flows in 2016-17 would have ‘reset’ salinity in the Coorong which progressively became more saline moving the salinity to above the minimum threshold ranges set for habitat suitability and creating suitable conditions. Without additional environmental water, this return above the minimum salinity would have in fact happened quicker, hwoever, care needs to be taken when interpreting this result as prolonged conditions with no barrage flow are detrimental to the system in the longer term as conditions quickly go above the maximum tolerance. The key finding in this case is that the habitat suitability is highly dependent on the antecedent flow. </w:t>
      </w:r>
    </w:p>
    <w:p w14:paraId="1296C19B" w14:textId="1575C579" w:rsidR="00B60940" w:rsidRDefault="00B60940" w:rsidP="00B60940">
      <w:pPr>
        <w:rPr>
          <w:lang w:eastAsia="en-AU"/>
        </w:rPr>
      </w:pPr>
      <w:r>
        <w:rPr>
          <w:lang w:eastAsia="en-AU"/>
        </w:rPr>
        <w:t xml:space="preserve">The comparison of the overall area of habitat for </w:t>
      </w:r>
      <w:r w:rsidRPr="00AE2297">
        <w:rPr>
          <w:i/>
          <w:iCs/>
          <w:lang w:eastAsia="en-AU"/>
        </w:rPr>
        <w:t>Ruppia</w:t>
      </w:r>
      <w:r>
        <w:rPr>
          <w:lang w:eastAsia="en-AU"/>
        </w:rPr>
        <w:t xml:space="preserve">, </w:t>
      </w:r>
      <w:r w:rsidR="003201AF">
        <w:rPr>
          <w:lang w:eastAsia="en-AU"/>
        </w:rPr>
        <w:t xml:space="preserve">based on </w:t>
      </w:r>
      <w:r w:rsidR="002B5BA1">
        <w:rPr>
          <w:lang w:eastAsia="en-AU"/>
        </w:rPr>
        <w:t xml:space="preserve">the </w:t>
      </w:r>
      <w:r>
        <w:rPr>
          <w:lang w:eastAsia="en-AU"/>
        </w:rPr>
        <w:t>complet</w:t>
      </w:r>
      <w:r w:rsidR="002B5BA1">
        <w:rPr>
          <w:lang w:eastAsia="en-AU"/>
        </w:rPr>
        <w:t>ion of</w:t>
      </w:r>
      <w:r>
        <w:rPr>
          <w:lang w:eastAsia="en-AU"/>
        </w:rPr>
        <w:t xml:space="preserve"> a full sexual reproduction life-cycle, </w:t>
      </w:r>
      <w:r w:rsidR="002B5BA1">
        <w:rPr>
          <w:lang w:eastAsia="en-AU"/>
        </w:rPr>
        <w:t xml:space="preserve">indicated that without Commonwealth environmental water, </w:t>
      </w:r>
      <w:r w:rsidR="003201AF">
        <w:rPr>
          <w:lang w:eastAsia="en-AU"/>
        </w:rPr>
        <w:t>there</w:t>
      </w:r>
      <w:r w:rsidR="002B5BA1">
        <w:rPr>
          <w:lang w:eastAsia="en-AU"/>
        </w:rPr>
        <w:t xml:space="preserve"> would have</w:t>
      </w:r>
      <w:r w:rsidR="003201AF">
        <w:rPr>
          <w:lang w:eastAsia="en-AU"/>
        </w:rPr>
        <w:t xml:space="preserve"> been a</w:t>
      </w:r>
      <w:r w:rsidR="002B5BA1">
        <w:rPr>
          <w:lang w:eastAsia="en-AU"/>
        </w:rPr>
        <w:t xml:space="preserve"> </w:t>
      </w:r>
      <w:r w:rsidR="003201AF">
        <w:rPr>
          <w:lang w:eastAsia="en-AU"/>
        </w:rPr>
        <w:t xml:space="preserve">44% reduction in habitat area </w:t>
      </w:r>
      <w:r>
        <w:rPr>
          <w:lang w:eastAsia="en-AU"/>
        </w:rPr>
        <w:t>in the calendar year 2020</w:t>
      </w:r>
      <w:r w:rsidR="002B5BA1">
        <w:rPr>
          <w:lang w:eastAsia="en-AU"/>
        </w:rPr>
        <w:t>.</w:t>
      </w:r>
      <w:r>
        <w:rPr>
          <w:lang w:eastAsia="en-AU"/>
        </w:rPr>
        <w:t xml:space="preserve"> </w:t>
      </w:r>
      <w:r w:rsidR="002B5BA1">
        <w:rPr>
          <w:lang w:eastAsia="en-AU"/>
        </w:rPr>
        <w:t>The main reduction</w:t>
      </w:r>
      <w:r>
        <w:rPr>
          <w:lang w:eastAsia="en-AU"/>
        </w:rPr>
        <w:t xml:space="preserve"> appears to be </w:t>
      </w:r>
      <w:r w:rsidR="002B5BA1">
        <w:rPr>
          <w:lang w:eastAsia="en-AU"/>
        </w:rPr>
        <w:t xml:space="preserve">driven by </w:t>
      </w:r>
      <w:r>
        <w:rPr>
          <w:lang w:eastAsia="en-AU"/>
        </w:rPr>
        <w:t>the area suitable for successful flowering (</w:t>
      </w:r>
      <w:r w:rsidR="006F0025">
        <w:rPr>
          <w:lang w:eastAsia="en-AU"/>
        </w:rPr>
        <w:fldChar w:fldCharType="begin"/>
      </w:r>
      <w:r w:rsidR="006F0025">
        <w:rPr>
          <w:lang w:eastAsia="en-AU"/>
        </w:rPr>
        <w:instrText xml:space="preserve"> REF _Ref96529765 \h </w:instrText>
      </w:r>
      <w:r w:rsidR="006F0025">
        <w:rPr>
          <w:lang w:eastAsia="en-AU"/>
        </w:rPr>
      </w:r>
      <w:r w:rsidR="006F0025">
        <w:rPr>
          <w:lang w:eastAsia="en-AU"/>
        </w:rPr>
        <w:fldChar w:fldCharType="separate"/>
      </w:r>
      <w:r w:rsidR="003C13F6">
        <w:t xml:space="preserve">Figure </w:t>
      </w:r>
      <w:r w:rsidR="003C13F6">
        <w:rPr>
          <w:noProof/>
        </w:rPr>
        <w:t>29</w:t>
      </w:r>
      <w:r w:rsidR="006F0025">
        <w:rPr>
          <w:lang w:eastAsia="en-AU"/>
        </w:rPr>
        <w:fldChar w:fldCharType="end"/>
      </w:r>
      <w:r>
        <w:rPr>
          <w:lang w:eastAsia="en-AU"/>
        </w:rPr>
        <w:t xml:space="preserve">). It is evident from these modelling scenarios that environmental water is critical for </w:t>
      </w:r>
      <w:r w:rsidRPr="00525B21">
        <w:rPr>
          <w:i/>
          <w:lang w:eastAsia="en-AU"/>
        </w:rPr>
        <w:t>Ruppia</w:t>
      </w:r>
      <w:r>
        <w:rPr>
          <w:lang w:eastAsia="en-AU"/>
        </w:rPr>
        <w:t xml:space="preserve"> reproductive success in the South Lagoon of the Coorong.</w:t>
      </w:r>
    </w:p>
    <w:p w14:paraId="3C8E089D" w14:textId="488A9AEC" w:rsidR="00B60940" w:rsidRDefault="00B60940" w:rsidP="00B60940">
      <w:pPr>
        <w:rPr>
          <w:lang w:eastAsia="en-AU"/>
        </w:rPr>
      </w:pPr>
      <w:r w:rsidRPr="00E016ED">
        <w:rPr>
          <w:lang w:eastAsia="en-AU"/>
        </w:rPr>
        <w:t>The estuarine fish species that inhabit the Coorong vary slightly in their tolerance to salinity with yelloweye mullet, congolli and smallmouth hardyhead able to tolerate more saline conditions</w:t>
      </w:r>
      <w:r w:rsidR="003201AF">
        <w:rPr>
          <w:lang w:eastAsia="en-AU"/>
        </w:rPr>
        <w:t xml:space="preserve"> (McNeil </w:t>
      </w:r>
      <w:r w:rsidR="003201AF" w:rsidRPr="003201AF">
        <w:rPr>
          <w:i/>
          <w:iCs/>
          <w:lang w:eastAsia="en-AU"/>
        </w:rPr>
        <w:t>et al.</w:t>
      </w:r>
      <w:r w:rsidR="003201AF">
        <w:rPr>
          <w:lang w:eastAsia="en-AU"/>
        </w:rPr>
        <w:t xml:space="preserve"> 2013)</w:t>
      </w:r>
      <w:r w:rsidRPr="00E016ED">
        <w:rPr>
          <w:lang w:eastAsia="en-AU"/>
        </w:rPr>
        <w:t>.</w:t>
      </w:r>
      <w:r>
        <w:rPr>
          <w:lang w:eastAsia="en-AU"/>
        </w:rPr>
        <w:t xml:space="preserve"> Fish differ from </w:t>
      </w:r>
      <w:r w:rsidRPr="000805C8">
        <w:rPr>
          <w:i/>
          <w:iCs/>
          <w:lang w:eastAsia="en-AU"/>
        </w:rPr>
        <w:t>Ruppia</w:t>
      </w:r>
      <w:r>
        <w:rPr>
          <w:lang w:eastAsia="en-AU"/>
        </w:rPr>
        <w:t xml:space="preserve"> in that they can move in response to changing salinity and habitat suitability. It is generally considered advantageous to have a greater area of habitat with suitable water quality (e.g. salinity) and abundant food resources to support the maintenance of fish populations. Estuaries are important feeding, spawning, nursery and refuge grounds for many estuarine</w:t>
      </w:r>
      <w:r w:rsidR="003201AF">
        <w:rPr>
          <w:lang w:eastAsia="en-AU"/>
        </w:rPr>
        <w:t>-</w:t>
      </w:r>
      <w:r>
        <w:rPr>
          <w:lang w:eastAsia="en-AU"/>
        </w:rPr>
        <w:t xml:space="preserve">dependent fish species (Bice </w:t>
      </w:r>
      <w:r w:rsidRPr="00313918">
        <w:rPr>
          <w:i/>
          <w:iCs/>
          <w:lang w:eastAsia="en-AU"/>
        </w:rPr>
        <w:t>et al.</w:t>
      </w:r>
      <w:r>
        <w:rPr>
          <w:lang w:eastAsia="en-AU"/>
        </w:rPr>
        <w:t xml:space="preserve"> 2018). Without environmental water, fish habitat contracts quickly and significantly. Even after the high flow year in 2016-17, if there was no environmental water in 2017-18, significant habitat contraction would have occurred. As mulloway and Tamar goby are less tolerant to high salinities and thus have the smallest area of suitable habitat, </w:t>
      </w:r>
      <w:r w:rsidR="00C66021">
        <w:rPr>
          <w:lang w:eastAsia="en-AU"/>
        </w:rPr>
        <w:t xml:space="preserve">and thus </w:t>
      </w:r>
      <w:r>
        <w:rPr>
          <w:lang w:eastAsia="en-AU"/>
        </w:rPr>
        <w:t>th</w:t>
      </w:r>
      <w:r w:rsidR="00C66021">
        <w:rPr>
          <w:lang w:eastAsia="en-AU"/>
        </w:rPr>
        <w:t>eir habitat</w:t>
      </w:r>
      <w:r>
        <w:rPr>
          <w:lang w:eastAsia="en-AU"/>
        </w:rPr>
        <w:t xml:space="preserve"> contraction would have the most profound impact on these species, followed by greenback flounder</w:t>
      </w:r>
      <w:r w:rsidR="00C66021">
        <w:rPr>
          <w:lang w:eastAsia="en-AU"/>
        </w:rPr>
        <w:t>,</w:t>
      </w:r>
      <w:r>
        <w:rPr>
          <w:lang w:eastAsia="en-AU"/>
        </w:rPr>
        <w:t xml:space="preserve"> </w:t>
      </w:r>
      <w:r w:rsidR="00C66021">
        <w:rPr>
          <w:lang w:eastAsia="en-AU"/>
        </w:rPr>
        <w:t xml:space="preserve">black bream </w:t>
      </w:r>
      <w:r>
        <w:rPr>
          <w:lang w:eastAsia="en-AU"/>
        </w:rPr>
        <w:t xml:space="preserve">and yelloweye mullet. </w:t>
      </w:r>
      <w:r w:rsidR="00BA6306">
        <w:rPr>
          <w:lang w:eastAsia="en-AU"/>
        </w:rPr>
        <w:t xml:space="preserve">Even </w:t>
      </w:r>
      <w:r>
        <w:rPr>
          <w:lang w:eastAsia="en-AU"/>
        </w:rPr>
        <w:t>for the more sal</w:t>
      </w:r>
      <w:r w:rsidR="0009777C">
        <w:rPr>
          <w:lang w:eastAsia="en-AU"/>
        </w:rPr>
        <w:t>t-</w:t>
      </w:r>
      <w:r>
        <w:rPr>
          <w:lang w:eastAsia="en-AU"/>
        </w:rPr>
        <w:t>tolerant congolli and smallmouth hardyhead</w:t>
      </w:r>
      <w:r w:rsidR="00BA6306">
        <w:rPr>
          <w:lang w:eastAsia="en-AU"/>
        </w:rPr>
        <w:t xml:space="preserve">, the reduction in their suitable habitat areas was substantial because without environmental water, a large area in the South Lagoon would have salinities beyond their tolerance thresholds. </w:t>
      </w:r>
      <w:r>
        <w:rPr>
          <w:lang w:eastAsia="en-AU"/>
        </w:rPr>
        <w:t xml:space="preserve"> Consecutive years of no environmental water reduced suitable fish habitat by </w:t>
      </w:r>
      <w:r w:rsidR="00944808">
        <w:rPr>
          <w:lang w:eastAsia="en-AU"/>
        </w:rPr>
        <w:t>33</w:t>
      </w:r>
      <w:r w:rsidR="00944808">
        <w:rPr>
          <w:rFonts w:ascii="Calibri" w:hAnsi="Calibri" w:cs="Calibri"/>
          <w:lang w:eastAsia="en-AU"/>
        </w:rPr>
        <w:t>–</w:t>
      </w:r>
      <w:r>
        <w:rPr>
          <w:lang w:eastAsia="en-AU"/>
        </w:rPr>
        <w:t>45% within four years. In the scenario with no environmental water (</w:t>
      </w:r>
      <w:r w:rsidR="0009777C">
        <w:rPr>
          <w:lang w:eastAsia="en-AU"/>
        </w:rPr>
        <w:fldChar w:fldCharType="begin"/>
      </w:r>
      <w:r w:rsidR="0009777C">
        <w:rPr>
          <w:lang w:eastAsia="en-AU"/>
        </w:rPr>
        <w:instrText xml:space="preserve"> REF _Ref96529812 \h </w:instrText>
      </w:r>
      <w:r w:rsidR="0009777C">
        <w:rPr>
          <w:lang w:eastAsia="en-AU"/>
        </w:rPr>
      </w:r>
      <w:r w:rsidR="0009777C">
        <w:rPr>
          <w:lang w:eastAsia="en-AU"/>
        </w:rPr>
        <w:fldChar w:fldCharType="separate"/>
      </w:r>
      <w:r w:rsidR="003C13F6">
        <w:t xml:space="preserve">Figure </w:t>
      </w:r>
      <w:r w:rsidR="003C13F6">
        <w:rPr>
          <w:noProof/>
        </w:rPr>
        <w:t>30</w:t>
      </w:r>
      <w:r w:rsidR="0009777C">
        <w:rPr>
          <w:lang w:eastAsia="en-AU"/>
        </w:rPr>
        <w:fldChar w:fldCharType="end"/>
      </w:r>
      <w:r>
        <w:rPr>
          <w:lang w:eastAsia="en-AU"/>
        </w:rPr>
        <w:t>)</w:t>
      </w:r>
      <w:r w:rsidR="00BA6306">
        <w:rPr>
          <w:lang w:eastAsia="en-AU"/>
        </w:rPr>
        <w:t>,</w:t>
      </w:r>
      <w:r>
        <w:rPr>
          <w:lang w:eastAsia="en-AU"/>
        </w:rPr>
        <w:t xml:space="preserve"> it is evident that the greatest contraction in habitat occurs between 2018-19 and 2019-20, whereas the 2020-21 period shows a smaller contraction for all species except smallmouth hardyhead and congolli. </w:t>
      </w:r>
    </w:p>
    <w:p w14:paraId="2FED3671" w14:textId="77777777" w:rsidR="00B60940" w:rsidRDefault="00B60940" w:rsidP="00B60940">
      <w:pPr>
        <w:pStyle w:val="Heading3"/>
      </w:pPr>
      <w:r>
        <w:t>Management implications</w:t>
      </w:r>
    </w:p>
    <w:p w14:paraId="67631ACE" w14:textId="7C28D83B" w:rsidR="00ED289A" w:rsidRDefault="00ED289A" w:rsidP="00ED289A">
      <w:pPr>
        <w:rPr>
          <w:lang w:eastAsia="en-AU"/>
        </w:rPr>
      </w:pPr>
      <w:r>
        <w:rPr>
          <w:lang w:eastAsia="en-AU"/>
        </w:rPr>
        <w:t xml:space="preserve">Flow through the barrages is critical to maintain sexual reproduction of </w:t>
      </w:r>
      <w:r w:rsidRPr="0011556C">
        <w:rPr>
          <w:i/>
          <w:iCs/>
          <w:lang w:eastAsia="en-AU"/>
        </w:rPr>
        <w:t>Ruppia</w:t>
      </w:r>
      <w:r>
        <w:rPr>
          <w:lang w:eastAsia="en-AU"/>
        </w:rPr>
        <w:t xml:space="preserve">. The starting salinity conditions are important and environmental flows could be tailored to improve </w:t>
      </w:r>
      <w:r>
        <w:rPr>
          <w:i/>
          <w:lang w:eastAsia="en-AU"/>
        </w:rPr>
        <w:t>Ruppia</w:t>
      </w:r>
      <w:r>
        <w:rPr>
          <w:lang w:eastAsia="en-AU"/>
        </w:rPr>
        <w:t xml:space="preserve"> habitat suitability. Environmental flow management would need to consider the health of </w:t>
      </w:r>
      <w:r w:rsidRPr="0011556C">
        <w:rPr>
          <w:i/>
          <w:iCs/>
          <w:lang w:eastAsia="en-AU"/>
        </w:rPr>
        <w:t>Ruppia</w:t>
      </w:r>
      <w:r>
        <w:rPr>
          <w:lang w:eastAsia="en-AU"/>
        </w:rPr>
        <w:t xml:space="preserve"> in the system, the extent of </w:t>
      </w:r>
      <w:r>
        <w:rPr>
          <w:i/>
          <w:lang w:eastAsia="en-AU"/>
        </w:rPr>
        <w:t>Ruppia</w:t>
      </w:r>
      <w:r>
        <w:rPr>
          <w:lang w:eastAsia="en-AU"/>
        </w:rPr>
        <w:t xml:space="preserve"> cover and the prevailing salinity. </w:t>
      </w:r>
      <w:r w:rsidRPr="00DE13C5">
        <w:rPr>
          <w:lang w:eastAsia="en-AU"/>
        </w:rPr>
        <w:t>The model could</w:t>
      </w:r>
      <w:r>
        <w:rPr>
          <w:lang w:eastAsia="en-AU"/>
        </w:rPr>
        <w:t xml:space="preserve"> potentially</w:t>
      </w:r>
      <w:r w:rsidRPr="00DE13C5">
        <w:rPr>
          <w:lang w:eastAsia="en-AU"/>
        </w:rPr>
        <w:t xml:space="preserve"> be used to optimise environmental water delivery through the barrages to maximise the area of suitable </w:t>
      </w:r>
      <w:r w:rsidRPr="004714E9">
        <w:rPr>
          <w:i/>
          <w:iCs/>
          <w:lang w:eastAsia="en-AU"/>
        </w:rPr>
        <w:t>Ruppia</w:t>
      </w:r>
      <w:r w:rsidRPr="00DE13C5">
        <w:rPr>
          <w:lang w:eastAsia="en-AU"/>
        </w:rPr>
        <w:t xml:space="preserve"> habitat based on the volume of water </w:t>
      </w:r>
      <w:r w:rsidRPr="00DE13C5">
        <w:rPr>
          <w:lang w:eastAsia="en-AU"/>
        </w:rPr>
        <w:lastRenderedPageBreak/>
        <w:t>available</w:t>
      </w:r>
      <w:r>
        <w:rPr>
          <w:lang w:eastAsia="en-AU"/>
        </w:rPr>
        <w:t xml:space="preserve">. Water level maintenance is also necessary for </w:t>
      </w:r>
      <w:r w:rsidRPr="00CD6626">
        <w:rPr>
          <w:i/>
          <w:lang w:eastAsia="en-AU"/>
        </w:rPr>
        <w:t>Ruppia</w:t>
      </w:r>
      <w:r>
        <w:rPr>
          <w:lang w:eastAsia="en-AU"/>
        </w:rPr>
        <w:t xml:space="preserve"> to complete its lifecycle. If water level drops too quickly in early summer, then the plants can become stranded and desiccate. Environmental water delivered during spring and summer, if of sufficient volumes, can help maintain or reduce the rate of water level reduction in the South Lagoon and promote </w:t>
      </w:r>
      <w:r w:rsidRPr="00CD6626">
        <w:rPr>
          <w:i/>
          <w:lang w:eastAsia="en-AU"/>
        </w:rPr>
        <w:t>Ruppia</w:t>
      </w:r>
      <w:r>
        <w:rPr>
          <w:lang w:eastAsia="en-AU"/>
        </w:rPr>
        <w:t xml:space="preserve"> reproduction.</w:t>
      </w:r>
    </w:p>
    <w:p w14:paraId="6D6663A5" w14:textId="4B20780B" w:rsidR="00B60940" w:rsidRDefault="00ED289A" w:rsidP="00092564">
      <w:pPr>
        <w:rPr>
          <w:lang w:eastAsia="en-AU"/>
        </w:rPr>
      </w:pPr>
      <w:r>
        <w:rPr>
          <w:lang w:eastAsia="en-AU"/>
        </w:rPr>
        <w:t xml:space="preserve">The area of suitable estuarine fish habitat is very sensitive to river flow via the barrages. </w:t>
      </w:r>
      <w:r>
        <w:t xml:space="preserve">Environmental flows lead to fresher conditions in the Coorong and an expansion of suitable fish habitat area. Without environmental flows, the suitable habitat contracts for a range of fish species (e.g. mulloway, black bream, Tamar goby, greenback flounder, yelloweye mullet and congolli). Smallmouth hardyhead are more salt-tolerant and have been the most abundant prey fish species in the southern Coorong (Ye </w:t>
      </w:r>
      <w:r w:rsidRPr="00476F31">
        <w:rPr>
          <w:i/>
          <w:iCs/>
        </w:rPr>
        <w:t>et al.</w:t>
      </w:r>
      <w:r>
        <w:t xml:space="preserve"> 2020b). Their habitat also contracts with no environmental water but the major impact on habitat suitability took about one year longer to manifest than the other species. To maintain suitable habitat for the range of estuarine species, environmental flows should be maintained to support barrage releases every year. Without environmental flows in 2020-21, there would have been an 8% contraction in suitable habitat for mulloway in the Coorong, and four years (2017-18 to 2020-21) without environmental flows would have reduced mulloway habitat by 39%. This compares to an 18% contraction without environmental water for one year in 2019-20.</w:t>
      </w:r>
    </w:p>
    <w:p w14:paraId="0C099619" w14:textId="77777777" w:rsidR="00B60940" w:rsidRDefault="00B60940" w:rsidP="00B60940">
      <w:pPr>
        <w:pStyle w:val="Heading3"/>
      </w:pPr>
      <w:r w:rsidRPr="00A229CC">
        <w:t>Conclusion</w:t>
      </w:r>
      <w:r>
        <w:t xml:space="preserve"> </w:t>
      </w:r>
    </w:p>
    <w:p w14:paraId="0AAC80FF" w14:textId="6888EA65" w:rsidR="009C13C5" w:rsidRDefault="00B60940" w:rsidP="00B60940">
      <w:pPr>
        <w:rPr>
          <w:rFonts w:eastAsiaTheme="majorEastAsia" w:cstheme="majorBidi"/>
          <w:b/>
          <w:i/>
          <w:color w:val="44546A" w:themeColor="text2"/>
          <w:sz w:val="26"/>
          <w:szCs w:val="24"/>
        </w:rPr>
      </w:pPr>
      <w:r w:rsidRPr="00DD7599">
        <w:t xml:space="preserve">Environmental water is shown to be critical in reducing salt import into the Murray Mouth from the ocean, lowering salinity in the Coorong and maintaining estuarine habitat to support ecological functions and biodiversity. The overall area of </w:t>
      </w:r>
      <w:r w:rsidRPr="00525B21">
        <w:rPr>
          <w:i/>
        </w:rPr>
        <w:t>Ruppia</w:t>
      </w:r>
      <w:r w:rsidRPr="00DD7599">
        <w:t xml:space="preserve"> habitat showed a general decrease of up to </w:t>
      </w:r>
      <w:r w:rsidR="00D208E2">
        <w:t>44</w:t>
      </w:r>
      <w:r w:rsidRPr="00DD7599">
        <w:t xml:space="preserve">% in the calendar year 2020 </w:t>
      </w:r>
      <w:r>
        <w:t xml:space="preserve">if there were no Commonwealth environmental water or other environmental water </w:t>
      </w:r>
      <w:r w:rsidR="003C63F3">
        <w:t>through</w:t>
      </w:r>
      <w:r>
        <w:t xml:space="preserve"> the last four years (July 2017– June 2021)</w:t>
      </w:r>
      <w:r w:rsidRPr="00DD7599">
        <w:t>. Reduction of fish habitat areas of ~6-1</w:t>
      </w:r>
      <w:r w:rsidR="00D208E2">
        <w:t>1</w:t>
      </w:r>
      <w:r w:rsidRPr="00DD7599">
        <w:t xml:space="preserve">% were predicted if there was no </w:t>
      </w:r>
      <w:r>
        <w:t xml:space="preserve">environmental water </w:t>
      </w:r>
      <w:r w:rsidRPr="00DD7599">
        <w:t xml:space="preserve">in </w:t>
      </w:r>
      <w:r>
        <w:t>2020-21</w:t>
      </w:r>
      <w:r w:rsidRPr="00DD7599">
        <w:t xml:space="preserve">, and the reduction area focused on the middle and south Coorong. Reduction of </w:t>
      </w:r>
      <w:r w:rsidR="00D208E2">
        <w:t>33</w:t>
      </w:r>
      <w:r w:rsidR="00D208E2">
        <w:rPr>
          <w:rFonts w:ascii="Calibri" w:hAnsi="Calibri" w:cs="Calibri"/>
        </w:rPr>
        <w:t>–</w:t>
      </w:r>
      <w:r w:rsidR="00D208E2">
        <w:t xml:space="preserve">44% </w:t>
      </w:r>
      <w:r w:rsidRPr="00DD7599">
        <w:t xml:space="preserve">in the habitat areas for </w:t>
      </w:r>
      <w:r w:rsidR="00D208E2">
        <w:t xml:space="preserve">key </w:t>
      </w:r>
      <w:r w:rsidRPr="00DD7599">
        <w:t xml:space="preserve">fish species were predicted in the Coorong if there </w:t>
      </w:r>
      <w:r w:rsidR="00D208E2">
        <w:t xml:space="preserve">was </w:t>
      </w:r>
      <w:r w:rsidRPr="00DD7599">
        <w:t xml:space="preserve">no </w:t>
      </w:r>
      <w:r>
        <w:t xml:space="preserve">environmental water </w:t>
      </w:r>
      <w:r w:rsidRPr="00DD7599">
        <w:t xml:space="preserve">for </w:t>
      </w:r>
      <w:r>
        <w:t xml:space="preserve">four </w:t>
      </w:r>
      <w:r w:rsidRPr="00DD7599">
        <w:t xml:space="preserve">years continuously since </w:t>
      </w:r>
      <w:r>
        <w:t xml:space="preserve">July </w:t>
      </w:r>
      <w:r w:rsidRPr="00DD7599">
        <w:t xml:space="preserve">2017. </w:t>
      </w:r>
      <w:r w:rsidR="00092564" w:rsidRPr="00DD7599">
        <w:t>Environmental flow deliver</w:t>
      </w:r>
      <w:r w:rsidR="00092564">
        <w:t>y</w:t>
      </w:r>
      <w:r w:rsidR="00092564" w:rsidRPr="00DD7599">
        <w:t xml:space="preserve"> during periods when there would otherwise be negligible water exchange between the Lower Lakes and Coorong is critical for maintaining the connectivity between freshwater and marine environment</w:t>
      </w:r>
      <w:r w:rsidR="00092564">
        <w:t>s</w:t>
      </w:r>
      <w:r w:rsidR="00092564" w:rsidRPr="00DD7599">
        <w:t xml:space="preserve"> and promoting fresher conditions in the Coorong with more favourable habitat for estuarine fish and plants.</w:t>
      </w:r>
      <w:r w:rsidR="009C13C5">
        <w:br w:type="page"/>
      </w:r>
    </w:p>
    <w:p w14:paraId="0E574E25" w14:textId="31ABDA67" w:rsidR="00BE09D3" w:rsidRPr="002F3182" w:rsidRDefault="00BE09D3" w:rsidP="00BE09D3">
      <w:pPr>
        <w:pStyle w:val="Heading2"/>
      </w:pPr>
      <w:bookmarkStart w:id="193" w:name="_Ref50026205"/>
      <w:bookmarkStart w:id="194" w:name="_Toc101963777"/>
      <w:bookmarkStart w:id="195" w:name="_Toc3558339"/>
      <w:r w:rsidRPr="002F3182">
        <w:t>Littoral Vegetation Diversity and Productivity</w:t>
      </w:r>
      <w:bookmarkEnd w:id="193"/>
      <w:bookmarkEnd w:id="194"/>
    </w:p>
    <w:p w14:paraId="29F60BB9" w14:textId="77777777" w:rsidR="002F3182" w:rsidRPr="00E35C12" w:rsidRDefault="002F3182" w:rsidP="002F3182">
      <w:pPr>
        <w:pStyle w:val="Heading3"/>
      </w:pPr>
      <w:r w:rsidRPr="00E35C12">
        <w:t>Background</w:t>
      </w:r>
    </w:p>
    <w:p w14:paraId="5F2C6EFA" w14:textId="77777777" w:rsidR="002F3182" w:rsidRDefault="002F3182" w:rsidP="002F3182">
      <w:r>
        <w:t xml:space="preserve">Littoral (streambank) vegetation is an important component of the biota of riverine ecosystems. It is an important primary producer for both the riverine and terrestrial ecosystem (e.g. Roberts and Ganf 1986; Froend and McComb 1994), can improve water quality (e.g. Li </w:t>
      </w:r>
      <w:r w:rsidRPr="00773B4E">
        <w:rPr>
          <w:i/>
          <w:iCs/>
        </w:rPr>
        <w:t>et al.</w:t>
      </w:r>
      <w:r>
        <w:t xml:space="preserve"> 2010; Borin and Salvato 2012), oxygenate the sediment and water column (e.g. Blom </w:t>
      </w:r>
      <w:r w:rsidRPr="00773B4E">
        <w:rPr>
          <w:i/>
          <w:iCs/>
        </w:rPr>
        <w:t>et al.</w:t>
      </w:r>
      <w:r>
        <w:t xml:space="preserve"> 1990; Sorrell and Hawes 2010; Dickopp </w:t>
      </w:r>
      <w:r w:rsidRPr="00773B4E">
        <w:rPr>
          <w:i/>
          <w:iCs/>
        </w:rPr>
        <w:t>et al.</w:t>
      </w:r>
      <w:r>
        <w:t xml:space="preserve"> 2011), provide habitat for water birds (e.g. Jansen and Robertson 2001; Kapa and Clarkson 2009) and invertebrates (e.g. Papas 2007; Walker </w:t>
      </w:r>
      <w:r w:rsidRPr="00773B4E">
        <w:rPr>
          <w:i/>
          <w:iCs/>
        </w:rPr>
        <w:t>et al.</w:t>
      </w:r>
      <w:r>
        <w:t xml:space="preserve"> 2013) and stabilise banks (e.g. Abernethy and Rutherfurd 1998). Littoral zones are also hot spots for biodiversity because they contain a specialised group of species adapted to wetting and drying not found in aquatic or terrestrial systems and therefore, increase the species pool at the landscape scale (Sabo </w:t>
      </w:r>
      <w:r w:rsidRPr="00773B4E">
        <w:rPr>
          <w:i/>
          <w:iCs/>
        </w:rPr>
        <w:t>et al.</w:t>
      </w:r>
      <w:r>
        <w:t xml:space="preserve"> 2005).</w:t>
      </w:r>
    </w:p>
    <w:p w14:paraId="46AA648E" w14:textId="77777777" w:rsidR="002F3182" w:rsidRDefault="002F3182" w:rsidP="002F3182">
      <w:r w:rsidRPr="00377EFC">
        <w:t>Littoral</w:t>
      </w:r>
      <w:r>
        <w:t xml:space="preserve"> vegetation responds rapidly to changes in water level (e.g. Nicol </w:t>
      </w:r>
      <w:r w:rsidRPr="00316835">
        <w:rPr>
          <w:i/>
          <w:iCs/>
        </w:rPr>
        <w:t>et al.</w:t>
      </w:r>
      <w:r>
        <w:t xml:space="preserve"> 2018a) as</w:t>
      </w:r>
      <w:r w:rsidRPr="00316835">
        <w:t xml:space="preserve"> </w:t>
      </w:r>
      <w:r>
        <w:t>inundation changes the physicochemical environment and acts as an environmental sieve (</w:t>
      </w:r>
      <w:r w:rsidRPr="00B66097">
        <w:rPr>
          <w:i/>
          <w:iCs/>
        </w:rPr>
        <w:t>sensu</w:t>
      </w:r>
      <w:r>
        <w:t xml:space="preserve"> van der Valk 1981) producing conditions that are hostile to some species but favourable to others (e.g. Nicol </w:t>
      </w:r>
      <w:r w:rsidRPr="00B66097">
        <w:rPr>
          <w:i/>
          <w:iCs/>
        </w:rPr>
        <w:t>et al.</w:t>
      </w:r>
      <w:r>
        <w:t xml:space="preserve"> 2003). </w:t>
      </w:r>
      <w:r w:rsidRPr="00316835">
        <w:t>In riparian zones</w:t>
      </w:r>
      <w:r>
        <w:t>,</w:t>
      </w:r>
      <w:r w:rsidRPr="00316835">
        <w:t xml:space="preserve"> inundation often acts as disturbance</w:t>
      </w:r>
      <w:r>
        <w:t>,</w:t>
      </w:r>
      <w:r w:rsidRPr="00316835">
        <w:t xml:space="preserve"> </w:t>
      </w:r>
      <w:r>
        <w:t xml:space="preserve">removing the existing vegetation and providing an environment almost free of competition with high soil moisture </w:t>
      </w:r>
      <w:r w:rsidRPr="00316835">
        <w:t>(</w:t>
      </w:r>
      <w:r>
        <w:t xml:space="preserve">e.g. </w:t>
      </w:r>
      <w:r w:rsidRPr="009D0EF6">
        <w:t>Pettit and Froend 200</w:t>
      </w:r>
      <w:r>
        <w:t xml:space="preserve">1; </w:t>
      </w:r>
      <w:r w:rsidRPr="00316835">
        <w:t xml:space="preserve">Bagstad </w:t>
      </w:r>
      <w:r w:rsidRPr="00316835">
        <w:rPr>
          <w:i/>
          <w:iCs/>
        </w:rPr>
        <w:t>et al.</w:t>
      </w:r>
      <w:r w:rsidRPr="00316835">
        <w:t xml:space="preserve"> 2005</w:t>
      </w:r>
      <w:r>
        <w:t>;</w:t>
      </w:r>
      <w:r w:rsidRPr="00316835">
        <w:t xml:space="preserve"> Beauchamp and Stromberg 2008)</w:t>
      </w:r>
      <w:r>
        <w:t>. Due to the unpredictable nature of flooding regimes in arid Australian systems</w:t>
      </w:r>
      <w:r w:rsidRPr="00FC2993">
        <w:t xml:space="preserve"> (Puckridge </w:t>
      </w:r>
      <w:r w:rsidRPr="00FC2993">
        <w:rPr>
          <w:i/>
          <w:iCs/>
        </w:rPr>
        <w:t>et al.</w:t>
      </w:r>
      <w:r w:rsidRPr="00FC2993">
        <w:t xml:space="preserve"> 1998</w:t>
      </w:r>
      <w:r>
        <w:t>;</w:t>
      </w:r>
      <w:r w:rsidRPr="00FC2993">
        <w:t xml:space="preserve"> Puckridge </w:t>
      </w:r>
      <w:r w:rsidRPr="00FC2993">
        <w:rPr>
          <w:i/>
          <w:iCs/>
        </w:rPr>
        <w:t>et al.</w:t>
      </w:r>
      <w:r w:rsidRPr="00FC2993">
        <w:t xml:space="preserve"> 2000)</w:t>
      </w:r>
      <w:r>
        <w:t>, many littoral species are short-lived annuals that are adapted to take advantage of these brief periods of favourable conditions germinating as water levels recede, completing their life cycle whist soil moisture is high and competition is low and replenishing the seed bank (e.g. Nicol 2004; Capon 2007). These species persist in the soil seed bank whilst conditions are unfavourable and are examples of Grime’s (1979) r-selected species and have more in common with desert annuals than aquatic species (e.g. Nicol 2004; Capon 2007). Emergent and amphibious species (</w:t>
      </w:r>
      <w:r w:rsidRPr="00FC2993">
        <w:rPr>
          <w:i/>
          <w:iCs/>
        </w:rPr>
        <w:t>sensu</w:t>
      </w:r>
      <w:r>
        <w:t xml:space="preserve"> Brock and Casanova 1997; Casanova 2011) are also present and are typically perennial taxa </w:t>
      </w:r>
      <w:r w:rsidRPr="00FC2993">
        <w:t xml:space="preserve">(Cunningham </w:t>
      </w:r>
      <w:r w:rsidRPr="00FC2993">
        <w:rPr>
          <w:i/>
          <w:iCs/>
        </w:rPr>
        <w:t>et al.</w:t>
      </w:r>
      <w:r w:rsidRPr="00FC2993">
        <w:t xml:space="preserve"> 1992)</w:t>
      </w:r>
      <w:r>
        <w:t xml:space="preserve"> adapted to persist or respond to inundation and exposure and often have a requirement of variable water levels to establish and/or reproduce (e.g. Brock and Casanova 1997; Casanova 2011; Nicol </w:t>
      </w:r>
      <w:r w:rsidRPr="0043622D">
        <w:rPr>
          <w:i/>
          <w:iCs/>
        </w:rPr>
        <w:t>et al.</w:t>
      </w:r>
      <w:r>
        <w:t xml:space="preserve"> 2018b). </w:t>
      </w:r>
    </w:p>
    <w:p w14:paraId="11E07F78" w14:textId="77777777" w:rsidR="002F3182" w:rsidRDefault="002F3182" w:rsidP="002F3182">
      <w:r>
        <w:t xml:space="preserve">Management of water levels in the LMR has typically focussed on maintaining stable water levels in lower weir pools, which can result in small increases in flow causing large water level rises in tailwaters immediately downstream of weirs (Maheshwari </w:t>
      </w:r>
      <w:r w:rsidRPr="005877FB">
        <w:rPr>
          <w:i/>
          <w:iCs/>
        </w:rPr>
        <w:t>et al.</w:t>
      </w:r>
      <w:r>
        <w:t xml:space="preserve"> 1995). Therefore, tailwaters represent areas where flood dependent and amphibious vegetation can persist in the absence of overbank flows over a wider range of the elevation gradient (Blanch </w:t>
      </w:r>
      <w:r w:rsidRPr="0043622D">
        <w:rPr>
          <w:i/>
          <w:iCs/>
        </w:rPr>
        <w:t>et al</w:t>
      </w:r>
      <w:r>
        <w:t xml:space="preserve">. 1999; Blanch </w:t>
      </w:r>
      <w:r w:rsidRPr="0043622D">
        <w:rPr>
          <w:i/>
          <w:iCs/>
        </w:rPr>
        <w:t>et al.</w:t>
      </w:r>
      <w:r>
        <w:t xml:space="preserve"> 2000). This makes tailwaters an ideal location to assess the influence of Commonwealth environmental water as the volumes available for delivery will have a significant impact on water levels in these areas. The response of the vegetation along the elevation gradient in tailwaters can be exploited to evaluate the benefit of Commonwealth environmental water. </w:t>
      </w:r>
    </w:p>
    <w:p w14:paraId="6C86D6F0" w14:textId="77777777" w:rsidR="002F3182" w:rsidRPr="00C268C7" w:rsidRDefault="002F3182" w:rsidP="002F3182">
      <w:pPr>
        <w:rPr>
          <w:szCs w:val="21"/>
        </w:rPr>
      </w:pPr>
      <w:r>
        <w:t>In 2020-21, Commonwealth environmental water was delivered to produce a spring pulse peaking at 17,917 ML/d (flow to South Australia) in the LMR arriving at the South Australia/New South Wales border on 25 November. The aim of this study is to investigate the response of littoral vegetation to Commonwealth environmental water delivery by testing the hypotheses in the following section. This will be undertaken by comparing species composition and biomass between areas inundated and not inundated by the spring flow pulse.</w:t>
      </w:r>
      <w:r w:rsidRPr="00C268C7">
        <w:rPr>
          <w:szCs w:val="21"/>
        </w:rPr>
        <w:t xml:space="preserve"> </w:t>
      </w:r>
    </w:p>
    <w:p w14:paraId="0BF0A5CF" w14:textId="77777777" w:rsidR="002F3182" w:rsidRPr="005708C8" w:rsidRDefault="002F3182" w:rsidP="002F3182">
      <w:pPr>
        <w:rPr>
          <w:i/>
          <w:u w:val="single"/>
        </w:rPr>
      </w:pPr>
      <w:r w:rsidRPr="005708C8">
        <w:rPr>
          <w:i/>
          <w:u w:val="single"/>
        </w:rPr>
        <w:t>Major hypotheses</w:t>
      </w:r>
    </w:p>
    <w:p w14:paraId="2A15A9FA" w14:textId="77777777" w:rsidR="002F3182" w:rsidRDefault="002F3182" w:rsidP="00E85C2D">
      <w:pPr>
        <w:pStyle w:val="ListParagraph"/>
        <w:numPr>
          <w:ilvl w:val="0"/>
          <w:numId w:val="12"/>
        </w:numPr>
      </w:pPr>
      <w:r w:rsidRPr="00115B0F">
        <w:t>Increases in flow will result in increased water level</w:t>
      </w:r>
      <w:r>
        <w:t xml:space="preserve"> variability</w:t>
      </w:r>
      <w:r w:rsidRPr="00115B0F">
        <w:t xml:space="preserve"> in the littoral zone that will facilitate the recruitment of floodplain and amphibious understorey species and in turn increase biological and functional diversity of the littoral zone plant community.</w:t>
      </w:r>
    </w:p>
    <w:p w14:paraId="1C26A301" w14:textId="77777777" w:rsidR="002F3182" w:rsidRPr="00115B0F" w:rsidRDefault="002F3182" w:rsidP="00E85C2D">
      <w:pPr>
        <w:pStyle w:val="ListParagraph"/>
        <w:numPr>
          <w:ilvl w:val="0"/>
          <w:numId w:val="12"/>
        </w:numPr>
      </w:pPr>
      <w:r w:rsidRPr="00115B0F">
        <w:t>The increase in water level</w:t>
      </w:r>
      <w:r>
        <w:t xml:space="preserve"> variability</w:t>
      </w:r>
      <w:r w:rsidRPr="00115B0F">
        <w:t xml:space="preserve"> due to increases in flow will result in increased productivity of littoral vegetation compared to </w:t>
      </w:r>
      <w:r>
        <w:t xml:space="preserve">non-inundated </w:t>
      </w:r>
      <w:r w:rsidRPr="00115B0F">
        <w:t>areas.</w:t>
      </w:r>
    </w:p>
    <w:p w14:paraId="11482646" w14:textId="77777777" w:rsidR="002F3182" w:rsidRPr="005708C8" w:rsidRDefault="002F3182" w:rsidP="002F3182">
      <w:pPr>
        <w:pStyle w:val="Heading3"/>
      </w:pPr>
      <w:r w:rsidRPr="005708C8">
        <w:t>Methods</w:t>
      </w:r>
    </w:p>
    <w:p w14:paraId="17F0F4CB" w14:textId="77777777" w:rsidR="002F3182" w:rsidRPr="00E35C12" w:rsidRDefault="002F3182" w:rsidP="002F3182">
      <w:pPr>
        <w:rPr>
          <w:i/>
          <w:u w:val="single"/>
        </w:rPr>
      </w:pPr>
      <w:r>
        <w:rPr>
          <w:i/>
          <w:u w:val="single"/>
        </w:rPr>
        <w:t>Study sites and hydrology</w:t>
      </w:r>
    </w:p>
    <w:p w14:paraId="11EBCD6A" w14:textId="2BA77A99" w:rsidR="002F3182" w:rsidRDefault="002F3182" w:rsidP="002F3182">
      <w:pPr>
        <w:rPr>
          <w:iCs/>
        </w:rPr>
      </w:pPr>
      <w:r>
        <w:rPr>
          <w:iCs/>
        </w:rPr>
        <w:t xml:space="preserve">Vegetation surveys were undertaken on the banks of the LMR in weir pool tailwaters downstream of Lock 1, Lock 4 and Lock 6 </w:t>
      </w:r>
      <w:r w:rsidR="00092564">
        <w:rPr>
          <w:iCs/>
        </w:rPr>
        <w:t xml:space="preserve">(referred to herein as reaches) </w:t>
      </w:r>
      <w:r>
        <w:rPr>
          <w:iCs/>
        </w:rPr>
        <w:t>to correspond with the locations of other indicators</w:t>
      </w:r>
      <w:r w:rsidR="00882599">
        <w:rPr>
          <w:iCs/>
        </w:rPr>
        <w:t xml:space="preserve"> (</w:t>
      </w:r>
      <w:r w:rsidR="00882599">
        <w:rPr>
          <w:iCs/>
        </w:rPr>
        <w:fldChar w:fldCharType="begin"/>
      </w:r>
      <w:r w:rsidR="00882599">
        <w:rPr>
          <w:iCs/>
        </w:rPr>
        <w:instrText xml:space="preserve"> REF _Ref469926522 \h </w:instrText>
      </w:r>
      <w:r w:rsidR="00882599">
        <w:rPr>
          <w:iCs/>
        </w:rPr>
      </w:r>
      <w:r w:rsidR="00882599">
        <w:rPr>
          <w:iCs/>
        </w:rPr>
        <w:fldChar w:fldCharType="separate"/>
      </w:r>
      <w:r w:rsidR="003C13F6">
        <w:t xml:space="preserve">Figure </w:t>
      </w:r>
      <w:r w:rsidR="003C13F6">
        <w:rPr>
          <w:noProof/>
        </w:rPr>
        <w:t>1</w:t>
      </w:r>
      <w:r w:rsidR="00882599">
        <w:rPr>
          <w:iCs/>
        </w:rPr>
        <w:fldChar w:fldCharType="end"/>
      </w:r>
      <w:r w:rsidR="00882599">
        <w:rPr>
          <w:iCs/>
        </w:rPr>
        <w:t>)</w:t>
      </w:r>
      <w:r>
        <w:rPr>
          <w:iCs/>
        </w:rPr>
        <w:t xml:space="preserve">. </w:t>
      </w:r>
    </w:p>
    <w:p w14:paraId="1E3421CB" w14:textId="59042ABE" w:rsidR="002F3182" w:rsidRDefault="002F3182" w:rsidP="002F3182">
      <w:pPr>
        <w:rPr>
          <w:iCs/>
        </w:rPr>
      </w:pPr>
      <w:r>
        <w:rPr>
          <w:iCs/>
        </w:rPr>
        <w:t>Flow in 2020-21 was generally low with an in-channel flow pulse peaking in late-November 2020 that was comprised almost entirely of Commonwealth environmental water (</w:t>
      </w:r>
      <w:r>
        <w:rPr>
          <w:iCs/>
        </w:rPr>
        <w:fldChar w:fldCharType="begin"/>
      </w:r>
      <w:r>
        <w:rPr>
          <w:iCs/>
        </w:rPr>
        <w:instrText xml:space="preserve"> REF _Ref58353126 \h </w:instrText>
      </w:r>
      <w:r>
        <w:rPr>
          <w:iCs/>
        </w:rPr>
      </w:r>
      <w:r>
        <w:rPr>
          <w:iCs/>
        </w:rPr>
        <w:fldChar w:fldCharType="separate"/>
      </w:r>
      <w:r w:rsidR="003C13F6">
        <w:t xml:space="preserve">Figure </w:t>
      </w:r>
      <w:r w:rsidR="003C13F6">
        <w:rPr>
          <w:noProof/>
        </w:rPr>
        <w:t>32</w:t>
      </w:r>
      <w:r>
        <w:rPr>
          <w:iCs/>
        </w:rPr>
        <w:fldChar w:fldCharType="end"/>
      </w:r>
      <w:r>
        <w:rPr>
          <w:iCs/>
        </w:rPr>
        <w:t>). The flow pulse resulted in an increase in water level of 76 cm downstream of Lock 6, 58 cm downstream of Lock 4 and 28 cm (downstream of Lock 1) compared to modelled levels without any environmental water (</w:t>
      </w:r>
      <w:r>
        <w:rPr>
          <w:iCs/>
        </w:rPr>
        <w:fldChar w:fldCharType="begin"/>
      </w:r>
      <w:r>
        <w:rPr>
          <w:iCs/>
        </w:rPr>
        <w:instrText xml:space="preserve"> REF _Ref58353126 \h </w:instrText>
      </w:r>
      <w:r>
        <w:rPr>
          <w:iCs/>
        </w:rPr>
      </w:r>
      <w:r>
        <w:rPr>
          <w:iCs/>
        </w:rPr>
        <w:fldChar w:fldCharType="separate"/>
      </w:r>
      <w:r w:rsidR="003C13F6">
        <w:t xml:space="preserve">Figure </w:t>
      </w:r>
      <w:r w:rsidR="003C13F6">
        <w:rPr>
          <w:noProof/>
        </w:rPr>
        <w:t>32</w:t>
      </w:r>
      <w:r>
        <w:rPr>
          <w:iCs/>
        </w:rPr>
        <w:fldChar w:fldCharType="end"/>
      </w:r>
      <w:r>
        <w:rPr>
          <w:iCs/>
        </w:rPr>
        <w:t xml:space="preserve">). For a detailed description of the hydrology and environmental water delivery see Sections </w:t>
      </w:r>
      <w:r>
        <w:rPr>
          <w:iCs/>
        </w:rPr>
        <w:fldChar w:fldCharType="begin"/>
      </w:r>
      <w:r>
        <w:rPr>
          <w:iCs/>
        </w:rPr>
        <w:instrText xml:space="preserve"> REF _Ref25159400 \r \h </w:instrText>
      </w:r>
      <w:r>
        <w:rPr>
          <w:iCs/>
        </w:rPr>
      </w:r>
      <w:r>
        <w:rPr>
          <w:iCs/>
        </w:rPr>
        <w:fldChar w:fldCharType="separate"/>
      </w:r>
      <w:r w:rsidR="003C13F6">
        <w:rPr>
          <w:iCs/>
        </w:rPr>
        <w:t>1.4</w:t>
      </w:r>
      <w:r>
        <w:rPr>
          <w:iCs/>
        </w:rPr>
        <w:fldChar w:fldCharType="end"/>
      </w:r>
      <w:r>
        <w:rPr>
          <w:iCs/>
        </w:rPr>
        <w:t xml:space="preserve"> and </w:t>
      </w:r>
      <w:r>
        <w:rPr>
          <w:iCs/>
        </w:rPr>
        <w:fldChar w:fldCharType="begin"/>
      </w:r>
      <w:r>
        <w:rPr>
          <w:iCs/>
        </w:rPr>
        <w:instrText xml:space="preserve"> REF _Ref58943096 \r \h </w:instrText>
      </w:r>
      <w:r>
        <w:rPr>
          <w:iCs/>
        </w:rPr>
      </w:r>
      <w:r>
        <w:rPr>
          <w:iCs/>
        </w:rPr>
        <w:fldChar w:fldCharType="separate"/>
      </w:r>
      <w:r w:rsidR="003C13F6">
        <w:rPr>
          <w:iCs/>
        </w:rPr>
        <w:t>2.1</w:t>
      </w:r>
      <w:r>
        <w:rPr>
          <w:iCs/>
        </w:rPr>
        <w:fldChar w:fldCharType="end"/>
      </w:r>
      <w:r>
        <w:rPr>
          <w:iCs/>
        </w:rPr>
        <w:t>.</w:t>
      </w:r>
    </w:p>
    <w:p w14:paraId="51012AC2" w14:textId="77777777" w:rsidR="002F3182" w:rsidRDefault="002F3182" w:rsidP="002F3182">
      <w:pPr>
        <w:spacing w:before="0" w:after="160" w:line="259" w:lineRule="auto"/>
        <w:jc w:val="left"/>
        <w:rPr>
          <w:iCs/>
        </w:rPr>
      </w:pPr>
      <w:r>
        <w:rPr>
          <w:iCs/>
        </w:rPr>
        <w:br w:type="page"/>
      </w:r>
    </w:p>
    <w:p w14:paraId="34D22F4A" w14:textId="77777777" w:rsidR="002F3182" w:rsidRDefault="002F3182" w:rsidP="002F3182">
      <w:pPr>
        <w:rPr>
          <w:iCs/>
        </w:rPr>
      </w:pPr>
      <w:r>
        <w:rPr>
          <w:iCs/>
        </w:rPr>
        <w:t>a.</w:t>
      </w:r>
    </w:p>
    <w:p w14:paraId="7E6D096A" w14:textId="77777777" w:rsidR="002F3182" w:rsidRDefault="002F3182" w:rsidP="002F3182">
      <w:pPr>
        <w:rPr>
          <w:iCs/>
        </w:rPr>
      </w:pPr>
      <w:r w:rsidRPr="00E01715">
        <w:rPr>
          <w:noProof/>
        </w:rPr>
        <w:drawing>
          <wp:inline distT="0" distB="0" distL="0" distR="0" wp14:anchorId="715A0C2B" wp14:editId="2691C31C">
            <wp:extent cx="5731510" cy="373443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734435"/>
                    </a:xfrm>
                    <a:prstGeom prst="rect">
                      <a:avLst/>
                    </a:prstGeom>
                    <a:noFill/>
                    <a:ln>
                      <a:noFill/>
                    </a:ln>
                  </pic:spPr>
                </pic:pic>
              </a:graphicData>
            </a:graphic>
          </wp:inline>
        </w:drawing>
      </w:r>
    </w:p>
    <w:p w14:paraId="380F180D" w14:textId="77777777" w:rsidR="002F3182" w:rsidRDefault="002F3182" w:rsidP="002F3182">
      <w:pPr>
        <w:rPr>
          <w:iCs/>
        </w:rPr>
      </w:pPr>
      <w:r>
        <w:rPr>
          <w:iCs/>
        </w:rPr>
        <w:t>b.</w:t>
      </w:r>
    </w:p>
    <w:p w14:paraId="361A7DF8" w14:textId="77777777" w:rsidR="002F3182" w:rsidRDefault="002F3182" w:rsidP="002F3182">
      <w:pPr>
        <w:rPr>
          <w:iCs/>
        </w:rPr>
      </w:pPr>
      <w:r w:rsidRPr="004A1821">
        <w:rPr>
          <w:noProof/>
        </w:rPr>
        <w:drawing>
          <wp:inline distT="0" distB="0" distL="0" distR="0" wp14:anchorId="40F6DBD1" wp14:editId="595BC82D">
            <wp:extent cx="5731510" cy="3735705"/>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3735705"/>
                    </a:xfrm>
                    <a:prstGeom prst="rect">
                      <a:avLst/>
                    </a:prstGeom>
                    <a:noFill/>
                    <a:ln>
                      <a:noFill/>
                    </a:ln>
                  </pic:spPr>
                </pic:pic>
              </a:graphicData>
            </a:graphic>
          </wp:inline>
        </w:drawing>
      </w:r>
    </w:p>
    <w:p w14:paraId="315F655E" w14:textId="77777777" w:rsidR="002F3182" w:rsidRDefault="002F3182" w:rsidP="002F3182">
      <w:pPr>
        <w:spacing w:before="0" w:after="160" w:line="259" w:lineRule="auto"/>
        <w:jc w:val="left"/>
        <w:rPr>
          <w:iCs/>
        </w:rPr>
      </w:pPr>
      <w:r>
        <w:rPr>
          <w:iCs/>
        </w:rPr>
        <w:br w:type="page"/>
      </w:r>
    </w:p>
    <w:p w14:paraId="33C08B8F" w14:textId="77777777" w:rsidR="002F3182" w:rsidRDefault="002F3182" w:rsidP="002F3182">
      <w:pPr>
        <w:rPr>
          <w:iCs/>
        </w:rPr>
      </w:pPr>
      <w:r>
        <w:rPr>
          <w:iCs/>
        </w:rPr>
        <w:t>c.</w:t>
      </w:r>
    </w:p>
    <w:p w14:paraId="7CB6C091" w14:textId="77777777" w:rsidR="002F3182" w:rsidRDefault="002F3182" w:rsidP="002F3182">
      <w:pPr>
        <w:rPr>
          <w:iCs/>
        </w:rPr>
      </w:pPr>
      <w:r w:rsidRPr="000E7508">
        <w:rPr>
          <w:noProof/>
        </w:rPr>
        <w:drawing>
          <wp:inline distT="0" distB="0" distL="0" distR="0" wp14:anchorId="311B4BBA" wp14:editId="7F34EF31">
            <wp:extent cx="5731510" cy="373761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3737610"/>
                    </a:xfrm>
                    <a:prstGeom prst="rect">
                      <a:avLst/>
                    </a:prstGeom>
                    <a:noFill/>
                    <a:ln>
                      <a:noFill/>
                    </a:ln>
                  </pic:spPr>
                </pic:pic>
              </a:graphicData>
            </a:graphic>
          </wp:inline>
        </w:drawing>
      </w:r>
    </w:p>
    <w:p w14:paraId="0A066FCB" w14:textId="29C06EFA" w:rsidR="002F3182" w:rsidRDefault="002F3182" w:rsidP="002F3182">
      <w:pPr>
        <w:pStyle w:val="Caption"/>
      </w:pPr>
      <w:bookmarkStart w:id="196" w:name="_Ref58353126"/>
      <w:bookmarkStart w:id="197" w:name="_Toc89696162"/>
      <w:bookmarkStart w:id="198" w:name="_Toc101963824"/>
      <w:r>
        <w:t xml:space="preserve">Figure </w:t>
      </w:r>
      <w:fldSimple w:instr=" SEQ Figure \* ARABIC ">
        <w:r w:rsidR="003C13F6">
          <w:rPr>
            <w:noProof/>
          </w:rPr>
          <w:t>32</w:t>
        </w:r>
      </w:fldSimple>
      <w:bookmarkEnd w:id="196"/>
      <w:r w:rsidRPr="00825C20">
        <w:t xml:space="preserve">. </w:t>
      </w:r>
      <w:r>
        <w:t>Observed and modelled (without Commonwealth environmental water and without any environmental water) water levels in upper weir pools (tailwaters) a. below Lock 1, b. Weir Pool 3 (below Lock 4) and c. Weir Pool 5 (below Lock 6).</w:t>
      </w:r>
      <w:bookmarkEnd w:id="197"/>
      <w:bookmarkEnd w:id="198"/>
      <w:r w:rsidRPr="00825C20">
        <w:t xml:space="preserve">   </w:t>
      </w:r>
    </w:p>
    <w:p w14:paraId="33FB6EA0" w14:textId="77777777" w:rsidR="002F3182" w:rsidRPr="00E35C12" w:rsidRDefault="002F3182" w:rsidP="002F3182">
      <w:pPr>
        <w:rPr>
          <w:i/>
          <w:u w:val="single"/>
        </w:rPr>
      </w:pPr>
      <w:r>
        <w:rPr>
          <w:i/>
          <w:u w:val="single"/>
        </w:rPr>
        <w:t>Vegetation surveying protocol</w:t>
      </w:r>
    </w:p>
    <w:p w14:paraId="4FCFCC96" w14:textId="2D090EE3" w:rsidR="002F3182" w:rsidRDefault="002F3182" w:rsidP="002F3182">
      <w:r>
        <w:t>Sampling of littoral vegetation occurred in February 2021. Transects established in December 2019 in each reach (Ye et al. 2021) were resurveyed (Table D</w:t>
      </w:r>
      <w:r w:rsidR="00DD27F8">
        <w:t>3</w:t>
      </w:r>
      <w:r>
        <w:t xml:space="preserve">, Appendix D). Quadrats with dimensions of 15 x 1 m were positioned on each transect (the long side parallel to elevation contours) in relation to the maximum water level in spring 2020; one quadrat was located at normal pool level (herein referred to as </w:t>
      </w:r>
      <w:r w:rsidRPr="00240018">
        <w:rPr>
          <w:i/>
          <w:iCs/>
        </w:rPr>
        <w:t>Pool level</w:t>
      </w:r>
      <w:r>
        <w:t>), three in the area inundated by the spring flow pulse (</w:t>
      </w:r>
      <w:r w:rsidRPr="00240018">
        <w:rPr>
          <w:i/>
          <w:iCs/>
        </w:rPr>
        <w:t>Inundated</w:t>
      </w:r>
      <w:r>
        <w:t>), one at the spring 2020 high water mark (</w:t>
      </w:r>
      <w:r w:rsidRPr="00240018">
        <w:rPr>
          <w:i/>
          <w:iCs/>
        </w:rPr>
        <w:t>Inundation extent</w:t>
      </w:r>
      <w:r>
        <w:t>) and two above the high water mark (</w:t>
      </w:r>
      <w:r w:rsidRPr="00240018">
        <w:rPr>
          <w:i/>
          <w:iCs/>
        </w:rPr>
        <w:t>Not inundated</w:t>
      </w:r>
      <w:r>
        <w:t>) (</w:t>
      </w:r>
      <w:fldSimple w:instr=" REF _Ref57300921 ">
        <w:r w:rsidR="003C13F6">
          <w:t xml:space="preserve">Figure </w:t>
        </w:r>
        <w:r w:rsidR="003C13F6">
          <w:rPr>
            <w:noProof/>
          </w:rPr>
          <w:t>33</w:t>
        </w:r>
      </w:fldSimple>
      <w:r>
        <w:t>). Each quadrat was divided into 15, 1 x 1 m cells to determine species frequency in each quadrat (i.e. each species will have a score of zero (not present) and 15 (present in each cell). In addition, a 50 x 50 cm (0.25 m</w:t>
      </w:r>
      <w:r w:rsidRPr="00A251B0">
        <w:rPr>
          <w:vertAlign w:val="superscript"/>
        </w:rPr>
        <w:t>2</w:t>
      </w:r>
      <w:r>
        <w:t>) section of each quadrat was harvested and dried at 40</w:t>
      </w:r>
      <w:r>
        <w:rPr>
          <w:rFonts w:ascii="Times New Roman" w:hAnsi="Times New Roman"/>
        </w:rPr>
        <w:t>⁰</w:t>
      </w:r>
      <w:r>
        <w:t xml:space="preserve"> C to a constant weight to determine above ground biomass.</w:t>
      </w:r>
    </w:p>
    <w:p w14:paraId="71E875E0" w14:textId="77777777" w:rsidR="002F3182" w:rsidRDefault="002F3182" w:rsidP="002F3182">
      <w:r w:rsidRPr="008108D2">
        <w:rPr>
          <w:noProof/>
        </w:rPr>
        <w:drawing>
          <wp:inline distT="0" distB="0" distL="0" distR="0" wp14:anchorId="2CC915BA" wp14:editId="39533BD7">
            <wp:extent cx="5731510" cy="349313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3493135"/>
                    </a:xfrm>
                    <a:prstGeom prst="rect">
                      <a:avLst/>
                    </a:prstGeom>
                    <a:noFill/>
                    <a:ln>
                      <a:noFill/>
                    </a:ln>
                  </pic:spPr>
                </pic:pic>
              </a:graphicData>
            </a:graphic>
          </wp:inline>
        </w:drawing>
      </w:r>
    </w:p>
    <w:p w14:paraId="7DFEF4FA" w14:textId="424D788B" w:rsidR="002F3182" w:rsidRDefault="002F3182" w:rsidP="002F3182">
      <w:pPr>
        <w:pStyle w:val="Caption"/>
      </w:pPr>
      <w:bookmarkStart w:id="199" w:name="_Ref57300921"/>
      <w:bookmarkStart w:id="200" w:name="_Toc89696163"/>
      <w:bookmarkStart w:id="201" w:name="_Toc101963825"/>
      <w:r>
        <w:t xml:space="preserve">Figure </w:t>
      </w:r>
      <w:fldSimple w:instr=" SEQ Figure \* ARABIC ">
        <w:r w:rsidR="003C13F6">
          <w:rPr>
            <w:noProof/>
          </w:rPr>
          <w:t>33</w:t>
        </w:r>
      </w:fldSimple>
      <w:bookmarkEnd w:id="199"/>
      <w:r w:rsidRPr="00825C20">
        <w:t xml:space="preserve">. </w:t>
      </w:r>
      <w:r>
        <w:t>Position of quadrats in relation to maximum water level when sampled in February 2021.</w:t>
      </w:r>
      <w:bookmarkEnd w:id="200"/>
      <w:bookmarkEnd w:id="201"/>
      <w:r w:rsidRPr="00825C20">
        <w:t xml:space="preserve">   </w:t>
      </w:r>
    </w:p>
    <w:p w14:paraId="39091C86" w14:textId="2210719A" w:rsidR="002F3182" w:rsidRPr="00296D25" w:rsidRDefault="002F3182" w:rsidP="002F3182">
      <w:pPr>
        <w:rPr>
          <w:iCs/>
        </w:rPr>
      </w:pPr>
      <w:r>
        <w:t xml:space="preserve">The </w:t>
      </w:r>
      <w:r w:rsidRPr="00240018">
        <w:rPr>
          <w:i/>
          <w:iCs/>
        </w:rPr>
        <w:t>Inundated</w:t>
      </w:r>
      <w:r>
        <w:t xml:space="preserve"> and </w:t>
      </w:r>
      <w:r w:rsidRPr="00240018">
        <w:rPr>
          <w:i/>
          <w:iCs/>
        </w:rPr>
        <w:t>Inundation extent</w:t>
      </w:r>
      <w:r>
        <w:t xml:space="preserve"> zones were impacted by the delivery of Commonwealth environmental water. Modelling indicated that without Commonwealth environmental water, the </w:t>
      </w:r>
      <w:r w:rsidRPr="00240018">
        <w:rPr>
          <w:i/>
          <w:iCs/>
        </w:rPr>
        <w:t>Inundated</w:t>
      </w:r>
      <w:r>
        <w:t xml:space="preserve"> zone would have remained dry and there would have been no increase in soil moisture in the root zone at the </w:t>
      </w:r>
      <w:r w:rsidRPr="00240018">
        <w:rPr>
          <w:i/>
          <w:iCs/>
        </w:rPr>
        <w:t>Inundation extent</w:t>
      </w:r>
      <w:r>
        <w:t xml:space="preserve"> elevation (</w:t>
      </w:r>
      <w:r>
        <w:rPr>
          <w:iCs/>
        </w:rPr>
        <w:fldChar w:fldCharType="begin"/>
      </w:r>
      <w:r>
        <w:rPr>
          <w:iCs/>
        </w:rPr>
        <w:instrText xml:space="preserve"> REF _Ref58353126 \h </w:instrText>
      </w:r>
      <w:r>
        <w:rPr>
          <w:iCs/>
        </w:rPr>
      </w:r>
      <w:r>
        <w:rPr>
          <w:iCs/>
        </w:rPr>
        <w:fldChar w:fldCharType="separate"/>
      </w:r>
      <w:r w:rsidR="003C13F6">
        <w:t xml:space="preserve">Figure </w:t>
      </w:r>
      <w:r w:rsidR="003C13F6">
        <w:rPr>
          <w:noProof/>
        </w:rPr>
        <w:t>32</w:t>
      </w:r>
      <w:r>
        <w:rPr>
          <w:iCs/>
        </w:rPr>
        <w:fldChar w:fldCharType="end"/>
      </w:r>
      <w:r>
        <w:t xml:space="preserve">). The </w:t>
      </w:r>
      <w:r w:rsidRPr="00240018">
        <w:rPr>
          <w:i/>
          <w:iCs/>
        </w:rPr>
        <w:t>Pool level</w:t>
      </w:r>
      <w:r>
        <w:t xml:space="preserve"> quadrats would have been the only quadrats inundated with the delivery of other environmental water (</w:t>
      </w:r>
      <w:r>
        <w:rPr>
          <w:iCs/>
        </w:rPr>
        <w:fldChar w:fldCharType="begin"/>
      </w:r>
      <w:r>
        <w:rPr>
          <w:iCs/>
        </w:rPr>
        <w:instrText xml:space="preserve"> REF _Ref58353126 \h </w:instrText>
      </w:r>
      <w:r>
        <w:rPr>
          <w:iCs/>
        </w:rPr>
      </w:r>
      <w:r>
        <w:rPr>
          <w:iCs/>
        </w:rPr>
        <w:fldChar w:fldCharType="separate"/>
      </w:r>
      <w:r w:rsidR="003C13F6">
        <w:t xml:space="preserve">Figure </w:t>
      </w:r>
      <w:r w:rsidR="003C13F6">
        <w:rPr>
          <w:noProof/>
        </w:rPr>
        <w:t>32</w:t>
      </w:r>
      <w:r>
        <w:rPr>
          <w:iCs/>
        </w:rPr>
        <w:fldChar w:fldCharType="end"/>
      </w:r>
      <w:r>
        <w:t>).</w:t>
      </w:r>
    </w:p>
    <w:p w14:paraId="2D980457" w14:textId="77777777" w:rsidR="002F3182" w:rsidRPr="00E35C12" w:rsidRDefault="002F3182" w:rsidP="002F3182">
      <w:pPr>
        <w:rPr>
          <w:i/>
          <w:u w:val="single"/>
        </w:rPr>
      </w:pPr>
      <w:r>
        <w:rPr>
          <w:i/>
          <w:u w:val="single"/>
        </w:rPr>
        <w:t>Plant identification and nomenclature</w:t>
      </w:r>
    </w:p>
    <w:p w14:paraId="3BEB5845" w14:textId="35292BF8" w:rsidR="002F3182" w:rsidRDefault="002F3182" w:rsidP="002F3182">
      <w:r w:rsidRPr="00FA558F">
        <w:t xml:space="preserve">Plants were identified using keys in Jessop and Toelken (1986), Cunningham </w:t>
      </w:r>
      <w:r w:rsidRPr="00FA558F">
        <w:rPr>
          <w:i/>
          <w:iCs/>
        </w:rPr>
        <w:t>et al.</w:t>
      </w:r>
      <w:r w:rsidRPr="00FA558F">
        <w:t xml:space="preserve"> (1992),</w:t>
      </w:r>
      <w:r>
        <w:t xml:space="preserve"> Sainty and Jacobs (1981; 2003)</w:t>
      </w:r>
      <w:r w:rsidRPr="00FA558F">
        <w:t xml:space="preserve"> and Jessop </w:t>
      </w:r>
      <w:r w:rsidRPr="00FA558F">
        <w:rPr>
          <w:i/>
          <w:iCs/>
        </w:rPr>
        <w:t>et al.</w:t>
      </w:r>
      <w:r w:rsidRPr="00FA558F">
        <w:t xml:space="preserve"> (2006). In some cases, due to immature individuals or lack of floral structures, plants were identified to genus only. Nomenclature follows the Centre for Australian National Biodiversity Research and Council of Heads of Australasian Herbaria (202</w:t>
      </w:r>
      <w:r>
        <w:t>1</w:t>
      </w:r>
      <w:r w:rsidRPr="00FA558F">
        <w:t xml:space="preserve">). A comprehensive list of all species </w:t>
      </w:r>
      <w:r>
        <w:t>recorded</w:t>
      </w:r>
      <w:r w:rsidRPr="00FA558F">
        <w:t xml:space="preserve">, their functional classification, growth form, life history strategy and conservation status are presented in </w:t>
      </w:r>
      <w:r>
        <w:t>Table D</w:t>
      </w:r>
      <w:r w:rsidR="00DD27F8">
        <w:t>4</w:t>
      </w:r>
      <w:r>
        <w:t xml:space="preserve"> in Appendix D</w:t>
      </w:r>
      <w:r w:rsidRPr="00FA558F">
        <w:t>.</w:t>
      </w:r>
    </w:p>
    <w:p w14:paraId="4EA620AA" w14:textId="77777777" w:rsidR="002F3182" w:rsidRPr="00DF32C3" w:rsidRDefault="002F3182" w:rsidP="002F3182">
      <w:pPr>
        <w:rPr>
          <w:i/>
          <w:u w:val="single"/>
        </w:rPr>
      </w:pPr>
      <w:r>
        <w:rPr>
          <w:i/>
          <w:u w:val="single"/>
        </w:rPr>
        <w:t>Plant functional groups</w:t>
      </w:r>
    </w:p>
    <w:p w14:paraId="563FEC2E" w14:textId="77777777" w:rsidR="002F3182" w:rsidRDefault="002F3182" w:rsidP="002F3182">
      <w:r>
        <w:t xml:space="preserve">The functional classification used to assess targets for the Chowilla condition and intervention monitoring programs was used in this study to assess the response of the littoral vegetation to environmental water. The functional classification was based on the classification framework devised by Brock and Casanova (1997), which was based on species present in wetlands in the New England Tablelands region of New South Wales and modified by Nicol </w:t>
      </w:r>
      <w:r w:rsidRPr="00DF32C3">
        <w:rPr>
          <w:i/>
          <w:iCs/>
        </w:rPr>
        <w:t>et al.</w:t>
      </w:r>
      <w:r>
        <w:t xml:space="preserve"> (2010) to reflect the vegetation of the Chowilla system.  </w:t>
      </w:r>
    </w:p>
    <w:p w14:paraId="6D54730E" w14:textId="77777777" w:rsidR="002F3182" w:rsidRDefault="002F3182" w:rsidP="002F3182"/>
    <w:p w14:paraId="5BCED1D3" w14:textId="0F2FC48D" w:rsidR="002F3182" w:rsidRDefault="002F3182" w:rsidP="002F3182">
      <w:r>
        <w:t>The functional classification used for this study splits species into four groups (terrestrial, flood dependent, amphibious and emergent) based on their response to inundation. The description of each functional group is presented in Table D</w:t>
      </w:r>
      <w:r w:rsidR="00DD27F8">
        <w:t>5</w:t>
      </w:r>
      <w:r>
        <w:t>, Appendix D</w:t>
      </w:r>
      <w:r w:rsidR="00190C43">
        <w:t>.</w:t>
      </w:r>
    </w:p>
    <w:p w14:paraId="285481AB" w14:textId="77777777" w:rsidR="002F3182" w:rsidRDefault="002F3182" w:rsidP="002F3182">
      <w:r>
        <w:rPr>
          <w:i/>
          <w:u w:val="single"/>
        </w:rPr>
        <w:t>Data analysis</w:t>
      </w:r>
    </w:p>
    <w:p w14:paraId="4CFF33D1" w14:textId="77777777" w:rsidR="002F3182" w:rsidRDefault="002F3182" w:rsidP="002F3182">
      <w:r>
        <w:t>Species composition between the different inundation zones (</w:t>
      </w:r>
      <w:r w:rsidRPr="00240018">
        <w:rPr>
          <w:i/>
          <w:iCs/>
        </w:rPr>
        <w:t>Not inundated</w:t>
      </w:r>
      <w:r>
        <w:t xml:space="preserve">, </w:t>
      </w:r>
      <w:r w:rsidRPr="00240018">
        <w:rPr>
          <w:i/>
          <w:iCs/>
        </w:rPr>
        <w:t>Inundation extent</w:t>
      </w:r>
      <w:r>
        <w:t xml:space="preserve">, </w:t>
      </w:r>
      <w:r w:rsidRPr="00240018">
        <w:rPr>
          <w:i/>
          <w:iCs/>
        </w:rPr>
        <w:t>Inundated</w:t>
      </w:r>
      <w:r>
        <w:t xml:space="preserve"> and </w:t>
      </w:r>
      <w:r w:rsidRPr="00240018">
        <w:rPr>
          <w:i/>
          <w:iCs/>
        </w:rPr>
        <w:t>Pool level</w:t>
      </w:r>
      <w:r>
        <w:t xml:space="preserve">) and reaches (Lock 1, Lock 4 and Lock 6) were compared using nMDS Ordination, two-factor Multivariate PERMAOVA and Indicator Species Analysis. Bray-Curtis (1957) similarities were used to calculate the similarity matrix for nMDS Ordination and Multivariate PERMAOVA analyses, which were undertaken using the Package PRIMER version 7.0.12. </w:t>
      </w:r>
      <w:r w:rsidRPr="008626DF">
        <w:t>(Clarke and Gorley 2015)</w:t>
      </w:r>
      <w:r>
        <w:t xml:space="preserve"> and </w:t>
      </w:r>
      <w:r w:rsidRPr="00E30058">
        <w:t>PERMANOVA+ for PRIMER</w:t>
      </w:r>
      <w:r>
        <w:t xml:space="preserve"> (Anderson </w:t>
      </w:r>
      <w:r w:rsidRPr="00E30058">
        <w:rPr>
          <w:i/>
          <w:iCs/>
        </w:rPr>
        <w:t>et al.</w:t>
      </w:r>
      <w:r>
        <w:t xml:space="preserve"> 2008). Indicator Species Analysis </w:t>
      </w:r>
      <w:r w:rsidRPr="008626DF">
        <w:t>(Dufrene and Legendre 1997)</w:t>
      </w:r>
      <w:r>
        <w:t xml:space="preserve"> was undertaken using the package PCOrd version 5.12 </w:t>
      </w:r>
      <w:r w:rsidRPr="00E30058">
        <w:t>(McCune and Mefford 2006)</w:t>
      </w:r>
      <w:r>
        <w:t xml:space="preserve">. Above ground biomass was compared between the different inundation zones and reaches using univariate PERMANOVA using the package </w:t>
      </w:r>
      <w:r w:rsidRPr="00E30058">
        <w:t>PERMANOVA+ for PRIMER</w:t>
      </w:r>
      <w:r>
        <w:t xml:space="preserve"> (Anderson </w:t>
      </w:r>
      <w:r w:rsidRPr="00E30058">
        <w:rPr>
          <w:i/>
          <w:iCs/>
        </w:rPr>
        <w:t>et al.</w:t>
      </w:r>
      <w:r>
        <w:t xml:space="preserve"> 2008). Euclidean distances were used to calculate the similarity matrix for the univariate PERMANVA analysis.  </w:t>
      </w:r>
    </w:p>
    <w:p w14:paraId="7573C9B1" w14:textId="77777777" w:rsidR="002F3182" w:rsidRDefault="002F3182" w:rsidP="002F3182">
      <w:r w:rsidRPr="00BE524E">
        <w:t>Dufrene and Legendre’s (1997) indicator species analysis combines information on the concentration of species abundance in a particular group (</w:t>
      </w:r>
      <w:r>
        <w:t>inundation zone</w:t>
      </w:r>
      <w:r w:rsidRPr="00BE524E">
        <w:t xml:space="preserve">) and the faithfulness of occurrence of a species in a particular group (McCune </w:t>
      </w:r>
      <w:r w:rsidRPr="00BE524E">
        <w:rPr>
          <w:i/>
          <w:iCs/>
        </w:rPr>
        <w:t>et al.</w:t>
      </w:r>
      <w:r w:rsidRPr="00BE524E">
        <w:t xml:space="preserve"> 2002). A perfect indicator of a particular group should be faithful to that group (always present) and exclusive to that group (never occurring in other groups) (McCune </w:t>
      </w:r>
      <w:r w:rsidRPr="00BE1769">
        <w:rPr>
          <w:i/>
          <w:iCs/>
        </w:rPr>
        <w:t>et al</w:t>
      </w:r>
      <w:r w:rsidRPr="00BE524E">
        <w:t xml:space="preserve">. 2002). This test produces indicator values for each species in each group based on the standards of the prefect indicator. Statistical significance of each indicator value is tested by using a Monte Carlo (randomisation) technique, where the real data </w:t>
      </w:r>
      <w:r>
        <w:t>are</w:t>
      </w:r>
      <w:r w:rsidRPr="00BE524E">
        <w:t xml:space="preserve"> compared against</w:t>
      </w:r>
      <w:r>
        <w:t xml:space="preserve"> (in this case)</w:t>
      </w:r>
      <w:r w:rsidRPr="00BE524E">
        <w:t xml:space="preserve"> 5</w:t>
      </w:r>
      <w:r>
        <w:t>,</w:t>
      </w:r>
      <w:r w:rsidRPr="00BE524E">
        <w:t xml:space="preserve">000 runs of randomised data (Dufrene and Legendre 1997). For this study, the groups were assigned according to </w:t>
      </w:r>
      <w:r>
        <w:t>inundation zone within a reach (planned comparison)</w:t>
      </w:r>
      <w:r w:rsidRPr="00BE524E">
        <w:t>. A species that is deemed not to be a significant indicator of a particular group is either uncommon or widespread. An uncommon species is only found in one group but in low numbers</w:t>
      </w:r>
      <w:r>
        <w:t>,</w:t>
      </w:r>
      <w:r w:rsidRPr="00BE524E">
        <w:t xml:space="preserve"> and a widespread species is found in more than one group in similar numbers (Dufrene and Legendre 1997). Whether a species was classed as a widespread or uncommon non-significant species was determined by examination of the raw data.</w:t>
      </w:r>
    </w:p>
    <w:p w14:paraId="760D734C" w14:textId="77777777" w:rsidR="002F3182" w:rsidRPr="00E35C12" w:rsidRDefault="002F3182" w:rsidP="002F3182">
      <w:pPr>
        <w:pStyle w:val="Heading3"/>
        <w:rPr>
          <w:lang w:eastAsia="en-AU"/>
        </w:rPr>
      </w:pPr>
      <w:r w:rsidRPr="00E35C12">
        <w:rPr>
          <w:lang w:eastAsia="en-AU"/>
        </w:rPr>
        <w:t>Results</w:t>
      </w:r>
    </w:p>
    <w:p w14:paraId="7D0D2F4E" w14:textId="77777777" w:rsidR="002F3182" w:rsidRDefault="002F3182" w:rsidP="002F3182">
      <w:r>
        <w:rPr>
          <w:i/>
          <w:u w:val="single"/>
        </w:rPr>
        <w:t>Littoral plant communities</w:t>
      </w:r>
    </w:p>
    <w:p w14:paraId="7DDCB78C" w14:textId="369FA951" w:rsidR="002F3182" w:rsidRDefault="002F3182" w:rsidP="002F3182">
      <w:r>
        <w:t>Native species richness was variable between reaches, with the reach downstream of Lock 1 having the highest native species richness (34) across all zones, followed by Lock 6 (28) and Lock 4 (24) (Table D</w:t>
      </w:r>
      <w:r w:rsidR="00DD27F8">
        <w:t>6</w:t>
      </w:r>
      <w:r>
        <w:t xml:space="preserve">, Appendix D). Despite the variability among reaches, there were common patterns of native species richness within reaches. The inundated zone had the highest species richness in all reaches and </w:t>
      </w:r>
      <w:r w:rsidR="00071B4B">
        <w:t xml:space="preserve">the inundation extent the </w:t>
      </w:r>
      <w:r>
        <w:t xml:space="preserve">lowest downstream of </w:t>
      </w:r>
      <w:r w:rsidR="003C03B0">
        <w:t>L</w:t>
      </w:r>
      <w:r>
        <w:t>ocks 1 and 6 (</w:t>
      </w:r>
      <w:r>
        <w:fldChar w:fldCharType="begin"/>
      </w:r>
      <w:r>
        <w:instrText xml:space="preserve"> REF _Ref58354694 \h </w:instrText>
      </w:r>
      <w:r>
        <w:fldChar w:fldCharType="separate"/>
      </w:r>
      <w:r w:rsidR="003C13F6">
        <w:t xml:space="preserve">Figure </w:t>
      </w:r>
      <w:r w:rsidR="003C13F6">
        <w:rPr>
          <w:noProof/>
        </w:rPr>
        <w:t>34</w:t>
      </w:r>
      <w:r>
        <w:fldChar w:fldCharType="end"/>
      </w:r>
      <w:r>
        <w:t>).</w:t>
      </w:r>
    </w:p>
    <w:p w14:paraId="177A6B93" w14:textId="77777777" w:rsidR="002F3182" w:rsidRDefault="002F3182" w:rsidP="002F3182">
      <w:r w:rsidRPr="00C656B4">
        <w:rPr>
          <w:noProof/>
        </w:rPr>
        <w:drawing>
          <wp:inline distT="0" distB="0" distL="0" distR="0" wp14:anchorId="492B7495" wp14:editId="23244AED">
            <wp:extent cx="5731510" cy="3538855"/>
            <wp:effectExtent l="0" t="0" r="2540" b="444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3538855"/>
                    </a:xfrm>
                    <a:prstGeom prst="rect">
                      <a:avLst/>
                    </a:prstGeom>
                    <a:noFill/>
                    <a:ln>
                      <a:noFill/>
                    </a:ln>
                  </pic:spPr>
                </pic:pic>
              </a:graphicData>
            </a:graphic>
          </wp:inline>
        </w:drawing>
      </w:r>
    </w:p>
    <w:p w14:paraId="4E7DA7AA" w14:textId="760B0BCF" w:rsidR="002F3182" w:rsidRDefault="002F3182" w:rsidP="002F3182">
      <w:pPr>
        <w:pStyle w:val="FigureCaption"/>
      </w:pPr>
      <w:bookmarkStart w:id="202" w:name="_Ref58354694"/>
      <w:bookmarkStart w:id="203" w:name="_Toc89696164"/>
      <w:bookmarkStart w:id="204" w:name="_Toc101963826"/>
      <w:r>
        <w:t xml:space="preserve">Figure </w:t>
      </w:r>
      <w:fldSimple w:instr=" SEQ Figure \* ARABIC ">
        <w:r w:rsidR="003C13F6">
          <w:rPr>
            <w:noProof/>
          </w:rPr>
          <w:t>34</w:t>
        </w:r>
      </w:fldSimple>
      <w:bookmarkEnd w:id="202"/>
      <w:r w:rsidRPr="00825C20">
        <w:t xml:space="preserve">. </w:t>
      </w:r>
      <w:r>
        <w:t>Native species richness in each inundation zone in each reach in February 2021.</w:t>
      </w:r>
      <w:bookmarkEnd w:id="203"/>
      <w:bookmarkEnd w:id="204"/>
      <w:r w:rsidRPr="00825C20">
        <w:t xml:space="preserve">  </w:t>
      </w:r>
    </w:p>
    <w:p w14:paraId="4596069D" w14:textId="5F2D439C" w:rsidR="002F3182" w:rsidRDefault="002F3182" w:rsidP="002F3182">
      <w:pPr>
        <w:rPr>
          <w:b/>
        </w:rPr>
        <w:sectPr w:rsidR="002F3182" w:rsidSect="00DA3F0D">
          <w:pgSz w:w="11906" w:h="16838"/>
          <w:pgMar w:top="1440" w:right="1440" w:bottom="1440" w:left="1440" w:header="708" w:footer="708" w:gutter="0"/>
          <w:cols w:space="708"/>
          <w:docGrid w:linePitch="360"/>
        </w:sectPr>
      </w:pPr>
      <w:r>
        <w:t>The abundance of functional groups (percentage of cells occupied by species from each functional group) in each zone was variable between reaches with more of every functional group present downstream of Lock 1 (</w:t>
      </w:r>
      <w:r>
        <w:fldChar w:fldCharType="begin"/>
      </w:r>
      <w:r>
        <w:instrText xml:space="preserve"> REF _Ref58573865 \h </w:instrText>
      </w:r>
      <w:r>
        <w:fldChar w:fldCharType="separate"/>
      </w:r>
      <w:r w:rsidR="003C13F6">
        <w:t xml:space="preserve">Figure </w:t>
      </w:r>
      <w:r w:rsidR="003C13F6">
        <w:rPr>
          <w:noProof/>
        </w:rPr>
        <w:t>35</w:t>
      </w:r>
      <w:r>
        <w:fldChar w:fldCharType="end"/>
      </w:r>
      <w:r>
        <w:t xml:space="preserve">). Nevertheless, there were similar patterns among reaches regarding the influence of inundation; terrestrial taxa were typically more abundant in non-inundated areas (the </w:t>
      </w:r>
      <w:r w:rsidRPr="00C877CC">
        <w:rPr>
          <w:i/>
          <w:iCs/>
        </w:rPr>
        <w:t>Not inundated</w:t>
      </w:r>
      <w:r>
        <w:t xml:space="preserve"> and </w:t>
      </w:r>
      <w:r w:rsidRPr="00C877CC">
        <w:rPr>
          <w:i/>
          <w:iCs/>
        </w:rPr>
        <w:t>Inundation extent</w:t>
      </w:r>
      <w:r>
        <w:t xml:space="preserve"> zones) and contrastingly, there was an increase in emergent taxa with decreasing elevation (</w:t>
      </w:r>
      <w:r>
        <w:fldChar w:fldCharType="begin"/>
      </w:r>
      <w:r>
        <w:instrText xml:space="preserve"> REF _Ref58573865 \h </w:instrText>
      </w:r>
      <w:r>
        <w:fldChar w:fldCharType="separate"/>
      </w:r>
      <w:r w:rsidR="003C13F6">
        <w:t xml:space="preserve">Figure </w:t>
      </w:r>
      <w:r w:rsidR="003C13F6">
        <w:rPr>
          <w:noProof/>
        </w:rPr>
        <w:t>35</w:t>
      </w:r>
      <w:r>
        <w:fldChar w:fldCharType="end"/>
      </w:r>
      <w:r>
        <w:t>). Flood dependent and amphibious taxa were widespread and present in all zones in each reach (</w:t>
      </w:r>
      <w:r>
        <w:fldChar w:fldCharType="begin"/>
      </w:r>
      <w:r>
        <w:instrText xml:space="preserve"> REF _Ref58573865 \h </w:instrText>
      </w:r>
      <w:r>
        <w:fldChar w:fldCharType="separate"/>
      </w:r>
      <w:r w:rsidR="003C13F6">
        <w:t xml:space="preserve">Figure </w:t>
      </w:r>
      <w:r w:rsidR="003C13F6">
        <w:rPr>
          <w:noProof/>
        </w:rPr>
        <w:t>35</w:t>
      </w:r>
      <w:r>
        <w:fldChar w:fldCharType="end"/>
      </w:r>
      <w:r>
        <w:t xml:space="preserve">). Amphibious species increased in abundance with decreasing elevation downstream of Lock 1 and Lock 6 but were most abundant in the </w:t>
      </w:r>
      <w:r w:rsidRPr="00C877CC">
        <w:rPr>
          <w:i/>
          <w:iCs/>
        </w:rPr>
        <w:t>Inundated</w:t>
      </w:r>
      <w:r>
        <w:t xml:space="preserve"> zone downstream of Lock 4 (</w:t>
      </w:r>
      <w:r>
        <w:fldChar w:fldCharType="begin"/>
      </w:r>
      <w:r>
        <w:instrText xml:space="preserve"> REF _Ref58573865 \h </w:instrText>
      </w:r>
      <w:r>
        <w:fldChar w:fldCharType="separate"/>
      </w:r>
      <w:r w:rsidR="003C13F6">
        <w:t xml:space="preserve">Figure </w:t>
      </w:r>
      <w:r w:rsidR="003C13F6">
        <w:rPr>
          <w:noProof/>
        </w:rPr>
        <w:t>35</w:t>
      </w:r>
      <w:r>
        <w:fldChar w:fldCharType="end"/>
      </w:r>
      <w:r>
        <w:t>). The abundance of flood dependent taxa varied between reaches with the highest abundance downstream of Lock 1 in the Inundation extent zone, at Pool level downstream of Lock 4 and in the Inundated zone downstream of Lock 6 (</w:t>
      </w:r>
      <w:r>
        <w:fldChar w:fldCharType="begin"/>
      </w:r>
      <w:r>
        <w:instrText xml:space="preserve"> REF _Ref58573865 \h </w:instrText>
      </w:r>
      <w:r>
        <w:fldChar w:fldCharType="separate"/>
      </w:r>
      <w:r w:rsidR="003C13F6">
        <w:t xml:space="preserve">Figure </w:t>
      </w:r>
      <w:r w:rsidR="003C13F6">
        <w:rPr>
          <w:noProof/>
        </w:rPr>
        <w:t>35</w:t>
      </w:r>
      <w:r>
        <w:fldChar w:fldCharType="end"/>
      </w:r>
      <w:r>
        <w:t>).</w:t>
      </w:r>
    </w:p>
    <w:p w14:paraId="2788976B" w14:textId="77777777" w:rsidR="002F3182" w:rsidRDefault="002F3182" w:rsidP="002F3182">
      <w:pPr>
        <w:jc w:val="center"/>
      </w:pPr>
      <w:r w:rsidRPr="000D2900">
        <w:rPr>
          <w:noProof/>
        </w:rPr>
        <w:drawing>
          <wp:inline distT="0" distB="0" distL="0" distR="0" wp14:anchorId="425B34EC" wp14:editId="400A1EDF">
            <wp:extent cx="8808985" cy="4341412"/>
            <wp:effectExtent l="0" t="0" r="0"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819217" cy="4346455"/>
                    </a:xfrm>
                    <a:prstGeom prst="rect">
                      <a:avLst/>
                    </a:prstGeom>
                    <a:noFill/>
                    <a:ln>
                      <a:noFill/>
                    </a:ln>
                  </pic:spPr>
                </pic:pic>
              </a:graphicData>
            </a:graphic>
          </wp:inline>
        </w:drawing>
      </w:r>
    </w:p>
    <w:p w14:paraId="3E25AA4E" w14:textId="789FFEB4" w:rsidR="002F3182" w:rsidRDefault="002F3182" w:rsidP="002F3182">
      <w:pPr>
        <w:pStyle w:val="FigureCaption"/>
        <w:sectPr w:rsidR="002F3182" w:rsidSect="00653BDD">
          <w:pgSz w:w="16838" w:h="11906" w:orient="landscape"/>
          <w:pgMar w:top="1440" w:right="1440" w:bottom="1440" w:left="1440" w:header="708" w:footer="708" w:gutter="0"/>
          <w:cols w:space="708"/>
          <w:docGrid w:linePitch="360"/>
        </w:sectPr>
      </w:pPr>
      <w:bookmarkStart w:id="205" w:name="_Ref58573865"/>
      <w:bookmarkStart w:id="206" w:name="_Toc89696165"/>
      <w:bookmarkStart w:id="207" w:name="_Toc101963827"/>
      <w:r>
        <w:t xml:space="preserve">Figure </w:t>
      </w:r>
      <w:fldSimple w:instr=" SEQ Figure \* ARABIC ">
        <w:r w:rsidR="003C13F6">
          <w:rPr>
            <w:noProof/>
          </w:rPr>
          <w:t>35</w:t>
        </w:r>
      </w:fldSimple>
      <w:bookmarkEnd w:id="205"/>
      <w:r w:rsidRPr="00825C20">
        <w:t xml:space="preserve">. </w:t>
      </w:r>
      <w:r>
        <w:t>Percentage of cells occupied by each functional group in each inundation zone in in the Lower Murray River in February 2021</w:t>
      </w:r>
      <w:bookmarkEnd w:id="206"/>
      <w:bookmarkEnd w:id="207"/>
    </w:p>
    <w:p w14:paraId="46034249" w14:textId="6132DB24" w:rsidR="002F3182" w:rsidRDefault="002F3182" w:rsidP="002F3182">
      <w:r>
        <w:t>nMDS ordination showed that the vegetation was different between elevation zones and reaches (</w:t>
      </w:r>
      <w:r>
        <w:fldChar w:fldCharType="begin"/>
      </w:r>
      <w:r>
        <w:instrText xml:space="preserve"> REF _Ref58438840 \h </w:instrText>
      </w:r>
      <w:r>
        <w:fldChar w:fldCharType="separate"/>
      </w:r>
      <w:r w:rsidR="003C13F6">
        <w:t xml:space="preserve">Figure </w:t>
      </w:r>
      <w:r w:rsidR="003C13F6">
        <w:rPr>
          <w:noProof/>
        </w:rPr>
        <w:t>36</w:t>
      </w:r>
      <w:r>
        <w:fldChar w:fldCharType="end"/>
      </w:r>
      <w:r>
        <w:t>). This was supported with PERMANOVA detecting significant differences in the plant community between reaches and inundation zones, with a significant interaction (</w:t>
      </w:r>
      <w:r>
        <w:fldChar w:fldCharType="begin"/>
      </w:r>
      <w:r>
        <w:instrText xml:space="preserve"> REF _Ref58439411 \h </w:instrText>
      </w:r>
      <w:r>
        <w:fldChar w:fldCharType="separate"/>
      </w:r>
      <w:r w:rsidR="003C13F6">
        <w:t xml:space="preserve">Table </w:t>
      </w:r>
      <w:r w:rsidR="003C13F6">
        <w:rPr>
          <w:noProof/>
        </w:rPr>
        <w:t>10</w:t>
      </w:r>
      <w:r>
        <w:fldChar w:fldCharType="end"/>
      </w:r>
      <w:r>
        <w:t xml:space="preserve">). This provides evidence that the plant community responded differently to inundation between reaches. Multiple comparisons showed that there was no significant difference in the plant community between </w:t>
      </w:r>
      <w:r w:rsidRPr="0014144A">
        <w:rPr>
          <w:i/>
          <w:iCs/>
        </w:rPr>
        <w:t>Pool level</w:t>
      </w:r>
      <w:r>
        <w:t xml:space="preserve"> and the </w:t>
      </w:r>
      <w:r w:rsidRPr="0014144A">
        <w:rPr>
          <w:i/>
          <w:iCs/>
        </w:rPr>
        <w:t>Inundated</w:t>
      </w:r>
      <w:r>
        <w:t xml:space="preserve"> zone and the </w:t>
      </w:r>
      <w:r w:rsidRPr="00797B36">
        <w:rPr>
          <w:i/>
          <w:iCs/>
        </w:rPr>
        <w:t>Not inundated</w:t>
      </w:r>
      <w:r>
        <w:t xml:space="preserve"> and </w:t>
      </w:r>
      <w:r w:rsidRPr="005B0AB5">
        <w:rPr>
          <w:i/>
          <w:iCs/>
        </w:rPr>
        <w:t>Inundation extent</w:t>
      </w:r>
      <w:r>
        <w:t xml:space="preserve"> zones downstream of </w:t>
      </w:r>
      <w:r w:rsidR="003C03B0">
        <w:t>L</w:t>
      </w:r>
      <w:r>
        <w:t>ocks 4 and 6 (</w:t>
      </w:r>
      <w:r>
        <w:fldChar w:fldCharType="begin"/>
      </w:r>
      <w:r>
        <w:instrText xml:space="preserve"> REF _Ref58438840 \h </w:instrText>
      </w:r>
      <w:r>
        <w:fldChar w:fldCharType="separate"/>
      </w:r>
      <w:r w:rsidR="003C13F6">
        <w:t xml:space="preserve">Figure </w:t>
      </w:r>
      <w:r w:rsidR="003C13F6">
        <w:rPr>
          <w:noProof/>
        </w:rPr>
        <w:t>36</w:t>
      </w:r>
      <w:r>
        <w:fldChar w:fldCharType="end"/>
      </w:r>
      <w:r>
        <w:t xml:space="preserve">). In contrast, downstream of Lock 1 there was no significant difference in the vegetation in the </w:t>
      </w:r>
      <w:r w:rsidRPr="004C76BE">
        <w:rPr>
          <w:i/>
          <w:iCs/>
        </w:rPr>
        <w:t>Not inundated, Inundation extent</w:t>
      </w:r>
      <w:r>
        <w:t xml:space="preserve"> and </w:t>
      </w:r>
      <w:r w:rsidRPr="004C76BE">
        <w:rPr>
          <w:i/>
          <w:iCs/>
        </w:rPr>
        <w:t>Inundated zones</w:t>
      </w:r>
      <w:r>
        <w:t xml:space="preserve">, whereas they were significantly different from the vegetation in the </w:t>
      </w:r>
      <w:r w:rsidRPr="000A1992">
        <w:rPr>
          <w:i/>
          <w:iCs/>
        </w:rPr>
        <w:t>Pool level</w:t>
      </w:r>
      <w:r>
        <w:t xml:space="preserve"> zone (</w:t>
      </w:r>
      <w:r>
        <w:fldChar w:fldCharType="begin"/>
      </w:r>
      <w:r>
        <w:instrText xml:space="preserve"> REF _Ref58438840 \h </w:instrText>
      </w:r>
      <w:r>
        <w:fldChar w:fldCharType="separate"/>
      </w:r>
      <w:r w:rsidR="003C13F6">
        <w:t xml:space="preserve">Figure </w:t>
      </w:r>
      <w:r w:rsidR="003C13F6">
        <w:rPr>
          <w:noProof/>
        </w:rPr>
        <w:t>36</w:t>
      </w:r>
      <w:r>
        <w:fldChar w:fldCharType="end"/>
      </w:r>
      <w:r>
        <w:t>).</w:t>
      </w:r>
    </w:p>
    <w:p w14:paraId="0612BD18" w14:textId="77777777" w:rsidR="002F3182" w:rsidRDefault="002F3182" w:rsidP="00AE69FC">
      <w:pPr>
        <w:jc w:val="center"/>
      </w:pPr>
      <w:r w:rsidRPr="0008001F">
        <w:rPr>
          <w:noProof/>
        </w:rPr>
        <w:drawing>
          <wp:inline distT="0" distB="0" distL="0" distR="0" wp14:anchorId="5F4F2262" wp14:editId="0FE4F147">
            <wp:extent cx="5343434" cy="3270234"/>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52689" cy="3275898"/>
                    </a:xfrm>
                    <a:prstGeom prst="rect">
                      <a:avLst/>
                    </a:prstGeom>
                    <a:noFill/>
                    <a:ln>
                      <a:noFill/>
                    </a:ln>
                  </pic:spPr>
                </pic:pic>
              </a:graphicData>
            </a:graphic>
          </wp:inline>
        </w:drawing>
      </w:r>
    </w:p>
    <w:p w14:paraId="17ECFBA4" w14:textId="3D79710B" w:rsidR="002F3182" w:rsidRDefault="002F3182" w:rsidP="002F3182">
      <w:pPr>
        <w:pStyle w:val="FigureCaption"/>
      </w:pPr>
      <w:bookmarkStart w:id="208" w:name="_Ref58438840"/>
      <w:bookmarkStart w:id="209" w:name="_Toc89696166"/>
      <w:bookmarkStart w:id="210" w:name="_Toc101963828"/>
      <w:r>
        <w:t xml:space="preserve">Figure </w:t>
      </w:r>
      <w:fldSimple w:instr=" SEQ Figure \* ARABIC ">
        <w:r w:rsidR="003C13F6">
          <w:rPr>
            <w:noProof/>
          </w:rPr>
          <w:t>36</w:t>
        </w:r>
      </w:fldSimple>
      <w:bookmarkEnd w:id="208"/>
      <w:r w:rsidRPr="00825C20">
        <w:t xml:space="preserve">. </w:t>
      </w:r>
      <w:r>
        <w:t>nMDS Ordination comparing the plant community in each inundation zone in each reach in February 2021.</w:t>
      </w:r>
      <w:bookmarkEnd w:id="209"/>
      <w:bookmarkEnd w:id="210"/>
      <w:r w:rsidRPr="00825C20">
        <w:t xml:space="preserve">  </w:t>
      </w:r>
    </w:p>
    <w:p w14:paraId="797E85B6" w14:textId="3F6C7A27" w:rsidR="002F3182" w:rsidRPr="003F5C8F" w:rsidRDefault="002F3182" w:rsidP="002F3182">
      <w:pPr>
        <w:pStyle w:val="Caption"/>
        <w:rPr>
          <w:lang w:val="en-US"/>
        </w:rPr>
      </w:pPr>
      <w:bookmarkStart w:id="211" w:name="_Ref58439411"/>
      <w:bookmarkStart w:id="212" w:name="_Toc89696155"/>
      <w:bookmarkStart w:id="213" w:name="_Toc101963868"/>
      <w:r>
        <w:t xml:space="preserve">Table </w:t>
      </w:r>
      <w:r>
        <w:rPr>
          <w:noProof/>
        </w:rPr>
        <w:fldChar w:fldCharType="begin"/>
      </w:r>
      <w:r>
        <w:rPr>
          <w:noProof/>
        </w:rPr>
        <w:instrText xml:space="preserve"> SEQ Table \* ARABIC </w:instrText>
      </w:r>
      <w:r>
        <w:rPr>
          <w:noProof/>
        </w:rPr>
        <w:fldChar w:fldCharType="separate"/>
      </w:r>
      <w:r w:rsidR="003C13F6">
        <w:rPr>
          <w:noProof/>
        </w:rPr>
        <w:t>10</w:t>
      </w:r>
      <w:r>
        <w:rPr>
          <w:noProof/>
        </w:rPr>
        <w:fldChar w:fldCharType="end"/>
      </w:r>
      <w:bookmarkEnd w:id="211"/>
      <w:r>
        <w:rPr>
          <w:noProof/>
        </w:rPr>
        <w:t>.</w:t>
      </w:r>
      <w:r>
        <w:t xml:space="preserve"> PERMANOVA results comparing plant community in each inundation zone in each reach in February 2021.</w:t>
      </w:r>
      <w:bookmarkEnd w:id="212"/>
      <w:bookmarkEnd w:id="213"/>
    </w:p>
    <w:tbl>
      <w:tblPr>
        <w:tblW w:w="4934" w:type="dxa"/>
        <w:tblLook w:val="04A0" w:firstRow="1" w:lastRow="0" w:firstColumn="1" w:lastColumn="0" w:noHBand="0" w:noVBand="1"/>
      </w:tblPr>
      <w:tblGrid>
        <w:gridCol w:w="1980"/>
        <w:gridCol w:w="1134"/>
        <w:gridCol w:w="1120"/>
        <w:gridCol w:w="700"/>
      </w:tblGrid>
      <w:tr w:rsidR="002F3182" w:rsidRPr="006E0188" w14:paraId="2074375C" w14:textId="77777777" w:rsidTr="005050BB">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C8DBC" w14:textId="77777777" w:rsidR="002F3182" w:rsidRPr="006E0188" w:rsidRDefault="002F3182" w:rsidP="005050BB">
            <w:pPr>
              <w:spacing w:before="0" w:after="0" w:line="240" w:lineRule="auto"/>
              <w:jc w:val="center"/>
              <w:rPr>
                <w:rFonts w:cs="Calibri"/>
                <w:b/>
                <w:bCs/>
                <w:kern w:val="0"/>
                <w:sz w:val="19"/>
                <w:szCs w:val="19"/>
                <w:lang w:eastAsia="en-AU"/>
              </w:rPr>
            </w:pPr>
            <w:r w:rsidRPr="006E0188">
              <w:rPr>
                <w:rFonts w:cs="Calibri"/>
                <w:b/>
                <w:bCs/>
                <w:kern w:val="0"/>
                <w:sz w:val="19"/>
                <w:szCs w:val="19"/>
                <w:lang w:eastAsia="en-AU"/>
              </w:rPr>
              <w:t>Factor</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9360716" w14:textId="77777777" w:rsidR="002F3182" w:rsidRPr="006E0188" w:rsidRDefault="002F3182" w:rsidP="005050BB">
            <w:pPr>
              <w:spacing w:before="0" w:after="0" w:line="240" w:lineRule="auto"/>
              <w:jc w:val="center"/>
              <w:rPr>
                <w:rFonts w:cs="Calibri"/>
                <w:b/>
                <w:bCs/>
                <w:kern w:val="0"/>
                <w:sz w:val="19"/>
                <w:szCs w:val="19"/>
                <w:lang w:eastAsia="en-AU"/>
              </w:rPr>
            </w:pPr>
            <w:r w:rsidRPr="006E0188">
              <w:rPr>
                <w:rFonts w:cs="Calibri"/>
                <w:b/>
                <w:bCs/>
                <w:kern w:val="0"/>
                <w:sz w:val="19"/>
                <w:szCs w:val="19"/>
                <w:lang w:eastAsia="en-AU"/>
              </w:rPr>
              <w:t>DF</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28BAD420" w14:textId="77777777" w:rsidR="002F3182" w:rsidRPr="006E0188" w:rsidRDefault="002F3182" w:rsidP="005050BB">
            <w:pPr>
              <w:spacing w:before="0" w:after="0" w:line="240" w:lineRule="auto"/>
              <w:jc w:val="center"/>
              <w:rPr>
                <w:rFonts w:cs="Calibri"/>
                <w:b/>
                <w:bCs/>
                <w:i/>
                <w:iCs/>
                <w:kern w:val="0"/>
                <w:sz w:val="19"/>
                <w:szCs w:val="19"/>
                <w:lang w:eastAsia="en-AU"/>
              </w:rPr>
            </w:pPr>
            <w:r w:rsidRPr="006E0188">
              <w:rPr>
                <w:rFonts w:cs="Calibri"/>
                <w:b/>
                <w:bCs/>
                <w:i/>
                <w:iCs/>
                <w:kern w:val="0"/>
                <w:sz w:val="19"/>
                <w:szCs w:val="19"/>
                <w:lang w:eastAsia="en-AU"/>
              </w:rPr>
              <w:t>Pseudo F</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2268904A" w14:textId="77777777" w:rsidR="002F3182" w:rsidRPr="006E0188" w:rsidRDefault="002F3182" w:rsidP="005050BB">
            <w:pPr>
              <w:spacing w:before="0" w:after="0" w:line="240" w:lineRule="auto"/>
              <w:jc w:val="center"/>
              <w:rPr>
                <w:rFonts w:cs="Calibri"/>
                <w:b/>
                <w:bCs/>
                <w:i/>
                <w:iCs/>
                <w:kern w:val="0"/>
                <w:sz w:val="19"/>
                <w:szCs w:val="19"/>
                <w:lang w:eastAsia="en-AU"/>
              </w:rPr>
            </w:pPr>
            <w:r w:rsidRPr="006E0188">
              <w:rPr>
                <w:rFonts w:cs="Calibri"/>
                <w:b/>
                <w:bCs/>
                <w:i/>
                <w:iCs/>
                <w:kern w:val="0"/>
                <w:sz w:val="19"/>
                <w:szCs w:val="19"/>
                <w:lang w:eastAsia="en-AU"/>
              </w:rPr>
              <w:t>P</w:t>
            </w:r>
          </w:p>
        </w:tc>
      </w:tr>
      <w:tr w:rsidR="002F3182" w:rsidRPr="006E0188" w14:paraId="655310F8"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57C7B0C" w14:textId="77777777" w:rsidR="002F3182" w:rsidRPr="006E0188" w:rsidRDefault="002F3182" w:rsidP="005050BB">
            <w:pPr>
              <w:spacing w:before="0" w:after="0" w:line="240" w:lineRule="auto"/>
              <w:jc w:val="left"/>
              <w:rPr>
                <w:rFonts w:cs="Calibri"/>
                <w:kern w:val="0"/>
                <w:sz w:val="19"/>
                <w:szCs w:val="19"/>
                <w:lang w:eastAsia="en-AU"/>
              </w:rPr>
            </w:pPr>
            <w:r w:rsidRPr="006E0188">
              <w:rPr>
                <w:rFonts w:cs="Calibri"/>
                <w:kern w:val="0"/>
                <w:sz w:val="19"/>
                <w:szCs w:val="19"/>
                <w:lang w:eastAsia="en-AU"/>
              </w:rPr>
              <w:t>Site</w:t>
            </w:r>
          </w:p>
        </w:tc>
        <w:tc>
          <w:tcPr>
            <w:tcW w:w="1134" w:type="dxa"/>
            <w:tcBorders>
              <w:top w:val="nil"/>
              <w:left w:val="nil"/>
              <w:bottom w:val="single" w:sz="4" w:space="0" w:color="auto"/>
              <w:right w:val="single" w:sz="4" w:space="0" w:color="auto"/>
            </w:tcBorders>
            <w:shd w:val="clear" w:color="auto" w:fill="auto"/>
            <w:noWrap/>
            <w:vAlign w:val="bottom"/>
            <w:hideMark/>
          </w:tcPr>
          <w:p w14:paraId="33893ECC"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2, 121</w:t>
            </w:r>
          </w:p>
        </w:tc>
        <w:tc>
          <w:tcPr>
            <w:tcW w:w="1120" w:type="dxa"/>
            <w:tcBorders>
              <w:top w:val="nil"/>
              <w:left w:val="nil"/>
              <w:bottom w:val="single" w:sz="4" w:space="0" w:color="auto"/>
              <w:right w:val="single" w:sz="4" w:space="0" w:color="auto"/>
            </w:tcBorders>
            <w:shd w:val="clear" w:color="auto" w:fill="auto"/>
            <w:noWrap/>
            <w:vAlign w:val="bottom"/>
            <w:hideMark/>
          </w:tcPr>
          <w:p w14:paraId="333ADDDE"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8.14</w:t>
            </w:r>
          </w:p>
        </w:tc>
        <w:tc>
          <w:tcPr>
            <w:tcW w:w="700" w:type="dxa"/>
            <w:tcBorders>
              <w:top w:val="nil"/>
              <w:left w:val="nil"/>
              <w:bottom w:val="single" w:sz="4" w:space="0" w:color="auto"/>
              <w:right w:val="single" w:sz="4" w:space="0" w:color="auto"/>
            </w:tcBorders>
            <w:shd w:val="clear" w:color="auto" w:fill="auto"/>
            <w:noWrap/>
            <w:vAlign w:val="bottom"/>
            <w:hideMark/>
          </w:tcPr>
          <w:p w14:paraId="745E6B9B"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0.001</w:t>
            </w:r>
          </w:p>
        </w:tc>
      </w:tr>
      <w:tr w:rsidR="002F3182" w:rsidRPr="006E0188" w14:paraId="1527D352"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EBED715" w14:textId="77777777" w:rsidR="002F3182" w:rsidRPr="006E0188" w:rsidRDefault="002F3182" w:rsidP="005050BB">
            <w:pPr>
              <w:spacing w:before="0" w:after="0" w:line="240" w:lineRule="auto"/>
              <w:jc w:val="left"/>
              <w:rPr>
                <w:rFonts w:cs="Calibri"/>
                <w:kern w:val="0"/>
                <w:sz w:val="19"/>
                <w:szCs w:val="19"/>
                <w:lang w:eastAsia="en-AU"/>
              </w:rPr>
            </w:pPr>
            <w:r w:rsidRPr="006E0188">
              <w:rPr>
                <w:rFonts w:cs="Calibri"/>
                <w:kern w:val="0"/>
                <w:sz w:val="19"/>
                <w:szCs w:val="19"/>
                <w:lang w:eastAsia="en-AU"/>
              </w:rPr>
              <w:t>Inundation</w:t>
            </w:r>
          </w:p>
        </w:tc>
        <w:tc>
          <w:tcPr>
            <w:tcW w:w="1134" w:type="dxa"/>
            <w:tcBorders>
              <w:top w:val="nil"/>
              <w:left w:val="nil"/>
              <w:bottom w:val="single" w:sz="4" w:space="0" w:color="auto"/>
              <w:right w:val="single" w:sz="4" w:space="0" w:color="auto"/>
            </w:tcBorders>
            <w:shd w:val="clear" w:color="auto" w:fill="auto"/>
            <w:noWrap/>
            <w:vAlign w:val="bottom"/>
            <w:hideMark/>
          </w:tcPr>
          <w:p w14:paraId="3A4E0411"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3, 121</w:t>
            </w:r>
          </w:p>
        </w:tc>
        <w:tc>
          <w:tcPr>
            <w:tcW w:w="1120" w:type="dxa"/>
            <w:tcBorders>
              <w:top w:val="nil"/>
              <w:left w:val="nil"/>
              <w:bottom w:val="single" w:sz="4" w:space="0" w:color="auto"/>
              <w:right w:val="single" w:sz="4" w:space="0" w:color="auto"/>
            </w:tcBorders>
            <w:shd w:val="clear" w:color="auto" w:fill="auto"/>
            <w:noWrap/>
            <w:vAlign w:val="bottom"/>
            <w:hideMark/>
          </w:tcPr>
          <w:p w14:paraId="5DFEC5EF"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4.76</w:t>
            </w:r>
          </w:p>
        </w:tc>
        <w:tc>
          <w:tcPr>
            <w:tcW w:w="700" w:type="dxa"/>
            <w:tcBorders>
              <w:top w:val="nil"/>
              <w:left w:val="nil"/>
              <w:bottom w:val="single" w:sz="4" w:space="0" w:color="auto"/>
              <w:right w:val="single" w:sz="4" w:space="0" w:color="auto"/>
            </w:tcBorders>
            <w:shd w:val="clear" w:color="auto" w:fill="auto"/>
            <w:noWrap/>
            <w:vAlign w:val="bottom"/>
            <w:hideMark/>
          </w:tcPr>
          <w:p w14:paraId="11FC3FCA"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0.001</w:t>
            </w:r>
          </w:p>
        </w:tc>
      </w:tr>
      <w:tr w:rsidR="002F3182" w:rsidRPr="006E0188" w14:paraId="46B6446B"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3E2A757" w14:textId="77777777" w:rsidR="002F3182" w:rsidRPr="006E0188" w:rsidRDefault="002F3182" w:rsidP="005050BB">
            <w:pPr>
              <w:spacing w:before="0" w:after="0" w:line="240" w:lineRule="auto"/>
              <w:jc w:val="left"/>
              <w:rPr>
                <w:rFonts w:cs="Calibri"/>
                <w:kern w:val="0"/>
                <w:sz w:val="19"/>
                <w:szCs w:val="19"/>
                <w:lang w:eastAsia="en-AU"/>
              </w:rPr>
            </w:pPr>
            <w:r w:rsidRPr="006E0188">
              <w:rPr>
                <w:rFonts w:cs="Calibri"/>
                <w:kern w:val="0"/>
                <w:sz w:val="19"/>
                <w:szCs w:val="19"/>
                <w:lang w:eastAsia="en-AU"/>
              </w:rPr>
              <w:t>Site x Inundation</w:t>
            </w:r>
          </w:p>
        </w:tc>
        <w:tc>
          <w:tcPr>
            <w:tcW w:w="1134" w:type="dxa"/>
            <w:tcBorders>
              <w:top w:val="nil"/>
              <w:left w:val="nil"/>
              <w:bottom w:val="single" w:sz="4" w:space="0" w:color="auto"/>
              <w:right w:val="single" w:sz="4" w:space="0" w:color="auto"/>
            </w:tcBorders>
            <w:shd w:val="clear" w:color="auto" w:fill="auto"/>
            <w:noWrap/>
            <w:vAlign w:val="bottom"/>
            <w:hideMark/>
          </w:tcPr>
          <w:p w14:paraId="193A7113"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6, 121</w:t>
            </w:r>
          </w:p>
        </w:tc>
        <w:tc>
          <w:tcPr>
            <w:tcW w:w="1120" w:type="dxa"/>
            <w:tcBorders>
              <w:top w:val="nil"/>
              <w:left w:val="nil"/>
              <w:bottom w:val="single" w:sz="4" w:space="0" w:color="auto"/>
              <w:right w:val="single" w:sz="4" w:space="0" w:color="auto"/>
            </w:tcBorders>
            <w:shd w:val="clear" w:color="auto" w:fill="auto"/>
            <w:noWrap/>
            <w:vAlign w:val="bottom"/>
            <w:hideMark/>
          </w:tcPr>
          <w:p w14:paraId="7210AFC7"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2.08</w:t>
            </w:r>
          </w:p>
        </w:tc>
        <w:tc>
          <w:tcPr>
            <w:tcW w:w="700" w:type="dxa"/>
            <w:tcBorders>
              <w:top w:val="nil"/>
              <w:left w:val="nil"/>
              <w:bottom w:val="single" w:sz="4" w:space="0" w:color="auto"/>
              <w:right w:val="single" w:sz="4" w:space="0" w:color="auto"/>
            </w:tcBorders>
            <w:shd w:val="clear" w:color="auto" w:fill="auto"/>
            <w:noWrap/>
            <w:vAlign w:val="bottom"/>
            <w:hideMark/>
          </w:tcPr>
          <w:p w14:paraId="0534693F" w14:textId="77777777" w:rsidR="002F3182" w:rsidRPr="006E0188" w:rsidRDefault="002F3182" w:rsidP="005050BB">
            <w:pPr>
              <w:spacing w:before="0" w:after="0" w:line="240" w:lineRule="auto"/>
              <w:jc w:val="center"/>
              <w:rPr>
                <w:rFonts w:cs="Calibri"/>
                <w:kern w:val="0"/>
                <w:sz w:val="19"/>
                <w:szCs w:val="19"/>
                <w:lang w:eastAsia="en-AU"/>
              </w:rPr>
            </w:pPr>
            <w:r w:rsidRPr="006E0188">
              <w:rPr>
                <w:rFonts w:cs="Calibri"/>
                <w:kern w:val="0"/>
                <w:sz w:val="19"/>
                <w:szCs w:val="19"/>
                <w:lang w:eastAsia="en-AU"/>
              </w:rPr>
              <w:t>0.001</w:t>
            </w:r>
          </w:p>
        </w:tc>
      </w:tr>
    </w:tbl>
    <w:p w14:paraId="596B8EFE" w14:textId="28E90B37" w:rsidR="002F3182" w:rsidRDefault="002F3182" w:rsidP="002F3182">
      <w:pPr>
        <w:spacing w:after="0"/>
      </w:pPr>
      <w:r>
        <w:t xml:space="preserve">Despite there being no significant difference between some of the zones, </w:t>
      </w:r>
      <w:r w:rsidRPr="005F5D77">
        <w:rPr>
          <w:i/>
          <w:iCs/>
        </w:rPr>
        <w:t>Alternanthera denticulata</w:t>
      </w:r>
      <w:r>
        <w:t xml:space="preserve"> and </w:t>
      </w:r>
      <w:r w:rsidRPr="005F5D77">
        <w:rPr>
          <w:i/>
          <w:iCs/>
        </w:rPr>
        <w:t>Sphaeromorphaea australis</w:t>
      </w:r>
      <w:r>
        <w:t xml:space="preserve"> were significant indicators of the </w:t>
      </w:r>
      <w:r w:rsidRPr="005F5D77">
        <w:rPr>
          <w:i/>
          <w:iCs/>
        </w:rPr>
        <w:t>Inundated</w:t>
      </w:r>
      <w:r>
        <w:t xml:space="preserve"> zone and </w:t>
      </w:r>
      <w:r w:rsidRPr="005F5D77">
        <w:rPr>
          <w:i/>
          <w:iCs/>
        </w:rPr>
        <w:t>Eleoc</w:t>
      </w:r>
      <w:r>
        <w:rPr>
          <w:i/>
          <w:iCs/>
        </w:rPr>
        <w:t>ha</w:t>
      </w:r>
      <w:r w:rsidRPr="005F5D77">
        <w:rPr>
          <w:i/>
          <w:iCs/>
        </w:rPr>
        <w:t>ris acuta, Juncus usitatus, Limosella australis, Paspalum distichum</w:t>
      </w:r>
      <w:r>
        <w:t xml:space="preserve"> and </w:t>
      </w:r>
      <w:r w:rsidRPr="005F5D77">
        <w:rPr>
          <w:i/>
          <w:iCs/>
        </w:rPr>
        <w:t>Schoenoplectus tabernaemontani</w:t>
      </w:r>
      <w:r>
        <w:t xml:space="preserve"> of </w:t>
      </w:r>
      <w:r w:rsidRPr="005F5D77">
        <w:rPr>
          <w:i/>
          <w:iCs/>
        </w:rPr>
        <w:t>Pool level</w:t>
      </w:r>
      <w:r>
        <w:t xml:space="preserve"> downstream of Lock 1 (Table D</w:t>
      </w:r>
      <w:r w:rsidR="00DD27F8">
        <w:t>6</w:t>
      </w:r>
      <w:r>
        <w:t xml:space="preserve">a, Appendix D). Downstream of Lock 4, </w:t>
      </w:r>
      <w:r w:rsidRPr="005F5D77">
        <w:rPr>
          <w:i/>
          <w:iCs/>
        </w:rPr>
        <w:t>Brachyschome paludicola</w:t>
      </w:r>
      <w:r>
        <w:t xml:space="preserve"> was more abundant in the </w:t>
      </w:r>
      <w:r w:rsidRPr="005F5D77">
        <w:rPr>
          <w:i/>
          <w:iCs/>
        </w:rPr>
        <w:t>Not inundated</w:t>
      </w:r>
      <w:r>
        <w:t xml:space="preserve"> zone, </w:t>
      </w:r>
      <w:r w:rsidRPr="005F5D77">
        <w:rPr>
          <w:i/>
          <w:iCs/>
        </w:rPr>
        <w:t>Enchylaena tomentosa</w:t>
      </w:r>
      <w:r>
        <w:t xml:space="preserve"> in the </w:t>
      </w:r>
      <w:r w:rsidRPr="005F5D77">
        <w:rPr>
          <w:i/>
          <w:iCs/>
        </w:rPr>
        <w:t>Inundation extent</w:t>
      </w:r>
      <w:r>
        <w:t xml:space="preserve"> zone and </w:t>
      </w:r>
      <w:r w:rsidRPr="005F5D77">
        <w:rPr>
          <w:i/>
          <w:iCs/>
        </w:rPr>
        <w:t>Stemodia florulenta</w:t>
      </w:r>
      <w:r>
        <w:t xml:space="preserve"> at Pool level (Table D</w:t>
      </w:r>
      <w:r w:rsidR="00DD27F8">
        <w:t>6</w:t>
      </w:r>
      <w:r>
        <w:t xml:space="preserve">b, Appendix D). Downstream of Lock 6 </w:t>
      </w:r>
      <w:r w:rsidRPr="005F5D77">
        <w:rPr>
          <w:i/>
          <w:iCs/>
        </w:rPr>
        <w:t>Atriplex</w:t>
      </w:r>
      <w:r>
        <w:t xml:space="preserve"> was a significant indicator of the </w:t>
      </w:r>
      <w:r w:rsidRPr="005F5D77">
        <w:rPr>
          <w:i/>
          <w:iCs/>
        </w:rPr>
        <w:t>Not inundated</w:t>
      </w:r>
      <w:r>
        <w:t xml:space="preserve"> zone, </w:t>
      </w:r>
      <w:r w:rsidRPr="005F5D77">
        <w:rPr>
          <w:i/>
          <w:iCs/>
        </w:rPr>
        <w:t>Dittrichia graveolens</w:t>
      </w:r>
      <w:r>
        <w:t xml:space="preserve"> of the </w:t>
      </w:r>
      <w:r w:rsidRPr="005F5D77">
        <w:rPr>
          <w:i/>
          <w:iCs/>
        </w:rPr>
        <w:t>Inundation extent</w:t>
      </w:r>
      <w:r>
        <w:t xml:space="preserve"> zone, </w:t>
      </w:r>
      <w:r w:rsidRPr="00715AFA">
        <w:rPr>
          <w:i/>
          <w:iCs/>
        </w:rPr>
        <w:t>Centipeda minima</w:t>
      </w:r>
      <w:r>
        <w:t xml:space="preserve"> and </w:t>
      </w:r>
      <w:r w:rsidRPr="005F5D77">
        <w:rPr>
          <w:i/>
          <w:iCs/>
        </w:rPr>
        <w:t>Sphaeromorphaea australis</w:t>
      </w:r>
      <w:r>
        <w:t xml:space="preserve"> of the </w:t>
      </w:r>
      <w:r w:rsidRPr="005F5D77">
        <w:rPr>
          <w:i/>
          <w:iCs/>
        </w:rPr>
        <w:t>Inundated</w:t>
      </w:r>
      <w:r>
        <w:t xml:space="preserve"> zone and </w:t>
      </w:r>
      <w:r w:rsidRPr="00715AFA">
        <w:rPr>
          <w:i/>
          <w:iCs/>
        </w:rPr>
        <w:t>Ammania multiflora, Bolbos</w:t>
      </w:r>
      <w:r>
        <w:rPr>
          <w:i/>
          <w:iCs/>
        </w:rPr>
        <w:t>c</w:t>
      </w:r>
      <w:r w:rsidRPr="00715AFA">
        <w:rPr>
          <w:i/>
          <w:iCs/>
        </w:rPr>
        <w:t>hoenus caldwellii</w:t>
      </w:r>
      <w:r>
        <w:t xml:space="preserve"> and </w:t>
      </w:r>
      <w:r w:rsidRPr="00715AFA">
        <w:rPr>
          <w:i/>
          <w:iCs/>
        </w:rPr>
        <w:t>Ludwigia peploides</w:t>
      </w:r>
      <w:r>
        <w:t xml:space="preserve"> of </w:t>
      </w:r>
      <w:r w:rsidRPr="004143A4">
        <w:rPr>
          <w:i/>
          <w:iCs/>
        </w:rPr>
        <w:t>Pool level</w:t>
      </w:r>
      <w:r>
        <w:t xml:space="preserve"> (Table D</w:t>
      </w:r>
      <w:r w:rsidR="00DD27F8">
        <w:t>6</w:t>
      </w:r>
      <w:r>
        <w:t xml:space="preserve">c, Appendix D). Furthermore, many native species not deemed significant indicators of one inundation zone were present in two zones in similar abundances. In particular, several amphibious and flood dependent taxa were present in the </w:t>
      </w:r>
      <w:r w:rsidRPr="00240018">
        <w:rPr>
          <w:i/>
          <w:iCs/>
        </w:rPr>
        <w:t>Pool level</w:t>
      </w:r>
      <w:r>
        <w:t xml:space="preserve"> and </w:t>
      </w:r>
      <w:r w:rsidRPr="00240018">
        <w:rPr>
          <w:i/>
          <w:iCs/>
        </w:rPr>
        <w:t>Inundated</w:t>
      </w:r>
      <w:r>
        <w:t xml:space="preserve"> zones and absent at the </w:t>
      </w:r>
      <w:r w:rsidRPr="00240018">
        <w:rPr>
          <w:i/>
          <w:iCs/>
        </w:rPr>
        <w:t>Inundation extent</w:t>
      </w:r>
      <w:r>
        <w:t xml:space="preserve"> and </w:t>
      </w:r>
      <w:r w:rsidRPr="00240018">
        <w:rPr>
          <w:i/>
          <w:iCs/>
        </w:rPr>
        <w:t>Not inundated</w:t>
      </w:r>
      <w:r>
        <w:t xml:space="preserve"> zones (Table D</w:t>
      </w:r>
      <w:r w:rsidR="00DD27F8">
        <w:t>6</w:t>
      </w:r>
      <w:r>
        <w:t xml:space="preserve">, Appendix D). </w:t>
      </w:r>
    </w:p>
    <w:p w14:paraId="0E59831D" w14:textId="6F13C8B4" w:rsidR="002F3182" w:rsidRDefault="002F3182" w:rsidP="002F3182">
      <w:r w:rsidRPr="008906BF">
        <w:t>Several</w:t>
      </w:r>
      <w:r>
        <w:t xml:space="preserve"> exotic species recruited in the </w:t>
      </w:r>
      <w:r w:rsidRPr="00240018">
        <w:rPr>
          <w:i/>
          <w:iCs/>
        </w:rPr>
        <w:t>Inundated</w:t>
      </w:r>
      <w:r>
        <w:t xml:space="preserve"> and </w:t>
      </w:r>
      <w:r w:rsidRPr="00240018">
        <w:rPr>
          <w:i/>
          <w:iCs/>
        </w:rPr>
        <w:t>Pool level</w:t>
      </w:r>
      <w:r>
        <w:t xml:space="preserve"> zones in response to environmental water delivery. </w:t>
      </w:r>
      <w:r w:rsidRPr="002039AF">
        <w:rPr>
          <w:i/>
          <w:iCs/>
        </w:rPr>
        <w:t>Xanthium occiden</w:t>
      </w:r>
      <w:r w:rsidR="0016256E">
        <w:rPr>
          <w:i/>
          <w:iCs/>
        </w:rPr>
        <w:t>t</w:t>
      </w:r>
      <w:r w:rsidRPr="002039AF">
        <w:rPr>
          <w:i/>
          <w:iCs/>
        </w:rPr>
        <w:t>ale</w:t>
      </w:r>
      <w:r>
        <w:rPr>
          <w:i/>
          <w:iCs/>
        </w:rPr>
        <w:t xml:space="preserve"> </w:t>
      </w:r>
      <w:r w:rsidRPr="002039AF">
        <w:t>and</w:t>
      </w:r>
      <w:r>
        <w:rPr>
          <w:i/>
          <w:iCs/>
        </w:rPr>
        <w:t xml:space="preserve"> </w:t>
      </w:r>
      <w:r w:rsidRPr="002039AF">
        <w:rPr>
          <w:i/>
          <w:iCs/>
        </w:rPr>
        <w:t>Symphyotrichum subulatum</w:t>
      </w:r>
      <w:r>
        <w:t xml:space="preserve"> were present in all reaches exclusively in the </w:t>
      </w:r>
      <w:r w:rsidRPr="00240018">
        <w:rPr>
          <w:i/>
          <w:iCs/>
        </w:rPr>
        <w:t>Inundated</w:t>
      </w:r>
      <w:r>
        <w:t xml:space="preserve"> and </w:t>
      </w:r>
      <w:r w:rsidRPr="00240018">
        <w:rPr>
          <w:i/>
          <w:iCs/>
        </w:rPr>
        <w:t>Pool level</w:t>
      </w:r>
      <w:r>
        <w:t xml:space="preserve"> zones (Table D</w:t>
      </w:r>
      <w:r w:rsidR="00DD27F8">
        <w:t>6</w:t>
      </w:r>
      <w:r>
        <w:t xml:space="preserve">, Appendix D). </w:t>
      </w:r>
      <w:r>
        <w:rPr>
          <w:i/>
          <w:iCs/>
        </w:rPr>
        <w:t xml:space="preserve">Cuscuta campestris </w:t>
      </w:r>
      <w:r w:rsidRPr="008906BF">
        <w:t>and</w:t>
      </w:r>
      <w:r>
        <w:rPr>
          <w:i/>
          <w:iCs/>
        </w:rPr>
        <w:t xml:space="preserve"> Hypochaeris glabra</w:t>
      </w:r>
      <w:r>
        <w:t xml:space="preserve"> was present downstream of Lock 1 and </w:t>
      </w:r>
      <w:r>
        <w:rPr>
          <w:i/>
          <w:iCs/>
        </w:rPr>
        <w:t xml:space="preserve">Cuscuta campestris </w:t>
      </w:r>
      <w:r w:rsidRPr="008906BF">
        <w:t>and</w:t>
      </w:r>
      <w:r>
        <w:t xml:space="preserve"> </w:t>
      </w:r>
      <w:r w:rsidRPr="008906BF">
        <w:rPr>
          <w:i/>
          <w:iCs/>
        </w:rPr>
        <w:t>Heliotropium europaeum</w:t>
      </w:r>
      <w:r>
        <w:t xml:space="preserve"> downstream of Lock 6 in the same zones (Table D</w:t>
      </w:r>
      <w:r w:rsidR="00DD27F8">
        <w:t>6</w:t>
      </w:r>
      <w:r>
        <w:t>, Appendix D).</w:t>
      </w:r>
    </w:p>
    <w:p w14:paraId="1B07A509" w14:textId="77777777" w:rsidR="002F3182" w:rsidRPr="006E0188" w:rsidRDefault="002F3182" w:rsidP="002F3182">
      <w:r>
        <w:t xml:space="preserve">In contrast to the 2019 flow pulse, </w:t>
      </w:r>
      <w:r w:rsidRPr="002A0989">
        <w:rPr>
          <w:i/>
          <w:iCs/>
        </w:rPr>
        <w:t>Eucalyptus camaldulensis</w:t>
      </w:r>
      <w:r>
        <w:t xml:space="preserve"> seedlings were generally absent throughout the inundated zones of the Lock 4 and Lock 6 reaches. However, survivorship of the seedlings present in spring 2019 was high with large numbers of saplings now present in the areas inundated in the aforementioned reaches.</w:t>
      </w:r>
    </w:p>
    <w:p w14:paraId="0F531846" w14:textId="77777777" w:rsidR="002F3182" w:rsidRDefault="002F3182" w:rsidP="002F3182">
      <w:r>
        <w:rPr>
          <w:i/>
          <w:u w:val="single"/>
        </w:rPr>
        <w:t>Above ground biomass</w:t>
      </w:r>
    </w:p>
    <w:p w14:paraId="01D6EC48" w14:textId="043E0786" w:rsidR="002F3182" w:rsidRDefault="002F3182" w:rsidP="002F3182">
      <w:r>
        <w:t>Above ground biomass was variable between reaches but there were similar patterns between zones with lower biomass downstream of Lock 4 compared to the other two reaches (</w:t>
      </w:r>
      <w:r>
        <w:fldChar w:fldCharType="begin"/>
      </w:r>
      <w:r>
        <w:instrText xml:space="preserve"> REF _Ref58589490 \h </w:instrText>
      </w:r>
      <w:r>
        <w:fldChar w:fldCharType="separate"/>
      </w:r>
      <w:r w:rsidR="003C13F6">
        <w:t xml:space="preserve">Figure </w:t>
      </w:r>
      <w:r w:rsidR="003C13F6">
        <w:rPr>
          <w:noProof/>
        </w:rPr>
        <w:t>37</w:t>
      </w:r>
      <w:r>
        <w:fldChar w:fldCharType="end"/>
      </w:r>
      <w:r>
        <w:t xml:space="preserve">). Above ground biomass was highest in all reaches in the </w:t>
      </w:r>
      <w:r w:rsidRPr="00632B47">
        <w:rPr>
          <w:i/>
          <w:iCs/>
        </w:rPr>
        <w:t>Inundation extent</w:t>
      </w:r>
      <w:r>
        <w:t xml:space="preserve"> zone and decreased with decreasing elevation (</w:t>
      </w:r>
      <w:r>
        <w:fldChar w:fldCharType="begin"/>
      </w:r>
      <w:r>
        <w:instrText xml:space="preserve"> REF _Ref58589490 \h </w:instrText>
      </w:r>
      <w:r>
        <w:fldChar w:fldCharType="separate"/>
      </w:r>
      <w:r w:rsidR="003C13F6">
        <w:t xml:space="preserve">Figure </w:t>
      </w:r>
      <w:r w:rsidR="003C13F6">
        <w:rPr>
          <w:noProof/>
        </w:rPr>
        <w:t>37</w:t>
      </w:r>
      <w:r>
        <w:fldChar w:fldCharType="end"/>
      </w:r>
      <w:r>
        <w:t>). Hence, there were significant differences between reach and inundation zone but no significant interaction detected by PERMANOVA (</w:t>
      </w:r>
      <w:r>
        <w:fldChar w:fldCharType="begin"/>
      </w:r>
      <w:r>
        <w:instrText xml:space="preserve"> REF _Ref58589555 \h </w:instrText>
      </w:r>
      <w:r>
        <w:fldChar w:fldCharType="separate"/>
      </w:r>
      <w:r w:rsidR="003C13F6">
        <w:t xml:space="preserve">Table </w:t>
      </w:r>
      <w:r w:rsidR="003C13F6">
        <w:rPr>
          <w:noProof/>
        </w:rPr>
        <w:t>11</w:t>
      </w:r>
      <w:r>
        <w:fldChar w:fldCharType="end"/>
      </w:r>
      <w:r>
        <w:t xml:space="preserve">). </w:t>
      </w:r>
    </w:p>
    <w:p w14:paraId="2D333823" w14:textId="77777777" w:rsidR="002F3182" w:rsidRDefault="002F3182" w:rsidP="002F3182">
      <w:r w:rsidRPr="00100E6F">
        <w:rPr>
          <w:noProof/>
        </w:rPr>
        <w:drawing>
          <wp:inline distT="0" distB="0" distL="0" distR="0" wp14:anchorId="2B316665" wp14:editId="53E8F8F5">
            <wp:extent cx="5340725" cy="3408218"/>
            <wp:effectExtent l="0" t="0" r="0" b="190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57393" cy="3418855"/>
                    </a:xfrm>
                    <a:prstGeom prst="rect">
                      <a:avLst/>
                    </a:prstGeom>
                    <a:noFill/>
                    <a:ln>
                      <a:noFill/>
                    </a:ln>
                  </pic:spPr>
                </pic:pic>
              </a:graphicData>
            </a:graphic>
          </wp:inline>
        </w:drawing>
      </w:r>
    </w:p>
    <w:p w14:paraId="20FD501D" w14:textId="19A7D6A6" w:rsidR="002F3182" w:rsidRDefault="002F3182" w:rsidP="002F3182">
      <w:pPr>
        <w:pStyle w:val="FigureCaption"/>
      </w:pPr>
      <w:bookmarkStart w:id="214" w:name="_Ref58589490"/>
      <w:bookmarkStart w:id="215" w:name="_Toc89696167"/>
      <w:bookmarkStart w:id="216" w:name="_Toc101963829"/>
      <w:r>
        <w:t xml:space="preserve">Figure </w:t>
      </w:r>
      <w:fldSimple w:instr=" SEQ Figure \* ARABIC ">
        <w:r w:rsidR="003C13F6">
          <w:rPr>
            <w:noProof/>
          </w:rPr>
          <w:t>37</w:t>
        </w:r>
      </w:fldSimple>
      <w:bookmarkEnd w:id="214"/>
      <w:r w:rsidRPr="00825C20">
        <w:t xml:space="preserve">. </w:t>
      </w:r>
      <w:r>
        <w:t>Above ground biomass in each inundation zone in each reach in February 2021 (error bars = ± 1 SE).</w:t>
      </w:r>
      <w:bookmarkEnd w:id="215"/>
      <w:bookmarkEnd w:id="216"/>
      <w:r w:rsidRPr="00825C20">
        <w:t xml:space="preserve">  </w:t>
      </w:r>
    </w:p>
    <w:p w14:paraId="30F73843" w14:textId="543B039D" w:rsidR="002F3182" w:rsidRPr="003F5C8F" w:rsidRDefault="002F3182" w:rsidP="002F3182">
      <w:pPr>
        <w:pStyle w:val="Caption"/>
        <w:rPr>
          <w:lang w:val="en-US"/>
        </w:rPr>
      </w:pPr>
      <w:bookmarkStart w:id="217" w:name="_Ref58589555"/>
      <w:bookmarkStart w:id="218" w:name="_Toc89696156"/>
      <w:bookmarkStart w:id="219" w:name="_Toc101963869"/>
      <w:r>
        <w:t xml:space="preserve">Table </w:t>
      </w:r>
      <w:r>
        <w:rPr>
          <w:noProof/>
        </w:rPr>
        <w:fldChar w:fldCharType="begin"/>
      </w:r>
      <w:r>
        <w:rPr>
          <w:noProof/>
        </w:rPr>
        <w:instrText xml:space="preserve"> SEQ Table \* ARABIC </w:instrText>
      </w:r>
      <w:r>
        <w:rPr>
          <w:noProof/>
        </w:rPr>
        <w:fldChar w:fldCharType="separate"/>
      </w:r>
      <w:r w:rsidR="003C13F6">
        <w:rPr>
          <w:noProof/>
        </w:rPr>
        <w:t>11</w:t>
      </w:r>
      <w:r>
        <w:rPr>
          <w:noProof/>
        </w:rPr>
        <w:fldChar w:fldCharType="end"/>
      </w:r>
      <w:bookmarkEnd w:id="217"/>
      <w:r>
        <w:rPr>
          <w:noProof/>
        </w:rPr>
        <w:t>.</w:t>
      </w:r>
      <w:r>
        <w:t xml:space="preserve"> PERMANOVA results comparing above ground biomass in each inundation zone in each reach in February 2021.</w:t>
      </w:r>
      <w:bookmarkEnd w:id="218"/>
      <w:bookmarkEnd w:id="219"/>
    </w:p>
    <w:tbl>
      <w:tblPr>
        <w:tblW w:w="4934" w:type="dxa"/>
        <w:tblLook w:val="04A0" w:firstRow="1" w:lastRow="0" w:firstColumn="1" w:lastColumn="0" w:noHBand="0" w:noVBand="1"/>
      </w:tblPr>
      <w:tblGrid>
        <w:gridCol w:w="1980"/>
        <w:gridCol w:w="1134"/>
        <w:gridCol w:w="1120"/>
        <w:gridCol w:w="700"/>
      </w:tblGrid>
      <w:tr w:rsidR="002F3182" w:rsidRPr="001D09A1" w14:paraId="16559F83" w14:textId="77777777" w:rsidTr="005050BB">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62002" w14:textId="77777777" w:rsidR="002F3182" w:rsidRPr="001D09A1" w:rsidRDefault="002F3182" w:rsidP="005050BB">
            <w:pPr>
              <w:spacing w:before="0" w:after="0" w:line="240" w:lineRule="auto"/>
              <w:jc w:val="center"/>
              <w:rPr>
                <w:rFonts w:cs="Calibri"/>
                <w:b/>
                <w:bCs/>
                <w:kern w:val="0"/>
                <w:sz w:val="19"/>
                <w:szCs w:val="19"/>
                <w:lang w:eastAsia="en-AU"/>
              </w:rPr>
            </w:pPr>
            <w:r w:rsidRPr="001D09A1">
              <w:rPr>
                <w:rFonts w:cs="Calibri"/>
                <w:b/>
                <w:bCs/>
                <w:kern w:val="0"/>
                <w:sz w:val="19"/>
                <w:szCs w:val="19"/>
                <w:lang w:eastAsia="en-AU"/>
              </w:rPr>
              <w:t>Factor</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276B303" w14:textId="77777777" w:rsidR="002F3182" w:rsidRPr="001D09A1" w:rsidRDefault="002F3182" w:rsidP="005050BB">
            <w:pPr>
              <w:spacing w:before="0" w:after="0" w:line="240" w:lineRule="auto"/>
              <w:jc w:val="center"/>
              <w:rPr>
                <w:rFonts w:cs="Calibri"/>
                <w:b/>
                <w:bCs/>
                <w:kern w:val="0"/>
                <w:sz w:val="19"/>
                <w:szCs w:val="19"/>
                <w:lang w:eastAsia="en-AU"/>
              </w:rPr>
            </w:pPr>
            <w:r w:rsidRPr="001D09A1">
              <w:rPr>
                <w:rFonts w:cs="Calibri"/>
                <w:b/>
                <w:bCs/>
                <w:kern w:val="0"/>
                <w:sz w:val="19"/>
                <w:szCs w:val="19"/>
                <w:lang w:eastAsia="en-AU"/>
              </w:rPr>
              <w:t>DF</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6EBE3C19" w14:textId="77777777" w:rsidR="002F3182" w:rsidRPr="001D09A1" w:rsidRDefault="002F3182" w:rsidP="005050BB">
            <w:pPr>
              <w:spacing w:before="0" w:after="0" w:line="240" w:lineRule="auto"/>
              <w:jc w:val="center"/>
              <w:rPr>
                <w:rFonts w:cs="Calibri"/>
                <w:b/>
                <w:bCs/>
                <w:i/>
                <w:iCs/>
                <w:kern w:val="0"/>
                <w:sz w:val="19"/>
                <w:szCs w:val="19"/>
                <w:lang w:eastAsia="en-AU"/>
              </w:rPr>
            </w:pPr>
            <w:r w:rsidRPr="001D09A1">
              <w:rPr>
                <w:rFonts w:cs="Calibri"/>
                <w:b/>
                <w:bCs/>
                <w:i/>
                <w:iCs/>
                <w:kern w:val="0"/>
                <w:sz w:val="19"/>
                <w:szCs w:val="19"/>
                <w:lang w:eastAsia="en-AU"/>
              </w:rPr>
              <w:t>Pseudo F</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13148C43" w14:textId="77777777" w:rsidR="002F3182" w:rsidRPr="001D09A1" w:rsidRDefault="002F3182" w:rsidP="005050BB">
            <w:pPr>
              <w:spacing w:before="0" w:after="0" w:line="240" w:lineRule="auto"/>
              <w:jc w:val="center"/>
              <w:rPr>
                <w:rFonts w:cs="Calibri"/>
                <w:b/>
                <w:bCs/>
                <w:i/>
                <w:iCs/>
                <w:kern w:val="0"/>
                <w:sz w:val="19"/>
                <w:szCs w:val="19"/>
                <w:lang w:eastAsia="en-AU"/>
              </w:rPr>
            </w:pPr>
            <w:r w:rsidRPr="001D09A1">
              <w:rPr>
                <w:rFonts w:cs="Calibri"/>
                <w:b/>
                <w:bCs/>
                <w:i/>
                <w:iCs/>
                <w:kern w:val="0"/>
                <w:sz w:val="19"/>
                <w:szCs w:val="19"/>
                <w:lang w:eastAsia="en-AU"/>
              </w:rPr>
              <w:t>P</w:t>
            </w:r>
          </w:p>
        </w:tc>
      </w:tr>
      <w:tr w:rsidR="002F3182" w:rsidRPr="001D09A1" w14:paraId="71411E45"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DD52EC4" w14:textId="77777777" w:rsidR="002F3182" w:rsidRPr="001D09A1" w:rsidRDefault="002F3182" w:rsidP="005050BB">
            <w:pPr>
              <w:spacing w:before="0" w:after="0" w:line="240" w:lineRule="auto"/>
              <w:jc w:val="left"/>
              <w:rPr>
                <w:rFonts w:cs="Calibri"/>
                <w:kern w:val="0"/>
                <w:sz w:val="19"/>
                <w:szCs w:val="19"/>
                <w:lang w:eastAsia="en-AU"/>
              </w:rPr>
            </w:pPr>
            <w:r w:rsidRPr="001D09A1">
              <w:rPr>
                <w:rFonts w:cs="Calibri"/>
                <w:kern w:val="0"/>
                <w:sz w:val="19"/>
                <w:szCs w:val="19"/>
                <w:lang w:eastAsia="en-AU"/>
              </w:rPr>
              <w:t>Site</w:t>
            </w:r>
          </w:p>
        </w:tc>
        <w:tc>
          <w:tcPr>
            <w:tcW w:w="1134" w:type="dxa"/>
            <w:tcBorders>
              <w:top w:val="nil"/>
              <w:left w:val="nil"/>
              <w:bottom w:val="single" w:sz="4" w:space="0" w:color="auto"/>
              <w:right w:val="single" w:sz="4" w:space="0" w:color="auto"/>
            </w:tcBorders>
            <w:shd w:val="clear" w:color="auto" w:fill="auto"/>
            <w:noWrap/>
            <w:vAlign w:val="bottom"/>
            <w:hideMark/>
          </w:tcPr>
          <w:p w14:paraId="26700EAA"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2, 125</w:t>
            </w:r>
          </w:p>
        </w:tc>
        <w:tc>
          <w:tcPr>
            <w:tcW w:w="1120" w:type="dxa"/>
            <w:tcBorders>
              <w:top w:val="nil"/>
              <w:left w:val="nil"/>
              <w:bottom w:val="single" w:sz="4" w:space="0" w:color="auto"/>
              <w:right w:val="single" w:sz="4" w:space="0" w:color="auto"/>
            </w:tcBorders>
            <w:shd w:val="clear" w:color="auto" w:fill="auto"/>
            <w:noWrap/>
            <w:vAlign w:val="bottom"/>
            <w:hideMark/>
          </w:tcPr>
          <w:p w14:paraId="33EF542B"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4.09</w:t>
            </w:r>
          </w:p>
        </w:tc>
        <w:tc>
          <w:tcPr>
            <w:tcW w:w="700" w:type="dxa"/>
            <w:tcBorders>
              <w:top w:val="nil"/>
              <w:left w:val="nil"/>
              <w:bottom w:val="single" w:sz="4" w:space="0" w:color="auto"/>
              <w:right w:val="single" w:sz="4" w:space="0" w:color="auto"/>
            </w:tcBorders>
            <w:shd w:val="clear" w:color="auto" w:fill="auto"/>
            <w:noWrap/>
            <w:vAlign w:val="bottom"/>
            <w:hideMark/>
          </w:tcPr>
          <w:p w14:paraId="7F7CC93D"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0.02</w:t>
            </w:r>
          </w:p>
        </w:tc>
      </w:tr>
      <w:tr w:rsidR="002F3182" w:rsidRPr="001D09A1" w14:paraId="7A140598"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A3339AB" w14:textId="77777777" w:rsidR="002F3182" w:rsidRPr="001D09A1" w:rsidRDefault="002F3182" w:rsidP="005050BB">
            <w:pPr>
              <w:spacing w:before="0" w:after="0" w:line="240" w:lineRule="auto"/>
              <w:jc w:val="left"/>
              <w:rPr>
                <w:rFonts w:cs="Calibri"/>
                <w:kern w:val="0"/>
                <w:sz w:val="19"/>
                <w:szCs w:val="19"/>
                <w:lang w:eastAsia="en-AU"/>
              </w:rPr>
            </w:pPr>
            <w:r w:rsidRPr="001D09A1">
              <w:rPr>
                <w:rFonts w:cs="Calibri"/>
                <w:kern w:val="0"/>
                <w:sz w:val="19"/>
                <w:szCs w:val="19"/>
                <w:lang w:eastAsia="en-AU"/>
              </w:rPr>
              <w:t>Inundation</w:t>
            </w:r>
          </w:p>
        </w:tc>
        <w:tc>
          <w:tcPr>
            <w:tcW w:w="1134" w:type="dxa"/>
            <w:tcBorders>
              <w:top w:val="nil"/>
              <w:left w:val="nil"/>
              <w:bottom w:val="single" w:sz="4" w:space="0" w:color="auto"/>
              <w:right w:val="single" w:sz="4" w:space="0" w:color="auto"/>
            </w:tcBorders>
            <w:shd w:val="clear" w:color="auto" w:fill="auto"/>
            <w:noWrap/>
            <w:vAlign w:val="bottom"/>
            <w:hideMark/>
          </w:tcPr>
          <w:p w14:paraId="4A385805"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3, 125</w:t>
            </w:r>
          </w:p>
        </w:tc>
        <w:tc>
          <w:tcPr>
            <w:tcW w:w="1120" w:type="dxa"/>
            <w:tcBorders>
              <w:top w:val="nil"/>
              <w:left w:val="nil"/>
              <w:bottom w:val="single" w:sz="4" w:space="0" w:color="auto"/>
              <w:right w:val="single" w:sz="4" w:space="0" w:color="auto"/>
            </w:tcBorders>
            <w:shd w:val="clear" w:color="auto" w:fill="auto"/>
            <w:noWrap/>
            <w:vAlign w:val="bottom"/>
            <w:hideMark/>
          </w:tcPr>
          <w:p w14:paraId="6E959E2A"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3.37</w:t>
            </w:r>
          </w:p>
        </w:tc>
        <w:tc>
          <w:tcPr>
            <w:tcW w:w="700" w:type="dxa"/>
            <w:tcBorders>
              <w:top w:val="nil"/>
              <w:left w:val="nil"/>
              <w:bottom w:val="single" w:sz="4" w:space="0" w:color="auto"/>
              <w:right w:val="single" w:sz="4" w:space="0" w:color="auto"/>
            </w:tcBorders>
            <w:shd w:val="clear" w:color="auto" w:fill="auto"/>
            <w:noWrap/>
            <w:vAlign w:val="bottom"/>
            <w:hideMark/>
          </w:tcPr>
          <w:p w14:paraId="7CE1B61A"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0.02</w:t>
            </w:r>
          </w:p>
        </w:tc>
      </w:tr>
      <w:tr w:rsidR="002F3182" w:rsidRPr="001D09A1" w14:paraId="07FB9AB8" w14:textId="77777777" w:rsidTr="005050BB">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D2785B0" w14:textId="77777777" w:rsidR="002F3182" w:rsidRPr="001D09A1" w:rsidRDefault="002F3182" w:rsidP="005050BB">
            <w:pPr>
              <w:spacing w:before="0" w:after="0" w:line="240" w:lineRule="auto"/>
              <w:jc w:val="left"/>
              <w:rPr>
                <w:rFonts w:cs="Calibri"/>
                <w:kern w:val="0"/>
                <w:sz w:val="19"/>
                <w:szCs w:val="19"/>
                <w:lang w:eastAsia="en-AU"/>
              </w:rPr>
            </w:pPr>
            <w:r w:rsidRPr="001D09A1">
              <w:rPr>
                <w:rFonts w:cs="Calibri"/>
                <w:kern w:val="0"/>
                <w:sz w:val="19"/>
                <w:szCs w:val="19"/>
                <w:lang w:eastAsia="en-AU"/>
              </w:rPr>
              <w:t>Site x Inundation</w:t>
            </w:r>
          </w:p>
        </w:tc>
        <w:tc>
          <w:tcPr>
            <w:tcW w:w="1134" w:type="dxa"/>
            <w:tcBorders>
              <w:top w:val="nil"/>
              <w:left w:val="nil"/>
              <w:bottom w:val="single" w:sz="4" w:space="0" w:color="auto"/>
              <w:right w:val="single" w:sz="4" w:space="0" w:color="auto"/>
            </w:tcBorders>
            <w:shd w:val="clear" w:color="auto" w:fill="auto"/>
            <w:noWrap/>
            <w:vAlign w:val="bottom"/>
            <w:hideMark/>
          </w:tcPr>
          <w:p w14:paraId="20409951"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6, 125</w:t>
            </w:r>
          </w:p>
        </w:tc>
        <w:tc>
          <w:tcPr>
            <w:tcW w:w="1120" w:type="dxa"/>
            <w:tcBorders>
              <w:top w:val="nil"/>
              <w:left w:val="nil"/>
              <w:bottom w:val="single" w:sz="4" w:space="0" w:color="auto"/>
              <w:right w:val="single" w:sz="4" w:space="0" w:color="auto"/>
            </w:tcBorders>
            <w:shd w:val="clear" w:color="auto" w:fill="auto"/>
            <w:noWrap/>
            <w:vAlign w:val="bottom"/>
            <w:hideMark/>
          </w:tcPr>
          <w:p w14:paraId="69466CF3"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0.42</w:t>
            </w:r>
          </w:p>
        </w:tc>
        <w:tc>
          <w:tcPr>
            <w:tcW w:w="700" w:type="dxa"/>
            <w:tcBorders>
              <w:top w:val="nil"/>
              <w:left w:val="nil"/>
              <w:bottom w:val="single" w:sz="4" w:space="0" w:color="auto"/>
              <w:right w:val="single" w:sz="4" w:space="0" w:color="auto"/>
            </w:tcBorders>
            <w:shd w:val="clear" w:color="auto" w:fill="auto"/>
            <w:noWrap/>
            <w:vAlign w:val="bottom"/>
            <w:hideMark/>
          </w:tcPr>
          <w:p w14:paraId="4DCE8CC7" w14:textId="77777777" w:rsidR="002F3182" w:rsidRPr="001D09A1" w:rsidRDefault="002F3182" w:rsidP="005050BB">
            <w:pPr>
              <w:spacing w:before="0" w:after="0" w:line="240" w:lineRule="auto"/>
              <w:jc w:val="center"/>
              <w:rPr>
                <w:rFonts w:cs="Calibri"/>
                <w:kern w:val="0"/>
                <w:sz w:val="19"/>
                <w:szCs w:val="19"/>
                <w:lang w:eastAsia="en-AU"/>
              </w:rPr>
            </w:pPr>
            <w:r w:rsidRPr="001D09A1">
              <w:rPr>
                <w:rFonts w:cs="Calibri"/>
                <w:kern w:val="0"/>
                <w:sz w:val="19"/>
                <w:szCs w:val="19"/>
                <w:lang w:eastAsia="en-AU"/>
              </w:rPr>
              <w:t>0.866</w:t>
            </w:r>
          </w:p>
        </w:tc>
      </w:tr>
    </w:tbl>
    <w:p w14:paraId="5A6B31F3" w14:textId="77777777" w:rsidR="002F3182" w:rsidRDefault="002F3182" w:rsidP="002F3182">
      <w:pPr>
        <w:spacing w:before="0" w:after="160" w:line="259" w:lineRule="auto"/>
        <w:jc w:val="left"/>
      </w:pPr>
    </w:p>
    <w:p w14:paraId="5D681E74" w14:textId="77777777" w:rsidR="002F3182" w:rsidRDefault="002F3182" w:rsidP="002F3182">
      <w:pPr>
        <w:pStyle w:val="Heading3"/>
      </w:pPr>
      <w:r>
        <w:t>Evaluation</w:t>
      </w:r>
    </w:p>
    <w:p w14:paraId="7E65268C" w14:textId="2AC98B61" w:rsidR="002F3182" w:rsidRDefault="002F3182" w:rsidP="002F3182">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3C13F6">
        <w:t>2.1</w:t>
      </w:r>
      <w:r>
        <w:fldChar w:fldCharType="end"/>
      </w:r>
      <w:r>
        <w:t xml:space="preserve">). </w:t>
      </w:r>
    </w:p>
    <w:p w14:paraId="3A951ED5" w14:textId="77777777" w:rsidR="005E5C2F" w:rsidRDefault="005E5C2F" w:rsidP="002F3182">
      <w:pPr>
        <w:pStyle w:val="Caption"/>
      </w:pPr>
      <w:bookmarkStart w:id="220" w:name="_Toc89696157"/>
    </w:p>
    <w:p w14:paraId="180232D2" w14:textId="77777777" w:rsidR="005E5C2F" w:rsidRDefault="005E5C2F">
      <w:pPr>
        <w:spacing w:before="0" w:after="160" w:line="259" w:lineRule="auto"/>
        <w:jc w:val="left"/>
        <w:rPr>
          <w:b/>
          <w:bCs/>
          <w:color w:val="auto"/>
          <w:sz w:val="20"/>
          <w:szCs w:val="18"/>
        </w:rPr>
      </w:pPr>
      <w:r>
        <w:br w:type="page"/>
      </w:r>
    </w:p>
    <w:p w14:paraId="0984C3F8" w14:textId="15508BA2" w:rsidR="002F3182" w:rsidRDefault="002F3182" w:rsidP="002F3182">
      <w:pPr>
        <w:pStyle w:val="Caption"/>
      </w:pPr>
      <w:bookmarkStart w:id="221" w:name="_Toc101963870"/>
      <w:r>
        <w:t xml:space="preserve">Table </w:t>
      </w:r>
      <w:r>
        <w:rPr>
          <w:noProof/>
        </w:rPr>
        <w:fldChar w:fldCharType="begin"/>
      </w:r>
      <w:r>
        <w:rPr>
          <w:noProof/>
        </w:rPr>
        <w:instrText xml:space="preserve"> SEQ Table \* ARABIC </w:instrText>
      </w:r>
      <w:r>
        <w:rPr>
          <w:noProof/>
        </w:rPr>
        <w:fldChar w:fldCharType="separate"/>
      </w:r>
      <w:r w:rsidR="003C13F6">
        <w:rPr>
          <w:noProof/>
        </w:rPr>
        <w:t>12</w:t>
      </w:r>
      <w:r>
        <w:rPr>
          <w:noProof/>
        </w:rPr>
        <w:fldChar w:fldCharType="end"/>
      </w:r>
      <w:r>
        <w:rPr>
          <w:noProof/>
        </w:rPr>
        <w:t>.</w:t>
      </w:r>
      <w:r>
        <w:t xml:space="preserve"> </w:t>
      </w:r>
      <w:r w:rsidRPr="00BE09D3">
        <w:t>Littoral Vegetation Diversity and Productivity</w:t>
      </w:r>
      <w:r>
        <w:t xml:space="preserve"> evaluation questions and answers. CEW = Commonwealth environmental water, eWater = environmental water.</w:t>
      </w:r>
      <w:bookmarkEnd w:id="220"/>
      <w:bookmarkEnd w:id="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2552"/>
        <w:gridCol w:w="4768"/>
      </w:tblGrid>
      <w:tr w:rsidR="00511864" w:rsidRPr="0041543F" w14:paraId="490AC504" w14:textId="77777777" w:rsidTr="006B375C">
        <w:trPr>
          <w:cantSplit/>
          <w:trHeight w:val="415"/>
          <w:tblHeader/>
        </w:trPr>
        <w:tc>
          <w:tcPr>
            <w:tcW w:w="941" w:type="pct"/>
            <w:vMerge w:val="restart"/>
            <w:tcBorders>
              <w:top w:val="single" w:sz="4" w:space="0" w:color="auto"/>
              <w:left w:val="single" w:sz="4" w:space="0" w:color="auto"/>
              <w:right w:val="single" w:sz="4" w:space="0" w:color="auto"/>
            </w:tcBorders>
          </w:tcPr>
          <w:p w14:paraId="455EC55A" w14:textId="77777777" w:rsidR="00511864" w:rsidRPr="0041543F" w:rsidRDefault="00511864" w:rsidP="006B375C">
            <w:pPr>
              <w:pStyle w:val="TableHeading"/>
              <w:spacing w:line="240" w:lineRule="auto"/>
              <w:jc w:val="center"/>
              <w:rPr>
                <w:sz w:val="19"/>
                <w:szCs w:val="19"/>
              </w:rPr>
            </w:pPr>
            <w:r>
              <w:rPr>
                <w:sz w:val="19"/>
                <w:szCs w:val="19"/>
              </w:rPr>
              <w:t>C</w:t>
            </w:r>
            <w:r w:rsidRPr="0041543F">
              <w:rPr>
                <w:sz w:val="19"/>
                <w:szCs w:val="19"/>
              </w:rPr>
              <w:t xml:space="preserve">EWO evaluation questions </w:t>
            </w:r>
          </w:p>
        </w:tc>
        <w:tc>
          <w:tcPr>
            <w:tcW w:w="4059" w:type="pct"/>
            <w:gridSpan w:val="2"/>
            <w:tcBorders>
              <w:top w:val="single" w:sz="4" w:space="0" w:color="auto"/>
              <w:left w:val="single" w:sz="4" w:space="0" w:color="auto"/>
              <w:right w:val="single" w:sz="4" w:space="0" w:color="auto"/>
            </w:tcBorders>
          </w:tcPr>
          <w:p w14:paraId="5FC5F9BE" w14:textId="5AE0F302" w:rsidR="00511864" w:rsidRPr="0041543F" w:rsidRDefault="00511864" w:rsidP="006B375C">
            <w:pPr>
              <w:pStyle w:val="TableHeading"/>
              <w:spacing w:line="240" w:lineRule="auto"/>
              <w:jc w:val="center"/>
              <w:rPr>
                <w:sz w:val="19"/>
                <w:szCs w:val="19"/>
              </w:rPr>
            </w:pPr>
            <w:r w:rsidRPr="0041543F">
              <w:rPr>
                <w:sz w:val="19"/>
                <w:szCs w:val="19"/>
              </w:rPr>
              <w:t>Outcomes of CEW</w:t>
            </w:r>
            <w:r>
              <w:rPr>
                <w:sz w:val="19"/>
                <w:szCs w:val="19"/>
              </w:rPr>
              <w:t xml:space="preserve"> delivery </w:t>
            </w:r>
          </w:p>
        </w:tc>
      </w:tr>
      <w:tr w:rsidR="005E5C2F" w:rsidRPr="0041543F" w14:paraId="60707037" w14:textId="77777777" w:rsidTr="005E5C2F">
        <w:trPr>
          <w:cantSplit/>
          <w:trHeight w:val="415"/>
          <w:tblHeader/>
        </w:trPr>
        <w:tc>
          <w:tcPr>
            <w:tcW w:w="941" w:type="pct"/>
            <w:vMerge/>
            <w:tcBorders>
              <w:left w:val="single" w:sz="4" w:space="0" w:color="auto"/>
              <w:right w:val="single" w:sz="4" w:space="0" w:color="auto"/>
            </w:tcBorders>
          </w:tcPr>
          <w:p w14:paraId="3DEB4BA7" w14:textId="77777777" w:rsidR="00511864" w:rsidRDefault="00511864" w:rsidP="006B375C">
            <w:pPr>
              <w:pStyle w:val="TableHeading"/>
              <w:spacing w:line="240" w:lineRule="auto"/>
              <w:jc w:val="center"/>
              <w:rPr>
                <w:sz w:val="19"/>
                <w:szCs w:val="19"/>
              </w:rPr>
            </w:pPr>
          </w:p>
        </w:tc>
        <w:tc>
          <w:tcPr>
            <w:tcW w:w="1415" w:type="pct"/>
            <w:tcBorders>
              <w:top w:val="single" w:sz="4" w:space="0" w:color="auto"/>
              <w:left w:val="single" w:sz="4" w:space="0" w:color="auto"/>
              <w:right w:val="single" w:sz="4" w:space="0" w:color="auto"/>
            </w:tcBorders>
          </w:tcPr>
          <w:p w14:paraId="06C20EE0" w14:textId="1F6E0853" w:rsidR="00511864" w:rsidRPr="0041543F" w:rsidRDefault="00511864" w:rsidP="006B375C">
            <w:pPr>
              <w:pStyle w:val="TableHeading"/>
              <w:spacing w:line="240" w:lineRule="auto"/>
              <w:jc w:val="center"/>
              <w:rPr>
                <w:sz w:val="19"/>
                <w:szCs w:val="19"/>
              </w:rPr>
            </w:pPr>
            <w:r>
              <w:rPr>
                <w:sz w:val="19"/>
                <w:szCs w:val="19"/>
              </w:rPr>
              <w:t>2019-20</w:t>
            </w:r>
          </w:p>
        </w:tc>
        <w:tc>
          <w:tcPr>
            <w:tcW w:w="2644" w:type="pct"/>
            <w:tcBorders>
              <w:top w:val="single" w:sz="4" w:space="0" w:color="auto"/>
              <w:left w:val="single" w:sz="4" w:space="0" w:color="auto"/>
              <w:right w:val="single" w:sz="4" w:space="0" w:color="auto"/>
            </w:tcBorders>
          </w:tcPr>
          <w:p w14:paraId="5DC16C9B" w14:textId="3518A311" w:rsidR="00511864" w:rsidRPr="0041543F" w:rsidRDefault="00511864" w:rsidP="006B375C">
            <w:pPr>
              <w:pStyle w:val="TableHeading"/>
              <w:spacing w:line="240" w:lineRule="auto"/>
              <w:jc w:val="center"/>
              <w:rPr>
                <w:sz w:val="19"/>
                <w:szCs w:val="19"/>
              </w:rPr>
            </w:pPr>
            <w:r>
              <w:rPr>
                <w:sz w:val="19"/>
                <w:szCs w:val="19"/>
              </w:rPr>
              <w:t>2020-21</w:t>
            </w:r>
          </w:p>
        </w:tc>
      </w:tr>
      <w:tr w:rsidR="005E5C2F" w:rsidRPr="0041543F" w14:paraId="3CA95615" w14:textId="77777777" w:rsidTr="005E5C2F">
        <w:trPr>
          <w:cantSplit/>
          <w:trHeight w:val="608"/>
        </w:trPr>
        <w:tc>
          <w:tcPr>
            <w:tcW w:w="941" w:type="pct"/>
            <w:tcBorders>
              <w:top w:val="single" w:sz="4" w:space="0" w:color="auto"/>
              <w:left w:val="single" w:sz="4" w:space="0" w:color="auto"/>
              <w:bottom w:val="single" w:sz="4" w:space="0" w:color="auto"/>
              <w:right w:val="single" w:sz="4" w:space="0" w:color="auto"/>
            </w:tcBorders>
          </w:tcPr>
          <w:p w14:paraId="3D34FFDF" w14:textId="77777777" w:rsidR="00511864" w:rsidRPr="002B6ECA" w:rsidRDefault="00511864" w:rsidP="006B375C">
            <w:pPr>
              <w:pStyle w:val="TableHeading"/>
              <w:spacing w:line="240" w:lineRule="auto"/>
              <w:jc w:val="left"/>
              <w:rPr>
                <w:b w:val="0"/>
                <w:sz w:val="19"/>
                <w:szCs w:val="19"/>
              </w:rPr>
            </w:pPr>
            <w:r w:rsidRPr="00BE09D3">
              <w:rPr>
                <w:b w:val="0"/>
                <w:sz w:val="19"/>
                <w:szCs w:val="19"/>
              </w:rPr>
              <w:t xml:space="preserve">What did </w:t>
            </w:r>
            <w:r>
              <w:rPr>
                <w:b w:val="0"/>
                <w:sz w:val="19"/>
                <w:szCs w:val="19"/>
              </w:rPr>
              <w:t xml:space="preserve">CEW </w:t>
            </w:r>
            <w:r w:rsidRPr="00BE09D3">
              <w:rPr>
                <w:b w:val="0"/>
                <w:sz w:val="19"/>
                <w:szCs w:val="19"/>
              </w:rPr>
              <w:t>contribute to littoral understorey vegetation diversity</w:t>
            </w:r>
            <w:r>
              <w:rPr>
                <w:b w:val="0"/>
                <w:sz w:val="19"/>
                <w:szCs w:val="19"/>
              </w:rPr>
              <w:t>?</w:t>
            </w:r>
            <w:r w:rsidRPr="00BE09D3">
              <w:rPr>
                <w:b w:val="0"/>
                <w:sz w:val="19"/>
                <w:szCs w:val="19"/>
              </w:rPr>
              <w:t xml:space="preserve"> </w:t>
            </w:r>
          </w:p>
        </w:tc>
        <w:tc>
          <w:tcPr>
            <w:tcW w:w="1415" w:type="pct"/>
            <w:tcBorders>
              <w:top w:val="single" w:sz="4" w:space="0" w:color="auto"/>
              <w:left w:val="single" w:sz="4" w:space="0" w:color="auto"/>
              <w:bottom w:val="single" w:sz="4" w:space="0" w:color="auto"/>
              <w:right w:val="single" w:sz="4" w:space="0" w:color="auto"/>
            </w:tcBorders>
            <w:shd w:val="clear" w:color="auto" w:fill="70AD47" w:themeFill="accent6"/>
          </w:tcPr>
          <w:p w14:paraId="10F4D8D8" w14:textId="3224F9C5" w:rsidR="00B8740E" w:rsidRDefault="00B8740E" w:rsidP="006B375C">
            <w:pPr>
              <w:pStyle w:val="TableHeading"/>
              <w:spacing w:line="240" w:lineRule="auto"/>
              <w:jc w:val="left"/>
              <w:rPr>
                <w:b w:val="0"/>
                <w:sz w:val="19"/>
                <w:szCs w:val="19"/>
              </w:rPr>
            </w:pPr>
            <w:r>
              <w:rPr>
                <w:b w:val="0"/>
                <w:sz w:val="19"/>
                <w:szCs w:val="19"/>
              </w:rPr>
              <w:t>CEW delivery increased</w:t>
            </w:r>
            <w:r w:rsidR="00A7450B">
              <w:rPr>
                <w:b w:val="0"/>
                <w:sz w:val="19"/>
                <w:szCs w:val="19"/>
              </w:rPr>
              <w:t xml:space="preserve"> native</w:t>
            </w:r>
            <w:r>
              <w:rPr>
                <w:b w:val="0"/>
                <w:sz w:val="19"/>
                <w:szCs w:val="19"/>
              </w:rPr>
              <w:t xml:space="preserve"> plant species diversity </w:t>
            </w:r>
            <w:r w:rsidR="00A7450B" w:rsidRPr="00A7450B">
              <w:rPr>
                <w:b w:val="0"/>
                <w:sz w:val="19"/>
                <w:szCs w:val="19"/>
              </w:rPr>
              <w:t xml:space="preserve">by </w:t>
            </w:r>
            <w:r w:rsidR="00806BCB">
              <w:rPr>
                <w:b w:val="0"/>
                <w:sz w:val="19"/>
                <w:szCs w:val="19"/>
              </w:rPr>
              <w:t>40</w:t>
            </w:r>
            <w:r w:rsidR="00A7450B" w:rsidRPr="00A7450B">
              <w:rPr>
                <w:b w:val="0"/>
                <w:sz w:val="19"/>
                <w:szCs w:val="19"/>
              </w:rPr>
              <w:t>–</w:t>
            </w:r>
            <w:r w:rsidR="00A7450B">
              <w:rPr>
                <w:b w:val="0"/>
                <w:sz w:val="19"/>
                <w:szCs w:val="19"/>
              </w:rPr>
              <w:t>100</w:t>
            </w:r>
            <w:r w:rsidR="00A7450B" w:rsidRPr="00A7450B">
              <w:rPr>
                <w:b w:val="0"/>
                <w:sz w:val="19"/>
                <w:szCs w:val="19"/>
              </w:rPr>
              <w:t xml:space="preserve">% </w:t>
            </w:r>
            <w:r w:rsidR="00A7450B">
              <w:rPr>
                <w:b w:val="0"/>
                <w:sz w:val="19"/>
                <w:szCs w:val="19"/>
              </w:rPr>
              <w:t xml:space="preserve">across all reaches </w:t>
            </w:r>
            <w:r>
              <w:rPr>
                <w:b w:val="0"/>
                <w:sz w:val="19"/>
                <w:szCs w:val="19"/>
              </w:rPr>
              <w:t xml:space="preserve">in the LMR. This was evidenced by consistently higher native species richness in inundated zones in each reach compared to non-inundated areas, higher native species richness (albeit lower than inundated zones) on the edge of the inundation footprint, where there was increased soil moisture due to capillary action, and different plant communities in the inundated zones (despite there being few significant indicators) compared to non-inundated zones. CEW delivery in the form of a spring pulse produced conditions suitable for the recruitment of specialised riparian species that are adapted to fluctuating water levels and do not inhabit terrestrial or truly aquatic habitats, increasing plant functional diversity. </w:t>
            </w:r>
          </w:p>
          <w:p w14:paraId="167D02AA" w14:textId="49DC53FF" w:rsidR="00511864" w:rsidRPr="00B8740E" w:rsidRDefault="005E5C2F" w:rsidP="001B7376">
            <w:pPr>
              <w:pStyle w:val="TableHeading"/>
              <w:spacing w:line="240" w:lineRule="auto"/>
              <w:jc w:val="left"/>
              <w:rPr>
                <w:b w:val="0"/>
                <w:i/>
                <w:iCs/>
                <w:sz w:val="19"/>
                <w:szCs w:val="19"/>
              </w:rPr>
            </w:pPr>
            <w:r>
              <w:rPr>
                <w:b w:val="0"/>
                <w:sz w:val="19"/>
                <w:szCs w:val="19"/>
              </w:rPr>
              <w:t>Twenty-four n</w:t>
            </w:r>
            <w:r w:rsidR="00B8740E">
              <w:rPr>
                <w:b w:val="0"/>
                <w:sz w:val="19"/>
                <w:szCs w:val="19"/>
              </w:rPr>
              <w:t>ative species responded positively to delivery of CEW either by recruitment or increased abundance</w:t>
            </w:r>
            <w:r>
              <w:rPr>
                <w:b w:val="0"/>
                <w:sz w:val="19"/>
                <w:szCs w:val="19"/>
              </w:rPr>
              <w:t xml:space="preserve"> (Ye </w:t>
            </w:r>
            <w:r w:rsidRPr="005E5C2F">
              <w:rPr>
                <w:b w:val="0"/>
                <w:i/>
                <w:iCs/>
                <w:sz w:val="19"/>
                <w:szCs w:val="19"/>
              </w:rPr>
              <w:t>et al.</w:t>
            </w:r>
            <w:r>
              <w:rPr>
                <w:b w:val="0"/>
                <w:sz w:val="19"/>
                <w:szCs w:val="19"/>
              </w:rPr>
              <w:t xml:space="preserve"> 2021).</w:t>
            </w:r>
          </w:p>
        </w:tc>
        <w:tc>
          <w:tcPr>
            <w:tcW w:w="2644" w:type="pct"/>
            <w:tcBorders>
              <w:top w:val="single" w:sz="4" w:space="0" w:color="auto"/>
              <w:left w:val="single" w:sz="4" w:space="0" w:color="auto"/>
              <w:bottom w:val="single" w:sz="4" w:space="0" w:color="auto"/>
              <w:right w:val="single" w:sz="4" w:space="0" w:color="auto"/>
            </w:tcBorders>
            <w:shd w:val="clear" w:color="auto" w:fill="70AD47" w:themeFill="accent6"/>
          </w:tcPr>
          <w:p w14:paraId="3548EA8D" w14:textId="046A257E" w:rsidR="00511864" w:rsidRDefault="00511864" w:rsidP="006B375C">
            <w:pPr>
              <w:pStyle w:val="TableHeading"/>
              <w:spacing w:line="240" w:lineRule="auto"/>
              <w:jc w:val="left"/>
              <w:rPr>
                <w:b w:val="0"/>
                <w:sz w:val="19"/>
                <w:szCs w:val="19"/>
              </w:rPr>
            </w:pPr>
            <w:bookmarkStart w:id="222" w:name="_Hlk63982760"/>
            <w:r>
              <w:rPr>
                <w:b w:val="0"/>
                <w:sz w:val="19"/>
                <w:szCs w:val="19"/>
              </w:rPr>
              <w:t xml:space="preserve">CEW delivery increased </w:t>
            </w:r>
            <w:r w:rsidR="00A7450B">
              <w:rPr>
                <w:b w:val="0"/>
                <w:sz w:val="19"/>
                <w:szCs w:val="19"/>
              </w:rPr>
              <w:t xml:space="preserve">native </w:t>
            </w:r>
            <w:r>
              <w:rPr>
                <w:b w:val="0"/>
                <w:sz w:val="19"/>
                <w:szCs w:val="19"/>
              </w:rPr>
              <w:t xml:space="preserve">plant species diversity </w:t>
            </w:r>
            <w:r w:rsidR="00A7450B">
              <w:rPr>
                <w:b w:val="0"/>
                <w:sz w:val="19"/>
                <w:szCs w:val="19"/>
              </w:rPr>
              <w:t xml:space="preserve">by </w:t>
            </w:r>
            <w:r w:rsidR="00A7450B" w:rsidRPr="00A7450B">
              <w:rPr>
                <w:b w:val="0"/>
                <w:sz w:val="19"/>
                <w:szCs w:val="19"/>
              </w:rPr>
              <w:t xml:space="preserve">42–82% </w:t>
            </w:r>
            <w:r w:rsidR="00A7450B">
              <w:rPr>
                <w:b w:val="0"/>
                <w:sz w:val="19"/>
                <w:szCs w:val="19"/>
              </w:rPr>
              <w:t>across all reaches</w:t>
            </w:r>
            <w:r>
              <w:rPr>
                <w:b w:val="0"/>
                <w:sz w:val="19"/>
                <w:szCs w:val="19"/>
              </w:rPr>
              <w:t xml:space="preserve"> in the LMR. This was evidenced by consistently higher native species richness in inundated zones in each reach compared to non-inundated areas and different plant communities in the inundated zones compared to non-inundated zones. </w:t>
            </w:r>
            <w:bookmarkStart w:id="223" w:name="_Hlk63983865"/>
            <w:bookmarkStart w:id="224" w:name="_Hlk63984273"/>
            <w:r>
              <w:rPr>
                <w:b w:val="0"/>
                <w:sz w:val="19"/>
                <w:szCs w:val="19"/>
              </w:rPr>
              <w:t>CEW delivery in the form of a spring pulse produced conditions suitable</w:t>
            </w:r>
            <w:bookmarkEnd w:id="223"/>
            <w:r>
              <w:rPr>
                <w:b w:val="0"/>
                <w:sz w:val="19"/>
                <w:szCs w:val="19"/>
              </w:rPr>
              <w:t xml:space="preserve"> for the recruitment of specialised riparian species that are adapted to fluctuating water levels and do not inhabit terrestrial or truly aquatic habitats, increasing plant functional diversity. </w:t>
            </w:r>
            <w:bookmarkEnd w:id="224"/>
          </w:p>
          <w:bookmarkEnd w:id="222"/>
          <w:p w14:paraId="495AE336" w14:textId="77777777" w:rsidR="00511864" w:rsidRDefault="00511864" w:rsidP="006B375C">
            <w:pPr>
              <w:pStyle w:val="TableHeading"/>
              <w:spacing w:line="240" w:lineRule="auto"/>
              <w:jc w:val="left"/>
              <w:rPr>
                <w:b w:val="0"/>
                <w:sz w:val="19"/>
                <w:szCs w:val="19"/>
              </w:rPr>
            </w:pPr>
            <w:r>
              <w:rPr>
                <w:b w:val="0"/>
                <w:sz w:val="19"/>
                <w:szCs w:val="19"/>
              </w:rPr>
              <w:t>Native species (</w:t>
            </w:r>
            <w:r w:rsidRPr="00364A7A">
              <w:rPr>
                <w:b w:val="0"/>
                <w:i/>
                <w:iCs/>
                <w:sz w:val="19"/>
                <w:szCs w:val="19"/>
              </w:rPr>
              <w:t>n</w:t>
            </w:r>
            <w:r>
              <w:rPr>
                <w:b w:val="0"/>
                <w:sz w:val="19"/>
                <w:szCs w:val="19"/>
              </w:rPr>
              <w:t xml:space="preserve"> = 28) that responded positively to delivery of CEW either by recruitment or increased abundance:</w:t>
            </w:r>
          </w:p>
          <w:p w14:paraId="3ECB6D1A" w14:textId="77777777" w:rsidR="00511864"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 xml:space="preserve">Alternanthera </w:t>
            </w:r>
            <w:r>
              <w:rPr>
                <w:b w:val="0"/>
                <w:i/>
                <w:iCs/>
                <w:sz w:val="19"/>
                <w:szCs w:val="19"/>
              </w:rPr>
              <w:t>denticulata</w:t>
            </w:r>
          </w:p>
          <w:p w14:paraId="1D255A29"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Ammania multiflora</w:t>
            </w:r>
          </w:p>
          <w:p w14:paraId="3D0096F5" w14:textId="77777777" w:rsidR="00511864" w:rsidRPr="006F142D"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Bolboschoenus caldwellii</w:t>
            </w:r>
          </w:p>
          <w:p w14:paraId="5AAC1A75" w14:textId="77777777" w:rsidR="00511864"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Calotis hispidula</w:t>
            </w:r>
          </w:p>
          <w:p w14:paraId="177FD219" w14:textId="77777777" w:rsidR="00511864"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Centipeda minima</w:t>
            </w:r>
          </w:p>
          <w:p w14:paraId="1DABC986"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Cyperus difformis</w:t>
            </w:r>
          </w:p>
          <w:p w14:paraId="625ED53F" w14:textId="77777777" w:rsidR="00511864"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Cyperus gymnocaulos</w:t>
            </w:r>
            <w:r>
              <w:rPr>
                <w:b w:val="0"/>
                <w:i/>
                <w:iCs/>
                <w:sz w:val="19"/>
                <w:szCs w:val="19"/>
              </w:rPr>
              <w:t>#</w:t>
            </w:r>
          </w:p>
          <w:p w14:paraId="6B27BB3C"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Dysphania pumilio</w:t>
            </w:r>
          </w:p>
          <w:p w14:paraId="6E46D578"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Eleocharis acuta</w:t>
            </w:r>
          </w:p>
          <w:p w14:paraId="2E78535B" w14:textId="77777777" w:rsidR="00511864"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Eucalyptus camaldulensis</w:t>
            </w:r>
            <w:r>
              <w:rPr>
                <w:b w:val="0"/>
                <w:i/>
                <w:iCs/>
                <w:sz w:val="19"/>
                <w:szCs w:val="19"/>
              </w:rPr>
              <w:t>##</w:t>
            </w:r>
          </w:p>
          <w:p w14:paraId="5922A026" w14:textId="77777777" w:rsidR="00511864"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Glinus lotoides</w:t>
            </w:r>
          </w:p>
          <w:p w14:paraId="2066C6B2"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Goodenia heteromera</w:t>
            </w:r>
          </w:p>
          <w:p w14:paraId="21E15BEE"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Isoetopsis graminifolia</w:t>
            </w:r>
          </w:p>
          <w:p w14:paraId="5D9074F4"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Juncus usitatus</w:t>
            </w:r>
          </w:p>
          <w:p w14:paraId="09E39706"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Lachnagrostis filiformis</w:t>
            </w:r>
          </w:p>
          <w:p w14:paraId="7B25879C"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Limosella australis</w:t>
            </w:r>
          </w:p>
          <w:p w14:paraId="69D061FB"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Ludwigia peploides</w:t>
            </w:r>
          </w:p>
          <w:p w14:paraId="7A4BD331" w14:textId="77777777" w:rsidR="00511864"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Lythrum hyssopifolia</w:t>
            </w:r>
          </w:p>
          <w:p w14:paraId="49F1E60D" w14:textId="77777777" w:rsidR="00511864"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Mollugo cerviana</w:t>
            </w:r>
          </w:p>
          <w:p w14:paraId="60136640"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Mukia maderaspatana</w:t>
            </w:r>
          </w:p>
          <w:p w14:paraId="634683CF"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 xml:space="preserve">Myriophyllum </w:t>
            </w:r>
            <w:r>
              <w:rPr>
                <w:b w:val="0"/>
                <w:i/>
                <w:iCs/>
                <w:sz w:val="19"/>
                <w:szCs w:val="19"/>
              </w:rPr>
              <w:t>verrucosum</w:t>
            </w:r>
          </w:p>
          <w:p w14:paraId="233B7EE2"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Paspalum distichum</w:t>
            </w:r>
          </w:p>
          <w:p w14:paraId="3C7F600B" w14:textId="77777777" w:rsidR="00511864" w:rsidRPr="006F142D"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Persicaria lapathifolia</w:t>
            </w:r>
          </w:p>
          <w:p w14:paraId="7D946BD2"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Pseudognaphalium luteoalbum</w:t>
            </w:r>
          </w:p>
          <w:p w14:paraId="41F951B9" w14:textId="77777777" w:rsidR="00511864" w:rsidRPr="006F142D"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Polygonum plebeium</w:t>
            </w:r>
          </w:p>
          <w:p w14:paraId="14C0F88E"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Pr>
                <w:b w:val="0"/>
                <w:i/>
                <w:iCs/>
                <w:sz w:val="19"/>
                <w:szCs w:val="19"/>
              </w:rPr>
              <w:t>Schoenoplectus tabernaemontani</w:t>
            </w:r>
          </w:p>
          <w:p w14:paraId="4A0C2AF7"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Senecio runcinifolius</w:t>
            </w:r>
          </w:p>
          <w:p w14:paraId="4FD9153B"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Sphaeromorphaea australis</w:t>
            </w:r>
          </w:p>
          <w:p w14:paraId="5610478F" w14:textId="77777777" w:rsidR="00511864" w:rsidRPr="002039AF" w:rsidRDefault="00511864" w:rsidP="006B375C">
            <w:pPr>
              <w:pStyle w:val="TableHeading"/>
              <w:numPr>
                <w:ilvl w:val="0"/>
                <w:numId w:val="13"/>
              </w:numPr>
              <w:spacing w:before="0" w:after="0" w:line="240" w:lineRule="auto"/>
              <w:jc w:val="left"/>
              <w:rPr>
                <w:b w:val="0"/>
                <w:i/>
                <w:iCs/>
                <w:sz w:val="19"/>
                <w:szCs w:val="19"/>
              </w:rPr>
            </w:pPr>
            <w:r w:rsidRPr="002039AF">
              <w:rPr>
                <w:b w:val="0"/>
                <w:i/>
                <w:iCs/>
                <w:sz w:val="19"/>
                <w:szCs w:val="19"/>
              </w:rPr>
              <w:t>Stemodia florulenta</w:t>
            </w:r>
          </w:p>
          <w:p w14:paraId="04D6B9FA" w14:textId="60D0C853" w:rsidR="00511864" w:rsidRPr="006B375C" w:rsidRDefault="00511864" w:rsidP="006B375C">
            <w:pPr>
              <w:pStyle w:val="TableHeading"/>
              <w:numPr>
                <w:ilvl w:val="0"/>
                <w:numId w:val="13"/>
              </w:numPr>
              <w:spacing w:before="0" w:after="0" w:line="240" w:lineRule="auto"/>
              <w:jc w:val="left"/>
              <w:rPr>
                <w:b w:val="0"/>
                <w:sz w:val="19"/>
                <w:szCs w:val="19"/>
              </w:rPr>
            </w:pPr>
            <w:r>
              <w:rPr>
                <w:b w:val="0"/>
                <w:i/>
                <w:iCs/>
                <w:sz w:val="19"/>
                <w:szCs w:val="19"/>
              </w:rPr>
              <w:t>Tetragonia tetragonoides</w:t>
            </w:r>
          </w:p>
        </w:tc>
      </w:tr>
      <w:tr w:rsidR="005E5C2F" w:rsidRPr="0041543F" w14:paraId="5DE8EF25" w14:textId="77777777" w:rsidTr="005E5C2F">
        <w:trPr>
          <w:cantSplit/>
          <w:trHeight w:val="1316"/>
        </w:trPr>
        <w:tc>
          <w:tcPr>
            <w:tcW w:w="941" w:type="pct"/>
            <w:tcBorders>
              <w:top w:val="single" w:sz="4" w:space="0" w:color="auto"/>
              <w:left w:val="single" w:sz="4" w:space="0" w:color="auto"/>
              <w:right w:val="single" w:sz="4" w:space="0" w:color="auto"/>
            </w:tcBorders>
          </w:tcPr>
          <w:p w14:paraId="47582830" w14:textId="77777777" w:rsidR="00511864" w:rsidRPr="00BE09D3" w:rsidRDefault="00511864" w:rsidP="006B375C">
            <w:pPr>
              <w:pStyle w:val="TableHeading"/>
              <w:spacing w:line="240" w:lineRule="auto"/>
              <w:jc w:val="left"/>
              <w:rPr>
                <w:b w:val="0"/>
                <w:sz w:val="19"/>
                <w:szCs w:val="19"/>
              </w:rPr>
            </w:pPr>
            <w:r w:rsidRPr="00BE09D3">
              <w:rPr>
                <w:b w:val="0"/>
                <w:sz w:val="19"/>
                <w:szCs w:val="19"/>
              </w:rPr>
              <w:t xml:space="preserve">What did </w:t>
            </w:r>
            <w:r>
              <w:rPr>
                <w:b w:val="0"/>
                <w:sz w:val="19"/>
                <w:szCs w:val="19"/>
              </w:rPr>
              <w:t xml:space="preserve">CEW </w:t>
            </w:r>
            <w:r w:rsidRPr="00BE09D3">
              <w:rPr>
                <w:b w:val="0"/>
                <w:sz w:val="19"/>
                <w:szCs w:val="19"/>
              </w:rPr>
              <w:t>contribute to above-ground biomass produced by understorey littoral vegetation?</w:t>
            </w:r>
          </w:p>
        </w:tc>
        <w:tc>
          <w:tcPr>
            <w:tcW w:w="1415" w:type="pct"/>
            <w:tcBorders>
              <w:top w:val="single" w:sz="4" w:space="0" w:color="auto"/>
              <w:left w:val="single" w:sz="4" w:space="0" w:color="auto"/>
              <w:right w:val="single" w:sz="4" w:space="0" w:color="auto"/>
            </w:tcBorders>
            <w:shd w:val="clear" w:color="auto" w:fill="D9D9D9" w:themeFill="background1" w:themeFillShade="D9"/>
          </w:tcPr>
          <w:p w14:paraId="13D553E0" w14:textId="3C7D113B" w:rsidR="00511864" w:rsidRDefault="00B8740E" w:rsidP="006B375C">
            <w:pPr>
              <w:pStyle w:val="TableHeading"/>
              <w:spacing w:line="240" w:lineRule="auto"/>
              <w:jc w:val="left"/>
              <w:rPr>
                <w:b w:val="0"/>
                <w:sz w:val="19"/>
                <w:szCs w:val="19"/>
              </w:rPr>
            </w:pPr>
            <w:r>
              <w:rPr>
                <w:b w:val="0"/>
                <w:sz w:val="19"/>
                <w:szCs w:val="19"/>
              </w:rPr>
              <w:t xml:space="preserve">Biomass production due to CEW was inconclusive and varied depending on reach with no clear pattern in relation to CEW delivery. The only reach that responded as hypothesised was Lock 6 with greater biomass in the </w:t>
            </w:r>
            <w:r w:rsidRPr="00240018">
              <w:rPr>
                <w:b w:val="0"/>
                <w:i/>
                <w:iCs/>
                <w:sz w:val="19"/>
                <w:szCs w:val="19"/>
              </w:rPr>
              <w:t>Inundated</w:t>
            </w:r>
            <w:r>
              <w:rPr>
                <w:b w:val="0"/>
                <w:sz w:val="19"/>
                <w:szCs w:val="19"/>
              </w:rPr>
              <w:t xml:space="preserve"> and </w:t>
            </w:r>
            <w:r w:rsidRPr="00240018">
              <w:rPr>
                <w:b w:val="0"/>
                <w:i/>
                <w:iCs/>
                <w:sz w:val="19"/>
                <w:szCs w:val="19"/>
              </w:rPr>
              <w:t>Inundation extent</w:t>
            </w:r>
            <w:r>
              <w:rPr>
                <w:b w:val="0"/>
                <w:sz w:val="19"/>
                <w:szCs w:val="19"/>
              </w:rPr>
              <w:t xml:space="preserve"> zones.</w:t>
            </w:r>
          </w:p>
        </w:tc>
        <w:tc>
          <w:tcPr>
            <w:tcW w:w="2644" w:type="pct"/>
            <w:tcBorders>
              <w:top w:val="single" w:sz="4" w:space="0" w:color="auto"/>
              <w:left w:val="single" w:sz="4" w:space="0" w:color="auto"/>
              <w:right w:val="single" w:sz="4" w:space="0" w:color="auto"/>
            </w:tcBorders>
            <w:shd w:val="clear" w:color="auto" w:fill="70AD47" w:themeFill="accent6"/>
          </w:tcPr>
          <w:p w14:paraId="1C0A9AFF" w14:textId="1691C8B3" w:rsidR="00511864" w:rsidRDefault="00511864" w:rsidP="006B375C">
            <w:pPr>
              <w:pStyle w:val="TableHeading"/>
              <w:spacing w:line="240" w:lineRule="auto"/>
              <w:jc w:val="left"/>
              <w:rPr>
                <w:b w:val="0"/>
                <w:sz w:val="19"/>
                <w:szCs w:val="19"/>
              </w:rPr>
            </w:pPr>
            <w:r>
              <w:rPr>
                <w:b w:val="0"/>
                <w:sz w:val="19"/>
                <w:szCs w:val="19"/>
              </w:rPr>
              <w:t xml:space="preserve">CEW delivery increased above-ground biomass </w:t>
            </w:r>
            <w:r w:rsidR="008D7494">
              <w:rPr>
                <w:b w:val="0"/>
                <w:sz w:val="19"/>
                <w:szCs w:val="19"/>
              </w:rPr>
              <w:t xml:space="preserve">by </w:t>
            </w:r>
            <w:r w:rsidR="008D7494" w:rsidRPr="008D7494">
              <w:rPr>
                <w:b w:val="0"/>
                <w:sz w:val="19"/>
                <w:szCs w:val="19"/>
              </w:rPr>
              <w:t xml:space="preserve">121–292% </w:t>
            </w:r>
            <w:r w:rsidR="008D7494">
              <w:rPr>
                <w:b w:val="0"/>
                <w:sz w:val="19"/>
                <w:szCs w:val="19"/>
              </w:rPr>
              <w:t xml:space="preserve">via </w:t>
            </w:r>
            <w:r>
              <w:rPr>
                <w:b w:val="0"/>
                <w:sz w:val="19"/>
                <w:szCs w:val="19"/>
              </w:rPr>
              <w:t xml:space="preserve">increasing soil moisture in the </w:t>
            </w:r>
            <w:r w:rsidRPr="00CE1F81">
              <w:rPr>
                <w:b w:val="0"/>
                <w:i/>
                <w:iCs/>
                <w:sz w:val="19"/>
                <w:szCs w:val="19"/>
              </w:rPr>
              <w:t>Inundation extent</w:t>
            </w:r>
            <w:r>
              <w:rPr>
                <w:b w:val="0"/>
                <w:sz w:val="19"/>
                <w:szCs w:val="19"/>
              </w:rPr>
              <w:t xml:space="preserve"> zone. Increased above-ground biomass was also observed in the </w:t>
            </w:r>
            <w:r w:rsidRPr="00531B3F">
              <w:rPr>
                <w:b w:val="0"/>
                <w:i/>
                <w:iCs/>
                <w:sz w:val="19"/>
                <w:szCs w:val="19"/>
              </w:rPr>
              <w:t>Inundated</w:t>
            </w:r>
            <w:r>
              <w:rPr>
                <w:b w:val="0"/>
                <w:sz w:val="19"/>
                <w:szCs w:val="19"/>
              </w:rPr>
              <w:t xml:space="preserve"> zone across all reaches and at </w:t>
            </w:r>
            <w:r w:rsidRPr="004C69EB">
              <w:rPr>
                <w:b w:val="0"/>
                <w:i/>
                <w:iCs/>
                <w:sz w:val="19"/>
                <w:szCs w:val="19"/>
              </w:rPr>
              <w:t>Pool level</w:t>
            </w:r>
            <w:r>
              <w:rPr>
                <w:b w:val="0"/>
                <w:sz w:val="19"/>
                <w:szCs w:val="19"/>
              </w:rPr>
              <w:t xml:space="preserve"> downstream of Locks 1 and 4, compared to the </w:t>
            </w:r>
            <w:r w:rsidRPr="004C69EB">
              <w:rPr>
                <w:b w:val="0"/>
                <w:i/>
                <w:iCs/>
                <w:sz w:val="19"/>
                <w:szCs w:val="19"/>
              </w:rPr>
              <w:t>Not inundated</w:t>
            </w:r>
            <w:r>
              <w:rPr>
                <w:b w:val="0"/>
                <w:sz w:val="19"/>
                <w:szCs w:val="19"/>
              </w:rPr>
              <w:t xml:space="preserve"> zone.</w:t>
            </w:r>
          </w:p>
        </w:tc>
      </w:tr>
    </w:tbl>
    <w:p w14:paraId="4C2B355C" w14:textId="6F987EA3" w:rsidR="002F3182" w:rsidRPr="006B375C" w:rsidRDefault="006B375C" w:rsidP="006B375C">
      <w:pPr>
        <w:spacing w:line="240" w:lineRule="auto"/>
        <w:rPr>
          <w:sz w:val="14"/>
          <w:szCs w:val="14"/>
        </w:rPr>
      </w:pPr>
      <w:r w:rsidRPr="006B375C">
        <w:rPr>
          <w:sz w:val="16"/>
          <w:szCs w:val="14"/>
        </w:rPr>
        <w:t xml:space="preserve">#: </w:t>
      </w:r>
      <w:r w:rsidRPr="006B375C">
        <w:rPr>
          <w:i/>
          <w:iCs/>
          <w:sz w:val="16"/>
          <w:szCs w:val="14"/>
        </w:rPr>
        <w:t>Cyperus gymnocaulos</w:t>
      </w:r>
      <w:r w:rsidRPr="006B375C">
        <w:rPr>
          <w:sz w:val="16"/>
          <w:szCs w:val="14"/>
        </w:rPr>
        <w:t xml:space="preserve"> was not exclusively present in the </w:t>
      </w:r>
      <w:r w:rsidRPr="006B375C">
        <w:rPr>
          <w:i/>
          <w:iCs/>
          <w:sz w:val="16"/>
          <w:szCs w:val="14"/>
        </w:rPr>
        <w:t>Inundated zone</w:t>
      </w:r>
      <w:r w:rsidRPr="006B375C">
        <w:rPr>
          <w:sz w:val="16"/>
          <w:szCs w:val="14"/>
        </w:rPr>
        <w:t xml:space="preserve"> and/or </w:t>
      </w:r>
      <w:r w:rsidRPr="006B375C">
        <w:rPr>
          <w:i/>
          <w:iCs/>
          <w:sz w:val="16"/>
          <w:szCs w:val="14"/>
        </w:rPr>
        <w:t>Pool level</w:t>
      </w:r>
      <w:r w:rsidRPr="006B375C">
        <w:rPr>
          <w:sz w:val="16"/>
          <w:szCs w:val="14"/>
        </w:rPr>
        <w:t xml:space="preserve"> in any reach; however, observations showed it benefited from increased soil moisture in the Inundation extent zone, where it was common in all reaches.</w:t>
      </w:r>
      <w:r>
        <w:rPr>
          <w:sz w:val="16"/>
          <w:szCs w:val="14"/>
        </w:rPr>
        <w:t xml:space="preserve"> </w:t>
      </w:r>
      <w:r w:rsidRPr="006B375C">
        <w:rPr>
          <w:sz w:val="16"/>
          <w:szCs w:val="14"/>
        </w:rPr>
        <w:t xml:space="preserve">##: There was no large-scale germination of </w:t>
      </w:r>
      <w:r w:rsidRPr="006B375C">
        <w:rPr>
          <w:i/>
          <w:iCs/>
          <w:sz w:val="16"/>
          <w:szCs w:val="14"/>
        </w:rPr>
        <w:t>Eucalyptus camaldulensis</w:t>
      </w:r>
      <w:r w:rsidRPr="006B375C">
        <w:rPr>
          <w:sz w:val="16"/>
          <w:szCs w:val="14"/>
        </w:rPr>
        <w:t xml:space="preserve"> in 2020-21 but the large number of saplings present showed that survivorship of seedlings from 2019 was high and probably due to the delivery of CEW.</w:t>
      </w:r>
    </w:p>
    <w:p w14:paraId="30AAD8E0" w14:textId="77777777" w:rsidR="002F3182" w:rsidRPr="00BF0490" w:rsidRDefault="002F3182" w:rsidP="002F3182">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2F3182" w:rsidRPr="00BF0490" w14:paraId="29E45E4E" w14:textId="77777777" w:rsidTr="005050BB">
        <w:tc>
          <w:tcPr>
            <w:tcW w:w="222" w:type="dxa"/>
            <w:shd w:val="clear" w:color="auto" w:fill="D9D9D9" w:themeFill="background1" w:themeFillShade="D9"/>
          </w:tcPr>
          <w:p w14:paraId="254EC3AC" w14:textId="77777777" w:rsidR="002F3182" w:rsidRPr="00BF0490" w:rsidRDefault="002F3182" w:rsidP="005050BB">
            <w:pPr>
              <w:contextualSpacing/>
              <w:rPr>
                <w:sz w:val="19"/>
                <w:szCs w:val="19"/>
              </w:rPr>
            </w:pPr>
          </w:p>
        </w:tc>
        <w:tc>
          <w:tcPr>
            <w:tcW w:w="1066" w:type="dxa"/>
            <w:vAlign w:val="center"/>
          </w:tcPr>
          <w:p w14:paraId="59B55D19" w14:textId="77777777" w:rsidR="002F3182" w:rsidRPr="00BF0490" w:rsidRDefault="002F3182" w:rsidP="005050BB">
            <w:pPr>
              <w:contextualSpacing/>
              <w:rPr>
                <w:sz w:val="19"/>
                <w:szCs w:val="19"/>
              </w:rPr>
            </w:pPr>
            <w:r w:rsidRPr="00BF0490">
              <w:rPr>
                <w:sz w:val="19"/>
                <w:szCs w:val="19"/>
              </w:rPr>
              <w:t>Unknown</w:t>
            </w:r>
          </w:p>
        </w:tc>
        <w:tc>
          <w:tcPr>
            <w:tcW w:w="222" w:type="dxa"/>
            <w:shd w:val="clear" w:color="auto" w:fill="FF0000"/>
            <w:vAlign w:val="center"/>
          </w:tcPr>
          <w:p w14:paraId="1DC16A17" w14:textId="77777777" w:rsidR="002F3182" w:rsidRPr="00BF0490" w:rsidRDefault="002F3182" w:rsidP="005050BB">
            <w:pPr>
              <w:contextualSpacing/>
              <w:rPr>
                <w:sz w:val="19"/>
                <w:szCs w:val="19"/>
              </w:rPr>
            </w:pPr>
          </w:p>
        </w:tc>
        <w:tc>
          <w:tcPr>
            <w:tcW w:w="1069" w:type="dxa"/>
            <w:vAlign w:val="center"/>
          </w:tcPr>
          <w:p w14:paraId="200FBE50" w14:textId="77777777" w:rsidR="002F3182" w:rsidRPr="00BF0490" w:rsidRDefault="002F3182" w:rsidP="005050BB">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1704C141" w14:textId="77777777" w:rsidR="002F3182" w:rsidRPr="00BF0490" w:rsidRDefault="002F3182" w:rsidP="005050BB">
            <w:pPr>
              <w:contextualSpacing/>
              <w:rPr>
                <w:sz w:val="19"/>
                <w:szCs w:val="19"/>
              </w:rPr>
            </w:pPr>
          </w:p>
        </w:tc>
        <w:tc>
          <w:tcPr>
            <w:tcW w:w="1704" w:type="dxa"/>
            <w:vAlign w:val="center"/>
          </w:tcPr>
          <w:p w14:paraId="2C76AB50" w14:textId="77777777" w:rsidR="002F3182" w:rsidRPr="00BF0490" w:rsidRDefault="002F3182" w:rsidP="005050BB">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5F96E797" w14:textId="77777777" w:rsidR="002F3182" w:rsidRPr="00BF0490" w:rsidRDefault="002F3182" w:rsidP="005050BB">
            <w:pPr>
              <w:contextualSpacing/>
              <w:rPr>
                <w:sz w:val="19"/>
                <w:szCs w:val="19"/>
              </w:rPr>
            </w:pPr>
          </w:p>
        </w:tc>
        <w:tc>
          <w:tcPr>
            <w:tcW w:w="727" w:type="dxa"/>
            <w:vAlign w:val="center"/>
          </w:tcPr>
          <w:p w14:paraId="3B3F694B" w14:textId="77777777" w:rsidR="002F3182" w:rsidRPr="00BF0490" w:rsidRDefault="002F3182" w:rsidP="005050BB">
            <w:pPr>
              <w:contextualSpacing/>
              <w:rPr>
                <w:sz w:val="19"/>
                <w:szCs w:val="19"/>
              </w:rPr>
            </w:pPr>
            <w:r w:rsidRPr="00BF0490">
              <w:rPr>
                <w:sz w:val="19"/>
                <w:szCs w:val="19"/>
              </w:rPr>
              <w:t>Minor</w:t>
            </w:r>
          </w:p>
        </w:tc>
        <w:tc>
          <w:tcPr>
            <w:tcW w:w="222" w:type="dxa"/>
            <w:shd w:val="clear" w:color="auto" w:fill="70AD47" w:themeFill="accent6"/>
            <w:vAlign w:val="center"/>
          </w:tcPr>
          <w:p w14:paraId="0AB72922" w14:textId="77777777" w:rsidR="002F3182" w:rsidRPr="00BF0490" w:rsidRDefault="002F3182" w:rsidP="005050BB">
            <w:pPr>
              <w:contextualSpacing/>
              <w:rPr>
                <w:sz w:val="19"/>
                <w:szCs w:val="19"/>
              </w:rPr>
            </w:pPr>
          </w:p>
        </w:tc>
        <w:tc>
          <w:tcPr>
            <w:tcW w:w="1144" w:type="dxa"/>
            <w:vAlign w:val="center"/>
          </w:tcPr>
          <w:p w14:paraId="2FB1AA63" w14:textId="77777777" w:rsidR="002F3182" w:rsidRPr="00BF0490" w:rsidRDefault="002F3182" w:rsidP="005050BB">
            <w:pPr>
              <w:contextualSpacing/>
              <w:rPr>
                <w:sz w:val="19"/>
                <w:szCs w:val="19"/>
              </w:rPr>
            </w:pPr>
            <w:r w:rsidRPr="00BF0490">
              <w:rPr>
                <w:sz w:val="19"/>
                <w:szCs w:val="19"/>
              </w:rPr>
              <w:t>Moderate</w:t>
            </w:r>
          </w:p>
        </w:tc>
        <w:tc>
          <w:tcPr>
            <w:tcW w:w="222" w:type="dxa"/>
            <w:shd w:val="clear" w:color="auto" w:fill="5B9BD5" w:themeFill="accent1"/>
          </w:tcPr>
          <w:p w14:paraId="4DE251CF" w14:textId="77777777" w:rsidR="002F3182" w:rsidRPr="00BF0490" w:rsidRDefault="002F3182" w:rsidP="005050BB">
            <w:pPr>
              <w:contextualSpacing/>
              <w:rPr>
                <w:sz w:val="19"/>
                <w:szCs w:val="19"/>
              </w:rPr>
            </w:pPr>
          </w:p>
        </w:tc>
        <w:tc>
          <w:tcPr>
            <w:tcW w:w="236" w:type="dxa"/>
            <w:vAlign w:val="center"/>
          </w:tcPr>
          <w:p w14:paraId="7E6954BA" w14:textId="77777777" w:rsidR="002F3182" w:rsidRPr="00BF0490" w:rsidRDefault="002F3182" w:rsidP="005050BB">
            <w:pPr>
              <w:contextualSpacing/>
              <w:jc w:val="left"/>
              <w:rPr>
                <w:sz w:val="19"/>
                <w:szCs w:val="19"/>
              </w:rPr>
            </w:pPr>
            <w:r w:rsidRPr="00BF0490">
              <w:rPr>
                <w:sz w:val="19"/>
                <w:szCs w:val="19"/>
              </w:rPr>
              <w:t>Substantial</w:t>
            </w:r>
          </w:p>
        </w:tc>
      </w:tr>
    </w:tbl>
    <w:p w14:paraId="39029E31" w14:textId="77777777" w:rsidR="002F3182" w:rsidRDefault="002F3182" w:rsidP="002F3182"/>
    <w:p w14:paraId="347B9F0F" w14:textId="77777777" w:rsidR="002F3182" w:rsidRDefault="002F3182" w:rsidP="002F3182">
      <w:pPr>
        <w:pStyle w:val="Heading3"/>
      </w:pPr>
      <w:r w:rsidRPr="00E35C12">
        <w:t>Discussion</w:t>
      </w:r>
    </w:p>
    <w:p w14:paraId="0591D373" w14:textId="77777777" w:rsidR="002F3182" w:rsidRDefault="002F3182" w:rsidP="002F3182">
      <w:r>
        <w:t>Results from monitoring in February 2021, after the spring 2020 flow pulse had transited the LMR, supported both hypotheses. As the spring pulse was almost entirely the result of the delivery of Commonwealth environmental water, this provided evidence that its delivery increased biological and functional diversity of the plant community and increased productivity.</w:t>
      </w:r>
    </w:p>
    <w:p w14:paraId="3032C77C" w14:textId="355A5997" w:rsidR="00071B4B" w:rsidRDefault="00071B4B" w:rsidP="00071B4B">
      <w:bookmarkStart w:id="225" w:name="_Hlk100564814"/>
      <w:r w:rsidRPr="00724048">
        <w:t>The</w:t>
      </w:r>
      <w:r>
        <w:t xml:space="preserve"> spring pulse (and in turn the delivery of environmental water) significantly changed the plant communities in areas that were inundated and where soil moisture in the plant root zone increased. This was not unexpected as inundation changes the physicochemical environment and acts as an environmental sieve (</w:t>
      </w:r>
      <w:r w:rsidRPr="00B66097">
        <w:rPr>
          <w:i/>
          <w:iCs/>
        </w:rPr>
        <w:t>sensu</w:t>
      </w:r>
      <w:r>
        <w:t xml:space="preserve"> van der Valk 1981) producing conditions that are hostile to some species but favourable to others (e.g. Nicol </w:t>
      </w:r>
      <w:r w:rsidRPr="00B66097">
        <w:rPr>
          <w:i/>
          <w:iCs/>
        </w:rPr>
        <w:t>et al.</w:t>
      </w:r>
      <w:r>
        <w:t xml:space="preserve"> 2003). There was evidence that many terrestrial taxa (e.g. </w:t>
      </w:r>
      <w:r w:rsidRPr="006062A4">
        <w:rPr>
          <w:i/>
          <w:iCs/>
        </w:rPr>
        <w:t>Atriplex</w:t>
      </w:r>
      <w:r>
        <w:t xml:space="preserve"> spp., </w:t>
      </w:r>
      <w:r w:rsidRPr="006062A4">
        <w:rPr>
          <w:i/>
          <w:iCs/>
        </w:rPr>
        <w:t>Sclerolaena</w:t>
      </w:r>
      <w:r>
        <w:t xml:space="preserve"> spp.) were extirpated as a result of inundation and, as water levels receded, there was recruitment of flood dependent and amphibious species. In the case of perennial amphibious species (e.g. </w:t>
      </w:r>
      <w:r w:rsidRPr="008A3224">
        <w:rPr>
          <w:i/>
          <w:iCs/>
        </w:rPr>
        <w:t>Cyperus gymnocaulos, Juncus usitatus, Ludwigia peploides</w:t>
      </w:r>
      <w:r>
        <w:t xml:space="preserve">), there may not have been recruitment from seed but increases in cover and number due to growth or clonal expansion (rhizomes of </w:t>
      </w:r>
      <w:r w:rsidRPr="008A3224">
        <w:rPr>
          <w:i/>
          <w:iCs/>
        </w:rPr>
        <w:t>Cyperus gymnocaulos</w:t>
      </w:r>
      <w:r>
        <w:t xml:space="preserve"> and </w:t>
      </w:r>
      <w:r w:rsidRPr="008A3224">
        <w:rPr>
          <w:i/>
          <w:iCs/>
        </w:rPr>
        <w:t>Juncus usitatus</w:t>
      </w:r>
      <w:r>
        <w:t xml:space="preserve"> were widespread throughout sites).</w:t>
      </w:r>
    </w:p>
    <w:p w14:paraId="0E4979ED" w14:textId="2AF95D8F" w:rsidR="00092564" w:rsidRDefault="00071B4B" w:rsidP="00071B4B">
      <w:r>
        <w:t xml:space="preserve">The response was similar to 2019-20; however, more native amphibious and flood dependent species were present exclusively in the areas inundated by environmental water in 2020-21 (24 in 2019-20 compared to 28 in 2020-21). </w:t>
      </w:r>
      <w:bookmarkEnd w:id="225"/>
      <w:r w:rsidR="008F1D94">
        <w:t>These results provided evidence of the benefits of follow up watering for vegetation and may improve resilience in the longer-term.</w:t>
      </w:r>
    </w:p>
    <w:p w14:paraId="69F1611E" w14:textId="0E9C1EE4" w:rsidR="002F3182" w:rsidRDefault="002F3182" w:rsidP="002F3182">
      <w:r>
        <w:t>Whilst there were generally consistent patterns of floristic composition between zones in each reach there were differences between reaches, in particular between Lock 1 and the other two reaches (</w:t>
      </w:r>
      <w:r>
        <w:fldChar w:fldCharType="begin"/>
      </w:r>
      <w:r>
        <w:instrText xml:space="preserve"> REF _Ref58354694 \h </w:instrText>
      </w:r>
      <w:r>
        <w:fldChar w:fldCharType="separate"/>
      </w:r>
      <w:r w:rsidR="003C13F6">
        <w:t xml:space="preserve">Figure </w:t>
      </w:r>
      <w:r w:rsidR="003C13F6">
        <w:rPr>
          <w:noProof/>
        </w:rPr>
        <w:t>34</w:t>
      </w:r>
      <w:r>
        <w:fldChar w:fldCharType="end"/>
      </w:r>
      <w:r>
        <w:t xml:space="preserve">; </w:t>
      </w:r>
      <w:r>
        <w:fldChar w:fldCharType="begin"/>
      </w:r>
      <w:r>
        <w:instrText xml:space="preserve"> REF _Ref58438840 \h </w:instrText>
      </w:r>
      <w:r>
        <w:fldChar w:fldCharType="separate"/>
      </w:r>
      <w:r w:rsidR="003C13F6">
        <w:t xml:space="preserve">Figure </w:t>
      </w:r>
      <w:r w:rsidR="003C13F6">
        <w:rPr>
          <w:noProof/>
        </w:rPr>
        <w:t>36</w:t>
      </w:r>
      <w:r>
        <w:fldChar w:fldCharType="end"/>
      </w:r>
      <w:r>
        <w:t>). The reach below Lock 1 had higher species richness across all zones, which was probably due to the more variable water levels in comparison to the Lock 4 and Lock 6 reaches (</w:t>
      </w:r>
      <w:r>
        <w:fldChar w:fldCharType="begin"/>
      </w:r>
      <w:r>
        <w:instrText xml:space="preserve"> REF _Ref58353126 \h </w:instrText>
      </w:r>
      <w:r>
        <w:fldChar w:fldCharType="separate"/>
      </w:r>
      <w:r w:rsidR="003C13F6">
        <w:t xml:space="preserve">Figure </w:t>
      </w:r>
      <w:r w:rsidR="003C13F6">
        <w:rPr>
          <w:noProof/>
        </w:rPr>
        <w:t>32</w:t>
      </w:r>
      <w:r>
        <w:fldChar w:fldCharType="end"/>
      </w:r>
      <w:r>
        <w:t>). The reach below Lock 1 is connected to the Lower Lakes and wind driven water level changes (seiches) driven by lakes Alexandrina and Albert impact this weir pool.</w:t>
      </w:r>
    </w:p>
    <w:p w14:paraId="6C27A791" w14:textId="11B0C10E" w:rsidR="002F3182" w:rsidRDefault="002F3182" w:rsidP="002F3182">
      <w:r>
        <w:t>Whilst the highest species richness in all reaches occurred in areas that were inundated by the spring pulse, amphibious and flood dependent species were present across all zones in all reaches (</w:t>
      </w:r>
      <w:r>
        <w:fldChar w:fldCharType="begin"/>
      </w:r>
      <w:r>
        <w:instrText xml:space="preserve"> REF _Ref58354694 \h </w:instrText>
      </w:r>
      <w:r>
        <w:fldChar w:fldCharType="separate"/>
      </w:r>
      <w:r w:rsidR="003C13F6">
        <w:t xml:space="preserve">Figure </w:t>
      </w:r>
      <w:r w:rsidR="003C13F6">
        <w:rPr>
          <w:noProof/>
        </w:rPr>
        <w:t>34</w:t>
      </w:r>
      <w:r>
        <w:fldChar w:fldCharType="end"/>
      </w:r>
      <w:r>
        <w:t xml:space="preserve">; </w:t>
      </w:r>
      <w:r>
        <w:fldChar w:fldCharType="begin"/>
      </w:r>
      <w:r>
        <w:instrText xml:space="preserve"> REF _Ref58573865 \h </w:instrText>
      </w:r>
      <w:r>
        <w:fldChar w:fldCharType="separate"/>
      </w:r>
      <w:r w:rsidR="003C13F6">
        <w:t xml:space="preserve">Figure </w:t>
      </w:r>
      <w:r w:rsidR="003C13F6">
        <w:rPr>
          <w:noProof/>
        </w:rPr>
        <w:t>35</w:t>
      </w:r>
      <w:r>
        <w:fldChar w:fldCharType="end"/>
      </w:r>
      <w:r>
        <w:t xml:space="preserve">). Many amphibious species, such as </w:t>
      </w:r>
      <w:r>
        <w:rPr>
          <w:i/>
          <w:iCs/>
        </w:rPr>
        <w:t>Eucalyptus</w:t>
      </w:r>
      <w:r w:rsidRPr="00435F6E">
        <w:rPr>
          <w:i/>
          <w:iCs/>
        </w:rPr>
        <w:t xml:space="preserve"> camaldulensis</w:t>
      </w:r>
      <w:r>
        <w:t xml:space="preserve">, </w:t>
      </w:r>
      <w:r w:rsidRPr="00435F6E">
        <w:rPr>
          <w:i/>
          <w:iCs/>
        </w:rPr>
        <w:t>Duma florulenta</w:t>
      </w:r>
      <w:r>
        <w:rPr>
          <w:i/>
          <w:iCs/>
        </w:rPr>
        <w:t xml:space="preserve"> </w:t>
      </w:r>
      <w:r w:rsidRPr="00435F6E">
        <w:t>and</w:t>
      </w:r>
      <w:r>
        <w:rPr>
          <w:i/>
          <w:iCs/>
        </w:rPr>
        <w:t xml:space="preserve"> Cyperus gymnocaulos</w:t>
      </w:r>
      <w:r>
        <w:t xml:space="preserve"> are long-lived perennials that are tolerant to low soil moisture (Cunningham </w:t>
      </w:r>
      <w:r w:rsidRPr="00435F6E">
        <w:rPr>
          <w:i/>
          <w:iCs/>
        </w:rPr>
        <w:t>et al.</w:t>
      </w:r>
      <w:r>
        <w:t xml:space="preserve"> 1992) and are widespread across the entire floodplain. In addition, there were many flood dependent and amphibious species present in the </w:t>
      </w:r>
      <w:r w:rsidRPr="00240018">
        <w:rPr>
          <w:i/>
          <w:iCs/>
        </w:rPr>
        <w:t>Not inundated</w:t>
      </w:r>
      <w:r>
        <w:t xml:space="preserve"> zone that had recruited in response to the 2016 flood (J. Nicol </w:t>
      </w:r>
      <w:r w:rsidRPr="000179C9">
        <w:rPr>
          <w:i/>
          <w:iCs/>
        </w:rPr>
        <w:t>pers. obs.</w:t>
      </w:r>
      <w:r>
        <w:t xml:space="preserve">). In future surveys the impact of the 2016 flood in the </w:t>
      </w:r>
      <w:r w:rsidRPr="00240018">
        <w:rPr>
          <w:i/>
          <w:iCs/>
        </w:rPr>
        <w:t>Not inundated</w:t>
      </w:r>
      <w:r>
        <w:t xml:space="preserve"> zone will become less evident in the absence of large overbank floods.</w:t>
      </w:r>
    </w:p>
    <w:p w14:paraId="4854668D" w14:textId="5D0A2EEC" w:rsidR="002F3182" w:rsidRDefault="002F3182" w:rsidP="002F3182">
      <w:r>
        <w:t xml:space="preserve">The presence of </w:t>
      </w:r>
      <w:r>
        <w:rPr>
          <w:i/>
          <w:iCs/>
        </w:rPr>
        <w:t>Eucalyptus</w:t>
      </w:r>
      <w:r w:rsidRPr="00A10776">
        <w:rPr>
          <w:i/>
          <w:iCs/>
        </w:rPr>
        <w:t xml:space="preserve"> camaldulensis</w:t>
      </w:r>
      <w:r>
        <w:t xml:space="preserve"> seedlings in 2019-20 was important because they are generally not recorded in the monitoring programs of other watering interventions such as pumping (</w:t>
      </w:r>
      <w:r w:rsidRPr="00A10776">
        <w:t xml:space="preserve">Nicol </w:t>
      </w:r>
      <w:r w:rsidRPr="00A10776">
        <w:rPr>
          <w:i/>
          <w:iCs/>
        </w:rPr>
        <w:t>et al.</w:t>
      </w:r>
      <w:r w:rsidRPr="00A10776">
        <w:t xml:space="preserve"> 2010, Nicol 2012</w:t>
      </w:r>
      <w:r>
        <w:t xml:space="preserve">), weir pool manipulation </w:t>
      </w:r>
      <w:r w:rsidRPr="002C7851">
        <w:t xml:space="preserve">(Gehrig </w:t>
      </w:r>
      <w:r w:rsidRPr="002C7851">
        <w:rPr>
          <w:i/>
          <w:iCs/>
        </w:rPr>
        <w:t>et al.</w:t>
      </w:r>
      <w:r w:rsidRPr="002C7851">
        <w:t xml:space="preserve"> 2015, Gehrig </w:t>
      </w:r>
      <w:r w:rsidRPr="002C7851">
        <w:rPr>
          <w:i/>
          <w:iCs/>
        </w:rPr>
        <w:t>et al.</w:t>
      </w:r>
      <w:r w:rsidRPr="002C7851">
        <w:t xml:space="preserve"> 2016)</w:t>
      </w:r>
      <w:r>
        <w:t xml:space="preserve"> and environmental regulator operation </w:t>
      </w:r>
      <w:r w:rsidRPr="00A10776">
        <w:t xml:space="preserve">(Nicol </w:t>
      </w:r>
      <w:r w:rsidRPr="00A10776">
        <w:rPr>
          <w:i/>
          <w:iCs/>
        </w:rPr>
        <w:t>et al.</w:t>
      </w:r>
      <w:r w:rsidRPr="00A10776">
        <w:t xml:space="preserve"> 2020)</w:t>
      </w:r>
      <w:r>
        <w:t xml:space="preserve">. Whilst seedlings were generally absent in 2020-21, saplings were abundant and in good condition (J. Nicol pers. obs.) indicating high survivorship of seedlings from 2019. It is unclear why seedlings were not observed in this year; however, the flow pulse in 2020 was later than in 2019 and may not have coincided with </w:t>
      </w:r>
      <w:r w:rsidRPr="005F710C">
        <w:rPr>
          <w:i/>
          <w:iCs/>
        </w:rPr>
        <w:t>E</w:t>
      </w:r>
      <w:r>
        <w:rPr>
          <w:i/>
          <w:iCs/>
        </w:rPr>
        <w:t>ucalyptus</w:t>
      </w:r>
      <w:r w:rsidRPr="005F710C">
        <w:rPr>
          <w:i/>
          <w:iCs/>
        </w:rPr>
        <w:t xml:space="preserve"> camaldulensis</w:t>
      </w:r>
      <w:r>
        <w:t xml:space="preserve"> </w:t>
      </w:r>
      <w:r w:rsidR="00071B4B">
        <w:t xml:space="preserve">seed rain  </w:t>
      </w:r>
      <w:r>
        <w:t xml:space="preserve">(sensu Pettit and Froend 2001a and Pettit et al. 2001). The locations of 100 </w:t>
      </w:r>
      <w:r w:rsidRPr="005F710C">
        <w:rPr>
          <w:i/>
          <w:iCs/>
        </w:rPr>
        <w:t>E</w:t>
      </w:r>
      <w:r>
        <w:rPr>
          <w:i/>
          <w:iCs/>
        </w:rPr>
        <w:t>ucalyptus</w:t>
      </w:r>
      <w:r w:rsidRPr="005F710C">
        <w:rPr>
          <w:i/>
          <w:iCs/>
        </w:rPr>
        <w:t xml:space="preserve"> camaldulensis</w:t>
      </w:r>
      <w:r>
        <w:t xml:space="preserve"> saplings were recorded by GPS downstream of Lock 4 and Lock 6 to provide future data on medium to long-term survivorship. </w:t>
      </w:r>
    </w:p>
    <w:p w14:paraId="68EF193E" w14:textId="0B78E13B" w:rsidR="002F3182" w:rsidRDefault="002F3182" w:rsidP="002F3182">
      <w:r w:rsidRPr="009013EE">
        <w:t>Patterns</w:t>
      </w:r>
      <w:r>
        <w:t xml:space="preserve"> of above ground biomass at the different inundation zones were similar between reaches and could be explained due to environmental water delivery (</w:t>
      </w:r>
      <w:r>
        <w:fldChar w:fldCharType="begin"/>
      </w:r>
      <w:r>
        <w:instrText xml:space="preserve"> REF _Ref58589490 \h </w:instrText>
      </w:r>
      <w:r>
        <w:fldChar w:fldCharType="separate"/>
      </w:r>
      <w:r w:rsidR="003C13F6">
        <w:t xml:space="preserve">Figure </w:t>
      </w:r>
      <w:r w:rsidR="003C13F6">
        <w:rPr>
          <w:noProof/>
        </w:rPr>
        <w:t>37</w:t>
      </w:r>
      <w:r>
        <w:fldChar w:fldCharType="end"/>
      </w:r>
      <w:r>
        <w:t xml:space="preserve">). Increased soil moisture and no extirpation of species intolerant of inundation in the </w:t>
      </w:r>
      <w:r w:rsidRPr="00366BC4">
        <w:rPr>
          <w:i/>
          <w:iCs/>
        </w:rPr>
        <w:t>Inundation extent</w:t>
      </w:r>
      <w:r>
        <w:t xml:space="preserve"> zone resulted in increased above ground biomass in this zone in all reaches (</w:t>
      </w:r>
      <w:r>
        <w:fldChar w:fldCharType="begin"/>
      </w:r>
      <w:r>
        <w:instrText xml:space="preserve"> REF _Ref58589490 \h </w:instrText>
      </w:r>
      <w:r>
        <w:fldChar w:fldCharType="separate"/>
      </w:r>
      <w:r w:rsidR="003C13F6">
        <w:t xml:space="preserve">Figure </w:t>
      </w:r>
      <w:r w:rsidR="003C13F6">
        <w:rPr>
          <w:noProof/>
        </w:rPr>
        <w:t>37</w:t>
      </w:r>
      <w:r>
        <w:fldChar w:fldCharType="end"/>
      </w:r>
      <w:r>
        <w:t>). Inundation also generally resulted in increased above ground biomass (compared to areas not inundated) (</w:t>
      </w:r>
      <w:r>
        <w:fldChar w:fldCharType="begin"/>
      </w:r>
      <w:r>
        <w:instrText xml:space="preserve"> REF _Ref58589490 \h </w:instrText>
      </w:r>
      <w:r>
        <w:fldChar w:fldCharType="separate"/>
      </w:r>
      <w:r w:rsidR="003C13F6">
        <w:t xml:space="preserve">Figure </w:t>
      </w:r>
      <w:r w:rsidR="003C13F6">
        <w:rPr>
          <w:noProof/>
        </w:rPr>
        <w:t>37</w:t>
      </w:r>
      <w:r>
        <w:fldChar w:fldCharType="end"/>
      </w:r>
      <w:r>
        <w:t xml:space="preserve">), which may be due to increased abundance of perennial amphibious taxa from previous years that can tolerate or respond to inundation. </w:t>
      </w:r>
    </w:p>
    <w:p w14:paraId="37A8608D" w14:textId="77777777" w:rsidR="002F3182" w:rsidRDefault="002F3182" w:rsidP="002F3182">
      <w:pPr>
        <w:pStyle w:val="Heading3"/>
      </w:pPr>
      <w:r>
        <w:t>Management implications</w:t>
      </w:r>
    </w:p>
    <w:p w14:paraId="518CD2D2" w14:textId="77777777" w:rsidR="002F3182" w:rsidRDefault="002F3182" w:rsidP="002F3182">
      <w:r>
        <w:t>Results from the 2020-21 water year showed that delivery of a spring pulse was beneficial for littoral vegetation diversity and productivity. Delivering environmental water to support a spring flow pulse in the river channel reinstates part of the natural hydrograph. The increase in water level is coupled with an increase in water velocity and in turn hydraulic complexity and lateral and longitudinal connectivity. This is in contrast to other watering interventions commonly undertaken in the LMR such as weir pool raising and environmental regulator operation, where the water level rise is often decoupled from the increase in flow velocity, or pumping where there is no connectivity with the river channel. Whilst these differences probably have less consequences for plants compared to other biotic groups, as water level is the key driver of plant communities and species typically have persistent (</w:t>
      </w:r>
      <w:r w:rsidRPr="00172876">
        <w:rPr>
          <w:i/>
          <w:iCs/>
        </w:rPr>
        <w:t>sensu</w:t>
      </w:r>
      <w:r>
        <w:t xml:space="preserve"> Thompson 1992) or aerial seed banks (Nicol 2004), they may be significant. For example, a recent study indicated that water delivery as a flow pulse supported hydrochory (dispersal of propagules by water), which is a significant source of propagule input to inundated areas (Gibbs </w:t>
      </w:r>
      <w:r w:rsidRPr="00286C07">
        <w:rPr>
          <w:i/>
          <w:iCs/>
        </w:rPr>
        <w:t>et al.</w:t>
      </w:r>
      <w:r>
        <w:t xml:space="preserve"> 2020). These results provide evidence that water delivery as a pulse may be preferable compared to using environmental water to support weir pool raising, regulator operation or pumping. Whilst the aforementioned interventions have positive outcomes for vegetation (e.g. Nicol 2012), they should be seen as measures for maintaining perennial vegetation during extended periods of low flow.</w:t>
      </w:r>
    </w:p>
    <w:p w14:paraId="228094B6" w14:textId="77777777" w:rsidR="002F3182" w:rsidRDefault="002F3182" w:rsidP="002F3182">
      <w:r>
        <w:t xml:space="preserve">One drawback of the flow pulse was the recruitment of several exotic species, in particular the proclaimed pest plants </w:t>
      </w:r>
      <w:r w:rsidRPr="00944971">
        <w:rPr>
          <w:i/>
          <w:iCs/>
        </w:rPr>
        <w:t>Xanthium occidentale</w:t>
      </w:r>
      <w:r>
        <w:rPr>
          <w:i/>
          <w:iCs/>
        </w:rPr>
        <w:t xml:space="preserve"> </w:t>
      </w:r>
      <w:r w:rsidRPr="00B00ADB">
        <w:t>and</w:t>
      </w:r>
      <w:r>
        <w:rPr>
          <w:i/>
          <w:iCs/>
        </w:rPr>
        <w:t xml:space="preserve"> Cuscuta campestris</w:t>
      </w:r>
      <w:r>
        <w:t xml:space="preserve">. </w:t>
      </w:r>
      <w:r w:rsidRPr="00944971">
        <w:rPr>
          <w:i/>
          <w:iCs/>
        </w:rPr>
        <w:t>Xanthium occidentale</w:t>
      </w:r>
      <w:r>
        <w:rPr>
          <w:i/>
          <w:iCs/>
        </w:rPr>
        <w:t xml:space="preserve"> </w:t>
      </w:r>
      <w:r>
        <w:t xml:space="preserve">is a common amphibious pest plant on stream banks, floodplains and in temporary wetlands </w:t>
      </w:r>
      <w:r w:rsidRPr="006B4755">
        <w:t>(Hocking 1983</w:t>
      </w:r>
      <w:r>
        <w:t>;</w:t>
      </w:r>
      <w:r w:rsidRPr="006B4755">
        <w:t xml:space="preserve"> Nicol </w:t>
      </w:r>
      <w:r w:rsidRPr="006B4755">
        <w:rPr>
          <w:i/>
          <w:iCs/>
        </w:rPr>
        <w:t>et al.</w:t>
      </w:r>
      <w:r w:rsidRPr="006B4755">
        <w:t xml:space="preserve"> 2018b)</w:t>
      </w:r>
      <w:r>
        <w:t xml:space="preserve"> and is an unavoidable consequence of flooding or watering interventions in the LMR. The proximity to water prohibits the use of herbicides, which makes control of pest plants difficult in littoral zones, but the benefits of watering to native species as observed in this instance outweigh the negative impacts of pest plants. </w:t>
      </w:r>
      <w:r w:rsidRPr="00D764C1">
        <w:rPr>
          <w:i/>
          <w:iCs/>
        </w:rPr>
        <w:t>Cuscuta campestris</w:t>
      </w:r>
      <w:r>
        <w:t xml:space="preserve"> is a parasitic plant that typically has agricultural crops as its host (Cunningham </w:t>
      </w:r>
      <w:r w:rsidRPr="0052789D">
        <w:rPr>
          <w:i/>
          <w:iCs/>
        </w:rPr>
        <w:t>et al.</w:t>
      </w:r>
      <w:r>
        <w:t xml:space="preserve"> 1992). However, </w:t>
      </w:r>
      <w:r w:rsidRPr="005416C1">
        <w:rPr>
          <w:i/>
          <w:iCs/>
        </w:rPr>
        <w:t>Xanthium occidentale</w:t>
      </w:r>
      <w:r>
        <w:t xml:space="preserve"> is also a common host (Cunningham </w:t>
      </w:r>
      <w:r w:rsidRPr="0052789D">
        <w:rPr>
          <w:i/>
          <w:iCs/>
        </w:rPr>
        <w:t>et al.</w:t>
      </w:r>
      <w:r>
        <w:t xml:space="preserve"> 1992) and </w:t>
      </w:r>
      <w:r w:rsidRPr="00EF4220">
        <w:rPr>
          <w:i/>
          <w:iCs/>
        </w:rPr>
        <w:t>C</w:t>
      </w:r>
      <w:r>
        <w:rPr>
          <w:i/>
          <w:iCs/>
        </w:rPr>
        <w:t>uscuta</w:t>
      </w:r>
      <w:r w:rsidRPr="00EF4220">
        <w:rPr>
          <w:i/>
          <w:iCs/>
        </w:rPr>
        <w:t xml:space="preserve"> campestris</w:t>
      </w:r>
      <w:r>
        <w:t xml:space="preserve"> was only present when </w:t>
      </w:r>
      <w:r w:rsidRPr="00FD3553">
        <w:rPr>
          <w:i/>
          <w:iCs/>
        </w:rPr>
        <w:t>Xanthium occidentale</w:t>
      </w:r>
      <w:r>
        <w:t xml:space="preserve"> was also present.</w:t>
      </w:r>
    </w:p>
    <w:p w14:paraId="39D5DC77" w14:textId="77777777" w:rsidR="002F3182" w:rsidRDefault="002F3182" w:rsidP="002F3182">
      <w:pPr>
        <w:pStyle w:val="Heading3"/>
      </w:pPr>
      <w:r>
        <w:t>Conclusions</w:t>
      </w:r>
    </w:p>
    <w:p w14:paraId="0F9CA7BE" w14:textId="7DB901BE" w:rsidR="00BE09D3" w:rsidRDefault="00071B4B" w:rsidP="002F3182">
      <w:pPr>
        <w:rPr>
          <w:rFonts w:eastAsiaTheme="majorEastAsia" w:cstheme="majorBidi"/>
          <w:color w:val="44546A" w:themeColor="text2"/>
          <w:sz w:val="26"/>
          <w:szCs w:val="26"/>
        </w:rPr>
      </w:pPr>
      <w:r>
        <w:t xml:space="preserve">The 2020-21 flow pulse (and in turn environmental water delivery) resulted in changes to the littoral plant community. Areas that were inundated had increased native species richness and functional diversity. Water delivery also provided hydrological conditions to support </w:t>
      </w:r>
      <w:r w:rsidRPr="00477540">
        <w:rPr>
          <w:i/>
          <w:iCs/>
        </w:rPr>
        <w:t>Eucalyptus camaldulensis</w:t>
      </w:r>
      <w:r>
        <w:t xml:space="preserve"> survival with development of many seedlings into saplings. Patterns of biomass could also be related to water delivery and showed increased soil moisture, resulting in increased productivity of understorey vegetation.</w:t>
      </w:r>
      <w:r w:rsidR="002C611C">
        <w:t xml:space="preserve"> </w:t>
      </w:r>
      <w:r w:rsidR="00BE09D3">
        <w:br w:type="page"/>
      </w:r>
    </w:p>
    <w:p w14:paraId="35252EA4" w14:textId="08D7A139" w:rsidR="00914280" w:rsidRPr="00B65A3E" w:rsidRDefault="00914280" w:rsidP="00914280">
      <w:pPr>
        <w:pStyle w:val="Heading2"/>
        <w:rPr>
          <w:i/>
        </w:rPr>
      </w:pPr>
      <w:bookmarkStart w:id="226" w:name="_Ref95295870"/>
      <w:bookmarkStart w:id="227" w:name="_Toc101963778"/>
      <w:r w:rsidRPr="00B65A3E">
        <w:t>Microinvertebrate</w:t>
      </w:r>
      <w:r w:rsidR="00846CBB" w:rsidRPr="00B65A3E">
        <w:t xml:space="preserve"> Assemblage</w:t>
      </w:r>
      <w:bookmarkEnd w:id="195"/>
      <w:bookmarkEnd w:id="226"/>
      <w:bookmarkEnd w:id="227"/>
    </w:p>
    <w:p w14:paraId="100DF068" w14:textId="77777777" w:rsidR="00636F3B" w:rsidRPr="00BF0005" w:rsidRDefault="00636F3B" w:rsidP="00636F3B">
      <w:pPr>
        <w:pStyle w:val="Heading3"/>
      </w:pPr>
      <w:r w:rsidRPr="00E35C12">
        <w:t>Background</w:t>
      </w:r>
    </w:p>
    <w:p w14:paraId="602234C8" w14:textId="77777777" w:rsidR="0014455D" w:rsidRPr="00BF0005" w:rsidRDefault="0014455D" w:rsidP="0014455D">
      <w:bookmarkStart w:id="228" w:name="_Hlk97197712"/>
      <w:r w:rsidRPr="00BF0005">
        <w:t xml:space="preserve">To date, more than 400 species of planktonic and littoral microinvertebrates (protists, rotifers and microcrustaceans) have been identified in the </w:t>
      </w:r>
      <w:r>
        <w:t>LMR</w:t>
      </w:r>
      <w:r w:rsidRPr="00BF0005">
        <w:t xml:space="preserve"> and Lower Lakes. This assemblage provides an important food resource for a range of higher order </w:t>
      </w:r>
      <w:r w:rsidRPr="00291D53">
        <w:t>consumers</w:t>
      </w:r>
      <w:r>
        <w:t xml:space="preserve"> such as macroinvertebrates, fish and birds </w:t>
      </w:r>
      <w:r>
        <w:rPr>
          <w:noProof/>
        </w:rPr>
        <w:t>(Shiel, Walker, and Williams 1982; Shiel and Aldridge 2011; Shiel and Tan 2013b, 2013a)</w:t>
      </w:r>
      <w:r w:rsidRPr="00291D53">
        <w:t xml:space="preserve">. </w:t>
      </w:r>
      <w:r w:rsidRPr="00BF0005">
        <w:t xml:space="preserve">Different habitat types </w:t>
      </w:r>
      <w:r>
        <w:t>support</w:t>
      </w:r>
      <w:r w:rsidRPr="00BF0005">
        <w:t xml:space="preserve"> different assemblages of microinvertebrates within riverine ecosystems, and at the simplest level can be classified as either littoral, limnetic, lotic or benthic. </w:t>
      </w:r>
    </w:p>
    <w:p w14:paraId="1B4FBC0B" w14:textId="77777777" w:rsidR="0014455D" w:rsidRPr="00BF0005" w:rsidRDefault="0014455D" w:rsidP="0014455D">
      <w:r w:rsidRPr="00BF0005">
        <w:t>Microinvertebrates are rapid responders to flows</w:t>
      </w:r>
      <w:r>
        <w:t>.</w:t>
      </w:r>
      <w:r w:rsidRPr="00BF0005">
        <w:t xml:space="preserve"> </w:t>
      </w:r>
      <w:r>
        <w:t>W</w:t>
      </w:r>
      <w:r w:rsidRPr="00BF0005">
        <w:t xml:space="preserve">ithin habitats that undergo wetting and drying cycles (e.g. the littoral zone and floodplains), </w:t>
      </w:r>
      <w:r>
        <w:t xml:space="preserve">these </w:t>
      </w:r>
      <w:r w:rsidRPr="00BF0005">
        <w:t xml:space="preserve">organisms start to emerge from an egg-bank and begin to reproduce within hours of </w:t>
      </w:r>
      <w:r w:rsidRPr="00291D53">
        <w:t xml:space="preserve">inundation </w:t>
      </w:r>
      <w:r>
        <w:rPr>
          <w:noProof/>
        </w:rPr>
        <w:t>(Tan and Shiel 1993)</w:t>
      </w:r>
      <w:r w:rsidRPr="00291D53">
        <w:t xml:space="preserve">. </w:t>
      </w:r>
      <w:r w:rsidRPr="00BF0005">
        <w:t xml:space="preserve">Therefore, a healthy egg-bank, which is primarily a result of </w:t>
      </w:r>
      <w:r>
        <w:t xml:space="preserve">a </w:t>
      </w:r>
      <w:r w:rsidRPr="00BF0005">
        <w:t xml:space="preserve">long-term flooding regime, is an important driver of the magnitude of response to inundation </w:t>
      </w:r>
      <w:r>
        <w:rPr>
          <w:noProof/>
        </w:rPr>
        <w:t>(Boulton and Lloyd 1992)</w:t>
      </w:r>
      <w:r w:rsidRPr="00291D53">
        <w:t xml:space="preserve">. Once </w:t>
      </w:r>
      <w:r w:rsidRPr="00BF0005">
        <w:t xml:space="preserve">inundated, longer water residence times (WRT) will result in higher </w:t>
      </w:r>
      <w:r>
        <w:t>density</w:t>
      </w:r>
      <w:r w:rsidRPr="00BF0005">
        <w:t xml:space="preserve"> and biomass of organisms and result in a shift from rotifer to crustacean dominated </w:t>
      </w:r>
      <w:r w:rsidRPr="00291D53">
        <w:t>communities</w:t>
      </w:r>
      <w:r>
        <w:t xml:space="preserve"> </w:t>
      </w:r>
      <w:r>
        <w:rPr>
          <w:noProof/>
        </w:rPr>
        <w:t>(e.g. Baranyi et al. 2002; Basu and Pick 1996; Obertegger et al. 2007)</w:t>
      </w:r>
      <w:r w:rsidRPr="00291D53">
        <w:t xml:space="preserve">. </w:t>
      </w:r>
      <w:r w:rsidRPr="00BF0005">
        <w:t>Therefore, habitats such as littoral zones and floodplains favour the development of abundant</w:t>
      </w:r>
      <w:r>
        <w:t xml:space="preserve"> and diverse</w:t>
      </w:r>
      <w:r w:rsidRPr="00BF0005">
        <w:t xml:space="preserve"> microinvertebrate communities which can then be transferred between habitats, through hydrological mixing and exchange. Once in the</w:t>
      </w:r>
      <w:r>
        <w:t xml:space="preserve"> pelagic zone of the main river channel</w:t>
      </w:r>
      <w:r w:rsidRPr="00BF0005">
        <w:t xml:space="preserve">, only some organisms will survive, with a component of the persistent community, reproducing within areas of the main river channel. Which component persists will largely depend on factors such as season and hydraulics. </w:t>
      </w:r>
    </w:p>
    <w:p w14:paraId="5CEDAE3D" w14:textId="6F60E17A" w:rsidR="0014455D" w:rsidRPr="00BF0005" w:rsidRDefault="0014455D" w:rsidP="0014455D">
      <w:r w:rsidRPr="00BF0005">
        <w:t xml:space="preserve">Therefore, Commonwealth environmental water can facilitate the maintenance and development of microinvertebrate assemblages within the </w:t>
      </w:r>
      <w:r w:rsidR="00086886">
        <w:t>LMR</w:t>
      </w:r>
      <w:r w:rsidRPr="00BF0005">
        <w:t xml:space="preserve"> by:  </w:t>
      </w:r>
    </w:p>
    <w:p w14:paraId="25423580" w14:textId="77777777" w:rsidR="0014455D" w:rsidRPr="00BF0005" w:rsidRDefault="0014455D" w:rsidP="0014455D">
      <w:pPr>
        <w:pStyle w:val="ListParagraph"/>
        <w:numPr>
          <w:ilvl w:val="0"/>
          <w:numId w:val="15"/>
        </w:numPr>
      </w:pPr>
      <w:r>
        <w:t xml:space="preserve">Inundating areas </w:t>
      </w:r>
      <w:r w:rsidRPr="00BF0005">
        <w:t xml:space="preserve">adjacent to the main river channel and therefore </w:t>
      </w:r>
      <w:r>
        <w:t>supporting</w:t>
      </w:r>
      <w:r w:rsidRPr="00BF0005">
        <w:t xml:space="preserve"> populations that can act as a source to the main river channel community,</w:t>
      </w:r>
    </w:p>
    <w:p w14:paraId="780B3315" w14:textId="77777777" w:rsidR="0014455D" w:rsidRPr="00BF0005" w:rsidRDefault="0014455D" w:rsidP="0014455D">
      <w:pPr>
        <w:pStyle w:val="ListParagraph"/>
        <w:numPr>
          <w:ilvl w:val="0"/>
          <w:numId w:val="15"/>
        </w:numPr>
      </w:pPr>
      <w:r w:rsidRPr="00BF0005">
        <w:t>Improving lateral</w:t>
      </w:r>
      <w:r>
        <w:t xml:space="preserve"> </w:t>
      </w:r>
      <w:r w:rsidRPr="00BF0005">
        <w:t>and longitudinal hydrological connectivity</w:t>
      </w:r>
      <w:r>
        <w:t xml:space="preserve"> </w:t>
      </w:r>
      <w:r w:rsidRPr="00BF0005">
        <w:t>which promotes the dispersal of organisms,</w:t>
      </w:r>
      <w:r>
        <w:t xml:space="preserve"> and</w:t>
      </w:r>
    </w:p>
    <w:p w14:paraId="60B3A6AF" w14:textId="77777777" w:rsidR="0014455D" w:rsidRPr="00BF0005" w:rsidRDefault="0014455D" w:rsidP="0014455D">
      <w:pPr>
        <w:pStyle w:val="ListParagraph"/>
        <w:numPr>
          <w:ilvl w:val="0"/>
          <w:numId w:val="15"/>
        </w:numPr>
      </w:pPr>
      <w:r w:rsidRPr="00BF0005">
        <w:t>Improving the flow regime over the long</w:t>
      </w:r>
      <w:r>
        <w:t>-</w:t>
      </w:r>
      <w:r w:rsidRPr="00BF0005">
        <w:t xml:space="preserve">term to promote a more diverse and </w:t>
      </w:r>
      <w:r>
        <w:t>dense</w:t>
      </w:r>
      <w:r w:rsidRPr="00BF0005">
        <w:t xml:space="preserve"> egg-bank and thus more diverse and </w:t>
      </w:r>
      <w:r>
        <w:t>dense</w:t>
      </w:r>
      <w:r w:rsidRPr="00BF0005">
        <w:t xml:space="preserve"> community dispersed through lateral and longitudinal connectivity</w:t>
      </w:r>
      <w:r>
        <w:t>.</w:t>
      </w:r>
    </w:p>
    <w:p w14:paraId="670E83BA" w14:textId="77777777" w:rsidR="0014455D" w:rsidRDefault="0014455D" w:rsidP="0014455D">
      <w:r w:rsidRPr="00BF0005">
        <w:t>To determine the responses of the microinvertebrate community to Commonwealth environmental water deliveries</w:t>
      </w:r>
      <w:r>
        <w:t xml:space="preserve"> in the LMR</w:t>
      </w:r>
      <w:r w:rsidRPr="00BF0005">
        <w:t>, the</w:t>
      </w:r>
      <w:r>
        <w:t>ir</w:t>
      </w:r>
      <w:r w:rsidRPr="00BF0005">
        <w:t xml:space="preserve"> diversity and </w:t>
      </w:r>
      <w:r>
        <w:t>density</w:t>
      </w:r>
      <w:r w:rsidRPr="00BF0005">
        <w:t xml:space="preserve"> </w:t>
      </w:r>
      <w:r>
        <w:t xml:space="preserve">is being assessed, with a focus on </w:t>
      </w:r>
      <w:r w:rsidRPr="003B133F">
        <w:t>rotifers and microcrustaceans</w:t>
      </w:r>
      <w:r>
        <w:t>,</w:t>
      </w:r>
      <w:r w:rsidRPr="003B133F">
        <w:t xml:space="preserve"> </w:t>
      </w:r>
      <w:r>
        <w:t xml:space="preserve">every year over the spring−summer period. These data can be used to model the response of different microinvertebrate taxa to flow, floodplain inundation and water quality. The microinvertebrate response models can then be used with different modelled flow scenarios to evaluate the contribution of </w:t>
      </w:r>
      <w:r w:rsidRPr="00BF0005">
        <w:t>Commonwealth environmental water</w:t>
      </w:r>
      <w:r>
        <w:t xml:space="preserve"> to microinvertebrate outcomes (for more details on the modelling approach see Appendix D in Ye et al. 2021).</w:t>
      </w:r>
      <w:r w:rsidRPr="00BF0005">
        <w:t xml:space="preserve"> </w:t>
      </w:r>
    </w:p>
    <w:p w14:paraId="32E075F3" w14:textId="77777777" w:rsidR="0014455D" w:rsidRDefault="0014455D" w:rsidP="0014455D">
      <w:pPr>
        <w:rPr>
          <w:i/>
          <w:u w:val="single"/>
        </w:rPr>
      </w:pPr>
    </w:p>
    <w:p w14:paraId="6819BD06" w14:textId="77777777" w:rsidR="0014455D" w:rsidRDefault="0014455D" w:rsidP="0014455D">
      <w:pPr>
        <w:spacing w:before="0" w:after="160" w:line="259" w:lineRule="auto"/>
        <w:jc w:val="left"/>
        <w:rPr>
          <w:i/>
          <w:u w:val="single"/>
        </w:rPr>
      </w:pPr>
      <w:r>
        <w:rPr>
          <w:i/>
          <w:u w:val="single"/>
        </w:rPr>
        <w:br w:type="page"/>
      </w:r>
    </w:p>
    <w:p w14:paraId="3E756F8A" w14:textId="77777777" w:rsidR="0014455D" w:rsidRPr="005708C8" w:rsidRDefault="0014455D" w:rsidP="0014455D">
      <w:pPr>
        <w:rPr>
          <w:i/>
          <w:u w:val="single"/>
        </w:rPr>
      </w:pPr>
      <w:r w:rsidRPr="005708C8">
        <w:rPr>
          <w:i/>
          <w:u w:val="single"/>
        </w:rPr>
        <w:t>Major hypothes</w:t>
      </w:r>
      <w:r>
        <w:rPr>
          <w:i/>
          <w:u w:val="single"/>
        </w:rPr>
        <w:t>es</w:t>
      </w:r>
    </w:p>
    <w:p w14:paraId="3A44CB3D" w14:textId="77777777" w:rsidR="0014455D" w:rsidRPr="00B32D8C" w:rsidRDefault="0014455D" w:rsidP="0014455D">
      <w:pPr>
        <w:pStyle w:val="ListParagraph"/>
        <w:numPr>
          <w:ilvl w:val="0"/>
          <w:numId w:val="18"/>
        </w:numPr>
        <w:ind w:left="714" w:hanging="357"/>
        <w:contextualSpacing w:val="0"/>
      </w:pPr>
      <w:r w:rsidRPr="00B32D8C">
        <w:t>H1: Overall microinvertebrate density, and taxonomic richness, will increase with environmental water delivery due to the combined effects of longitudinal transport and improved lateral connectivity with off-channel habitats;</w:t>
      </w:r>
    </w:p>
    <w:p w14:paraId="7C35AF49" w14:textId="77777777" w:rsidR="0014455D" w:rsidRPr="00B32D8C" w:rsidRDefault="0014455D" w:rsidP="0014455D">
      <w:pPr>
        <w:pStyle w:val="ListParagraph"/>
        <w:numPr>
          <w:ilvl w:val="0"/>
          <w:numId w:val="18"/>
        </w:numPr>
        <w:ind w:left="714" w:hanging="357"/>
        <w:contextualSpacing w:val="0"/>
      </w:pPr>
      <w:bookmarkStart w:id="229" w:name="_Hlk63805362"/>
      <w:r w:rsidRPr="00B32D8C">
        <w:t>H2: The density will increase for ‘floodplain associated’</w:t>
      </w:r>
      <w:r w:rsidRPr="00B32D8C">
        <w:rPr>
          <w:rStyle w:val="FootnoteReference"/>
        </w:rPr>
        <w:footnoteReference w:id="7"/>
      </w:r>
      <w:r w:rsidRPr="00B32D8C">
        <w:t xml:space="preserve"> microinvertebrates during periods of greater floodplain inundation (H2a) and for those that are likely to be transported to the LMR from upstream during periods of high longitudinal connectivity (H2b); and</w:t>
      </w:r>
    </w:p>
    <w:bookmarkEnd w:id="229"/>
    <w:p w14:paraId="32927257" w14:textId="77777777" w:rsidR="0014455D" w:rsidRDefault="0014455D" w:rsidP="0014455D">
      <w:pPr>
        <w:pStyle w:val="ListParagraph"/>
        <w:numPr>
          <w:ilvl w:val="0"/>
          <w:numId w:val="18"/>
        </w:numPr>
        <w:ind w:left="714" w:hanging="357"/>
        <w:contextualSpacing w:val="0"/>
      </w:pPr>
      <w:r w:rsidRPr="00B32D8C">
        <w:t>H3: Environmental</w:t>
      </w:r>
      <w:r>
        <w:t xml:space="preserve"> water delivery</w:t>
      </w:r>
      <w:r w:rsidRPr="003D3BD3">
        <w:t xml:space="preserve"> during spring</w:t>
      </w:r>
      <w:r>
        <w:t xml:space="preserve"> and early summer</w:t>
      </w:r>
      <w:r w:rsidRPr="003D3BD3">
        <w:t xml:space="preserve"> will increase the </w:t>
      </w:r>
      <w:r>
        <w:t>density of preferred microinvertebrate prey species for large-bodied fish larvae.</w:t>
      </w:r>
    </w:p>
    <w:p w14:paraId="37393FF5" w14:textId="77777777" w:rsidR="0014455D" w:rsidRPr="00E35C12" w:rsidRDefault="0014455D" w:rsidP="0014455D">
      <w:pPr>
        <w:pStyle w:val="Heading3"/>
      </w:pPr>
      <w:r w:rsidRPr="00E35C12">
        <w:t>Methods</w:t>
      </w:r>
    </w:p>
    <w:p w14:paraId="2A57775E" w14:textId="77777777" w:rsidR="0014455D" w:rsidRPr="005767B3" w:rsidRDefault="0014455D" w:rsidP="0014455D">
      <w:pPr>
        <w:pStyle w:val="Heading4"/>
        <w:numPr>
          <w:ilvl w:val="3"/>
          <w:numId w:val="14"/>
        </w:numPr>
        <w:ind w:left="0"/>
        <w:rPr>
          <w:szCs w:val="21"/>
        </w:rPr>
      </w:pPr>
      <w:r w:rsidRPr="005767B3">
        <w:rPr>
          <w:szCs w:val="21"/>
        </w:rPr>
        <w:t>Sampling sites and procedure</w:t>
      </w:r>
    </w:p>
    <w:p w14:paraId="788B110F" w14:textId="77777777" w:rsidR="0014455D" w:rsidRDefault="0014455D" w:rsidP="005D630E">
      <w:r>
        <w:t>Microinvertebrate sampling was conducted four times during spring and three times during summer approximately two weeks apart between October and January (</w:t>
      </w:r>
      <w:r>
        <w:fldChar w:fldCharType="begin"/>
      </w:r>
      <w:r>
        <w:instrText xml:space="preserve"> REF _Ref93648520 \h </w:instrText>
      </w:r>
      <w:r>
        <w:fldChar w:fldCharType="separate"/>
      </w:r>
      <w:r>
        <w:t xml:space="preserve">Table </w:t>
      </w:r>
      <w:r>
        <w:rPr>
          <w:noProof/>
        </w:rPr>
        <w:t>13</w:t>
      </w:r>
      <w:r>
        <w:fldChar w:fldCharType="end"/>
      </w:r>
      <w:r>
        <w:t>) at three core sites</w:t>
      </w:r>
      <w:r w:rsidRPr="000D1C09">
        <w:t>, concurrent</w:t>
      </w:r>
      <w:r>
        <w:t xml:space="preserve"> with stream metabolism sampling (</w:t>
      </w:r>
      <w:r>
        <w:fldChar w:fldCharType="begin"/>
      </w:r>
      <w:r>
        <w:instrText xml:space="preserve"> REF _Ref95292053 \h </w:instrText>
      </w:r>
      <w:r>
        <w:fldChar w:fldCharType="separate"/>
      </w:r>
      <w:r w:rsidRPr="004A541F">
        <w:t xml:space="preserve">Table </w:t>
      </w:r>
      <w:r>
        <w:rPr>
          <w:noProof/>
        </w:rPr>
        <w:t>14</w:t>
      </w:r>
      <w:r>
        <w:fldChar w:fldCharType="end"/>
      </w:r>
      <w:r>
        <w:t xml:space="preserve">; </w:t>
      </w:r>
      <w:r>
        <w:fldChar w:fldCharType="begin"/>
      </w:r>
      <w:r>
        <w:instrText xml:space="preserve"> REF _Ref469926522 \h </w:instrText>
      </w:r>
      <w:r>
        <w:fldChar w:fldCharType="separate"/>
      </w:r>
      <w:r>
        <w:t xml:space="preserve">Figure </w:t>
      </w:r>
      <w:r>
        <w:rPr>
          <w:noProof/>
        </w:rPr>
        <w:t>1</w:t>
      </w:r>
      <w:r>
        <w:fldChar w:fldCharType="end"/>
      </w:r>
      <w:r>
        <w:t xml:space="preserve">). </w:t>
      </w:r>
      <w:bookmarkStart w:id="230" w:name="_Ref30770213"/>
    </w:p>
    <w:p w14:paraId="0A1A6A55" w14:textId="77777777" w:rsidR="0014455D" w:rsidRPr="00A63D3A" w:rsidRDefault="0014455D" w:rsidP="0014455D">
      <w:pPr>
        <w:pStyle w:val="Caption"/>
      </w:pPr>
      <w:bookmarkStart w:id="231" w:name="_Ref93648520"/>
      <w:bookmarkStart w:id="232" w:name="_Toc63758531"/>
      <w:bookmarkStart w:id="233" w:name="_Toc101963871"/>
      <w:bookmarkEnd w:id="230"/>
      <w:r>
        <w:t xml:space="preserve">Table </w:t>
      </w:r>
      <w:fldSimple w:instr=" SEQ Table \* ARABIC ">
        <w:r>
          <w:rPr>
            <w:noProof/>
          </w:rPr>
          <w:t>13</w:t>
        </w:r>
      </w:fldSimple>
      <w:bookmarkEnd w:id="231"/>
      <w:r w:rsidRPr="00A63D3A">
        <w:t>. Microinvertebrate sampling dates from 2020-21 in the Lower Murray River.</w:t>
      </w:r>
      <w:bookmarkEnd w:id="232"/>
      <w:bookmarkEnd w:id="23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
        <w:gridCol w:w="1701"/>
      </w:tblGrid>
      <w:tr w:rsidR="0014455D" w:rsidRPr="00A05904" w14:paraId="28FB1C94" w14:textId="77777777" w:rsidTr="00902C23">
        <w:trPr>
          <w:trHeight w:val="340"/>
          <w:jc w:val="center"/>
        </w:trPr>
        <w:tc>
          <w:tcPr>
            <w:tcW w:w="794" w:type="dxa"/>
            <w:tcBorders>
              <w:top w:val="single" w:sz="4" w:space="0" w:color="auto"/>
              <w:bottom w:val="single" w:sz="4" w:space="0" w:color="auto"/>
            </w:tcBorders>
            <w:vAlign w:val="bottom"/>
          </w:tcPr>
          <w:p w14:paraId="326DF85A" w14:textId="77777777" w:rsidR="0014455D" w:rsidRDefault="0014455D" w:rsidP="00902C23">
            <w:pPr>
              <w:contextualSpacing/>
              <w:jc w:val="center"/>
              <w:rPr>
                <w:b/>
                <w:sz w:val="19"/>
                <w:szCs w:val="19"/>
              </w:rPr>
            </w:pPr>
            <w:r>
              <w:rPr>
                <w:b/>
                <w:sz w:val="19"/>
                <w:szCs w:val="19"/>
              </w:rPr>
              <w:t>Trip</w:t>
            </w:r>
          </w:p>
        </w:tc>
        <w:tc>
          <w:tcPr>
            <w:tcW w:w="1701" w:type="dxa"/>
            <w:tcBorders>
              <w:top w:val="single" w:sz="4" w:space="0" w:color="auto"/>
              <w:bottom w:val="single" w:sz="4" w:space="0" w:color="auto"/>
            </w:tcBorders>
            <w:vAlign w:val="bottom"/>
          </w:tcPr>
          <w:p w14:paraId="3FDD5462" w14:textId="77777777" w:rsidR="0014455D" w:rsidRDefault="0014455D" w:rsidP="00902C23">
            <w:pPr>
              <w:contextualSpacing/>
              <w:jc w:val="center"/>
              <w:rPr>
                <w:b/>
                <w:sz w:val="19"/>
                <w:szCs w:val="19"/>
              </w:rPr>
            </w:pPr>
            <w:r>
              <w:rPr>
                <w:b/>
                <w:sz w:val="19"/>
                <w:szCs w:val="19"/>
              </w:rPr>
              <w:t>Sampling dates</w:t>
            </w:r>
          </w:p>
        </w:tc>
      </w:tr>
      <w:tr w:rsidR="0014455D" w:rsidRPr="00A05904" w14:paraId="3FEF0FC4" w14:textId="77777777" w:rsidTr="00902C23">
        <w:trPr>
          <w:trHeight w:val="340"/>
          <w:jc w:val="center"/>
        </w:trPr>
        <w:tc>
          <w:tcPr>
            <w:tcW w:w="794" w:type="dxa"/>
            <w:vAlign w:val="bottom"/>
          </w:tcPr>
          <w:p w14:paraId="44841F99" w14:textId="77777777" w:rsidR="0014455D" w:rsidRPr="00510182" w:rsidRDefault="0014455D" w:rsidP="00902C23">
            <w:pPr>
              <w:contextualSpacing/>
              <w:jc w:val="center"/>
              <w:rPr>
                <w:sz w:val="18"/>
                <w:szCs w:val="18"/>
              </w:rPr>
            </w:pPr>
            <w:r>
              <w:rPr>
                <w:sz w:val="18"/>
                <w:szCs w:val="18"/>
              </w:rPr>
              <w:t>1</w:t>
            </w:r>
          </w:p>
        </w:tc>
        <w:tc>
          <w:tcPr>
            <w:tcW w:w="1701" w:type="dxa"/>
            <w:vAlign w:val="bottom"/>
          </w:tcPr>
          <w:p w14:paraId="1BBD1583" w14:textId="77777777" w:rsidR="0014455D" w:rsidRPr="000F44B6" w:rsidRDefault="0014455D" w:rsidP="00902C23">
            <w:pPr>
              <w:contextualSpacing/>
              <w:jc w:val="center"/>
              <w:rPr>
                <w:sz w:val="18"/>
                <w:szCs w:val="18"/>
              </w:rPr>
            </w:pPr>
            <w:r w:rsidRPr="000F44B6">
              <w:rPr>
                <w:sz w:val="18"/>
                <w:szCs w:val="18"/>
              </w:rPr>
              <w:t>11–13/10/2020</w:t>
            </w:r>
          </w:p>
        </w:tc>
      </w:tr>
      <w:tr w:rsidR="0014455D" w:rsidRPr="00A05904" w14:paraId="4D57C77B" w14:textId="77777777" w:rsidTr="00902C23">
        <w:trPr>
          <w:trHeight w:val="340"/>
          <w:jc w:val="center"/>
        </w:trPr>
        <w:tc>
          <w:tcPr>
            <w:tcW w:w="794" w:type="dxa"/>
            <w:vAlign w:val="bottom"/>
          </w:tcPr>
          <w:p w14:paraId="513CAF7D" w14:textId="77777777" w:rsidR="0014455D" w:rsidRPr="00510182" w:rsidRDefault="0014455D" w:rsidP="00902C23">
            <w:pPr>
              <w:contextualSpacing/>
              <w:jc w:val="center"/>
              <w:rPr>
                <w:sz w:val="18"/>
                <w:szCs w:val="18"/>
              </w:rPr>
            </w:pPr>
            <w:r>
              <w:rPr>
                <w:sz w:val="18"/>
                <w:szCs w:val="18"/>
              </w:rPr>
              <w:t>2</w:t>
            </w:r>
          </w:p>
        </w:tc>
        <w:tc>
          <w:tcPr>
            <w:tcW w:w="1701" w:type="dxa"/>
            <w:vAlign w:val="bottom"/>
          </w:tcPr>
          <w:p w14:paraId="20252DB9" w14:textId="77777777" w:rsidR="0014455D" w:rsidRPr="000F44B6" w:rsidRDefault="0014455D" w:rsidP="00902C23">
            <w:pPr>
              <w:contextualSpacing/>
              <w:jc w:val="center"/>
              <w:rPr>
                <w:sz w:val="18"/>
                <w:szCs w:val="18"/>
              </w:rPr>
            </w:pPr>
            <w:r w:rsidRPr="000F44B6">
              <w:rPr>
                <w:sz w:val="18"/>
                <w:szCs w:val="18"/>
              </w:rPr>
              <w:t>25–27/10/2020</w:t>
            </w:r>
          </w:p>
        </w:tc>
      </w:tr>
      <w:tr w:rsidR="0014455D" w:rsidRPr="00A05904" w14:paraId="5DB954E2" w14:textId="77777777" w:rsidTr="00902C23">
        <w:trPr>
          <w:trHeight w:val="340"/>
          <w:jc w:val="center"/>
        </w:trPr>
        <w:tc>
          <w:tcPr>
            <w:tcW w:w="794" w:type="dxa"/>
            <w:vAlign w:val="bottom"/>
          </w:tcPr>
          <w:p w14:paraId="3B8C9925" w14:textId="77777777" w:rsidR="0014455D" w:rsidRPr="00510182" w:rsidRDefault="0014455D" w:rsidP="00902C23">
            <w:pPr>
              <w:contextualSpacing/>
              <w:jc w:val="center"/>
              <w:rPr>
                <w:sz w:val="18"/>
                <w:szCs w:val="18"/>
              </w:rPr>
            </w:pPr>
            <w:r>
              <w:rPr>
                <w:sz w:val="18"/>
                <w:szCs w:val="18"/>
              </w:rPr>
              <w:t>3</w:t>
            </w:r>
          </w:p>
        </w:tc>
        <w:tc>
          <w:tcPr>
            <w:tcW w:w="1701" w:type="dxa"/>
            <w:vAlign w:val="bottom"/>
          </w:tcPr>
          <w:p w14:paraId="1BDBE3A8" w14:textId="77777777" w:rsidR="0014455D" w:rsidRPr="000F44B6" w:rsidRDefault="0014455D" w:rsidP="00902C23">
            <w:pPr>
              <w:contextualSpacing/>
              <w:jc w:val="center"/>
              <w:rPr>
                <w:sz w:val="18"/>
                <w:szCs w:val="18"/>
              </w:rPr>
            </w:pPr>
            <w:r w:rsidRPr="000F44B6">
              <w:rPr>
                <w:sz w:val="18"/>
                <w:szCs w:val="18"/>
              </w:rPr>
              <w:t>9–11/11/2020</w:t>
            </w:r>
          </w:p>
        </w:tc>
      </w:tr>
      <w:tr w:rsidR="0014455D" w:rsidRPr="00A05904" w14:paraId="3BE08A0B" w14:textId="77777777" w:rsidTr="00902C23">
        <w:trPr>
          <w:trHeight w:val="340"/>
          <w:jc w:val="center"/>
        </w:trPr>
        <w:tc>
          <w:tcPr>
            <w:tcW w:w="794" w:type="dxa"/>
            <w:vAlign w:val="bottom"/>
          </w:tcPr>
          <w:p w14:paraId="29FA4C6D" w14:textId="77777777" w:rsidR="0014455D" w:rsidRPr="00510182" w:rsidRDefault="0014455D" w:rsidP="00902C23">
            <w:pPr>
              <w:contextualSpacing/>
              <w:jc w:val="center"/>
              <w:rPr>
                <w:sz w:val="18"/>
                <w:szCs w:val="18"/>
              </w:rPr>
            </w:pPr>
            <w:r>
              <w:rPr>
                <w:sz w:val="18"/>
                <w:szCs w:val="18"/>
              </w:rPr>
              <w:t>4</w:t>
            </w:r>
          </w:p>
        </w:tc>
        <w:tc>
          <w:tcPr>
            <w:tcW w:w="1701" w:type="dxa"/>
            <w:vAlign w:val="bottom"/>
          </w:tcPr>
          <w:p w14:paraId="0252C1C6" w14:textId="77777777" w:rsidR="0014455D" w:rsidRPr="00510182" w:rsidRDefault="0014455D" w:rsidP="00902C23">
            <w:pPr>
              <w:contextualSpacing/>
              <w:jc w:val="center"/>
              <w:rPr>
                <w:sz w:val="18"/>
                <w:szCs w:val="18"/>
              </w:rPr>
            </w:pPr>
            <w:r w:rsidRPr="0058758A">
              <w:rPr>
                <w:sz w:val="18"/>
                <w:szCs w:val="18"/>
              </w:rPr>
              <w:t>2</w:t>
            </w:r>
            <w:r>
              <w:rPr>
                <w:sz w:val="18"/>
                <w:szCs w:val="18"/>
              </w:rPr>
              <w:t>4–26</w:t>
            </w:r>
            <w:r w:rsidRPr="0058758A">
              <w:rPr>
                <w:sz w:val="18"/>
                <w:szCs w:val="18"/>
              </w:rPr>
              <w:t>/11/2020</w:t>
            </w:r>
          </w:p>
        </w:tc>
      </w:tr>
      <w:tr w:rsidR="0014455D" w:rsidRPr="00A05904" w14:paraId="282C66D5" w14:textId="77777777" w:rsidTr="00902C23">
        <w:trPr>
          <w:trHeight w:val="340"/>
          <w:jc w:val="center"/>
        </w:trPr>
        <w:tc>
          <w:tcPr>
            <w:tcW w:w="794" w:type="dxa"/>
            <w:vAlign w:val="bottom"/>
          </w:tcPr>
          <w:p w14:paraId="301C9BEB" w14:textId="77777777" w:rsidR="0014455D" w:rsidRPr="00510182" w:rsidRDefault="0014455D" w:rsidP="00902C23">
            <w:pPr>
              <w:contextualSpacing/>
              <w:jc w:val="center"/>
              <w:rPr>
                <w:sz w:val="18"/>
                <w:szCs w:val="18"/>
              </w:rPr>
            </w:pPr>
            <w:r>
              <w:rPr>
                <w:sz w:val="18"/>
                <w:szCs w:val="18"/>
              </w:rPr>
              <w:t>5</w:t>
            </w:r>
          </w:p>
        </w:tc>
        <w:tc>
          <w:tcPr>
            <w:tcW w:w="1701" w:type="dxa"/>
            <w:vAlign w:val="bottom"/>
          </w:tcPr>
          <w:p w14:paraId="549661A2" w14:textId="77777777" w:rsidR="0014455D" w:rsidRPr="00510182" w:rsidRDefault="0014455D" w:rsidP="00902C23">
            <w:pPr>
              <w:contextualSpacing/>
              <w:jc w:val="center"/>
              <w:rPr>
                <w:sz w:val="18"/>
                <w:szCs w:val="18"/>
              </w:rPr>
            </w:pPr>
            <w:r>
              <w:rPr>
                <w:sz w:val="18"/>
                <w:szCs w:val="18"/>
              </w:rPr>
              <w:t>7–9</w:t>
            </w:r>
            <w:r w:rsidRPr="0058758A">
              <w:rPr>
                <w:sz w:val="18"/>
                <w:szCs w:val="18"/>
              </w:rPr>
              <w:t>/12/2020</w:t>
            </w:r>
          </w:p>
        </w:tc>
      </w:tr>
      <w:tr w:rsidR="0014455D" w:rsidRPr="00A05904" w14:paraId="5F7E90CB" w14:textId="77777777" w:rsidTr="00902C23">
        <w:trPr>
          <w:trHeight w:val="340"/>
          <w:jc w:val="center"/>
        </w:trPr>
        <w:tc>
          <w:tcPr>
            <w:tcW w:w="794" w:type="dxa"/>
            <w:vAlign w:val="bottom"/>
          </w:tcPr>
          <w:p w14:paraId="4A71D132" w14:textId="77777777" w:rsidR="0014455D" w:rsidRPr="00510182" w:rsidRDefault="0014455D" w:rsidP="00902C23">
            <w:pPr>
              <w:contextualSpacing/>
              <w:jc w:val="center"/>
              <w:rPr>
                <w:sz w:val="18"/>
                <w:szCs w:val="18"/>
              </w:rPr>
            </w:pPr>
            <w:r>
              <w:rPr>
                <w:sz w:val="18"/>
                <w:szCs w:val="18"/>
              </w:rPr>
              <w:t>6</w:t>
            </w:r>
          </w:p>
        </w:tc>
        <w:tc>
          <w:tcPr>
            <w:tcW w:w="1701" w:type="dxa"/>
            <w:vAlign w:val="bottom"/>
          </w:tcPr>
          <w:p w14:paraId="0B734083" w14:textId="77777777" w:rsidR="0014455D" w:rsidRPr="00510182" w:rsidRDefault="0014455D" w:rsidP="00902C23">
            <w:pPr>
              <w:contextualSpacing/>
              <w:jc w:val="center"/>
              <w:rPr>
                <w:sz w:val="18"/>
                <w:szCs w:val="18"/>
              </w:rPr>
            </w:pPr>
            <w:r w:rsidRPr="0086271F">
              <w:rPr>
                <w:sz w:val="18"/>
                <w:szCs w:val="18"/>
              </w:rPr>
              <w:t>2</w:t>
            </w:r>
            <w:r>
              <w:rPr>
                <w:sz w:val="18"/>
                <w:szCs w:val="18"/>
              </w:rPr>
              <w:t>1–23</w:t>
            </w:r>
            <w:r w:rsidRPr="0086271F">
              <w:rPr>
                <w:sz w:val="18"/>
                <w:szCs w:val="18"/>
              </w:rPr>
              <w:t>/12/2020</w:t>
            </w:r>
          </w:p>
        </w:tc>
      </w:tr>
      <w:tr w:rsidR="0014455D" w:rsidRPr="00A05904" w14:paraId="05209161" w14:textId="77777777" w:rsidTr="00902C23">
        <w:trPr>
          <w:trHeight w:val="340"/>
          <w:jc w:val="center"/>
        </w:trPr>
        <w:tc>
          <w:tcPr>
            <w:tcW w:w="794" w:type="dxa"/>
            <w:tcBorders>
              <w:bottom w:val="single" w:sz="4" w:space="0" w:color="auto"/>
            </w:tcBorders>
            <w:vAlign w:val="bottom"/>
          </w:tcPr>
          <w:p w14:paraId="1585A639" w14:textId="77777777" w:rsidR="0014455D" w:rsidRPr="00510182" w:rsidRDefault="0014455D" w:rsidP="00902C23">
            <w:pPr>
              <w:contextualSpacing/>
              <w:jc w:val="center"/>
              <w:rPr>
                <w:sz w:val="18"/>
                <w:szCs w:val="18"/>
              </w:rPr>
            </w:pPr>
            <w:r>
              <w:rPr>
                <w:sz w:val="18"/>
                <w:szCs w:val="18"/>
              </w:rPr>
              <w:t>7</w:t>
            </w:r>
          </w:p>
        </w:tc>
        <w:tc>
          <w:tcPr>
            <w:tcW w:w="1701" w:type="dxa"/>
            <w:tcBorders>
              <w:bottom w:val="single" w:sz="4" w:space="0" w:color="auto"/>
            </w:tcBorders>
            <w:vAlign w:val="bottom"/>
          </w:tcPr>
          <w:p w14:paraId="43469074" w14:textId="77777777" w:rsidR="0014455D" w:rsidRPr="00510182" w:rsidRDefault="0014455D" w:rsidP="00902C23">
            <w:pPr>
              <w:contextualSpacing/>
              <w:jc w:val="center"/>
              <w:rPr>
                <w:sz w:val="18"/>
                <w:szCs w:val="18"/>
              </w:rPr>
            </w:pPr>
            <w:r w:rsidRPr="0086271F">
              <w:rPr>
                <w:sz w:val="18"/>
                <w:szCs w:val="18"/>
              </w:rPr>
              <w:t>6</w:t>
            </w:r>
            <w:r>
              <w:rPr>
                <w:sz w:val="18"/>
                <w:szCs w:val="18"/>
              </w:rPr>
              <w:t>–7</w:t>
            </w:r>
            <w:r w:rsidRPr="0086271F">
              <w:rPr>
                <w:sz w:val="18"/>
                <w:szCs w:val="18"/>
              </w:rPr>
              <w:t>/01/2021</w:t>
            </w:r>
          </w:p>
        </w:tc>
      </w:tr>
    </w:tbl>
    <w:p w14:paraId="4D75E48B" w14:textId="77777777" w:rsidR="0014455D" w:rsidRDefault="0014455D" w:rsidP="0014455D"/>
    <w:p w14:paraId="3ECD8C14" w14:textId="77777777" w:rsidR="0014455D" w:rsidRDefault="0014455D" w:rsidP="0014455D">
      <w:pPr>
        <w:rPr>
          <w:rFonts w:eastAsia="MS Mincho" w:cs="Arial"/>
          <w:b/>
          <w:bCs/>
          <w:color w:val="auto"/>
          <w:kern w:val="0"/>
          <w:sz w:val="20"/>
          <w:lang w:val="en-US"/>
        </w:rPr>
      </w:pPr>
      <w:r>
        <w:t xml:space="preserve">A Perspex Haney plankton trap (4.5 L capacity) was used mid-channel (by boat) to collect surface, middle and bottom volumes (9 L), which were filtered through a 37 µm-mesh plankton net suspended in a bucket and rinsed into a 200 ml PET bottle screwed to a purpose-built ferrule at the net end. The filtrate was then preserved in the field (100% ethanol) to a final concentration of ~75%, and a volume of &lt;200 ml. In the laboratory, the sample was decanted into a measuring cylinder, the volume noted, the cylinder agitated, </w:t>
      </w:r>
      <w:bookmarkStart w:id="234" w:name="_Ref30770214"/>
      <w:bookmarkStart w:id="235" w:name="_Toc63758532"/>
      <w:r>
        <w:t>and a 1 ml aliquot withdrawn using a Gilson auto pipette. This aliquot was run into a Pyrex 1 ml Sedgewick-Rafter cell, and the microinvertebrates present were counted and identified. Counts for each sample were based on a single subsample.</w:t>
      </w:r>
      <w:bookmarkStart w:id="236" w:name="_Ref93648529"/>
    </w:p>
    <w:p w14:paraId="6E839E19" w14:textId="77777777" w:rsidR="0014455D" w:rsidRDefault="0014455D" w:rsidP="0014455D">
      <w:pPr>
        <w:pStyle w:val="Captions"/>
      </w:pPr>
    </w:p>
    <w:p w14:paraId="4A55262F" w14:textId="77777777" w:rsidR="0014455D" w:rsidRDefault="0014455D" w:rsidP="0014455D">
      <w:pPr>
        <w:spacing w:before="0" w:after="160" w:line="259" w:lineRule="auto"/>
        <w:jc w:val="left"/>
        <w:rPr>
          <w:rFonts w:eastAsia="MS Mincho" w:cs="Arial"/>
          <w:b/>
          <w:bCs/>
          <w:color w:val="auto"/>
          <w:kern w:val="0"/>
          <w:sz w:val="20"/>
          <w:lang w:val="en-US"/>
        </w:rPr>
      </w:pPr>
      <w:r>
        <w:br w:type="page"/>
      </w:r>
    </w:p>
    <w:p w14:paraId="3FA6B1B7" w14:textId="77777777" w:rsidR="0014455D" w:rsidRPr="009E6272" w:rsidRDefault="0014455D" w:rsidP="0014455D">
      <w:pPr>
        <w:pStyle w:val="Captions"/>
        <w:rPr>
          <w:iCs/>
        </w:rPr>
      </w:pPr>
      <w:bookmarkStart w:id="237" w:name="_Ref95292053"/>
      <w:bookmarkStart w:id="238" w:name="_Toc101963872"/>
      <w:r w:rsidRPr="004A541F">
        <w:t xml:space="preserve">Table </w:t>
      </w:r>
      <w:r w:rsidRPr="004A541F">
        <w:rPr>
          <w:iCs/>
        </w:rPr>
        <w:fldChar w:fldCharType="begin"/>
      </w:r>
      <w:r w:rsidRPr="004A541F">
        <w:instrText xml:space="preserve"> SEQ Table \* ARABIC </w:instrText>
      </w:r>
      <w:r w:rsidRPr="004A541F">
        <w:rPr>
          <w:iCs/>
        </w:rPr>
        <w:fldChar w:fldCharType="separate"/>
      </w:r>
      <w:r>
        <w:rPr>
          <w:noProof/>
        </w:rPr>
        <w:t>14</w:t>
      </w:r>
      <w:r w:rsidRPr="004A541F">
        <w:rPr>
          <w:iCs/>
        </w:rPr>
        <w:fldChar w:fldCharType="end"/>
      </w:r>
      <w:bookmarkEnd w:id="234"/>
      <w:bookmarkEnd w:id="236"/>
      <w:bookmarkEnd w:id="237"/>
      <w:r>
        <w:rPr>
          <w:iCs/>
        </w:rPr>
        <w:t>.</w:t>
      </w:r>
      <w:r w:rsidRPr="009E6272">
        <w:t xml:space="preserve"> </w:t>
      </w:r>
      <w:r w:rsidRPr="00A05904">
        <w:t>Details of microinvertebrate sampling sites in the L</w:t>
      </w:r>
      <w:r>
        <w:t xml:space="preserve">ower </w:t>
      </w:r>
      <w:r w:rsidRPr="00A05904">
        <w:t>M</w:t>
      </w:r>
      <w:r>
        <w:t xml:space="preserve">urray </w:t>
      </w:r>
      <w:r w:rsidRPr="00A05904">
        <w:t>R</w:t>
      </w:r>
      <w:r>
        <w:t>iver</w:t>
      </w:r>
      <w:r w:rsidRPr="00A05904">
        <w:t>.</w:t>
      </w:r>
      <w:bookmarkEnd w:id="235"/>
      <w:bookmarkEnd w:id="23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1883"/>
        <w:gridCol w:w="1059"/>
        <w:gridCol w:w="1213"/>
      </w:tblGrid>
      <w:tr w:rsidR="0014455D" w:rsidRPr="000942B3" w14:paraId="2301AB07" w14:textId="77777777" w:rsidTr="00902C23">
        <w:trPr>
          <w:trHeight w:val="340"/>
          <w:jc w:val="center"/>
        </w:trPr>
        <w:tc>
          <w:tcPr>
            <w:tcW w:w="0" w:type="auto"/>
            <w:tcBorders>
              <w:top w:val="single" w:sz="4" w:space="0" w:color="auto"/>
              <w:bottom w:val="single" w:sz="4" w:space="0" w:color="auto"/>
            </w:tcBorders>
            <w:vAlign w:val="bottom"/>
          </w:tcPr>
          <w:p w14:paraId="78FC8EBF" w14:textId="77777777" w:rsidR="0014455D" w:rsidRPr="000942B3" w:rsidRDefault="0014455D" w:rsidP="00902C23">
            <w:pPr>
              <w:contextualSpacing/>
              <w:jc w:val="left"/>
              <w:rPr>
                <w:b/>
                <w:sz w:val="19"/>
                <w:szCs w:val="19"/>
              </w:rPr>
            </w:pPr>
            <w:r w:rsidRPr="000942B3">
              <w:rPr>
                <w:b/>
                <w:sz w:val="19"/>
                <w:szCs w:val="19"/>
              </w:rPr>
              <w:t>Zone</w:t>
            </w:r>
          </w:p>
        </w:tc>
        <w:tc>
          <w:tcPr>
            <w:tcW w:w="0" w:type="auto"/>
            <w:tcBorders>
              <w:top w:val="single" w:sz="4" w:space="0" w:color="auto"/>
              <w:bottom w:val="single" w:sz="4" w:space="0" w:color="auto"/>
            </w:tcBorders>
            <w:vAlign w:val="bottom"/>
          </w:tcPr>
          <w:p w14:paraId="0BFD2A5A" w14:textId="77777777" w:rsidR="0014455D" w:rsidRPr="000942B3" w:rsidRDefault="0014455D" w:rsidP="00902C23">
            <w:pPr>
              <w:contextualSpacing/>
              <w:jc w:val="left"/>
              <w:rPr>
                <w:b/>
                <w:sz w:val="19"/>
                <w:szCs w:val="19"/>
              </w:rPr>
            </w:pPr>
            <w:r w:rsidRPr="000942B3">
              <w:rPr>
                <w:b/>
                <w:sz w:val="19"/>
                <w:szCs w:val="19"/>
              </w:rPr>
              <w:t>Site</w:t>
            </w:r>
          </w:p>
        </w:tc>
        <w:tc>
          <w:tcPr>
            <w:tcW w:w="0" w:type="auto"/>
            <w:tcBorders>
              <w:top w:val="single" w:sz="4" w:space="0" w:color="auto"/>
              <w:bottom w:val="single" w:sz="4" w:space="0" w:color="auto"/>
            </w:tcBorders>
            <w:vAlign w:val="bottom"/>
          </w:tcPr>
          <w:p w14:paraId="0A4E8701" w14:textId="77777777" w:rsidR="0014455D" w:rsidRPr="000942B3" w:rsidRDefault="0014455D" w:rsidP="00902C23">
            <w:pPr>
              <w:contextualSpacing/>
              <w:jc w:val="left"/>
              <w:rPr>
                <w:b/>
                <w:sz w:val="19"/>
                <w:szCs w:val="19"/>
              </w:rPr>
            </w:pPr>
            <w:r w:rsidRPr="000942B3">
              <w:rPr>
                <w:b/>
                <w:sz w:val="19"/>
                <w:szCs w:val="19"/>
              </w:rPr>
              <w:t>Latitude</w:t>
            </w:r>
          </w:p>
        </w:tc>
        <w:tc>
          <w:tcPr>
            <w:tcW w:w="0" w:type="auto"/>
            <w:tcBorders>
              <w:top w:val="single" w:sz="4" w:space="0" w:color="auto"/>
              <w:bottom w:val="single" w:sz="4" w:space="0" w:color="auto"/>
            </w:tcBorders>
            <w:vAlign w:val="bottom"/>
          </w:tcPr>
          <w:p w14:paraId="019DEFB5" w14:textId="77777777" w:rsidR="0014455D" w:rsidRPr="000942B3" w:rsidRDefault="0014455D" w:rsidP="00902C23">
            <w:pPr>
              <w:contextualSpacing/>
              <w:jc w:val="left"/>
              <w:rPr>
                <w:b/>
                <w:sz w:val="19"/>
                <w:szCs w:val="19"/>
              </w:rPr>
            </w:pPr>
            <w:r w:rsidRPr="000942B3">
              <w:rPr>
                <w:b/>
                <w:sz w:val="19"/>
                <w:szCs w:val="19"/>
              </w:rPr>
              <w:t>Longitude</w:t>
            </w:r>
          </w:p>
        </w:tc>
      </w:tr>
      <w:tr w:rsidR="0014455D" w:rsidRPr="000942B3" w14:paraId="46E18ED4" w14:textId="77777777" w:rsidTr="00902C23">
        <w:trPr>
          <w:trHeight w:val="340"/>
          <w:jc w:val="center"/>
        </w:trPr>
        <w:tc>
          <w:tcPr>
            <w:tcW w:w="0" w:type="auto"/>
            <w:tcBorders>
              <w:top w:val="single" w:sz="4" w:space="0" w:color="auto"/>
            </w:tcBorders>
            <w:vAlign w:val="bottom"/>
          </w:tcPr>
          <w:p w14:paraId="120AEED5" w14:textId="77777777" w:rsidR="0014455D" w:rsidRPr="000942B3" w:rsidRDefault="0014455D" w:rsidP="00902C23">
            <w:pPr>
              <w:contextualSpacing/>
              <w:jc w:val="left"/>
              <w:rPr>
                <w:sz w:val="19"/>
                <w:szCs w:val="19"/>
              </w:rPr>
            </w:pPr>
            <w:r w:rsidRPr="000942B3">
              <w:rPr>
                <w:sz w:val="19"/>
                <w:szCs w:val="19"/>
              </w:rPr>
              <w:t>Floodplain</w:t>
            </w:r>
          </w:p>
        </w:tc>
        <w:tc>
          <w:tcPr>
            <w:tcW w:w="0" w:type="auto"/>
            <w:tcBorders>
              <w:top w:val="single" w:sz="4" w:space="0" w:color="auto"/>
            </w:tcBorders>
            <w:vAlign w:val="bottom"/>
          </w:tcPr>
          <w:p w14:paraId="487924B4" w14:textId="77777777" w:rsidR="0014455D" w:rsidRPr="000942B3" w:rsidRDefault="0014455D" w:rsidP="00902C23">
            <w:pPr>
              <w:contextualSpacing/>
              <w:jc w:val="left"/>
              <w:rPr>
                <w:sz w:val="19"/>
                <w:szCs w:val="19"/>
              </w:rPr>
            </w:pPr>
            <w:r w:rsidRPr="000942B3">
              <w:rPr>
                <w:sz w:val="19"/>
                <w:szCs w:val="19"/>
              </w:rPr>
              <w:t>5</w:t>
            </w:r>
            <w:r>
              <w:rPr>
                <w:sz w:val="19"/>
                <w:szCs w:val="19"/>
              </w:rPr>
              <w:t>–15</w:t>
            </w:r>
            <w:r w:rsidRPr="000942B3">
              <w:rPr>
                <w:sz w:val="19"/>
                <w:szCs w:val="19"/>
              </w:rPr>
              <w:t xml:space="preserve"> km DS Lock 6</w:t>
            </w:r>
          </w:p>
        </w:tc>
        <w:tc>
          <w:tcPr>
            <w:tcW w:w="0" w:type="auto"/>
            <w:tcBorders>
              <w:top w:val="single" w:sz="4" w:space="0" w:color="auto"/>
            </w:tcBorders>
            <w:vAlign w:val="bottom"/>
          </w:tcPr>
          <w:p w14:paraId="6A81DBE0" w14:textId="77777777" w:rsidR="0014455D" w:rsidRPr="000942B3" w:rsidRDefault="0014455D" w:rsidP="00902C23">
            <w:pPr>
              <w:contextualSpacing/>
              <w:jc w:val="left"/>
              <w:rPr>
                <w:sz w:val="19"/>
                <w:szCs w:val="19"/>
              </w:rPr>
            </w:pPr>
            <w:r w:rsidRPr="000942B3">
              <w:rPr>
                <w:sz w:val="19"/>
                <w:szCs w:val="19"/>
              </w:rPr>
              <w:t>S</w:t>
            </w:r>
            <w:r>
              <w:rPr>
                <w:sz w:val="19"/>
                <w:szCs w:val="19"/>
              </w:rPr>
              <w:t>-</w:t>
            </w:r>
            <w:r w:rsidRPr="000942B3">
              <w:rPr>
                <w:sz w:val="19"/>
                <w:szCs w:val="19"/>
              </w:rPr>
              <w:t>34.0190</w:t>
            </w:r>
          </w:p>
        </w:tc>
        <w:tc>
          <w:tcPr>
            <w:tcW w:w="0" w:type="auto"/>
            <w:tcBorders>
              <w:top w:val="single" w:sz="4" w:space="0" w:color="auto"/>
            </w:tcBorders>
            <w:vAlign w:val="bottom"/>
          </w:tcPr>
          <w:p w14:paraId="12DD17AA" w14:textId="77777777" w:rsidR="0014455D" w:rsidRPr="000942B3" w:rsidRDefault="0014455D" w:rsidP="00902C23">
            <w:pPr>
              <w:contextualSpacing/>
              <w:jc w:val="left"/>
              <w:rPr>
                <w:sz w:val="19"/>
                <w:szCs w:val="19"/>
              </w:rPr>
            </w:pPr>
            <w:r w:rsidRPr="000942B3">
              <w:rPr>
                <w:sz w:val="19"/>
                <w:szCs w:val="19"/>
              </w:rPr>
              <w:t>E140.87572</w:t>
            </w:r>
          </w:p>
        </w:tc>
      </w:tr>
      <w:tr w:rsidR="0014455D" w:rsidRPr="000942B3" w14:paraId="54222451" w14:textId="77777777" w:rsidTr="00902C23">
        <w:trPr>
          <w:trHeight w:val="340"/>
          <w:jc w:val="center"/>
        </w:trPr>
        <w:tc>
          <w:tcPr>
            <w:tcW w:w="0" w:type="auto"/>
            <w:vAlign w:val="bottom"/>
          </w:tcPr>
          <w:p w14:paraId="56312C16" w14:textId="77777777" w:rsidR="0014455D" w:rsidRPr="000942B3" w:rsidRDefault="0014455D" w:rsidP="00902C23">
            <w:pPr>
              <w:contextualSpacing/>
              <w:jc w:val="left"/>
              <w:rPr>
                <w:sz w:val="19"/>
                <w:szCs w:val="19"/>
              </w:rPr>
            </w:pPr>
            <w:r>
              <w:rPr>
                <w:sz w:val="19"/>
                <w:szCs w:val="19"/>
              </w:rPr>
              <w:t>Floodplain</w:t>
            </w:r>
          </w:p>
        </w:tc>
        <w:tc>
          <w:tcPr>
            <w:tcW w:w="0" w:type="auto"/>
            <w:vAlign w:val="bottom"/>
          </w:tcPr>
          <w:p w14:paraId="3775365D" w14:textId="77777777" w:rsidR="0014455D" w:rsidRPr="000942B3" w:rsidRDefault="0014455D" w:rsidP="00902C23">
            <w:pPr>
              <w:contextualSpacing/>
              <w:jc w:val="left"/>
              <w:rPr>
                <w:sz w:val="19"/>
                <w:szCs w:val="19"/>
              </w:rPr>
            </w:pPr>
            <w:r>
              <w:rPr>
                <w:sz w:val="19"/>
                <w:szCs w:val="19"/>
              </w:rPr>
              <w:t>15 km DS Lock 4</w:t>
            </w:r>
          </w:p>
        </w:tc>
        <w:tc>
          <w:tcPr>
            <w:tcW w:w="0" w:type="auto"/>
            <w:vAlign w:val="bottom"/>
          </w:tcPr>
          <w:p w14:paraId="26B3569E" w14:textId="77777777" w:rsidR="0014455D" w:rsidRPr="000942B3" w:rsidRDefault="0014455D" w:rsidP="00902C23">
            <w:pPr>
              <w:contextualSpacing/>
              <w:jc w:val="left"/>
              <w:rPr>
                <w:sz w:val="19"/>
                <w:szCs w:val="19"/>
              </w:rPr>
            </w:pPr>
            <w:r>
              <w:rPr>
                <w:sz w:val="19"/>
                <w:szCs w:val="19"/>
              </w:rPr>
              <w:t>S-</w:t>
            </w:r>
            <w:r w:rsidRPr="00AF04AD">
              <w:rPr>
                <w:sz w:val="19"/>
                <w:szCs w:val="19"/>
              </w:rPr>
              <w:t>34.389</w:t>
            </w:r>
            <w:r>
              <w:rPr>
                <w:sz w:val="19"/>
                <w:szCs w:val="19"/>
              </w:rPr>
              <w:t>2</w:t>
            </w:r>
          </w:p>
        </w:tc>
        <w:tc>
          <w:tcPr>
            <w:tcW w:w="0" w:type="auto"/>
            <w:vAlign w:val="bottom"/>
          </w:tcPr>
          <w:p w14:paraId="490EB427" w14:textId="77777777" w:rsidR="0014455D" w:rsidRPr="000942B3" w:rsidRDefault="0014455D" w:rsidP="00902C23">
            <w:pPr>
              <w:contextualSpacing/>
              <w:jc w:val="left"/>
              <w:rPr>
                <w:sz w:val="19"/>
                <w:szCs w:val="19"/>
              </w:rPr>
            </w:pPr>
            <w:r>
              <w:rPr>
                <w:sz w:val="19"/>
                <w:szCs w:val="19"/>
              </w:rPr>
              <w:t>E140.59477</w:t>
            </w:r>
          </w:p>
        </w:tc>
      </w:tr>
      <w:tr w:rsidR="0014455D" w:rsidRPr="000942B3" w14:paraId="44BBB7FD" w14:textId="77777777" w:rsidTr="00902C23">
        <w:trPr>
          <w:trHeight w:val="340"/>
          <w:jc w:val="center"/>
        </w:trPr>
        <w:tc>
          <w:tcPr>
            <w:tcW w:w="0" w:type="auto"/>
            <w:tcBorders>
              <w:bottom w:val="single" w:sz="4" w:space="0" w:color="auto"/>
            </w:tcBorders>
            <w:vAlign w:val="bottom"/>
          </w:tcPr>
          <w:p w14:paraId="3CD823B3" w14:textId="77777777" w:rsidR="0014455D" w:rsidRPr="000942B3" w:rsidRDefault="0014455D" w:rsidP="00902C23">
            <w:pPr>
              <w:contextualSpacing/>
              <w:jc w:val="left"/>
              <w:rPr>
                <w:sz w:val="19"/>
                <w:szCs w:val="19"/>
              </w:rPr>
            </w:pPr>
            <w:r w:rsidRPr="000942B3">
              <w:rPr>
                <w:sz w:val="19"/>
                <w:szCs w:val="19"/>
              </w:rPr>
              <w:t>Gorge</w:t>
            </w:r>
          </w:p>
        </w:tc>
        <w:tc>
          <w:tcPr>
            <w:tcW w:w="0" w:type="auto"/>
            <w:tcBorders>
              <w:bottom w:val="single" w:sz="4" w:space="0" w:color="auto"/>
            </w:tcBorders>
            <w:vAlign w:val="bottom"/>
          </w:tcPr>
          <w:p w14:paraId="4ADE4F8F" w14:textId="77777777" w:rsidR="0014455D" w:rsidRPr="000942B3" w:rsidRDefault="0014455D" w:rsidP="00902C23">
            <w:pPr>
              <w:contextualSpacing/>
              <w:jc w:val="left"/>
              <w:rPr>
                <w:sz w:val="19"/>
                <w:szCs w:val="19"/>
              </w:rPr>
            </w:pPr>
            <w:r w:rsidRPr="000942B3">
              <w:rPr>
                <w:sz w:val="19"/>
                <w:szCs w:val="19"/>
              </w:rPr>
              <w:t>5</w:t>
            </w:r>
            <w:r>
              <w:rPr>
                <w:sz w:val="19"/>
                <w:szCs w:val="19"/>
              </w:rPr>
              <w:t>–15</w:t>
            </w:r>
            <w:r w:rsidRPr="000942B3">
              <w:rPr>
                <w:sz w:val="19"/>
                <w:szCs w:val="19"/>
              </w:rPr>
              <w:t xml:space="preserve"> km DS Lock 1</w:t>
            </w:r>
          </w:p>
        </w:tc>
        <w:tc>
          <w:tcPr>
            <w:tcW w:w="0" w:type="auto"/>
            <w:tcBorders>
              <w:bottom w:val="single" w:sz="4" w:space="0" w:color="auto"/>
            </w:tcBorders>
            <w:vAlign w:val="bottom"/>
          </w:tcPr>
          <w:p w14:paraId="4D9F105E" w14:textId="77777777" w:rsidR="0014455D" w:rsidRPr="000942B3" w:rsidRDefault="0014455D" w:rsidP="00902C23">
            <w:pPr>
              <w:contextualSpacing/>
              <w:jc w:val="left"/>
              <w:rPr>
                <w:sz w:val="19"/>
                <w:szCs w:val="19"/>
              </w:rPr>
            </w:pPr>
            <w:r w:rsidRPr="000942B3">
              <w:rPr>
                <w:sz w:val="19"/>
                <w:szCs w:val="19"/>
              </w:rPr>
              <w:t>S</w:t>
            </w:r>
            <w:r>
              <w:rPr>
                <w:sz w:val="19"/>
                <w:szCs w:val="19"/>
              </w:rPr>
              <w:t>-</w:t>
            </w:r>
            <w:r w:rsidRPr="000942B3">
              <w:rPr>
                <w:sz w:val="19"/>
                <w:szCs w:val="19"/>
              </w:rPr>
              <w:t>34.4052</w:t>
            </w:r>
          </w:p>
        </w:tc>
        <w:tc>
          <w:tcPr>
            <w:tcW w:w="0" w:type="auto"/>
            <w:tcBorders>
              <w:bottom w:val="single" w:sz="4" w:space="0" w:color="auto"/>
            </w:tcBorders>
            <w:vAlign w:val="bottom"/>
          </w:tcPr>
          <w:p w14:paraId="6A43C3CE" w14:textId="77777777" w:rsidR="0014455D" w:rsidRPr="000942B3" w:rsidRDefault="0014455D" w:rsidP="00902C23">
            <w:pPr>
              <w:contextualSpacing/>
              <w:jc w:val="left"/>
              <w:rPr>
                <w:sz w:val="19"/>
                <w:szCs w:val="19"/>
              </w:rPr>
            </w:pPr>
            <w:r w:rsidRPr="000942B3">
              <w:rPr>
                <w:sz w:val="19"/>
                <w:szCs w:val="19"/>
              </w:rPr>
              <w:t>E139.61723</w:t>
            </w:r>
          </w:p>
        </w:tc>
      </w:tr>
    </w:tbl>
    <w:p w14:paraId="708E2BF1" w14:textId="77777777" w:rsidR="0014455D" w:rsidRDefault="0014455D" w:rsidP="0014455D"/>
    <w:p w14:paraId="19389DE3" w14:textId="77777777" w:rsidR="0014455D" w:rsidRDefault="0014455D" w:rsidP="0014455D">
      <w:pPr>
        <w:pStyle w:val="Heading4"/>
        <w:numPr>
          <w:ilvl w:val="3"/>
          <w:numId w:val="14"/>
        </w:numPr>
        <w:ind w:left="0"/>
        <w:rPr>
          <w:szCs w:val="21"/>
        </w:rPr>
      </w:pPr>
      <w:r w:rsidRPr="005767B3">
        <w:rPr>
          <w:szCs w:val="21"/>
        </w:rPr>
        <w:t>Modelling and statistical analyses</w:t>
      </w:r>
    </w:p>
    <w:p w14:paraId="2C0DBF25" w14:textId="77777777" w:rsidR="0014455D" w:rsidRPr="006F3AF9" w:rsidRDefault="0014455D" w:rsidP="0014455D">
      <w:r>
        <w:t xml:space="preserve">Both categorical and continuous predictors were used to build a model to predict the response of microinvertebrates to flow. Categorical predictors were month, water year, lock and site, while continuous predictors quantified: (1) flow, (2) flow variability, (3) water quality and (4) inundated floodplain area (Appendix D). For flow, we calculated both short-term (mean flow on the date of sampling) and long-term flow (mean flow over the preceding 12-week period) predictors. Flow variability was quantified as the change in flow over the preceding 10-days prior to sampling (denoted ‘flow trend’ or ‘dQ10’). Water quality parameters used were daily temperature and electrical conductivity. Floodplain inundated area was quantified using the DEW MIKE model outputs (M. Gibbs, pers comm; see Appendix D for details). Values were summed over 28- and 60-day periods to estimate inundated floodplain area corresponding to an estimated minimum period required for the majority of taxa to emerge from the egg bank and complete one or two life cycles. A global model including all predictors was fit first, then optimised using an automated procedure. Model predictive performance was assessed prior to use in modelling scenarios (see Appendix D in </w:t>
      </w:r>
      <w:r w:rsidRPr="00801C78">
        <w:rPr>
          <w:lang w:val="en-US"/>
        </w:rPr>
        <w:t>Ye et al. 2021</w:t>
      </w:r>
      <w:r>
        <w:rPr>
          <w:lang w:val="en-US"/>
        </w:rPr>
        <w:t xml:space="preserve"> </w:t>
      </w:r>
      <w:r>
        <w:t xml:space="preserve">for details). </w:t>
      </w:r>
    </w:p>
    <w:p w14:paraId="266AB254" w14:textId="77777777" w:rsidR="0014455D" w:rsidRDefault="0014455D" w:rsidP="0014455D">
      <w:pPr>
        <w:rPr>
          <w:lang w:val="en-US"/>
        </w:rPr>
      </w:pPr>
      <w:r w:rsidRPr="00C720A7">
        <w:t>To assess the influence of Commonwealth environmental water on microinvertebrate density, taxonomic richness and community assemblage structure (including rotifers, cladocerans and copepods) over the long-term (5 years), variation between sampling years (i.e. 2014-15, 2015-16, 2016-17, 2017-18 and 2019-20) and sites (2019-20, presented below) was investigated</w:t>
      </w:r>
      <w:r>
        <w:t xml:space="preserve">. </w:t>
      </w:r>
      <w:r>
        <w:rPr>
          <w:lang w:val="en-US"/>
        </w:rPr>
        <w:t>First, models were fit to all existing data using observed flow conditions, and other predictors (see above) (f</w:t>
      </w:r>
      <w:r w:rsidRPr="00801C78">
        <w:rPr>
          <w:lang w:val="en-US"/>
        </w:rPr>
        <w:t>or more details see</w:t>
      </w:r>
      <w:r>
        <w:rPr>
          <w:lang w:val="en-US"/>
        </w:rPr>
        <w:t xml:space="preserve"> </w:t>
      </w:r>
      <w:r w:rsidRPr="00801C78">
        <w:rPr>
          <w:lang w:val="en-US"/>
        </w:rPr>
        <w:t>Ye et al. 2021</w:t>
      </w:r>
      <w:r>
        <w:rPr>
          <w:lang w:val="en-US"/>
        </w:rPr>
        <w:t xml:space="preserve">). Second, the predictors were re-calculated using the modelled flow data for scenarios of no Commonwealth environmental water contributions (hereafter </w:t>
      </w:r>
      <w:r w:rsidRPr="00EA367A">
        <w:rPr>
          <w:b/>
          <w:bCs/>
          <w:lang w:val="en-US"/>
        </w:rPr>
        <w:t>“</w:t>
      </w:r>
      <w:r w:rsidRPr="00BB1D4B">
        <w:rPr>
          <w:b/>
          <w:bCs/>
          <w:i/>
          <w:iCs/>
          <w:lang w:val="en-US"/>
        </w:rPr>
        <w:t>No CEW</w:t>
      </w:r>
      <w:r w:rsidRPr="00EA367A">
        <w:rPr>
          <w:b/>
          <w:bCs/>
          <w:lang w:val="en-US"/>
        </w:rPr>
        <w:t>”</w:t>
      </w:r>
      <w:r>
        <w:rPr>
          <w:lang w:val="en-US"/>
        </w:rPr>
        <w:t>) and no environmental water at all (</w:t>
      </w:r>
      <w:r w:rsidRPr="00EA367A">
        <w:rPr>
          <w:b/>
          <w:bCs/>
          <w:lang w:val="en-US"/>
        </w:rPr>
        <w:t>“</w:t>
      </w:r>
      <w:r w:rsidRPr="00BB1D4B">
        <w:rPr>
          <w:b/>
          <w:bCs/>
          <w:i/>
          <w:iCs/>
          <w:lang w:val="en-US"/>
        </w:rPr>
        <w:t>No eWater</w:t>
      </w:r>
      <w:r w:rsidRPr="00EA367A">
        <w:rPr>
          <w:b/>
          <w:bCs/>
          <w:lang w:val="en-US"/>
        </w:rPr>
        <w:t>”</w:t>
      </w:r>
      <w:r>
        <w:rPr>
          <w:lang w:val="en-US"/>
        </w:rPr>
        <w:t xml:space="preserve">). Finally, models were re-run using the predictors calculated on modelled scenarios and the predicted microinvertebrate parameters (see below) were compared between the three scenarios using paired t-tests to determine whether predicted changes in microinvertebrates differed from observed variability (i.e., whether such a result would be expected at random). The overall contribution of environmental water was calculated as the difference between the observed and modelled </w:t>
      </w:r>
      <w:r w:rsidRPr="00FE1CE8">
        <w:rPr>
          <w:i/>
          <w:iCs/>
          <w:lang w:val="en-US"/>
        </w:rPr>
        <w:t>No eWater</w:t>
      </w:r>
      <w:r>
        <w:rPr>
          <w:lang w:val="en-US"/>
        </w:rPr>
        <w:t xml:space="preserve"> scenarios. The difference between the </w:t>
      </w:r>
      <w:r w:rsidRPr="00FE1CE8">
        <w:rPr>
          <w:i/>
          <w:iCs/>
          <w:lang w:val="en-US"/>
        </w:rPr>
        <w:t>No CEW</w:t>
      </w:r>
      <w:r>
        <w:rPr>
          <w:lang w:val="en-US"/>
        </w:rPr>
        <w:t xml:space="preserve"> and observed scenarios was the contribution by Commonwealth environmental water. Models were built to test each hypothesis above </w:t>
      </w:r>
      <w:r w:rsidRPr="09875D2A">
        <w:rPr>
          <w:lang w:val="en-US"/>
        </w:rPr>
        <w:t xml:space="preserve">using the following </w:t>
      </w:r>
      <w:r>
        <w:rPr>
          <w:lang w:val="en-US"/>
        </w:rPr>
        <w:t>microinvertebrate parameters:</w:t>
      </w:r>
    </w:p>
    <w:p w14:paraId="664809B8" w14:textId="77777777" w:rsidR="0014455D" w:rsidRDefault="0014455D" w:rsidP="0014455D">
      <w:pPr>
        <w:pStyle w:val="ListParagraph"/>
        <w:numPr>
          <w:ilvl w:val="0"/>
          <w:numId w:val="16"/>
        </w:numPr>
        <w:rPr>
          <w:lang w:val="en-US"/>
        </w:rPr>
      </w:pPr>
      <w:r>
        <w:rPr>
          <w:lang w:val="en-US"/>
        </w:rPr>
        <w:t>H1: (a) density of microinvertebrates (estimated as the mean of three replicates) and (b) taxonomic richness (total taxa within the three replicates);</w:t>
      </w:r>
    </w:p>
    <w:p w14:paraId="74A9C370" w14:textId="77777777" w:rsidR="0014455D" w:rsidRDefault="0014455D" w:rsidP="0014455D">
      <w:pPr>
        <w:pStyle w:val="ListParagraph"/>
        <w:numPr>
          <w:ilvl w:val="0"/>
          <w:numId w:val="16"/>
        </w:numPr>
        <w:rPr>
          <w:lang w:val="en-US"/>
        </w:rPr>
      </w:pPr>
      <w:r>
        <w:rPr>
          <w:lang w:val="en-US"/>
        </w:rPr>
        <w:t>H2: Density of microinvertebrate taxa with assumed greater dependence on: (i) lateral connectivity (due to the longer period of time to complete their life cycle), and, (ii) longitudinal transport. Category (i) taxa were littoral and pelagic cladocerans, and calanoid and cyclopoid copepods, comprising 32 taxa (</w:t>
      </w:r>
      <w:r>
        <w:rPr>
          <w:lang w:val="en-US"/>
        </w:rPr>
        <w:fldChar w:fldCharType="begin"/>
      </w:r>
      <w:r>
        <w:rPr>
          <w:lang w:val="en-US"/>
        </w:rPr>
        <w:instrText xml:space="preserve"> REF _Ref58064141 \h </w:instrText>
      </w:r>
      <w:r>
        <w:rPr>
          <w:lang w:val="en-US"/>
        </w:rPr>
      </w:r>
      <w:r>
        <w:rPr>
          <w:lang w:val="en-US"/>
        </w:rPr>
        <w:fldChar w:fldCharType="separate"/>
      </w:r>
      <w:r>
        <w:t xml:space="preserve">Table </w:t>
      </w:r>
      <w:r>
        <w:rPr>
          <w:noProof/>
        </w:rPr>
        <w:t>15</w:t>
      </w:r>
      <w:r>
        <w:rPr>
          <w:lang w:val="en-US"/>
        </w:rPr>
        <w:fldChar w:fldCharType="end"/>
      </w:r>
      <w:r>
        <w:rPr>
          <w:lang w:val="en-US"/>
        </w:rPr>
        <w:t>a). Category (ii) taxa (</w:t>
      </w:r>
      <w:r>
        <w:rPr>
          <w:lang w:val="en-US"/>
        </w:rPr>
        <w:fldChar w:fldCharType="begin"/>
      </w:r>
      <w:r>
        <w:rPr>
          <w:lang w:val="en-US"/>
        </w:rPr>
        <w:instrText xml:space="preserve"> REF _Ref58064141 \h </w:instrText>
      </w:r>
      <w:r>
        <w:rPr>
          <w:lang w:val="en-US"/>
        </w:rPr>
      </w:r>
      <w:r>
        <w:rPr>
          <w:lang w:val="en-US"/>
        </w:rPr>
        <w:fldChar w:fldCharType="separate"/>
      </w:r>
      <w:r>
        <w:t xml:space="preserve">Table </w:t>
      </w:r>
      <w:r>
        <w:rPr>
          <w:noProof/>
        </w:rPr>
        <w:t>15</w:t>
      </w:r>
      <w:r>
        <w:rPr>
          <w:lang w:val="en-US"/>
        </w:rPr>
        <w:fldChar w:fldCharType="end"/>
      </w:r>
      <w:r>
        <w:rPr>
          <w:lang w:val="en-US"/>
        </w:rPr>
        <w:t xml:space="preserve">b) were primarily pelagic rotifers, with their dependence inferred from their known biogeographical range (R. Shiel, pers comm, 2020) along with prior reports indicating the importance of upstream taxa in determining the turnover of Lower Murray microinvertebrate </w:t>
      </w:r>
      <w:r w:rsidRPr="00291D53">
        <w:rPr>
          <w:lang w:val="en-US"/>
        </w:rPr>
        <w:t xml:space="preserve">assemblages (Ye </w:t>
      </w:r>
      <w:r w:rsidRPr="00BE1769">
        <w:rPr>
          <w:i/>
          <w:iCs/>
          <w:lang w:val="en-US"/>
        </w:rPr>
        <w:t>et al</w:t>
      </w:r>
      <w:r w:rsidRPr="00291D53">
        <w:rPr>
          <w:lang w:val="en-US"/>
        </w:rPr>
        <w:t>. 2020</w:t>
      </w:r>
      <w:r>
        <w:rPr>
          <w:lang w:val="en-US"/>
        </w:rPr>
        <w:t>a</w:t>
      </w:r>
      <w:r w:rsidRPr="00291D53">
        <w:rPr>
          <w:lang w:val="en-US"/>
        </w:rPr>
        <w:t>)</w:t>
      </w:r>
      <w:r>
        <w:rPr>
          <w:lang w:val="en-US"/>
        </w:rPr>
        <w:t>;</w:t>
      </w:r>
    </w:p>
    <w:p w14:paraId="2FBB9999" w14:textId="77777777" w:rsidR="0014455D" w:rsidRDefault="0014455D" w:rsidP="0014455D">
      <w:pPr>
        <w:pStyle w:val="ListParagraph"/>
        <w:numPr>
          <w:ilvl w:val="0"/>
          <w:numId w:val="16"/>
        </w:numPr>
        <w:rPr>
          <w:lang w:val="en-US"/>
        </w:rPr>
      </w:pPr>
      <w:r w:rsidRPr="00636F3B">
        <w:rPr>
          <w:lang w:val="en-US"/>
        </w:rPr>
        <w:t xml:space="preserve">H3: Density of microinvertebrate taxa identified as preferred fish prey species, based on findings from the LTIM (Ye </w:t>
      </w:r>
      <w:r w:rsidRPr="00636F3B">
        <w:rPr>
          <w:i/>
          <w:iCs/>
          <w:lang w:val="en-US"/>
        </w:rPr>
        <w:t>et al.</w:t>
      </w:r>
      <w:r w:rsidRPr="00636F3B">
        <w:rPr>
          <w:lang w:val="en-US"/>
        </w:rPr>
        <w:t xml:space="preserve"> 2020</w:t>
      </w:r>
      <w:r>
        <w:rPr>
          <w:lang w:val="en-US"/>
        </w:rPr>
        <w:t>a</w:t>
      </w:r>
      <w:r w:rsidRPr="00636F3B">
        <w:rPr>
          <w:lang w:val="en-US"/>
        </w:rPr>
        <w:t>) and MER (SARDI unpublished data) (</w:t>
      </w:r>
      <w:r w:rsidRPr="00636F3B">
        <w:rPr>
          <w:lang w:val="en-US"/>
        </w:rPr>
        <w:fldChar w:fldCharType="begin"/>
      </w:r>
      <w:r w:rsidRPr="00636F3B">
        <w:rPr>
          <w:lang w:val="en-US"/>
        </w:rPr>
        <w:instrText xml:space="preserve"> REF _Ref95292000 \h  \* MERGEFORMAT </w:instrText>
      </w:r>
      <w:r w:rsidRPr="00636F3B">
        <w:rPr>
          <w:lang w:val="en-US"/>
        </w:rPr>
      </w:r>
      <w:r w:rsidRPr="00636F3B">
        <w:rPr>
          <w:lang w:val="en-US"/>
        </w:rPr>
        <w:fldChar w:fldCharType="separate"/>
      </w:r>
      <w:r w:rsidRPr="00D52FA4">
        <w:rPr>
          <w:rFonts w:eastAsia="MS Mincho" w:cs="Arial"/>
          <w:noProof/>
          <w:color w:val="auto"/>
          <w:kern w:val="0"/>
          <w:sz w:val="20"/>
          <w:lang w:val="en-US"/>
        </w:rPr>
        <w:t>Table 16</w:t>
      </w:r>
      <w:r w:rsidRPr="00636F3B">
        <w:rPr>
          <w:lang w:val="en-US"/>
        </w:rPr>
        <w:fldChar w:fldCharType="end"/>
      </w:r>
      <w:r w:rsidRPr="00636F3B">
        <w:rPr>
          <w:lang w:val="en-US"/>
        </w:rPr>
        <w:t>).</w:t>
      </w:r>
    </w:p>
    <w:p w14:paraId="4B004A70" w14:textId="77777777" w:rsidR="0014455D" w:rsidRPr="00636F3B" w:rsidRDefault="0014455D" w:rsidP="0014455D">
      <w:pPr>
        <w:pStyle w:val="ListParagraph"/>
        <w:rPr>
          <w:lang w:val="en-US"/>
        </w:rPr>
      </w:pPr>
    </w:p>
    <w:p w14:paraId="65348BF1" w14:textId="77777777" w:rsidR="0014455D" w:rsidRDefault="0014455D" w:rsidP="0014455D">
      <w:pPr>
        <w:pStyle w:val="Captions"/>
      </w:pPr>
      <w:bookmarkStart w:id="239" w:name="_Ref58064141"/>
      <w:bookmarkStart w:id="240" w:name="_Toc63758533"/>
      <w:bookmarkStart w:id="241" w:name="_Toc101963873"/>
      <w:r>
        <w:t xml:space="preserve">Table </w:t>
      </w:r>
      <w:r>
        <w:fldChar w:fldCharType="begin"/>
      </w:r>
      <w:r>
        <w:instrText xml:space="preserve"> SEQ Table \* ARABIC </w:instrText>
      </w:r>
      <w:r>
        <w:fldChar w:fldCharType="separate"/>
      </w:r>
      <w:r>
        <w:rPr>
          <w:noProof/>
        </w:rPr>
        <w:t>15</w:t>
      </w:r>
      <w:r>
        <w:fldChar w:fldCharType="end"/>
      </w:r>
      <w:bookmarkEnd w:id="239"/>
      <w:r>
        <w:t>. Taxa used to quantify the influence of environmental water on</w:t>
      </w:r>
      <w:bookmarkEnd w:id="240"/>
      <w:r>
        <w:t>.</w:t>
      </w:r>
      <w:bookmarkEnd w:id="241"/>
    </w:p>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5"/>
        <w:gridCol w:w="6682"/>
      </w:tblGrid>
      <w:tr w:rsidR="0014455D" w14:paraId="2D854E50" w14:textId="77777777" w:rsidTr="00902C23">
        <w:trPr>
          <w:jc w:val="center"/>
        </w:trPr>
        <w:tc>
          <w:tcPr>
            <w:tcW w:w="2385" w:type="dxa"/>
            <w:tcBorders>
              <w:top w:val="single" w:sz="4" w:space="0" w:color="auto"/>
              <w:bottom w:val="single" w:sz="4" w:space="0" w:color="auto"/>
            </w:tcBorders>
          </w:tcPr>
          <w:p w14:paraId="2BE993EA" w14:textId="77777777" w:rsidR="0014455D" w:rsidRDefault="0014455D" w:rsidP="00902C23">
            <w:pPr>
              <w:pStyle w:val="TableHeading"/>
              <w:rPr>
                <w:lang w:val="en-US"/>
              </w:rPr>
            </w:pPr>
            <w:r>
              <w:rPr>
                <w:lang w:val="en-US"/>
              </w:rPr>
              <w:t>Dependence group</w:t>
            </w:r>
          </w:p>
        </w:tc>
        <w:tc>
          <w:tcPr>
            <w:tcW w:w="6682" w:type="dxa"/>
            <w:tcBorders>
              <w:top w:val="single" w:sz="4" w:space="0" w:color="auto"/>
              <w:bottom w:val="single" w:sz="4" w:space="0" w:color="auto"/>
            </w:tcBorders>
          </w:tcPr>
          <w:p w14:paraId="3ADC390C" w14:textId="77777777" w:rsidR="0014455D" w:rsidRDefault="0014455D" w:rsidP="00902C23">
            <w:pPr>
              <w:pStyle w:val="TableHeading"/>
              <w:rPr>
                <w:lang w:val="en-US"/>
              </w:rPr>
            </w:pPr>
            <w:r>
              <w:rPr>
                <w:lang w:val="en-US"/>
              </w:rPr>
              <w:t>Taxa</w:t>
            </w:r>
          </w:p>
        </w:tc>
      </w:tr>
      <w:tr w:rsidR="0014455D" w14:paraId="40CAF8CC" w14:textId="77777777" w:rsidTr="00902C23">
        <w:trPr>
          <w:jc w:val="center"/>
        </w:trPr>
        <w:tc>
          <w:tcPr>
            <w:tcW w:w="2385" w:type="dxa"/>
            <w:tcBorders>
              <w:top w:val="single" w:sz="4" w:space="0" w:color="auto"/>
              <w:bottom w:val="single" w:sz="4" w:space="0" w:color="auto"/>
            </w:tcBorders>
          </w:tcPr>
          <w:p w14:paraId="6E1A1B71" w14:textId="77777777" w:rsidR="0014455D" w:rsidRPr="00887EF3" w:rsidRDefault="0014455D" w:rsidP="00902C23">
            <w:pPr>
              <w:pStyle w:val="TableHeading"/>
              <w:rPr>
                <w:lang w:val="en-US"/>
              </w:rPr>
            </w:pPr>
            <w:r>
              <w:rPr>
                <w:lang w:val="en-US"/>
              </w:rPr>
              <w:t>(i) </w:t>
            </w:r>
            <w:r w:rsidRPr="00887EF3">
              <w:rPr>
                <w:lang w:val="en-US"/>
              </w:rPr>
              <w:t>Lateral connectivity</w:t>
            </w:r>
          </w:p>
        </w:tc>
        <w:tc>
          <w:tcPr>
            <w:tcW w:w="6682" w:type="dxa"/>
            <w:tcBorders>
              <w:top w:val="single" w:sz="4" w:space="0" w:color="auto"/>
              <w:bottom w:val="single" w:sz="4" w:space="0" w:color="auto"/>
            </w:tcBorders>
          </w:tcPr>
          <w:p w14:paraId="7A9BA9B8" w14:textId="77777777" w:rsidR="0014455D" w:rsidRPr="00064CF4" w:rsidRDefault="0014455D" w:rsidP="00902C23">
            <w:pPr>
              <w:pStyle w:val="TableText"/>
              <w:rPr>
                <w:i/>
                <w:iCs/>
                <w:lang w:val="en-US"/>
              </w:rPr>
            </w:pPr>
            <w:r w:rsidRPr="00064CF4">
              <w:rPr>
                <w:i/>
                <w:iCs/>
                <w:lang w:val="en-US"/>
              </w:rPr>
              <w:t xml:space="preserve">Acanthocyclops </w:t>
            </w:r>
            <w:r w:rsidRPr="00064CF4">
              <w:rPr>
                <w:lang w:val="en-US"/>
              </w:rPr>
              <w:t>cf</w:t>
            </w:r>
            <w:r w:rsidRPr="00064CF4">
              <w:rPr>
                <w:i/>
                <w:iCs/>
                <w:lang w:val="en-US"/>
              </w:rPr>
              <w:t xml:space="preserve">. vernalis, Armatalona macrocopa, Australocyclops australis, Boeckella triarticulata, Bosmina meridionalis, Calamoecia ampulla, Calamoecia sp., </w:t>
            </w:r>
            <w:r w:rsidRPr="00064CF4">
              <w:rPr>
                <w:lang w:val="en-US"/>
              </w:rPr>
              <w:t>calanoid and cyclopoid copepodites</w:t>
            </w:r>
            <w:r w:rsidRPr="00064CF4">
              <w:rPr>
                <w:i/>
                <w:iCs/>
                <w:lang w:val="en-US"/>
              </w:rPr>
              <w:t xml:space="preserve">, Ceriodaphnia cornuta, Ceriodaphnia </w:t>
            </w:r>
            <w:r w:rsidRPr="00064CF4">
              <w:rPr>
                <w:lang w:val="en-US"/>
              </w:rPr>
              <w:t>sp</w:t>
            </w:r>
            <w:r w:rsidRPr="00064CF4">
              <w:rPr>
                <w:i/>
                <w:iCs/>
                <w:lang w:val="en-US"/>
              </w:rPr>
              <w:t xml:space="preserve">., Chydorus </w:t>
            </w:r>
            <w:r w:rsidRPr="00064CF4">
              <w:rPr>
                <w:lang w:val="en-US"/>
              </w:rPr>
              <w:t>cf</w:t>
            </w:r>
            <w:r w:rsidRPr="00064CF4">
              <w:rPr>
                <w:i/>
                <w:iCs/>
                <w:lang w:val="en-US"/>
              </w:rPr>
              <w:t>. eurynotus, Daphnia carinata s.l., D</w:t>
            </w:r>
            <w:r>
              <w:rPr>
                <w:i/>
                <w:iCs/>
                <w:lang w:val="en-US"/>
              </w:rPr>
              <w:t>.</w:t>
            </w:r>
            <w:r w:rsidRPr="00064CF4">
              <w:rPr>
                <w:i/>
                <w:iCs/>
                <w:lang w:val="en-US"/>
              </w:rPr>
              <w:t xml:space="preserve"> galeata, D</w:t>
            </w:r>
            <w:r>
              <w:rPr>
                <w:i/>
                <w:iCs/>
                <w:lang w:val="en-US"/>
              </w:rPr>
              <w:t xml:space="preserve">. </w:t>
            </w:r>
            <w:r w:rsidRPr="00064CF4">
              <w:rPr>
                <w:i/>
                <w:iCs/>
                <w:lang w:val="en-US"/>
              </w:rPr>
              <w:t xml:space="preserve">lumholtzi, Daphnia sp., Diaphanosoma excisum, Gladioferens </w:t>
            </w:r>
            <w:r w:rsidRPr="00064CF4">
              <w:rPr>
                <w:lang w:val="en-US"/>
              </w:rPr>
              <w:t>sp</w:t>
            </w:r>
            <w:r w:rsidRPr="00064CF4">
              <w:rPr>
                <w:i/>
                <w:iCs/>
                <w:lang w:val="en-US"/>
              </w:rPr>
              <w:t xml:space="preserve">., Ilyocryptus </w:t>
            </w:r>
            <w:r w:rsidRPr="00064CF4">
              <w:rPr>
                <w:lang w:val="en-US"/>
              </w:rPr>
              <w:t>sp</w:t>
            </w:r>
            <w:r w:rsidRPr="00064CF4">
              <w:rPr>
                <w:i/>
                <w:iCs/>
                <w:lang w:val="en-US"/>
              </w:rPr>
              <w:t>., Leberis</w:t>
            </w:r>
            <w:r>
              <w:rPr>
                <w:i/>
                <w:iCs/>
                <w:lang w:val="en-US"/>
              </w:rPr>
              <w:t xml:space="preserve"> </w:t>
            </w:r>
            <w:r>
              <w:rPr>
                <w:i/>
                <w:iCs/>
              </w:rPr>
              <w:t>diaphanus</w:t>
            </w:r>
            <w:r w:rsidRPr="00064CF4">
              <w:rPr>
                <w:i/>
                <w:iCs/>
                <w:lang w:val="en-US"/>
              </w:rPr>
              <w:t xml:space="preserve">, Macrothrix </w:t>
            </w:r>
            <w:r w:rsidRPr="00064CF4">
              <w:rPr>
                <w:lang w:val="en-US"/>
              </w:rPr>
              <w:t>sp</w:t>
            </w:r>
            <w:r w:rsidRPr="00064CF4">
              <w:rPr>
                <w:i/>
                <w:iCs/>
                <w:lang w:val="en-US"/>
              </w:rPr>
              <w:t xml:space="preserve">., Mesocyclops notius, Microcyclops varicans, Moina </w:t>
            </w:r>
            <w:r w:rsidRPr="00CE2E28">
              <w:rPr>
                <w:lang w:val="en-US"/>
              </w:rPr>
              <w:t>cf.</w:t>
            </w:r>
            <w:r w:rsidRPr="00064CF4">
              <w:rPr>
                <w:i/>
                <w:iCs/>
                <w:lang w:val="en-US"/>
              </w:rPr>
              <w:t xml:space="preserve"> australiensis, Moina </w:t>
            </w:r>
            <w:r w:rsidRPr="00064CF4">
              <w:rPr>
                <w:lang w:val="en-US"/>
              </w:rPr>
              <w:t>cf</w:t>
            </w:r>
            <w:r w:rsidRPr="00064CF4">
              <w:rPr>
                <w:i/>
                <w:iCs/>
                <w:lang w:val="en-US"/>
              </w:rPr>
              <w:t>. tenuicornis, Moina micrura, Neothrix</w:t>
            </w:r>
            <w:r w:rsidRPr="00CE2E28">
              <w:rPr>
                <w:lang w:val="en-US"/>
              </w:rPr>
              <w:t xml:space="preserve"> sp</w:t>
            </w:r>
            <w:r w:rsidRPr="00064CF4">
              <w:rPr>
                <w:i/>
                <w:iCs/>
                <w:lang w:val="en-US"/>
              </w:rPr>
              <w:t xml:space="preserve">.,Pseudochydorus globosus, Pseudomonospilus diporus, Simocephalus </w:t>
            </w:r>
            <w:r w:rsidRPr="00064CF4">
              <w:rPr>
                <w:lang w:val="en-US"/>
              </w:rPr>
              <w:t>sp</w:t>
            </w:r>
            <w:r w:rsidRPr="00064CF4">
              <w:rPr>
                <w:i/>
                <w:iCs/>
                <w:lang w:val="en-US"/>
              </w:rPr>
              <w:t xml:space="preserve">., Thermocyclops </w:t>
            </w:r>
            <w:r w:rsidRPr="00064CF4">
              <w:rPr>
                <w:lang w:val="en-US"/>
              </w:rPr>
              <w:t>sp</w:t>
            </w:r>
            <w:r w:rsidRPr="00064CF4">
              <w:rPr>
                <w:i/>
                <w:iCs/>
                <w:lang w:val="en-US"/>
              </w:rPr>
              <w:t>.</w:t>
            </w:r>
          </w:p>
        </w:tc>
      </w:tr>
      <w:tr w:rsidR="0014455D" w14:paraId="3D12FFC1" w14:textId="77777777" w:rsidTr="00902C23">
        <w:trPr>
          <w:jc w:val="center"/>
        </w:trPr>
        <w:tc>
          <w:tcPr>
            <w:tcW w:w="2385" w:type="dxa"/>
            <w:tcBorders>
              <w:top w:val="single" w:sz="4" w:space="0" w:color="auto"/>
              <w:bottom w:val="single" w:sz="4" w:space="0" w:color="auto"/>
            </w:tcBorders>
          </w:tcPr>
          <w:p w14:paraId="45B774D0" w14:textId="77777777" w:rsidR="0014455D" w:rsidRPr="00887EF3" w:rsidRDefault="0014455D" w:rsidP="00902C23">
            <w:pPr>
              <w:pStyle w:val="TableHeading"/>
              <w:rPr>
                <w:lang w:val="en-US"/>
              </w:rPr>
            </w:pPr>
            <w:r>
              <w:rPr>
                <w:lang w:val="en-US"/>
              </w:rPr>
              <w:t>(ii) </w:t>
            </w:r>
            <w:r w:rsidRPr="00887EF3">
              <w:rPr>
                <w:lang w:val="en-US"/>
              </w:rPr>
              <w:t>Longitudinal connectivity</w:t>
            </w:r>
          </w:p>
        </w:tc>
        <w:tc>
          <w:tcPr>
            <w:tcW w:w="6682" w:type="dxa"/>
            <w:tcBorders>
              <w:top w:val="single" w:sz="4" w:space="0" w:color="auto"/>
              <w:bottom w:val="single" w:sz="4" w:space="0" w:color="auto"/>
            </w:tcBorders>
          </w:tcPr>
          <w:p w14:paraId="2A092D13" w14:textId="77777777" w:rsidR="0014455D" w:rsidRPr="001E2700" w:rsidRDefault="0014455D" w:rsidP="00902C23">
            <w:pPr>
              <w:rPr>
                <w:i/>
                <w:iCs/>
                <w:sz w:val="20"/>
                <w:lang w:val="en-US"/>
              </w:rPr>
            </w:pPr>
            <w:r w:rsidRPr="001E2700">
              <w:rPr>
                <w:i/>
                <w:iCs/>
                <w:sz w:val="20"/>
                <w:lang w:val="en-US"/>
              </w:rPr>
              <w:t xml:space="preserve">Anuraeopsis coelata, Anuraeopsis fissa, Brachionus bidens, B. calyciflorus amphiceros, B. diversicornis, B. falcatus, Cephalodella catellina, Collotheca </w:t>
            </w:r>
            <w:r w:rsidRPr="00CE2E28">
              <w:rPr>
                <w:sz w:val="20"/>
                <w:lang w:val="en-US"/>
              </w:rPr>
              <w:t>cf.</w:t>
            </w:r>
            <w:r w:rsidRPr="001E2700">
              <w:rPr>
                <w:i/>
                <w:iCs/>
                <w:sz w:val="20"/>
                <w:lang w:val="en-US"/>
              </w:rPr>
              <w:t xml:space="preserve"> tenuilobata, Conochilus dossuarius, C. natans, C. unicornis, Filinia longiseta, F. pejleri, F. terminalis, Keratella australis, K. cochlearis, K. lenzi, K. procurva, K. slacki, Polyarthra remata, P. vulgaris, Synchaeta oblonga, S. pectinata, Trichocerca pusilla </w:t>
            </w:r>
            <w:r w:rsidRPr="00511A4B">
              <w:rPr>
                <w:sz w:val="20"/>
                <w:lang w:val="en-US"/>
              </w:rPr>
              <w:t>complex</w:t>
            </w:r>
            <w:r w:rsidRPr="001E2700">
              <w:rPr>
                <w:i/>
                <w:iCs/>
                <w:sz w:val="20"/>
                <w:lang w:val="en-US"/>
              </w:rPr>
              <w:t>, T. similis, T. similis grandis</w:t>
            </w:r>
          </w:p>
        </w:tc>
      </w:tr>
    </w:tbl>
    <w:p w14:paraId="1CEA5E64" w14:textId="77777777" w:rsidR="0014455D" w:rsidRDefault="0014455D" w:rsidP="0014455D">
      <w:pPr>
        <w:spacing w:before="0" w:after="160" w:line="259" w:lineRule="auto"/>
        <w:jc w:val="left"/>
      </w:pPr>
      <w:bookmarkStart w:id="242" w:name="_Ref57920136"/>
      <w:bookmarkStart w:id="243" w:name="_Ref69310760"/>
      <w:bookmarkStart w:id="244" w:name="_Toc63758534"/>
    </w:p>
    <w:p w14:paraId="6633DC8C" w14:textId="77777777" w:rsidR="0014455D" w:rsidRPr="00EA59FE" w:rsidRDefault="0014455D" w:rsidP="0014455D">
      <w:pPr>
        <w:pStyle w:val="Captions"/>
        <w:rPr>
          <w:noProof/>
        </w:rPr>
      </w:pPr>
      <w:bookmarkStart w:id="245" w:name="_Ref95292000"/>
      <w:bookmarkStart w:id="246" w:name="_Toc101963874"/>
      <w:r>
        <w:rPr>
          <w:noProof/>
        </w:rPr>
        <w:t>T</w:t>
      </w:r>
      <w:r w:rsidRPr="00EA59FE">
        <w:rPr>
          <w:noProof/>
        </w:rPr>
        <w:t xml:space="preserve">able </w:t>
      </w:r>
      <w:r w:rsidRPr="00EA59FE">
        <w:rPr>
          <w:noProof/>
        </w:rPr>
        <w:fldChar w:fldCharType="begin"/>
      </w:r>
      <w:r w:rsidRPr="00EA59FE">
        <w:rPr>
          <w:noProof/>
        </w:rPr>
        <w:instrText xml:space="preserve"> SEQ Table \* ARABIC </w:instrText>
      </w:r>
      <w:r w:rsidRPr="00EA59FE">
        <w:rPr>
          <w:noProof/>
        </w:rPr>
        <w:fldChar w:fldCharType="separate"/>
      </w:r>
      <w:r>
        <w:rPr>
          <w:noProof/>
        </w:rPr>
        <w:t>16</w:t>
      </w:r>
      <w:r w:rsidRPr="00EA59FE">
        <w:rPr>
          <w:noProof/>
        </w:rPr>
        <w:fldChar w:fldCharType="end"/>
      </w:r>
      <w:bookmarkEnd w:id="242"/>
      <w:bookmarkEnd w:id="243"/>
      <w:bookmarkEnd w:id="245"/>
      <w:r w:rsidRPr="00EA59FE">
        <w:rPr>
          <w:noProof/>
        </w:rPr>
        <w:t xml:space="preserve">. Microinvertebrate </w:t>
      </w:r>
      <w:bookmarkEnd w:id="244"/>
      <w:r w:rsidRPr="005C2EC8">
        <w:rPr>
          <w:noProof/>
        </w:rPr>
        <w:t>prey species for fish larvae of large-bodied native species (Murray cod, golden perch and silver perch) identified from gut content analysis used in modelling fish prey species density.</w:t>
      </w:r>
      <w:bookmarkEnd w:id="246"/>
    </w:p>
    <w:tbl>
      <w:tblPr>
        <w:tblStyle w:val="TableGrid"/>
        <w:tblW w:w="816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5"/>
        <w:gridCol w:w="2154"/>
        <w:gridCol w:w="2452"/>
      </w:tblGrid>
      <w:tr w:rsidR="0014455D" w:rsidRPr="00D6433C" w14:paraId="30FA54F6" w14:textId="77777777" w:rsidTr="00902C23">
        <w:trPr>
          <w:trHeight w:val="340"/>
          <w:tblHeader/>
          <w:jc w:val="center"/>
        </w:trPr>
        <w:tc>
          <w:tcPr>
            <w:tcW w:w="3555" w:type="dxa"/>
            <w:tcBorders>
              <w:top w:val="single" w:sz="4" w:space="0" w:color="auto"/>
              <w:bottom w:val="single" w:sz="4" w:space="0" w:color="auto"/>
            </w:tcBorders>
            <w:vAlign w:val="bottom"/>
          </w:tcPr>
          <w:p w14:paraId="6EA0C5DE" w14:textId="77777777" w:rsidR="0014455D" w:rsidRPr="00D6433C" w:rsidRDefault="0014455D" w:rsidP="00902C23">
            <w:pPr>
              <w:pStyle w:val="TableHeading"/>
              <w:spacing w:before="0" w:after="0" w:line="240" w:lineRule="auto"/>
              <w:contextualSpacing/>
              <w:jc w:val="left"/>
              <w:rPr>
                <w:lang w:val="en-US"/>
              </w:rPr>
            </w:pPr>
            <w:r w:rsidRPr="00D6433C">
              <w:rPr>
                <w:lang w:val="en-US"/>
              </w:rPr>
              <w:t>Taxon</w:t>
            </w:r>
          </w:p>
        </w:tc>
        <w:tc>
          <w:tcPr>
            <w:tcW w:w="2154" w:type="dxa"/>
            <w:tcBorders>
              <w:top w:val="single" w:sz="4" w:space="0" w:color="auto"/>
              <w:bottom w:val="single" w:sz="4" w:space="0" w:color="auto"/>
            </w:tcBorders>
            <w:vAlign w:val="bottom"/>
          </w:tcPr>
          <w:p w14:paraId="28D3BBC7" w14:textId="77777777" w:rsidR="0014455D" w:rsidRPr="00D6433C" w:rsidRDefault="0014455D" w:rsidP="00902C23">
            <w:pPr>
              <w:pStyle w:val="TableHeading"/>
              <w:spacing w:before="0" w:after="0" w:line="240" w:lineRule="auto"/>
              <w:contextualSpacing/>
              <w:jc w:val="left"/>
              <w:rPr>
                <w:lang w:val="en-US"/>
              </w:rPr>
            </w:pPr>
            <w:r w:rsidRPr="00D6433C">
              <w:rPr>
                <w:lang w:val="en-US"/>
              </w:rPr>
              <w:t>Family</w:t>
            </w:r>
          </w:p>
        </w:tc>
        <w:tc>
          <w:tcPr>
            <w:tcW w:w="2452" w:type="dxa"/>
            <w:tcBorders>
              <w:top w:val="single" w:sz="4" w:space="0" w:color="auto"/>
              <w:bottom w:val="single" w:sz="4" w:space="0" w:color="auto"/>
            </w:tcBorders>
            <w:vAlign w:val="bottom"/>
          </w:tcPr>
          <w:p w14:paraId="5DD78AF2" w14:textId="77777777" w:rsidR="0014455D" w:rsidRPr="00D6433C" w:rsidRDefault="0014455D" w:rsidP="00902C23">
            <w:pPr>
              <w:pStyle w:val="TableHeading"/>
              <w:spacing w:before="0" w:after="0" w:line="240" w:lineRule="auto"/>
              <w:contextualSpacing/>
              <w:jc w:val="left"/>
              <w:rPr>
                <w:lang w:val="en-US"/>
              </w:rPr>
            </w:pPr>
            <w:r>
              <w:rPr>
                <w:lang w:val="en-US"/>
              </w:rPr>
              <w:t>Phylum/Order</w:t>
            </w:r>
          </w:p>
        </w:tc>
      </w:tr>
      <w:tr w:rsidR="0014455D" w:rsidRPr="00D6433C" w14:paraId="10B717B1" w14:textId="77777777" w:rsidTr="00902C23">
        <w:trPr>
          <w:trHeight w:val="340"/>
          <w:jc w:val="center"/>
        </w:trPr>
        <w:tc>
          <w:tcPr>
            <w:tcW w:w="3555" w:type="dxa"/>
            <w:vAlign w:val="bottom"/>
          </w:tcPr>
          <w:p w14:paraId="0E9A1C30" w14:textId="77777777" w:rsidR="0014455D" w:rsidRPr="00D6433C" w:rsidRDefault="0014455D" w:rsidP="00902C23">
            <w:pPr>
              <w:pStyle w:val="TableHeading"/>
              <w:spacing w:before="0" w:after="0" w:line="240" w:lineRule="auto"/>
              <w:contextualSpacing/>
              <w:jc w:val="left"/>
              <w:rPr>
                <w:i/>
                <w:iCs/>
                <w:lang w:val="en-US"/>
              </w:rPr>
            </w:pPr>
            <w:r w:rsidRPr="00D6433C">
              <w:rPr>
                <w:i/>
                <w:iCs/>
                <w:lang w:val="en-US"/>
              </w:rPr>
              <w:t>Bosmina meridionalis</w:t>
            </w:r>
            <w:r>
              <w:rPr>
                <w:i/>
                <w:iCs/>
                <w:lang w:val="en-US"/>
              </w:rPr>
              <w:t xml:space="preserve"> </w:t>
            </w:r>
          </w:p>
        </w:tc>
        <w:tc>
          <w:tcPr>
            <w:tcW w:w="2154" w:type="dxa"/>
            <w:vAlign w:val="bottom"/>
          </w:tcPr>
          <w:p w14:paraId="49382777" w14:textId="77777777" w:rsidR="0014455D" w:rsidRPr="00D6433C" w:rsidRDefault="0014455D" w:rsidP="00902C23">
            <w:pPr>
              <w:pStyle w:val="TableText"/>
              <w:spacing w:before="0" w:after="0" w:line="240" w:lineRule="auto"/>
              <w:contextualSpacing/>
              <w:jc w:val="left"/>
              <w:rPr>
                <w:lang w:val="en-US"/>
              </w:rPr>
            </w:pPr>
            <w:r w:rsidRPr="00D6433C">
              <w:rPr>
                <w:lang w:val="en-US"/>
              </w:rPr>
              <w:t>Bosminidae</w:t>
            </w:r>
          </w:p>
        </w:tc>
        <w:tc>
          <w:tcPr>
            <w:tcW w:w="2452" w:type="dxa"/>
            <w:vAlign w:val="bottom"/>
          </w:tcPr>
          <w:p w14:paraId="0A4EEBC2" w14:textId="77777777" w:rsidR="0014455D" w:rsidRPr="00D6433C" w:rsidRDefault="0014455D" w:rsidP="00902C23">
            <w:pPr>
              <w:pStyle w:val="TableText"/>
              <w:spacing w:before="0" w:after="0" w:line="240" w:lineRule="auto"/>
              <w:contextualSpacing/>
              <w:jc w:val="left"/>
              <w:rPr>
                <w:lang w:val="en-US"/>
              </w:rPr>
            </w:pPr>
            <w:r w:rsidRPr="00D6433C">
              <w:rPr>
                <w:lang w:val="en-US"/>
              </w:rPr>
              <w:t>Cladocera</w:t>
            </w:r>
          </w:p>
        </w:tc>
      </w:tr>
      <w:tr w:rsidR="0014455D" w:rsidRPr="00D6433C" w14:paraId="5902BD96" w14:textId="77777777" w:rsidTr="00902C23">
        <w:trPr>
          <w:trHeight w:val="340"/>
          <w:jc w:val="center"/>
        </w:trPr>
        <w:tc>
          <w:tcPr>
            <w:tcW w:w="3555" w:type="dxa"/>
            <w:vAlign w:val="bottom"/>
          </w:tcPr>
          <w:p w14:paraId="5B14AD34" w14:textId="77777777" w:rsidR="0014455D" w:rsidRPr="00D6433C" w:rsidRDefault="0014455D" w:rsidP="00902C23">
            <w:pPr>
              <w:pStyle w:val="TableHeading"/>
              <w:spacing w:before="0" w:after="0" w:line="240" w:lineRule="auto"/>
              <w:contextualSpacing/>
              <w:jc w:val="left"/>
              <w:rPr>
                <w:i/>
                <w:iCs/>
                <w:lang w:val="en-US"/>
              </w:rPr>
            </w:pPr>
            <w:r w:rsidRPr="00D6433C">
              <w:rPr>
                <w:i/>
                <w:iCs/>
                <w:lang w:val="en-US"/>
              </w:rPr>
              <w:t xml:space="preserve">Ceriodaphnia </w:t>
            </w:r>
            <w:r w:rsidRPr="00940BEB">
              <w:rPr>
                <w:lang w:val="en-US"/>
              </w:rPr>
              <w:t>species</w:t>
            </w:r>
            <w:r>
              <w:rPr>
                <w:i/>
                <w:iCs/>
                <w:lang w:val="en-US"/>
              </w:rPr>
              <w:t xml:space="preserve"> </w:t>
            </w:r>
          </w:p>
        </w:tc>
        <w:tc>
          <w:tcPr>
            <w:tcW w:w="2154" w:type="dxa"/>
            <w:vAlign w:val="bottom"/>
          </w:tcPr>
          <w:p w14:paraId="43457DCE" w14:textId="77777777" w:rsidR="0014455D" w:rsidRPr="00D6433C" w:rsidRDefault="0014455D" w:rsidP="00902C23">
            <w:pPr>
              <w:pStyle w:val="TableText"/>
              <w:spacing w:before="0" w:after="0" w:line="240" w:lineRule="auto"/>
              <w:contextualSpacing/>
              <w:jc w:val="left"/>
              <w:rPr>
                <w:lang w:val="en-US"/>
              </w:rPr>
            </w:pPr>
            <w:r w:rsidRPr="00D6433C">
              <w:rPr>
                <w:lang w:val="en-US"/>
              </w:rPr>
              <w:t>Daphnidae</w:t>
            </w:r>
          </w:p>
        </w:tc>
        <w:tc>
          <w:tcPr>
            <w:tcW w:w="2452" w:type="dxa"/>
            <w:vAlign w:val="bottom"/>
          </w:tcPr>
          <w:p w14:paraId="5BF8207A" w14:textId="77777777" w:rsidR="0014455D" w:rsidRPr="00D6433C" w:rsidRDefault="0014455D" w:rsidP="00902C23">
            <w:pPr>
              <w:pStyle w:val="TableText"/>
              <w:spacing w:before="0" w:after="0" w:line="240" w:lineRule="auto"/>
              <w:contextualSpacing/>
              <w:jc w:val="left"/>
              <w:rPr>
                <w:lang w:val="en-US"/>
              </w:rPr>
            </w:pPr>
            <w:r w:rsidRPr="00D6433C">
              <w:rPr>
                <w:lang w:val="en-US"/>
              </w:rPr>
              <w:t>Cladocera</w:t>
            </w:r>
          </w:p>
        </w:tc>
      </w:tr>
      <w:tr w:rsidR="0014455D" w:rsidRPr="00D6433C" w14:paraId="04FFFFAA" w14:textId="77777777" w:rsidTr="00902C23">
        <w:trPr>
          <w:trHeight w:val="340"/>
          <w:jc w:val="center"/>
        </w:trPr>
        <w:tc>
          <w:tcPr>
            <w:tcW w:w="3555" w:type="dxa"/>
            <w:vAlign w:val="bottom"/>
          </w:tcPr>
          <w:p w14:paraId="59301874" w14:textId="77777777" w:rsidR="0014455D" w:rsidRPr="00D6433C" w:rsidRDefault="0014455D" w:rsidP="00902C23">
            <w:pPr>
              <w:pStyle w:val="TableHeading"/>
              <w:spacing w:before="0" w:after="0" w:line="240" w:lineRule="auto"/>
              <w:contextualSpacing/>
              <w:jc w:val="left"/>
              <w:rPr>
                <w:i/>
                <w:iCs/>
                <w:lang w:val="en-US"/>
              </w:rPr>
            </w:pPr>
            <w:r w:rsidRPr="00D6433C">
              <w:rPr>
                <w:i/>
                <w:iCs/>
                <w:lang w:val="en-US"/>
              </w:rPr>
              <w:t xml:space="preserve">Daphnia </w:t>
            </w:r>
            <w:r w:rsidRPr="00940BEB">
              <w:rPr>
                <w:lang w:val="en-US"/>
              </w:rPr>
              <w:t>species</w:t>
            </w:r>
            <w:r>
              <w:rPr>
                <w:i/>
                <w:iCs/>
                <w:lang w:val="en-US"/>
              </w:rPr>
              <w:t xml:space="preserve"> </w:t>
            </w:r>
          </w:p>
        </w:tc>
        <w:tc>
          <w:tcPr>
            <w:tcW w:w="2154" w:type="dxa"/>
            <w:vAlign w:val="bottom"/>
          </w:tcPr>
          <w:p w14:paraId="252708BD" w14:textId="77777777" w:rsidR="0014455D" w:rsidRPr="00D6433C" w:rsidRDefault="0014455D" w:rsidP="00902C23">
            <w:pPr>
              <w:pStyle w:val="TableText"/>
              <w:spacing w:before="0" w:after="0" w:line="240" w:lineRule="auto"/>
              <w:contextualSpacing/>
              <w:jc w:val="left"/>
              <w:rPr>
                <w:lang w:val="en-US"/>
              </w:rPr>
            </w:pPr>
            <w:r w:rsidRPr="00D6433C">
              <w:rPr>
                <w:lang w:val="en-US"/>
              </w:rPr>
              <w:t>Daphnidae</w:t>
            </w:r>
          </w:p>
        </w:tc>
        <w:tc>
          <w:tcPr>
            <w:tcW w:w="2452" w:type="dxa"/>
            <w:vAlign w:val="bottom"/>
          </w:tcPr>
          <w:p w14:paraId="6586F208" w14:textId="77777777" w:rsidR="0014455D" w:rsidRPr="00D6433C" w:rsidRDefault="0014455D" w:rsidP="00902C23">
            <w:pPr>
              <w:pStyle w:val="TableText"/>
              <w:spacing w:before="0" w:after="0" w:line="240" w:lineRule="auto"/>
              <w:contextualSpacing/>
              <w:jc w:val="left"/>
              <w:rPr>
                <w:lang w:val="en-US"/>
              </w:rPr>
            </w:pPr>
            <w:r w:rsidRPr="00D6433C">
              <w:rPr>
                <w:lang w:val="en-US"/>
              </w:rPr>
              <w:t>Cladocera</w:t>
            </w:r>
          </w:p>
        </w:tc>
      </w:tr>
      <w:tr w:rsidR="0014455D" w:rsidRPr="00D6433C" w14:paraId="65B7B68A" w14:textId="77777777" w:rsidTr="00902C23">
        <w:trPr>
          <w:trHeight w:val="340"/>
          <w:jc w:val="center"/>
        </w:trPr>
        <w:tc>
          <w:tcPr>
            <w:tcW w:w="3555" w:type="dxa"/>
            <w:vAlign w:val="bottom"/>
          </w:tcPr>
          <w:p w14:paraId="6BFFDFAB" w14:textId="77777777" w:rsidR="0014455D" w:rsidRPr="00D6433C" w:rsidRDefault="0014455D" w:rsidP="00902C23">
            <w:pPr>
              <w:pStyle w:val="TableHeading"/>
              <w:spacing w:before="0" w:after="0" w:line="240" w:lineRule="auto"/>
              <w:contextualSpacing/>
              <w:jc w:val="left"/>
              <w:rPr>
                <w:i/>
                <w:iCs/>
                <w:lang w:val="en-US"/>
              </w:rPr>
            </w:pPr>
            <w:r>
              <w:rPr>
                <w:i/>
                <w:iCs/>
                <w:lang w:val="en-US"/>
              </w:rPr>
              <w:t xml:space="preserve">Chydoridae </w:t>
            </w:r>
            <w:r w:rsidRPr="00940BEB">
              <w:rPr>
                <w:lang w:val="en-US"/>
              </w:rPr>
              <w:t>species</w:t>
            </w:r>
            <w:r>
              <w:rPr>
                <w:lang w:val="en-US"/>
              </w:rPr>
              <w:t xml:space="preserve"> </w:t>
            </w:r>
          </w:p>
        </w:tc>
        <w:tc>
          <w:tcPr>
            <w:tcW w:w="2154" w:type="dxa"/>
            <w:vAlign w:val="bottom"/>
          </w:tcPr>
          <w:p w14:paraId="523484D4" w14:textId="77777777" w:rsidR="0014455D" w:rsidRPr="00D6433C" w:rsidRDefault="0014455D" w:rsidP="00902C23">
            <w:pPr>
              <w:pStyle w:val="TableText"/>
              <w:spacing w:before="0" w:after="0" w:line="240" w:lineRule="auto"/>
              <w:contextualSpacing/>
              <w:jc w:val="left"/>
              <w:rPr>
                <w:lang w:val="en-US"/>
              </w:rPr>
            </w:pPr>
            <w:r>
              <w:rPr>
                <w:lang w:val="en-US"/>
              </w:rPr>
              <w:t>Chydoridae</w:t>
            </w:r>
          </w:p>
        </w:tc>
        <w:tc>
          <w:tcPr>
            <w:tcW w:w="2452" w:type="dxa"/>
            <w:vAlign w:val="bottom"/>
          </w:tcPr>
          <w:p w14:paraId="43D88D76" w14:textId="77777777" w:rsidR="0014455D" w:rsidRPr="00D6433C" w:rsidRDefault="0014455D" w:rsidP="00902C23">
            <w:pPr>
              <w:pStyle w:val="TableText"/>
              <w:spacing w:before="0" w:after="0" w:line="240" w:lineRule="auto"/>
              <w:contextualSpacing/>
              <w:jc w:val="left"/>
              <w:rPr>
                <w:lang w:val="en-US"/>
              </w:rPr>
            </w:pPr>
            <w:r w:rsidRPr="00276612">
              <w:t>Cladocera</w:t>
            </w:r>
          </w:p>
        </w:tc>
      </w:tr>
      <w:tr w:rsidR="0014455D" w:rsidRPr="00A35CF4" w14:paraId="47CBEC7D" w14:textId="77777777" w:rsidTr="00902C23">
        <w:trPr>
          <w:trHeight w:val="340"/>
          <w:jc w:val="center"/>
        </w:trPr>
        <w:tc>
          <w:tcPr>
            <w:tcW w:w="3555" w:type="dxa"/>
            <w:vAlign w:val="bottom"/>
          </w:tcPr>
          <w:p w14:paraId="53E2C1B2" w14:textId="77777777" w:rsidR="0014455D" w:rsidRPr="00A35CF4" w:rsidRDefault="0014455D" w:rsidP="00902C23">
            <w:pPr>
              <w:pStyle w:val="TableHeading"/>
              <w:spacing w:before="0" w:after="0" w:line="240" w:lineRule="auto"/>
              <w:contextualSpacing/>
              <w:jc w:val="left"/>
              <w:rPr>
                <w:i/>
                <w:iCs/>
                <w:lang w:val="en-US"/>
              </w:rPr>
            </w:pPr>
            <w:r>
              <w:rPr>
                <w:i/>
                <w:iCs/>
                <w:lang w:val="en-US"/>
              </w:rPr>
              <w:t xml:space="preserve">Ilyocryptidae </w:t>
            </w:r>
            <w:r w:rsidRPr="00940BEB">
              <w:rPr>
                <w:lang w:val="en-US"/>
              </w:rPr>
              <w:t>species</w:t>
            </w:r>
            <w:r>
              <w:rPr>
                <w:i/>
                <w:iCs/>
                <w:lang w:val="en-US"/>
              </w:rPr>
              <w:t xml:space="preserve"> </w:t>
            </w:r>
          </w:p>
        </w:tc>
        <w:tc>
          <w:tcPr>
            <w:tcW w:w="2154" w:type="dxa"/>
            <w:vAlign w:val="bottom"/>
          </w:tcPr>
          <w:p w14:paraId="3D2DA347" w14:textId="77777777" w:rsidR="0014455D" w:rsidRDefault="0014455D" w:rsidP="00902C23">
            <w:pPr>
              <w:pStyle w:val="TableText"/>
              <w:spacing w:before="0" w:after="0" w:line="240" w:lineRule="auto"/>
              <w:contextualSpacing/>
              <w:jc w:val="left"/>
              <w:rPr>
                <w:lang w:val="en-US"/>
              </w:rPr>
            </w:pPr>
            <w:r w:rsidRPr="004C6C5A">
              <w:t>Ilyocryptidae</w:t>
            </w:r>
          </w:p>
        </w:tc>
        <w:tc>
          <w:tcPr>
            <w:tcW w:w="2452" w:type="dxa"/>
            <w:vAlign w:val="bottom"/>
          </w:tcPr>
          <w:p w14:paraId="1ADDBDED" w14:textId="77777777" w:rsidR="0014455D" w:rsidRPr="00A35CF4" w:rsidRDefault="0014455D" w:rsidP="00902C23">
            <w:pPr>
              <w:pStyle w:val="TableText"/>
              <w:spacing w:before="0" w:after="0" w:line="240" w:lineRule="auto"/>
              <w:contextualSpacing/>
              <w:jc w:val="left"/>
              <w:rPr>
                <w:lang w:val="en-US"/>
              </w:rPr>
            </w:pPr>
            <w:r>
              <w:t>Cl</w:t>
            </w:r>
            <w:r w:rsidRPr="004C6C5A">
              <w:t>adocera</w:t>
            </w:r>
          </w:p>
        </w:tc>
      </w:tr>
      <w:tr w:rsidR="0014455D" w:rsidRPr="00D6433C" w14:paraId="06E78F62" w14:textId="77777777" w:rsidTr="00902C23">
        <w:trPr>
          <w:trHeight w:val="340"/>
          <w:jc w:val="center"/>
        </w:trPr>
        <w:tc>
          <w:tcPr>
            <w:tcW w:w="3555" w:type="dxa"/>
            <w:vAlign w:val="bottom"/>
          </w:tcPr>
          <w:p w14:paraId="753C4482" w14:textId="77777777" w:rsidR="0014455D" w:rsidRPr="00D6433C" w:rsidRDefault="0014455D" w:rsidP="00902C23">
            <w:pPr>
              <w:pStyle w:val="TableHeading"/>
              <w:spacing w:before="0" w:after="0" w:line="240" w:lineRule="auto"/>
              <w:contextualSpacing/>
              <w:jc w:val="left"/>
              <w:rPr>
                <w:i/>
                <w:iCs/>
                <w:lang w:val="en-US"/>
              </w:rPr>
            </w:pPr>
            <w:r>
              <w:rPr>
                <w:i/>
                <w:iCs/>
                <w:lang w:val="en-US"/>
              </w:rPr>
              <w:t xml:space="preserve">Macrothricidae </w:t>
            </w:r>
            <w:r w:rsidRPr="00940BEB">
              <w:rPr>
                <w:lang w:val="en-US"/>
              </w:rPr>
              <w:t>species</w:t>
            </w:r>
            <w:r>
              <w:rPr>
                <w:i/>
                <w:iCs/>
                <w:lang w:val="en-US"/>
              </w:rPr>
              <w:t xml:space="preserve"> </w:t>
            </w:r>
          </w:p>
        </w:tc>
        <w:tc>
          <w:tcPr>
            <w:tcW w:w="2154" w:type="dxa"/>
            <w:vAlign w:val="bottom"/>
          </w:tcPr>
          <w:p w14:paraId="241D2BE9" w14:textId="77777777" w:rsidR="0014455D" w:rsidRPr="00D6433C" w:rsidRDefault="0014455D" w:rsidP="00902C23">
            <w:pPr>
              <w:pStyle w:val="TableText"/>
              <w:spacing w:before="0" w:after="0" w:line="240" w:lineRule="auto"/>
              <w:contextualSpacing/>
              <w:jc w:val="left"/>
              <w:rPr>
                <w:lang w:val="en-US"/>
              </w:rPr>
            </w:pPr>
            <w:r w:rsidRPr="005D2CED">
              <w:rPr>
                <w:lang w:val="en-US"/>
              </w:rPr>
              <w:t>Macrothricidae</w:t>
            </w:r>
          </w:p>
        </w:tc>
        <w:tc>
          <w:tcPr>
            <w:tcW w:w="2452" w:type="dxa"/>
            <w:vAlign w:val="bottom"/>
          </w:tcPr>
          <w:p w14:paraId="0E2A46B7" w14:textId="77777777" w:rsidR="0014455D" w:rsidRPr="00D6433C" w:rsidRDefault="0014455D" w:rsidP="00902C23">
            <w:pPr>
              <w:pStyle w:val="TableText"/>
              <w:spacing w:before="0" w:after="0" w:line="240" w:lineRule="auto"/>
              <w:contextualSpacing/>
              <w:jc w:val="left"/>
              <w:rPr>
                <w:lang w:val="en-US"/>
              </w:rPr>
            </w:pPr>
            <w:r w:rsidRPr="00276612">
              <w:t>Cladocera</w:t>
            </w:r>
          </w:p>
        </w:tc>
      </w:tr>
      <w:tr w:rsidR="0014455D" w:rsidRPr="00D6433C" w14:paraId="1C8CC2BB" w14:textId="77777777" w:rsidTr="00902C23">
        <w:trPr>
          <w:trHeight w:val="340"/>
          <w:jc w:val="center"/>
        </w:trPr>
        <w:tc>
          <w:tcPr>
            <w:tcW w:w="3555" w:type="dxa"/>
            <w:vAlign w:val="bottom"/>
          </w:tcPr>
          <w:p w14:paraId="7C745F37" w14:textId="77777777" w:rsidR="0014455D" w:rsidRPr="00D6433C" w:rsidRDefault="0014455D" w:rsidP="00902C23">
            <w:pPr>
              <w:pStyle w:val="TableHeading"/>
              <w:spacing w:before="0" w:after="0" w:line="240" w:lineRule="auto"/>
              <w:contextualSpacing/>
              <w:jc w:val="left"/>
              <w:rPr>
                <w:i/>
                <w:iCs/>
                <w:lang w:val="en-US"/>
              </w:rPr>
            </w:pPr>
            <w:r>
              <w:rPr>
                <w:i/>
                <w:iCs/>
                <w:lang w:val="en-US"/>
              </w:rPr>
              <w:t xml:space="preserve">Moinidae </w:t>
            </w:r>
            <w:r w:rsidRPr="00940BEB">
              <w:rPr>
                <w:lang w:val="en-US"/>
              </w:rPr>
              <w:t>species</w:t>
            </w:r>
            <w:r>
              <w:rPr>
                <w:i/>
                <w:iCs/>
                <w:lang w:val="en-US"/>
              </w:rPr>
              <w:t xml:space="preserve"> </w:t>
            </w:r>
          </w:p>
        </w:tc>
        <w:tc>
          <w:tcPr>
            <w:tcW w:w="2154" w:type="dxa"/>
            <w:vAlign w:val="bottom"/>
          </w:tcPr>
          <w:p w14:paraId="1775BF2A" w14:textId="77777777" w:rsidR="0014455D" w:rsidRPr="00D6433C" w:rsidRDefault="0014455D" w:rsidP="00902C23">
            <w:pPr>
              <w:pStyle w:val="TableText"/>
              <w:spacing w:before="0" w:after="0" w:line="240" w:lineRule="auto"/>
              <w:contextualSpacing/>
              <w:jc w:val="left"/>
              <w:rPr>
                <w:lang w:val="en-US"/>
              </w:rPr>
            </w:pPr>
            <w:r>
              <w:rPr>
                <w:lang w:val="en-US"/>
              </w:rPr>
              <w:t>Moinidae</w:t>
            </w:r>
          </w:p>
        </w:tc>
        <w:tc>
          <w:tcPr>
            <w:tcW w:w="2452" w:type="dxa"/>
            <w:vAlign w:val="bottom"/>
          </w:tcPr>
          <w:p w14:paraId="1B335D3E" w14:textId="77777777" w:rsidR="0014455D" w:rsidRPr="00D6433C" w:rsidRDefault="0014455D" w:rsidP="00902C23">
            <w:pPr>
              <w:pStyle w:val="TableText"/>
              <w:spacing w:before="0" w:after="0" w:line="240" w:lineRule="auto"/>
              <w:contextualSpacing/>
              <w:jc w:val="left"/>
              <w:rPr>
                <w:lang w:val="en-US"/>
              </w:rPr>
            </w:pPr>
            <w:r w:rsidRPr="00276612">
              <w:t>Cladocera</w:t>
            </w:r>
          </w:p>
        </w:tc>
      </w:tr>
      <w:tr w:rsidR="0014455D" w:rsidRPr="00D6433C" w14:paraId="7983D1A9" w14:textId="77777777" w:rsidTr="00902C23">
        <w:trPr>
          <w:trHeight w:val="340"/>
          <w:jc w:val="center"/>
        </w:trPr>
        <w:tc>
          <w:tcPr>
            <w:tcW w:w="3555" w:type="dxa"/>
            <w:vAlign w:val="bottom"/>
          </w:tcPr>
          <w:p w14:paraId="5F17440B" w14:textId="77777777" w:rsidR="0014455D" w:rsidRPr="00D6433C" w:rsidRDefault="0014455D" w:rsidP="00902C23">
            <w:pPr>
              <w:pStyle w:val="TableHeading"/>
              <w:spacing w:before="0" w:after="0" w:line="240" w:lineRule="auto"/>
              <w:contextualSpacing/>
              <w:jc w:val="left"/>
              <w:rPr>
                <w:i/>
                <w:iCs/>
                <w:lang w:val="en-US"/>
              </w:rPr>
            </w:pPr>
            <w:r>
              <w:rPr>
                <w:i/>
                <w:iCs/>
                <w:lang w:val="en-US"/>
              </w:rPr>
              <w:t xml:space="preserve">Neotrichidae </w:t>
            </w:r>
            <w:r w:rsidRPr="00940BEB">
              <w:rPr>
                <w:lang w:val="en-US"/>
              </w:rPr>
              <w:t>species</w:t>
            </w:r>
            <w:r>
              <w:rPr>
                <w:i/>
                <w:iCs/>
                <w:lang w:val="en-US"/>
              </w:rPr>
              <w:t xml:space="preserve"> </w:t>
            </w:r>
          </w:p>
        </w:tc>
        <w:tc>
          <w:tcPr>
            <w:tcW w:w="2154" w:type="dxa"/>
            <w:vAlign w:val="bottom"/>
          </w:tcPr>
          <w:p w14:paraId="1A9A381C" w14:textId="77777777" w:rsidR="0014455D" w:rsidRPr="00D6433C" w:rsidRDefault="0014455D" w:rsidP="00902C23">
            <w:pPr>
              <w:pStyle w:val="TableText"/>
              <w:spacing w:before="0" w:after="0" w:line="240" w:lineRule="auto"/>
              <w:contextualSpacing/>
              <w:jc w:val="left"/>
              <w:rPr>
                <w:lang w:val="en-US"/>
              </w:rPr>
            </w:pPr>
            <w:r w:rsidRPr="00B02158">
              <w:rPr>
                <w:lang w:val="en-US"/>
              </w:rPr>
              <w:t>Neotrichidae</w:t>
            </w:r>
          </w:p>
        </w:tc>
        <w:tc>
          <w:tcPr>
            <w:tcW w:w="2452" w:type="dxa"/>
            <w:vAlign w:val="bottom"/>
          </w:tcPr>
          <w:p w14:paraId="2967430B" w14:textId="77777777" w:rsidR="0014455D" w:rsidRPr="00D6433C" w:rsidRDefault="0014455D" w:rsidP="00902C23">
            <w:pPr>
              <w:pStyle w:val="TableText"/>
              <w:spacing w:before="0" w:after="0" w:line="240" w:lineRule="auto"/>
              <w:contextualSpacing/>
              <w:jc w:val="left"/>
              <w:rPr>
                <w:lang w:val="en-US"/>
              </w:rPr>
            </w:pPr>
            <w:r w:rsidRPr="00D6433C">
              <w:rPr>
                <w:lang w:val="en-US"/>
              </w:rPr>
              <w:t>Cladocera</w:t>
            </w:r>
          </w:p>
        </w:tc>
      </w:tr>
      <w:tr w:rsidR="0014455D" w:rsidRPr="00D6433C" w14:paraId="5B132AD6" w14:textId="77777777" w:rsidTr="00902C23">
        <w:trPr>
          <w:trHeight w:val="340"/>
          <w:jc w:val="center"/>
        </w:trPr>
        <w:tc>
          <w:tcPr>
            <w:tcW w:w="3555" w:type="dxa"/>
            <w:vAlign w:val="bottom"/>
          </w:tcPr>
          <w:p w14:paraId="510F4A56" w14:textId="77777777" w:rsidR="0014455D" w:rsidRPr="00F95667" w:rsidRDefault="0014455D" w:rsidP="00902C23">
            <w:pPr>
              <w:pStyle w:val="TableHeading"/>
              <w:spacing w:before="0" w:after="0" w:line="240" w:lineRule="auto"/>
              <w:contextualSpacing/>
              <w:jc w:val="left"/>
              <w:rPr>
                <w:i/>
                <w:iCs/>
                <w:lang w:val="en-US"/>
              </w:rPr>
            </w:pPr>
            <w:r>
              <w:rPr>
                <w:i/>
                <w:iCs/>
                <w:lang w:val="en-US"/>
              </w:rPr>
              <w:t xml:space="preserve">Sididae </w:t>
            </w:r>
            <w:r w:rsidRPr="00940BEB">
              <w:rPr>
                <w:lang w:val="en-US"/>
              </w:rPr>
              <w:t>species</w:t>
            </w:r>
            <w:r>
              <w:rPr>
                <w:i/>
                <w:iCs/>
                <w:lang w:val="en-US"/>
              </w:rPr>
              <w:t xml:space="preserve"> </w:t>
            </w:r>
          </w:p>
        </w:tc>
        <w:tc>
          <w:tcPr>
            <w:tcW w:w="2154" w:type="dxa"/>
            <w:vAlign w:val="bottom"/>
          </w:tcPr>
          <w:p w14:paraId="52A3AE84" w14:textId="77777777" w:rsidR="0014455D" w:rsidRPr="00B02158" w:rsidRDefault="0014455D" w:rsidP="00902C23">
            <w:pPr>
              <w:pStyle w:val="TableText"/>
              <w:spacing w:before="0" w:after="0" w:line="240" w:lineRule="auto"/>
              <w:contextualSpacing/>
              <w:jc w:val="left"/>
              <w:rPr>
                <w:lang w:val="en-US"/>
              </w:rPr>
            </w:pPr>
            <w:r w:rsidRPr="005D2CED">
              <w:rPr>
                <w:lang w:val="en-US"/>
              </w:rPr>
              <w:t>Sididae</w:t>
            </w:r>
          </w:p>
        </w:tc>
        <w:tc>
          <w:tcPr>
            <w:tcW w:w="2452" w:type="dxa"/>
            <w:vAlign w:val="bottom"/>
          </w:tcPr>
          <w:p w14:paraId="6C6ADFA8" w14:textId="77777777" w:rsidR="0014455D" w:rsidRPr="00D6433C" w:rsidRDefault="0014455D" w:rsidP="00902C23">
            <w:pPr>
              <w:pStyle w:val="TableText"/>
              <w:spacing w:before="0" w:after="0" w:line="240" w:lineRule="auto"/>
              <w:contextualSpacing/>
              <w:jc w:val="left"/>
              <w:rPr>
                <w:lang w:val="en-US"/>
              </w:rPr>
            </w:pPr>
            <w:r w:rsidRPr="00A35CF4">
              <w:rPr>
                <w:lang w:val="en-US"/>
              </w:rPr>
              <w:t>Cladocera</w:t>
            </w:r>
          </w:p>
        </w:tc>
      </w:tr>
      <w:tr w:rsidR="0014455D" w:rsidRPr="00A35CF4" w14:paraId="1EF69152" w14:textId="77777777" w:rsidTr="00902C23">
        <w:trPr>
          <w:trHeight w:val="340"/>
          <w:jc w:val="center"/>
        </w:trPr>
        <w:tc>
          <w:tcPr>
            <w:tcW w:w="3555" w:type="dxa"/>
            <w:vAlign w:val="bottom"/>
          </w:tcPr>
          <w:p w14:paraId="095F48DC" w14:textId="77777777" w:rsidR="0014455D" w:rsidRPr="00A35CF4" w:rsidRDefault="0014455D" w:rsidP="00902C23">
            <w:pPr>
              <w:pStyle w:val="TableHeading"/>
              <w:spacing w:before="0" w:after="0" w:line="240" w:lineRule="auto"/>
              <w:contextualSpacing/>
              <w:jc w:val="left"/>
              <w:rPr>
                <w:i/>
                <w:iCs/>
                <w:lang w:val="en-US"/>
              </w:rPr>
            </w:pPr>
            <w:r w:rsidRPr="00D6433C">
              <w:rPr>
                <w:i/>
                <w:iCs/>
                <w:lang w:val="en-US"/>
              </w:rPr>
              <w:t>Boeckella triarticulata</w:t>
            </w:r>
            <w:r>
              <w:rPr>
                <w:i/>
                <w:iCs/>
                <w:lang w:val="en-US"/>
              </w:rPr>
              <w:t xml:space="preserve"> </w:t>
            </w:r>
          </w:p>
        </w:tc>
        <w:tc>
          <w:tcPr>
            <w:tcW w:w="2154" w:type="dxa"/>
            <w:vAlign w:val="bottom"/>
          </w:tcPr>
          <w:p w14:paraId="277ACFBA" w14:textId="77777777" w:rsidR="0014455D" w:rsidRPr="005D2CED" w:rsidRDefault="0014455D" w:rsidP="00902C23">
            <w:pPr>
              <w:pStyle w:val="TableText"/>
              <w:spacing w:before="0" w:after="0" w:line="240" w:lineRule="auto"/>
              <w:contextualSpacing/>
              <w:jc w:val="left"/>
              <w:rPr>
                <w:lang w:val="en-US"/>
              </w:rPr>
            </w:pPr>
            <w:r w:rsidRPr="00D6433C">
              <w:rPr>
                <w:lang w:val="en-US"/>
              </w:rPr>
              <w:t>Centropagidae</w:t>
            </w:r>
          </w:p>
        </w:tc>
        <w:tc>
          <w:tcPr>
            <w:tcW w:w="2452" w:type="dxa"/>
            <w:vAlign w:val="bottom"/>
          </w:tcPr>
          <w:p w14:paraId="2D7FE811" w14:textId="77777777" w:rsidR="0014455D" w:rsidRPr="00A35CF4" w:rsidRDefault="0014455D" w:rsidP="00902C23">
            <w:pPr>
              <w:pStyle w:val="TableText"/>
              <w:spacing w:before="0" w:after="0" w:line="240" w:lineRule="auto"/>
              <w:contextualSpacing/>
              <w:jc w:val="left"/>
              <w:rPr>
                <w:lang w:val="en-US"/>
              </w:rPr>
            </w:pPr>
            <w:r w:rsidRPr="00D6433C">
              <w:rPr>
                <w:lang w:val="en-US"/>
              </w:rPr>
              <w:t xml:space="preserve">Calanoida </w:t>
            </w:r>
          </w:p>
        </w:tc>
      </w:tr>
      <w:tr w:rsidR="0014455D" w:rsidRPr="00A35CF4" w14:paraId="5F9F8561" w14:textId="77777777" w:rsidTr="00902C23">
        <w:trPr>
          <w:trHeight w:val="340"/>
          <w:jc w:val="center"/>
        </w:trPr>
        <w:tc>
          <w:tcPr>
            <w:tcW w:w="3555" w:type="dxa"/>
            <w:vAlign w:val="bottom"/>
          </w:tcPr>
          <w:p w14:paraId="7431B2A7" w14:textId="77777777" w:rsidR="0014455D" w:rsidRPr="00A35CF4" w:rsidRDefault="0014455D" w:rsidP="00902C23">
            <w:pPr>
              <w:pStyle w:val="TableHeading"/>
              <w:spacing w:before="0" w:after="0" w:line="240" w:lineRule="auto"/>
              <w:contextualSpacing/>
              <w:jc w:val="left"/>
              <w:rPr>
                <w:i/>
                <w:iCs/>
                <w:lang w:val="en-US"/>
              </w:rPr>
            </w:pPr>
            <w:r w:rsidRPr="00D6433C">
              <w:rPr>
                <w:i/>
                <w:iCs/>
                <w:lang w:val="en-US"/>
              </w:rPr>
              <w:t xml:space="preserve">Calamoecia </w:t>
            </w:r>
            <w:r w:rsidRPr="00940BEB">
              <w:rPr>
                <w:lang w:val="en-US"/>
              </w:rPr>
              <w:t>species</w:t>
            </w:r>
            <w:r>
              <w:rPr>
                <w:i/>
                <w:iCs/>
                <w:lang w:val="en-US"/>
              </w:rPr>
              <w:t xml:space="preserve"> </w:t>
            </w:r>
          </w:p>
        </w:tc>
        <w:tc>
          <w:tcPr>
            <w:tcW w:w="2154" w:type="dxa"/>
            <w:vAlign w:val="bottom"/>
          </w:tcPr>
          <w:p w14:paraId="319FB5E4" w14:textId="77777777" w:rsidR="0014455D" w:rsidRPr="005D2CED" w:rsidRDefault="0014455D" w:rsidP="00902C23">
            <w:pPr>
              <w:pStyle w:val="TableText"/>
              <w:spacing w:before="0" w:after="0" w:line="240" w:lineRule="auto"/>
              <w:contextualSpacing/>
              <w:jc w:val="left"/>
              <w:rPr>
                <w:lang w:val="en-US"/>
              </w:rPr>
            </w:pPr>
            <w:r w:rsidRPr="00D6433C">
              <w:rPr>
                <w:lang w:val="en-US"/>
              </w:rPr>
              <w:t>Centropagidae</w:t>
            </w:r>
          </w:p>
        </w:tc>
        <w:tc>
          <w:tcPr>
            <w:tcW w:w="2452" w:type="dxa"/>
            <w:vAlign w:val="bottom"/>
          </w:tcPr>
          <w:p w14:paraId="5711C42B" w14:textId="77777777" w:rsidR="0014455D" w:rsidRPr="00A35CF4" w:rsidRDefault="0014455D" w:rsidP="00902C23">
            <w:pPr>
              <w:pStyle w:val="TableText"/>
              <w:spacing w:before="0" w:after="0" w:line="240" w:lineRule="auto"/>
              <w:contextualSpacing/>
              <w:jc w:val="left"/>
              <w:rPr>
                <w:lang w:val="en-US"/>
              </w:rPr>
            </w:pPr>
            <w:r w:rsidRPr="00D6433C">
              <w:rPr>
                <w:lang w:val="en-US"/>
              </w:rPr>
              <w:t xml:space="preserve">Calanoida </w:t>
            </w:r>
          </w:p>
        </w:tc>
      </w:tr>
      <w:tr w:rsidR="0014455D" w:rsidRPr="00A35CF4" w14:paraId="23364E30" w14:textId="77777777" w:rsidTr="00902C23">
        <w:trPr>
          <w:trHeight w:val="340"/>
          <w:jc w:val="center"/>
        </w:trPr>
        <w:tc>
          <w:tcPr>
            <w:tcW w:w="3555" w:type="dxa"/>
            <w:vAlign w:val="bottom"/>
          </w:tcPr>
          <w:p w14:paraId="05CCB953" w14:textId="77777777" w:rsidR="0014455D" w:rsidRPr="00A35CF4" w:rsidRDefault="0014455D" w:rsidP="00902C23">
            <w:pPr>
              <w:pStyle w:val="TableHeading"/>
              <w:spacing w:before="0" w:after="0" w:line="240" w:lineRule="auto"/>
              <w:contextualSpacing/>
              <w:jc w:val="left"/>
              <w:rPr>
                <w:i/>
                <w:iCs/>
                <w:lang w:val="en-US"/>
              </w:rPr>
            </w:pPr>
            <w:r w:rsidRPr="00D6433C">
              <w:rPr>
                <w:i/>
                <w:iCs/>
                <w:lang w:val="en-US"/>
              </w:rPr>
              <w:t xml:space="preserve">Gladioferens </w:t>
            </w:r>
            <w:r w:rsidRPr="00940BEB">
              <w:rPr>
                <w:lang w:val="en-US"/>
              </w:rPr>
              <w:t>species</w:t>
            </w:r>
            <w:r>
              <w:rPr>
                <w:i/>
                <w:iCs/>
                <w:lang w:val="en-US"/>
              </w:rPr>
              <w:t xml:space="preserve"> </w:t>
            </w:r>
          </w:p>
        </w:tc>
        <w:tc>
          <w:tcPr>
            <w:tcW w:w="2154" w:type="dxa"/>
            <w:vAlign w:val="bottom"/>
          </w:tcPr>
          <w:p w14:paraId="19EE6BE3" w14:textId="77777777" w:rsidR="0014455D" w:rsidRPr="005D2CED" w:rsidRDefault="0014455D" w:rsidP="00902C23">
            <w:pPr>
              <w:pStyle w:val="TableText"/>
              <w:spacing w:before="0" w:after="0" w:line="240" w:lineRule="auto"/>
              <w:contextualSpacing/>
              <w:jc w:val="left"/>
              <w:rPr>
                <w:lang w:val="en-US"/>
              </w:rPr>
            </w:pPr>
            <w:r w:rsidRPr="00D6433C">
              <w:rPr>
                <w:lang w:val="en-US"/>
              </w:rPr>
              <w:t>Centropagidae</w:t>
            </w:r>
          </w:p>
        </w:tc>
        <w:tc>
          <w:tcPr>
            <w:tcW w:w="2452" w:type="dxa"/>
            <w:vAlign w:val="bottom"/>
          </w:tcPr>
          <w:p w14:paraId="6AADA8EC" w14:textId="77777777" w:rsidR="0014455D" w:rsidRPr="00A35CF4" w:rsidRDefault="0014455D" w:rsidP="00902C23">
            <w:pPr>
              <w:pStyle w:val="TableText"/>
              <w:spacing w:before="0" w:after="0" w:line="240" w:lineRule="auto"/>
              <w:contextualSpacing/>
              <w:jc w:val="left"/>
              <w:rPr>
                <w:lang w:val="en-US"/>
              </w:rPr>
            </w:pPr>
            <w:r w:rsidRPr="00D6433C">
              <w:rPr>
                <w:lang w:val="en-US"/>
              </w:rPr>
              <w:t xml:space="preserve">Calanoida </w:t>
            </w:r>
          </w:p>
        </w:tc>
      </w:tr>
      <w:tr w:rsidR="0014455D" w:rsidRPr="00D6433C" w14:paraId="439667AA" w14:textId="77777777" w:rsidTr="00902C23">
        <w:trPr>
          <w:trHeight w:val="340"/>
          <w:jc w:val="center"/>
        </w:trPr>
        <w:tc>
          <w:tcPr>
            <w:tcW w:w="3555" w:type="dxa"/>
            <w:tcBorders>
              <w:bottom w:val="single" w:sz="4" w:space="0" w:color="auto"/>
            </w:tcBorders>
            <w:vAlign w:val="bottom"/>
          </w:tcPr>
          <w:p w14:paraId="756242DA" w14:textId="77777777" w:rsidR="0014455D" w:rsidRPr="00F95667" w:rsidRDefault="0014455D" w:rsidP="00902C23">
            <w:pPr>
              <w:pStyle w:val="TableHeading"/>
              <w:spacing w:before="0" w:after="0" w:line="240" w:lineRule="auto"/>
              <w:contextualSpacing/>
              <w:jc w:val="left"/>
              <w:rPr>
                <w:i/>
                <w:iCs/>
                <w:lang w:val="en-US"/>
              </w:rPr>
            </w:pPr>
            <w:r>
              <w:rPr>
                <w:i/>
                <w:iCs/>
                <w:lang w:val="en-US"/>
              </w:rPr>
              <w:t xml:space="preserve">Cyclopidae </w:t>
            </w:r>
            <w:r w:rsidRPr="00940BEB">
              <w:rPr>
                <w:lang w:val="en-US"/>
              </w:rPr>
              <w:t>species</w:t>
            </w:r>
            <w:r>
              <w:rPr>
                <w:i/>
                <w:iCs/>
                <w:lang w:val="en-US"/>
              </w:rPr>
              <w:t xml:space="preserve"> </w:t>
            </w:r>
          </w:p>
        </w:tc>
        <w:tc>
          <w:tcPr>
            <w:tcW w:w="2154" w:type="dxa"/>
            <w:tcBorders>
              <w:bottom w:val="single" w:sz="4" w:space="0" w:color="auto"/>
            </w:tcBorders>
            <w:vAlign w:val="bottom"/>
          </w:tcPr>
          <w:p w14:paraId="55ABA6F8" w14:textId="77777777" w:rsidR="0014455D" w:rsidRPr="00B02158" w:rsidRDefault="0014455D" w:rsidP="00902C23">
            <w:pPr>
              <w:pStyle w:val="TableText"/>
              <w:spacing w:before="0" w:after="0" w:line="240" w:lineRule="auto"/>
              <w:contextualSpacing/>
              <w:jc w:val="left"/>
              <w:rPr>
                <w:lang w:val="en-US"/>
              </w:rPr>
            </w:pPr>
            <w:r>
              <w:rPr>
                <w:lang w:val="en-US"/>
              </w:rPr>
              <w:t>Cyclopidae</w:t>
            </w:r>
          </w:p>
        </w:tc>
        <w:tc>
          <w:tcPr>
            <w:tcW w:w="2452" w:type="dxa"/>
            <w:tcBorders>
              <w:bottom w:val="single" w:sz="4" w:space="0" w:color="auto"/>
            </w:tcBorders>
            <w:vAlign w:val="bottom"/>
          </w:tcPr>
          <w:p w14:paraId="35316903" w14:textId="77777777" w:rsidR="0014455D" w:rsidRPr="00D6433C" w:rsidRDefault="0014455D" w:rsidP="00902C23">
            <w:pPr>
              <w:pStyle w:val="TableText"/>
              <w:spacing w:before="0" w:after="0" w:line="240" w:lineRule="auto"/>
              <w:contextualSpacing/>
              <w:jc w:val="left"/>
              <w:rPr>
                <w:lang w:val="en-US"/>
              </w:rPr>
            </w:pPr>
            <w:r>
              <w:rPr>
                <w:lang w:val="en-US"/>
              </w:rPr>
              <w:t>Cyclopoida</w:t>
            </w:r>
          </w:p>
        </w:tc>
      </w:tr>
    </w:tbl>
    <w:p w14:paraId="7C13BAD9" w14:textId="77777777" w:rsidR="0014455D" w:rsidRDefault="0014455D" w:rsidP="0014455D"/>
    <w:p w14:paraId="1BF40BB9" w14:textId="77777777" w:rsidR="0014455D" w:rsidRDefault="0014455D" w:rsidP="0014455D">
      <w:pPr>
        <w:pStyle w:val="Heading3"/>
      </w:pPr>
      <w:r w:rsidRPr="00E35C12">
        <w:t>Results</w:t>
      </w:r>
    </w:p>
    <w:p w14:paraId="7C727977" w14:textId="77777777" w:rsidR="0014455D" w:rsidRPr="00651D6F" w:rsidRDefault="0014455D" w:rsidP="0014455D">
      <w:pPr>
        <w:rPr>
          <w:i/>
          <w:iCs/>
          <w:u w:val="single"/>
        </w:rPr>
      </w:pPr>
      <w:r>
        <w:rPr>
          <w:i/>
          <w:iCs/>
          <w:u w:val="single"/>
        </w:rPr>
        <w:t>Density</w:t>
      </w:r>
      <w:r w:rsidRPr="00651D6F">
        <w:rPr>
          <w:i/>
          <w:iCs/>
          <w:u w:val="single"/>
        </w:rPr>
        <w:t xml:space="preserve"> patterns</w:t>
      </w:r>
    </w:p>
    <w:p w14:paraId="4EAAD273" w14:textId="77777777" w:rsidR="0014455D" w:rsidRDefault="0014455D" w:rsidP="0014455D">
      <w:r>
        <w:t xml:space="preserve">Mean observed density ranged from 139 [67, 210] to 2,774 [2,542, 3,006] ind/L (mean [± 95% CI]). Generally, sites tended to have comparable densities prior to 22 December 2020 (e.g. near overlap in confidence intervals; </w:t>
      </w:r>
      <w:r>
        <w:rPr>
          <w:highlight w:val="yellow"/>
        </w:rPr>
        <w:fldChar w:fldCharType="begin"/>
      </w:r>
      <w:r>
        <w:instrText xml:space="preserve"> REF _Ref93648939 \h </w:instrText>
      </w:r>
      <w:r>
        <w:rPr>
          <w:highlight w:val="yellow"/>
        </w:rPr>
      </w:r>
      <w:r>
        <w:rPr>
          <w:highlight w:val="yellow"/>
        </w:rPr>
        <w:fldChar w:fldCharType="separate"/>
      </w:r>
      <w:r>
        <w:t xml:space="preserve">Figure </w:t>
      </w:r>
      <w:r>
        <w:rPr>
          <w:noProof/>
        </w:rPr>
        <w:t>38</w:t>
      </w:r>
      <w:r>
        <w:rPr>
          <w:highlight w:val="yellow"/>
        </w:rPr>
        <w:fldChar w:fldCharType="end"/>
      </w:r>
      <w:r>
        <w:t xml:space="preserve">a). Including and after 22 December 2020, Lock 1 site samples tended to be much lower than upstream sites. The highest densities recorded for the study period occurred between 8 December and 22 December 2020 at all three sites where Lock 1 peaked at 2,045 [1,616, 2,474] ind/L on 8 December 2020 and Lock 4 and Lock 6 at 2,774 [2,542, 3,006] ind/L and 1,910 [1,618, 2,201] ind/L on 22 December 2020, respectively.  </w:t>
      </w:r>
    </w:p>
    <w:p w14:paraId="0A586850" w14:textId="77777777" w:rsidR="0014455D" w:rsidRDefault="0014455D" w:rsidP="0014455D"/>
    <w:p w14:paraId="7CA67311" w14:textId="77777777" w:rsidR="0014455D" w:rsidRPr="00AA4EB2" w:rsidRDefault="0014455D" w:rsidP="0014455D">
      <w:pPr>
        <w:rPr>
          <w:i/>
          <w:iCs/>
          <w:u w:val="single"/>
        </w:rPr>
      </w:pPr>
      <w:r w:rsidRPr="00AA4EB2">
        <w:rPr>
          <w:i/>
          <w:iCs/>
          <w:u w:val="single"/>
        </w:rPr>
        <w:t>Diversity patterns (taxonomic richness)</w:t>
      </w:r>
    </w:p>
    <w:p w14:paraId="18994140" w14:textId="77777777" w:rsidR="0014455D" w:rsidRPr="00893B80" w:rsidRDefault="0014455D" w:rsidP="0014455D">
      <w:r w:rsidRPr="00AF7596">
        <w:t>Taxon</w:t>
      </w:r>
      <w:r>
        <w:t xml:space="preserve">omic richness ranged from </w:t>
      </w:r>
      <w:r w:rsidRPr="005D1D50">
        <w:t xml:space="preserve">11 </w:t>
      </w:r>
      <w:r>
        <w:t>[</w:t>
      </w:r>
      <w:r w:rsidRPr="005D1D50">
        <w:t>10, 1</w:t>
      </w:r>
      <w:r>
        <w:t>3] taxa to 30</w:t>
      </w:r>
      <w:r w:rsidRPr="005D1D50">
        <w:t xml:space="preserve"> </w:t>
      </w:r>
      <w:r>
        <w:t>[</w:t>
      </w:r>
      <w:r w:rsidRPr="005D1D50">
        <w:t>29, 30</w:t>
      </w:r>
      <w:r>
        <w:t>] and was similar at all locks early in the water year (</w:t>
      </w:r>
      <w:r>
        <w:rPr>
          <w:highlight w:val="yellow"/>
        </w:rPr>
        <w:fldChar w:fldCharType="begin"/>
      </w:r>
      <w:r>
        <w:instrText xml:space="preserve"> REF _Ref93648939 \h </w:instrText>
      </w:r>
      <w:r>
        <w:rPr>
          <w:highlight w:val="yellow"/>
        </w:rPr>
      </w:r>
      <w:r>
        <w:rPr>
          <w:highlight w:val="yellow"/>
        </w:rPr>
        <w:fldChar w:fldCharType="separate"/>
      </w:r>
      <w:r>
        <w:t xml:space="preserve">Figure </w:t>
      </w:r>
      <w:r>
        <w:rPr>
          <w:noProof/>
        </w:rPr>
        <w:t>38</w:t>
      </w:r>
      <w:r>
        <w:rPr>
          <w:highlight w:val="yellow"/>
        </w:rPr>
        <w:fldChar w:fldCharType="end"/>
      </w:r>
      <w:r>
        <w:t>b). Concurrent with the &gt;86% decline in density at Lock 1 from 8 to 22 December 2020, taxonomic richness declined considerably at this site, remaining lower than the two upstream locks.</w:t>
      </w:r>
    </w:p>
    <w:p w14:paraId="4A68E148" w14:textId="77777777" w:rsidR="0014455D" w:rsidRPr="00893B80" w:rsidRDefault="0014455D" w:rsidP="0014455D"/>
    <w:p w14:paraId="3497675D" w14:textId="77777777" w:rsidR="0014455D" w:rsidRPr="00893B80" w:rsidRDefault="0014455D" w:rsidP="0014455D"/>
    <w:p w14:paraId="2F653D51" w14:textId="77777777" w:rsidR="0014455D" w:rsidRDefault="0014455D" w:rsidP="0014455D">
      <w:pPr>
        <w:keepNext/>
      </w:pPr>
      <w:r>
        <w:rPr>
          <w:noProof/>
        </w:rPr>
        <w:drawing>
          <wp:inline distT="0" distB="0" distL="0" distR="0" wp14:anchorId="5BA3D593" wp14:editId="374551AD">
            <wp:extent cx="5731510" cy="6068695"/>
            <wp:effectExtent l="0" t="0" r="0" b="1905"/>
            <wp:docPr id="21" name="Picture 21"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 histogram&#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6068695"/>
                    </a:xfrm>
                    <a:prstGeom prst="rect">
                      <a:avLst/>
                    </a:prstGeom>
                  </pic:spPr>
                </pic:pic>
              </a:graphicData>
            </a:graphic>
          </wp:inline>
        </w:drawing>
      </w:r>
    </w:p>
    <w:p w14:paraId="59EE20CB" w14:textId="77777777" w:rsidR="0014455D" w:rsidRPr="00AE6AEB" w:rsidRDefault="0014455D" w:rsidP="0014455D">
      <w:pPr>
        <w:pStyle w:val="Caption"/>
      </w:pPr>
      <w:bookmarkStart w:id="247" w:name="_Ref93648939"/>
      <w:bookmarkStart w:id="248" w:name="_Toc63758498"/>
      <w:bookmarkStart w:id="249" w:name="_Toc101963830"/>
      <w:r>
        <w:t xml:space="preserve">Figure </w:t>
      </w:r>
      <w:fldSimple w:instr=" SEQ Figure \* ARABIC ">
        <w:r>
          <w:rPr>
            <w:noProof/>
          </w:rPr>
          <w:t>38</w:t>
        </w:r>
      </w:fldSimple>
      <w:bookmarkEnd w:id="247"/>
      <w:r>
        <w:t>. Observed density and taxonomic richness for 2020-21 sampling at each lock. (a) mean density of three sub-samples at each site (lock, indicated by colour) and date. Error bars show 95% confidence limits and horizontal black lines show mean for the water year.</w:t>
      </w:r>
      <w:bookmarkEnd w:id="248"/>
      <w:bookmarkEnd w:id="249"/>
    </w:p>
    <w:p w14:paraId="1F6CF9D1" w14:textId="77777777" w:rsidR="0014455D" w:rsidRDefault="0014455D" w:rsidP="0014455D">
      <w:pPr>
        <w:rPr>
          <w:i/>
          <w:iCs/>
          <w:u w:val="single"/>
        </w:rPr>
      </w:pPr>
      <w:r w:rsidRPr="00651D6F">
        <w:rPr>
          <w:i/>
          <w:iCs/>
          <w:u w:val="single"/>
        </w:rPr>
        <w:t>Functional group density</w:t>
      </w:r>
    </w:p>
    <w:p w14:paraId="32B89A3F" w14:textId="77777777" w:rsidR="0014455D" w:rsidRPr="00651D6F" w:rsidRDefault="0014455D" w:rsidP="0014455D">
      <w:pPr>
        <w:rPr>
          <w:i/>
          <w:iCs/>
          <w:u w:val="single"/>
        </w:rPr>
      </w:pPr>
      <w:r>
        <w:t>The distribution of functional group density among sampling sites during 2020-21 suggests the dominance of primarily pelagic rotifers and secondly littoral (facultatively pelagic) rotifers throughout the year. The proportion of littoral (facultatively pelagic) rotifers increased at Lock 4 on 8 December 2020 and 22 December 2020 (</w:t>
      </w:r>
      <w:r>
        <w:rPr>
          <w:highlight w:val="yellow"/>
        </w:rPr>
        <w:fldChar w:fldCharType="begin"/>
      </w:r>
      <w:r>
        <w:instrText xml:space="preserve"> REF _Ref57901311 \h </w:instrText>
      </w:r>
      <w:r>
        <w:rPr>
          <w:highlight w:val="yellow"/>
        </w:rPr>
      </w:r>
      <w:r>
        <w:rPr>
          <w:highlight w:val="yellow"/>
        </w:rPr>
        <w:fldChar w:fldCharType="separate"/>
      </w:r>
      <w:r w:rsidRPr="00893B80">
        <w:t xml:space="preserve">Figure </w:t>
      </w:r>
      <w:r>
        <w:rPr>
          <w:noProof/>
        </w:rPr>
        <w:t>39</w:t>
      </w:r>
      <w:r>
        <w:rPr>
          <w:highlight w:val="yellow"/>
        </w:rPr>
        <w:fldChar w:fldCharType="end"/>
      </w:r>
      <w:r>
        <w:t>).</w:t>
      </w:r>
    </w:p>
    <w:p w14:paraId="6F023C20" w14:textId="77777777" w:rsidR="0014455D" w:rsidRDefault="0014455D" w:rsidP="0014455D">
      <w:pPr>
        <w:jc w:val="center"/>
      </w:pPr>
      <w:r>
        <w:rPr>
          <w:noProof/>
        </w:rPr>
        <w:drawing>
          <wp:inline distT="0" distB="0" distL="0" distR="0" wp14:anchorId="795B3B8D" wp14:editId="3C088B08">
            <wp:extent cx="5731510" cy="6076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5">
                      <a:extLst>
                        <a:ext uri="{28A0092B-C50C-407E-A947-70E740481C1C}">
                          <a14:useLocalDpi xmlns:a14="http://schemas.microsoft.com/office/drawing/2010/main" val="0"/>
                        </a:ext>
                      </a:extLst>
                    </a:blip>
                    <a:stretch>
                      <a:fillRect/>
                    </a:stretch>
                  </pic:blipFill>
                  <pic:spPr>
                    <a:xfrm>
                      <a:off x="0" y="0"/>
                      <a:ext cx="5731510" cy="6076950"/>
                    </a:xfrm>
                    <a:prstGeom prst="rect">
                      <a:avLst/>
                    </a:prstGeom>
                  </pic:spPr>
                </pic:pic>
              </a:graphicData>
            </a:graphic>
          </wp:inline>
        </w:drawing>
      </w:r>
    </w:p>
    <w:p w14:paraId="43C97E47" w14:textId="77777777" w:rsidR="0014455D" w:rsidRPr="00893B80" w:rsidRDefault="0014455D" w:rsidP="0014455D">
      <w:pPr>
        <w:pStyle w:val="Caption"/>
      </w:pPr>
      <w:bookmarkStart w:id="250" w:name="_Ref57901311"/>
      <w:bookmarkStart w:id="251" w:name="_Toc63758499"/>
      <w:bookmarkStart w:id="252" w:name="_Toc101963831"/>
      <w:r w:rsidRPr="00893B80">
        <w:t xml:space="preserve">Figure </w:t>
      </w:r>
      <w:fldSimple w:instr=" SEQ Figure \* ARABIC ">
        <w:r>
          <w:rPr>
            <w:noProof/>
          </w:rPr>
          <w:t>39</w:t>
        </w:r>
      </w:fldSimple>
      <w:bookmarkEnd w:id="250"/>
      <w:r w:rsidRPr="00AF7596">
        <w:t>.</w:t>
      </w:r>
      <w:r w:rsidRPr="00893B80">
        <w:t xml:space="preserve"> Functional group density by sampling date and lock for the 20</w:t>
      </w:r>
      <w:r>
        <w:t>20-</w:t>
      </w:r>
      <w:r w:rsidRPr="00893B80">
        <w:t>2</w:t>
      </w:r>
      <w:r>
        <w:t>1</w:t>
      </w:r>
      <w:r w:rsidRPr="00893B80">
        <w:t xml:space="preserve"> season. Three sub-samples were collected at a single sample site located 5 km downstream of </w:t>
      </w:r>
      <w:r>
        <w:t>each</w:t>
      </w:r>
      <w:r w:rsidRPr="00893B80">
        <w:t xml:space="preserve"> lock shown in the panel caption.</w:t>
      </w:r>
      <w:bookmarkEnd w:id="251"/>
      <w:bookmarkEnd w:id="252"/>
    </w:p>
    <w:p w14:paraId="23FE3DF1" w14:textId="77777777" w:rsidR="0014455D" w:rsidRPr="00651D6F" w:rsidRDefault="0014455D" w:rsidP="0014455D">
      <w:pPr>
        <w:rPr>
          <w:i/>
          <w:iCs/>
          <w:u w:val="single"/>
        </w:rPr>
      </w:pPr>
      <w:r w:rsidRPr="00651D6F">
        <w:rPr>
          <w:i/>
          <w:iCs/>
          <w:u w:val="single"/>
        </w:rPr>
        <w:t>Modelled responses to environmental flows</w:t>
      </w:r>
    </w:p>
    <w:p w14:paraId="6B9AF95A" w14:textId="77777777" w:rsidR="0014455D" w:rsidRPr="009E2AA1" w:rsidRDefault="0014455D" w:rsidP="0014455D">
      <w:pPr>
        <w:rPr>
          <w:i/>
          <w:iCs/>
          <w:color w:val="2F5496" w:themeColor="accent5" w:themeShade="BF"/>
          <w:sz w:val="18"/>
          <w:szCs w:val="16"/>
        </w:rPr>
      </w:pPr>
      <w:r w:rsidRPr="009E2AA1">
        <w:rPr>
          <w:i/>
          <w:iCs/>
          <w:color w:val="2F5496" w:themeColor="accent5" w:themeShade="BF"/>
          <w:sz w:val="18"/>
          <w:szCs w:val="16"/>
        </w:rPr>
        <w:t>H1: Density and taxonomic richness</w:t>
      </w:r>
    </w:p>
    <w:p w14:paraId="335CD161" w14:textId="77777777" w:rsidR="0014455D" w:rsidRDefault="0014455D" w:rsidP="0014455D">
      <w:r>
        <w:t xml:space="preserve">The modelling for 2020-21 estimated 33% of observed microinvertebrate density was due to environmental water delivery </w:t>
      </w:r>
      <w:r w:rsidRPr="007B2530">
        <w:t>(mean difference</w:t>
      </w:r>
      <w:r>
        <w:t xml:space="preserve"> between observed and no environmental water scenarios</w:t>
      </w:r>
      <w:r w:rsidRPr="007B2530">
        <w:t xml:space="preserve"> ±[ 95% CI] = </w:t>
      </w:r>
      <w:r>
        <w:t>376</w:t>
      </w:r>
      <w:r w:rsidRPr="0075562F">
        <w:t xml:space="preserve"> [</w:t>
      </w:r>
      <w:r>
        <w:t>258</w:t>
      </w:r>
      <w:r w:rsidRPr="0075562F">
        <w:t xml:space="preserve">, </w:t>
      </w:r>
      <w:r>
        <w:t>493</w:t>
      </w:r>
      <w:r w:rsidRPr="0075562F">
        <w:t>]</w:t>
      </w:r>
      <w:r w:rsidRPr="007B2530">
        <w:t xml:space="preserve"> </w:t>
      </w:r>
      <w:r>
        <w:t xml:space="preserve">ind/L; </w:t>
      </w:r>
      <w:r w:rsidRPr="00C45F45">
        <w:rPr>
          <w:i/>
          <w:iCs/>
        </w:rPr>
        <w:t>t</w:t>
      </w:r>
      <w:r w:rsidRPr="007B2530">
        <w:t xml:space="preserve"> = </w:t>
      </w:r>
      <w:r>
        <w:t>6.67</w:t>
      </w:r>
      <w:r w:rsidRPr="007B2530">
        <w:t xml:space="preserve">, </w:t>
      </w:r>
      <w:r w:rsidRPr="00C45F45">
        <w:t>df</w:t>
      </w:r>
      <w:r w:rsidRPr="007B2530">
        <w:t xml:space="preserve"> = </w:t>
      </w:r>
      <w:r>
        <w:t>20</w:t>
      </w:r>
      <w:r w:rsidRPr="007B2530">
        <w:t xml:space="preserve">, </w:t>
      </w:r>
      <w:r w:rsidRPr="007B2530">
        <w:rPr>
          <w:i/>
          <w:iCs/>
        </w:rPr>
        <w:t>p</w:t>
      </w:r>
      <w:r w:rsidRPr="007B2530">
        <w:t xml:space="preserve">-value </w:t>
      </w:r>
      <w:r>
        <w:t>&lt; 0.001) (</w:t>
      </w:r>
      <w:r>
        <w:fldChar w:fldCharType="begin"/>
      </w:r>
      <w:r>
        <w:instrText xml:space="preserve"> REF _Ref63781993 \h </w:instrText>
      </w:r>
      <w:r>
        <w:fldChar w:fldCharType="separate"/>
      </w:r>
      <w:r>
        <w:t xml:space="preserve">Figure </w:t>
      </w:r>
      <w:r>
        <w:rPr>
          <w:noProof/>
        </w:rPr>
        <w:t>40</w:t>
      </w:r>
      <w:r>
        <w:fldChar w:fldCharType="end"/>
      </w:r>
      <w:r>
        <w:t>a). Commonwealth environmental water was estimated to have accounted for 73% of this (equates to 24%)  (</w:t>
      </w:r>
      <w:r w:rsidRPr="007B2530">
        <w:t>mean difference ±</w:t>
      </w:r>
      <w:r>
        <w:t xml:space="preserve"> </w:t>
      </w:r>
      <w:r w:rsidRPr="007B2530">
        <w:t>[ 95% CI] between</w:t>
      </w:r>
      <w:r>
        <w:t xml:space="preserve"> observed and no Commonwealth environmental water </w:t>
      </w:r>
      <w:r w:rsidRPr="007B2530">
        <w:t>scenario</w:t>
      </w:r>
      <w:r>
        <w:t>s = 273</w:t>
      </w:r>
      <w:r w:rsidRPr="00A3449A">
        <w:t xml:space="preserve"> </w:t>
      </w:r>
      <w:r w:rsidRPr="007B2530">
        <w:t>[</w:t>
      </w:r>
      <w:r>
        <w:t>197</w:t>
      </w:r>
      <w:r w:rsidRPr="007B2530">
        <w:t xml:space="preserve">, </w:t>
      </w:r>
      <w:r>
        <w:t>350</w:t>
      </w:r>
      <w:r w:rsidRPr="007B2530">
        <w:t>]</w:t>
      </w:r>
      <w:r>
        <w:t xml:space="preserve"> ind/L; </w:t>
      </w:r>
      <w:r w:rsidRPr="00337BAB">
        <w:rPr>
          <w:i/>
          <w:iCs/>
        </w:rPr>
        <w:t>t</w:t>
      </w:r>
      <w:r w:rsidRPr="007B2530">
        <w:t xml:space="preserve"> = </w:t>
      </w:r>
      <w:r>
        <w:t>7.48</w:t>
      </w:r>
      <w:r w:rsidRPr="007B2530">
        <w:t xml:space="preserve">, df = </w:t>
      </w:r>
      <w:r>
        <w:t>20</w:t>
      </w:r>
      <w:r w:rsidRPr="007B2530">
        <w:t xml:space="preserve">, </w:t>
      </w:r>
      <w:r w:rsidRPr="00337BAB">
        <w:rPr>
          <w:i/>
          <w:iCs/>
        </w:rPr>
        <w:t>p</w:t>
      </w:r>
      <w:r w:rsidRPr="007B2530">
        <w:t xml:space="preserve"> </w:t>
      </w:r>
      <w:r>
        <w:t xml:space="preserve">&lt; 0.001). </w:t>
      </w:r>
    </w:p>
    <w:p w14:paraId="0AD94E6F" w14:textId="77777777" w:rsidR="0014455D" w:rsidRDefault="0014455D" w:rsidP="0014455D">
      <w:r>
        <w:t xml:space="preserve">Around 16% of taxonomic richness for 2020-21 was predicted to have been due to environmental water (mean difference = 4 [2, 7]; </w:t>
      </w:r>
      <w:r w:rsidRPr="00337BAB">
        <w:rPr>
          <w:i/>
          <w:iCs/>
        </w:rPr>
        <w:t>t</w:t>
      </w:r>
      <w:r w:rsidRPr="00337BAB">
        <w:t xml:space="preserve"> = </w:t>
      </w:r>
      <w:r>
        <w:t>3.70</w:t>
      </w:r>
      <w:r w:rsidRPr="00337BAB">
        <w:t xml:space="preserve">, df = </w:t>
      </w:r>
      <w:r>
        <w:t>20</w:t>
      </w:r>
      <w:r w:rsidRPr="00337BAB">
        <w:t xml:space="preserve">, </w:t>
      </w:r>
      <w:r w:rsidRPr="00C45F45">
        <w:rPr>
          <w:i/>
          <w:iCs/>
        </w:rPr>
        <w:t>p</w:t>
      </w:r>
      <w:r w:rsidRPr="00337BAB">
        <w:t xml:space="preserve"> = </w:t>
      </w:r>
      <w:r>
        <w:t xml:space="preserve">0.002), with Commonwealth environmental water estimated to have contributed around 57% of this (mean difference = 3 [1, 4]; </w:t>
      </w:r>
      <w:r w:rsidRPr="00337BAB">
        <w:rPr>
          <w:i/>
          <w:iCs/>
        </w:rPr>
        <w:t>t</w:t>
      </w:r>
      <w:r w:rsidRPr="00337BAB">
        <w:t xml:space="preserve"> = </w:t>
      </w:r>
      <w:r>
        <w:t>3.38</w:t>
      </w:r>
      <w:r w:rsidRPr="00337BAB">
        <w:t xml:space="preserve">, df = </w:t>
      </w:r>
      <w:r>
        <w:t>20</w:t>
      </w:r>
      <w:r w:rsidRPr="00337BAB">
        <w:t xml:space="preserve">, </w:t>
      </w:r>
      <w:r w:rsidRPr="00C45F45">
        <w:rPr>
          <w:i/>
          <w:iCs/>
        </w:rPr>
        <w:t>p</w:t>
      </w:r>
      <w:r w:rsidRPr="00337BAB">
        <w:t xml:space="preserve"> = </w:t>
      </w:r>
      <w:r>
        <w:t>0.003), (</w:t>
      </w:r>
      <w:r>
        <w:fldChar w:fldCharType="begin"/>
      </w:r>
      <w:r>
        <w:instrText xml:space="preserve"> REF _Ref63781993 \h </w:instrText>
      </w:r>
      <w:r>
        <w:fldChar w:fldCharType="separate"/>
      </w:r>
      <w:r>
        <w:t xml:space="preserve">Figure </w:t>
      </w:r>
      <w:r>
        <w:rPr>
          <w:noProof/>
        </w:rPr>
        <w:t>40</w:t>
      </w:r>
      <w:r>
        <w:fldChar w:fldCharType="end"/>
      </w:r>
      <w:r>
        <w:t>).</w:t>
      </w:r>
    </w:p>
    <w:p w14:paraId="4DA2A3C8" w14:textId="77777777" w:rsidR="0014455D" w:rsidRDefault="0014455D" w:rsidP="0014455D">
      <w:pPr>
        <w:keepNext/>
        <w:spacing w:before="0" w:after="160" w:line="259" w:lineRule="auto"/>
        <w:jc w:val="left"/>
      </w:pPr>
      <w:r>
        <w:rPr>
          <w:noProof/>
        </w:rPr>
        <w:drawing>
          <wp:inline distT="0" distB="0" distL="0" distR="0" wp14:anchorId="2ECA80A8" wp14:editId="29B68333">
            <wp:extent cx="5731510" cy="5491480"/>
            <wp:effectExtent l="0" t="0" r="2540" b="0"/>
            <wp:docPr id="6" name="Picture 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ox and whisker char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731510" cy="5491480"/>
                    </a:xfrm>
                    <a:prstGeom prst="rect">
                      <a:avLst/>
                    </a:prstGeom>
                  </pic:spPr>
                </pic:pic>
              </a:graphicData>
            </a:graphic>
          </wp:inline>
        </w:drawing>
      </w:r>
    </w:p>
    <w:p w14:paraId="737216FB" w14:textId="77777777" w:rsidR="0014455D" w:rsidRDefault="0014455D" w:rsidP="0014455D">
      <w:pPr>
        <w:pStyle w:val="Captions"/>
      </w:pPr>
      <w:bookmarkStart w:id="253" w:name="_Ref63781993"/>
      <w:bookmarkStart w:id="254" w:name="_Toc101963832"/>
      <w:r>
        <w:t xml:space="preserve">Figure </w:t>
      </w:r>
      <w:r>
        <w:fldChar w:fldCharType="begin"/>
      </w:r>
      <w:r>
        <w:instrText xml:space="preserve"> SEQ Figure \* ARABIC </w:instrText>
      </w:r>
      <w:r>
        <w:fldChar w:fldCharType="separate"/>
      </w:r>
      <w:r>
        <w:rPr>
          <w:noProof/>
        </w:rPr>
        <w:t>40</w:t>
      </w:r>
      <w:r>
        <w:fldChar w:fldCharType="end"/>
      </w:r>
      <w:bookmarkEnd w:id="253"/>
      <w:r>
        <w:t>. Observed and modelled (a) microinvertebrate density</w:t>
      </w:r>
      <w:r w:rsidRPr="00A60682">
        <w:t xml:space="preserve"> </w:t>
      </w:r>
      <w:r>
        <w:t>(individuals/litre, ind/L) and (b) taxonomic richness (number of taxa) by water year over the period 2014−2020 (2018-19 not sampled). In each panel, observed data (‘</w:t>
      </w:r>
      <w:r w:rsidRPr="00C336DB">
        <w:rPr>
          <w:i/>
          <w:iCs/>
        </w:rPr>
        <w:t>Observed</w:t>
      </w:r>
      <w:r>
        <w:t xml:space="preserve">’; blue bars) for all samples in the water year shown on the </w:t>
      </w:r>
      <w:r w:rsidRPr="003F5F11">
        <w:rPr>
          <w:i/>
          <w:iCs/>
        </w:rPr>
        <w:t>x</w:t>
      </w:r>
      <w:r>
        <w:t>-axis are compared with modelled expectations under two environmental flow scenarios: Under no Commonwealth environmental water delivery (‘</w:t>
      </w:r>
      <w:r w:rsidRPr="00C336DB">
        <w:rPr>
          <w:i/>
          <w:iCs/>
        </w:rPr>
        <w:t>No CEW’</w:t>
      </w:r>
      <w:r>
        <w:t>; orange bars) and if no environmental water were provided at all (‘</w:t>
      </w:r>
      <w:r w:rsidRPr="00C336DB">
        <w:rPr>
          <w:i/>
          <w:iCs/>
        </w:rPr>
        <w:t>No eWater</w:t>
      </w:r>
      <w:r>
        <w:t>’; grey bars). Black diamonds represent mean values. Results of the generalised linear models used to run the scenarios are given in Tables D7 (density) and D8 (taxonomic richness) in Appendix D.</w:t>
      </w:r>
      <w:bookmarkEnd w:id="254"/>
    </w:p>
    <w:p w14:paraId="7AE88787" w14:textId="77777777" w:rsidR="0014455D" w:rsidRDefault="0014455D" w:rsidP="0014455D">
      <w:pPr>
        <w:rPr>
          <w:i/>
          <w:iCs/>
          <w:color w:val="2F5496" w:themeColor="accent5" w:themeShade="BF"/>
          <w:sz w:val="18"/>
          <w:szCs w:val="16"/>
        </w:rPr>
      </w:pPr>
      <w:r w:rsidRPr="009E2AA1">
        <w:rPr>
          <w:i/>
          <w:iCs/>
          <w:color w:val="2F5496" w:themeColor="accent5" w:themeShade="BF"/>
          <w:sz w:val="18"/>
          <w:szCs w:val="16"/>
        </w:rPr>
        <w:t>H</w:t>
      </w:r>
      <w:r>
        <w:rPr>
          <w:i/>
          <w:iCs/>
          <w:color w:val="2F5496" w:themeColor="accent5" w:themeShade="BF"/>
          <w:sz w:val="18"/>
          <w:szCs w:val="16"/>
        </w:rPr>
        <w:t>2</w:t>
      </w:r>
      <w:r w:rsidRPr="009E2AA1">
        <w:rPr>
          <w:i/>
          <w:iCs/>
          <w:color w:val="2F5496" w:themeColor="accent5" w:themeShade="BF"/>
          <w:sz w:val="18"/>
          <w:szCs w:val="16"/>
        </w:rPr>
        <w:t xml:space="preserve">: </w:t>
      </w:r>
      <w:r>
        <w:rPr>
          <w:i/>
          <w:iCs/>
          <w:color w:val="2F5496" w:themeColor="accent5" w:themeShade="BF"/>
          <w:sz w:val="18"/>
          <w:szCs w:val="16"/>
        </w:rPr>
        <w:t>Taxa associated with lateral and longitudinal connectivity</w:t>
      </w:r>
    </w:p>
    <w:p w14:paraId="45A4390F" w14:textId="77777777" w:rsidR="0014455D" w:rsidRDefault="0014455D" w:rsidP="0014455D">
      <w:r>
        <w:t>In 2020-21, modelling indicated that the density of floodplain dependent taxa was 20% lower than if no environmental water was delivered (mean difference = -7 [-17, 3]</w:t>
      </w:r>
      <w:r w:rsidRPr="0052781F">
        <w:t xml:space="preserve"> </w:t>
      </w:r>
      <w:r>
        <w:t>ind/L;</w:t>
      </w:r>
      <w:r w:rsidRPr="00337BAB">
        <w:rPr>
          <w:i/>
          <w:iCs/>
        </w:rPr>
        <w:t xml:space="preserve"> t</w:t>
      </w:r>
      <w:r w:rsidRPr="00337BAB">
        <w:t xml:space="preserve"> = </w:t>
      </w:r>
      <w:r>
        <w:t>-1.41</w:t>
      </w:r>
      <w:r w:rsidRPr="00337BAB">
        <w:t xml:space="preserve">, df = </w:t>
      </w:r>
      <w:r>
        <w:t>20</w:t>
      </w:r>
      <w:r w:rsidRPr="00337BAB">
        <w:t xml:space="preserve">, </w:t>
      </w:r>
      <w:r w:rsidRPr="005F3EEE">
        <w:rPr>
          <w:i/>
          <w:iCs/>
        </w:rPr>
        <w:t>p</w:t>
      </w:r>
      <w:r w:rsidRPr="00337BAB">
        <w:t xml:space="preserve"> = </w:t>
      </w:r>
      <w:r>
        <w:t>0.173) (</w:t>
      </w:r>
      <w:r>
        <w:fldChar w:fldCharType="begin"/>
      </w:r>
      <w:r>
        <w:instrText xml:space="preserve"> REF _Ref63782328 \h </w:instrText>
      </w:r>
      <w:r>
        <w:fldChar w:fldCharType="separate"/>
      </w:r>
      <w:r>
        <w:t xml:space="preserve">Figure </w:t>
      </w:r>
      <w:r>
        <w:rPr>
          <w:noProof/>
        </w:rPr>
        <w:t>41</w:t>
      </w:r>
      <w:r>
        <w:fldChar w:fldCharType="end"/>
      </w:r>
      <w:r>
        <w:t>a). Furthermore, modelling indicated that the density of these taxa was 27% lower in density than if no Commonwealth environmental water was delivered (mean difference = -9 [-19, 1] ind/L;</w:t>
      </w:r>
      <w:r w:rsidRPr="00337BAB">
        <w:rPr>
          <w:i/>
          <w:iCs/>
        </w:rPr>
        <w:t xml:space="preserve"> t</w:t>
      </w:r>
      <w:r w:rsidRPr="00337BAB">
        <w:t xml:space="preserve"> = </w:t>
      </w:r>
      <w:r>
        <w:t>-1.93</w:t>
      </w:r>
      <w:r w:rsidRPr="00337BAB">
        <w:t xml:space="preserve">, df = </w:t>
      </w:r>
      <w:r>
        <w:t>20</w:t>
      </w:r>
      <w:r w:rsidRPr="00337BAB">
        <w:t xml:space="preserve">, </w:t>
      </w:r>
      <w:r w:rsidRPr="005F3EEE">
        <w:rPr>
          <w:i/>
          <w:iCs/>
        </w:rPr>
        <w:t>p</w:t>
      </w:r>
      <w:r w:rsidRPr="00337BAB">
        <w:t xml:space="preserve"> = </w:t>
      </w:r>
      <w:r>
        <w:t>0.068).</w:t>
      </w:r>
    </w:p>
    <w:p w14:paraId="1F474A74" w14:textId="03E35781" w:rsidR="0014455D" w:rsidRDefault="0014455D" w:rsidP="0014455D">
      <w:r>
        <w:t>Conversely, in 2020-21, modelling indicated that the density of taxa common to upstream areas increased 54% due to environmental water delivery, improving longitudinal connectivity (mean difference = 330 [220, 441] ind/L;</w:t>
      </w:r>
      <w:r w:rsidRPr="00337BAB">
        <w:rPr>
          <w:i/>
          <w:iCs/>
        </w:rPr>
        <w:t xml:space="preserve"> t</w:t>
      </w:r>
      <w:r w:rsidRPr="00337BAB">
        <w:t xml:space="preserve"> = </w:t>
      </w:r>
      <w:r>
        <w:t>6.23</w:t>
      </w:r>
      <w:r w:rsidRPr="00337BAB">
        <w:t xml:space="preserve">, df = </w:t>
      </w:r>
      <w:r>
        <w:t>20</w:t>
      </w:r>
      <w:r w:rsidRPr="00337BAB">
        <w:t xml:space="preserve">, </w:t>
      </w:r>
      <w:r w:rsidRPr="005F3EEE">
        <w:rPr>
          <w:i/>
          <w:iCs/>
        </w:rPr>
        <w:t>p</w:t>
      </w:r>
      <w:r w:rsidRPr="00337BAB">
        <w:t xml:space="preserve"> </w:t>
      </w:r>
      <w:r>
        <w:t>&lt; 0.001) (</w:t>
      </w:r>
      <w:r>
        <w:fldChar w:fldCharType="begin"/>
      </w:r>
      <w:r>
        <w:instrText xml:space="preserve"> REF _Ref63782328 \h </w:instrText>
      </w:r>
      <w:r>
        <w:fldChar w:fldCharType="separate"/>
      </w:r>
      <w:r>
        <w:t xml:space="preserve">Figure </w:t>
      </w:r>
      <w:r>
        <w:rPr>
          <w:noProof/>
        </w:rPr>
        <w:t>41</w:t>
      </w:r>
      <w:r>
        <w:fldChar w:fldCharType="end"/>
      </w:r>
      <w:r>
        <w:t>b). Commonwealth environmental water was estimated to account for 74% of this (mean difference = 245 [157, 334] ind/L;</w:t>
      </w:r>
      <w:r w:rsidRPr="00337BAB">
        <w:rPr>
          <w:i/>
          <w:iCs/>
        </w:rPr>
        <w:t xml:space="preserve"> t</w:t>
      </w:r>
      <w:r w:rsidRPr="00337BAB">
        <w:t xml:space="preserve"> = </w:t>
      </w:r>
      <w:r>
        <w:t>5.79</w:t>
      </w:r>
      <w:r w:rsidRPr="00337BAB">
        <w:t xml:space="preserve">, df = </w:t>
      </w:r>
      <w:r>
        <w:t>20</w:t>
      </w:r>
      <w:r w:rsidRPr="00337BAB">
        <w:t xml:space="preserve">, </w:t>
      </w:r>
      <w:r w:rsidRPr="005F3EEE">
        <w:rPr>
          <w:i/>
          <w:iCs/>
        </w:rPr>
        <w:t>p</w:t>
      </w:r>
      <w:r w:rsidRPr="00337BAB">
        <w:t xml:space="preserve"> </w:t>
      </w:r>
      <w:r>
        <w:t>&lt; 0.001) (</w:t>
      </w:r>
      <w:r>
        <w:fldChar w:fldCharType="begin"/>
      </w:r>
      <w:r>
        <w:instrText xml:space="preserve"> REF _Ref63782328 \h </w:instrText>
      </w:r>
      <w:r>
        <w:fldChar w:fldCharType="separate"/>
      </w:r>
      <w:r>
        <w:t xml:space="preserve">Figure </w:t>
      </w:r>
      <w:r>
        <w:rPr>
          <w:noProof/>
        </w:rPr>
        <w:t>41</w:t>
      </w:r>
      <w:r>
        <w:fldChar w:fldCharType="end"/>
      </w:r>
      <w:r>
        <w:t>b).</w:t>
      </w:r>
    </w:p>
    <w:p w14:paraId="0D00190A" w14:textId="77777777" w:rsidR="0014455D" w:rsidRDefault="0014455D" w:rsidP="0014455D">
      <w:pPr>
        <w:keepNext/>
      </w:pPr>
      <w:r>
        <w:rPr>
          <w:noProof/>
        </w:rPr>
        <w:drawing>
          <wp:inline distT="0" distB="0" distL="0" distR="0" wp14:anchorId="59D41105" wp14:editId="2C76DA91">
            <wp:extent cx="5628096" cy="5391150"/>
            <wp:effectExtent l="0" t="0" r="0" b="0"/>
            <wp:docPr id="9" name="Picture 9" descr="A picture containing text, indoor, screensho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screenshot, several&#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28849" cy="5391871"/>
                    </a:xfrm>
                    <a:prstGeom prst="rect">
                      <a:avLst/>
                    </a:prstGeom>
                  </pic:spPr>
                </pic:pic>
              </a:graphicData>
            </a:graphic>
          </wp:inline>
        </w:drawing>
      </w:r>
    </w:p>
    <w:p w14:paraId="57CD4064" w14:textId="77777777" w:rsidR="0014455D" w:rsidRDefault="0014455D" w:rsidP="0014455D">
      <w:pPr>
        <w:pStyle w:val="Captions"/>
      </w:pPr>
      <w:bookmarkStart w:id="255" w:name="_Ref63782328"/>
      <w:bookmarkStart w:id="256" w:name="_Toc101963833"/>
      <w:r>
        <w:t xml:space="preserve">Figure </w:t>
      </w:r>
      <w:r>
        <w:fldChar w:fldCharType="begin"/>
      </w:r>
      <w:r>
        <w:instrText xml:space="preserve"> SEQ Figure \* ARABIC </w:instrText>
      </w:r>
      <w:r>
        <w:fldChar w:fldCharType="separate"/>
      </w:r>
      <w:r>
        <w:rPr>
          <w:noProof/>
        </w:rPr>
        <w:t>41</w:t>
      </w:r>
      <w:r>
        <w:fldChar w:fldCharType="end"/>
      </w:r>
      <w:bookmarkEnd w:id="255"/>
      <w:r>
        <w:t>. Observed and modelled density (individuals per litre, ind/L) with and without environmental water (a) microinvertebrate taxa associated with lateral connectivity to floodplains and backwaters and (b) microinvertebrate taxa associated with longitudinal transport and connectivity with upstream areas by water year over the period 2014−2021 (2018-19 not sampled). In each panel, observed data (‘</w:t>
      </w:r>
      <w:r w:rsidRPr="001F1650">
        <w:rPr>
          <w:i/>
          <w:iCs/>
        </w:rPr>
        <w:t>Observed</w:t>
      </w:r>
      <w:r>
        <w:t xml:space="preserve">’; blue bars) for all samples in the water year shown on the </w:t>
      </w:r>
      <w:r w:rsidRPr="00D741C7">
        <w:t>x</w:t>
      </w:r>
      <w:r>
        <w:t>-axis are compared with modelled expectations under two environmental flow scenarios: Under no Commonwealth environmental water delivery (‘</w:t>
      </w:r>
      <w:r w:rsidRPr="001F1650">
        <w:rPr>
          <w:i/>
          <w:iCs/>
        </w:rPr>
        <w:t>No CEW</w:t>
      </w:r>
      <w:r>
        <w:t>’; orange bars) and if no environmental water were provided at all (‘</w:t>
      </w:r>
      <w:r w:rsidRPr="001F1650">
        <w:rPr>
          <w:i/>
          <w:iCs/>
        </w:rPr>
        <w:t>No eWater</w:t>
      </w:r>
      <w:r>
        <w:t>’; grey bars). Black diamonds represent mean values. Results of the generalised linear models used to run the scenarios are given in Tables D9 (taxa associated with lateral connectivity to floodplains and backwaters) and D10 (taxa associated with longitudinal transport and connectivity) in Appendix D.</w:t>
      </w:r>
      <w:bookmarkEnd w:id="256"/>
    </w:p>
    <w:p w14:paraId="782C1929" w14:textId="77777777" w:rsidR="0014455D" w:rsidRDefault="0014455D" w:rsidP="0014455D">
      <w:pPr>
        <w:rPr>
          <w:i/>
          <w:iCs/>
          <w:color w:val="2F5496" w:themeColor="accent5" w:themeShade="BF"/>
          <w:sz w:val="18"/>
          <w:szCs w:val="16"/>
        </w:rPr>
      </w:pPr>
      <w:r w:rsidRPr="009E2AA1">
        <w:rPr>
          <w:i/>
          <w:iCs/>
          <w:color w:val="2F5496" w:themeColor="accent5" w:themeShade="BF"/>
          <w:sz w:val="18"/>
          <w:szCs w:val="16"/>
        </w:rPr>
        <w:t>H</w:t>
      </w:r>
      <w:r>
        <w:rPr>
          <w:i/>
          <w:iCs/>
          <w:color w:val="2F5496" w:themeColor="accent5" w:themeShade="BF"/>
          <w:sz w:val="18"/>
          <w:szCs w:val="16"/>
        </w:rPr>
        <w:t>3</w:t>
      </w:r>
      <w:r w:rsidRPr="009E2AA1">
        <w:rPr>
          <w:i/>
          <w:iCs/>
          <w:color w:val="2F5496" w:themeColor="accent5" w:themeShade="BF"/>
          <w:sz w:val="18"/>
          <w:szCs w:val="16"/>
        </w:rPr>
        <w:t xml:space="preserve">: </w:t>
      </w:r>
      <w:r>
        <w:rPr>
          <w:i/>
          <w:iCs/>
          <w:color w:val="2F5496" w:themeColor="accent5" w:themeShade="BF"/>
          <w:sz w:val="18"/>
          <w:szCs w:val="16"/>
        </w:rPr>
        <w:t>S</w:t>
      </w:r>
      <w:r w:rsidRPr="005E42FB">
        <w:rPr>
          <w:i/>
          <w:iCs/>
          <w:color w:val="2F5496" w:themeColor="accent5" w:themeShade="BF"/>
          <w:sz w:val="18"/>
          <w:szCs w:val="16"/>
        </w:rPr>
        <w:t xml:space="preserve">pring-early summer </w:t>
      </w:r>
      <w:r>
        <w:rPr>
          <w:i/>
          <w:iCs/>
          <w:color w:val="2F5496" w:themeColor="accent5" w:themeShade="BF"/>
          <w:sz w:val="18"/>
          <w:szCs w:val="16"/>
        </w:rPr>
        <w:t>microinvertebrate prey species density</w:t>
      </w:r>
    </w:p>
    <w:p w14:paraId="4ECE3C1F" w14:textId="77777777" w:rsidR="0014455D" w:rsidRPr="00AE0D4B" w:rsidRDefault="0014455D" w:rsidP="0014455D">
      <w:r>
        <w:t>For the 2020-21 sampling season, modelled spring prey species density was 41% lower (</w:t>
      </w:r>
      <w:r w:rsidRPr="00EC3D26">
        <w:t>mean difference</w:t>
      </w:r>
      <w:r>
        <w:t xml:space="preserve"> -13</w:t>
      </w:r>
      <w:r w:rsidRPr="00EC3D26">
        <w:t xml:space="preserve"> </w:t>
      </w:r>
      <w:r>
        <w:t>ind/L</w:t>
      </w:r>
      <w:r w:rsidRPr="00EC3D26">
        <w:t xml:space="preserve"> ±[ 95% CI</w:t>
      </w:r>
      <w:r>
        <w:t xml:space="preserve"> -23, -4</w:t>
      </w:r>
      <w:r w:rsidRPr="00EC3D26">
        <w:t>]</w:t>
      </w:r>
      <w:r>
        <w:t xml:space="preserve"> in</w:t>
      </w:r>
      <w:r w:rsidRPr="00EC3D26">
        <w:t xml:space="preserve"> observed </w:t>
      </w:r>
      <w:r>
        <w:t xml:space="preserve">than </w:t>
      </w:r>
      <w:r w:rsidRPr="00EC3D26">
        <w:t xml:space="preserve">no environmental water </w:t>
      </w:r>
      <w:r>
        <w:t>scenarios (</w:t>
      </w:r>
      <w:r w:rsidRPr="00337BAB">
        <w:rPr>
          <w:i/>
          <w:iCs/>
        </w:rPr>
        <w:t>t</w:t>
      </w:r>
      <w:r w:rsidRPr="00337BAB">
        <w:t xml:space="preserve"> = </w:t>
      </w:r>
      <w:r>
        <w:t>-2.95</w:t>
      </w:r>
      <w:r w:rsidRPr="00337BAB">
        <w:t xml:space="preserve">, df = </w:t>
      </w:r>
      <w:r>
        <w:t>17</w:t>
      </w:r>
      <w:r w:rsidRPr="00337BAB">
        <w:t xml:space="preserve">, </w:t>
      </w:r>
      <w:r w:rsidRPr="005F3EEE">
        <w:rPr>
          <w:i/>
          <w:iCs/>
        </w:rPr>
        <w:t>p</w:t>
      </w:r>
      <w:r w:rsidRPr="00337BAB">
        <w:t xml:space="preserve"> = </w:t>
      </w:r>
      <w:r>
        <w:t xml:space="preserve">0.009). Commonwealth environmental water was estimated to account for 99.5% of this difference (-13 ind/L </w:t>
      </w:r>
      <w:r w:rsidRPr="00EC3D26">
        <w:t>[</w:t>
      </w:r>
      <w:r>
        <w:t>-22</w:t>
      </w:r>
      <w:r w:rsidRPr="00EC3D26">
        <w:t>,</w:t>
      </w:r>
      <w:r>
        <w:t xml:space="preserve"> -4</w:t>
      </w:r>
      <w:r w:rsidRPr="00EC3D26">
        <w:t>]</w:t>
      </w:r>
      <w:r>
        <w:t xml:space="preserve">; </w:t>
      </w:r>
      <w:r w:rsidRPr="00337BAB">
        <w:rPr>
          <w:i/>
          <w:iCs/>
        </w:rPr>
        <w:t>t</w:t>
      </w:r>
      <w:r w:rsidRPr="00337BAB">
        <w:t xml:space="preserve"> = </w:t>
      </w:r>
      <w:r>
        <w:t>-3.08</w:t>
      </w:r>
      <w:r w:rsidRPr="00337BAB">
        <w:t xml:space="preserve">, df = </w:t>
      </w:r>
      <w:r>
        <w:t>17</w:t>
      </w:r>
      <w:r w:rsidRPr="00337BAB">
        <w:t xml:space="preserve">, </w:t>
      </w:r>
      <w:r w:rsidRPr="005F3EEE">
        <w:rPr>
          <w:i/>
          <w:iCs/>
        </w:rPr>
        <w:t>p</w:t>
      </w:r>
      <w:r w:rsidRPr="00337BAB">
        <w:t xml:space="preserve"> =</w:t>
      </w:r>
      <w:r>
        <w:t xml:space="preserve"> 0.007)</w:t>
      </w:r>
      <w:r w:rsidRPr="00EC3D26">
        <w:t xml:space="preserve"> per </w:t>
      </w:r>
      <w:r>
        <w:t>sampling event.</w:t>
      </w:r>
    </w:p>
    <w:p w14:paraId="58E53F69" w14:textId="77777777" w:rsidR="0014455D" w:rsidRDefault="0014455D" w:rsidP="0014455D"/>
    <w:p w14:paraId="6DBE8A4A" w14:textId="77777777" w:rsidR="0014455D" w:rsidRDefault="0014455D" w:rsidP="0014455D">
      <w:pPr>
        <w:keepNext/>
        <w:jc w:val="center"/>
      </w:pPr>
      <w:r>
        <w:rPr>
          <w:noProof/>
        </w:rPr>
        <w:drawing>
          <wp:inline distT="0" distB="0" distL="0" distR="0" wp14:anchorId="3C4DBC05" wp14:editId="0D32EAAE">
            <wp:extent cx="5731510" cy="4298950"/>
            <wp:effectExtent l="0" t="0" r="2540" b="6350"/>
            <wp:docPr id="28" name="Picture 2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ox and whisker chart&#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1CC2F58" w14:textId="77777777" w:rsidR="0014455D" w:rsidRDefault="0014455D" w:rsidP="0014455D">
      <w:pPr>
        <w:pStyle w:val="Captions"/>
      </w:pPr>
      <w:bookmarkStart w:id="257" w:name="_Ref63781787"/>
      <w:bookmarkStart w:id="258" w:name="_Toc101963834"/>
      <w:r>
        <w:t xml:space="preserve">Figure </w:t>
      </w:r>
      <w:r>
        <w:fldChar w:fldCharType="begin"/>
      </w:r>
      <w:r>
        <w:instrText xml:space="preserve"> SEQ Figure \* ARABIC </w:instrText>
      </w:r>
      <w:r>
        <w:fldChar w:fldCharType="separate"/>
      </w:r>
      <w:r>
        <w:rPr>
          <w:noProof/>
        </w:rPr>
        <w:t>42</w:t>
      </w:r>
      <w:r>
        <w:fldChar w:fldCharType="end"/>
      </w:r>
      <w:bookmarkEnd w:id="257"/>
      <w:r>
        <w:t>. Observed and modelled density (individuals per litre, ind/L) of microinvertebrate prey taxa for large-bodied fish larvae in the Lower Murray during spring–early summer (mid-October to late-December).</w:t>
      </w:r>
      <w:r w:rsidRPr="00A46E93">
        <w:t xml:space="preserve"> </w:t>
      </w:r>
      <w:r>
        <w:t>In each panel, observed data (‘</w:t>
      </w:r>
      <w:r w:rsidRPr="001F1650">
        <w:rPr>
          <w:i/>
          <w:iCs/>
        </w:rPr>
        <w:t>Observed</w:t>
      </w:r>
      <w:r>
        <w:t xml:space="preserve">’; blue bars) for all samples in the water year shown on the </w:t>
      </w:r>
      <w:r w:rsidRPr="00D741C7">
        <w:t>x</w:t>
      </w:r>
      <w:r>
        <w:t>-axis are compared with modelled expectations under two environmental flow scenarios: Under no Commonwealth environmental water delivery (‘</w:t>
      </w:r>
      <w:r w:rsidRPr="001F1650">
        <w:rPr>
          <w:i/>
          <w:iCs/>
        </w:rPr>
        <w:t>No CEW</w:t>
      </w:r>
      <w:r>
        <w:t>’; orange bars) and if no environmental water were provided at all (‘</w:t>
      </w:r>
      <w:r w:rsidRPr="001F1650">
        <w:rPr>
          <w:i/>
          <w:iCs/>
        </w:rPr>
        <w:t>No eWater</w:t>
      </w:r>
      <w:r>
        <w:t>’; grey bars). Black diamonds represent mean values. Results of the generalised linear models used to run the scenarios are given in Table D11 in Appendix D.</w:t>
      </w:r>
      <w:bookmarkEnd w:id="258"/>
    </w:p>
    <w:p w14:paraId="5141238D" w14:textId="77777777" w:rsidR="0014455D" w:rsidRDefault="0014455D" w:rsidP="0014455D"/>
    <w:p w14:paraId="4AFDB73B" w14:textId="77777777" w:rsidR="0014455D" w:rsidRDefault="0014455D" w:rsidP="0014455D">
      <w:pPr>
        <w:spacing w:before="0" w:after="160" w:line="259" w:lineRule="auto"/>
        <w:jc w:val="left"/>
        <w:rPr>
          <w:rFonts w:eastAsiaTheme="majorEastAsia" w:cstheme="majorBidi"/>
          <w:b/>
          <w:i/>
          <w:color w:val="44546A" w:themeColor="text2"/>
          <w:sz w:val="24"/>
          <w:szCs w:val="24"/>
        </w:rPr>
      </w:pPr>
      <w:r>
        <w:br w:type="page"/>
      </w:r>
    </w:p>
    <w:p w14:paraId="026B3891" w14:textId="77777777" w:rsidR="0014455D" w:rsidRDefault="0014455D" w:rsidP="0014455D">
      <w:pPr>
        <w:pStyle w:val="Heading3"/>
      </w:pPr>
      <w:r>
        <w:t>Evaluation</w:t>
      </w:r>
    </w:p>
    <w:p w14:paraId="6665B5E4" w14:textId="77777777" w:rsidR="0014455D" w:rsidRDefault="0014455D" w:rsidP="0014455D">
      <w:pPr>
        <w:pStyle w:val="Caption"/>
        <w:keepNext/>
      </w:pPr>
      <w:bookmarkStart w:id="259" w:name="_Ref93579461"/>
      <w:bookmarkStart w:id="260" w:name="_Toc101963875"/>
      <w:r>
        <w:t xml:space="preserve">Table </w:t>
      </w:r>
      <w:fldSimple w:instr=" SEQ Table \* ARABIC ">
        <w:r>
          <w:rPr>
            <w:noProof/>
          </w:rPr>
          <w:t>17</w:t>
        </w:r>
      </w:fldSimple>
      <w:bookmarkEnd w:id="259"/>
      <w:r>
        <w:t>. Microinvertebrate Assemblage evaluation questions and answers. CEW = Commonwealth environmental water, eWater = environmental water. Hypotheses: H1a, H1b, H2a, H2b and H3. The m</w:t>
      </w:r>
      <w:r w:rsidRPr="00AB2146">
        <w:t xml:space="preserve">ean [95% CI] and % attributable to CEW contributions for each water year are detailed </w:t>
      </w:r>
      <w:r>
        <w:t>for each evaluation question and each water year</w:t>
      </w:r>
      <w:r w:rsidRPr="00AB2146">
        <w:t>.</w:t>
      </w:r>
      <w:r>
        <w:t xml:space="preserve"> The significance of the contribution was classified as </w:t>
      </w:r>
      <w:r w:rsidRPr="00FA42BD">
        <w:t xml:space="preserve">none-negligible </w:t>
      </w:r>
      <w:r>
        <w:t>if the contribution was</w:t>
      </w:r>
      <w:r w:rsidRPr="00FA42BD">
        <w:t xml:space="preserve"> 0</w:t>
      </w:r>
      <w:r>
        <w:t>–</w:t>
      </w:r>
      <w:r w:rsidRPr="00FA42BD">
        <w:t>9%</w:t>
      </w:r>
      <w:r>
        <w:t>,</w:t>
      </w:r>
      <w:r w:rsidRPr="00FA42BD">
        <w:t xml:space="preserve"> minor = 10</w:t>
      </w:r>
      <w:r>
        <w:t>–</w:t>
      </w:r>
      <w:r w:rsidRPr="00FA42BD">
        <w:t>19%, moderate =20</w:t>
      </w:r>
      <w:r>
        <w:t>–</w:t>
      </w:r>
      <w:r w:rsidRPr="00FA42BD">
        <w:t>29%</w:t>
      </w:r>
      <w:r>
        <w:t xml:space="preserve"> and</w:t>
      </w:r>
      <w:r w:rsidRPr="00FA42BD">
        <w:t xml:space="preserve"> substantial = </w:t>
      </w:r>
      <w:r>
        <w:t>≥</w:t>
      </w:r>
      <w:r w:rsidRPr="00FA42BD">
        <w:t>30%</w:t>
      </w:r>
      <w:r>
        <w:t>.</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9"/>
        <w:gridCol w:w="1234"/>
        <w:gridCol w:w="1233"/>
        <w:gridCol w:w="1233"/>
        <w:gridCol w:w="1233"/>
        <w:gridCol w:w="1233"/>
        <w:gridCol w:w="1241"/>
      </w:tblGrid>
      <w:tr w:rsidR="0014455D" w:rsidRPr="00C53492" w14:paraId="36E00EA9" w14:textId="77777777" w:rsidTr="00902C23">
        <w:trPr>
          <w:cantSplit/>
          <w:trHeight w:val="20"/>
          <w:tblHeader/>
        </w:trPr>
        <w:tc>
          <w:tcPr>
            <w:tcW w:w="892" w:type="pct"/>
            <w:vMerge w:val="restart"/>
            <w:tcBorders>
              <w:top w:val="single" w:sz="4" w:space="0" w:color="auto"/>
              <w:left w:val="single" w:sz="4" w:space="0" w:color="auto"/>
              <w:right w:val="single" w:sz="4" w:space="0" w:color="auto"/>
            </w:tcBorders>
            <w:shd w:val="clear" w:color="auto" w:fill="auto"/>
          </w:tcPr>
          <w:p w14:paraId="66FFD3E7" w14:textId="77777777" w:rsidR="0014455D" w:rsidRPr="00863BAE" w:rsidRDefault="0014455D" w:rsidP="00902C23">
            <w:pPr>
              <w:pStyle w:val="TableText"/>
              <w:spacing w:line="240" w:lineRule="auto"/>
              <w:rPr>
                <w:b/>
                <w:bCs/>
                <w:sz w:val="16"/>
              </w:rPr>
            </w:pPr>
            <w:bookmarkStart w:id="261" w:name="_Hlk95049237"/>
            <w:r w:rsidRPr="00863BAE">
              <w:rPr>
                <w:b/>
                <w:bCs/>
                <w:sz w:val="16"/>
              </w:rPr>
              <w:t xml:space="preserve">CEWO evaluation questions </w:t>
            </w:r>
          </w:p>
        </w:tc>
        <w:tc>
          <w:tcPr>
            <w:tcW w:w="4108" w:type="pct"/>
            <w:gridSpan w:val="6"/>
            <w:tcBorders>
              <w:top w:val="single" w:sz="4" w:space="0" w:color="auto"/>
              <w:left w:val="single" w:sz="4" w:space="0" w:color="auto"/>
              <w:right w:val="single" w:sz="4" w:space="0" w:color="auto"/>
            </w:tcBorders>
          </w:tcPr>
          <w:p w14:paraId="7F714138" w14:textId="77777777" w:rsidR="0014455D" w:rsidRPr="00863BAE" w:rsidRDefault="0014455D" w:rsidP="00902C23">
            <w:pPr>
              <w:pStyle w:val="TableText"/>
              <w:spacing w:line="240" w:lineRule="auto"/>
              <w:rPr>
                <w:b/>
                <w:bCs/>
                <w:sz w:val="16"/>
              </w:rPr>
            </w:pPr>
            <w:r w:rsidRPr="00863BAE">
              <w:rPr>
                <w:b/>
                <w:bCs/>
                <w:sz w:val="16"/>
              </w:rPr>
              <w:t>Outcomes of CEW delivery</w:t>
            </w:r>
          </w:p>
        </w:tc>
      </w:tr>
      <w:tr w:rsidR="0014455D" w:rsidRPr="00C53492" w14:paraId="2D864DF0" w14:textId="77777777" w:rsidTr="00902C23">
        <w:trPr>
          <w:cantSplit/>
          <w:trHeight w:val="20"/>
          <w:tblHeader/>
        </w:trPr>
        <w:tc>
          <w:tcPr>
            <w:tcW w:w="892" w:type="pct"/>
            <w:vMerge/>
            <w:tcBorders>
              <w:left w:val="single" w:sz="4" w:space="0" w:color="auto"/>
              <w:bottom w:val="single" w:sz="4" w:space="0" w:color="auto"/>
              <w:right w:val="single" w:sz="4" w:space="0" w:color="auto"/>
            </w:tcBorders>
            <w:shd w:val="clear" w:color="auto" w:fill="auto"/>
          </w:tcPr>
          <w:p w14:paraId="4C9F330C" w14:textId="77777777" w:rsidR="0014455D" w:rsidRPr="00863BAE" w:rsidRDefault="0014455D" w:rsidP="00902C23">
            <w:pPr>
              <w:pStyle w:val="TableText"/>
              <w:spacing w:line="240" w:lineRule="auto"/>
              <w:rPr>
                <w:b/>
                <w:bCs/>
                <w:sz w:val="16"/>
              </w:rPr>
            </w:pPr>
          </w:p>
        </w:tc>
        <w:tc>
          <w:tcPr>
            <w:tcW w:w="684" w:type="pct"/>
            <w:tcBorders>
              <w:bottom w:val="single" w:sz="4" w:space="0" w:color="auto"/>
            </w:tcBorders>
            <w:vAlign w:val="bottom"/>
          </w:tcPr>
          <w:p w14:paraId="12764268" w14:textId="77777777" w:rsidR="0014455D" w:rsidRPr="00863BAE" w:rsidRDefault="0014455D" w:rsidP="00902C23">
            <w:pPr>
              <w:pStyle w:val="TableText"/>
              <w:spacing w:line="240" w:lineRule="auto"/>
              <w:rPr>
                <w:b/>
                <w:bCs/>
                <w:sz w:val="16"/>
              </w:rPr>
            </w:pPr>
            <w:r w:rsidRPr="00863BAE">
              <w:rPr>
                <w:b/>
                <w:bCs/>
                <w:sz w:val="16"/>
              </w:rPr>
              <w:t>2014-15*</w:t>
            </w:r>
          </w:p>
        </w:tc>
        <w:tc>
          <w:tcPr>
            <w:tcW w:w="684" w:type="pct"/>
            <w:tcBorders>
              <w:bottom w:val="single" w:sz="4" w:space="0" w:color="auto"/>
            </w:tcBorders>
            <w:vAlign w:val="bottom"/>
          </w:tcPr>
          <w:p w14:paraId="5DDE4A99" w14:textId="77777777" w:rsidR="0014455D" w:rsidRPr="00863BAE" w:rsidRDefault="0014455D" w:rsidP="00902C23">
            <w:pPr>
              <w:pStyle w:val="TableText"/>
              <w:spacing w:line="240" w:lineRule="auto"/>
              <w:rPr>
                <w:b/>
                <w:bCs/>
                <w:sz w:val="16"/>
              </w:rPr>
            </w:pPr>
            <w:r w:rsidRPr="00863BAE">
              <w:rPr>
                <w:b/>
                <w:bCs/>
                <w:sz w:val="16"/>
              </w:rPr>
              <w:t>2015-16*</w:t>
            </w:r>
          </w:p>
        </w:tc>
        <w:tc>
          <w:tcPr>
            <w:tcW w:w="684" w:type="pct"/>
            <w:tcBorders>
              <w:bottom w:val="single" w:sz="4" w:space="0" w:color="auto"/>
            </w:tcBorders>
            <w:vAlign w:val="bottom"/>
          </w:tcPr>
          <w:p w14:paraId="33E0BFFA" w14:textId="77777777" w:rsidR="0014455D" w:rsidRPr="00863BAE" w:rsidRDefault="0014455D" w:rsidP="00902C23">
            <w:pPr>
              <w:pStyle w:val="TableText"/>
              <w:spacing w:line="240" w:lineRule="auto"/>
              <w:rPr>
                <w:b/>
                <w:bCs/>
                <w:sz w:val="16"/>
              </w:rPr>
            </w:pPr>
            <w:r w:rsidRPr="00863BAE">
              <w:rPr>
                <w:b/>
                <w:bCs/>
                <w:sz w:val="16"/>
              </w:rPr>
              <w:t>2016-17</w:t>
            </w:r>
          </w:p>
        </w:tc>
        <w:tc>
          <w:tcPr>
            <w:tcW w:w="684" w:type="pct"/>
            <w:tcBorders>
              <w:bottom w:val="single" w:sz="4" w:space="0" w:color="auto"/>
            </w:tcBorders>
            <w:vAlign w:val="bottom"/>
          </w:tcPr>
          <w:p w14:paraId="50319EFA" w14:textId="77777777" w:rsidR="0014455D" w:rsidRPr="00863BAE" w:rsidRDefault="0014455D" w:rsidP="00902C23">
            <w:pPr>
              <w:pStyle w:val="TableText"/>
              <w:spacing w:line="240" w:lineRule="auto"/>
              <w:rPr>
                <w:b/>
                <w:bCs/>
                <w:sz w:val="16"/>
              </w:rPr>
            </w:pPr>
            <w:r w:rsidRPr="00863BAE">
              <w:rPr>
                <w:b/>
                <w:bCs/>
                <w:sz w:val="16"/>
              </w:rPr>
              <w:t>2017-18*</w:t>
            </w:r>
          </w:p>
        </w:tc>
        <w:tc>
          <w:tcPr>
            <w:tcW w:w="684" w:type="pct"/>
            <w:tcBorders>
              <w:top w:val="single" w:sz="4" w:space="0" w:color="auto"/>
              <w:bottom w:val="single" w:sz="4" w:space="0" w:color="auto"/>
            </w:tcBorders>
          </w:tcPr>
          <w:p w14:paraId="1AACCFC3" w14:textId="77777777" w:rsidR="0014455D" w:rsidRPr="00863BAE" w:rsidRDefault="0014455D" w:rsidP="00902C23">
            <w:pPr>
              <w:pStyle w:val="TableText"/>
              <w:spacing w:line="240" w:lineRule="auto"/>
              <w:rPr>
                <w:b/>
                <w:bCs/>
                <w:sz w:val="16"/>
              </w:rPr>
            </w:pPr>
            <w:r w:rsidRPr="00863BAE">
              <w:rPr>
                <w:b/>
                <w:bCs/>
                <w:sz w:val="16"/>
              </w:rPr>
              <w:t>2019-20*</w:t>
            </w:r>
          </w:p>
        </w:tc>
        <w:tc>
          <w:tcPr>
            <w:tcW w:w="688" w:type="pct"/>
            <w:tcBorders>
              <w:top w:val="single" w:sz="4" w:space="0" w:color="auto"/>
              <w:bottom w:val="single" w:sz="4" w:space="0" w:color="auto"/>
            </w:tcBorders>
          </w:tcPr>
          <w:p w14:paraId="72AB37BD" w14:textId="77777777" w:rsidR="0014455D" w:rsidRPr="00863BAE" w:rsidRDefault="0014455D" w:rsidP="00902C23">
            <w:pPr>
              <w:pStyle w:val="TableText"/>
              <w:spacing w:line="240" w:lineRule="auto"/>
              <w:rPr>
                <w:b/>
                <w:bCs/>
                <w:sz w:val="16"/>
              </w:rPr>
            </w:pPr>
            <w:r>
              <w:rPr>
                <w:b/>
                <w:bCs/>
                <w:sz w:val="16"/>
              </w:rPr>
              <w:t>2020-21*</w:t>
            </w:r>
          </w:p>
        </w:tc>
      </w:tr>
      <w:tr w:rsidR="0014455D" w:rsidRPr="00C53492" w14:paraId="7C0C7CE6" w14:textId="77777777" w:rsidTr="00902C23">
        <w:trPr>
          <w:cantSplit/>
          <w:trHeight w:val="906"/>
        </w:trPr>
        <w:tc>
          <w:tcPr>
            <w:tcW w:w="892" w:type="pct"/>
            <w:vMerge w:val="restart"/>
            <w:tcBorders>
              <w:top w:val="single" w:sz="4" w:space="0" w:color="auto"/>
              <w:left w:val="single" w:sz="4" w:space="0" w:color="auto"/>
              <w:right w:val="single" w:sz="4" w:space="0" w:color="auto"/>
            </w:tcBorders>
            <w:shd w:val="clear" w:color="auto" w:fill="auto"/>
          </w:tcPr>
          <w:p w14:paraId="1468C8D5" w14:textId="77777777" w:rsidR="0014455D" w:rsidRPr="00C53492" w:rsidRDefault="0014455D" w:rsidP="00902C23">
            <w:pPr>
              <w:pStyle w:val="TableText"/>
              <w:spacing w:line="240" w:lineRule="auto"/>
              <w:rPr>
                <w:color w:val="auto"/>
                <w:sz w:val="16"/>
              </w:rPr>
            </w:pPr>
            <w:r w:rsidRPr="00C53492">
              <w:rPr>
                <w:sz w:val="16"/>
              </w:rPr>
              <w:t xml:space="preserve">What did CEW contribute to microinvertebrate </w:t>
            </w:r>
            <w:r>
              <w:rPr>
                <w:sz w:val="16"/>
              </w:rPr>
              <w:t>density</w:t>
            </w:r>
            <w:r w:rsidRPr="00C53492">
              <w:rPr>
                <w:sz w:val="16"/>
              </w:rPr>
              <w:t xml:space="preserve"> </w:t>
            </w:r>
            <w:r>
              <w:rPr>
                <w:sz w:val="16"/>
              </w:rPr>
              <w:t>(</w:t>
            </w:r>
            <w:r w:rsidRPr="00C53492">
              <w:rPr>
                <w:sz w:val="16"/>
              </w:rPr>
              <w:t>H1a</w:t>
            </w:r>
            <w:r>
              <w:rPr>
                <w:sz w:val="16"/>
              </w:rPr>
              <w:t>)</w:t>
            </w:r>
            <w:r w:rsidRPr="00C53492">
              <w:rPr>
                <w:sz w:val="16"/>
              </w:rPr>
              <w:t>?</w:t>
            </w:r>
          </w:p>
        </w:tc>
        <w:tc>
          <w:tcPr>
            <w:tcW w:w="684" w:type="pct"/>
            <w:tcBorders>
              <w:top w:val="single" w:sz="4" w:space="0" w:color="auto"/>
              <w:left w:val="single" w:sz="4" w:space="0" w:color="auto"/>
              <w:right w:val="single" w:sz="4" w:space="0" w:color="auto"/>
            </w:tcBorders>
            <w:shd w:val="clear" w:color="auto" w:fill="E2EFD9" w:themeFill="accent6" w:themeFillTint="33"/>
          </w:tcPr>
          <w:p w14:paraId="12ED4249" w14:textId="77777777" w:rsidR="0014455D" w:rsidRDefault="0014455D" w:rsidP="00902C23">
            <w:pPr>
              <w:pStyle w:val="TableText"/>
              <w:spacing w:line="240" w:lineRule="auto"/>
              <w:rPr>
                <w:sz w:val="16"/>
              </w:rPr>
            </w:pPr>
            <w:r>
              <w:rPr>
                <w:sz w:val="16"/>
              </w:rPr>
              <w:t>64 [42, 86]</w:t>
            </w:r>
          </w:p>
          <w:p w14:paraId="3314B91F" w14:textId="77777777" w:rsidR="0014455D" w:rsidRPr="003E1B66" w:rsidRDefault="0014455D" w:rsidP="00902C23">
            <w:pPr>
              <w:spacing w:line="240" w:lineRule="auto"/>
              <w:rPr>
                <w:sz w:val="16"/>
                <w:szCs w:val="16"/>
              </w:rPr>
            </w:pPr>
            <w:r>
              <w:rPr>
                <w:sz w:val="16"/>
                <w:szCs w:val="16"/>
              </w:rPr>
              <w:t>(+6%)</w:t>
            </w:r>
          </w:p>
        </w:tc>
        <w:tc>
          <w:tcPr>
            <w:tcW w:w="684" w:type="pct"/>
            <w:tcBorders>
              <w:top w:val="single" w:sz="4" w:space="0" w:color="auto"/>
              <w:left w:val="single" w:sz="4" w:space="0" w:color="auto"/>
              <w:right w:val="single" w:sz="4" w:space="0" w:color="auto"/>
            </w:tcBorders>
            <w:shd w:val="clear" w:color="auto" w:fill="E2EFD9" w:themeFill="accent6" w:themeFillTint="33"/>
          </w:tcPr>
          <w:p w14:paraId="3D0EA27E" w14:textId="77777777" w:rsidR="0014455D" w:rsidRDefault="0014455D" w:rsidP="00902C23">
            <w:pPr>
              <w:pStyle w:val="TableText"/>
              <w:spacing w:line="240" w:lineRule="auto"/>
              <w:rPr>
                <w:sz w:val="16"/>
              </w:rPr>
            </w:pPr>
            <w:r>
              <w:rPr>
                <w:sz w:val="16"/>
              </w:rPr>
              <w:t>47 [23, 71]</w:t>
            </w:r>
          </w:p>
          <w:p w14:paraId="757C9981" w14:textId="77777777" w:rsidR="0014455D" w:rsidRPr="003E1B66" w:rsidRDefault="0014455D" w:rsidP="00902C23">
            <w:pPr>
              <w:spacing w:line="240" w:lineRule="auto"/>
              <w:rPr>
                <w:sz w:val="16"/>
                <w:szCs w:val="16"/>
              </w:rPr>
            </w:pPr>
            <w:r>
              <w:rPr>
                <w:sz w:val="16"/>
                <w:szCs w:val="16"/>
              </w:rPr>
              <w:t>(+7%)</w:t>
            </w:r>
          </w:p>
        </w:tc>
        <w:tc>
          <w:tcPr>
            <w:tcW w:w="684" w:type="pct"/>
            <w:tcBorders>
              <w:top w:val="single" w:sz="4" w:space="0" w:color="auto"/>
              <w:left w:val="single" w:sz="4" w:space="0" w:color="auto"/>
              <w:right w:val="single" w:sz="4" w:space="0" w:color="auto"/>
            </w:tcBorders>
            <w:shd w:val="clear" w:color="auto" w:fill="E2EFD9" w:themeFill="accent6" w:themeFillTint="33"/>
          </w:tcPr>
          <w:p w14:paraId="4819F2FB" w14:textId="77777777" w:rsidR="0014455D" w:rsidRDefault="0014455D" w:rsidP="00902C23">
            <w:pPr>
              <w:pStyle w:val="TableText"/>
              <w:spacing w:line="240" w:lineRule="auto"/>
              <w:rPr>
                <w:sz w:val="16"/>
              </w:rPr>
            </w:pPr>
            <w:r>
              <w:rPr>
                <w:sz w:val="16"/>
              </w:rPr>
              <w:t>31 [12, 49]</w:t>
            </w:r>
          </w:p>
          <w:p w14:paraId="268B709C" w14:textId="77777777" w:rsidR="0014455D" w:rsidRPr="003E1B66" w:rsidRDefault="0014455D" w:rsidP="00902C23">
            <w:pPr>
              <w:spacing w:line="240" w:lineRule="auto"/>
              <w:rPr>
                <w:sz w:val="16"/>
                <w:szCs w:val="16"/>
              </w:rPr>
            </w:pPr>
            <w:r>
              <w:rPr>
                <w:sz w:val="16"/>
                <w:szCs w:val="16"/>
              </w:rPr>
              <w:t>(+5%)</w:t>
            </w:r>
          </w:p>
        </w:tc>
        <w:tc>
          <w:tcPr>
            <w:tcW w:w="684" w:type="pct"/>
            <w:tcBorders>
              <w:top w:val="single" w:sz="4" w:space="0" w:color="auto"/>
              <w:left w:val="single" w:sz="4" w:space="0" w:color="auto"/>
              <w:right w:val="single" w:sz="4" w:space="0" w:color="auto"/>
            </w:tcBorders>
            <w:shd w:val="clear" w:color="auto" w:fill="A8D08D" w:themeFill="accent6" w:themeFillTint="99"/>
          </w:tcPr>
          <w:p w14:paraId="4E6BD9F4" w14:textId="77777777" w:rsidR="0014455D" w:rsidRDefault="0014455D" w:rsidP="00902C23">
            <w:pPr>
              <w:pStyle w:val="TableText"/>
              <w:spacing w:line="240" w:lineRule="auto"/>
              <w:rPr>
                <w:sz w:val="16"/>
              </w:rPr>
            </w:pPr>
            <w:r>
              <w:rPr>
                <w:sz w:val="16"/>
              </w:rPr>
              <w:t>112 [80, 144]</w:t>
            </w:r>
          </w:p>
          <w:p w14:paraId="1A9531D8" w14:textId="77777777" w:rsidR="0014455D" w:rsidRPr="003E1B66" w:rsidRDefault="0014455D" w:rsidP="00902C23">
            <w:pPr>
              <w:spacing w:line="240" w:lineRule="auto"/>
              <w:rPr>
                <w:sz w:val="16"/>
                <w:szCs w:val="16"/>
              </w:rPr>
            </w:pPr>
            <w:r w:rsidRPr="003E1B66">
              <w:rPr>
                <w:sz w:val="16"/>
                <w:szCs w:val="16"/>
              </w:rPr>
              <w:t>(</w:t>
            </w:r>
            <w:r>
              <w:rPr>
                <w:sz w:val="16"/>
                <w:szCs w:val="16"/>
              </w:rPr>
              <w:t>+18%</w:t>
            </w:r>
            <w:r w:rsidRPr="003E1B66">
              <w:rPr>
                <w:sz w:val="16"/>
                <w:szCs w:val="16"/>
              </w:rPr>
              <w:t>)</w:t>
            </w:r>
          </w:p>
        </w:tc>
        <w:tc>
          <w:tcPr>
            <w:tcW w:w="684" w:type="pct"/>
            <w:tcBorders>
              <w:top w:val="single" w:sz="4" w:space="0" w:color="auto"/>
              <w:left w:val="single" w:sz="4" w:space="0" w:color="auto"/>
              <w:bottom w:val="single" w:sz="4" w:space="0" w:color="auto"/>
              <w:right w:val="single" w:sz="4" w:space="0" w:color="auto"/>
            </w:tcBorders>
            <w:shd w:val="clear" w:color="auto" w:fill="70AD47" w:themeFill="accent6"/>
          </w:tcPr>
          <w:p w14:paraId="68A5FAE4" w14:textId="77777777" w:rsidR="0014455D" w:rsidRPr="00C53492" w:rsidRDefault="0014455D" w:rsidP="00902C23">
            <w:pPr>
              <w:pStyle w:val="TableText"/>
              <w:spacing w:line="240" w:lineRule="auto"/>
              <w:rPr>
                <w:sz w:val="16"/>
              </w:rPr>
            </w:pPr>
            <w:r w:rsidRPr="00C53492">
              <w:rPr>
                <w:sz w:val="16"/>
              </w:rPr>
              <w:t>2</w:t>
            </w:r>
            <w:r>
              <w:rPr>
                <w:sz w:val="16"/>
              </w:rPr>
              <w:t xml:space="preserve">61 </w:t>
            </w:r>
            <w:r w:rsidRPr="00C53492">
              <w:rPr>
                <w:sz w:val="16"/>
              </w:rPr>
              <w:t>[</w:t>
            </w:r>
            <w:r>
              <w:rPr>
                <w:sz w:val="16"/>
              </w:rPr>
              <w:t>170</w:t>
            </w:r>
            <w:r w:rsidRPr="00C53492">
              <w:rPr>
                <w:sz w:val="16"/>
              </w:rPr>
              <w:t>,</w:t>
            </w:r>
            <w:r>
              <w:rPr>
                <w:sz w:val="16"/>
              </w:rPr>
              <w:t xml:space="preserve"> 352</w:t>
            </w:r>
            <w:r w:rsidRPr="00C53492">
              <w:rPr>
                <w:sz w:val="16"/>
              </w:rPr>
              <w:t>]</w:t>
            </w:r>
          </w:p>
          <w:p w14:paraId="4296EB59" w14:textId="77777777" w:rsidR="0014455D" w:rsidRPr="00C53492" w:rsidRDefault="0014455D" w:rsidP="00902C23">
            <w:pPr>
              <w:tabs>
                <w:tab w:val="center" w:pos="1449"/>
              </w:tabs>
              <w:spacing w:line="240" w:lineRule="auto"/>
              <w:rPr>
                <w:sz w:val="16"/>
              </w:rPr>
            </w:pPr>
            <w:r w:rsidRPr="00C53492">
              <w:rPr>
                <w:sz w:val="16"/>
              </w:rPr>
              <w:t>(</w:t>
            </w:r>
            <w:r>
              <w:rPr>
                <w:sz w:val="16"/>
              </w:rPr>
              <w:t>+25</w:t>
            </w:r>
            <w:r w:rsidRPr="00C53492">
              <w:rPr>
                <w:sz w:val="16"/>
              </w:rPr>
              <w:t>%)</w:t>
            </w:r>
            <w:r>
              <w:rPr>
                <w:sz w:val="16"/>
              </w:rPr>
              <w:tab/>
            </w:r>
          </w:p>
        </w:tc>
        <w:tc>
          <w:tcPr>
            <w:tcW w:w="688" w:type="pct"/>
            <w:tcBorders>
              <w:top w:val="single" w:sz="4" w:space="0" w:color="auto"/>
              <w:left w:val="single" w:sz="4" w:space="0" w:color="auto"/>
              <w:bottom w:val="single" w:sz="4" w:space="0" w:color="auto"/>
              <w:right w:val="single" w:sz="4" w:space="0" w:color="auto"/>
            </w:tcBorders>
            <w:shd w:val="clear" w:color="auto" w:fill="70AD47" w:themeFill="accent6"/>
          </w:tcPr>
          <w:p w14:paraId="32CF8C1A" w14:textId="77777777" w:rsidR="0014455D" w:rsidRDefault="0014455D" w:rsidP="00902C23">
            <w:pPr>
              <w:pStyle w:val="TableText"/>
              <w:spacing w:line="240" w:lineRule="auto"/>
              <w:rPr>
                <w:sz w:val="16"/>
              </w:rPr>
            </w:pPr>
            <w:r>
              <w:rPr>
                <w:sz w:val="16"/>
              </w:rPr>
              <w:t>273 [197, 350]</w:t>
            </w:r>
          </w:p>
          <w:p w14:paraId="5F3E81F5" w14:textId="77777777" w:rsidR="0014455D" w:rsidRPr="0040682E" w:rsidRDefault="0014455D" w:rsidP="00902C23">
            <w:pPr>
              <w:spacing w:line="240" w:lineRule="auto"/>
              <w:rPr>
                <w:sz w:val="16"/>
                <w:szCs w:val="16"/>
              </w:rPr>
            </w:pPr>
            <w:r w:rsidRPr="001C7875">
              <w:rPr>
                <w:sz w:val="16"/>
                <w:szCs w:val="16"/>
              </w:rPr>
              <w:t>(+</w:t>
            </w:r>
            <w:r>
              <w:rPr>
                <w:sz w:val="16"/>
                <w:szCs w:val="16"/>
              </w:rPr>
              <w:t>24</w:t>
            </w:r>
            <w:r w:rsidRPr="001C7875">
              <w:rPr>
                <w:sz w:val="16"/>
                <w:szCs w:val="16"/>
              </w:rPr>
              <w:t>%)</w:t>
            </w:r>
          </w:p>
        </w:tc>
      </w:tr>
      <w:tr w:rsidR="0014455D" w:rsidRPr="00C53492" w14:paraId="3831F972" w14:textId="77777777" w:rsidTr="00902C23">
        <w:trPr>
          <w:cantSplit/>
          <w:trHeight w:val="20"/>
        </w:trPr>
        <w:tc>
          <w:tcPr>
            <w:tcW w:w="892" w:type="pct"/>
            <w:vMerge/>
            <w:tcBorders>
              <w:left w:val="single" w:sz="4" w:space="0" w:color="auto"/>
              <w:bottom w:val="single" w:sz="4" w:space="0" w:color="auto"/>
              <w:right w:val="single" w:sz="4" w:space="0" w:color="auto"/>
            </w:tcBorders>
            <w:shd w:val="clear" w:color="auto" w:fill="auto"/>
          </w:tcPr>
          <w:p w14:paraId="06208F26" w14:textId="77777777" w:rsidR="0014455D" w:rsidRPr="00C53492" w:rsidRDefault="0014455D" w:rsidP="00902C23">
            <w:pPr>
              <w:pStyle w:val="TableText"/>
              <w:spacing w:line="240" w:lineRule="auto"/>
              <w:rPr>
                <w:sz w:val="16"/>
              </w:rPr>
            </w:pPr>
          </w:p>
        </w:tc>
        <w:tc>
          <w:tcPr>
            <w:tcW w:w="4108" w:type="pct"/>
            <w:gridSpan w:val="6"/>
            <w:tcBorders>
              <w:left w:val="single" w:sz="4" w:space="0" w:color="auto"/>
              <w:bottom w:val="single" w:sz="4" w:space="0" w:color="auto"/>
              <w:right w:val="single" w:sz="4" w:space="0" w:color="auto"/>
            </w:tcBorders>
          </w:tcPr>
          <w:p w14:paraId="2A206791" w14:textId="77777777" w:rsidR="0014455D" w:rsidRDefault="0014455D" w:rsidP="00902C23">
            <w:pPr>
              <w:pStyle w:val="TableText"/>
              <w:spacing w:line="240" w:lineRule="auto"/>
              <w:rPr>
                <w:color w:val="auto"/>
                <w:sz w:val="16"/>
              </w:rPr>
            </w:pPr>
            <w:r>
              <w:rPr>
                <w:color w:val="auto"/>
                <w:sz w:val="16"/>
              </w:rPr>
              <w:t xml:space="preserve">eWater </w:t>
            </w:r>
            <w:r w:rsidRPr="00C53492">
              <w:rPr>
                <w:color w:val="auto"/>
                <w:sz w:val="16"/>
              </w:rPr>
              <w:t xml:space="preserve">increased overall microinvertebrate density by an average of </w:t>
            </w:r>
            <w:r>
              <w:rPr>
                <w:color w:val="auto"/>
                <w:sz w:val="16"/>
              </w:rPr>
              <w:t>19</w:t>
            </w:r>
            <w:r w:rsidRPr="00C53492">
              <w:rPr>
                <w:color w:val="auto"/>
                <w:sz w:val="16"/>
              </w:rPr>
              <w:t>% across all years</w:t>
            </w:r>
            <w:r>
              <w:rPr>
                <w:color w:val="auto"/>
                <w:sz w:val="16"/>
              </w:rPr>
              <w:t xml:space="preserve"> (2014-21)</w:t>
            </w:r>
            <w:r w:rsidRPr="00C53492">
              <w:rPr>
                <w:color w:val="auto"/>
                <w:sz w:val="16"/>
              </w:rPr>
              <w:t xml:space="preserve">, with CEW accounting for </w:t>
            </w:r>
            <w:r>
              <w:rPr>
                <w:color w:val="auto"/>
                <w:sz w:val="16"/>
              </w:rPr>
              <w:t>68</w:t>
            </w:r>
            <w:r w:rsidRPr="00C53492">
              <w:rPr>
                <w:color w:val="auto"/>
                <w:sz w:val="16"/>
              </w:rPr>
              <w:t>% of this.</w:t>
            </w:r>
          </w:p>
        </w:tc>
      </w:tr>
      <w:tr w:rsidR="0014455D" w:rsidRPr="00C53492" w14:paraId="79D2A1B8" w14:textId="77777777" w:rsidTr="00902C23">
        <w:trPr>
          <w:cantSplit/>
          <w:trHeight w:val="1269"/>
        </w:trPr>
        <w:tc>
          <w:tcPr>
            <w:tcW w:w="892" w:type="pct"/>
            <w:vMerge w:val="restart"/>
            <w:tcBorders>
              <w:top w:val="single" w:sz="4" w:space="0" w:color="auto"/>
              <w:left w:val="single" w:sz="4" w:space="0" w:color="auto"/>
              <w:right w:val="single" w:sz="4" w:space="0" w:color="auto"/>
            </w:tcBorders>
            <w:shd w:val="clear" w:color="auto" w:fill="auto"/>
          </w:tcPr>
          <w:p w14:paraId="703B6719" w14:textId="77777777" w:rsidR="0014455D" w:rsidRPr="00C53492" w:rsidRDefault="0014455D" w:rsidP="00902C23">
            <w:pPr>
              <w:pStyle w:val="TableText"/>
              <w:spacing w:line="240" w:lineRule="auto"/>
              <w:rPr>
                <w:color w:val="auto"/>
                <w:sz w:val="16"/>
              </w:rPr>
            </w:pPr>
            <w:r w:rsidRPr="00C53492">
              <w:rPr>
                <w:sz w:val="16"/>
              </w:rPr>
              <w:t xml:space="preserve">What did CEW contribute to microinvertebrate </w:t>
            </w:r>
            <w:r>
              <w:rPr>
                <w:sz w:val="16"/>
              </w:rPr>
              <w:t>diversity (</w:t>
            </w:r>
            <w:r w:rsidRPr="00C53492">
              <w:rPr>
                <w:sz w:val="16"/>
              </w:rPr>
              <w:t>taxonomic richness</w:t>
            </w:r>
            <w:r>
              <w:rPr>
                <w:sz w:val="16"/>
              </w:rPr>
              <w:t>)</w:t>
            </w:r>
            <w:r w:rsidRPr="00C53492">
              <w:rPr>
                <w:sz w:val="16"/>
              </w:rPr>
              <w:t xml:space="preserve"> </w:t>
            </w:r>
            <w:r>
              <w:rPr>
                <w:sz w:val="16"/>
              </w:rPr>
              <w:t>(</w:t>
            </w:r>
            <w:r w:rsidRPr="00C53492">
              <w:rPr>
                <w:sz w:val="16"/>
              </w:rPr>
              <w:t>H1b</w:t>
            </w:r>
            <w:r>
              <w:rPr>
                <w:sz w:val="16"/>
              </w:rPr>
              <w:t>)</w:t>
            </w:r>
            <w:r w:rsidRPr="00C53492">
              <w:rPr>
                <w:sz w:val="16"/>
              </w:rPr>
              <w:t xml:space="preserve">? </w:t>
            </w:r>
          </w:p>
          <w:p w14:paraId="31EF1E5F" w14:textId="77777777" w:rsidR="0014455D" w:rsidRPr="00C53492" w:rsidRDefault="0014455D" w:rsidP="00902C23">
            <w:pPr>
              <w:pStyle w:val="TableText"/>
              <w:spacing w:line="240" w:lineRule="auto"/>
              <w:rPr>
                <w:color w:val="auto"/>
                <w:sz w:val="16"/>
              </w:rPr>
            </w:pPr>
          </w:p>
        </w:tc>
        <w:tc>
          <w:tcPr>
            <w:tcW w:w="684" w:type="pct"/>
            <w:tcBorders>
              <w:top w:val="single" w:sz="4" w:space="0" w:color="auto"/>
              <w:left w:val="single" w:sz="4" w:space="0" w:color="auto"/>
              <w:right w:val="single" w:sz="4" w:space="0" w:color="auto"/>
            </w:tcBorders>
            <w:shd w:val="clear" w:color="auto" w:fill="E2EFD9" w:themeFill="accent6" w:themeFillTint="33"/>
          </w:tcPr>
          <w:p w14:paraId="3D6CF8C1" w14:textId="77777777" w:rsidR="0014455D" w:rsidRDefault="0014455D" w:rsidP="00902C23">
            <w:pPr>
              <w:pStyle w:val="TableText"/>
              <w:spacing w:line="240" w:lineRule="auto"/>
              <w:rPr>
                <w:sz w:val="16"/>
              </w:rPr>
            </w:pPr>
            <w:r>
              <w:rPr>
                <w:sz w:val="16"/>
              </w:rPr>
              <w:t>1 [0, 2]</w:t>
            </w:r>
          </w:p>
          <w:p w14:paraId="188FE094" w14:textId="77777777" w:rsidR="0014455D" w:rsidRPr="002C4B1A" w:rsidRDefault="0014455D" w:rsidP="00902C23">
            <w:pPr>
              <w:spacing w:line="240" w:lineRule="auto"/>
              <w:rPr>
                <w:sz w:val="16"/>
                <w:szCs w:val="16"/>
              </w:rPr>
            </w:pPr>
            <w:r>
              <w:rPr>
                <w:sz w:val="16"/>
                <w:szCs w:val="16"/>
              </w:rPr>
              <w:t>(+2%)</w:t>
            </w:r>
          </w:p>
        </w:tc>
        <w:tc>
          <w:tcPr>
            <w:tcW w:w="684" w:type="pct"/>
            <w:tcBorders>
              <w:top w:val="single" w:sz="4" w:space="0" w:color="auto"/>
              <w:left w:val="single" w:sz="4" w:space="0" w:color="auto"/>
              <w:right w:val="single" w:sz="4" w:space="0" w:color="auto"/>
            </w:tcBorders>
            <w:shd w:val="clear" w:color="auto" w:fill="E2EFD9" w:themeFill="accent6" w:themeFillTint="33"/>
          </w:tcPr>
          <w:p w14:paraId="62A746C9" w14:textId="77777777" w:rsidR="0014455D" w:rsidRDefault="0014455D" w:rsidP="00902C23">
            <w:pPr>
              <w:pStyle w:val="TableText"/>
              <w:spacing w:line="240" w:lineRule="auto"/>
              <w:rPr>
                <w:sz w:val="16"/>
              </w:rPr>
            </w:pPr>
            <w:r>
              <w:rPr>
                <w:sz w:val="16"/>
              </w:rPr>
              <w:t>1. [1, 2]</w:t>
            </w:r>
          </w:p>
          <w:p w14:paraId="46536FA0" w14:textId="77777777" w:rsidR="0014455D" w:rsidRPr="002C4B1A" w:rsidRDefault="0014455D" w:rsidP="00902C23">
            <w:pPr>
              <w:spacing w:line="240" w:lineRule="auto"/>
              <w:rPr>
                <w:sz w:val="16"/>
                <w:szCs w:val="16"/>
              </w:rPr>
            </w:pPr>
            <w:r>
              <w:rPr>
                <w:sz w:val="16"/>
                <w:szCs w:val="16"/>
              </w:rPr>
              <w:t>(+4%)</w:t>
            </w:r>
          </w:p>
        </w:tc>
        <w:tc>
          <w:tcPr>
            <w:tcW w:w="684" w:type="pct"/>
            <w:tcBorders>
              <w:top w:val="single" w:sz="4" w:space="0" w:color="auto"/>
              <w:left w:val="single" w:sz="4" w:space="0" w:color="auto"/>
              <w:right w:val="single" w:sz="4" w:space="0" w:color="auto"/>
            </w:tcBorders>
            <w:shd w:val="clear" w:color="auto" w:fill="E2EFD9" w:themeFill="accent6" w:themeFillTint="33"/>
          </w:tcPr>
          <w:p w14:paraId="09EE2877" w14:textId="77777777" w:rsidR="0014455D" w:rsidRDefault="0014455D" w:rsidP="00902C23">
            <w:pPr>
              <w:pStyle w:val="TableText"/>
              <w:spacing w:line="240" w:lineRule="auto"/>
              <w:rPr>
                <w:sz w:val="16"/>
              </w:rPr>
            </w:pPr>
            <w:r>
              <w:rPr>
                <w:sz w:val="16"/>
              </w:rPr>
              <w:t>1 [0, 2]</w:t>
            </w:r>
          </w:p>
          <w:p w14:paraId="109320D2" w14:textId="77777777" w:rsidR="0014455D" w:rsidRPr="002C4B1A" w:rsidRDefault="0014455D" w:rsidP="00902C23">
            <w:pPr>
              <w:spacing w:line="240" w:lineRule="auto"/>
              <w:rPr>
                <w:sz w:val="16"/>
                <w:szCs w:val="16"/>
              </w:rPr>
            </w:pPr>
            <w:r>
              <w:rPr>
                <w:sz w:val="16"/>
                <w:szCs w:val="16"/>
              </w:rPr>
              <w:t>(+3%)</w:t>
            </w:r>
          </w:p>
        </w:tc>
        <w:tc>
          <w:tcPr>
            <w:tcW w:w="684" w:type="pct"/>
            <w:tcBorders>
              <w:top w:val="single" w:sz="4" w:space="0" w:color="auto"/>
              <w:left w:val="single" w:sz="4" w:space="0" w:color="auto"/>
              <w:right w:val="single" w:sz="4" w:space="0" w:color="auto"/>
            </w:tcBorders>
            <w:shd w:val="clear" w:color="auto" w:fill="A8D08D" w:themeFill="accent6" w:themeFillTint="99"/>
          </w:tcPr>
          <w:p w14:paraId="775EC59E" w14:textId="77777777" w:rsidR="0014455D" w:rsidRDefault="0014455D" w:rsidP="00902C23">
            <w:pPr>
              <w:pStyle w:val="TableText"/>
              <w:spacing w:line="240" w:lineRule="auto"/>
              <w:rPr>
                <w:sz w:val="16"/>
              </w:rPr>
            </w:pPr>
            <w:r>
              <w:rPr>
                <w:sz w:val="16"/>
              </w:rPr>
              <w:t>2 [2, 3]</w:t>
            </w:r>
          </w:p>
          <w:p w14:paraId="09D03A7C" w14:textId="77777777" w:rsidR="0014455D" w:rsidRPr="002C4B1A" w:rsidRDefault="0014455D" w:rsidP="00902C23">
            <w:pPr>
              <w:spacing w:line="240" w:lineRule="auto"/>
              <w:rPr>
                <w:sz w:val="16"/>
                <w:szCs w:val="16"/>
              </w:rPr>
            </w:pPr>
            <w:r>
              <w:rPr>
                <w:sz w:val="16"/>
                <w:szCs w:val="16"/>
              </w:rPr>
              <w:t>(+11%)</w:t>
            </w:r>
          </w:p>
        </w:tc>
        <w:tc>
          <w:tcPr>
            <w:tcW w:w="684"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46052BC" w14:textId="77777777" w:rsidR="0014455D" w:rsidRPr="00C53492" w:rsidRDefault="0014455D" w:rsidP="00902C23">
            <w:pPr>
              <w:pStyle w:val="TableText"/>
              <w:spacing w:line="240" w:lineRule="auto"/>
              <w:rPr>
                <w:sz w:val="16"/>
              </w:rPr>
            </w:pPr>
            <w:r>
              <w:rPr>
                <w:sz w:val="16"/>
              </w:rPr>
              <w:t>4</w:t>
            </w:r>
            <w:r w:rsidRPr="00C53492">
              <w:rPr>
                <w:sz w:val="16"/>
              </w:rPr>
              <w:t xml:space="preserve"> [</w:t>
            </w:r>
            <w:r>
              <w:rPr>
                <w:sz w:val="16"/>
              </w:rPr>
              <w:t>2</w:t>
            </w:r>
            <w:r w:rsidRPr="00C53492">
              <w:rPr>
                <w:sz w:val="16"/>
              </w:rPr>
              <w:t xml:space="preserve">, </w:t>
            </w:r>
            <w:r>
              <w:rPr>
                <w:sz w:val="16"/>
              </w:rPr>
              <w:t>6</w:t>
            </w:r>
            <w:r w:rsidRPr="00C53492">
              <w:rPr>
                <w:sz w:val="16"/>
              </w:rPr>
              <w:t>]</w:t>
            </w:r>
          </w:p>
          <w:p w14:paraId="4E52A5CD" w14:textId="77777777" w:rsidR="0014455D" w:rsidRPr="00C53492" w:rsidRDefault="0014455D" w:rsidP="00902C23">
            <w:pPr>
              <w:pStyle w:val="TableText"/>
              <w:spacing w:line="240" w:lineRule="auto"/>
              <w:rPr>
                <w:sz w:val="16"/>
              </w:rPr>
            </w:pPr>
            <w:r w:rsidRPr="00C53492">
              <w:rPr>
                <w:sz w:val="16"/>
              </w:rPr>
              <w:t>(+</w:t>
            </w:r>
            <w:r>
              <w:rPr>
                <w:sz w:val="16"/>
              </w:rPr>
              <w:t>14</w:t>
            </w:r>
            <w:r w:rsidRPr="00C53492">
              <w:rPr>
                <w:sz w:val="16"/>
              </w:rPr>
              <w:t>%)</w:t>
            </w:r>
          </w:p>
        </w:tc>
        <w:tc>
          <w:tcPr>
            <w:tcW w:w="68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3AF8974" w14:textId="77777777" w:rsidR="0014455D" w:rsidRDefault="0014455D" w:rsidP="00902C23">
            <w:pPr>
              <w:pStyle w:val="TableText"/>
              <w:spacing w:line="240" w:lineRule="auto"/>
              <w:rPr>
                <w:sz w:val="16"/>
              </w:rPr>
            </w:pPr>
            <w:r>
              <w:rPr>
                <w:sz w:val="16"/>
              </w:rPr>
              <w:t>3 [1, 4]</w:t>
            </w:r>
          </w:p>
          <w:p w14:paraId="10391B22" w14:textId="77777777" w:rsidR="0014455D" w:rsidRPr="00CC3BB5" w:rsidRDefault="0014455D" w:rsidP="00902C23">
            <w:pPr>
              <w:spacing w:line="240" w:lineRule="auto"/>
              <w:rPr>
                <w:sz w:val="16"/>
                <w:szCs w:val="16"/>
              </w:rPr>
            </w:pPr>
            <w:r>
              <w:rPr>
                <w:sz w:val="16"/>
                <w:szCs w:val="16"/>
              </w:rPr>
              <w:t>(+9%)</w:t>
            </w:r>
          </w:p>
        </w:tc>
      </w:tr>
      <w:tr w:rsidR="0014455D" w:rsidRPr="00C53492" w14:paraId="7C6E7422" w14:textId="77777777" w:rsidTr="00902C23">
        <w:trPr>
          <w:cantSplit/>
          <w:trHeight w:val="20"/>
        </w:trPr>
        <w:tc>
          <w:tcPr>
            <w:tcW w:w="892" w:type="pct"/>
            <w:vMerge/>
            <w:tcBorders>
              <w:left w:val="single" w:sz="4" w:space="0" w:color="auto"/>
              <w:bottom w:val="single" w:sz="4" w:space="0" w:color="auto"/>
              <w:right w:val="single" w:sz="4" w:space="0" w:color="auto"/>
            </w:tcBorders>
            <w:shd w:val="clear" w:color="auto" w:fill="auto"/>
          </w:tcPr>
          <w:p w14:paraId="2092FCCB" w14:textId="77777777" w:rsidR="0014455D" w:rsidRPr="00C53492" w:rsidRDefault="0014455D" w:rsidP="00902C23">
            <w:pPr>
              <w:pStyle w:val="TableText"/>
              <w:spacing w:line="240" w:lineRule="auto"/>
              <w:rPr>
                <w:sz w:val="16"/>
              </w:rPr>
            </w:pPr>
          </w:p>
        </w:tc>
        <w:tc>
          <w:tcPr>
            <w:tcW w:w="4108" w:type="pct"/>
            <w:gridSpan w:val="6"/>
            <w:tcBorders>
              <w:left w:val="single" w:sz="4" w:space="0" w:color="auto"/>
              <w:bottom w:val="single" w:sz="4" w:space="0" w:color="auto"/>
              <w:right w:val="single" w:sz="4" w:space="0" w:color="auto"/>
            </w:tcBorders>
          </w:tcPr>
          <w:p w14:paraId="41F8AF6B" w14:textId="77777777" w:rsidR="0014455D" w:rsidRDefault="0014455D" w:rsidP="00902C23">
            <w:pPr>
              <w:pStyle w:val="TableText"/>
              <w:spacing w:line="240" w:lineRule="auto"/>
              <w:rPr>
                <w:color w:val="auto"/>
                <w:sz w:val="16"/>
              </w:rPr>
            </w:pPr>
            <w:r>
              <w:rPr>
                <w:color w:val="auto"/>
                <w:sz w:val="16"/>
              </w:rPr>
              <w:t xml:space="preserve">eWater </w:t>
            </w:r>
            <w:r w:rsidRPr="00C53492">
              <w:rPr>
                <w:color w:val="auto"/>
                <w:sz w:val="16"/>
              </w:rPr>
              <w:t xml:space="preserve">increased overall microinvertebrate </w:t>
            </w:r>
            <w:r>
              <w:rPr>
                <w:color w:val="auto"/>
                <w:sz w:val="16"/>
              </w:rPr>
              <w:t xml:space="preserve">taxa richness </w:t>
            </w:r>
            <w:r w:rsidRPr="00C53492">
              <w:rPr>
                <w:color w:val="auto"/>
                <w:sz w:val="16"/>
              </w:rPr>
              <w:t xml:space="preserve">by an average of </w:t>
            </w:r>
            <w:r>
              <w:rPr>
                <w:color w:val="auto"/>
                <w:sz w:val="16"/>
              </w:rPr>
              <w:t>10</w:t>
            </w:r>
            <w:r w:rsidRPr="00C53492">
              <w:rPr>
                <w:color w:val="auto"/>
                <w:sz w:val="16"/>
              </w:rPr>
              <w:t>% across all years</w:t>
            </w:r>
            <w:r>
              <w:rPr>
                <w:color w:val="auto"/>
                <w:sz w:val="16"/>
              </w:rPr>
              <w:t xml:space="preserve"> (2014-21)</w:t>
            </w:r>
            <w:r w:rsidRPr="00C53492">
              <w:rPr>
                <w:color w:val="auto"/>
                <w:sz w:val="16"/>
              </w:rPr>
              <w:t>, with CEW accounting for</w:t>
            </w:r>
            <w:r>
              <w:rPr>
                <w:color w:val="auto"/>
                <w:sz w:val="16"/>
              </w:rPr>
              <w:t xml:space="preserve"> </w:t>
            </w:r>
            <w:r w:rsidRPr="00C53492">
              <w:rPr>
                <w:color w:val="auto"/>
                <w:sz w:val="16"/>
              </w:rPr>
              <w:t>6</w:t>
            </w:r>
            <w:r>
              <w:rPr>
                <w:color w:val="auto"/>
                <w:sz w:val="16"/>
              </w:rPr>
              <w:t>6</w:t>
            </w:r>
            <w:r w:rsidRPr="00C53492">
              <w:rPr>
                <w:color w:val="auto"/>
                <w:sz w:val="16"/>
              </w:rPr>
              <w:t>% of this.</w:t>
            </w:r>
          </w:p>
        </w:tc>
      </w:tr>
      <w:tr w:rsidR="0014455D" w:rsidRPr="00C53492" w14:paraId="1C49E6B3" w14:textId="77777777" w:rsidTr="00902C23">
        <w:trPr>
          <w:cantSplit/>
          <w:trHeight w:val="750"/>
        </w:trPr>
        <w:tc>
          <w:tcPr>
            <w:tcW w:w="892" w:type="pct"/>
            <w:vMerge w:val="restart"/>
            <w:tcBorders>
              <w:top w:val="single" w:sz="4" w:space="0" w:color="auto"/>
              <w:left w:val="single" w:sz="4" w:space="0" w:color="auto"/>
              <w:right w:val="single" w:sz="4" w:space="0" w:color="auto"/>
            </w:tcBorders>
            <w:shd w:val="clear" w:color="auto" w:fill="auto"/>
          </w:tcPr>
          <w:p w14:paraId="346A3B82" w14:textId="77777777" w:rsidR="0014455D" w:rsidRPr="00C53492" w:rsidRDefault="0014455D" w:rsidP="00902C23">
            <w:pPr>
              <w:pStyle w:val="TableText"/>
              <w:spacing w:line="240" w:lineRule="auto"/>
              <w:rPr>
                <w:color w:val="auto"/>
                <w:sz w:val="16"/>
              </w:rPr>
            </w:pPr>
            <w:r w:rsidRPr="00C53492">
              <w:rPr>
                <w:sz w:val="16"/>
              </w:rPr>
              <w:t>What did CEW contribute to microinvertebrate communities of the LM</w:t>
            </w:r>
            <w:r>
              <w:rPr>
                <w:sz w:val="16"/>
              </w:rPr>
              <w:t>R</w:t>
            </w:r>
            <w:r w:rsidRPr="00C53492">
              <w:rPr>
                <w:sz w:val="16"/>
              </w:rPr>
              <w:t xml:space="preserve"> via lateral connectivity</w:t>
            </w:r>
            <w:r>
              <w:rPr>
                <w:sz w:val="16"/>
              </w:rPr>
              <w:t xml:space="preserve"> (H2a)</w:t>
            </w:r>
            <w:r w:rsidRPr="00C53492">
              <w:rPr>
                <w:sz w:val="16"/>
              </w:rPr>
              <w:t xml:space="preserve">? </w:t>
            </w:r>
          </w:p>
        </w:tc>
        <w:tc>
          <w:tcPr>
            <w:tcW w:w="684" w:type="pct"/>
            <w:tcBorders>
              <w:top w:val="single" w:sz="4" w:space="0" w:color="auto"/>
              <w:left w:val="single" w:sz="4" w:space="0" w:color="auto"/>
              <w:right w:val="single" w:sz="4" w:space="0" w:color="auto"/>
            </w:tcBorders>
            <w:shd w:val="clear" w:color="auto" w:fill="A8D08D" w:themeFill="accent6" w:themeFillTint="99"/>
          </w:tcPr>
          <w:p w14:paraId="6A79A724" w14:textId="77777777" w:rsidR="0014455D" w:rsidRDefault="0014455D" w:rsidP="00902C23">
            <w:pPr>
              <w:pStyle w:val="TableText"/>
              <w:spacing w:line="240" w:lineRule="auto"/>
              <w:rPr>
                <w:sz w:val="16"/>
              </w:rPr>
            </w:pPr>
            <w:r>
              <w:rPr>
                <w:sz w:val="16"/>
              </w:rPr>
              <w:t>5 [2, 7]</w:t>
            </w:r>
          </w:p>
          <w:p w14:paraId="580E03C4" w14:textId="77777777" w:rsidR="0014455D" w:rsidRPr="002A32DA" w:rsidRDefault="0014455D" w:rsidP="00902C23">
            <w:pPr>
              <w:spacing w:line="240" w:lineRule="auto"/>
              <w:rPr>
                <w:sz w:val="16"/>
                <w:szCs w:val="16"/>
              </w:rPr>
            </w:pPr>
            <w:r>
              <w:rPr>
                <w:sz w:val="16"/>
                <w:szCs w:val="16"/>
              </w:rPr>
              <w:t>(+12%)</w:t>
            </w:r>
          </w:p>
        </w:tc>
        <w:tc>
          <w:tcPr>
            <w:tcW w:w="684" w:type="pct"/>
            <w:tcBorders>
              <w:top w:val="single" w:sz="4" w:space="0" w:color="auto"/>
              <w:left w:val="single" w:sz="4" w:space="0" w:color="auto"/>
              <w:right w:val="single" w:sz="4" w:space="0" w:color="auto"/>
            </w:tcBorders>
            <w:shd w:val="clear" w:color="auto" w:fill="4472C4" w:themeFill="accent5"/>
          </w:tcPr>
          <w:p w14:paraId="2CB3616D" w14:textId="77777777" w:rsidR="0014455D" w:rsidRDefault="0014455D" w:rsidP="00902C23">
            <w:pPr>
              <w:pStyle w:val="TableText"/>
              <w:spacing w:line="240" w:lineRule="auto"/>
              <w:rPr>
                <w:sz w:val="16"/>
              </w:rPr>
            </w:pPr>
            <w:r>
              <w:rPr>
                <w:sz w:val="16"/>
              </w:rPr>
              <w:t>13 [9, 17]</w:t>
            </w:r>
          </w:p>
          <w:p w14:paraId="78AD69A9" w14:textId="77777777" w:rsidR="0014455D" w:rsidRPr="002A32DA" w:rsidRDefault="0014455D" w:rsidP="00902C23">
            <w:pPr>
              <w:spacing w:line="240" w:lineRule="auto"/>
              <w:rPr>
                <w:sz w:val="16"/>
                <w:szCs w:val="16"/>
              </w:rPr>
            </w:pPr>
            <w:r>
              <w:rPr>
                <w:sz w:val="16"/>
                <w:szCs w:val="16"/>
              </w:rPr>
              <w:t>(+42%)</w:t>
            </w:r>
          </w:p>
        </w:tc>
        <w:tc>
          <w:tcPr>
            <w:tcW w:w="684" w:type="pct"/>
            <w:tcBorders>
              <w:top w:val="single" w:sz="4" w:space="0" w:color="auto"/>
              <w:left w:val="single" w:sz="4" w:space="0" w:color="auto"/>
              <w:right w:val="single" w:sz="4" w:space="0" w:color="auto"/>
            </w:tcBorders>
            <w:shd w:val="clear" w:color="auto" w:fill="FF0000"/>
          </w:tcPr>
          <w:p w14:paraId="2FBB7B25" w14:textId="77777777" w:rsidR="0014455D" w:rsidRDefault="0014455D" w:rsidP="00902C23">
            <w:pPr>
              <w:pStyle w:val="TableText"/>
              <w:spacing w:line="240" w:lineRule="auto"/>
              <w:rPr>
                <w:sz w:val="16"/>
              </w:rPr>
            </w:pPr>
            <w:r>
              <w:rPr>
                <w:sz w:val="16"/>
              </w:rPr>
              <w:t>0 [-1, 1]</w:t>
            </w:r>
          </w:p>
          <w:p w14:paraId="467012EF" w14:textId="77777777" w:rsidR="0014455D" w:rsidRPr="002A32DA" w:rsidRDefault="0014455D" w:rsidP="00902C23">
            <w:pPr>
              <w:spacing w:line="240" w:lineRule="auto"/>
              <w:rPr>
                <w:sz w:val="16"/>
                <w:szCs w:val="16"/>
              </w:rPr>
            </w:pPr>
            <w:r>
              <w:rPr>
                <w:sz w:val="16"/>
                <w:szCs w:val="16"/>
              </w:rPr>
              <w:t>(-1%)</w:t>
            </w:r>
          </w:p>
        </w:tc>
        <w:tc>
          <w:tcPr>
            <w:tcW w:w="684" w:type="pct"/>
            <w:tcBorders>
              <w:top w:val="single" w:sz="4" w:space="0" w:color="auto"/>
              <w:left w:val="single" w:sz="4" w:space="0" w:color="auto"/>
              <w:right w:val="single" w:sz="4" w:space="0" w:color="auto"/>
            </w:tcBorders>
            <w:shd w:val="clear" w:color="auto" w:fill="4472C4" w:themeFill="accent5"/>
          </w:tcPr>
          <w:p w14:paraId="54932228" w14:textId="77777777" w:rsidR="0014455D" w:rsidRDefault="0014455D" w:rsidP="00902C23">
            <w:pPr>
              <w:pStyle w:val="TableText"/>
              <w:spacing w:line="240" w:lineRule="auto"/>
              <w:rPr>
                <w:sz w:val="16"/>
              </w:rPr>
            </w:pPr>
            <w:r>
              <w:rPr>
                <w:sz w:val="16"/>
              </w:rPr>
              <w:t>26 [15, 36]</w:t>
            </w:r>
          </w:p>
          <w:p w14:paraId="2B922F60" w14:textId="77777777" w:rsidR="0014455D" w:rsidRPr="002A32DA" w:rsidRDefault="0014455D" w:rsidP="00902C23">
            <w:pPr>
              <w:spacing w:line="240" w:lineRule="auto"/>
              <w:rPr>
                <w:sz w:val="16"/>
                <w:szCs w:val="16"/>
              </w:rPr>
            </w:pPr>
            <w:r>
              <w:rPr>
                <w:sz w:val="16"/>
                <w:szCs w:val="16"/>
              </w:rPr>
              <w:t>(+49%)</w:t>
            </w:r>
          </w:p>
        </w:tc>
        <w:tc>
          <w:tcPr>
            <w:tcW w:w="684" w:type="pct"/>
            <w:tcBorders>
              <w:top w:val="single" w:sz="4" w:space="0" w:color="auto"/>
              <w:left w:val="single" w:sz="4" w:space="0" w:color="auto"/>
              <w:bottom w:val="single" w:sz="4" w:space="0" w:color="auto"/>
              <w:right w:val="single" w:sz="4" w:space="0" w:color="auto"/>
            </w:tcBorders>
            <w:shd w:val="clear" w:color="auto" w:fill="70AD47" w:themeFill="accent6"/>
          </w:tcPr>
          <w:p w14:paraId="22303D5C" w14:textId="77777777" w:rsidR="0014455D" w:rsidRPr="00C53492" w:rsidRDefault="0014455D" w:rsidP="00902C23">
            <w:pPr>
              <w:pStyle w:val="TableText"/>
              <w:spacing w:line="240" w:lineRule="auto"/>
              <w:rPr>
                <w:sz w:val="16"/>
              </w:rPr>
            </w:pPr>
            <w:r>
              <w:rPr>
                <w:sz w:val="16"/>
              </w:rPr>
              <w:t>11</w:t>
            </w:r>
            <w:r w:rsidRPr="00C53492">
              <w:rPr>
                <w:sz w:val="16"/>
              </w:rPr>
              <w:t xml:space="preserve"> [</w:t>
            </w:r>
            <w:r>
              <w:rPr>
                <w:sz w:val="16"/>
              </w:rPr>
              <w:t>5</w:t>
            </w:r>
            <w:r w:rsidRPr="00C53492">
              <w:rPr>
                <w:sz w:val="16"/>
              </w:rPr>
              <w:t xml:space="preserve">, </w:t>
            </w:r>
            <w:r>
              <w:rPr>
                <w:sz w:val="16"/>
              </w:rPr>
              <w:t>16</w:t>
            </w:r>
            <w:r w:rsidRPr="00C53492">
              <w:rPr>
                <w:sz w:val="16"/>
              </w:rPr>
              <w:t>]</w:t>
            </w:r>
          </w:p>
          <w:p w14:paraId="2FAEB0D7" w14:textId="77777777" w:rsidR="0014455D" w:rsidRPr="00C53492" w:rsidRDefault="0014455D" w:rsidP="00902C23">
            <w:pPr>
              <w:pStyle w:val="TableText"/>
              <w:spacing w:line="240" w:lineRule="auto"/>
              <w:rPr>
                <w:sz w:val="16"/>
              </w:rPr>
            </w:pPr>
            <w:r w:rsidRPr="00C53492">
              <w:rPr>
                <w:sz w:val="16"/>
              </w:rPr>
              <w:t>(+</w:t>
            </w:r>
            <w:r>
              <w:rPr>
                <w:sz w:val="16"/>
              </w:rPr>
              <w:t>26</w:t>
            </w:r>
            <w:r w:rsidRPr="00C53492">
              <w:rPr>
                <w:sz w:val="16"/>
              </w:rPr>
              <w:t>%)</w:t>
            </w:r>
          </w:p>
        </w:tc>
        <w:tc>
          <w:tcPr>
            <w:tcW w:w="688" w:type="pct"/>
            <w:tcBorders>
              <w:top w:val="single" w:sz="4" w:space="0" w:color="auto"/>
              <w:left w:val="single" w:sz="4" w:space="0" w:color="auto"/>
              <w:bottom w:val="single" w:sz="4" w:space="0" w:color="auto"/>
              <w:right w:val="single" w:sz="4" w:space="0" w:color="auto"/>
            </w:tcBorders>
            <w:shd w:val="clear" w:color="auto" w:fill="FF0000"/>
          </w:tcPr>
          <w:p w14:paraId="5BC2E758" w14:textId="77777777" w:rsidR="0014455D" w:rsidRDefault="0014455D" w:rsidP="00902C23">
            <w:pPr>
              <w:pStyle w:val="TableText"/>
              <w:spacing w:line="240" w:lineRule="auto"/>
              <w:rPr>
                <w:sz w:val="16"/>
              </w:rPr>
            </w:pPr>
            <w:r>
              <w:rPr>
                <w:sz w:val="16"/>
              </w:rPr>
              <w:t>-9 [-19, 1]</w:t>
            </w:r>
          </w:p>
          <w:p w14:paraId="5F32007F" w14:textId="77777777" w:rsidR="0014455D" w:rsidRPr="000A3959" w:rsidRDefault="0014455D" w:rsidP="00902C23">
            <w:pPr>
              <w:spacing w:line="240" w:lineRule="auto"/>
              <w:rPr>
                <w:sz w:val="16"/>
                <w:szCs w:val="16"/>
              </w:rPr>
            </w:pPr>
            <w:r>
              <w:rPr>
                <w:sz w:val="16"/>
                <w:szCs w:val="16"/>
              </w:rPr>
              <w:t>(-27%)</w:t>
            </w:r>
          </w:p>
        </w:tc>
      </w:tr>
      <w:tr w:rsidR="0014455D" w:rsidRPr="00C53492" w14:paraId="64FFB241" w14:textId="77777777" w:rsidTr="00902C23">
        <w:trPr>
          <w:cantSplit/>
          <w:trHeight w:val="20"/>
        </w:trPr>
        <w:tc>
          <w:tcPr>
            <w:tcW w:w="892" w:type="pct"/>
            <w:vMerge/>
            <w:tcBorders>
              <w:left w:val="single" w:sz="4" w:space="0" w:color="auto"/>
              <w:bottom w:val="single" w:sz="4" w:space="0" w:color="auto"/>
              <w:right w:val="single" w:sz="4" w:space="0" w:color="auto"/>
            </w:tcBorders>
            <w:shd w:val="clear" w:color="auto" w:fill="auto"/>
          </w:tcPr>
          <w:p w14:paraId="5A241D58" w14:textId="77777777" w:rsidR="0014455D" w:rsidRPr="00C53492" w:rsidRDefault="0014455D" w:rsidP="00902C23">
            <w:pPr>
              <w:pStyle w:val="TableText"/>
              <w:spacing w:line="240" w:lineRule="auto"/>
              <w:rPr>
                <w:sz w:val="16"/>
              </w:rPr>
            </w:pPr>
          </w:p>
        </w:tc>
        <w:tc>
          <w:tcPr>
            <w:tcW w:w="4108" w:type="pct"/>
            <w:gridSpan w:val="6"/>
            <w:tcBorders>
              <w:left w:val="single" w:sz="4" w:space="0" w:color="auto"/>
              <w:bottom w:val="single" w:sz="4" w:space="0" w:color="auto"/>
              <w:right w:val="single" w:sz="4" w:space="0" w:color="auto"/>
            </w:tcBorders>
          </w:tcPr>
          <w:p w14:paraId="36869B47" w14:textId="77777777" w:rsidR="0014455D" w:rsidRDefault="0014455D" w:rsidP="00902C23">
            <w:pPr>
              <w:pStyle w:val="TableText"/>
              <w:spacing w:line="240" w:lineRule="auto"/>
              <w:rPr>
                <w:color w:val="auto"/>
                <w:sz w:val="16"/>
              </w:rPr>
            </w:pPr>
            <w:r>
              <w:rPr>
                <w:color w:val="auto"/>
                <w:sz w:val="16"/>
              </w:rPr>
              <w:t>eWater</w:t>
            </w:r>
            <w:r w:rsidRPr="00C53492">
              <w:rPr>
                <w:color w:val="auto"/>
                <w:sz w:val="16"/>
              </w:rPr>
              <w:t xml:space="preserve"> increased the </w:t>
            </w:r>
            <w:r>
              <w:rPr>
                <w:color w:val="auto"/>
                <w:sz w:val="16"/>
              </w:rPr>
              <w:t>density</w:t>
            </w:r>
            <w:r w:rsidRPr="00C53492">
              <w:rPr>
                <w:color w:val="auto"/>
                <w:sz w:val="16"/>
              </w:rPr>
              <w:t xml:space="preserve"> of taxa </w:t>
            </w:r>
            <w:r>
              <w:rPr>
                <w:color w:val="auto"/>
                <w:sz w:val="16"/>
              </w:rPr>
              <w:t>associated with</w:t>
            </w:r>
            <w:r w:rsidRPr="00C53492">
              <w:rPr>
                <w:color w:val="auto"/>
                <w:sz w:val="16"/>
              </w:rPr>
              <w:t xml:space="preserve"> lateral connectivity by an average of </w:t>
            </w:r>
            <w:r>
              <w:rPr>
                <w:color w:val="auto"/>
                <w:sz w:val="16"/>
              </w:rPr>
              <w:t>26</w:t>
            </w:r>
            <w:r w:rsidRPr="00C53492">
              <w:rPr>
                <w:color w:val="auto"/>
                <w:sz w:val="16"/>
              </w:rPr>
              <w:t>% across all years</w:t>
            </w:r>
            <w:r>
              <w:rPr>
                <w:color w:val="auto"/>
                <w:sz w:val="16"/>
              </w:rPr>
              <w:t xml:space="preserve"> (2014-21)</w:t>
            </w:r>
            <w:r w:rsidRPr="00C53492">
              <w:rPr>
                <w:color w:val="auto"/>
                <w:sz w:val="16"/>
              </w:rPr>
              <w:t xml:space="preserve">, with CEW accounting for </w:t>
            </w:r>
            <w:r>
              <w:rPr>
                <w:color w:val="auto"/>
                <w:sz w:val="16"/>
              </w:rPr>
              <w:t>97</w:t>
            </w:r>
            <w:r w:rsidRPr="00C53492">
              <w:rPr>
                <w:color w:val="auto"/>
                <w:sz w:val="16"/>
              </w:rPr>
              <w:t>% of this.</w:t>
            </w:r>
          </w:p>
        </w:tc>
      </w:tr>
      <w:tr w:rsidR="0014455D" w:rsidRPr="00C53492" w14:paraId="084F422E" w14:textId="77777777" w:rsidTr="00902C23">
        <w:trPr>
          <w:cantSplit/>
          <w:trHeight w:val="20"/>
        </w:trPr>
        <w:tc>
          <w:tcPr>
            <w:tcW w:w="892" w:type="pct"/>
            <w:vMerge w:val="restart"/>
            <w:tcBorders>
              <w:top w:val="single" w:sz="4" w:space="0" w:color="auto"/>
              <w:left w:val="single" w:sz="4" w:space="0" w:color="auto"/>
              <w:right w:val="single" w:sz="4" w:space="0" w:color="auto"/>
            </w:tcBorders>
            <w:shd w:val="clear" w:color="auto" w:fill="auto"/>
          </w:tcPr>
          <w:p w14:paraId="4066620C" w14:textId="77777777" w:rsidR="0014455D" w:rsidRPr="00C53492" w:rsidRDefault="0014455D" w:rsidP="00902C23">
            <w:pPr>
              <w:pStyle w:val="TableText"/>
              <w:spacing w:line="240" w:lineRule="auto"/>
              <w:rPr>
                <w:color w:val="auto"/>
                <w:sz w:val="16"/>
              </w:rPr>
            </w:pPr>
            <w:r w:rsidRPr="00C53492">
              <w:rPr>
                <w:sz w:val="16"/>
              </w:rPr>
              <w:t>What did CEW contribute to microinvertebrate communities of the LM</w:t>
            </w:r>
            <w:r>
              <w:rPr>
                <w:sz w:val="16"/>
              </w:rPr>
              <w:t>R</w:t>
            </w:r>
            <w:r w:rsidRPr="00C53492">
              <w:rPr>
                <w:sz w:val="16"/>
              </w:rPr>
              <w:t xml:space="preserve"> via longitudinal connectivity</w:t>
            </w:r>
            <w:r>
              <w:rPr>
                <w:sz w:val="16"/>
              </w:rPr>
              <w:t xml:space="preserve"> (H2b)</w:t>
            </w:r>
            <w:r w:rsidRPr="00C53492">
              <w:rPr>
                <w:sz w:val="16"/>
              </w:rPr>
              <w:t>?</w:t>
            </w:r>
          </w:p>
        </w:tc>
        <w:tc>
          <w:tcPr>
            <w:tcW w:w="684" w:type="pct"/>
            <w:tcBorders>
              <w:top w:val="single" w:sz="4" w:space="0" w:color="auto"/>
              <w:left w:val="single" w:sz="4" w:space="0" w:color="auto"/>
              <w:right w:val="single" w:sz="4" w:space="0" w:color="auto"/>
            </w:tcBorders>
            <w:shd w:val="clear" w:color="auto" w:fill="FF0000"/>
          </w:tcPr>
          <w:p w14:paraId="32CC388F" w14:textId="77777777" w:rsidR="0014455D" w:rsidRDefault="0014455D" w:rsidP="00902C23">
            <w:pPr>
              <w:pStyle w:val="TableText"/>
              <w:spacing w:line="240" w:lineRule="auto"/>
              <w:rPr>
                <w:sz w:val="16"/>
                <w:lang w:val="en-US" w:bidi="en-US"/>
              </w:rPr>
            </w:pPr>
            <w:r>
              <w:rPr>
                <w:sz w:val="16"/>
                <w:lang w:val="en-US" w:bidi="en-US"/>
              </w:rPr>
              <w:t>-43 [-102, 16]</w:t>
            </w:r>
          </w:p>
          <w:p w14:paraId="5FA28364" w14:textId="77777777" w:rsidR="0014455D" w:rsidRPr="00D857EA" w:rsidRDefault="0014455D" w:rsidP="00902C23">
            <w:pPr>
              <w:spacing w:line="240" w:lineRule="auto"/>
              <w:rPr>
                <w:sz w:val="16"/>
                <w:szCs w:val="16"/>
                <w:lang w:val="en-US" w:bidi="en-US"/>
              </w:rPr>
            </w:pPr>
            <w:r>
              <w:rPr>
                <w:sz w:val="16"/>
                <w:szCs w:val="16"/>
                <w:lang w:val="en-US" w:bidi="en-US"/>
              </w:rPr>
              <w:t>(-8%)</w:t>
            </w:r>
          </w:p>
        </w:tc>
        <w:tc>
          <w:tcPr>
            <w:tcW w:w="684" w:type="pct"/>
            <w:tcBorders>
              <w:top w:val="single" w:sz="4" w:space="0" w:color="auto"/>
              <w:left w:val="single" w:sz="4" w:space="0" w:color="auto"/>
              <w:right w:val="single" w:sz="4" w:space="0" w:color="auto"/>
            </w:tcBorders>
            <w:shd w:val="clear" w:color="auto" w:fill="70AD47" w:themeFill="accent6"/>
          </w:tcPr>
          <w:p w14:paraId="78976B11" w14:textId="77777777" w:rsidR="0014455D" w:rsidRDefault="0014455D" w:rsidP="00902C23">
            <w:pPr>
              <w:pStyle w:val="TableText"/>
              <w:spacing w:line="240" w:lineRule="auto"/>
              <w:rPr>
                <w:sz w:val="16"/>
                <w:lang w:val="en-US" w:bidi="en-US"/>
              </w:rPr>
            </w:pPr>
            <w:r>
              <w:rPr>
                <w:sz w:val="16"/>
                <w:lang w:val="en-US" w:bidi="en-US"/>
              </w:rPr>
              <w:t>65 [48, 81]</w:t>
            </w:r>
          </w:p>
          <w:p w14:paraId="63F35FEA" w14:textId="77777777" w:rsidR="0014455D" w:rsidRPr="00D857EA" w:rsidRDefault="0014455D" w:rsidP="00902C23">
            <w:pPr>
              <w:spacing w:line="240" w:lineRule="auto"/>
              <w:rPr>
                <w:sz w:val="16"/>
                <w:szCs w:val="16"/>
                <w:lang w:val="en-US" w:bidi="en-US"/>
              </w:rPr>
            </w:pPr>
            <w:r>
              <w:rPr>
                <w:sz w:val="16"/>
                <w:szCs w:val="16"/>
                <w:lang w:val="en-US" w:bidi="en-US"/>
              </w:rPr>
              <w:t>(+20%)</w:t>
            </w:r>
          </w:p>
        </w:tc>
        <w:tc>
          <w:tcPr>
            <w:tcW w:w="684" w:type="pct"/>
            <w:tcBorders>
              <w:top w:val="single" w:sz="4" w:space="0" w:color="auto"/>
              <w:left w:val="single" w:sz="4" w:space="0" w:color="auto"/>
              <w:right w:val="single" w:sz="4" w:space="0" w:color="auto"/>
            </w:tcBorders>
            <w:shd w:val="clear" w:color="auto" w:fill="E2EFD9" w:themeFill="accent6" w:themeFillTint="33"/>
          </w:tcPr>
          <w:p w14:paraId="0AB36DDA" w14:textId="77777777" w:rsidR="0014455D" w:rsidRDefault="0014455D" w:rsidP="00902C23">
            <w:pPr>
              <w:pStyle w:val="TableText"/>
              <w:spacing w:line="240" w:lineRule="auto"/>
              <w:rPr>
                <w:sz w:val="16"/>
                <w:lang w:val="en-US" w:bidi="en-US"/>
              </w:rPr>
            </w:pPr>
            <w:r>
              <w:rPr>
                <w:sz w:val="16"/>
                <w:lang w:val="en-US" w:bidi="en-US"/>
              </w:rPr>
              <w:t>20 [8, 32]</w:t>
            </w:r>
          </w:p>
          <w:p w14:paraId="2089EF82" w14:textId="77777777" w:rsidR="0014455D" w:rsidRPr="004B7BA1" w:rsidRDefault="0014455D" w:rsidP="00902C23">
            <w:pPr>
              <w:spacing w:line="240" w:lineRule="auto"/>
              <w:rPr>
                <w:sz w:val="16"/>
                <w:szCs w:val="16"/>
                <w:lang w:val="en-US" w:bidi="en-US"/>
              </w:rPr>
            </w:pPr>
            <w:r>
              <w:rPr>
                <w:sz w:val="16"/>
                <w:szCs w:val="16"/>
                <w:lang w:val="en-US" w:bidi="en-US"/>
              </w:rPr>
              <w:t>(+6%)</w:t>
            </w:r>
          </w:p>
        </w:tc>
        <w:tc>
          <w:tcPr>
            <w:tcW w:w="684" w:type="pct"/>
            <w:tcBorders>
              <w:top w:val="single" w:sz="4" w:space="0" w:color="auto"/>
              <w:left w:val="single" w:sz="4" w:space="0" w:color="auto"/>
              <w:right w:val="single" w:sz="4" w:space="0" w:color="auto"/>
            </w:tcBorders>
            <w:shd w:val="clear" w:color="auto" w:fill="4472C4" w:themeFill="accent5"/>
          </w:tcPr>
          <w:p w14:paraId="66B60140" w14:textId="77777777" w:rsidR="0014455D" w:rsidRDefault="0014455D" w:rsidP="00902C23">
            <w:pPr>
              <w:pStyle w:val="TableText"/>
              <w:spacing w:line="240" w:lineRule="auto"/>
              <w:rPr>
                <w:sz w:val="16"/>
                <w:lang w:val="en-US" w:bidi="en-US"/>
              </w:rPr>
            </w:pPr>
            <w:r>
              <w:rPr>
                <w:sz w:val="16"/>
                <w:lang w:val="en-US" w:bidi="en-US"/>
              </w:rPr>
              <w:t>105 [72, 139]</w:t>
            </w:r>
          </w:p>
          <w:p w14:paraId="6F5AE8D6" w14:textId="77777777" w:rsidR="0014455D" w:rsidRPr="004B7BA1" w:rsidRDefault="0014455D" w:rsidP="00902C23">
            <w:pPr>
              <w:spacing w:line="240" w:lineRule="auto"/>
              <w:rPr>
                <w:sz w:val="16"/>
                <w:szCs w:val="16"/>
                <w:lang w:val="en-US" w:bidi="en-US"/>
              </w:rPr>
            </w:pPr>
            <w:r>
              <w:rPr>
                <w:sz w:val="16"/>
                <w:szCs w:val="16"/>
                <w:lang w:val="en-US" w:bidi="en-US"/>
              </w:rPr>
              <w:t>(+33%)</w:t>
            </w:r>
          </w:p>
        </w:tc>
        <w:tc>
          <w:tcPr>
            <w:tcW w:w="684" w:type="pct"/>
            <w:tcBorders>
              <w:top w:val="single" w:sz="4" w:space="0" w:color="auto"/>
              <w:left w:val="single" w:sz="4" w:space="0" w:color="auto"/>
              <w:bottom w:val="single" w:sz="4" w:space="0" w:color="auto"/>
              <w:right w:val="single" w:sz="4" w:space="0" w:color="auto"/>
            </w:tcBorders>
            <w:shd w:val="clear" w:color="auto" w:fill="4472C4" w:themeFill="accent5"/>
          </w:tcPr>
          <w:p w14:paraId="0DA34BDD" w14:textId="77777777" w:rsidR="0014455D" w:rsidRPr="00C53492" w:rsidRDefault="0014455D" w:rsidP="00902C23">
            <w:pPr>
              <w:pStyle w:val="TableText"/>
              <w:spacing w:line="240" w:lineRule="auto"/>
              <w:rPr>
                <w:sz w:val="16"/>
                <w:lang w:val="en-US" w:bidi="en-US"/>
              </w:rPr>
            </w:pPr>
            <w:r>
              <w:rPr>
                <w:sz w:val="16"/>
                <w:lang w:val="en-US" w:bidi="en-US"/>
              </w:rPr>
              <w:t>261</w:t>
            </w:r>
            <w:r w:rsidRPr="00C53492">
              <w:rPr>
                <w:sz w:val="16"/>
                <w:lang w:val="en-US" w:bidi="en-US"/>
              </w:rPr>
              <w:t xml:space="preserve"> [</w:t>
            </w:r>
            <w:r>
              <w:rPr>
                <w:sz w:val="16"/>
                <w:lang w:val="en-US" w:bidi="en-US"/>
              </w:rPr>
              <w:t>176</w:t>
            </w:r>
            <w:r w:rsidRPr="00C53492">
              <w:rPr>
                <w:sz w:val="16"/>
                <w:lang w:val="en-US" w:bidi="en-US"/>
              </w:rPr>
              <w:t>,</w:t>
            </w:r>
            <w:r>
              <w:rPr>
                <w:sz w:val="16"/>
                <w:lang w:val="en-US" w:bidi="en-US"/>
              </w:rPr>
              <w:t xml:space="preserve"> 346</w:t>
            </w:r>
            <w:r w:rsidRPr="00C53492">
              <w:rPr>
                <w:sz w:val="16"/>
                <w:lang w:val="en-US" w:bidi="en-US"/>
              </w:rPr>
              <w:t>]</w:t>
            </w:r>
          </w:p>
          <w:p w14:paraId="4CA202F9" w14:textId="77777777" w:rsidR="0014455D" w:rsidRPr="00C53492" w:rsidRDefault="0014455D" w:rsidP="00902C23">
            <w:pPr>
              <w:pStyle w:val="TableText"/>
              <w:spacing w:line="240" w:lineRule="auto"/>
              <w:rPr>
                <w:sz w:val="16"/>
                <w:lang w:val="en-US" w:bidi="en-US"/>
              </w:rPr>
            </w:pPr>
            <w:r w:rsidRPr="00C53492">
              <w:rPr>
                <w:sz w:val="16"/>
              </w:rPr>
              <w:t>(+</w:t>
            </w:r>
            <w:r>
              <w:rPr>
                <w:sz w:val="16"/>
              </w:rPr>
              <w:t>52</w:t>
            </w:r>
            <w:r w:rsidRPr="00C53492">
              <w:rPr>
                <w:sz w:val="16"/>
              </w:rPr>
              <w:t>%)</w:t>
            </w:r>
          </w:p>
        </w:tc>
        <w:tc>
          <w:tcPr>
            <w:tcW w:w="688" w:type="pct"/>
            <w:tcBorders>
              <w:top w:val="single" w:sz="4" w:space="0" w:color="auto"/>
              <w:left w:val="single" w:sz="4" w:space="0" w:color="auto"/>
              <w:bottom w:val="single" w:sz="4" w:space="0" w:color="auto"/>
              <w:right w:val="single" w:sz="4" w:space="0" w:color="auto"/>
            </w:tcBorders>
            <w:shd w:val="clear" w:color="auto" w:fill="4472C4" w:themeFill="accent5"/>
          </w:tcPr>
          <w:p w14:paraId="7E58F24E" w14:textId="77777777" w:rsidR="0014455D" w:rsidRDefault="0014455D" w:rsidP="00902C23">
            <w:pPr>
              <w:pStyle w:val="TableText"/>
              <w:spacing w:line="240" w:lineRule="auto"/>
              <w:rPr>
                <w:sz w:val="16"/>
                <w:lang w:val="en-US" w:bidi="en-US"/>
              </w:rPr>
            </w:pPr>
            <w:r>
              <w:rPr>
                <w:sz w:val="16"/>
                <w:lang w:val="en-US" w:bidi="en-US"/>
              </w:rPr>
              <w:t>245 [157, 334]</w:t>
            </w:r>
          </w:p>
          <w:p w14:paraId="35549119" w14:textId="77777777" w:rsidR="0014455D" w:rsidRPr="002B38BB" w:rsidRDefault="0014455D" w:rsidP="00902C23">
            <w:pPr>
              <w:spacing w:line="240" w:lineRule="auto"/>
              <w:rPr>
                <w:sz w:val="16"/>
                <w:szCs w:val="16"/>
                <w:lang w:val="en-US" w:bidi="en-US"/>
              </w:rPr>
            </w:pPr>
            <w:r>
              <w:rPr>
                <w:sz w:val="16"/>
                <w:szCs w:val="16"/>
                <w:lang w:val="en-US" w:bidi="en-US"/>
              </w:rPr>
              <w:t>(+40%)</w:t>
            </w:r>
          </w:p>
        </w:tc>
      </w:tr>
      <w:tr w:rsidR="0014455D" w:rsidRPr="00C53492" w14:paraId="7AF64F11" w14:textId="77777777" w:rsidTr="00902C23">
        <w:trPr>
          <w:cantSplit/>
          <w:trHeight w:val="692"/>
        </w:trPr>
        <w:tc>
          <w:tcPr>
            <w:tcW w:w="892" w:type="pct"/>
            <w:vMerge/>
            <w:tcBorders>
              <w:left w:val="single" w:sz="4" w:space="0" w:color="auto"/>
              <w:bottom w:val="single" w:sz="4" w:space="0" w:color="auto"/>
              <w:right w:val="single" w:sz="4" w:space="0" w:color="auto"/>
            </w:tcBorders>
            <w:shd w:val="clear" w:color="auto" w:fill="auto"/>
          </w:tcPr>
          <w:p w14:paraId="63AA86DF" w14:textId="77777777" w:rsidR="0014455D" w:rsidRPr="00C53492" w:rsidRDefault="0014455D" w:rsidP="00902C23">
            <w:pPr>
              <w:pStyle w:val="TableText"/>
              <w:spacing w:line="240" w:lineRule="auto"/>
              <w:rPr>
                <w:sz w:val="16"/>
              </w:rPr>
            </w:pPr>
          </w:p>
        </w:tc>
        <w:tc>
          <w:tcPr>
            <w:tcW w:w="4108" w:type="pct"/>
            <w:gridSpan w:val="6"/>
            <w:tcBorders>
              <w:left w:val="single" w:sz="4" w:space="0" w:color="auto"/>
              <w:bottom w:val="single" w:sz="4" w:space="0" w:color="auto"/>
              <w:right w:val="single" w:sz="4" w:space="0" w:color="auto"/>
            </w:tcBorders>
          </w:tcPr>
          <w:p w14:paraId="200500A4" w14:textId="77777777" w:rsidR="0014455D" w:rsidRDefault="0014455D" w:rsidP="00902C23">
            <w:pPr>
              <w:pStyle w:val="TableText"/>
              <w:spacing w:line="240" w:lineRule="auto"/>
              <w:rPr>
                <w:color w:val="auto"/>
                <w:sz w:val="16"/>
              </w:rPr>
            </w:pPr>
            <w:r>
              <w:rPr>
                <w:color w:val="auto"/>
                <w:sz w:val="16"/>
              </w:rPr>
              <w:t xml:space="preserve">eWater </w:t>
            </w:r>
            <w:r w:rsidRPr="00C53492">
              <w:rPr>
                <w:color w:val="auto"/>
                <w:sz w:val="16"/>
              </w:rPr>
              <w:t xml:space="preserve">increased the </w:t>
            </w:r>
            <w:r>
              <w:rPr>
                <w:color w:val="auto"/>
                <w:sz w:val="16"/>
              </w:rPr>
              <w:t>density</w:t>
            </w:r>
            <w:r w:rsidRPr="00C53492">
              <w:rPr>
                <w:color w:val="auto"/>
                <w:sz w:val="16"/>
              </w:rPr>
              <w:t xml:space="preserve"> of taxa </w:t>
            </w:r>
            <w:r>
              <w:rPr>
                <w:color w:val="auto"/>
                <w:sz w:val="16"/>
              </w:rPr>
              <w:t>associated with</w:t>
            </w:r>
            <w:r w:rsidRPr="00C53492">
              <w:rPr>
                <w:color w:val="auto"/>
                <w:sz w:val="16"/>
              </w:rPr>
              <w:t xml:space="preserve"> longitudinal connectivity by an average of </w:t>
            </w:r>
            <w:r>
              <w:rPr>
                <w:color w:val="auto"/>
                <w:sz w:val="16"/>
              </w:rPr>
              <w:t>34</w:t>
            </w:r>
            <w:r w:rsidRPr="00C53492">
              <w:rPr>
                <w:color w:val="auto"/>
                <w:sz w:val="16"/>
              </w:rPr>
              <w:t>% across all years</w:t>
            </w:r>
            <w:r>
              <w:rPr>
                <w:color w:val="auto"/>
                <w:sz w:val="16"/>
              </w:rPr>
              <w:t xml:space="preserve"> (2014-21)</w:t>
            </w:r>
            <w:r w:rsidRPr="00C53492">
              <w:rPr>
                <w:color w:val="auto"/>
                <w:sz w:val="16"/>
              </w:rPr>
              <w:t xml:space="preserve">, with CEW accounting for </w:t>
            </w:r>
            <w:r>
              <w:rPr>
                <w:color w:val="auto"/>
                <w:sz w:val="16"/>
              </w:rPr>
              <w:t>58</w:t>
            </w:r>
            <w:r w:rsidRPr="00C53492">
              <w:rPr>
                <w:color w:val="auto"/>
                <w:sz w:val="16"/>
              </w:rPr>
              <w:t>% of this.</w:t>
            </w:r>
          </w:p>
        </w:tc>
      </w:tr>
      <w:tr w:rsidR="0014455D" w:rsidRPr="00C53492" w14:paraId="0357B3D3" w14:textId="77777777" w:rsidTr="00902C23">
        <w:trPr>
          <w:cantSplit/>
          <w:trHeight w:val="20"/>
        </w:trPr>
        <w:tc>
          <w:tcPr>
            <w:tcW w:w="892" w:type="pct"/>
            <w:vMerge w:val="restart"/>
            <w:tcBorders>
              <w:top w:val="single" w:sz="4" w:space="0" w:color="auto"/>
              <w:left w:val="single" w:sz="4" w:space="0" w:color="auto"/>
              <w:right w:val="single" w:sz="4" w:space="0" w:color="auto"/>
            </w:tcBorders>
            <w:shd w:val="clear" w:color="auto" w:fill="auto"/>
          </w:tcPr>
          <w:p w14:paraId="564447EB" w14:textId="77777777" w:rsidR="0014455D" w:rsidRPr="00C53492" w:rsidRDefault="0014455D" w:rsidP="00902C23">
            <w:pPr>
              <w:pStyle w:val="TableText"/>
              <w:spacing w:line="240" w:lineRule="auto"/>
              <w:rPr>
                <w:color w:val="auto"/>
                <w:sz w:val="16"/>
              </w:rPr>
            </w:pPr>
            <w:r w:rsidRPr="00C53492">
              <w:rPr>
                <w:sz w:val="16"/>
              </w:rPr>
              <w:t xml:space="preserve">What did CEW contribute to </w:t>
            </w:r>
            <w:r w:rsidRPr="000017DB">
              <w:rPr>
                <w:sz w:val="16"/>
              </w:rPr>
              <w:t xml:space="preserve">spring-early summer </w:t>
            </w:r>
            <w:r w:rsidRPr="00C53492">
              <w:rPr>
                <w:sz w:val="16"/>
              </w:rPr>
              <w:t>microinvertebrate fish prey species density</w:t>
            </w:r>
            <w:r>
              <w:rPr>
                <w:sz w:val="16"/>
              </w:rPr>
              <w:t xml:space="preserve"> (H3)</w:t>
            </w:r>
            <w:r w:rsidRPr="00C53492">
              <w:rPr>
                <w:sz w:val="16"/>
              </w:rPr>
              <w:t>?</w:t>
            </w:r>
          </w:p>
          <w:p w14:paraId="1487EF3F" w14:textId="77777777" w:rsidR="0014455D" w:rsidRPr="00C53492" w:rsidRDefault="0014455D" w:rsidP="00902C23">
            <w:pPr>
              <w:pStyle w:val="TableText"/>
              <w:spacing w:line="240" w:lineRule="auto"/>
              <w:rPr>
                <w:color w:val="auto"/>
                <w:sz w:val="16"/>
              </w:rPr>
            </w:pPr>
          </w:p>
        </w:tc>
        <w:tc>
          <w:tcPr>
            <w:tcW w:w="684" w:type="pct"/>
            <w:tcBorders>
              <w:top w:val="single" w:sz="4" w:space="0" w:color="auto"/>
              <w:left w:val="single" w:sz="4" w:space="0" w:color="auto"/>
              <w:right w:val="single" w:sz="4" w:space="0" w:color="auto"/>
            </w:tcBorders>
            <w:shd w:val="clear" w:color="auto" w:fill="FF0000"/>
          </w:tcPr>
          <w:p w14:paraId="3DF1F471" w14:textId="77777777" w:rsidR="0014455D" w:rsidRDefault="0014455D" w:rsidP="00902C23">
            <w:pPr>
              <w:pStyle w:val="TableText"/>
              <w:spacing w:line="240" w:lineRule="auto"/>
              <w:rPr>
                <w:sz w:val="16"/>
              </w:rPr>
            </w:pPr>
            <w:r>
              <w:rPr>
                <w:sz w:val="16"/>
              </w:rPr>
              <w:t>-5 [-10, 0]</w:t>
            </w:r>
          </w:p>
          <w:p w14:paraId="063B6181" w14:textId="77777777" w:rsidR="0014455D" w:rsidRPr="00363F29" w:rsidRDefault="0014455D" w:rsidP="00902C23">
            <w:pPr>
              <w:spacing w:line="240" w:lineRule="auto"/>
              <w:rPr>
                <w:sz w:val="16"/>
                <w:szCs w:val="16"/>
              </w:rPr>
            </w:pPr>
            <w:r>
              <w:rPr>
                <w:sz w:val="16"/>
                <w:szCs w:val="16"/>
              </w:rPr>
              <w:t>(-8%)</w:t>
            </w:r>
          </w:p>
        </w:tc>
        <w:tc>
          <w:tcPr>
            <w:tcW w:w="684" w:type="pct"/>
            <w:tcBorders>
              <w:top w:val="single" w:sz="4" w:space="0" w:color="auto"/>
              <w:left w:val="single" w:sz="4" w:space="0" w:color="auto"/>
              <w:right w:val="single" w:sz="4" w:space="0" w:color="auto"/>
            </w:tcBorders>
            <w:shd w:val="clear" w:color="auto" w:fill="4472C4" w:themeFill="accent5"/>
          </w:tcPr>
          <w:p w14:paraId="2F184C29" w14:textId="77777777" w:rsidR="0014455D" w:rsidRDefault="0014455D" w:rsidP="00902C23">
            <w:pPr>
              <w:pStyle w:val="TableText"/>
              <w:spacing w:line="240" w:lineRule="auto"/>
              <w:rPr>
                <w:sz w:val="16"/>
              </w:rPr>
            </w:pPr>
            <w:r>
              <w:rPr>
                <w:sz w:val="16"/>
              </w:rPr>
              <w:t>19 [15, 23]</w:t>
            </w:r>
          </w:p>
          <w:p w14:paraId="522E8082" w14:textId="77777777" w:rsidR="0014455D" w:rsidRPr="00363F29" w:rsidRDefault="0014455D" w:rsidP="00902C23">
            <w:pPr>
              <w:spacing w:line="240" w:lineRule="auto"/>
              <w:rPr>
                <w:sz w:val="16"/>
                <w:szCs w:val="16"/>
              </w:rPr>
            </w:pPr>
            <w:r>
              <w:rPr>
                <w:sz w:val="16"/>
                <w:szCs w:val="16"/>
              </w:rPr>
              <w:t>(+31%)</w:t>
            </w:r>
          </w:p>
        </w:tc>
        <w:tc>
          <w:tcPr>
            <w:tcW w:w="684" w:type="pct"/>
            <w:tcBorders>
              <w:top w:val="single" w:sz="4" w:space="0" w:color="auto"/>
              <w:left w:val="single" w:sz="4" w:space="0" w:color="auto"/>
              <w:right w:val="single" w:sz="4" w:space="0" w:color="auto"/>
            </w:tcBorders>
            <w:shd w:val="clear" w:color="auto" w:fill="E2EFD9" w:themeFill="accent6" w:themeFillTint="33"/>
          </w:tcPr>
          <w:p w14:paraId="5D04DD3B" w14:textId="77777777" w:rsidR="0014455D" w:rsidRDefault="0014455D" w:rsidP="00902C23">
            <w:pPr>
              <w:pStyle w:val="TableText"/>
              <w:spacing w:line="240" w:lineRule="auto"/>
              <w:rPr>
                <w:sz w:val="16"/>
              </w:rPr>
            </w:pPr>
            <w:r>
              <w:rPr>
                <w:sz w:val="16"/>
              </w:rPr>
              <w:t>1 [0, 1]</w:t>
            </w:r>
          </w:p>
          <w:p w14:paraId="1EA810C1" w14:textId="77777777" w:rsidR="0014455D" w:rsidRPr="00363F29" w:rsidRDefault="0014455D" w:rsidP="00902C23">
            <w:pPr>
              <w:spacing w:line="240" w:lineRule="auto"/>
              <w:rPr>
                <w:sz w:val="16"/>
                <w:szCs w:val="16"/>
              </w:rPr>
            </w:pPr>
            <w:r>
              <w:rPr>
                <w:sz w:val="16"/>
                <w:szCs w:val="16"/>
              </w:rPr>
              <w:t>(+2%)</w:t>
            </w:r>
          </w:p>
        </w:tc>
        <w:tc>
          <w:tcPr>
            <w:tcW w:w="684" w:type="pct"/>
            <w:tcBorders>
              <w:top w:val="single" w:sz="4" w:space="0" w:color="auto"/>
              <w:left w:val="single" w:sz="4" w:space="0" w:color="auto"/>
              <w:right w:val="single" w:sz="4" w:space="0" w:color="auto"/>
            </w:tcBorders>
            <w:shd w:val="clear" w:color="auto" w:fill="4472C4" w:themeFill="accent5"/>
          </w:tcPr>
          <w:p w14:paraId="30977A4E" w14:textId="77777777" w:rsidR="0014455D" w:rsidRDefault="0014455D" w:rsidP="00902C23">
            <w:pPr>
              <w:pStyle w:val="TableText"/>
              <w:spacing w:line="240" w:lineRule="auto"/>
              <w:rPr>
                <w:sz w:val="16"/>
              </w:rPr>
            </w:pPr>
            <w:r>
              <w:rPr>
                <w:sz w:val="16"/>
              </w:rPr>
              <w:t>22 [13, 30]</w:t>
            </w:r>
          </w:p>
          <w:p w14:paraId="3E3BD309" w14:textId="77777777" w:rsidR="0014455D" w:rsidRPr="00557322" w:rsidRDefault="0014455D" w:rsidP="00902C23">
            <w:pPr>
              <w:spacing w:line="240" w:lineRule="auto"/>
              <w:rPr>
                <w:sz w:val="16"/>
                <w:szCs w:val="16"/>
              </w:rPr>
            </w:pPr>
            <w:r>
              <w:rPr>
                <w:sz w:val="16"/>
                <w:szCs w:val="16"/>
              </w:rPr>
              <w:t>(+32%)</w:t>
            </w:r>
          </w:p>
        </w:tc>
        <w:tc>
          <w:tcPr>
            <w:tcW w:w="684" w:type="pct"/>
            <w:tcBorders>
              <w:top w:val="single" w:sz="4" w:space="0" w:color="auto"/>
              <w:left w:val="single" w:sz="4" w:space="0" w:color="auto"/>
              <w:bottom w:val="single" w:sz="4" w:space="0" w:color="auto"/>
              <w:right w:val="single" w:sz="4" w:space="0" w:color="auto"/>
            </w:tcBorders>
            <w:shd w:val="clear" w:color="auto" w:fill="70AD47" w:themeFill="accent6"/>
          </w:tcPr>
          <w:p w14:paraId="181BCBCD" w14:textId="77777777" w:rsidR="0014455D" w:rsidRPr="00C53492" w:rsidRDefault="0014455D" w:rsidP="00902C23">
            <w:pPr>
              <w:pStyle w:val="TableText"/>
              <w:spacing w:line="240" w:lineRule="auto"/>
              <w:rPr>
                <w:sz w:val="16"/>
              </w:rPr>
            </w:pPr>
            <w:r>
              <w:rPr>
                <w:sz w:val="16"/>
              </w:rPr>
              <w:t>10</w:t>
            </w:r>
            <w:r w:rsidRPr="00C53492">
              <w:rPr>
                <w:sz w:val="16"/>
              </w:rPr>
              <w:t xml:space="preserve"> [</w:t>
            </w:r>
            <w:r>
              <w:rPr>
                <w:sz w:val="16"/>
              </w:rPr>
              <w:t>4</w:t>
            </w:r>
            <w:r w:rsidRPr="00C53492">
              <w:rPr>
                <w:sz w:val="16"/>
              </w:rPr>
              <w:t xml:space="preserve">, </w:t>
            </w:r>
            <w:r>
              <w:rPr>
                <w:sz w:val="16"/>
              </w:rPr>
              <w:t>15</w:t>
            </w:r>
            <w:r w:rsidRPr="00C53492">
              <w:rPr>
                <w:sz w:val="16"/>
              </w:rPr>
              <w:t>]</w:t>
            </w:r>
          </w:p>
          <w:p w14:paraId="7D662E8B" w14:textId="77777777" w:rsidR="0014455D" w:rsidRPr="00C53492" w:rsidRDefault="0014455D" w:rsidP="00902C23">
            <w:pPr>
              <w:pStyle w:val="TableText"/>
              <w:spacing w:line="240" w:lineRule="auto"/>
              <w:rPr>
                <w:sz w:val="16"/>
              </w:rPr>
            </w:pPr>
            <w:r w:rsidRPr="00C53492">
              <w:rPr>
                <w:sz w:val="16"/>
              </w:rPr>
              <w:t>(+</w:t>
            </w:r>
            <w:r>
              <w:rPr>
                <w:sz w:val="16"/>
              </w:rPr>
              <w:t>25</w:t>
            </w:r>
            <w:r w:rsidRPr="00C53492">
              <w:rPr>
                <w:sz w:val="16"/>
              </w:rPr>
              <w:t>%)</w:t>
            </w:r>
          </w:p>
        </w:tc>
        <w:tc>
          <w:tcPr>
            <w:tcW w:w="688" w:type="pct"/>
            <w:tcBorders>
              <w:top w:val="single" w:sz="4" w:space="0" w:color="auto"/>
              <w:left w:val="single" w:sz="4" w:space="0" w:color="auto"/>
              <w:bottom w:val="single" w:sz="4" w:space="0" w:color="auto"/>
              <w:right w:val="single" w:sz="4" w:space="0" w:color="auto"/>
            </w:tcBorders>
            <w:shd w:val="clear" w:color="auto" w:fill="FF0000"/>
          </w:tcPr>
          <w:p w14:paraId="541477BE" w14:textId="77777777" w:rsidR="0014455D" w:rsidRDefault="0014455D" w:rsidP="00902C23">
            <w:pPr>
              <w:pStyle w:val="TableText"/>
              <w:spacing w:line="240" w:lineRule="auto"/>
              <w:rPr>
                <w:sz w:val="16"/>
              </w:rPr>
            </w:pPr>
            <w:r>
              <w:rPr>
                <w:sz w:val="16"/>
              </w:rPr>
              <w:t>-13 [-22, -4]</w:t>
            </w:r>
          </w:p>
          <w:p w14:paraId="30428792" w14:textId="77777777" w:rsidR="0014455D" w:rsidRPr="001D0B8B" w:rsidRDefault="0014455D" w:rsidP="00902C23">
            <w:pPr>
              <w:spacing w:line="240" w:lineRule="auto"/>
              <w:rPr>
                <w:sz w:val="16"/>
                <w:szCs w:val="16"/>
              </w:rPr>
            </w:pPr>
            <w:r>
              <w:rPr>
                <w:sz w:val="16"/>
                <w:szCs w:val="16"/>
              </w:rPr>
              <w:t>(-40%)</w:t>
            </w:r>
          </w:p>
        </w:tc>
      </w:tr>
      <w:tr w:rsidR="0014455D" w:rsidRPr="00C53492" w14:paraId="03176022" w14:textId="77777777" w:rsidTr="00902C23">
        <w:trPr>
          <w:cantSplit/>
          <w:trHeight w:val="642"/>
        </w:trPr>
        <w:tc>
          <w:tcPr>
            <w:tcW w:w="892" w:type="pct"/>
            <w:vMerge/>
            <w:tcBorders>
              <w:left w:val="single" w:sz="4" w:space="0" w:color="auto"/>
              <w:bottom w:val="single" w:sz="4" w:space="0" w:color="auto"/>
              <w:right w:val="single" w:sz="4" w:space="0" w:color="auto"/>
            </w:tcBorders>
            <w:shd w:val="clear" w:color="auto" w:fill="auto"/>
          </w:tcPr>
          <w:p w14:paraId="569A5994" w14:textId="77777777" w:rsidR="0014455D" w:rsidRPr="00C53492" w:rsidRDefault="0014455D" w:rsidP="00902C23">
            <w:pPr>
              <w:pStyle w:val="TableText"/>
              <w:spacing w:line="240" w:lineRule="auto"/>
              <w:rPr>
                <w:sz w:val="16"/>
              </w:rPr>
            </w:pPr>
          </w:p>
        </w:tc>
        <w:tc>
          <w:tcPr>
            <w:tcW w:w="4108" w:type="pct"/>
            <w:gridSpan w:val="6"/>
            <w:tcBorders>
              <w:left w:val="single" w:sz="4" w:space="0" w:color="auto"/>
              <w:bottom w:val="single" w:sz="4" w:space="0" w:color="auto"/>
              <w:right w:val="single" w:sz="4" w:space="0" w:color="auto"/>
            </w:tcBorders>
          </w:tcPr>
          <w:p w14:paraId="7A6B57E2" w14:textId="77777777" w:rsidR="0014455D" w:rsidRDefault="0014455D" w:rsidP="00902C23">
            <w:pPr>
              <w:pStyle w:val="TableText"/>
              <w:spacing w:line="240" w:lineRule="auto"/>
              <w:rPr>
                <w:rFonts w:eastAsia="MS Mincho"/>
                <w:sz w:val="16"/>
                <w:lang w:val="en-US"/>
              </w:rPr>
            </w:pPr>
            <w:r w:rsidRPr="00512743">
              <w:rPr>
                <w:color w:val="auto"/>
                <w:sz w:val="16"/>
              </w:rPr>
              <w:t xml:space="preserve">eWater increased the density of microinvertebrate fish prey species during </w:t>
            </w:r>
            <w:r w:rsidRPr="000017DB">
              <w:rPr>
                <w:color w:val="auto"/>
                <w:sz w:val="16"/>
              </w:rPr>
              <w:t xml:space="preserve">spring-early summer </w:t>
            </w:r>
            <w:r w:rsidRPr="00512743">
              <w:rPr>
                <w:color w:val="auto"/>
                <w:sz w:val="16"/>
              </w:rPr>
              <w:t xml:space="preserve">by an average of 19% across all years </w:t>
            </w:r>
            <w:r>
              <w:rPr>
                <w:color w:val="auto"/>
                <w:sz w:val="16"/>
              </w:rPr>
              <w:t>(2014-21)</w:t>
            </w:r>
            <w:r w:rsidRPr="00512743">
              <w:rPr>
                <w:color w:val="auto"/>
                <w:sz w:val="16"/>
              </w:rPr>
              <w:t>, with CEW accounting for 79% of this.</w:t>
            </w:r>
          </w:p>
        </w:tc>
      </w:tr>
    </w:tbl>
    <w:bookmarkEnd w:id="261"/>
    <w:p w14:paraId="32CFA28A" w14:textId="77777777" w:rsidR="0014455D" w:rsidRPr="0056058B" w:rsidRDefault="0014455D" w:rsidP="0014455D">
      <w:pPr>
        <w:spacing w:after="0"/>
        <w:contextualSpacing/>
        <w:rPr>
          <w:sz w:val="19"/>
          <w:szCs w:val="19"/>
        </w:rPr>
      </w:pPr>
      <w:r w:rsidRPr="0056058B">
        <w:rPr>
          <w:sz w:val="19"/>
          <w:szCs w:val="19"/>
        </w:rPr>
        <w:t xml:space="preserve">* = additional management levers were also used (Appendix B) </w:t>
      </w:r>
    </w:p>
    <w:p w14:paraId="629B45B9" w14:textId="77777777" w:rsidR="0014455D" w:rsidRPr="00863BAE" w:rsidRDefault="0014455D" w:rsidP="0014455D">
      <w:pPr>
        <w:spacing w:before="0" w:after="0" w:line="240" w:lineRule="auto"/>
        <w:jc w:val="left"/>
        <w:rPr>
          <w:color w:val="auto"/>
          <w:kern w:val="0"/>
          <w:sz w:val="4"/>
          <w:szCs w:val="4"/>
          <w:lang w:val="en-US" w:bidi="en-US"/>
        </w:rPr>
      </w:pPr>
    </w:p>
    <w:p w14:paraId="79CEC6E2" w14:textId="77777777" w:rsidR="0014455D" w:rsidRPr="00FF1A94" w:rsidRDefault="0014455D" w:rsidP="0014455D">
      <w:pPr>
        <w:spacing w:before="0" w:after="0" w:line="240" w:lineRule="auto"/>
        <w:jc w:val="left"/>
        <w:rPr>
          <w:color w:val="auto"/>
          <w:kern w:val="0"/>
          <w:sz w:val="18"/>
          <w:szCs w:val="19"/>
          <w:lang w:val="en-US" w:bidi="en-US"/>
        </w:rPr>
      </w:pPr>
      <w:r w:rsidRPr="00FF1A94">
        <w:rPr>
          <w:color w:val="auto"/>
          <w:kern w:val="0"/>
          <w:sz w:val="18"/>
          <w:szCs w:val="19"/>
          <w:lang w:val="en-US" w:bidi="en-US"/>
        </w:rPr>
        <w:t>Contribution (to what extent CEW contributed towards the outcome, with the significance of the outcome considered):</w:t>
      </w:r>
    </w:p>
    <w:tbl>
      <w:tblPr>
        <w:tblW w:w="8252" w:type="dxa"/>
        <w:tblLook w:val="04A0" w:firstRow="1" w:lastRow="0" w:firstColumn="1" w:lastColumn="0" w:noHBand="0" w:noVBand="1"/>
      </w:tblPr>
      <w:tblGrid>
        <w:gridCol w:w="222"/>
        <w:gridCol w:w="1066"/>
        <w:gridCol w:w="222"/>
        <w:gridCol w:w="1069"/>
        <w:gridCol w:w="222"/>
        <w:gridCol w:w="1704"/>
        <w:gridCol w:w="222"/>
        <w:gridCol w:w="727"/>
        <w:gridCol w:w="222"/>
        <w:gridCol w:w="1144"/>
        <w:gridCol w:w="236"/>
        <w:gridCol w:w="1196"/>
      </w:tblGrid>
      <w:tr w:rsidR="0014455D" w:rsidRPr="00040AC2" w14:paraId="78C281E8" w14:textId="77777777" w:rsidTr="00902C23">
        <w:tc>
          <w:tcPr>
            <w:tcW w:w="222" w:type="dxa"/>
            <w:shd w:val="clear" w:color="auto" w:fill="D9D9D9" w:themeFill="background1" w:themeFillShade="D9"/>
          </w:tcPr>
          <w:p w14:paraId="0CB0D5E6" w14:textId="77777777" w:rsidR="0014455D" w:rsidRPr="00FF1A94" w:rsidRDefault="0014455D" w:rsidP="00902C23">
            <w:pPr>
              <w:contextualSpacing/>
              <w:rPr>
                <w:sz w:val="18"/>
                <w:szCs w:val="19"/>
              </w:rPr>
            </w:pPr>
            <w:bookmarkStart w:id="262" w:name="_Hlk95049536"/>
          </w:p>
        </w:tc>
        <w:tc>
          <w:tcPr>
            <w:tcW w:w="1066" w:type="dxa"/>
            <w:vAlign w:val="center"/>
          </w:tcPr>
          <w:p w14:paraId="770A8D87" w14:textId="77777777" w:rsidR="0014455D" w:rsidRPr="00FF1A94" w:rsidRDefault="0014455D" w:rsidP="00902C23">
            <w:pPr>
              <w:contextualSpacing/>
              <w:rPr>
                <w:sz w:val="18"/>
                <w:szCs w:val="19"/>
              </w:rPr>
            </w:pPr>
            <w:r w:rsidRPr="00FF1A94">
              <w:rPr>
                <w:sz w:val="18"/>
                <w:szCs w:val="19"/>
              </w:rPr>
              <w:t>Unknown</w:t>
            </w:r>
          </w:p>
        </w:tc>
        <w:tc>
          <w:tcPr>
            <w:tcW w:w="222" w:type="dxa"/>
            <w:shd w:val="clear" w:color="auto" w:fill="FF0000"/>
            <w:vAlign w:val="center"/>
          </w:tcPr>
          <w:p w14:paraId="6AE45DFD" w14:textId="77777777" w:rsidR="0014455D" w:rsidRPr="00FF1A94" w:rsidRDefault="0014455D" w:rsidP="00902C23">
            <w:pPr>
              <w:contextualSpacing/>
              <w:rPr>
                <w:sz w:val="18"/>
                <w:szCs w:val="19"/>
              </w:rPr>
            </w:pPr>
          </w:p>
        </w:tc>
        <w:tc>
          <w:tcPr>
            <w:tcW w:w="1069" w:type="dxa"/>
            <w:vAlign w:val="center"/>
          </w:tcPr>
          <w:p w14:paraId="55F6AD1E" w14:textId="77777777" w:rsidR="0014455D" w:rsidRPr="00FF1A94" w:rsidRDefault="0014455D" w:rsidP="00902C23">
            <w:pPr>
              <w:contextualSpacing/>
              <w:rPr>
                <w:sz w:val="18"/>
                <w:szCs w:val="19"/>
              </w:rPr>
            </w:pPr>
            <w:r w:rsidRPr="00FF1A94">
              <w:rPr>
                <w:sz w:val="18"/>
                <w:szCs w:val="19"/>
              </w:rPr>
              <w:t>Negative</w:t>
            </w:r>
          </w:p>
        </w:tc>
        <w:tc>
          <w:tcPr>
            <w:tcW w:w="222" w:type="dxa"/>
            <w:shd w:val="clear" w:color="auto" w:fill="E2EFD9" w:themeFill="accent6" w:themeFillTint="33"/>
            <w:vAlign w:val="center"/>
          </w:tcPr>
          <w:p w14:paraId="735C3BA0" w14:textId="77777777" w:rsidR="0014455D" w:rsidRPr="00FF1A94" w:rsidRDefault="0014455D" w:rsidP="00902C23">
            <w:pPr>
              <w:contextualSpacing/>
              <w:rPr>
                <w:sz w:val="18"/>
                <w:szCs w:val="19"/>
              </w:rPr>
            </w:pPr>
          </w:p>
        </w:tc>
        <w:tc>
          <w:tcPr>
            <w:tcW w:w="1704" w:type="dxa"/>
            <w:vAlign w:val="center"/>
          </w:tcPr>
          <w:p w14:paraId="34686043" w14:textId="77777777" w:rsidR="0014455D" w:rsidRPr="00FF1A94" w:rsidRDefault="0014455D" w:rsidP="00902C23">
            <w:pPr>
              <w:contextualSpacing/>
              <w:rPr>
                <w:sz w:val="18"/>
                <w:szCs w:val="19"/>
              </w:rPr>
            </w:pPr>
            <w:r w:rsidRPr="00FF1A94">
              <w:rPr>
                <w:sz w:val="18"/>
                <w:szCs w:val="19"/>
              </w:rPr>
              <w:t>None/negligible</w:t>
            </w:r>
          </w:p>
        </w:tc>
        <w:tc>
          <w:tcPr>
            <w:tcW w:w="222" w:type="dxa"/>
            <w:shd w:val="clear" w:color="auto" w:fill="A8D08D" w:themeFill="accent6" w:themeFillTint="99"/>
            <w:vAlign w:val="center"/>
          </w:tcPr>
          <w:p w14:paraId="2341BCFD" w14:textId="77777777" w:rsidR="0014455D" w:rsidRPr="00FF1A94" w:rsidRDefault="0014455D" w:rsidP="00902C23">
            <w:pPr>
              <w:contextualSpacing/>
              <w:rPr>
                <w:sz w:val="18"/>
                <w:szCs w:val="19"/>
              </w:rPr>
            </w:pPr>
          </w:p>
        </w:tc>
        <w:tc>
          <w:tcPr>
            <w:tcW w:w="727" w:type="dxa"/>
            <w:vAlign w:val="center"/>
          </w:tcPr>
          <w:p w14:paraId="2BFBF6CD" w14:textId="77777777" w:rsidR="0014455D" w:rsidRPr="00FF1A94" w:rsidRDefault="0014455D" w:rsidP="00902C23">
            <w:pPr>
              <w:contextualSpacing/>
              <w:rPr>
                <w:sz w:val="18"/>
                <w:szCs w:val="19"/>
              </w:rPr>
            </w:pPr>
            <w:r w:rsidRPr="00FF1A94">
              <w:rPr>
                <w:sz w:val="18"/>
                <w:szCs w:val="19"/>
              </w:rPr>
              <w:t>Minor</w:t>
            </w:r>
          </w:p>
        </w:tc>
        <w:tc>
          <w:tcPr>
            <w:tcW w:w="222" w:type="dxa"/>
            <w:shd w:val="clear" w:color="auto" w:fill="70AD47" w:themeFill="accent6"/>
            <w:vAlign w:val="center"/>
          </w:tcPr>
          <w:p w14:paraId="7C37D57C" w14:textId="77777777" w:rsidR="0014455D" w:rsidRPr="00FF1A94" w:rsidRDefault="0014455D" w:rsidP="00902C23">
            <w:pPr>
              <w:contextualSpacing/>
              <w:rPr>
                <w:sz w:val="18"/>
                <w:szCs w:val="19"/>
              </w:rPr>
            </w:pPr>
          </w:p>
        </w:tc>
        <w:tc>
          <w:tcPr>
            <w:tcW w:w="1144" w:type="dxa"/>
            <w:vAlign w:val="center"/>
          </w:tcPr>
          <w:p w14:paraId="0505ED09" w14:textId="77777777" w:rsidR="0014455D" w:rsidRPr="00FF1A94" w:rsidRDefault="0014455D" w:rsidP="00902C23">
            <w:pPr>
              <w:contextualSpacing/>
              <w:rPr>
                <w:sz w:val="18"/>
                <w:szCs w:val="19"/>
              </w:rPr>
            </w:pPr>
            <w:r w:rsidRPr="00FF1A94">
              <w:rPr>
                <w:sz w:val="18"/>
                <w:szCs w:val="19"/>
              </w:rPr>
              <w:t>Moderate</w:t>
            </w:r>
          </w:p>
        </w:tc>
        <w:tc>
          <w:tcPr>
            <w:tcW w:w="236" w:type="dxa"/>
            <w:shd w:val="clear" w:color="auto" w:fill="5B9BD5" w:themeFill="accent1"/>
          </w:tcPr>
          <w:p w14:paraId="4F6336D4" w14:textId="77777777" w:rsidR="0014455D" w:rsidRPr="00FF1A94" w:rsidRDefault="0014455D" w:rsidP="00902C23">
            <w:pPr>
              <w:contextualSpacing/>
              <w:rPr>
                <w:sz w:val="18"/>
                <w:szCs w:val="19"/>
              </w:rPr>
            </w:pPr>
          </w:p>
        </w:tc>
        <w:tc>
          <w:tcPr>
            <w:tcW w:w="1196" w:type="dxa"/>
            <w:vAlign w:val="center"/>
          </w:tcPr>
          <w:p w14:paraId="2C3B4493" w14:textId="77777777" w:rsidR="0014455D" w:rsidRPr="00E10F75" w:rsidRDefault="0014455D" w:rsidP="00902C23">
            <w:pPr>
              <w:contextualSpacing/>
              <w:jc w:val="left"/>
              <w:rPr>
                <w:sz w:val="18"/>
                <w:szCs w:val="19"/>
              </w:rPr>
            </w:pPr>
            <w:r w:rsidRPr="00FF1A94">
              <w:rPr>
                <w:sz w:val="18"/>
                <w:szCs w:val="19"/>
              </w:rPr>
              <w:t>Substantial</w:t>
            </w:r>
          </w:p>
        </w:tc>
      </w:tr>
      <w:bookmarkEnd w:id="262"/>
    </w:tbl>
    <w:p w14:paraId="58FE9E8F" w14:textId="77777777" w:rsidR="0014455D" w:rsidRPr="0070594D" w:rsidRDefault="0014455D" w:rsidP="0014455D"/>
    <w:p w14:paraId="3B15C8C3" w14:textId="77777777" w:rsidR="0014455D" w:rsidRPr="0020034D" w:rsidRDefault="0014455D" w:rsidP="0014455D">
      <w:pPr>
        <w:keepNext/>
        <w:keepLines/>
        <w:spacing w:before="40" w:after="0"/>
        <w:outlineLvl w:val="2"/>
        <w:rPr>
          <w:rFonts w:eastAsiaTheme="majorEastAsia" w:cstheme="majorBidi"/>
          <w:b/>
          <w:i/>
          <w:color w:val="44546A" w:themeColor="text2"/>
          <w:sz w:val="24"/>
          <w:szCs w:val="24"/>
        </w:rPr>
      </w:pPr>
      <w:r w:rsidRPr="0020034D">
        <w:rPr>
          <w:rFonts w:eastAsiaTheme="majorEastAsia" w:cstheme="majorBidi"/>
          <w:b/>
          <w:i/>
          <w:color w:val="44546A" w:themeColor="text2"/>
          <w:sz w:val="24"/>
          <w:szCs w:val="24"/>
        </w:rPr>
        <w:t>Discussion</w:t>
      </w:r>
    </w:p>
    <w:p w14:paraId="4DC3C17F" w14:textId="2289A5D5" w:rsidR="0014455D" w:rsidRPr="00E85C2D" w:rsidRDefault="0014455D" w:rsidP="0014455D">
      <w:pPr>
        <w:rPr>
          <w:iCs/>
        </w:rPr>
      </w:pPr>
      <w:r>
        <w:t>A combination of raw data analysis and ecological modelling was used to assess the microinvertebrate community and its response to environmental water delivery in 2020-21. Data comparison showed that the microinvertebrate community in 2020-21 had high density and taxonomic richness during the spring-early summer flow pulse. This was supported by the modelling results which predicted a 33% increase in density and 16% increase in taxonomic richness due to environmental water, of which 73% and 57%, respectively, was due to Commonwealth environmental water across the study period. This response appeared greatest at Lock 4. However, it is important to note that multiple weir pools (including Weir Pool 1, 2, 4 and 5) were also manipulated</w:t>
      </w:r>
      <w:r w:rsidR="006941F9">
        <w:t>,</w:t>
      </w:r>
      <w:r>
        <w:t xml:space="preserve"> and managed inundation by </w:t>
      </w:r>
      <w:r w:rsidRPr="00AE387E">
        <w:t xml:space="preserve">operations of Katarapko and Pike floodplain regulators </w:t>
      </w:r>
      <w:r>
        <w:t xml:space="preserve">took place in the LMR during the study period and may have influenced density and taxonomic richness. Increases in taxonomic richness and density during environmental water delivery imply that organisms were being dispersed downstream, a critical process in the protection of genetic and species diversity </w:t>
      </w:r>
      <w:r>
        <w:rPr>
          <w:noProof/>
        </w:rPr>
        <w:t>(Aavik and Helm 2018)</w:t>
      </w:r>
      <w:r>
        <w:t xml:space="preserve">. This was further supported by the modelling which predicted that environmental water resulted in </w:t>
      </w:r>
      <w:r w:rsidRPr="00D970D8">
        <w:t xml:space="preserve">a 54% increase in </w:t>
      </w:r>
      <w:r>
        <w:t xml:space="preserve">the density of </w:t>
      </w:r>
      <w:r w:rsidRPr="00D970D8">
        <w:t>taxa common to upstream areas</w:t>
      </w:r>
      <w:r>
        <w:t xml:space="preserve"> and those that have been found to proliferate during times of high longitudinal connectivity,</w:t>
      </w:r>
      <w:r w:rsidRPr="00D970D8">
        <w:t xml:space="preserve"> of which </w:t>
      </w:r>
      <w:r>
        <w:t>Commonwealth environmental</w:t>
      </w:r>
      <w:r w:rsidRPr="00D970D8">
        <w:t xml:space="preserve"> </w:t>
      </w:r>
      <w:r>
        <w:t xml:space="preserve">water </w:t>
      </w:r>
      <w:r w:rsidRPr="00D970D8">
        <w:t>accounted for 74%.</w:t>
      </w:r>
      <w:r>
        <w:t xml:space="preserve"> </w:t>
      </w:r>
      <w:bookmarkStart w:id="263" w:name="_Hlk96283789"/>
      <w:r>
        <w:t xml:space="preserve">Microinvertebrates are also important prey items for a range of higher trophic organisms and therefore increases in density are also likely to have positive impacts on higher trophic organisms </w:t>
      </w:r>
      <w:r>
        <w:rPr>
          <w:noProof/>
        </w:rPr>
        <w:t>(Cooper and Goldman 1980; Vinyard 1980)</w:t>
      </w:r>
      <w:r>
        <w:t>. Despite these multiple benefits detected in 2020-21, modelling predicted a</w:t>
      </w:r>
      <w:r>
        <w:rPr>
          <w:iCs/>
        </w:rPr>
        <w:t xml:space="preserve"> 20% decrease in floodplain associated taxa and a 41% decrease in modelled prey species due to environmental water in 2020-21. These two findings however were mainly due to the decline in a single species (</w:t>
      </w:r>
      <w:r>
        <w:rPr>
          <w:i/>
        </w:rPr>
        <w:t>Bosmina meridionalis</w:t>
      </w:r>
      <w:r>
        <w:rPr>
          <w:iCs/>
        </w:rPr>
        <w:t xml:space="preserve">) that falls across both groupings. </w:t>
      </w:r>
      <w:r w:rsidRPr="007423B6">
        <w:rPr>
          <w:iCs/>
        </w:rPr>
        <w:t xml:space="preserve"> </w:t>
      </w:r>
      <w:r>
        <w:rPr>
          <w:iCs/>
        </w:rPr>
        <w:t xml:space="preserve"> </w:t>
      </w:r>
      <w:bookmarkEnd w:id="263"/>
    </w:p>
    <w:p w14:paraId="69E30B1D" w14:textId="77777777" w:rsidR="0014455D" w:rsidRPr="00855211" w:rsidRDefault="0014455D" w:rsidP="0014455D">
      <w:pPr>
        <w:rPr>
          <w:bCs/>
          <w:i/>
          <w:iCs/>
          <w:u w:val="single"/>
        </w:rPr>
      </w:pPr>
      <w:r w:rsidRPr="00855211">
        <w:rPr>
          <w:bCs/>
          <w:i/>
          <w:iCs/>
          <w:u w:val="single"/>
        </w:rPr>
        <w:t>Density and taxonomic richness and patterns</w:t>
      </w:r>
    </w:p>
    <w:p w14:paraId="462E398B" w14:textId="13296EFE" w:rsidR="0014455D" w:rsidRDefault="0014455D" w:rsidP="0014455D">
      <w:r>
        <w:t>Observed patterns in density and taxonomic richness in 2020-21 highlighted similarities in general seasonal patterns with previous years and differences between sites in response to the delivery of environmental water. There was a consistent trend across years of a general</w:t>
      </w:r>
      <w:r w:rsidRPr="00B212E8">
        <w:t xml:space="preserve"> </w:t>
      </w:r>
      <w:r>
        <w:t xml:space="preserve">increase in density and taxonomic richness over time as water temperature increased. This is not surprising as aquatic productivity often increases with temperature </w:t>
      </w:r>
      <w:r>
        <w:rPr>
          <w:noProof/>
        </w:rPr>
        <w:t>(Heinle 1969; White et al. 1991)</w:t>
      </w:r>
      <w:r>
        <w:t xml:space="preserve">. In 2020-21, all </w:t>
      </w:r>
      <w:r w:rsidRPr="007F66DA">
        <w:t xml:space="preserve">three sites followed a similar trend in </w:t>
      </w:r>
      <w:r>
        <w:t xml:space="preserve">density and </w:t>
      </w:r>
      <w:r w:rsidRPr="007F66DA">
        <w:t>taxonomic richness</w:t>
      </w:r>
      <w:r>
        <w:t xml:space="preserve"> until 8 December 2020. The delivery of environmental water (of which </w:t>
      </w:r>
      <w:r w:rsidRPr="001C11AF">
        <w:t>76% was</w:t>
      </w:r>
      <w:r>
        <w:t xml:space="preserve"> Commonwealth environmental water in 2020-21) occurred from late-November and throughout the month of December 2020, which coincided with large increases in microinvertebrate density at Lock 1 on 8 December 2020 and at Lock 4 on 8 and 22 December 2020. Numerous weir pools were being manipulated and managed inundation of two floodplains, the Pike and Katarapko floodplains, </w:t>
      </w:r>
      <w:r w:rsidR="006941F9">
        <w:t>took</w:t>
      </w:r>
      <w:r>
        <w:t xml:space="preserve"> place at the time, which could have also contributed to these results. These included the raising of Locks 1, 2, 4 and 5 of which Locks 1, 2 and 4 were being lowered and Lock 5 was at its peak through late November and December (Appendix B). It is during peak inundation and drawdown that weir pool raising is likely to influence in-channel communities </w:t>
      </w:r>
      <w:r>
        <w:rPr>
          <w:noProof/>
        </w:rPr>
        <w:t>(Furst 2019)</w:t>
      </w:r>
      <w:r>
        <w:t xml:space="preserve">. However, another study investigating zooplankton productivity during this period did not detect a major influence of these weir pool manipulations and associated floodplain inundation on in-channel zooplankton communities, although the design of this study was only likely to pick up landscape scale changes rather than smaller scale influences (e.g. at the floodplain scale) </w:t>
      </w:r>
      <w:r>
        <w:rPr>
          <w:noProof/>
        </w:rPr>
        <w:t>(Dornan et al. 2021)</w:t>
      </w:r>
      <w:r>
        <w:t>. Environmental water delivery also coincided with increases in taxonomic richness at all three sites on 25 November 2020 and 8 December 2020 and at Lock 6 and Lock 4 on 22 December 2020. These values (both density and taxonomic richness) were the highest recorded for the 2020-21 study period and were higher than those observed at the same sites in 2019-20 (a hydrologically similar year, although peak flow occurred earlier around mid-October 2019), suggesting that these increases were likely due to increases in flows rather than merely increases in water temperature. This was further supported by the modelling, which predicted a 33% increase in density, of which Commonwealth environmental water accounted for 73% and a 16% increase in taxonomic richness, of which Commonwealth environmental water accounted for 57%. Interestingly, Lock 1 became unique to the other two sites measuring generally lower densities and taxonomic richness from early December (this divergence also occurred in mid-November in 2019-20). The driver behind this divergence may be the emergence of different hydraulic conditions at different sites across geomorphic zones,</w:t>
      </w:r>
      <w:r w:rsidRPr="00FB5562">
        <w:t xml:space="preserve"> </w:t>
      </w:r>
      <w:r>
        <w:t xml:space="preserve">e.g., variability in water velocity and water level, between weir pools as flows receded. Despite the differences in hydraulic conditions appearing relatively </w:t>
      </w:r>
      <w:r w:rsidRPr="00F17FEE">
        <w:t xml:space="preserve">small (see Section </w:t>
      </w:r>
      <w:r>
        <w:fldChar w:fldCharType="begin"/>
      </w:r>
      <w:r>
        <w:instrText xml:space="preserve"> REF _Ref95292214 \r \h </w:instrText>
      </w:r>
      <w:r>
        <w:fldChar w:fldCharType="separate"/>
      </w:r>
      <w:r>
        <w:t>2.1</w:t>
      </w:r>
      <w:r>
        <w:fldChar w:fldCharType="end"/>
      </w:r>
      <w:r w:rsidRPr="00F17FEE">
        <w:t xml:space="preserve"> Hydraulic Re</w:t>
      </w:r>
      <w:r>
        <w:t>gime), increasing water temperatures likely magnified the divergence of communities between Lock 6 and Lock 4, and Lock 1 later in the study.</w:t>
      </w:r>
    </w:p>
    <w:p w14:paraId="76625373" w14:textId="77777777" w:rsidR="0014455D" w:rsidRPr="00855211" w:rsidRDefault="0014455D" w:rsidP="0014455D">
      <w:pPr>
        <w:rPr>
          <w:bCs/>
          <w:i/>
          <w:iCs/>
          <w:u w:val="single"/>
        </w:rPr>
      </w:pPr>
      <w:r w:rsidRPr="00855211">
        <w:rPr>
          <w:bCs/>
          <w:i/>
          <w:iCs/>
          <w:u w:val="single"/>
        </w:rPr>
        <w:t>Functional group density</w:t>
      </w:r>
    </w:p>
    <w:p w14:paraId="35284755" w14:textId="77777777" w:rsidR="0014455D" w:rsidRDefault="0014455D" w:rsidP="0014455D">
      <w:r>
        <w:t>Increases in density observed at the time of environmental water delivery were primarily due to increases in pelagic rotifers at Lock 1, and both pelagic rotifers and littoral (facultatively pelagic) rotifers at Lock 4.</w:t>
      </w:r>
      <w:r w:rsidRPr="00ED47FB">
        <w:t xml:space="preserve"> </w:t>
      </w:r>
      <w:r>
        <w:t xml:space="preserve">This may have implications for food-web function as these different functional groups are likely being sourced from a variety of habitats, which can result in different fatty acid compositions </w:t>
      </w:r>
      <w:r>
        <w:rPr>
          <w:noProof/>
        </w:rPr>
        <w:t>(e.g. Radnaeva et al. 2017)</w:t>
      </w:r>
      <w:r>
        <w:t>. This is important as the fatty acid composition of rotifers is affected by both internally consistent features (e.g. c</w:t>
      </w:r>
      <w:r w:rsidRPr="00F1717F">
        <w:t>ladocerans may accumulate EPA directly from their diet, or through transformation of dietary materials to facilitate rapid somatic growth and enhance reproduction due to their short generation time</w:t>
      </w:r>
      <w:r>
        <w:t xml:space="preserve">) and the fatty acid composition of their food resource </w:t>
      </w:r>
      <w:r>
        <w:rPr>
          <w:noProof/>
        </w:rPr>
        <w:t>(Brett et al. 2006; Smyntek et al. 2008)</w:t>
      </w:r>
      <w:r>
        <w:t>. These different functional groups and/or taxa then provide more or less desirable fatty acid compositions for the predators feeding on them and can</w:t>
      </w:r>
      <w:r w:rsidRPr="00ED47FB">
        <w:t xml:space="preserve"> have implications for </w:t>
      </w:r>
      <w:r>
        <w:t xml:space="preserve">the predator’s </w:t>
      </w:r>
      <w:r w:rsidRPr="00ED47FB">
        <w:t>growth, health and reproduction</w:t>
      </w:r>
      <w:r>
        <w:t xml:space="preserve"> </w:t>
      </w:r>
      <w:r>
        <w:rPr>
          <w:noProof/>
        </w:rPr>
        <w:t>(Adams 1999)</w:t>
      </w:r>
      <w:r>
        <w:t xml:space="preserve">. How fatty acid composition differs between the different taxa and/or functional groups, is not well understood in the LMR. A better understanding of this will allow a more comprehensive comparison with responses detected during previous years and should be a focus of future research </w:t>
      </w:r>
      <w:r>
        <w:rPr>
          <w:noProof/>
        </w:rPr>
        <w:t>(for example see Perrsson and Vrede 2006)</w:t>
      </w:r>
      <w:r>
        <w:t>.</w:t>
      </w:r>
    </w:p>
    <w:p w14:paraId="654558B9" w14:textId="77777777" w:rsidR="0014455D" w:rsidRDefault="0014455D" w:rsidP="0014455D">
      <w:pPr>
        <w:tabs>
          <w:tab w:val="left" w:pos="6915"/>
        </w:tabs>
        <w:rPr>
          <w:bCs/>
          <w:i/>
          <w:iCs/>
          <w:u w:val="single"/>
        </w:rPr>
      </w:pPr>
      <w:r w:rsidRPr="00822D4C">
        <w:rPr>
          <w:bCs/>
          <w:i/>
          <w:iCs/>
          <w:u w:val="single"/>
        </w:rPr>
        <w:t>Modelled effects of environmental flows for microinvertebrates</w:t>
      </w:r>
    </w:p>
    <w:p w14:paraId="3069B109" w14:textId="77777777" w:rsidR="0014455D" w:rsidRPr="00F413FA" w:rsidRDefault="0014455D" w:rsidP="0014455D">
      <w:pPr>
        <w:tabs>
          <w:tab w:val="left" w:pos="6915"/>
        </w:tabs>
        <w:rPr>
          <w:bCs/>
        </w:rPr>
      </w:pPr>
      <w:r w:rsidRPr="00F413FA">
        <w:rPr>
          <w:bCs/>
        </w:rPr>
        <w:t>Overall, modelling demonstrated that environmental water delivery provided</w:t>
      </w:r>
      <w:r>
        <w:rPr>
          <w:bCs/>
        </w:rPr>
        <w:t xml:space="preserve"> some</w:t>
      </w:r>
      <w:r w:rsidRPr="00F413FA">
        <w:rPr>
          <w:bCs/>
        </w:rPr>
        <w:t xml:space="preserve"> benefits for the microinvertebrate community in the LMR. </w:t>
      </w:r>
      <w:r>
        <w:rPr>
          <w:bCs/>
        </w:rPr>
        <w:t>In 2020-21, one</w:t>
      </w:r>
      <w:r w:rsidRPr="00F413FA">
        <w:rPr>
          <w:bCs/>
        </w:rPr>
        <w:t xml:space="preserve"> out of the three hypotheses under test </w:t>
      </w:r>
      <w:r>
        <w:rPr>
          <w:bCs/>
        </w:rPr>
        <w:t>were</w:t>
      </w:r>
      <w:r w:rsidRPr="00F413FA">
        <w:rPr>
          <w:bCs/>
        </w:rPr>
        <w:t xml:space="preserve"> </w:t>
      </w:r>
      <w:r>
        <w:rPr>
          <w:bCs/>
        </w:rPr>
        <w:t xml:space="preserve">fully </w:t>
      </w:r>
      <w:r w:rsidRPr="00F413FA">
        <w:rPr>
          <w:bCs/>
        </w:rPr>
        <w:t>supported</w:t>
      </w:r>
      <w:r>
        <w:rPr>
          <w:bCs/>
        </w:rPr>
        <w:t xml:space="preserve">, one was partially supported, and one was not supported. </w:t>
      </w:r>
      <w:r w:rsidRPr="00F413FA">
        <w:rPr>
          <w:bCs/>
        </w:rPr>
        <w:t xml:space="preserve"> </w:t>
      </w:r>
    </w:p>
    <w:p w14:paraId="61B97B76" w14:textId="77777777" w:rsidR="0014455D" w:rsidRDefault="0014455D" w:rsidP="0014455D">
      <w:r>
        <w:t xml:space="preserve">The first hypothesis was that </w:t>
      </w:r>
      <w:r w:rsidRPr="008F2026">
        <w:rPr>
          <w:i/>
        </w:rPr>
        <w:t xml:space="preserve">overall microinvertebrate density, and taxonomic richness, will increase </w:t>
      </w:r>
      <w:r>
        <w:rPr>
          <w:i/>
        </w:rPr>
        <w:t>with</w:t>
      </w:r>
      <w:r w:rsidRPr="008F2026">
        <w:rPr>
          <w:i/>
        </w:rPr>
        <w:t xml:space="preserve"> environmental </w:t>
      </w:r>
      <w:r>
        <w:rPr>
          <w:i/>
        </w:rPr>
        <w:t>water</w:t>
      </w:r>
      <w:r w:rsidRPr="008F2026">
        <w:rPr>
          <w:i/>
        </w:rPr>
        <w:t xml:space="preserve"> due to the combined effects of longitudinal transport and improved lateral connectivity with off-channel habitats</w:t>
      </w:r>
      <w:r w:rsidRPr="008F2026">
        <w:t>.</w:t>
      </w:r>
      <w:r>
        <w:t xml:space="preserve"> Modelling indicated that environmental water represented a predicted 33% increase in density, of which Commonwealth environmental water accounted for 73%. Not unexpectedly, because of its correlation with density</w:t>
      </w:r>
      <w:r>
        <w:rPr>
          <w:rStyle w:val="FootnoteReference"/>
        </w:rPr>
        <w:footnoteReference w:id="8"/>
      </w:r>
      <w:r>
        <w:t xml:space="preserve">, taxonomic richness also increased due to environmental water with a predicted 16% increase in, of which Commonwealth environmental water accounted for 57%. </w:t>
      </w:r>
    </w:p>
    <w:p w14:paraId="23C24BDD" w14:textId="77777777" w:rsidR="0014455D" w:rsidRPr="00D603E8" w:rsidRDefault="0014455D" w:rsidP="0014455D">
      <w:pPr>
        <w:rPr>
          <w:iCs/>
        </w:rPr>
      </w:pPr>
      <w:r>
        <w:t xml:space="preserve">The second hypothesis was: </w:t>
      </w:r>
      <w:r w:rsidRPr="00F15B71">
        <w:rPr>
          <w:i/>
        </w:rPr>
        <w:t>The density will increase for ‘floodplain associated’ microinvertebrates during periods of greater floodplain inundation (H2a) and for those that are likely to be transported to the LMR from upstream during periods of high longitudinal connectivity (H2b).</w:t>
      </w:r>
      <w:r>
        <w:rPr>
          <w:i/>
        </w:rPr>
        <w:t xml:space="preserve"> </w:t>
      </w:r>
      <w:r>
        <w:rPr>
          <w:iCs/>
        </w:rPr>
        <w:t xml:space="preserve">H2a was not supported, with densities being 27% lower than if no Commonwealth environmental water was delivered. This decrease however was due almost solely to the decline in a single species of microcrustacean, </w:t>
      </w:r>
      <w:r>
        <w:rPr>
          <w:i/>
        </w:rPr>
        <w:t>B. meridionalis</w:t>
      </w:r>
      <w:r>
        <w:rPr>
          <w:iCs/>
        </w:rPr>
        <w:t xml:space="preserve">. </w:t>
      </w:r>
      <w:r>
        <w:rPr>
          <w:i/>
        </w:rPr>
        <w:t xml:space="preserve">B. meridionalis </w:t>
      </w:r>
      <w:r>
        <w:rPr>
          <w:iCs/>
        </w:rPr>
        <w:t xml:space="preserve">is a perennial species that often peaks in density in spring and early summer and as do all microcrustaceans, requires/prefers still or very slow flowing water to reproduce. However, unlike the majority of other microcrustaceans, it seems that </w:t>
      </w:r>
      <w:r w:rsidRPr="007841DC">
        <w:rPr>
          <w:i/>
        </w:rPr>
        <w:t>B. meridionalis</w:t>
      </w:r>
      <w:r>
        <w:rPr>
          <w:iCs/>
        </w:rPr>
        <w:t xml:space="preserve"> can exploit small areas of still and slow flowing habitats along the banks (littoral zone) of the main channel during low-medium in-channel flows. Thus, what possibly happened in this study is that prior to environmental water release, </w:t>
      </w:r>
      <w:r>
        <w:rPr>
          <w:i/>
        </w:rPr>
        <w:t>B. meridionalis</w:t>
      </w:r>
      <w:r>
        <w:rPr>
          <w:iCs/>
        </w:rPr>
        <w:t xml:space="preserve"> was able to exploit these littoral habitats of the main channel. Lateral connectivity with these habitats meant that a proportion of these populations were being flushed into the flowing section of the channel. As the flow pulse arrived in late spring</w:t>
      </w:r>
      <w:r w:rsidRPr="006A2B8A">
        <w:rPr>
          <w:rFonts w:cs="Calibri"/>
          <w:iCs/>
        </w:rPr>
        <w:t>–early summer</w:t>
      </w:r>
      <w:r>
        <w:rPr>
          <w:iCs/>
        </w:rPr>
        <w:t xml:space="preserve">, these still and/or slow flowing littoral habitats of the main channel were flushed and eliminated.                                  </w:t>
      </w:r>
    </w:p>
    <w:p w14:paraId="6FE529A2" w14:textId="77777777" w:rsidR="0014455D" w:rsidRPr="00B842BF" w:rsidRDefault="0014455D" w:rsidP="0014455D">
      <w:pPr>
        <w:rPr>
          <w:iCs/>
        </w:rPr>
      </w:pPr>
      <w:r>
        <w:rPr>
          <w:iCs/>
        </w:rPr>
        <w:t xml:space="preserve">H2b was supported, with a 54% increase in taxa common to upstream areas due to environmental water improving longitudinal connectivity, of which Commonwealth environmental water accounted for 74%. </w:t>
      </w:r>
      <w:bookmarkStart w:id="264" w:name="_Hlk96289659"/>
      <w:r>
        <w:rPr>
          <w:iCs/>
        </w:rPr>
        <w:t>This longitudinal dispersal is an important</w:t>
      </w:r>
      <w:r w:rsidRPr="00822D4C">
        <w:rPr>
          <w:iCs/>
        </w:rPr>
        <w:t xml:space="preserve"> process in the </w:t>
      </w:r>
      <w:r>
        <w:rPr>
          <w:iCs/>
        </w:rPr>
        <w:t>maintenance</w:t>
      </w:r>
      <w:r w:rsidRPr="00822D4C">
        <w:rPr>
          <w:iCs/>
        </w:rPr>
        <w:t xml:space="preserve"> of species and genetic diversity, through the supply of new recruits to downstream habitats</w:t>
      </w:r>
      <w:r>
        <w:rPr>
          <w:iCs/>
        </w:rPr>
        <w:t xml:space="preserve"> (spatial dispersal)</w:t>
      </w:r>
      <w:r w:rsidRPr="00822D4C">
        <w:rPr>
          <w:iCs/>
        </w:rPr>
        <w:t xml:space="preserve"> and the egg bank</w:t>
      </w:r>
      <w:r>
        <w:rPr>
          <w:iCs/>
        </w:rPr>
        <w:t xml:space="preserve"> (temporal dispersal)</w:t>
      </w:r>
      <w:r w:rsidRPr="00822D4C">
        <w:rPr>
          <w:iCs/>
        </w:rPr>
        <w:t>.</w:t>
      </w:r>
      <w:bookmarkEnd w:id="264"/>
    </w:p>
    <w:p w14:paraId="457B2F93" w14:textId="57627FCB" w:rsidR="0014455D" w:rsidRDefault="0014455D" w:rsidP="0014455D">
      <w:r>
        <w:t xml:space="preserve">The third hypothesis was that </w:t>
      </w:r>
      <w:r>
        <w:rPr>
          <w:i/>
        </w:rPr>
        <w:t>e</w:t>
      </w:r>
      <w:r w:rsidRPr="00BB4A1E">
        <w:rPr>
          <w:i/>
        </w:rPr>
        <w:t>nvironmental water delivery during spring and early summer will increase the density of preferred microinvertebrate prey species for large-bodied fish larvae.</w:t>
      </w:r>
      <w:r>
        <w:rPr>
          <w:iCs/>
        </w:rPr>
        <w:t xml:space="preserve"> This hypothesis was not supported, with a 41% decrease in modelled prey species due to environmental water, of which Commonwealth environmental water accounted for 99.5%. This was the first time since monitoring began in 2014-15 where a large decrease in these organisms was detected in response to the delivery of environmental water. However, as mentioned above, this was almost solely due to the decrease in a single species, </w:t>
      </w:r>
      <w:r>
        <w:rPr>
          <w:i/>
        </w:rPr>
        <w:t>B. meridionalis</w:t>
      </w:r>
      <w:r>
        <w:rPr>
          <w:iCs/>
        </w:rPr>
        <w:t xml:space="preserve">, whose numbers were possibly driven down by the in-channel flow pulse flushing and eliminating small areas of still or slow flowing water near the banks of the river channel. In situations where the flow pulse is of a greater magnitude and duration, at a point, large areas of ephemeral habitat would become inundated. Once this is achieved you may possibly see a return of this species, as well as a suite of additional microcrustaceans when they are flushed from these ephemeral habitats to the main channel. </w:t>
      </w:r>
      <w:r>
        <w:rPr>
          <w:i/>
        </w:rPr>
        <w:t>B. meridionalis</w:t>
      </w:r>
      <w:r>
        <w:rPr>
          <w:iCs/>
        </w:rPr>
        <w:t xml:space="preserve"> was included in the list of prey species as it has been found in the guts of Murray cod and golden perch larvae (</w:t>
      </w:r>
      <w:r w:rsidRPr="00243684">
        <w:rPr>
          <w:iCs/>
        </w:rPr>
        <w:t>Gibbs et al., 2020</w:t>
      </w:r>
      <w:r>
        <w:rPr>
          <w:iCs/>
        </w:rPr>
        <w:t xml:space="preserve">; Ye et al. 2021; SARDI unpublished data). However, in the Chowilla anabranch there was also evidence that fish select against them in preference for other microcrustacean species when they are present </w:t>
      </w:r>
      <w:r>
        <w:rPr>
          <w:iCs/>
          <w:noProof/>
        </w:rPr>
        <w:t>(</w:t>
      </w:r>
      <w:r w:rsidRPr="00607EE3">
        <w:rPr>
          <w:iCs/>
          <w:noProof/>
        </w:rPr>
        <w:t>Gibbs</w:t>
      </w:r>
      <w:r w:rsidRPr="00607EE3">
        <w:rPr>
          <w:i/>
          <w:noProof/>
        </w:rPr>
        <w:t xml:space="preserve"> et al.</w:t>
      </w:r>
      <w:r>
        <w:rPr>
          <w:iCs/>
          <w:noProof/>
        </w:rPr>
        <w:t xml:space="preserve"> 2020)</w:t>
      </w:r>
      <w:r>
        <w:rPr>
          <w:iCs/>
        </w:rPr>
        <w:t>. Therefore, it is important that flow or river management focuses on maintaining prey densities via the development of a diverse range of microcrustacean species.</w:t>
      </w:r>
    </w:p>
    <w:p w14:paraId="21DD00D5" w14:textId="77777777" w:rsidR="0014455D" w:rsidRPr="00D466DF" w:rsidRDefault="0014455D" w:rsidP="0014455D">
      <w:pPr>
        <w:rPr>
          <w:iCs/>
        </w:rPr>
      </w:pPr>
    </w:p>
    <w:p w14:paraId="3675AA78" w14:textId="77777777" w:rsidR="0014455D" w:rsidRDefault="0014455D" w:rsidP="0014455D">
      <w:pPr>
        <w:pStyle w:val="Heading3"/>
      </w:pPr>
      <w:r>
        <w:t>Management implications</w:t>
      </w:r>
    </w:p>
    <w:p w14:paraId="5B19952F" w14:textId="77777777" w:rsidR="0014455D" w:rsidRDefault="0014455D" w:rsidP="0014455D">
      <w:r>
        <w:t xml:space="preserve">This project has highlighted key findings that may be used to inform future environmental water deliveries, aiming to promote a response in the microinvertebrate community in the LMR. </w:t>
      </w:r>
    </w:p>
    <w:p w14:paraId="7F7D12DF" w14:textId="2E953AE0" w:rsidR="0014455D" w:rsidRDefault="0014455D" w:rsidP="0014455D">
      <w:r>
        <w:t xml:space="preserve">The year 2020-21 was hydrologically similar in magnitude, duration and timing to 2017-18. The measured densities during environmental water delivery in 2017-18 were generally lower than those detected during 2020-21. It is difficult to say why this was the case, however, antecedent conditions and/or weir pool manipulation and managed  inundation of floodplains may have had some influence. The year prior to 2017-18 (2016-17) was a flood year that resulted in a large blackwater event. The highly deoxygenated water that flowed through the LMR throughout the months of November and December had significant negative impacts on the density and taxonomic richness of the microinvertebrate community </w:t>
      </w:r>
      <w:r w:rsidRPr="00864BD3">
        <w:t xml:space="preserve">(Ye </w:t>
      </w:r>
      <w:r w:rsidRPr="00864BD3">
        <w:rPr>
          <w:i/>
          <w:iCs/>
        </w:rPr>
        <w:t>et al.</w:t>
      </w:r>
      <w:r w:rsidRPr="00864BD3">
        <w:t xml:space="preserve"> 2020</w:t>
      </w:r>
      <w:r>
        <w:t>a</w:t>
      </w:r>
      <w:r w:rsidRPr="00864BD3">
        <w:t>)</w:t>
      </w:r>
      <w:r>
        <w:t xml:space="preserve">. Egg production in zooplankton has also been shown to be significantly impacted by low oxygen environments </w:t>
      </w:r>
      <w:r w:rsidRPr="00864BD3">
        <w:t xml:space="preserve">(Roman </w:t>
      </w:r>
      <w:r w:rsidRPr="00864BD3">
        <w:rPr>
          <w:i/>
          <w:iCs/>
        </w:rPr>
        <w:t>et al.</w:t>
      </w:r>
      <w:r w:rsidRPr="00864BD3">
        <w:t xml:space="preserve"> 2019).</w:t>
      </w:r>
      <w:r>
        <w:t xml:space="preserve"> Therefore, both the reduction in density and the impacts on egg production due to the blackwater event likely impacted the community’s ability to replenish the egg bank and may explain the lower densities observed in 2017-18. During the year prior to 2020-21 (2019-20), a spring flow pulse was delivered that peaked at ~15,600 ML/day at the South Australian border. Therefore, the spring flow pulse in 2019-20 may have played some role in replenishing the microinvertebrate egg bank and driven the higher densities in 2020-21. Additionally, all weir pool manipulation in 2017-18 occurred early in the year, with weirs being returned to near pool level around the time that discharge began increasing in the main river channel. In comparison,</w:t>
      </w:r>
      <w:r w:rsidRPr="00660AF7">
        <w:t xml:space="preserve"> </w:t>
      </w:r>
      <w:r>
        <w:t xml:space="preserve">numerous weir pools were being manipulated and the managed inundation of two floodplains was taking place at the time of environmental water delivery in 2020-21 including the raising of Locks 1, 2, 4 and 5 of which Locks 1, 2 and 4 were being lowered and Lock 5 was at its peak height. Therefore, it is possible that the concurrent operations of environmental water delivery and weir pool manipulation may considerably enhance the response observed in microinvertebrate density in the LMR. However, more long-term data collection and analysis is required to investigate this further. </w:t>
      </w:r>
    </w:p>
    <w:p w14:paraId="7C49FD4E" w14:textId="77777777" w:rsidR="0014455D" w:rsidRDefault="0014455D" w:rsidP="0014455D">
      <w:r>
        <w:t>The year 2020-21 was hydrologically similar in magnitude and duration to that seen in 2019-20. The community assemblage in 2019-20 was dominated primarily by littoral (facultatively pelagic) rotifers and secondly by pelagic rotifers, whereas the community assemblage in 2020-21 was dominated primarily by pelagic rotifers and secondly littoral (facultatively pelagic) rotifers.</w:t>
      </w:r>
      <w:r w:rsidRPr="00104471">
        <w:t xml:space="preserve"> </w:t>
      </w:r>
      <w:r>
        <w:t xml:space="preserve">As mentioned above, this may have implications for food-web function as these different functional groups are likely being sourced from different habitats and can result in different fatty acid compositions </w:t>
      </w:r>
      <w:r>
        <w:rPr>
          <w:noProof/>
        </w:rPr>
        <w:t xml:space="preserve">(e.g. Radnaeva </w:t>
      </w:r>
      <w:r w:rsidRPr="00864BD3">
        <w:rPr>
          <w:i/>
          <w:iCs/>
          <w:noProof/>
        </w:rPr>
        <w:t>et al.</w:t>
      </w:r>
      <w:r>
        <w:rPr>
          <w:noProof/>
        </w:rPr>
        <w:t xml:space="preserve"> 2017)</w:t>
      </w:r>
      <w:r>
        <w:t xml:space="preserve">, affecting food quality for higher order consumers. In addition, the species that were responsible for the high numbers of organisms in the functional group ‘littoral (facultatively pelagic) rotifer’ were different between the two years with the species driving numbers in 2019-20 being very small, whereas those in 2020-21 were from the same genus however were a much larger species (estimated to be approximately three times the size). These larger organisms are more likely to equate to greater total biomass and therefore more food in general for higher trophic organisms. These contrasting results demonstrate how the timing of environmental water delivery may influence the magnitude and type of the response in the rotifer community generated by the delivery of environmental water.  </w:t>
      </w:r>
    </w:p>
    <w:p w14:paraId="3D8782C3" w14:textId="77777777" w:rsidR="0014455D" w:rsidRDefault="0014455D" w:rsidP="0014455D">
      <w:r>
        <w:t>The increase or decrease in microcrustaceans (comprise the majority of organisms that are categorised as ‘floodplain associated’ and ‘fish prey species’) in response to an in-channel flow pulse may depend on the antecedent conditions</w:t>
      </w:r>
      <w:r w:rsidRPr="00344983">
        <w:t xml:space="preserve">. </w:t>
      </w:r>
      <w:r>
        <w:t>An in-channel flow pulse of similar timing, magnitude and duration occurred in 2017-18 and 2020-21. In 2017-18, however, there was an increase in microcrustaceans in response to environmental water, yet a decrease in 2020-21. Additionally, a</w:t>
      </w:r>
      <w:r w:rsidRPr="00344983">
        <w:t>n in-channel</w:t>
      </w:r>
      <w:r>
        <w:t xml:space="preserve"> flow</w:t>
      </w:r>
      <w:r w:rsidRPr="00344983">
        <w:t xml:space="preserve"> pulse of similar magnitude and duration</w:t>
      </w:r>
      <w:r>
        <w:t xml:space="preserve"> to 2020-21</w:t>
      </w:r>
      <w:r w:rsidRPr="00344983">
        <w:t xml:space="preserve"> occurred in 2019-20</w:t>
      </w:r>
      <w:r>
        <w:t xml:space="preserve">, however again, there was an increase in microcrustaceans in 2019-20. The antecedent flow conditions may have influenced these differences between years. River flows were lower in 2017-18 and 2019-20 than those in 2020-21 (~5,000 ML/day in 2017-18 and 2019-20 and ~9,000 ML/day in 2020-21 at the South Australian border) prior to the in-channel flow pulse to the LMR. These lower flows likely created lake like conditions in the weir pools allowing open water lake microcrustacean communities (a community assemblage that overlaps with floodplain assemblages) to develop as they require slow/still water to reproduce. As flows increased, it is possible that these communities became mobilised along the channel, temporarily driving microcrustacean densities up in the more flowing sections of the river where we sampled. Furthermore, </w:t>
      </w:r>
      <w:r>
        <w:rPr>
          <w:i/>
          <w:iCs/>
        </w:rPr>
        <w:t>B. meridionalis</w:t>
      </w:r>
      <w:r>
        <w:t>, the species that drove the decreases in 2020-21, was in lower densities in 2017-18 than 2020-21 prior to the in-channel flow pulse reaching the LMR and may explain why a decrease in this species wasn’t observed in 2017-18.</w:t>
      </w:r>
      <w:r w:rsidRPr="00123D2E">
        <w:t xml:space="preserve"> </w:t>
      </w:r>
      <w:r>
        <w:t xml:space="preserve">Nonetheless, densities of </w:t>
      </w:r>
      <w:r>
        <w:rPr>
          <w:i/>
          <w:iCs/>
        </w:rPr>
        <w:t>B. meridionalis</w:t>
      </w:r>
      <w:r>
        <w:t xml:space="preserve"> were high prior to the in-channel flow pulse in 2019-20 (as in 2020-21), yet initially increased in density as discharge increased (contrary to 2020-21), before decreasing at the peak of the flow pulse. However, the initial increases observed in 2019-20 may indeed have been due to dense populations from upstream of the LMR being washed downstream. Other factors like water quality and food resource availability may also have played a role. Further research to improve our understanding of what conditions promote or reduce certain taxa and whether certain taxa provide more important food resources than others will shed light on which flow regime is likely to produce a more desirable outcome for higher trophic organisms. </w:t>
      </w:r>
    </w:p>
    <w:p w14:paraId="12B03C33" w14:textId="77777777" w:rsidR="0014455D" w:rsidRDefault="0014455D" w:rsidP="0014455D">
      <w:r>
        <w:t xml:space="preserve">Responses to the delivery of environmental water in microinvertebrate density and taxonomic richness were consistently different between sites in both 2019-20 and 2020-21. Therefore, we need to reflect on what outcomes we want and where, when considering environmental water delivery.  </w:t>
      </w:r>
    </w:p>
    <w:p w14:paraId="0E021D56" w14:textId="77777777" w:rsidR="0014455D" w:rsidRDefault="0014455D" w:rsidP="0014455D">
      <w:pPr>
        <w:pStyle w:val="Heading3"/>
      </w:pPr>
      <w:r w:rsidRPr="003C0EBB">
        <w:t xml:space="preserve">Conclusion </w:t>
      </w:r>
    </w:p>
    <w:p w14:paraId="022C378D" w14:textId="7B2234D4" w:rsidR="0014455D" w:rsidRDefault="0014455D" w:rsidP="0014455D">
      <w:r>
        <w:t xml:space="preserve">The magnitude and duration of the resulting hydrograph in 2020-21 was similar to that seen in 2017-18 and 2019-20. The timing of the delivery between 2019-20 and 2020-21 was however quite different (see </w:t>
      </w:r>
      <w:r>
        <w:fldChar w:fldCharType="begin"/>
      </w:r>
      <w:r>
        <w:instrText xml:space="preserve"> REF _Ref54615575 \h </w:instrText>
      </w:r>
      <w:r>
        <w:fldChar w:fldCharType="separate"/>
      </w:r>
      <w:r w:rsidR="00607EE3">
        <w:t xml:space="preserve">Figure </w:t>
      </w:r>
      <w:r w:rsidR="00607EE3">
        <w:rPr>
          <w:noProof/>
        </w:rPr>
        <w:t>10</w:t>
      </w:r>
      <w:r>
        <w:fldChar w:fldCharType="end"/>
      </w:r>
      <w:r>
        <w:t xml:space="preserve">). A comparison between these three years therefore provides insights into how the timing and antecedent conditions of environmental water delivery may produce different outcomes. Two key differences in microinvertebrate responses were detected between the three years that can be used to guide environmental water delivery in the future. </w:t>
      </w:r>
    </w:p>
    <w:p w14:paraId="206DF7CB" w14:textId="6A51B534" w:rsidR="00864BD3" w:rsidRDefault="0014455D" w:rsidP="0014455D">
      <w:pPr>
        <w:rPr>
          <w:rFonts w:eastAsiaTheme="majorEastAsia" w:cstheme="majorBidi"/>
          <w:b/>
          <w:i/>
          <w:color w:val="44546A" w:themeColor="text2"/>
          <w:sz w:val="26"/>
          <w:szCs w:val="24"/>
        </w:rPr>
      </w:pPr>
      <w:r>
        <w:t>Firstly, increases measured in 2019-20 were of a similar density to 2020-21, however in 2020-21, these increases persisted for longer and consisted more so of larger bodied rotifers. Secondly, a density decrease in both ‘floodplain associated species’ and ‘prey species’ were detected in 2020-21, compared to modelled no CEW and no-eWater scenarios, whereas an increase in these two groups were detected in 2017-18 and 2019-20. These differences are likely to be due the a</w:t>
      </w:r>
      <w:r w:rsidRPr="00396C4C">
        <w:t>ntecedent</w:t>
      </w:r>
      <w:r>
        <w:t xml:space="preserve"> conditions both within the LMR and upstream. Despite total microinvertebrate densities being one indicator of the magnitude of the response to environmental water, it is important that we also gain a much better understanding of the quality of these food resources for higher trophic organisms. This will allow a more comprehensive understanding of the ecological implication and significance of these different responses to inform environmental water management.</w:t>
      </w:r>
    </w:p>
    <w:bookmarkEnd w:id="228"/>
    <w:p w14:paraId="519BC2A6" w14:textId="47957B0B" w:rsidR="000A0247" w:rsidRDefault="000A0247" w:rsidP="00636F3B">
      <w:pPr>
        <w:rPr>
          <w:rFonts w:eastAsiaTheme="majorEastAsia" w:cstheme="majorBidi"/>
          <w:b/>
          <w:i/>
          <w:color w:val="44546A" w:themeColor="text2"/>
          <w:sz w:val="26"/>
          <w:szCs w:val="24"/>
        </w:rPr>
      </w:pPr>
    </w:p>
    <w:p w14:paraId="007B0121" w14:textId="77777777" w:rsidR="002573E0" w:rsidRDefault="002573E0">
      <w:pPr>
        <w:spacing w:before="0" w:after="160" w:line="259" w:lineRule="auto"/>
        <w:jc w:val="left"/>
        <w:rPr>
          <w:rFonts w:eastAsiaTheme="majorEastAsia" w:cstheme="majorBidi"/>
          <w:b/>
          <w:i/>
          <w:color w:val="44546A" w:themeColor="text2"/>
          <w:sz w:val="26"/>
          <w:szCs w:val="24"/>
        </w:rPr>
      </w:pPr>
      <w:r>
        <w:br w:type="page"/>
      </w:r>
    </w:p>
    <w:p w14:paraId="3E895F8A" w14:textId="1C1A79EB" w:rsidR="00914280" w:rsidRPr="00B51857" w:rsidRDefault="00F46757" w:rsidP="00F46757">
      <w:pPr>
        <w:pStyle w:val="Heading2"/>
      </w:pPr>
      <w:bookmarkStart w:id="265" w:name="_Ref53046930"/>
      <w:bookmarkStart w:id="266" w:name="_Toc101963779"/>
      <w:bookmarkStart w:id="267" w:name="_Hlk63411837"/>
      <w:r w:rsidRPr="00B51857">
        <w:t>Flow-cued Spawning Fish Re</w:t>
      </w:r>
      <w:r w:rsidR="00B44ACE">
        <w:t>production</w:t>
      </w:r>
      <w:bookmarkEnd w:id="265"/>
      <w:bookmarkEnd w:id="266"/>
    </w:p>
    <w:p w14:paraId="1A304016" w14:textId="77777777" w:rsidR="00356663" w:rsidRPr="00E35C12" w:rsidRDefault="00356663" w:rsidP="00356663">
      <w:pPr>
        <w:pStyle w:val="Heading3"/>
      </w:pPr>
      <w:r w:rsidRPr="00E35C12">
        <w:t>Background</w:t>
      </w:r>
    </w:p>
    <w:p w14:paraId="48175DD0" w14:textId="77777777" w:rsidR="00356663" w:rsidRDefault="00356663" w:rsidP="00356663">
      <w:pPr>
        <w:rPr>
          <w:bCs/>
        </w:rPr>
      </w:pPr>
      <w:r w:rsidRPr="002D25BB">
        <w:rPr>
          <w:bCs/>
        </w:rPr>
        <w:t xml:space="preserve">In the southern MDB, spawning and recruitment of golden perch corresponds with increases in water temperature and discharge, either in-channel or overbank (Mallen-Cooper and Stuart 2003; Zampatti and Leigh 2013a; 2013b). Silver perch display similar life history characteristics and population dynamics, although in the lotic reaches of the </w:t>
      </w:r>
      <w:r>
        <w:rPr>
          <w:bCs/>
        </w:rPr>
        <w:t xml:space="preserve">Murray </w:t>
      </w:r>
      <w:r w:rsidRPr="002D25BB">
        <w:rPr>
          <w:bCs/>
        </w:rPr>
        <w:t xml:space="preserve">River, silver perch may spawn circa-annually (Tonkin </w:t>
      </w:r>
      <w:r w:rsidRPr="006D1E79">
        <w:rPr>
          <w:bCs/>
          <w:i/>
        </w:rPr>
        <w:t>et al.</w:t>
      </w:r>
      <w:r w:rsidRPr="002D25BB">
        <w:rPr>
          <w:bCs/>
        </w:rPr>
        <w:t xml:space="preserve"> 2019). </w:t>
      </w:r>
      <w:r>
        <w:rPr>
          <w:bCs/>
        </w:rPr>
        <w:t>A</w:t>
      </w:r>
      <w:r w:rsidRPr="002D25BB">
        <w:rPr>
          <w:bCs/>
        </w:rPr>
        <w:t xml:space="preserve">nnual increases in flow (spring flow pulses) were a </w:t>
      </w:r>
      <w:r>
        <w:rPr>
          <w:bCs/>
        </w:rPr>
        <w:t>distinct hydrological</w:t>
      </w:r>
      <w:r w:rsidRPr="002D25BB">
        <w:rPr>
          <w:bCs/>
        </w:rPr>
        <w:t xml:space="preserve"> feature of the unregulated Murray River (Mallen-Cooper and Zampatti 2018). In regions where these featu</w:t>
      </w:r>
      <w:r>
        <w:rPr>
          <w:bCs/>
        </w:rPr>
        <w:t>res remain intact (e.g. the mid-</w:t>
      </w:r>
      <w:r w:rsidRPr="002D25BB">
        <w:rPr>
          <w:bCs/>
        </w:rPr>
        <w:t>Murray</w:t>
      </w:r>
      <w:r>
        <w:rPr>
          <w:bCs/>
        </w:rPr>
        <w:t xml:space="preserve"> River</w:t>
      </w:r>
      <w:r w:rsidRPr="002D25BB">
        <w:rPr>
          <w:bCs/>
        </w:rPr>
        <w:t xml:space="preserve">), golden perch display more consistent recruitment (Zampatti </w:t>
      </w:r>
      <w:r w:rsidRPr="006D1E79">
        <w:rPr>
          <w:bCs/>
          <w:i/>
        </w:rPr>
        <w:t>et al.</w:t>
      </w:r>
      <w:r w:rsidRPr="002D25BB">
        <w:rPr>
          <w:bCs/>
        </w:rPr>
        <w:t xml:space="preserve"> 2018). In the </w:t>
      </w:r>
      <w:r>
        <w:rPr>
          <w:bCs/>
        </w:rPr>
        <w:t xml:space="preserve">Murray River </w:t>
      </w:r>
      <w:r w:rsidRPr="002D25BB">
        <w:rPr>
          <w:bCs/>
        </w:rPr>
        <w:t xml:space="preserve">downstream of the Darling junction, </w:t>
      </w:r>
      <w:r>
        <w:rPr>
          <w:bCs/>
        </w:rPr>
        <w:t xml:space="preserve">however, </w:t>
      </w:r>
      <w:r w:rsidRPr="002D25BB">
        <w:rPr>
          <w:bCs/>
        </w:rPr>
        <w:t>spring flow pulses are compromised by river regulation</w:t>
      </w:r>
      <w:r>
        <w:rPr>
          <w:bCs/>
        </w:rPr>
        <w:t xml:space="preserve">. </w:t>
      </w:r>
      <w:r w:rsidRPr="002D25BB">
        <w:rPr>
          <w:bCs/>
        </w:rPr>
        <w:t>Commonwealth environmental water</w:t>
      </w:r>
      <w:r>
        <w:rPr>
          <w:bCs/>
        </w:rPr>
        <w:t xml:space="preserve"> may be used, at least in-</w:t>
      </w:r>
      <w:r w:rsidRPr="00DD344A">
        <w:rPr>
          <w:bCs/>
        </w:rPr>
        <w:t xml:space="preserve"> </w:t>
      </w:r>
      <w:r>
        <w:rPr>
          <w:bCs/>
        </w:rPr>
        <w:t>part, to restore these pulses</w:t>
      </w:r>
      <w:r w:rsidRPr="002D25BB">
        <w:rPr>
          <w:bCs/>
        </w:rPr>
        <w:t>.</w:t>
      </w:r>
    </w:p>
    <w:p w14:paraId="4376DBE4" w14:textId="612DC36D" w:rsidR="00356663" w:rsidRPr="0082529E" w:rsidRDefault="00356663" w:rsidP="00356663">
      <w:pPr>
        <w:rPr>
          <w:color w:val="auto"/>
        </w:rPr>
      </w:pPr>
      <w:r>
        <w:rPr>
          <w:bCs/>
        </w:rPr>
        <w:t xml:space="preserve">Since </w:t>
      </w:r>
      <w:r>
        <w:t xml:space="preserve">2012, </w:t>
      </w:r>
      <w:r w:rsidRPr="00E0532B">
        <w:t>&gt;</w:t>
      </w:r>
      <w:r>
        <w:t>500</w:t>
      </w:r>
      <w:r w:rsidRPr="00E0532B">
        <w:t xml:space="preserve"> GL</w:t>
      </w:r>
      <w:r>
        <w:t xml:space="preserve">/year </w:t>
      </w:r>
      <w:r w:rsidRPr="00E0532B">
        <w:t xml:space="preserve">of </w:t>
      </w:r>
      <w:r>
        <w:t xml:space="preserve">Commonwealth </w:t>
      </w:r>
      <w:r w:rsidRPr="00E0532B">
        <w:t xml:space="preserve">environmental water </w:t>
      </w:r>
      <w:r>
        <w:t xml:space="preserve">has been delivered to the LMR </w:t>
      </w:r>
      <w:r w:rsidRPr="00E0532B">
        <w:t xml:space="preserve">to enhance </w:t>
      </w:r>
      <w:r>
        <w:t xml:space="preserve">the </w:t>
      </w:r>
      <w:r w:rsidRPr="00E0532B">
        <w:t>flow regime</w:t>
      </w:r>
      <w:r>
        <w:t xml:space="preserve"> and</w:t>
      </w:r>
      <w:r w:rsidRPr="00E0532B">
        <w:t xml:space="preserve"> rehabilitate the</w:t>
      </w:r>
      <w:r>
        <w:t xml:space="preserve"> health of aquatic ecosystems. </w:t>
      </w:r>
      <w:r w:rsidRPr="00E0532B">
        <w:t xml:space="preserve">In the LMR, Commonwealth environmental water </w:t>
      </w:r>
      <w:r>
        <w:t>has been primarily</w:t>
      </w:r>
      <w:r w:rsidRPr="00E0532B">
        <w:t xml:space="preserve"> used to contribute to increased base flows </w:t>
      </w:r>
      <w:r w:rsidR="00FE7396" w:rsidRPr="00E0532B">
        <w:t xml:space="preserve">and freshes </w:t>
      </w:r>
      <w:r w:rsidR="00607EE3">
        <w:t>to 18,000 ML/d</w:t>
      </w:r>
      <w:r>
        <w:t xml:space="preserve"> (Section </w:t>
      </w:r>
      <w:r>
        <w:fldChar w:fldCharType="begin"/>
      </w:r>
      <w:r>
        <w:instrText xml:space="preserve"> REF _Ref25331850 \r \h </w:instrText>
      </w:r>
      <w:r>
        <w:fldChar w:fldCharType="separate"/>
      </w:r>
      <w:r w:rsidR="003C13F6">
        <w:t>1.4</w:t>
      </w:r>
      <w:r>
        <w:fldChar w:fldCharType="end"/>
      </w:r>
      <w:r>
        <w:t>)</w:t>
      </w:r>
      <w:r w:rsidRPr="00E0532B">
        <w:t xml:space="preserve">. </w:t>
      </w:r>
      <w:r>
        <w:t xml:space="preserve">One of the ecological objectives of flow augmentation </w:t>
      </w:r>
      <w:r w:rsidR="0036455F">
        <w:t>i</w:t>
      </w:r>
      <w:r>
        <w:t xml:space="preserve">s </w:t>
      </w:r>
      <w:r w:rsidRPr="00E0532B">
        <w:t>to contribute to increased spawning and/or recruitment of flow-dependent fish species.</w:t>
      </w:r>
      <w:r>
        <w:t xml:space="preserve"> Over the course of the CEWO’s LTIM project (</w:t>
      </w:r>
      <w:r w:rsidR="00F66447">
        <w:t>2014–2019</w:t>
      </w:r>
      <w:r>
        <w:t xml:space="preserve">) there was </w:t>
      </w:r>
      <w:r w:rsidRPr="00EF392B">
        <w:t>no substantial recruitment of golden perch</w:t>
      </w:r>
      <w:r>
        <w:t xml:space="preserve"> in the </w:t>
      </w:r>
      <w:r w:rsidR="00F66447">
        <w:t>LMR</w:t>
      </w:r>
      <w:r>
        <w:t xml:space="preserve">, despite </w:t>
      </w:r>
      <w:r w:rsidRPr="00EF392B">
        <w:t>spawning of golden perch coincid</w:t>
      </w:r>
      <w:r>
        <w:t>ing</w:t>
      </w:r>
      <w:r w:rsidRPr="00EF392B">
        <w:t xml:space="preserve"> with periods when environmental water was used to promote flow pulses in </w:t>
      </w:r>
      <w:r w:rsidRPr="008C313C">
        <w:t>the LMR (</w:t>
      </w:r>
      <w:r w:rsidR="008C313C" w:rsidRPr="008C313C">
        <w:t xml:space="preserve">Ye </w:t>
      </w:r>
      <w:r w:rsidR="008C313C" w:rsidRPr="008C313C">
        <w:rPr>
          <w:i/>
          <w:iCs/>
        </w:rPr>
        <w:t>et al.</w:t>
      </w:r>
      <w:r w:rsidR="008C313C" w:rsidRPr="008C313C">
        <w:t xml:space="preserve"> 2020</w:t>
      </w:r>
      <w:r w:rsidR="0036505B">
        <w:t>a</w:t>
      </w:r>
      <w:r w:rsidRPr="008C313C">
        <w:t>).</w:t>
      </w:r>
      <w:r>
        <w:t xml:space="preserve"> An absence of recruitment </w:t>
      </w:r>
      <w:r w:rsidRPr="00EF392B">
        <w:t xml:space="preserve">led to a population dominated by a few distinct and ageing cohorts. Evidence from </w:t>
      </w:r>
      <w:r>
        <w:t xml:space="preserve">these </w:t>
      </w:r>
      <w:r w:rsidRPr="00EF392B">
        <w:t xml:space="preserve">investigations suggest that greater flow rates (&gt;20,000 ML/d) are likely required to significantly influence golden perch spawning and recruitment in the LMR. </w:t>
      </w:r>
      <w:r>
        <w:t>As part of the MER</w:t>
      </w:r>
      <w:r w:rsidRPr="005A7A21">
        <w:t xml:space="preserve"> </w:t>
      </w:r>
      <w:r>
        <w:t>P</w:t>
      </w:r>
      <w:r w:rsidRPr="005A7A21">
        <w:t>roject</w:t>
      </w:r>
      <w:r>
        <w:t xml:space="preserve">, </w:t>
      </w:r>
      <w:r w:rsidRPr="003D18EA">
        <w:t xml:space="preserve">the recruitment of golden perch and silver perch in the LMR is investigated through </w:t>
      </w:r>
      <w:r w:rsidRPr="003D18EA">
        <w:rPr>
          <w:color w:val="auto"/>
        </w:rPr>
        <w:t>age structure analysis to assess the impact of the flow regime (including environmental water) on population</w:t>
      </w:r>
      <w:r>
        <w:rPr>
          <w:color w:val="auto"/>
        </w:rPr>
        <w:t xml:space="preserve"> dynamics</w:t>
      </w:r>
      <w:r w:rsidRPr="003D18EA">
        <w:rPr>
          <w:color w:val="auto"/>
        </w:rPr>
        <w:t xml:space="preserve">. </w:t>
      </w:r>
      <w:r w:rsidR="001B7376" w:rsidRPr="001B7376">
        <w:rPr>
          <w:color w:val="auto"/>
        </w:rPr>
        <w:t xml:space="preserve">Contingency monitoring supported the evaluation of golden perch and silver perch reproduction (including spawning) in 2020-21 through larval sampling and otolith microstructure and chemistry. </w:t>
      </w:r>
      <w:r w:rsidRPr="003D18EA">
        <w:rPr>
          <w:color w:val="auto"/>
        </w:rPr>
        <w:t xml:space="preserve">Data collected as part of the LTIM Project (Ye </w:t>
      </w:r>
      <w:r w:rsidRPr="003D18EA">
        <w:rPr>
          <w:i/>
          <w:iCs/>
          <w:color w:val="auto"/>
        </w:rPr>
        <w:t>et al.</w:t>
      </w:r>
      <w:r w:rsidRPr="003D18EA">
        <w:rPr>
          <w:color w:val="auto"/>
        </w:rPr>
        <w:t xml:space="preserve"> 2020</w:t>
      </w:r>
      <w:r w:rsidR="0036505B">
        <w:rPr>
          <w:color w:val="auto"/>
        </w:rPr>
        <w:t>a</w:t>
      </w:r>
      <w:r w:rsidRPr="003D18EA">
        <w:rPr>
          <w:color w:val="auto"/>
        </w:rPr>
        <w:t>) is integrated in the reporting and evaluation for this indicator.</w:t>
      </w:r>
    </w:p>
    <w:p w14:paraId="0FDA1B11" w14:textId="77777777" w:rsidR="00356663" w:rsidRPr="00DD344A" w:rsidRDefault="00356663" w:rsidP="00356663">
      <w:pPr>
        <w:rPr>
          <w:i/>
          <w:u w:val="single"/>
        </w:rPr>
      </w:pPr>
      <w:r w:rsidRPr="00DD344A">
        <w:rPr>
          <w:i/>
          <w:u w:val="single"/>
        </w:rPr>
        <w:t>Hypotheses</w:t>
      </w:r>
    </w:p>
    <w:p w14:paraId="3D4D201C" w14:textId="77777777" w:rsidR="00356663" w:rsidRDefault="00356663" w:rsidP="00356663">
      <w:pPr>
        <w:numPr>
          <w:ilvl w:val="0"/>
          <w:numId w:val="5"/>
        </w:numPr>
        <w:jc w:val="left"/>
      </w:pPr>
      <w:r>
        <w:t>Increased spring–summer flow (nominally &gt;20,000 ML/d), either in-channel or overbank, will promote the spawning and recruitment (to YOY) of golden perch and silver perch; and</w:t>
      </w:r>
    </w:p>
    <w:p w14:paraId="6AD5B984" w14:textId="681722C8" w:rsidR="00356663" w:rsidRDefault="00356663" w:rsidP="00356663">
      <w:pPr>
        <w:numPr>
          <w:ilvl w:val="0"/>
          <w:numId w:val="5"/>
        </w:numPr>
        <w:jc w:val="left"/>
      </w:pPr>
      <w:r>
        <w:t>Multiple years of enhanced spring–summer flow will increase the resilience of golden perch and silver perch populations in the LMR by promoting a more diverse age structure.</w:t>
      </w:r>
    </w:p>
    <w:p w14:paraId="5A9E3E7A" w14:textId="03CFB6C6" w:rsidR="00682385" w:rsidRDefault="00682385" w:rsidP="00682385">
      <w:pPr>
        <w:jc w:val="left"/>
      </w:pPr>
    </w:p>
    <w:p w14:paraId="52A38559" w14:textId="77777777" w:rsidR="00682385" w:rsidRPr="00F739A8" w:rsidRDefault="00682385" w:rsidP="00682385">
      <w:pPr>
        <w:jc w:val="left"/>
      </w:pPr>
    </w:p>
    <w:p w14:paraId="243AFC1C" w14:textId="77777777" w:rsidR="00356663" w:rsidRPr="00E35C12" w:rsidRDefault="00356663" w:rsidP="00356663">
      <w:pPr>
        <w:pStyle w:val="Heading3"/>
      </w:pPr>
      <w:r>
        <w:t>Methods</w:t>
      </w:r>
    </w:p>
    <w:p w14:paraId="449D0B4D" w14:textId="77777777" w:rsidR="0036455F" w:rsidRPr="0082529E" w:rsidRDefault="0036455F" w:rsidP="0036455F">
      <w:pPr>
        <w:rPr>
          <w:i/>
          <w:color w:val="auto"/>
          <w:u w:val="single"/>
        </w:rPr>
      </w:pPr>
      <w:r w:rsidRPr="0082529E">
        <w:rPr>
          <w:bCs/>
          <w:color w:val="auto"/>
        </w:rPr>
        <w:t>In 2020-21, to evaluate golden perch and silver perch reproduction (spawning and recruitment), and its association with flow</w:t>
      </w:r>
      <w:r>
        <w:rPr>
          <w:bCs/>
          <w:color w:val="auto"/>
        </w:rPr>
        <w:t>,</w:t>
      </w:r>
      <w:r w:rsidRPr="0082529E">
        <w:rPr>
          <w:bCs/>
          <w:color w:val="auto"/>
        </w:rPr>
        <w:t xml:space="preserve"> including environmental water, we: (1) sampled larval and young-of-year (YOY) fish in the LMR (Figure 1); (2) used otolith microstructure and chemistry, specifically strontium (Sr) isotope ratios (</w:t>
      </w:r>
      <w:r w:rsidRPr="0082529E">
        <w:rPr>
          <w:bCs/>
          <w:color w:val="auto"/>
          <w:vertAlign w:val="superscript"/>
        </w:rPr>
        <w:t>87</w:t>
      </w:r>
      <w:r w:rsidRPr="0082529E">
        <w:rPr>
          <w:bCs/>
          <w:color w:val="auto"/>
        </w:rPr>
        <w:t>Sr/</w:t>
      </w:r>
      <w:r w:rsidRPr="0082529E">
        <w:rPr>
          <w:bCs/>
          <w:color w:val="auto"/>
          <w:vertAlign w:val="superscript"/>
        </w:rPr>
        <w:t>86</w:t>
      </w:r>
      <w:r w:rsidRPr="0082529E">
        <w:rPr>
          <w:bCs/>
          <w:color w:val="auto"/>
        </w:rPr>
        <w:t xml:space="preserve">Sr), to retrospectively determine the time and place of spawning; and (3) </w:t>
      </w:r>
      <w:r w:rsidRPr="0082529E">
        <w:rPr>
          <w:color w:val="auto"/>
        </w:rPr>
        <w:t xml:space="preserve">used electrofishing to assess </w:t>
      </w:r>
      <w:r>
        <w:rPr>
          <w:color w:val="auto"/>
        </w:rPr>
        <w:t>interannual</w:t>
      </w:r>
      <w:r w:rsidRPr="0082529E">
        <w:rPr>
          <w:color w:val="auto"/>
        </w:rPr>
        <w:t xml:space="preserve"> variability in the relative abundance of golden perch</w:t>
      </w:r>
      <w:r>
        <w:rPr>
          <w:color w:val="auto"/>
        </w:rPr>
        <w:t>,</w:t>
      </w:r>
      <w:r w:rsidRPr="0082529E">
        <w:rPr>
          <w:color w:val="auto"/>
        </w:rPr>
        <w:t xml:space="preserve"> and collect representative sub-sample</w:t>
      </w:r>
      <w:r>
        <w:rPr>
          <w:color w:val="auto"/>
        </w:rPr>
        <w:t>s</w:t>
      </w:r>
      <w:r w:rsidRPr="0082529E">
        <w:rPr>
          <w:color w:val="auto"/>
        </w:rPr>
        <w:t xml:space="preserve"> of golden perch and silver perch to determine population age structure</w:t>
      </w:r>
      <w:r>
        <w:rPr>
          <w:color w:val="auto"/>
        </w:rPr>
        <w:t>s</w:t>
      </w:r>
      <w:r w:rsidRPr="00BC504D">
        <w:rPr>
          <w:color w:val="auto"/>
        </w:rPr>
        <w:t xml:space="preserve"> </w:t>
      </w:r>
      <w:r w:rsidRPr="0082529E">
        <w:rPr>
          <w:color w:val="auto"/>
        </w:rPr>
        <w:t>in the LMR</w:t>
      </w:r>
      <w:r w:rsidRPr="0082529E">
        <w:rPr>
          <w:bCs/>
          <w:color w:val="auto"/>
        </w:rPr>
        <w:t>.</w:t>
      </w:r>
    </w:p>
    <w:p w14:paraId="57C769B4" w14:textId="77777777" w:rsidR="0036455F" w:rsidRPr="0082529E" w:rsidRDefault="0036455F" w:rsidP="0036455F">
      <w:pPr>
        <w:rPr>
          <w:i/>
          <w:color w:val="auto"/>
          <w:u w:val="single"/>
        </w:rPr>
      </w:pPr>
      <w:r w:rsidRPr="0082529E">
        <w:rPr>
          <w:i/>
          <w:color w:val="auto"/>
          <w:u w:val="single"/>
        </w:rPr>
        <w:t xml:space="preserve">Analysis of water </w:t>
      </w:r>
      <w:r w:rsidRPr="0082529E">
        <w:rPr>
          <w:i/>
          <w:color w:val="auto"/>
          <w:u w:val="single"/>
          <w:vertAlign w:val="superscript"/>
        </w:rPr>
        <w:t>87</w:t>
      </w:r>
      <w:r w:rsidRPr="0082529E">
        <w:rPr>
          <w:i/>
          <w:color w:val="auto"/>
          <w:u w:val="single"/>
        </w:rPr>
        <w:t>Sr/</w:t>
      </w:r>
      <w:r w:rsidRPr="0082529E">
        <w:rPr>
          <w:i/>
          <w:color w:val="auto"/>
          <w:u w:val="single"/>
          <w:vertAlign w:val="superscript"/>
        </w:rPr>
        <w:t>86</w:t>
      </w:r>
      <w:r w:rsidRPr="0082529E">
        <w:rPr>
          <w:i/>
          <w:color w:val="auto"/>
          <w:u w:val="single"/>
        </w:rPr>
        <w:t>Sr at sites across the southern MDB</w:t>
      </w:r>
    </w:p>
    <w:p w14:paraId="182F0B57" w14:textId="10D914C6" w:rsidR="0036455F" w:rsidRDefault="0036455F" w:rsidP="0036455F">
      <w:pPr>
        <w:rPr>
          <w:color w:val="auto"/>
        </w:rPr>
      </w:pPr>
      <w:r w:rsidRPr="0082529E">
        <w:rPr>
          <w:color w:val="auto"/>
        </w:rPr>
        <w:t xml:space="preserve">To determine spatio-temporal variation in water </w:t>
      </w:r>
      <w:r w:rsidRPr="0082529E">
        <w:rPr>
          <w:color w:val="auto"/>
          <w:vertAlign w:val="superscript"/>
        </w:rPr>
        <w:t>87</w:t>
      </w:r>
      <w:r w:rsidRPr="0082529E">
        <w:rPr>
          <w:color w:val="auto"/>
        </w:rPr>
        <w:t>Sr/</w:t>
      </w:r>
      <w:r w:rsidRPr="0082529E">
        <w:rPr>
          <w:color w:val="auto"/>
          <w:vertAlign w:val="superscript"/>
        </w:rPr>
        <w:t>86</w:t>
      </w:r>
      <w:r w:rsidRPr="0082529E">
        <w:rPr>
          <w:color w:val="auto"/>
        </w:rPr>
        <w:t xml:space="preserve">Sr over the spring–summer of 2020-21, water samples were collected weekly–monthly from </w:t>
      </w:r>
      <w:r>
        <w:rPr>
          <w:color w:val="auto"/>
        </w:rPr>
        <w:t>nine</w:t>
      </w:r>
      <w:r w:rsidRPr="0082529E">
        <w:rPr>
          <w:color w:val="auto"/>
        </w:rPr>
        <w:t xml:space="preserve"> sites across the southern MDB</w:t>
      </w:r>
      <w:r>
        <w:rPr>
          <w:color w:val="auto"/>
        </w:rPr>
        <w:t xml:space="preserve">. </w:t>
      </w:r>
      <w:r w:rsidRPr="0082529E">
        <w:rPr>
          <w:color w:val="auto"/>
        </w:rPr>
        <w:t xml:space="preserve">At most sites, water samples were collected from early September 2020 to early February 2021. </w:t>
      </w:r>
      <w:r>
        <w:rPr>
          <w:color w:val="auto"/>
        </w:rPr>
        <w:t xml:space="preserve">A subset of these samples </w:t>
      </w:r>
      <w:r w:rsidRPr="0082529E">
        <w:rPr>
          <w:color w:val="auto"/>
        </w:rPr>
        <w:t>(</w:t>
      </w:r>
      <w:r>
        <w:rPr>
          <w:color w:val="auto"/>
        </w:rPr>
        <w:fldChar w:fldCharType="begin"/>
      </w:r>
      <w:r>
        <w:rPr>
          <w:color w:val="auto"/>
        </w:rPr>
        <w:instrText xml:space="preserve"> REF _Ref90308426 \h </w:instrText>
      </w:r>
      <w:r>
        <w:rPr>
          <w:color w:val="auto"/>
        </w:rPr>
      </w:r>
      <w:r>
        <w:rPr>
          <w:color w:val="auto"/>
        </w:rPr>
        <w:fldChar w:fldCharType="separate"/>
      </w:r>
      <w:r w:rsidR="003C13F6">
        <w:t xml:space="preserve">Figure </w:t>
      </w:r>
      <w:r w:rsidR="003C13F6">
        <w:rPr>
          <w:noProof/>
        </w:rPr>
        <w:t>43</w:t>
      </w:r>
      <w:r>
        <w:rPr>
          <w:color w:val="auto"/>
        </w:rPr>
        <w:fldChar w:fldCharType="end"/>
      </w:r>
      <w:r>
        <w:rPr>
          <w:color w:val="auto"/>
        </w:rPr>
        <w:t xml:space="preserve">; </w:t>
      </w:r>
      <w:r>
        <w:rPr>
          <w:color w:val="auto"/>
        </w:rPr>
        <w:fldChar w:fldCharType="begin"/>
      </w:r>
      <w:r>
        <w:rPr>
          <w:color w:val="auto"/>
        </w:rPr>
        <w:instrText xml:space="preserve"> REF _Ref90308434 \h </w:instrText>
      </w:r>
      <w:r>
        <w:rPr>
          <w:color w:val="auto"/>
        </w:rPr>
      </w:r>
      <w:r>
        <w:rPr>
          <w:color w:val="auto"/>
        </w:rPr>
        <w:fldChar w:fldCharType="separate"/>
      </w:r>
      <w:r w:rsidR="003C13F6">
        <w:t xml:space="preserve">Table </w:t>
      </w:r>
      <w:r w:rsidR="003C13F6">
        <w:rPr>
          <w:noProof/>
        </w:rPr>
        <w:t>18</w:t>
      </w:r>
      <w:r>
        <w:rPr>
          <w:color w:val="auto"/>
        </w:rPr>
        <w:fldChar w:fldCharType="end"/>
      </w:r>
      <w:r w:rsidRPr="0082529E">
        <w:rPr>
          <w:color w:val="auto"/>
        </w:rPr>
        <w:t>)</w:t>
      </w:r>
      <w:r>
        <w:rPr>
          <w:color w:val="auto"/>
        </w:rPr>
        <w:t xml:space="preserve"> were submitted for analysis</w:t>
      </w:r>
      <w:r w:rsidRPr="0082529E">
        <w:rPr>
          <w:color w:val="auto"/>
        </w:rPr>
        <w:t>.</w:t>
      </w:r>
    </w:p>
    <w:p w14:paraId="1FB50BC7" w14:textId="77777777" w:rsidR="002B6E9C" w:rsidRPr="0082529E" w:rsidRDefault="002B6E9C" w:rsidP="0036455F">
      <w:pPr>
        <w:rPr>
          <w:color w:val="auto"/>
        </w:rPr>
      </w:pPr>
    </w:p>
    <w:p w14:paraId="0FD89D78" w14:textId="77777777" w:rsidR="00356663" w:rsidRPr="0082529E" w:rsidRDefault="00356663" w:rsidP="00356663">
      <w:pPr>
        <w:rPr>
          <w:rFonts w:eastAsia="MS Mincho" w:cs="Arial"/>
          <w:b/>
          <w:bCs/>
          <w:color w:val="auto"/>
          <w:kern w:val="0"/>
          <w:sz w:val="20"/>
          <w:lang w:val="en-US"/>
        </w:rPr>
      </w:pPr>
      <w:r w:rsidRPr="0082529E">
        <w:rPr>
          <w:noProof/>
          <w:color w:val="auto"/>
          <w:lang w:eastAsia="en-AU"/>
        </w:rPr>
        <w:drawing>
          <wp:inline distT="0" distB="0" distL="0" distR="0" wp14:anchorId="36760FDF" wp14:editId="6A4BBC32">
            <wp:extent cx="5436000" cy="38385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109" cstate="print">
                      <a:extLst>
                        <a:ext uri="{28A0092B-C50C-407E-A947-70E740481C1C}">
                          <a14:useLocalDpi xmlns:a14="http://schemas.microsoft.com/office/drawing/2010/main" val="0"/>
                        </a:ext>
                      </a:extLst>
                    </a:blip>
                    <a:srcRect l="3809" t="1446" r="944" b="51002"/>
                    <a:stretch/>
                  </pic:blipFill>
                  <pic:spPr bwMode="auto">
                    <a:xfrm>
                      <a:off x="0" y="0"/>
                      <a:ext cx="5436000" cy="3838561"/>
                    </a:xfrm>
                    <a:prstGeom prst="rect">
                      <a:avLst/>
                    </a:prstGeom>
                    <a:ln>
                      <a:noFill/>
                    </a:ln>
                    <a:extLst>
                      <a:ext uri="{53640926-AAD7-44D8-BBD7-CCE9431645EC}">
                        <a14:shadowObscured xmlns:a14="http://schemas.microsoft.com/office/drawing/2010/main"/>
                      </a:ext>
                    </a:extLst>
                  </pic:spPr>
                </pic:pic>
              </a:graphicData>
            </a:graphic>
          </wp:inline>
        </w:drawing>
      </w:r>
    </w:p>
    <w:p w14:paraId="041DC197" w14:textId="23F04EDB" w:rsidR="00356663" w:rsidRPr="0082529E" w:rsidRDefault="00356663" w:rsidP="00356663">
      <w:pPr>
        <w:pStyle w:val="Caption"/>
        <w:rPr>
          <w:rFonts w:eastAsia="MS Mincho" w:cs="Arial"/>
          <w:b w:val="0"/>
          <w:bCs w:val="0"/>
          <w:kern w:val="0"/>
          <w:lang w:val="en-US"/>
        </w:rPr>
      </w:pPr>
      <w:bookmarkStart w:id="268" w:name="_Ref90308426"/>
      <w:bookmarkStart w:id="269" w:name="_Toc3558374"/>
      <w:bookmarkStart w:id="270" w:name="_Toc101963835"/>
      <w:r>
        <w:t xml:space="preserve">Figure </w:t>
      </w:r>
      <w:fldSimple w:instr=" SEQ Figure \* ARABIC ">
        <w:r w:rsidR="003C13F6">
          <w:rPr>
            <w:noProof/>
          </w:rPr>
          <w:t>43</w:t>
        </w:r>
      </w:fldSimple>
      <w:bookmarkEnd w:id="268"/>
      <w:r w:rsidRPr="0021450B">
        <w:t>. Map</w:t>
      </w:r>
      <w:r w:rsidRPr="0082529E">
        <w:t xml:space="preserve"> showing the location of the Murray–Darling Basin and the major rivers that comprise the southern Murray-Darling Basin, the numbered Locks (L) and Weirs (up to Lock 26, Torrumbarry), the Darling, Lachlan, Murrumbidgee, Edward–Wakool, Campaspe and Goulburn rivers and Lake Victoria, an off-stream storage used to regulate flows in the Murray</w:t>
      </w:r>
      <w:bookmarkEnd w:id="269"/>
      <w:r w:rsidR="008D6911">
        <w:t xml:space="preserve"> River</w:t>
      </w:r>
      <w:r w:rsidR="005C1F4F">
        <w:t xml:space="preserve"> below Lock 9</w:t>
      </w:r>
      <w:r w:rsidRPr="0082529E">
        <w:t>.</w:t>
      </w:r>
      <w:bookmarkEnd w:id="270"/>
    </w:p>
    <w:p w14:paraId="04986BCA" w14:textId="77777777" w:rsidR="00356663" w:rsidRPr="0082529E" w:rsidRDefault="00356663" w:rsidP="00356663">
      <w:pPr>
        <w:pStyle w:val="Caption"/>
        <w:rPr>
          <w:rFonts w:eastAsia="MS Mincho" w:cs="Arial"/>
          <w:b w:val="0"/>
          <w:bCs w:val="0"/>
          <w:kern w:val="0"/>
          <w:lang w:val="en-US"/>
        </w:rPr>
      </w:pPr>
    </w:p>
    <w:p w14:paraId="666BE51E" w14:textId="77777777" w:rsidR="00356663" w:rsidRPr="0082529E" w:rsidRDefault="00356663" w:rsidP="00356663">
      <w:pPr>
        <w:spacing w:before="0" w:after="160" w:line="259" w:lineRule="auto"/>
        <w:jc w:val="left"/>
        <w:rPr>
          <w:rFonts w:eastAsia="MS Mincho" w:cs="Arial"/>
          <w:color w:val="auto"/>
          <w:kern w:val="0"/>
          <w:sz w:val="20"/>
          <w:szCs w:val="18"/>
          <w:lang w:val="en-US"/>
        </w:rPr>
      </w:pPr>
      <w:r w:rsidRPr="0082529E">
        <w:rPr>
          <w:rFonts w:eastAsia="MS Mincho" w:cs="Arial"/>
          <w:b/>
          <w:bCs/>
          <w:color w:val="auto"/>
          <w:kern w:val="0"/>
          <w:lang w:val="en-US"/>
        </w:rPr>
        <w:br w:type="page"/>
      </w:r>
    </w:p>
    <w:p w14:paraId="5441ADB4" w14:textId="2421A211" w:rsidR="00356663" w:rsidRPr="0082529E" w:rsidRDefault="00356663" w:rsidP="00356663">
      <w:pPr>
        <w:pStyle w:val="Caption"/>
        <w:rPr>
          <w:highlight w:val="yellow"/>
        </w:rPr>
      </w:pPr>
      <w:bookmarkStart w:id="271" w:name="_Ref90308434"/>
      <w:bookmarkStart w:id="272" w:name="_Toc3558396"/>
      <w:bookmarkStart w:id="273" w:name="_Toc101963876"/>
      <w:r>
        <w:t xml:space="preserve">Table </w:t>
      </w:r>
      <w:fldSimple w:instr=" SEQ Table \* ARABIC ">
        <w:r w:rsidR="003C13F6">
          <w:rPr>
            <w:noProof/>
          </w:rPr>
          <w:t>18</w:t>
        </w:r>
      </w:fldSimple>
      <w:bookmarkEnd w:id="271"/>
      <w:r>
        <w:t>.</w:t>
      </w:r>
      <w:r w:rsidRPr="0082529E">
        <w:t xml:space="preserve"> Location of water sample collection for </w:t>
      </w:r>
      <w:r w:rsidRPr="0082529E">
        <w:rPr>
          <w:vertAlign w:val="superscript"/>
        </w:rPr>
        <w:t>87</w:t>
      </w:r>
      <w:r w:rsidRPr="0082529E">
        <w:t>Sr/</w:t>
      </w:r>
      <w:r w:rsidRPr="0082529E">
        <w:rPr>
          <w:vertAlign w:val="superscript"/>
        </w:rPr>
        <w:t>86</w:t>
      </w:r>
      <w:r w:rsidRPr="0082529E">
        <w:t>Sr analysis in 2020-21.</w:t>
      </w:r>
      <w:bookmarkEnd w:id="272"/>
      <w:bookmarkEnd w:id="273"/>
    </w:p>
    <w:tbl>
      <w:tblPr>
        <w:tblStyle w:val="TableGrid"/>
        <w:tblW w:w="8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1531"/>
        <w:gridCol w:w="2494"/>
        <w:gridCol w:w="2572"/>
      </w:tblGrid>
      <w:tr w:rsidR="00356663" w:rsidRPr="0082529E" w14:paraId="48A921F6" w14:textId="77777777" w:rsidTr="00356663">
        <w:trPr>
          <w:trHeight w:val="369"/>
        </w:trPr>
        <w:tc>
          <w:tcPr>
            <w:tcW w:w="1818" w:type="dxa"/>
            <w:tcBorders>
              <w:top w:val="single" w:sz="4" w:space="0" w:color="auto"/>
              <w:bottom w:val="single" w:sz="4" w:space="0" w:color="auto"/>
            </w:tcBorders>
            <w:vAlign w:val="center"/>
          </w:tcPr>
          <w:p w14:paraId="76B1AB41" w14:textId="77777777" w:rsidR="00356663" w:rsidRPr="0082529E" w:rsidRDefault="00356663" w:rsidP="00356663">
            <w:pPr>
              <w:spacing w:after="200"/>
              <w:contextualSpacing/>
              <w:rPr>
                <w:b/>
                <w:color w:val="auto"/>
                <w:sz w:val="19"/>
                <w:szCs w:val="19"/>
              </w:rPr>
            </w:pPr>
            <w:r w:rsidRPr="0082529E">
              <w:rPr>
                <w:b/>
                <w:color w:val="auto"/>
                <w:sz w:val="19"/>
                <w:szCs w:val="19"/>
              </w:rPr>
              <w:t>River</w:t>
            </w:r>
          </w:p>
        </w:tc>
        <w:tc>
          <w:tcPr>
            <w:tcW w:w="1531" w:type="dxa"/>
            <w:tcBorders>
              <w:top w:val="single" w:sz="4" w:space="0" w:color="auto"/>
              <w:bottom w:val="single" w:sz="4" w:space="0" w:color="auto"/>
            </w:tcBorders>
            <w:vAlign w:val="center"/>
          </w:tcPr>
          <w:p w14:paraId="1903C6CA" w14:textId="77777777" w:rsidR="00356663" w:rsidRPr="0082529E" w:rsidRDefault="00356663" w:rsidP="00356663">
            <w:pPr>
              <w:spacing w:after="200"/>
              <w:contextualSpacing/>
              <w:jc w:val="center"/>
              <w:rPr>
                <w:b/>
                <w:color w:val="auto"/>
                <w:sz w:val="19"/>
                <w:szCs w:val="19"/>
              </w:rPr>
            </w:pPr>
            <w:r w:rsidRPr="0082529E">
              <w:rPr>
                <w:b/>
                <w:color w:val="auto"/>
                <w:sz w:val="19"/>
                <w:szCs w:val="19"/>
              </w:rPr>
              <w:t>Location</w:t>
            </w:r>
          </w:p>
        </w:tc>
        <w:tc>
          <w:tcPr>
            <w:tcW w:w="2494" w:type="dxa"/>
            <w:tcBorders>
              <w:top w:val="single" w:sz="4" w:space="0" w:color="auto"/>
              <w:bottom w:val="single" w:sz="4" w:space="0" w:color="auto"/>
            </w:tcBorders>
            <w:vAlign w:val="center"/>
          </w:tcPr>
          <w:p w14:paraId="40EDF5B2" w14:textId="77777777" w:rsidR="00356663" w:rsidRPr="0082529E" w:rsidRDefault="00356663" w:rsidP="00356663">
            <w:pPr>
              <w:spacing w:after="200"/>
              <w:contextualSpacing/>
              <w:jc w:val="center"/>
              <w:rPr>
                <w:b/>
                <w:color w:val="auto"/>
                <w:sz w:val="19"/>
                <w:szCs w:val="19"/>
              </w:rPr>
            </w:pPr>
            <w:r w:rsidRPr="0082529E">
              <w:rPr>
                <w:b/>
                <w:color w:val="auto"/>
                <w:sz w:val="19"/>
                <w:szCs w:val="19"/>
              </w:rPr>
              <w:t>Sampling period</w:t>
            </w:r>
          </w:p>
        </w:tc>
        <w:tc>
          <w:tcPr>
            <w:tcW w:w="2572" w:type="dxa"/>
            <w:tcBorders>
              <w:top w:val="single" w:sz="4" w:space="0" w:color="auto"/>
              <w:bottom w:val="single" w:sz="4" w:space="0" w:color="auto"/>
            </w:tcBorders>
            <w:vAlign w:val="center"/>
          </w:tcPr>
          <w:p w14:paraId="03F77DFE" w14:textId="77777777" w:rsidR="00356663" w:rsidRPr="0082529E" w:rsidRDefault="00356663" w:rsidP="00356663">
            <w:pPr>
              <w:spacing w:after="200"/>
              <w:contextualSpacing/>
              <w:jc w:val="center"/>
              <w:rPr>
                <w:b/>
                <w:color w:val="auto"/>
                <w:sz w:val="19"/>
                <w:szCs w:val="19"/>
              </w:rPr>
            </w:pPr>
            <w:r w:rsidRPr="0082529E">
              <w:rPr>
                <w:b/>
                <w:color w:val="auto"/>
                <w:sz w:val="19"/>
                <w:szCs w:val="19"/>
              </w:rPr>
              <w:t>Total number of samples</w:t>
            </w:r>
          </w:p>
        </w:tc>
      </w:tr>
      <w:tr w:rsidR="00356663" w:rsidRPr="0082529E" w14:paraId="4FD1C04D" w14:textId="77777777" w:rsidTr="00356663">
        <w:trPr>
          <w:trHeight w:val="369"/>
        </w:trPr>
        <w:tc>
          <w:tcPr>
            <w:tcW w:w="1818" w:type="dxa"/>
            <w:tcBorders>
              <w:top w:val="single" w:sz="4" w:space="0" w:color="auto"/>
            </w:tcBorders>
            <w:vAlign w:val="center"/>
          </w:tcPr>
          <w:p w14:paraId="1B88A60C" w14:textId="77777777" w:rsidR="00356663" w:rsidRPr="0082529E" w:rsidRDefault="00356663" w:rsidP="00356663">
            <w:pPr>
              <w:spacing w:after="200"/>
              <w:contextualSpacing/>
              <w:rPr>
                <w:color w:val="auto"/>
                <w:sz w:val="19"/>
                <w:szCs w:val="19"/>
              </w:rPr>
            </w:pPr>
            <w:r w:rsidRPr="0082529E">
              <w:rPr>
                <w:color w:val="auto"/>
                <w:sz w:val="19"/>
                <w:szCs w:val="19"/>
              </w:rPr>
              <w:t>Murray</w:t>
            </w:r>
          </w:p>
        </w:tc>
        <w:tc>
          <w:tcPr>
            <w:tcW w:w="1531" w:type="dxa"/>
            <w:tcBorders>
              <w:top w:val="single" w:sz="4" w:space="0" w:color="auto"/>
            </w:tcBorders>
            <w:vAlign w:val="center"/>
          </w:tcPr>
          <w:p w14:paraId="6456DF5E" w14:textId="77777777" w:rsidR="00356663" w:rsidRPr="0082529E" w:rsidRDefault="00356663" w:rsidP="00356663">
            <w:pPr>
              <w:spacing w:after="200"/>
              <w:contextualSpacing/>
              <w:jc w:val="center"/>
              <w:rPr>
                <w:color w:val="auto"/>
                <w:sz w:val="19"/>
                <w:szCs w:val="19"/>
              </w:rPr>
            </w:pPr>
            <w:r w:rsidRPr="0082529E">
              <w:rPr>
                <w:color w:val="auto"/>
                <w:sz w:val="19"/>
                <w:szCs w:val="19"/>
              </w:rPr>
              <w:t>Lock 1</w:t>
            </w:r>
          </w:p>
        </w:tc>
        <w:tc>
          <w:tcPr>
            <w:tcW w:w="2494" w:type="dxa"/>
            <w:tcBorders>
              <w:top w:val="single" w:sz="4" w:space="0" w:color="auto"/>
            </w:tcBorders>
            <w:vAlign w:val="center"/>
          </w:tcPr>
          <w:p w14:paraId="73C3FE26" w14:textId="77777777" w:rsidR="00356663" w:rsidRPr="0082529E" w:rsidRDefault="00356663" w:rsidP="00356663">
            <w:pPr>
              <w:spacing w:after="200"/>
              <w:contextualSpacing/>
              <w:jc w:val="center"/>
              <w:rPr>
                <w:color w:val="auto"/>
                <w:sz w:val="19"/>
                <w:szCs w:val="19"/>
              </w:rPr>
            </w:pPr>
            <w:r>
              <w:rPr>
                <w:color w:val="auto"/>
                <w:sz w:val="19"/>
                <w:szCs w:val="19"/>
              </w:rPr>
              <w:t>2/11</w:t>
            </w:r>
            <w:r w:rsidRPr="0082529E">
              <w:rPr>
                <w:color w:val="auto"/>
                <w:sz w:val="19"/>
                <w:szCs w:val="19"/>
              </w:rPr>
              <w:t>/20–</w:t>
            </w:r>
            <w:r>
              <w:rPr>
                <w:color w:val="auto"/>
                <w:sz w:val="19"/>
                <w:szCs w:val="19"/>
              </w:rPr>
              <w:t>11/1</w:t>
            </w:r>
            <w:r w:rsidRPr="0082529E">
              <w:rPr>
                <w:color w:val="auto"/>
                <w:sz w:val="19"/>
                <w:szCs w:val="19"/>
              </w:rPr>
              <w:t>/21</w:t>
            </w:r>
          </w:p>
        </w:tc>
        <w:tc>
          <w:tcPr>
            <w:tcW w:w="2572" w:type="dxa"/>
            <w:tcBorders>
              <w:top w:val="single" w:sz="4" w:space="0" w:color="auto"/>
            </w:tcBorders>
            <w:vAlign w:val="center"/>
          </w:tcPr>
          <w:p w14:paraId="40F9F250" w14:textId="77777777" w:rsidR="00356663" w:rsidRPr="0082529E" w:rsidRDefault="00356663" w:rsidP="00356663">
            <w:pPr>
              <w:spacing w:after="200"/>
              <w:contextualSpacing/>
              <w:jc w:val="center"/>
              <w:rPr>
                <w:color w:val="auto"/>
                <w:sz w:val="19"/>
                <w:szCs w:val="19"/>
              </w:rPr>
            </w:pPr>
            <w:r>
              <w:rPr>
                <w:color w:val="auto"/>
                <w:sz w:val="19"/>
                <w:szCs w:val="19"/>
              </w:rPr>
              <w:t>6</w:t>
            </w:r>
          </w:p>
        </w:tc>
      </w:tr>
      <w:tr w:rsidR="00356663" w:rsidRPr="0082529E" w14:paraId="4D0517AF" w14:textId="77777777" w:rsidTr="00356663">
        <w:trPr>
          <w:trHeight w:val="369"/>
        </w:trPr>
        <w:tc>
          <w:tcPr>
            <w:tcW w:w="1818" w:type="dxa"/>
            <w:vAlign w:val="center"/>
          </w:tcPr>
          <w:p w14:paraId="3CCB30A0" w14:textId="77777777" w:rsidR="00356663" w:rsidRPr="0082529E" w:rsidRDefault="00356663" w:rsidP="00356663">
            <w:pPr>
              <w:spacing w:after="200"/>
              <w:contextualSpacing/>
              <w:rPr>
                <w:color w:val="auto"/>
                <w:sz w:val="19"/>
                <w:szCs w:val="19"/>
              </w:rPr>
            </w:pPr>
            <w:r w:rsidRPr="0082529E">
              <w:rPr>
                <w:color w:val="auto"/>
                <w:sz w:val="19"/>
                <w:szCs w:val="19"/>
              </w:rPr>
              <w:t>Murray</w:t>
            </w:r>
          </w:p>
        </w:tc>
        <w:tc>
          <w:tcPr>
            <w:tcW w:w="1531" w:type="dxa"/>
            <w:vAlign w:val="center"/>
          </w:tcPr>
          <w:p w14:paraId="5A153E1E" w14:textId="77777777" w:rsidR="00356663" w:rsidRPr="0082529E" w:rsidRDefault="00356663" w:rsidP="00356663">
            <w:pPr>
              <w:spacing w:after="200"/>
              <w:contextualSpacing/>
              <w:jc w:val="center"/>
              <w:rPr>
                <w:color w:val="auto"/>
                <w:sz w:val="19"/>
                <w:szCs w:val="19"/>
              </w:rPr>
            </w:pPr>
            <w:r w:rsidRPr="0082529E">
              <w:rPr>
                <w:color w:val="auto"/>
                <w:sz w:val="19"/>
                <w:szCs w:val="19"/>
              </w:rPr>
              <w:t>Lock 6</w:t>
            </w:r>
          </w:p>
        </w:tc>
        <w:tc>
          <w:tcPr>
            <w:tcW w:w="2494" w:type="dxa"/>
            <w:vAlign w:val="center"/>
          </w:tcPr>
          <w:p w14:paraId="7BFCF67D" w14:textId="77777777" w:rsidR="00356663" w:rsidRPr="0082529E" w:rsidRDefault="00356663" w:rsidP="00356663">
            <w:pPr>
              <w:spacing w:after="200"/>
              <w:contextualSpacing/>
              <w:jc w:val="center"/>
              <w:rPr>
                <w:color w:val="auto"/>
                <w:sz w:val="19"/>
                <w:szCs w:val="19"/>
              </w:rPr>
            </w:pPr>
            <w:r>
              <w:rPr>
                <w:color w:val="auto"/>
                <w:sz w:val="19"/>
                <w:szCs w:val="19"/>
              </w:rPr>
              <w:t>3/11</w:t>
            </w:r>
            <w:r w:rsidRPr="0082529E">
              <w:rPr>
                <w:color w:val="auto"/>
                <w:sz w:val="19"/>
                <w:szCs w:val="19"/>
              </w:rPr>
              <w:t>/20–</w:t>
            </w:r>
            <w:r>
              <w:rPr>
                <w:color w:val="auto"/>
                <w:sz w:val="19"/>
                <w:szCs w:val="19"/>
              </w:rPr>
              <w:t>12/1</w:t>
            </w:r>
            <w:r w:rsidRPr="0082529E">
              <w:rPr>
                <w:color w:val="auto"/>
                <w:sz w:val="19"/>
                <w:szCs w:val="19"/>
              </w:rPr>
              <w:t>/21</w:t>
            </w:r>
          </w:p>
        </w:tc>
        <w:tc>
          <w:tcPr>
            <w:tcW w:w="2572" w:type="dxa"/>
            <w:vAlign w:val="center"/>
          </w:tcPr>
          <w:p w14:paraId="32890156" w14:textId="77777777" w:rsidR="00356663" w:rsidRPr="0082529E" w:rsidRDefault="00356663" w:rsidP="00356663">
            <w:pPr>
              <w:spacing w:after="200"/>
              <w:contextualSpacing/>
              <w:jc w:val="center"/>
              <w:rPr>
                <w:color w:val="auto"/>
                <w:sz w:val="19"/>
                <w:szCs w:val="19"/>
              </w:rPr>
            </w:pPr>
            <w:r>
              <w:rPr>
                <w:color w:val="auto"/>
                <w:sz w:val="19"/>
                <w:szCs w:val="19"/>
              </w:rPr>
              <w:t>6</w:t>
            </w:r>
          </w:p>
        </w:tc>
      </w:tr>
      <w:tr w:rsidR="00356663" w:rsidRPr="0082529E" w14:paraId="6CBA2970" w14:textId="77777777" w:rsidTr="00356663">
        <w:trPr>
          <w:trHeight w:val="369"/>
        </w:trPr>
        <w:tc>
          <w:tcPr>
            <w:tcW w:w="1818" w:type="dxa"/>
            <w:vAlign w:val="center"/>
          </w:tcPr>
          <w:p w14:paraId="576A6D70" w14:textId="77777777" w:rsidR="00356663" w:rsidRPr="0082529E" w:rsidRDefault="00356663" w:rsidP="00356663">
            <w:pPr>
              <w:spacing w:after="200"/>
              <w:contextualSpacing/>
              <w:rPr>
                <w:color w:val="auto"/>
                <w:sz w:val="19"/>
                <w:szCs w:val="19"/>
              </w:rPr>
            </w:pPr>
            <w:r>
              <w:rPr>
                <w:color w:val="auto"/>
                <w:sz w:val="19"/>
                <w:szCs w:val="19"/>
              </w:rPr>
              <w:t>Lake Victoria</w:t>
            </w:r>
          </w:p>
        </w:tc>
        <w:tc>
          <w:tcPr>
            <w:tcW w:w="1531" w:type="dxa"/>
            <w:vAlign w:val="center"/>
          </w:tcPr>
          <w:p w14:paraId="28F54BDD" w14:textId="77777777" w:rsidR="00356663" w:rsidRPr="0082529E" w:rsidRDefault="00356663" w:rsidP="00356663">
            <w:pPr>
              <w:spacing w:after="200"/>
              <w:contextualSpacing/>
              <w:jc w:val="center"/>
              <w:rPr>
                <w:color w:val="auto"/>
                <w:sz w:val="19"/>
                <w:szCs w:val="19"/>
              </w:rPr>
            </w:pPr>
            <w:r>
              <w:rPr>
                <w:color w:val="auto"/>
                <w:sz w:val="19"/>
                <w:szCs w:val="19"/>
              </w:rPr>
              <w:t>Rufus River</w:t>
            </w:r>
          </w:p>
        </w:tc>
        <w:tc>
          <w:tcPr>
            <w:tcW w:w="2494" w:type="dxa"/>
            <w:vAlign w:val="center"/>
          </w:tcPr>
          <w:p w14:paraId="656C1F85" w14:textId="77777777" w:rsidR="00356663" w:rsidRPr="0082529E" w:rsidRDefault="00356663" w:rsidP="00356663">
            <w:pPr>
              <w:spacing w:after="200"/>
              <w:contextualSpacing/>
              <w:jc w:val="center"/>
              <w:rPr>
                <w:color w:val="auto"/>
                <w:sz w:val="19"/>
                <w:szCs w:val="19"/>
              </w:rPr>
            </w:pPr>
            <w:r w:rsidRPr="0082529E">
              <w:rPr>
                <w:color w:val="auto"/>
                <w:sz w:val="19"/>
                <w:szCs w:val="19"/>
              </w:rPr>
              <w:t>22–24/12/20</w:t>
            </w:r>
          </w:p>
        </w:tc>
        <w:tc>
          <w:tcPr>
            <w:tcW w:w="2572" w:type="dxa"/>
            <w:vAlign w:val="center"/>
          </w:tcPr>
          <w:p w14:paraId="0002210A" w14:textId="77777777" w:rsidR="00356663" w:rsidRPr="0082529E" w:rsidRDefault="00356663" w:rsidP="00356663">
            <w:pPr>
              <w:spacing w:after="200"/>
              <w:contextualSpacing/>
              <w:jc w:val="center"/>
              <w:rPr>
                <w:color w:val="auto"/>
                <w:sz w:val="19"/>
                <w:szCs w:val="19"/>
              </w:rPr>
            </w:pPr>
            <w:r w:rsidRPr="0082529E">
              <w:rPr>
                <w:color w:val="auto"/>
                <w:sz w:val="19"/>
                <w:szCs w:val="19"/>
              </w:rPr>
              <w:t>3</w:t>
            </w:r>
          </w:p>
        </w:tc>
      </w:tr>
      <w:tr w:rsidR="00356663" w:rsidRPr="0082529E" w14:paraId="46AFC1C4" w14:textId="77777777" w:rsidTr="00356663">
        <w:trPr>
          <w:trHeight w:val="369"/>
        </w:trPr>
        <w:tc>
          <w:tcPr>
            <w:tcW w:w="1818" w:type="dxa"/>
            <w:vAlign w:val="center"/>
          </w:tcPr>
          <w:p w14:paraId="3CD49F5B" w14:textId="77777777" w:rsidR="00356663" w:rsidRPr="0082529E" w:rsidRDefault="00356663" w:rsidP="00356663">
            <w:pPr>
              <w:spacing w:after="200"/>
              <w:contextualSpacing/>
              <w:rPr>
                <w:color w:val="auto"/>
                <w:sz w:val="19"/>
                <w:szCs w:val="19"/>
              </w:rPr>
            </w:pPr>
            <w:r w:rsidRPr="0082529E">
              <w:rPr>
                <w:color w:val="auto"/>
                <w:sz w:val="19"/>
                <w:szCs w:val="19"/>
              </w:rPr>
              <w:t>Murray</w:t>
            </w:r>
          </w:p>
        </w:tc>
        <w:tc>
          <w:tcPr>
            <w:tcW w:w="1531" w:type="dxa"/>
            <w:vAlign w:val="center"/>
          </w:tcPr>
          <w:p w14:paraId="43F23C73" w14:textId="77777777" w:rsidR="00356663" w:rsidRPr="0082529E" w:rsidRDefault="00356663" w:rsidP="00356663">
            <w:pPr>
              <w:spacing w:after="200"/>
              <w:contextualSpacing/>
              <w:jc w:val="center"/>
              <w:rPr>
                <w:color w:val="auto"/>
                <w:sz w:val="19"/>
                <w:szCs w:val="19"/>
              </w:rPr>
            </w:pPr>
            <w:r w:rsidRPr="0082529E">
              <w:rPr>
                <w:color w:val="auto"/>
                <w:sz w:val="19"/>
                <w:szCs w:val="19"/>
              </w:rPr>
              <w:t>Lock 9</w:t>
            </w:r>
          </w:p>
        </w:tc>
        <w:tc>
          <w:tcPr>
            <w:tcW w:w="2494" w:type="dxa"/>
            <w:vAlign w:val="center"/>
          </w:tcPr>
          <w:p w14:paraId="3F05F22D" w14:textId="77777777" w:rsidR="00356663" w:rsidRPr="0082529E" w:rsidRDefault="00356663" w:rsidP="00356663">
            <w:pPr>
              <w:spacing w:after="200"/>
              <w:contextualSpacing/>
              <w:jc w:val="center"/>
              <w:rPr>
                <w:color w:val="auto"/>
                <w:sz w:val="19"/>
                <w:szCs w:val="19"/>
              </w:rPr>
            </w:pPr>
            <w:r>
              <w:rPr>
                <w:color w:val="auto"/>
                <w:sz w:val="19"/>
                <w:szCs w:val="19"/>
              </w:rPr>
              <w:t>3/11/</w:t>
            </w:r>
            <w:r w:rsidRPr="0082529E">
              <w:rPr>
                <w:color w:val="auto"/>
                <w:sz w:val="19"/>
                <w:szCs w:val="19"/>
              </w:rPr>
              <w:t>20–</w:t>
            </w:r>
            <w:r>
              <w:rPr>
                <w:color w:val="auto"/>
                <w:sz w:val="19"/>
                <w:szCs w:val="19"/>
              </w:rPr>
              <w:t>12/1</w:t>
            </w:r>
            <w:r w:rsidRPr="0082529E">
              <w:rPr>
                <w:color w:val="auto"/>
                <w:sz w:val="19"/>
                <w:szCs w:val="19"/>
              </w:rPr>
              <w:t>21</w:t>
            </w:r>
          </w:p>
        </w:tc>
        <w:tc>
          <w:tcPr>
            <w:tcW w:w="2572" w:type="dxa"/>
            <w:vAlign w:val="center"/>
          </w:tcPr>
          <w:p w14:paraId="62287F7D" w14:textId="77777777" w:rsidR="00356663" w:rsidRPr="0082529E" w:rsidRDefault="00356663" w:rsidP="00356663">
            <w:pPr>
              <w:spacing w:after="200"/>
              <w:contextualSpacing/>
              <w:jc w:val="center"/>
              <w:rPr>
                <w:color w:val="auto"/>
                <w:sz w:val="19"/>
                <w:szCs w:val="19"/>
              </w:rPr>
            </w:pPr>
            <w:r>
              <w:rPr>
                <w:color w:val="auto"/>
                <w:sz w:val="19"/>
                <w:szCs w:val="19"/>
              </w:rPr>
              <w:t>6</w:t>
            </w:r>
          </w:p>
        </w:tc>
      </w:tr>
      <w:tr w:rsidR="00356663" w:rsidRPr="0082529E" w14:paraId="3F969952" w14:textId="77777777" w:rsidTr="00356663">
        <w:trPr>
          <w:trHeight w:val="369"/>
        </w:trPr>
        <w:tc>
          <w:tcPr>
            <w:tcW w:w="1818" w:type="dxa"/>
            <w:vAlign w:val="center"/>
          </w:tcPr>
          <w:p w14:paraId="5FA9507F" w14:textId="77777777" w:rsidR="00356663" w:rsidRPr="0082529E" w:rsidRDefault="00356663" w:rsidP="00356663">
            <w:pPr>
              <w:spacing w:after="200"/>
              <w:contextualSpacing/>
              <w:rPr>
                <w:color w:val="auto"/>
                <w:sz w:val="19"/>
                <w:szCs w:val="19"/>
              </w:rPr>
            </w:pPr>
            <w:r w:rsidRPr="0082529E">
              <w:rPr>
                <w:color w:val="auto"/>
                <w:sz w:val="19"/>
                <w:szCs w:val="19"/>
              </w:rPr>
              <w:t>Murray</w:t>
            </w:r>
          </w:p>
        </w:tc>
        <w:tc>
          <w:tcPr>
            <w:tcW w:w="1531" w:type="dxa"/>
            <w:vAlign w:val="center"/>
          </w:tcPr>
          <w:p w14:paraId="7D81FF3C" w14:textId="77777777" w:rsidR="00356663" w:rsidRPr="0082529E" w:rsidRDefault="00356663" w:rsidP="00356663">
            <w:pPr>
              <w:spacing w:after="200"/>
              <w:contextualSpacing/>
              <w:jc w:val="center"/>
              <w:rPr>
                <w:color w:val="auto"/>
                <w:sz w:val="19"/>
                <w:szCs w:val="19"/>
              </w:rPr>
            </w:pPr>
            <w:r w:rsidRPr="0082529E">
              <w:rPr>
                <w:color w:val="auto"/>
                <w:sz w:val="19"/>
                <w:szCs w:val="19"/>
              </w:rPr>
              <w:t>Lock 11</w:t>
            </w:r>
          </w:p>
        </w:tc>
        <w:tc>
          <w:tcPr>
            <w:tcW w:w="2494" w:type="dxa"/>
            <w:vAlign w:val="center"/>
          </w:tcPr>
          <w:p w14:paraId="7F299E99" w14:textId="77777777" w:rsidR="00356663" w:rsidRPr="0082529E" w:rsidRDefault="00356663" w:rsidP="00356663">
            <w:pPr>
              <w:spacing w:after="200"/>
              <w:contextualSpacing/>
              <w:jc w:val="center"/>
              <w:rPr>
                <w:color w:val="auto"/>
                <w:sz w:val="19"/>
                <w:szCs w:val="19"/>
              </w:rPr>
            </w:pPr>
            <w:r>
              <w:rPr>
                <w:color w:val="auto"/>
                <w:sz w:val="19"/>
                <w:szCs w:val="19"/>
              </w:rPr>
              <w:t>6/11</w:t>
            </w:r>
            <w:r w:rsidRPr="0082529E">
              <w:rPr>
                <w:color w:val="auto"/>
                <w:sz w:val="19"/>
                <w:szCs w:val="19"/>
              </w:rPr>
              <w:t>/20–</w:t>
            </w:r>
            <w:r>
              <w:rPr>
                <w:color w:val="auto"/>
                <w:sz w:val="19"/>
                <w:szCs w:val="19"/>
              </w:rPr>
              <w:t>12/1</w:t>
            </w:r>
            <w:r w:rsidRPr="0082529E">
              <w:rPr>
                <w:color w:val="auto"/>
                <w:sz w:val="19"/>
                <w:szCs w:val="19"/>
              </w:rPr>
              <w:t>/21</w:t>
            </w:r>
          </w:p>
        </w:tc>
        <w:tc>
          <w:tcPr>
            <w:tcW w:w="2572" w:type="dxa"/>
            <w:vAlign w:val="center"/>
          </w:tcPr>
          <w:p w14:paraId="7AB652E2" w14:textId="77777777" w:rsidR="00356663" w:rsidRPr="0082529E" w:rsidRDefault="00356663" w:rsidP="00356663">
            <w:pPr>
              <w:spacing w:after="200"/>
              <w:contextualSpacing/>
              <w:jc w:val="center"/>
              <w:rPr>
                <w:color w:val="auto"/>
                <w:sz w:val="19"/>
                <w:szCs w:val="19"/>
              </w:rPr>
            </w:pPr>
            <w:r>
              <w:rPr>
                <w:color w:val="auto"/>
                <w:sz w:val="19"/>
                <w:szCs w:val="19"/>
              </w:rPr>
              <w:t>6</w:t>
            </w:r>
          </w:p>
        </w:tc>
      </w:tr>
      <w:tr w:rsidR="00356663" w:rsidRPr="0082529E" w14:paraId="09327F2C" w14:textId="77777777" w:rsidTr="00356663">
        <w:trPr>
          <w:trHeight w:val="369"/>
        </w:trPr>
        <w:tc>
          <w:tcPr>
            <w:tcW w:w="1818" w:type="dxa"/>
            <w:tcBorders>
              <w:bottom w:val="single" w:sz="4" w:space="0" w:color="auto"/>
            </w:tcBorders>
            <w:vAlign w:val="center"/>
          </w:tcPr>
          <w:p w14:paraId="0F84A3F3" w14:textId="77777777" w:rsidR="00356663" w:rsidRPr="0082529E" w:rsidRDefault="00356663" w:rsidP="00356663">
            <w:pPr>
              <w:spacing w:after="200"/>
              <w:contextualSpacing/>
              <w:rPr>
                <w:color w:val="auto"/>
                <w:sz w:val="19"/>
                <w:szCs w:val="19"/>
              </w:rPr>
            </w:pPr>
            <w:r w:rsidRPr="0082529E">
              <w:rPr>
                <w:color w:val="auto"/>
                <w:sz w:val="19"/>
                <w:szCs w:val="19"/>
              </w:rPr>
              <w:t>Murray</w:t>
            </w:r>
          </w:p>
        </w:tc>
        <w:tc>
          <w:tcPr>
            <w:tcW w:w="1531" w:type="dxa"/>
            <w:tcBorders>
              <w:bottom w:val="single" w:sz="4" w:space="0" w:color="auto"/>
            </w:tcBorders>
            <w:vAlign w:val="center"/>
          </w:tcPr>
          <w:p w14:paraId="6E926DDA" w14:textId="77777777" w:rsidR="00356663" w:rsidRPr="0082529E" w:rsidRDefault="00356663" w:rsidP="00356663">
            <w:pPr>
              <w:spacing w:after="200"/>
              <w:contextualSpacing/>
              <w:jc w:val="center"/>
              <w:rPr>
                <w:color w:val="auto"/>
                <w:sz w:val="19"/>
                <w:szCs w:val="19"/>
              </w:rPr>
            </w:pPr>
            <w:r w:rsidRPr="0082529E">
              <w:rPr>
                <w:color w:val="auto"/>
                <w:sz w:val="19"/>
                <w:szCs w:val="19"/>
              </w:rPr>
              <w:t>Torrumbarry</w:t>
            </w:r>
          </w:p>
        </w:tc>
        <w:tc>
          <w:tcPr>
            <w:tcW w:w="2494" w:type="dxa"/>
            <w:tcBorders>
              <w:bottom w:val="single" w:sz="4" w:space="0" w:color="auto"/>
            </w:tcBorders>
            <w:vAlign w:val="center"/>
          </w:tcPr>
          <w:p w14:paraId="028D3677" w14:textId="77777777" w:rsidR="00356663" w:rsidRPr="0082529E" w:rsidRDefault="00356663" w:rsidP="00356663">
            <w:pPr>
              <w:spacing w:after="200"/>
              <w:contextualSpacing/>
              <w:jc w:val="center"/>
              <w:rPr>
                <w:color w:val="auto"/>
                <w:sz w:val="19"/>
                <w:szCs w:val="19"/>
              </w:rPr>
            </w:pPr>
            <w:r>
              <w:rPr>
                <w:color w:val="auto"/>
                <w:sz w:val="19"/>
                <w:szCs w:val="19"/>
              </w:rPr>
              <w:t>2/11/</w:t>
            </w:r>
            <w:r w:rsidRPr="0082529E">
              <w:rPr>
                <w:color w:val="auto"/>
                <w:sz w:val="19"/>
                <w:szCs w:val="19"/>
              </w:rPr>
              <w:t>20–</w:t>
            </w:r>
            <w:r>
              <w:rPr>
                <w:color w:val="auto"/>
                <w:sz w:val="19"/>
                <w:szCs w:val="19"/>
              </w:rPr>
              <w:t>11/1</w:t>
            </w:r>
            <w:r w:rsidRPr="0082529E">
              <w:rPr>
                <w:color w:val="auto"/>
                <w:sz w:val="19"/>
                <w:szCs w:val="19"/>
              </w:rPr>
              <w:t>/21</w:t>
            </w:r>
          </w:p>
        </w:tc>
        <w:tc>
          <w:tcPr>
            <w:tcW w:w="2572" w:type="dxa"/>
            <w:tcBorders>
              <w:bottom w:val="single" w:sz="4" w:space="0" w:color="auto"/>
            </w:tcBorders>
            <w:vAlign w:val="center"/>
          </w:tcPr>
          <w:p w14:paraId="7E6F26DA" w14:textId="77777777" w:rsidR="00356663" w:rsidRPr="0082529E" w:rsidRDefault="00356663" w:rsidP="00356663">
            <w:pPr>
              <w:spacing w:after="200"/>
              <w:contextualSpacing/>
              <w:jc w:val="center"/>
              <w:rPr>
                <w:color w:val="auto"/>
                <w:sz w:val="19"/>
                <w:szCs w:val="19"/>
              </w:rPr>
            </w:pPr>
            <w:r>
              <w:rPr>
                <w:color w:val="auto"/>
                <w:sz w:val="19"/>
                <w:szCs w:val="19"/>
              </w:rPr>
              <w:t>6</w:t>
            </w:r>
          </w:p>
        </w:tc>
      </w:tr>
    </w:tbl>
    <w:p w14:paraId="71457CD8" w14:textId="77777777" w:rsidR="00356663" w:rsidRPr="0082529E" w:rsidRDefault="00356663" w:rsidP="00356663">
      <w:pPr>
        <w:rPr>
          <w:i/>
          <w:color w:val="auto"/>
          <w:u w:val="single"/>
        </w:rPr>
      </w:pPr>
    </w:p>
    <w:p w14:paraId="11D35DB6" w14:textId="77777777" w:rsidR="00356663" w:rsidRPr="0082529E" w:rsidRDefault="00356663" w:rsidP="00356663">
      <w:pPr>
        <w:spacing w:before="0" w:after="200"/>
        <w:jc w:val="left"/>
        <w:rPr>
          <w:i/>
          <w:color w:val="auto"/>
          <w:u w:val="single"/>
        </w:rPr>
      </w:pPr>
      <w:r w:rsidRPr="0082529E">
        <w:rPr>
          <w:i/>
          <w:color w:val="auto"/>
          <w:u w:val="single"/>
        </w:rPr>
        <w:t>Sampling eggs and larvae</w:t>
      </w:r>
    </w:p>
    <w:p w14:paraId="74BED0AD" w14:textId="311A46C8" w:rsidR="00356663" w:rsidRPr="0082529E" w:rsidRDefault="0036455F" w:rsidP="00356663">
      <w:pPr>
        <w:rPr>
          <w:color w:val="auto"/>
          <w:highlight w:val="yellow"/>
        </w:rPr>
      </w:pPr>
      <w:r>
        <w:rPr>
          <w:color w:val="auto"/>
        </w:rPr>
        <w:t>In the LMR, l</w:t>
      </w:r>
      <w:r w:rsidR="00356663" w:rsidRPr="0082529E">
        <w:rPr>
          <w:color w:val="auto"/>
        </w:rPr>
        <w:t xml:space="preserve">arval fish sampling was conducted approximately fortnightly between 9 November 2020 and 20 January 2021. Weekly sampling, however, was undertaken between 24 November and 23 December 2020 to </w:t>
      </w:r>
      <w:r w:rsidR="00356663">
        <w:rPr>
          <w:color w:val="auto"/>
        </w:rPr>
        <w:t>coincide with the</w:t>
      </w:r>
      <w:r w:rsidR="00356663" w:rsidRPr="0082529E">
        <w:rPr>
          <w:color w:val="auto"/>
        </w:rPr>
        <w:t xml:space="preserve"> ascending and descending limbs of the flow pulse</w:t>
      </w:r>
      <w:r w:rsidR="00F66447">
        <w:rPr>
          <w:color w:val="auto"/>
        </w:rPr>
        <w:t xml:space="preserve"> (</w:t>
      </w:r>
      <w:r w:rsidR="00F66447">
        <w:rPr>
          <w:color w:val="auto"/>
        </w:rPr>
        <w:fldChar w:fldCharType="begin"/>
      </w:r>
      <w:r w:rsidR="00F66447">
        <w:rPr>
          <w:color w:val="auto"/>
        </w:rPr>
        <w:instrText xml:space="preserve"> REF _Ref469926522 \h </w:instrText>
      </w:r>
      <w:r w:rsidR="00F66447">
        <w:rPr>
          <w:color w:val="auto"/>
        </w:rPr>
      </w:r>
      <w:r w:rsidR="00F66447">
        <w:rPr>
          <w:color w:val="auto"/>
        </w:rPr>
        <w:fldChar w:fldCharType="separate"/>
      </w:r>
      <w:r w:rsidR="003C13F6">
        <w:t xml:space="preserve">Figure </w:t>
      </w:r>
      <w:r w:rsidR="003C13F6">
        <w:rPr>
          <w:noProof/>
        </w:rPr>
        <w:t>1</w:t>
      </w:r>
      <w:r w:rsidR="00F66447">
        <w:rPr>
          <w:color w:val="auto"/>
        </w:rPr>
        <w:fldChar w:fldCharType="end"/>
      </w:r>
      <w:r w:rsidR="00F66447">
        <w:rPr>
          <w:color w:val="auto"/>
        </w:rPr>
        <w:t>)</w:t>
      </w:r>
      <w:r w:rsidR="00356663" w:rsidRPr="0082529E">
        <w:rPr>
          <w:color w:val="auto"/>
        </w:rPr>
        <w:t>. Sampling was undertaken at three sites, located 5–15</w:t>
      </w:r>
      <w:r w:rsidR="00356663">
        <w:rPr>
          <w:color w:val="auto"/>
        </w:rPr>
        <w:t> </w:t>
      </w:r>
      <w:r w:rsidR="00356663" w:rsidRPr="0082529E">
        <w:rPr>
          <w:color w:val="auto"/>
        </w:rPr>
        <w:t>km downstream of Locks 1, 4 and 6, respectively (</w:t>
      </w:r>
      <w:r w:rsidR="00356663" w:rsidRPr="0082529E">
        <w:rPr>
          <w:color w:val="auto"/>
        </w:rPr>
        <w:fldChar w:fldCharType="begin"/>
      </w:r>
      <w:r w:rsidR="00356663" w:rsidRPr="0082529E">
        <w:rPr>
          <w:color w:val="auto"/>
        </w:rPr>
        <w:instrText xml:space="preserve"> REF _Ref469926522 \h  \* MERGEFORMAT </w:instrText>
      </w:r>
      <w:r w:rsidR="00356663" w:rsidRPr="0082529E">
        <w:rPr>
          <w:color w:val="auto"/>
        </w:rPr>
      </w:r>
      <w:r w:rsidR="00356663" w:rsidRPr="0082529E">
        <w:rPr>
          <w:color w:val="auto"/>
        </w:rPr>
        <w:fldChar w:fldCharType="separate"/>
      </w:r>
      <w:r w:rsidR="003C13F6" w:rsidRPr="003C13F6">
        <w:rPr>
          <w:color w:val="auto"/>
        </w:rPr>
        <w:t xml:space="preserve">Figure </w:t>
      </w:r>
      <w:r w:rsidR="003C13F6" w:rsidRPr="003C13F6">
        <w:rPr>
          <w:noProof/>
          <w:color w:val="auto"/>
        </w:rPr>
        <w:t>1</w:t>
      </w:r>
      <w:r w:rsidR="00356663" w:rsidRPr="0082529E">
        <w:rPr>
          <w:color w:val="auto"/>
        </w:rPr>
        <w:fldChar w:fldCharType="end"/>
      </w:r>
      <w:r w:rsidR="00356663" w:rsidRPr="0082529E">
        <w:rPr>
          <w:color w:val="auto"/>
        </w:rPr>
        <w:t>). At each site, four day-time plankton tows were conducted using a pair of square-framed bongo nets with 500 µm mesh; each net was 0.5 x 0.5 m and 3 m long. The volume of water (m</w:t>
      </w:r>
      <w:r w:rsidR="00356663" w:rsidRPr="00F66447">
        <w:rPr>
          <w:color w:val="auto"/>
          <w:vertAlign w:val="superscript"/>
        </w:rPr>
        <w:t>3</w:t>
      </w:r>
      <w:r w:rsidR="00356663" w:rsidRPr="0082529E">
        <w:rPr>
          <w:color w:val="auto"/>
        </w:rPr>
        <w:t xml:space="preserve">) filtered through each net was determined using a calibrated flow meter (General Oceanics™, model 2030R) placed in the centre of the mouth openings.  Samples were preserved (70–95% ethanol) in the field and returned to the laboratory for processing. Samples were sorted using a dissecting microscope. Larvae and eggs were identified, and where possible, classified as pre-flexion (i.e. early stage larvae with notochord predominately straight) or post-flexion (i.e. the start of upward flexion of the notochord and appearance of fin rays and fin fold) following Serafini and Humphries (2004). </w:t>
      </w:r>
      <w:bookmarkStart w:id="274" w:name="_Hlk95384741"/>
      <w:r w:rsidR="00E7540C" w:rsidRPr="00E7540C">
        <w:rPr>
          <w:color w:val="auto"/>
        </w:rPr>
        <w:t>We could not visually differentiate golden perch eggs from silver perch eggs. When eggs were present, golden perch and silver perch eggs were differentiated using DNA sequencing of a ~680 bp region of the cytochrome c oxidase subunit 1 mitochondrial gene (</w:t>
      </w:r>
      <w:r w:rsidR="00E7540C" w:rsidRPr="00E7540C">
        <w:rPr>
          <w:i/>
          <w:iCs/>
          <w:color w:val="auto"/>
        </w:rPr>
        <w:t>COI</w:t>
      </w:r>
      <w:r w:rsidR="00E7540C" w:rsidRPr="00E7540C">
        <w:rPr>
          <w:color w:val="auto"/>
        </w:rPr>
        <w:t xml:space="preserve">). DNA extraction, PCR and gel electrophoresis steps were performed by the SARDI Molecular Sciences Laboratory, with positive amplicons submitted to </w:t>
      </w:r>
      <w:r>
        <w:rPr>
          <w:color w:val="auto"/>
        </w:rPr>
        <w:t>Australian Genome Research Facility (</w:t>
      </w:r>
      <w:r w:rsidR="00E7540C" w:rsidRPr="00E7540C">
        <w:rPr>
          <w:color w:val="auto"/>
        </w:rPr>
        <w:t>AGRF</w:t>
      </w:r>
      <w:r>
        <w:rPr>
          <w:color w:val="auto"/>
        </w:rPr>
        <w:t>)</w:t>
      </w:r>
      <w:r w:rsidR="00E7540C" w:rsidRPr="00E7540C">
        <w:rPr>
          <w:color w:val="auto"/>
        </w:rPr>
        <w:t xml:space="preserve"> for Sanger sequencing in the forward and reverse direction.</w:t>
      </w:r>
    </w:p>
    <w:bookmarkEnd w:id="274"/>
    <w:p w14:paraId="57587A94" w14:textId="77777777" w:rsidR="00356663" w:rsidRPr="0082529E" w:rsidRDefault="00356663" w:rsidP="00356663">
      <w:pPr>
        <w:rPr>
          <w:i/>
          <w:color w:val="auto"/>
          <w:u w:val="single"/>
        </w:rPr>
      </w:pPr>
      <w:r w:rsidRPr="0082529E">
        <w:rPr>
          <w:i/>
          <w:color w:val="auto"/>
          <w:u w:val="single"/>
        </w:rPr>
        <w:t>Sampling YOY and population age structure</w:t>
      </w:r>
    </w:p>
    <w:p w14:paraId="786351CF" w14:textId="626D13A5" w:rsidR="00356663" w:rsidRPr="0082529E" w:rsidRDefault="00356663" w:rsidP="00356663">
      <w:pPr>
        <w:rPr>
          <w:color w:val="auto"/>
        </w:rPr>
      </w:pPr>
      <w:r w:rsidRPr="0082529E">
        <w:rPr>
          <w:color w:val="auto"/>
        </w:rPr>
        <w:t xml:space="preserve">Annual sampling was undertaken in May 2021 to complement Category 1 Fish Assemblage sampling and to maximise the likelihood of collecting YOY </w:t>
      </w:r>
      <w:bookmarkStart w:id="275" w:name="_Toc396249016"/>
      <w:r w:rsidRPr="0082529E">
        <w:rPr>
          <w:color w:val="auto"/>
        </w:rPr>
        <w:t>from the previous spring–summer spawning season. Adult and juvenile golden perch were sampled using a 7.5 kW Smith Root (Model GPP 7.5) boat electrofishing unit at a total of 14 sites in the LMR (</w:t>
      </w:r>
      <w:r w:rsidRPr="0082529E">
        <w:rPr>
          <w:color w:val="auto"/>
        </w:rPr>
        <w:fldChar w:fldCharType="begin"/>
      </w:r>
      <w:r w:rsidRPr="0082529E">
        <w:rPr>
          <w:color w:val="auto"/>
        </w:rPr>
        <w:instrText xml:space="preserve"> REF _Ref469926522 \h </w:instrText>
      </w:r>
      <w:r w:rsidRPr="0082529E">
        <w:rPr>
          <w:color w:val="auto"/>
        </w:rPr>
      </w:r>
      <w:r w:rsidRPr="0082529E">
        <w:rPr>
          <w:color w:val="auto"/>
        </w:rPr>
        <w:fldChar w:fldCharType="separate"/>
      </w:r>
      <w:r w:rsidR="003C13F6">
        <w:t xml:space="preserve">Figure </w:t>
      </w:r>
      <w:r w:rsidR="003C13F6">
        <w:rPr>
          <w:noProof/>
        </w:rPr>
        <w:t>1</w:t>
      </w:r>
      <w:r w:rsidRPr="0082529E">
        <w:rPr>
          <w:color w:val="auto"/>
        </w:rPr>
        <w:fldChar w:fldCharType="end"/>
      </w:r>
      <w:r w:rsidRPr="0082529E">
        <w:rPr>
          <w:color w:val="auto"/>
        </w:rPr>
        <w:t xml:space="preserve">). Electrofishing was conducted during daylight hours and all available littoral habitats were surveyed. At each site, the total time during which electrical current was applied (on-time effort) ranged from approximately 573 to 2,880 seconds. All individuals were measured to the nearest mm (total length, TL) and a </w:t>
      </w:r>
      <w:bookmarkEnd w:id="275"/>
      <w:r w:rsidRPr="0082529E">
        <w:rPr>
          <w:color w:val="auto"/>
        </w:rPr>
        <w:t xml:space="preserve">sub-sample of golden perch proportionally representing the length-frequency of golden perch collected was retained for </w:t>
      </w:r>
      <w:r w:rsidRPr="00112980">
        <w:rPr>
          <w:color w:val="auto"/>
        </w:rPr>
        <w:t>ageing. In 2021, all silver perch captured (</w:t>
      </w:r>
      <w:r w:rsidRPr="00112980">
        <w:rPr>
          <w:i/>
          <w:iCs/>
          <w:color w:val="auto"/>
        </w:rPr>
        <w:t>n</w:t>
      </w:r>
      <w:r w:rsidRPr="00112980">
        <w:rPr>
          <w:color w:val="auto"/>
        </w:rPr>
        <w:t xml:space="preserve"> = 4) were retained for ageing.</w:t>
      </w:r>
    </w:p>
    <w:p w14:paraId="15466E6F" w14:textId="77777777" w:rsidR="00356663" w:rsidRDefault="00356663" w:rsidP="00356663">
      <w:pPr>
        <w:spacing w:before="0" w:after="200"/>
        <w:jc w:val="left"/>
        <w:rPr>
          <w:i/>
          <w:color w:val="auto"/>
          <w:u w:val="single"/>
        </w:rPr>
      </w:pPr>
    </w:p>
    <w:p w14:paraId="4A075218" w14:textId="77777777" w:rsidR="00356663" w:rsidRDefault="00356663" w:rsidP="00356663">
      <w:pPr>
        <w:spacing w:before="0" w:after="200"/>
        <w:jc w:val="left"/>
        <w:rPr>
          <w:i/>
          <w:color w:val="auto"/>
          <w:u w:val="single"/>
        </w:rPr>
      </w:pPr>
    </w:p>
    <w:p w14:paraId="15E53E49" w14:textId="77777777" w:rsidR="00356663" w:rsidRPr="0082529E" w:rsidRDefault="00356663" w:rsidP="00356663">
      <w:pPr>
        <w:spacing w:before="0" w:after="200"/>
        <w:jc w:val="left"/>
        <w:rPr>
          <w:i/>
          <w:color w:val="auto"/>
          <w:u w:val="single"/>
        </w:rPr>
      </w:pPr>
      <w:r w:rsidRPr="0082529E">
        <w:rPr>
          <w:i/>
          <w:color w:val="auto"/>
          <w:u w:val="single"/>
        </w:rPr>
        <w:t>Abundance</w:t>
      </w:r>
    </w:p>
    <w:p w14:paraId="169328A6" w14:textId="0C19851C" w:rsidR="00356663" w:rsidRPr="0082529E" w:rsidRDefault="00356663" w:rsidP="00356663">
      <w:pPr>
        <w:rPr>
          <w:rFonts w:eastAsiaTheme="majorEastAsia"/>
          <w:color w:val="auto"/>
        </w:rPr>
      </w:pPr>
      <w:r w:rsidRPr="0082529E">
        <w:rPr>
          <w:color w:val="auto"/>
        </w:rPr>
        <w:t xml:space="preserve">Temporal variability in the relative abundance of golden perch was investigated by assessing changes in Category 1 electrofishing catch-per-unit-effort (CPUE) data (See Section </w:t>
      </w:r>
      <w:r w:rsidRPr="0082529E">
        <w:rPr>
          <w:color w:val="auto"/>
        </w:rPr>
        <w:fldChar w:fldCharType="begin"/>
      </w:r>
      <w:r w:rsidRPr="0082529E">
        <w:rPr>
          <w:color w:val="auto"/>
        </w:rPr>
        <w:instrText xml:space="preserve"> REF _Ref56693925 \r \h </w:instrText>
      </w:r>
      <w:r w:rsidRPr="0082529E">
        <w:rPr>
          <w:color w:val="auto"/>
        </w:rPr>
      </w:r>
      <w:r w:rsidRPr="0082529E">
        <w:rPr>
          <w:color w:val="auto"/>
        </w:rPr>
        <w:fldChar w:fldCharType="separate"/>
      </w:r>
      <w:r w:rsidR="003C13F6">
        <w:rPr>
          <w:color w:val="auto"/>
        </w:rPr>
        <w:t>2.8</w:t>
      </w:r>
      <w:r w:rsidRPr="0082529E">
        <w:rPr>
          <w:color w:val="auto"/>
        </w:rPr>
        <w:fldChar w:fldCharType="end"/>
      </w:r>
      <w:r w:rsidRPr="0082529E">
        <w:rPr>
          <w:color w:val="auto"/>
        </w:rPr>
        <w:t xml:space="preserve">, Fish Assemblage). Differences in the relative abundance (individuals per 90 seconds of electrofishing on-time effort) between years were analysed using univariate single-factor PERMANOVA (permutational ANOVA and MANOVA) in the software package PRIMER v. 6.1.12 and PERMANOVA+ (Anderson </w:t>
      </w:r>
      <w:r w:rsidRPr="0082529E">
        <w:rPr>
          <w:i/>
          <w:color w:val="auto"/>
        </w:rPr>
        <w:t xml:space="preserve">et al. </w:t>
      </w:r>
      <w:r w:rsidRPr="0082529E">
        <w:rPr>
          <w:color w:val="auto"/>
        </w:rPr>
        <w:t xml:space="preserve">2008). These analyses were performed on untransformed, standardised relative abundance data. </w:t>
      </w:r>
    </w:p>
    <w:p w14:paraId="268B2FA3" w14:textId="77777777" w:rsidR="00356663" w:rsidRPr="0082529E" w:rsidRDefault="00356663" w:rsidP="00356663">
      <w:pPr>
        <w:spacing w:before="0" w:after="200"/>
        <w:jc w:val="left"/>
        <w:rPr>
          <w:i/>
          <w:color w:val="auto"/>
          <w:u w:val="single"/>
        </w:rPr>
      </w:pPr>
      <w:bookmarkStart w:id="276" w:name="_Hlk88731447"/>
      <w:bookmarkStart w:id="277" w:name="_Hlk88731721"/>
      <w:r w:rsidRPr="0082529E">
        <w:rPr>
          <w:i/>
          <w:color w:val="auto"/>
          <w:u w:val="single"/>
        </w:rPr>
        <w:t>Ageing</w:t>
      </w:r>
    </w:p>
    <w:p w14:paraId="44AF570F" w14:textId="1573ACA0" w:rsidR="00356663" w:rsidRDefault="00356663" w:rsidP="00356663">
      <w:pPr>
        <w:rPr>
          <w:color w:val="auto"/>
        </w:rPr>
      </w:pPr>
      <w:r>
        <w:t>G</w:t>
      </w:r>
      <w:r w:rsidRPr="000C3827">
        <w:t xml:space="preserve">olden perch </w:t>
      </w:r>
      <w:r>
        <w:t xml:space="preserve">and silver perch larvae </w:t>
      </w:r>
      <w:r w:rsidRPr="000C3827">
        <w:t xml:space="preserve">were measured </w:t>
      </w:r>
      <w:r>
        <w:t xml:space="preserve">for TL </w:t>
      </w:r>
      <w:r w:rsidRPr="000C3827">
        <w:t xml:space="preserve">to the nearest millimetre and sagittal otoliths were </w:t>
      </w:r>
      <w:r w:rsidRPr="00A434F2">
        <w:t xml:space="preserve">removed.  To estimate the spawn date of larval and YOY </w:t>
      </w:r>
      <w:r w:rsidR="0036455F">
        <w:t>fish</w:t>
      </w:r>
      <w:r w:rsidRPr="00A434F2">
        <w:t>, daily increments in otolith microstructure were examined. Otoliths were mounted individually in Crystalbond</w:t>
      </w:r>
      <w:r w:rsidRPr="00A434F2">
        <w:rPr>
          <w:vertAlign w:val="superscript"/>
        </w:rPr>
        <w:t>TM</w:t>
      </w:r>
      <w:r w:rsidRPr="00A434F2">
        <w:t xml:space="preserve">, proximal surface downwards, and polished down to the primordium using a graded series of wetted lapping films (9, 5, and 3 μm). Sections were then polished using 0.3 µm alumina slurry to a thickness of 50–100 µm. Sections were examined using a compound microscope (x </w:t>
      </w:r>
      <w:r>
        <w:t>200</w:t>
      </w:r>
      <w:r w:rsidRPr="00A434F2">
        <w:t xml:space="preserve">) fitted with a digital camera and </w:t>
      </w:r>
      <w:r>
        <w:t xml:space="preserve">Olympus Stream </w:t>
      </w:r>
      <w:r w:rsidRPr="00A434F2">
        <w:t xml:space="preserve">image analysis software (version </w:t>
      </w:r>
      <w:r>
        <w:t>2.3</w:t>
      </w:r>
      <w:r w:rsidRPr="00A434F2">
        <w:t>). Estimates of age were determined by counting the number of increments from the primordium to the otolith edge (</w:t>
      </w:r>
      <w:r w:rsidR="00396BE9">
        <w:t>Zampatti and Leigh 2013b</w:t>
      </w:r>
      <w:r w:rsidRPr="00A434F2">
        <w:t>).</w:t>
      </w:r>
    </w:p>
    <w:p w14:paraId="15ABA1EF" w14:textId="77777777" w:rsidR="00356663" w:rsidRPr="0082529E" w:rsidRDefault="00356663" w:rsidP="00356663">
      <w:pPr>
        <w:rPr>
          <w:color w:val="auto"/>
        </w:rPr>
      </w:pPr>
      <w:r w:rsidRPr="0082529E">
        <w:rPr>
          <w:color w:val="auto"/>
        </w:rPr>
        <w:t xml:space="preserve">We used age-frequency distributions to assess the age structure and year-class strength of golden perch. </w:t>
      </w:r>
      <w:bookmarkStart w:id="278" w:name="_Hlk57382715"/>
      <w:r w:rsidRPr="0082529E">
        <w:rPr>
          <w:color w:val="auto"/>
        </w:rPr>
        <w:t>Golden perch</w:t>
      </w:r>
      <w:r>
        <w:rPr>
          <w:color w:val="auto"/>
        </w:rPr>
        <w:t xml:space="preserve"> and silver perch</w:t>
      </w:r>
      <w:r w:rsidRPr="0082529E">
        <w:rPr>
          <w:color w:val="auto"/>
        </w:rPr>
        <w:t xml:space="preserve"> retained for ageing were euthanised and sagittal otoliths were removed. Whole otoliths were embedded in clear casting resin and a single 400 to 600 </w:t>
      </w:r>
      <w:r w:rsidRPr="0082529E">
        <w:rPr>
          <w:color w:val="auto"/>
        </w:rPr>
        <w:sym w:font="Symbol" w:char="F06D"/>
      </w:r>
      <w:r w:rsidRPr="0082529E">
        <w:rPr>
          <w:color w:val="auto"/>
        </w:rPr>
        <w:t>m transverse section was prepared. Sections were examined using a dissecting microscope (x25)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bookmarkEnd w:id="278"/>
    </w:p>
    <w:p w14:paraId="74700C3D" w14:textId="77777777" w:rsidR="00356663" w:rsidRPr="0082529E" w:rsidRDefault="00356663" w:rsidP="00356663">
      <w:pPr>
        <w:rPr>
          <w:i/>
          <w:color w:val="auto"/>
          <w:u w:val="single"/>
        </w:rPr>
      </w:pPr>
      <w:r w:rsidRPr="0082529E">
        <w:rPr>
          <w:i/>
          <w:color w:val="auto"/>
          <w:u w:val="single"/>
        </w:rPr>
        <w:t xml:space="preserve">Otolith </w:t>
      </w:r>
      <w:r w:rsidRPr="0082529E">
        <w:rPr>
          <w:i/>
          <w:color w:val="auto"/>
          <w:u w:val="single"/>
          <w:vertAlign w:val="superscript"/>
        </w:rPr>
        <w:t>87</w:t>
      </w:r>
      <w:r w:rsidRPr="0082529E">
        <w:rPr>
          <w:i/>
          <w:color w:val="auto"/>
          <w:u w:val="single"/>
        </w:rPr>
        <w:t>Sr/</w:t>
      </w:r>
      <w:r w:rsidRPr="0082529E">
        <w:rPr>
          <w:i/>
          <w:color w:val="auto"/>
          <w:u w:val="single"/>
          <w:vertAlign w:val="superscript"/>
        </w:rPr>
        <w:t>86</w:t>
      </w:r>
      <w:r w:rsidRPr="0082529E">
        <w:rPr>
          <w:i/>
          <w:color w:val="auto"/>
          <w:u w:val="single"/>
        </w:rPr>
        <w:t xml:space="preserve">Sr analysis </w:t>
      </w:r>
    </w:p>
    <w:p w14:paraId="099265C4" w14:textId="66593716" w:rsidR="00356663" w:rsidRPr="0082529E" w:rsidRDefault="00356663" w:rsidP="00356663">
      <w:pPr>
        <w:rPr>
          <w:color w:val="auto"/>
        </w:rPr>
      </w:pPr>
      <w:r w:rsidRPr="002115FF">
        <w:rPr>
          <w:iCs/>
          <w:color w:val="auto"/>
        </w:rPr>
        <w:t>Sagittal otoliths</w:t>
      </w:r>
      <w:r>
        <w:rPr>
          <w:iCs/>
          <w:color w:val="auto"/>
        </w:rPr>
        <w:t xml:space="preserve"> were</w:t>
      </w:r>
      <w:r w:rsidRPr="00D03900">
        <w:rPr>
          <w:iCs/>
          <w:color w:val="auto"/>
        </w:rPr>
        <w:t xml:space="preserve"> transferred to </w:t>
      </w:r>
      <w:r>
        <w:rPr>
          <w:iCs/>
          <w:color w:val="auto"/>
        </w:rPr>
        <w:t>a</w:t>
      </w:r>
      <w:r w:rsidRPr="00D03900">
        <w:rPr>
          <w:iCs/>
          <w:color w:val="auto"/>
        </w:rPr>
        <w:t xml:space="preserve"> master slide and fixed onto a thin smear of clear casting resin aligned in rows and allowed to set overnight before being placed in a drying oven at 500</w:t>
      </w:r>
      <w:r>
        <w:rPr>
          <w:iCs/>
          <w:color w:val="auto"/>
        </w:rPr>
        <w:t xml:space="preserve"> °</w:t>
      </w:r>
      <w:r w:rsidRPr="00D03900">
        <w:rPr>
          <w:iCs/>
          <w:color w:val="auto"/>
        </w:rPr>
        <w:t xml:space="preserve">C for 4 hours and then sonicated in Milli-Q water. Individual locations of each otolith </w:t>
      </w:r>
      <w:r>
        <w:rPr>
          <w:iCs/>
          <w:color w:val="auto"/>
        </w:rPr>
        <w:t>were</w:t>
      </w:r>
      <w:r w:rsidRPr="00D03900">
        <w:rPr>
          <w:iCs/>
          <w:color w:val="auto"/>
        </w:rPr>
        <w:t xml:space="preserve"> recorded on a slide map along with preferred ablation path for each otolith</w:t>
      </w:r>
      <w:r>
        <w:rPr>
          <w:iCs/>
          <w:color w:val="auto"/>
        </w:rPr>
        <w:t>.</w:t>
      </w:r>
      <w:r>
        <w:rPr>
          <w:i/>
          <w:color w:val="auto"/>
        </w:rPr>
        <w:t xml:space="preserve"> </w:t>
      </w:r>
      <w:r w:rsidRPr="0082529E">
        <w:rPr>
          <w:i/>
          <w:color w:val="auto"/>
        </w:rPr>
        <w:t>In situ</w:t>
      </w:r>
      <w:r w:rsidRPr="0082529E">
        <w:rPr>
          <w:color w:val="auto"/>
        </w:rPr>
        <w:t xml:space="preserve"> microsampling analysis of </w:t>
      </w:r>
      <w:r w:rsidRPr="0082529E">
        <w:rPr>
          <w:color w:val="auto"/>
          <w:vertAlign w:val="superscript"/>
        </w:rPr>
        <w:t>87</w:t>
      </w:r>
      <w:r w:rsidRPr="0082529E">
        <w:rPr>
          <w:color w:val="auto"/>
        </w:rPr>
        <w:t>Sr/</w:t>
      </w:r>
      <w:r w:rsidRPr="0082529E">
        <w:rPr>
          <w:color w:val="auto"/>
          <w:vertAlign w:val="superscript"/>
        </w:rPr>
        <w:t>86</w:t>
      </w:r>
      <w:r w:rsidRPr="0082529E">
        <w:rPr>
          <w:color w:val="auto"/>
        </w:rPr>
        <w:t xml:space="preserve">Sr in the otoliths of larval and juvenile golden perch and silver perch was achieved by laser ablation – inductively coupled plasma mass spectrometry (LA-MC-ICPMS). </w:t>
      </w:r>
      <w:r>
        <w:t xml:space="preserve">The laser ablation and mass spectrometry procedure is described in full in Zampatti  </w:t>
      </w:r>
      <w:r w:rsidRPr="006C7420">
        <w:rPr>
          <w:i/>
        </w:rPr>
        <w:t>et al.</w:t>
      </w:r>
      <w:r>
        <w:t xml:space="preserve"> (2021). </w:t>
      </w:r>
      <w:r w:rsidRPr="0082529E">
        <w:rPr>
          <w:color w:val="auto"/>
        </w:rPr>
        <w:t xml:space="preserve">To investigate the natal origin and migration history of new recruits (larvae and YOY) and prominent cohorts of golden perch and silver perch in the LMR, </w:t>
      </w:r>
      <w:r w:rsidR="004F78DB" w:rsidRPr="004F78DB">
        <w:t>whose origins had not previously been determined</w:t>
      </w:r>
      <w:r w:rsidR="004F78DB">
        <w:t>,</w:t>
      </w:r>
      <w:r w:rsidR="004F78DB" w:rsidRPr="0082529E">
        <w:rPr>
          <w:color w:val="auto"/>
        </w:rPr>
        <w:t xml:space="preserve"> </w:t>
      </w:r>
      <w:r w:rsidRPr="0082529E">
        <w:rPr>
          <w:color w:val="auto"/>
        </w:rPr>
        <w:t xml:space="preserve">we analysed </w:t>
      </w:r>
      <w:r w:rsidRPr="0082529E">
        <w:rPr>
          <w:color w:val="auto"/>
          <w:vertAlign w:val="superscript"/>
        </w:rPr>
        <w:t>87</w:t>
      </w:r>
      <w:r w:rsidRPr="0082529E">
        <w:rPr>
          <w:color w:val="auto"/>
        </w:rPr>
        <w:t>Sr/</w:t>
      </w:r>
      <w:r w:rsidRPr="0082529E">
        <w:rPr>
          <w:color w:val="auto"/>
          <w:vertAlign w:val="superscript"/>
        </w:rPr>
        <w:t>86</w:t>
      </w:r>
      <w:r w:rsidRPr="0082529E">
        <w:rPr>
          <w:color w:val="auto"/>
        </w:rPr>
        <w:t xml:space="preserve">Sr from the otolith core to edge in a subsample of fish. We compared these transects to water </w:t>
      </w:r>
      <w:r w:rsidRPr="0082529E">
        <w:rPr>
          <w:color w:val="auto"/>
          <w:vertAlign w:val="superscript"/>
        </w:rPr>
        <w:t>87</w:t>
      </w:r>
      <w:r w:rsidRPr="0082529E">
        <w:rPr>
          <w:color w:val="auto"/>
        </w:rPr>
        <w:t>Sr/</w:t>
      </w:r>
      <w:r w:rsidRPr="0082529E">
        <w:rPr>
          <w:color w:val="auto"/>
          <w:vertAlign w:val="superscript"/>
        </w:rPr>
        <w:t>86</w:t>
      </w:r>
      <w:r w:rsidRPr="0082529E">
        <w:rPr>
          <w:color w:val="auto"/>
        </w:rPr>
        <w:t>Sr measured at sites across the southern MDB during 2020-21 and from 2011–2019</w:t>
      </w:r>
      <w:r w:rsidR="00396BE9">
        <w:rPr>
          <w:color w:val="auto"/>
        </w:rPr>
        <w:t xml:space="preserve"> (presented in Ye </w:t>
      </w:r>
      <w:r w:rsidR="00396BE9" w:rsidRPr="00396BE9">
        <w:rPr>
          <w:i/>
          <w:iCs/>
          <w:color w:val="auto"/>
        </w:rPr>
        <w:t>et al.</w:t>
      </w:r>
      <w:r w:rsidR="00396BE9">
        <w:rPr>
          <w:color w:val="auto"/>
        </w:rPr>
        <w:t xml:space="preserve"> 2020</w:t>
      </w:r>
      <w:r w:rsidR="0036505B">
        <w:rPr>
          <w:color w:val="auto"/>
        </w:rPr>
        <w:t>a</w:t>
      </w:r>
      <w:r w:rsidRPr="0082529E">
        <w:rPr>
          <w:color w:val="auto"/>
        </w:rPr>
        <w:t>).</w:t>
      </w:r>
      <w:bookmarkEnd w:id="276"/>
      <w:r w:rsidR="004F78DB">
        <w:rPr>
          <w:color w:val="auto"/>
        </w:rPr>
        <w:t xml:space="preserve"> </w:t>
      </w:r>
      <w:r w:rsidR="004F78DB">
        <w:t>The origins of other</w:t>
      </w:r>
      <w:r w:rsidR="004F78DB" w:rsidRPr="004F78DB">
        <w:t xml:space="preserve"> </w:t>
      </w:r>
      <w:r w:rsidR="004F78DB">
        <w:t xml:space="preserve">prominent </w:t>
      </w:r>
      <w:r w:rsidR="004F78DB" w:rsidRPr="004F78DB">
        <w:t xml:space="preserve">cohorts have been </w:t>
      </w:r>
      <w:r w:rsidR="004F78DB">
        <w:t xml:space="preserve">presented in Ye </w:t>
      </w:r>
      <w:r w:rsidR="004F78DB" w:rsidRPr="004F78DB">
        <w:rPr>
          <w:i/>
          <w:iCs/>
        </w:rPr>
        <w:t>et al.</w:t>
      </w:r>
      <w:r w:rsidR="004F78DB">
        <w:t xml:space="preserve"> (2020, 2021).</w:t>
      </w:r>
    </w:p>
    <w:bookmarkEnd w:id="277"/>
    <w:p w14:paraId="5056CF5E" w14:textId="77777777" w:rsidR="00356663" w:rsidRDefault="00356663" w:rsidP="00356663">
      <w:pPr>
        <w:spacing w:before="0" w:after="160" w:line="259" w:lineRule="auto"/>
        <w:jc w:val="left"/>
        <w:rPr>
          <w:rFonts w:eastAsiaTheme="majorEastAsia" w:cstheme="majorBidi"/>
          <w:b/>
          <w:i/>
          <w:color w:val="44546A" w:themeColor="text2"/>
          <w:sz w:val="24"/>
          <w:szCs w:val="24"/>
        </w:rPr>
      </w:pPr>
      <w:r>
        <w:br w:type="page"/>
      </w:r>
    </w:p>
    <w:p w14:paraId="2D5E27B6" w14:textId="77777777" w:rsidR="00356663" w:rsidRDefault="00356663" w:rsidP="00356663">
      <w:pPr>
        <w:pStyle w:val="Heading3"/>
      </w:pPr>
      <w:r>
        <w:t>Results</w:t>
      </w:r>
    </w:p>
    <w:p w14:paraId="10262D70" w14:textId="77777777" w:rsidR="00356663" w:rsidRPr="00EA4AB2" w:rsidRDefault="00356663" w:rsidP="00356663">
      <w:pPr>
        <w:rPr>
          <w:i/>
          <w:u w:val="single"/>
        </w:rPr>
      </w:pPr>
      <w:r w:rsidRPr="00EA4AB2">
        <w:rPr>
          <w:i/>
          <w:u w:val="single"/>
        </w:rPr>
        <w:t>Larva</w:t>
      </w:r>
      <w:r>
        <w:rPr>
          <w:i/>
          <w:u w:val="single"/>
        </w:rPr>
        <w:t>l collection and spawn dates</w:t>
      </w:r>
    </w:p>
    <w:p w14:paraId="23A9DDA2" w14:textId="47130550" w:rsidR="00356663" w:rsidRDefault="00356663" w:rsidP="00356663">
      <w:pPr>
        <w:rPr>
          <w:iCs/>
        </w:rPr>
      </w:pPr>
      <w:bookmarkStart w:id="279" w:name="_Ref531270207"/>
      <w:bookmarkStart w:id="280" w:name="_Toc3558397"/>
      <w:r>
        <w:rPr>
          <w:iCs/>
        </w:rPr>
        <w:t>From 26 November 2020 to 18 January 2021, a total of 20 golden perch and 142 silver perch larvae were collected at sites sampled downstream of Locks 1, 4 and 6 in the LMR (</w:t>
      </w:r>
      <w:r>
        <w:rPr>
          <w:iCs/>
        </w:rPr>
        <w:fldChar w:fldCharType="begin"/>
      </w:r>
      <w:r>
        <w:rPr>
          <w:iCs/>
        </w:rPr>
        <w:instrText xml:space="preserve"> REF _Ref90308491 \h </w:instrText>
      </w:r>
      <w:r>
        <w:rPr>
          <w:iCs/>
        </w:rPr>
      </w:r>
      <w:r>
        <w:rPr>
          <w:iCs/>
        </w:rPr>
        <w:fldChar w:fldCharType="separate"/>
      </w:r>
      <w:r w:rsidR="003C13F6">
        <w:t>Tabl</w:t>
      </w:r>
      <w:r w:rsidR="003C13F6" w:rsidRPr="0021450B">
        <w:t xml:space="preserve">e </w:t>
      </w:r>
      <w:r w:rsidR="003C13F6">
        <w:rPr>
          <w:noProof/>
        </w:rPr>
        <w:t>19</w:t>
      </w:r>
      <w:r>
        <w:rPr>
          <w:iCs/>
        </w:rPr>
        <w:fldChar w:fldCharType="end"/>
      </w:r>
      <w:r>
        <w:rPr>
          <w:iCs/>
        </w:rPr>
        <w:t>)</w:t>
      </w:r>
      <w:r w:rsidR="00616A72">
        <w:rPr>
          <w:iCs/>
        </w:rPr>
        <w:t xml:space="preserve">. The majority of </w:t>
      </w:r>
      <w:r>
        <w:rPr>
          <w:iCs/>
        </w:rPr>
        <w:t xml:space="preserve">silver perch (60%, </w:t>
      </w:r>
      <w:r w:rsidRPr="00E7745D">
        <w:rPr>
          <w:i/>
        </w:rPr>
        <w:t>n</w:t>
      </w:r>
      <w:r>
        <w:rPr>
          <w:iCs/>
        </w:rPr>
        <w:t xml:space="preserve"> = 85) were sampled below Lock 6 in mid-December 2020, while the majority of golden perch (80%, </w:t>
      </w:r>
      <w:r w:rsidRPr="00E7745D">
        <w:rPr>
          <w:i/>
        </w:rPr>
        <w:t>n</w:t>
      </w:r>
      <w:r>
        <w:rPr>
          <w:iCs/>
        </w:rPr>
        <w:t xml:space="preserve"> = 16) were sampled below Lock 1 from late November to early December 2020 (</w:t>
      </w:r>
      <w:r>
        <w:rPr>
          <w:iCs/>
        </w:rPr>
        <w:fldChar w:fldCharType="begin"/>
      </w:r>
      <w:r>
        <w:rPr>
          <w:iCs/>
        </w:rPr>
        <w:instrText xml:space="preserve"> REF _Ref90308491 \h </w:instrText>
      </w:r>
      <w:r>
        <w:rPr>
          <w:iCs/>
        </w:rPr>
      </w:r>
      <w:r>
        <w:rPr>
          <w:iCs/>
        </w:rPr>
        <w:fldChar w:fldCharType="separate"/>
      </w:r>
      <w:r w:rsidR="003C13F6">
        <w:t>Tabl</w:t>
      </w:r>
      <w:r w:rsidR="003C13F6" w:rsidRPr="0021450B">
        <w:t xml:space="preserve">e </w:t>
      </w:r>
      <w:r w:rsidR="003C13F6">
        <w:rPr>
          <w:noProof/>
        </w:rPr>
        <w:t>19</w:t>
      </w:r>
      <w:r>
        <w:rPr>
          <w:iCs/>
        </w:rPr>
        <w:fldChar w:fldCharType="end"/>
      </w:r>
      <w:r w:rsidRPr="0026341E">
        <w:rPr>
          <w:iCs/>
        </w:rPr>
        <w:t>;</w:t>
      </w:r>
      <w:r>
        <w:rPr>
          <w:iCs/>
        </w:rPr>
        <w:t xml:space="preserve"> </w:t>
      </w:r>
      <w:r>
        <w:rPr>
          <w:iCs/>
        </w:rPr>
        <w:fldChar w:fldCharType="begin"/>
      </w:r>
      <w:r>
        <w:rPr>
          <w:iCs/>
        </w:rPr>
        <w:instrText xml:space="preserve"> REF _Ref90308561 \h </w:instrText>
      </w:r>
      <w:r>
        <w:rPr>
          <w:iCs/>
        </w:rPr>
      </w:r>
      <w:r>
        <w:rPr>
          <w:iCs/>
        </w:rPr>
        <w:fldChar w:fldCharType="separate"/>
      </w:r>
      <w:r w:rsidR="003C13F6">
        <w:t>Figur</w:t>
      </w:r>
      <w:r w:rsidR="003C13F6" w:rsidRPr="0021450B">
        <w:t xml:space="preserve">e </w:t>
      </w:r>
      <w:r w:rsidR="003C13F6">
        <w:rPr>
          <w:noProof/>
        </w:rPr>
        <w:t>44</w:t>
      </w:r>
      <w:r>
        <w:rPr>
          <w:iCs/>
        </w:rPr>
        <w:fldChar w:fldCharType="end"/>
      </w:r>
      <w:r w:rsidRPr="0026341E">
        <w:rPr>
          <w:iCs/>
        </w:rPr>
        <w:t xml:space="preserve">). </w:t>
      </w:r>
      <w:r w:rsidR="00667261" w:rsidRPr="0026341E">
        <w:t>Ages of golden perch larvae ranged 3–10 days, corresponding to spawn dates of 23</w:t>
      </w:r>
      <w:r w:rsidR="00667261">
        <w:t> </w:t>
      </w:r>
      <w:r w:rsidR="00667261" w:rsidRPr="0026341E">
        <w:t xml:space="preserve">November–5 December 2020, while ages of silver perch larvae ranged 11–31 days, corresponding to spawn dates of 18 November 2020–2 January 2021 </w:t>
      </w:r>
      <w:r w:rsidRPr="0026341E">
        <w:t>(</w:t>
      </w:r>
      <w:r>
        <w:rPr>
          <w:iCs/>
        </w:rPr>
        <w:fldChar w:fldCharType="begin"/>
      </w:r>
      <w:r>
        <w:rPr>
          <w:iCs/>
        </w:rPr>
        <w:instrText xml:space="preserve"> REF _Ref90308491 \h </w:instrText>
      </w:r>
      <w:r>
        <w:rPr>
          <w:iCs/>
        </w:rPr>
      </w:r>
      <w:r>
        <w:rPr>
          <w:iCs/>
        </w:rPr>
        <w:fldChar w:fldCharType="separate"/>
      </w:r>
      <w:r w:rsidR="003C13F6">
        <w:t>Tabl</w:t>
      </w:r>
      <w:r w:rsidR="003C13F6" w:rsidRPr="0021450B">
        <w:t xml:space="preserve">e </w:t>
      </w:r>
      <w:r w:rsidR="003C13F6">
        <w:rPr>
          <w:noProof/>
        </w:rPr>
        <w:t>19</w:t>
      </w:r>
      <w:r>
        <w:rPr>
          <w:iCs/>
        </w:rPr>
        <w:fldChar w:fldCharType="end"/>
      </w:r>
      <w:r w:rsidRPr="0026341E">
        <w:t xml:space="preserve">; </w:t>
      </w:r>
      <w:r>
        <w:fldChar w:fldCharType="begin"/>
      </w:r>
      <w:r>
        <w:instrText xml:space="preserve"> REF _Ref90308610 \h </w:instrText>
      </w:r>
      <w:r>
        <w:fldChar w:fldCharType="separate"/>
      </w:r>
      <w:r w:rsidR="003C13F6">
        <w:t xml:space="preserve">Figure </w:t>
      </w:r>
      <w:r w:rsidR="003C13F6">
        <w:rPr>
          <w:noProof/>
        </w:rPr>
        <w:t>45</w:t>
      </w:r>
      <w:r>
        <w:fldChar w:fldCharType="end"/>
      </w:r>
      <w:r w:rsidRPr="0026341E">
        <w:t xml:space="preserve">). </w:t>
      </w:r>
      <w:bookmarkStart w:id="281" w:name="_Hlk95384781"/>
      <w:r w:rsidR="0036455F">
        <w:t>Golden perch e</w:t>
      </w:r>
      <w:r w:rsidR="00E7540C" w:rsidRPr="00E7540C">
        <w:rPr>
          <w:iCs/>
        </w:rPr>
        <w:t xml:space="preserve">ggs </w:t>
      </w:r>
      <w:r w:rsidR="0036455F">
        <w:rPr>
          <w:iCs/>
        </w:rPr>
        <w:t>(</w:t>
      </w:r>
      <w:r w:rsidR="0004606A">
        <w:rPr>
          <w:iCs/>
        </w:rPr>
        <w:t xml:space="preserve">later </w:t>
      </w:r>
      <w:r w:rsidR="00E7540C" w:rsidRPr="00E7540C">
        <w:rPr>
          <w:iCs/>
        </w:rPr>
        <w:t xml:space="preserve">confirmed through DNA sequencing of the </w:t>
      </w:r>
      <w:r w:rsidR="00E7540C" w:rsidRPr="00E7540C">
        <w:rPr>
          <w:i/>
        </w:rPr>
        <w:t xml:space="preserve">COI </w:t>
      </w:r>
      <w:r w:rsidR="00E7540C" w:rsidRPr="00E7540C">
        <w:rPr>
          <w:iCs/>
        </w:rPr>
        <w:t>gene</w:t>
      </w:r>
      <w:r w:rsidR="0036455F">
        <w:rPr>
          <w:iCs/>
        </w:rPr>
        <w:t>)</w:t>
      </w:r>
      <w:r w:rsidR="00E7540C" w:rsidRPr="00E7540C">
        <w:rPr>
          <w:iCs/>
        </w:rPr>
        <w:t xml:space="preserve"> were </w:t>
      </w:r>
      <w:r>
        <w:rPr>
          <w:iCs/>
        </w:rPr>
        <w:t>sampled below Lock 4 (</w:t>
      </w:r>
      <w:r w:rsidRPr="00E7745D">
        <w:rPr>
          <w:i/>
        </w:rPr>
        <w:t>n</w:t>
      </w:r>
      <w:r>
        <w:rPr>
          <w:iCs/>
        </w:rPr>
        <w:t xml:space="preserve"> = 411) and Lock 6 (</w:t>
      </w:r>
      <w:r w:rsidRPr="00E7745D">
        <w:rPr>
          <w:i/>
        </w:rPr>
        <w:t>n</w:t>
      </w:r>
      <w:r>
        <w:rPr>
          <w:iCs/>
        </w:rPr>
        <w:t xml:space="preserve"> = 5) on 24–25 November 2020 and below Lock 1 (</w:t>
      </w:r>
      <w:r w:rsidRPr="00E7745D">
        <w:rPr>
          <w:i/>
        </w:rPr>
        <w:t xml:space="preserve">n </w:t>
      </w:r>
      <w:r>
        <w:rPr>
          <w:iCs/>
        </w:rPr>
        <w:t>= 352) on 9 December 2020 (</w:t>
      </w:r>
      <w:r>
        <w:rPr>
          <w:iCs/>
        </w:rPr>
        <w:fldChar w:fldCharType="begin"/>
      </w:r>
      <w:r>
        <w:rPr>
          <w:iCs/>
        </w:rPr>
        <w:instrText xml:space="preserve"> REF _Ref90308561 \h </w:instrText>
      </w:r>
      <w:r>
        <w:rPr>
          <w:iCs/>
        </w:rPr>
      </w:r>
      <w:r>
        <w:rPr>
          <w:iCs/>
        </w:rPr>
        <w:fldChar w:fldCharType="separate"/>
      </w:r>
      <w:r w:rsidR="003C13F6">
        <w:t>Figur</w:t>
      </w:r>
      <w:r w:rsidR="003C13F6" w:rsidRPr="0021450B">
        <w:t xml:space="preserve">e </w:t>
      </w:r>
      <w:r w:rsidR="003C13F6">
        <w:rPr>
          <w:noProof/>
        </w:rPr>
        <w:t>44</w:t>
      </w:r>
      <w:r>
        <w:rPr>
          <w:iCs/>
        </w:rPr>
        <w:fldChar w:fldCharType="end"/>
      </w:r>
      <w:r w:rsidRPr="0026341E">
        <w:t xml:space="preserve">; </w:t>
      </w:r>
      <w:r>
        <w:fldChar w:fldCharType="begin"/>
      </w:r>
      <w:r>
        <w:instrText xml:space="preserve"> REF _Ref90308610 \h </w:instrText>
      </w:r>
      <w:r>
        <w:fldChar w:fldCharType="separate"/>
      </w:r>
      <w:r w:rsidR="003C13F6">
        <w:t xml:space="preserve">Figure </w:t>
      </w:r>
      <w:r w:rsidR="003C13F6">
        <w:rPr>
          <w:noProof/>
        </w:rPr>
        <w:t>45</w:t>
      </w:r>
      <w:r>
        <w:fldChar w:fldCharType="end"/>
      </w:r>
      <w:r>
        <w:rPr>
          <w:iCs/>
        </w:rPr>
        <w:t>).</w:t>
      </w:r>
    </w:p>
    <w:p w14:paraId="46A84F51" w14:textId="2F451936" w:rsidR="00356663" w:rsidRPr="004219AA" w:rsidRDefault="00356663" w:rsidP="00356663">
      <w:pPr>
        <w:pStyle w:val="Caption"/>
      </w:pPr>
      <w:bookmarkStart w:id="282" w:name="_Ref90308491"/>
      <w:bookmarkStart w:id="283" w:name="_Toc101963877"/>
      <w:bookmarkEnd w:id="279"/>
      <w:bookmarkEnd w:id="281"/>
      <w:r>
        <w:t>Tabl</w:t>
      </w:r>
      <w:r w:rsidRPr="0021450B">
        <w:t xml:space="preserve">e </w:t>
      </w:r>
      <w:fldSimple w:instr=" SEQ Table \* ARABIC ">
        <w:r w:rsidR="003C13F6">
          <w:rPr>
            <w:noProof/>
          </w:rPr>
          <w:t>19</w:t>
        </w:r>
      </w:fldSimple>
      <w:bookmarkEnd w:id="282"/>
      <w:r w:rsidRPr="0021450B">
        <w:t>. Capture</w:t>
      </w:r>
      <w:r w:rsidRPr="004219AA">
        <w:t xml:space="preserve"> </w:t>
      </w:r>
      <w:r>
        <w:t>details</w:t>
      </w:r>
      <w:r w:rsidRPr="004219AA">
        <w:t xml:space="preserve"> </w:t>
      </w:r>
      <w:r>
        <w:t>for</w:t>
      </w:r>
      <w:r w:rsidRPr="004219AA">
        <w:t xml:space="preserve"> larval golden perch</w:t>
      </w:r>
      <w:r>
        <w:t xml:space="preserve"> and silver perch</w:t>
      </w:r>
      <w:r w:rsidRPr="004219AA">
        <w:t xml:space="preserve"> collected from the </w:t>
      </w:r>
      <w:r>
        <w:t>LMR</w:t>
      </w:r>
      <w:r w:rsidRPr="004219AA">
        <w:t xml:space="preserve"> </w:t>
      </w:r>
      <w:r>
        <w:t>by larval tows</w:t>
      </w:r>
      <w:r w:rsidRPr="004219AA">
        <w:t>.</w:t>
      </w:r>
      <w:r>
        <w:t xml:space="preserve"> *</w:t>
      </w:r>
      <w:r w:rsidRPr="00560F04">
        <w:t xml:space="preserve"> indicates that age was estimated based on</w:t>
      </w:r>
      <w:r>
        <w:t xml:space="preserve"> historical</w:t>
      </w:r>
      <w:r w:rsidRPr="00560F04">
        <w:t xml:space="preserve"> ages of golden perch with similar total lengths</w:t>
      </w:r>
      <w:r>
        <w:t>.</w:t>
      </w:r>
      <w:bookmarkEnd w:id="280"/>
      <w:r>
        <w:t xml:space="preserve"> TL = total length. n = total number of larvae sampled.</w:t>
      </w:r>
      <w:bookmarkEnd w:id="283"/>
    </w:p>
    <w:tbl>
      <w:tblPr>
        <w:tblStyle w:val="TableGrid"/>
        <w:tblW w:w="4947" w:type="pct"/>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423"/>
        <w:gridCol w:w="1531"/>
        <w:gridCol w:w="702"/>
        <w:gridCol w:w="1134"/>
        <w:gridCol w:w="1279"/>
        <w:gridCol w:w="1584"/>
      </w:tblGrid>
      <w:tr w:rsidR="00356663" w:rsidRPr="00C01019" w14:paraId="24EF9BE8" w14:textId="77777777" w:rsidTr="00356663">
        <w:trPr>
          <w:trHeight w:val="340"/>
          <w:tblHeader/>
          <w:jc w:val="center"/>
        </w:trPr>
        <w:tc>
          <w:tcPr>
            <w:tcW w:w="715" w:type="pct"/>
            <w:tcBorders>
              <w:top w:val="single" w:sz="4" w:space="0" w:color="auto"/>
              <w:bottom w:val="single" w:sz="4" w:space="0" w:color="auto"/>
            </w:tcBorders>
          </w:tcPr>
          <w:p w14:paraId="41F7AA7F" w14:textId="77777777" w:rsidR="00356663" w:rsidRPr="00C01019" w:rsidRDefault="00356663" w:rsidP="00356663">
            <w:pPr>
              <w:spacing w:before="0" w:after="0"/>
              <w:contextualSpacing/>
              <w:jc w:val="center"/>
              <w:rPr>
                <w:b/>
                <w:sz w:val="19"/>
                <w:szCs w:val="19"/>
              </w:rPr>
            </w:pPr>
            <w:r w:rsidRPr="00C01019">
              <w:rPr>
                <w:b/>
                <w:sz w:val="19"/>
                <w:szCs w:val="19"/>
              </w:rPr>
              <w:t>Capture location</w:t>
            </w:r>
          </w:p>
        </w:tc>
        <w:tc>
          <w:tcPr>
            <w:tcW w:w="797" w:type="pct"/>
            <w:tcBorders>
              <w:top w:val="single" w:sz="4" w:space="0" w:color="auto"/>
              <w:bottom w:val="single" w:sz="4" w:space="0" w:color="auto"/>
            </w:tcBorders>
          </w:tcPr>
          <w:p w14:paraId="55549C55" w14:textId="77777777" w:rsidR="00356663" w:rsidRPr="00C01019" w:rsidRDefault="00356663" w:rsidP="00356663">
            <w:pPr>
              <w:spacing w:before="0" w:after="0"/>
              <w:contextualSpacing/>
              <w:jc w:val="center"/>
              <w:rPr>
                <w:b/>
                <w:sz w:val="19"/>
                <w:szCs w:val="19"/>
              </w:rPr>
            </w:pPr>
            <w:r w:rsidRPr="00C01019">
              <w:rPr>
                <w:b/>
                <w:sz w:val="19"/>
                <w:szCs w:val="19"/>
              </w:rPr>
              <w:t>Capture date</w:t>
            </w:r>
          </w:p>
        </w:tc>
        <w:tc>
          <w:tcPr>
            <w:tcW w:w="857" w:type="pct"/>
            <w:tcBorders>
              <w:top w:val="single" w:sz="4" w:space="0" w:color="auto"/>
              <w:bottom w:val="single" w:sz="4" w:space="0" w:color="auto"/>
            </w:tcBorders>
          </w:tcPr>
          <w:p w14:paraId="29FE4CAF" w14:textId="77777777" w:rsidR="00356663" w:rsidRDefault="00356663" w:rsidP="00356663">
            <w:pPr>
              <w:spacing w:before="0" w:after="0"/>
              <w:contextualSpacing/>
              <w:jc w:val="center"/>
              <w:rPr>
                <w:b/>
                <w:sz w:val="19"/>
                <w:szCs w:val="19"/>
              </w:rPr>
            </w:pPr>
            <w:r>
              <w:rPr>
                <w:b/>
                <w:sz w:val="19"/>
                <w:szCs w:val="19"/>
              </w:rPr>
              <w:t>Species</w:t>
            </w:r>
          </w:p>
        </w:tc>
        <w:tc>
          <w:tcPr>
            <w:tcW w:w="393" w:type="pct"/>
            <w:tcBorders>
              <w:top w:val="single" w:sz="4" w:space="0" w:color="auto"/>
              <w:bottom w:val="single" w:sz="4" w:space="0" w:color="auto"/>
            </w:tcBorders>
          </w:tcPr>
          <w:p w14:paraId="1BD0AD51" w14:textId="77777777" w:rsidR="00356663" w:rsidRPr="001820BE" w:rsidRDefault="00356663" w:rsidP="00356663">
            <w:pPr>
              <w:spacing w:before="0" w:after="0"/>
              <w:contextualSpacing/>
              <w:jc w:val="center"/>
              <w:rPr>
                <w:b/>
                <w:i/>
                <w:iCs/>
                <w:sz w:val="19"/>
                <w:szCs w:val="19"/>
              </w:rPr>
            </w:pPr>
            <w:r w:rsidRPr="001820BE">
              <w:rPr>
                <w:b/>
                <w:i/>
                <w:iCs/>
                <w:sz w:val="19"/>
                <w:szCs w:val="19"/>
              </w:rPr>
              <w:t>n</w:t>
            </w:r>
          </w:p>
        </w:tc>
        <w:tc>
          <w:tcPr>
            <w:tcW w:w="635" w:type="pct"/>
            <w:tcBorders>
              <w:top w:val="single" w:sz="4" w:space="0" w:color="auto"/>
              <w:bottom w:val="single" w:sz="4" w:space="0" w:color="auto"/>
            </w:tcBorders>
          </w:tcPr>
          <w:p w14:paraId="2F95CACD" w14:textId="77777777" w:rsidR="00356663" w:rsidRPr="00C01019" w:rsidRDefault="00356663" w:rsidP="00356663">
            <w:pPr>
              <w:spacing w:before="0" w:after="0"/>
              <w:contextualSpacing/>
              <w:jc w:val="center"/>
              <w:rPr>
                <w:b/>
                <w:sz w:val="19"/>
                <w:szCs w:val="19"/>
                <w:vertAlign w:val="superscript"/>
              </w:rPr>
            </w:pPr>
            <w:r>
              <w:rPr>
                <w:b/>
                <w:sz w:val="19"/>
                <w:szCs w:val="19"/>
              </w:rPr>
              <w:t>TL</w:t>
            </w:r>
            <w:r w:rsidRPr="00C01019">
              <w:rPr>
                <w:b/>
                <w:sz w:val="19"/>
                <w:szCs w:val="19"/>
              </w:rPr>
              <w:t xml:space="preserve"> (mm)</w:t>
            </w:r>
          </w:p>
        </w:tc>
        <w:tc>
          <w:tcPr>
            <w:tcW w:w="716" w:type="pct"/>
            <w:tcBorders>
              <w:top w:val="single" w:sz="4" w:space="0" w:color="auto"/>
              <w:bottom w:val="single" w:sz="4" w:space="0" w:color="auto"/>
            </w:tcBorders>
          </w:tcPr>
          <w:p w14:paraId="2091F42A" w14:textId="77777777" w:rsidR="00356663" w:rsidRPr="00EB44AE" w:rsidRDefault="00356663" w:rsidP="00356663">
            <w:pPr>
              <w:spacing w:before="0" w:after="0"/>
              <w:contextualSpacing/>
              <w:jc w:val="center"/>
              <w:rPr>
                <w:b/>
                <w:sz w:val="19"/>
                <w:szCs w:val="19"/>
                <w:vertAlign w:val="superscript"/>
              </w:rPr>
            </w:pPr>
            <w:r w:rsidRPr="00EB44AE">
              <w:rPr>
                <w:b/>
                <w:sz w:val="19"/>
                <w:szCs w:val="19"/>
              </w:rPr>
              <w:t>Age (days)</w:t>
            </w:r>
          </w:p>
        </w:tc>
        <w:tc>
          <w:tcPr>
            <w:tcW w:w="887" w:type="pct"/>
            <w:tcBorders>
              <w:top w:val="single" w:sz="4" w:space="0" w:color="auto"/>
              <w:bottom w:val="single" w:sz="4" w:space="0" w:color="auto"/>
            </w:tcBorders>
          </w:tcPr>
          <w:p w14:paraId="1A50B2FF" w14:textId="77777777" w:rsidR="00356663" w:rsidRPr="00EB44AE" w:rsidRDefault="00356663" w:rsidP="00356663">
            <w:pPr>
              <w:spacing w:before="0" w:after="0"/>
              <w:contextualSpacing/>
              <w:jc w:val="center"/>
              <w:rPr>
                <w:b/>
                <w:sz w:val="19"/>
                <w:szCs w:val="19"/>
                <w:vertAlign w:val="superscript"/>
              </w:rPr>
            </w:pPr>
            <w:r w:rsidRPr="00EB44AE">
              <w:rPr>
                <w:b/>
                <w:sz w:val="19"/>
                <w:szCs w:val="19"/>
              </w:rPr>
              <w:t>Spawn date</w:t>
            </w:r>
          </w:p>
        </w:tc>
      </w:tr>
      <w:tr w:rsidR="00356663" w:rsidRPr="00C01019" w14:paraId="53BE8BBC" w14:textId="77777777" w:rsidTr="00356663">
        <w:trPr>
          <w:trHeight w:val="340"/>
          <w:jc w:val="center"/>
        </w:trPr>
        <w:tc>
          <w:tcPr>
            <w:tcW w:w="715" w:type="pct"/>
            <w:tcBorders>
              <w:top w:val="nil"/>
              <w:bottom w:val="nil"/>
            </w:tcBorders>
          </w:tcPr>
          <w:p w14:paraId="173CE0C3" w14:textId="77777777" w:rsidR="00356663" w:rsidRPr="0077156B" w:rsidRDefault="00356663" w:rsidP="00356663">
            <w:pPr>
              <w:spacing w:before="0" w:after="0"/>
              <w:contextualSpacing/>
              <w:jc w:val="center"/>
              <w:rPr>
                <w:sz w:val="19"/>
                <w:szCs w:val="19"/>
              </w:rPr>
            </w:pPr>
            <w:r w:rsidRPr="0077156B">
              <w:rPr>
                <w:sz w:val="19"/>
                <w:szCs w:val="19"/>
              </w:rPr>
              <w:t>Lock 1</w:t>
            </w:r>
          </w:p>
        </w:tc>
        <w:tc>
          <w:tcPr>
            <w:tcW w:w="797" w:type="pct"/>
            <w:tcBorders>
              <w:top w:val="nil"/>
              <w:bottom w:val="nil"/>
            </w:tcBorders>
          </w:tcPr>
          <w:p w14:paraId="15874546" w14:textId="77777777" w:rsidR="00356663" w:rsidRPr="0077156B" w:rsidRDefault="00356663" w:rsidP="00356663">
            <w:pPr>
              <w:spacing w:before="0" w:after="0"/>
              <w:contextualSpacing/>
              <w:jc w:val="center"/>
              <w:rPr>
                <w:sz w:val="19"/>
                <w:szCs w:val="19"/>
              </w:rPr>
            </w:pPr>
            <w:r w:rsidRPr="0077156B">
              <w:rPr>
                <w:sz w:val="19"/>
                <w:szCs w:val="19"/>
              </w:rPr>
              <w:t>26/11/20</w:t>
            </w:r>
          </w:p>
        </w:tc>
        <w:tc>
          <w:tcPr>
            <w:tcW w:w="857" w:type="pct"/>
            <w:tcBorders>
              <w:top w:val="nil"/>
              <w:bottom w:val="nil"/>
            </w:tcBorders>
          </w:tcPr>
          <w:p w14:paraId="01795D42" w14:textId="77777777" w:rsidR="00356663" w:rsidRPr="0077156B" w:rsidRDefault="00356663" w:rsidP="00356663">
            <w:pPr>
              <w:spacing w:before="0" w:after="0"/>
              <w:contextualSpacing/>
              <w:jc w:val="center"/>
              <w:rPr>
                <w:sz w:val="19"/>
                <w:szCs w:val="19"/>
              </w:rPr>
            </w:pPr>
            <w:r w:rsidRPr="0077156B">
              <w:rPr>
                <w:sz w:val="19"/>
                <w:szCs w:val="19"/>
              </w:rPr>
              <w:t>Golden perch</w:t>
            </w:r>
          </w:p>
        </w:tc>
        <w:tc>
          <w:tcPr>
            <w:tcW w:w="393" w:type="pct"/>
            <w:tcBorders>
              <w:top w:val="nil"/>
              <w:bottom w:val="nil"/>
            </w:tcBorders>
          </w:tcPr>
          <w:p w14:paraId="27FB63C0" w14:textId="77777777" w:rsidR="00356663" w:rsidRPr="0077156B" w:rsidRDefault="00356663" w:rsidP="00356663">
            <w:pPr>
              <w:spacing w:before="0" w:after="0"/>
              <w:contextualSpacing/>
              <w:jc w:val="center"/>
              <w:rPr>
                <w:sz w:val="19"/>
                <w:szCs w:val="19"/>
              </w:rPr>
            </w:pPr>
            <w:r w:rsidRPr="0077156B">
              <w:rPr>
                <w:sz w:val="19"/>
                <w:szCs w:val="19"/>
              </w:rPr>
              <w:t>5</w:t>
            </w:r>
          </w:p>
        </w:tc>
        <w:tc>
          <w:tcPr>
            <w:tcW w:w="635" w:type="pct"/>
            <w:tcBorders>
              <w:top w:val="nil"/>
              <w:bottom w:val="nil"/>
            </w:tcBorders>
          </w:tcPr>
          <w:p w14:paraId="722E8E1F" w14:textId="77777777" w:rsidR="00356663" w:rsidRPr="0077156B" w:rsidRDefault="00356663" w:rsidP="00356663">
            <w:pPr>
              <w:spacing w:before="0" w:after="0"/>
              <w:contextualSpacing/>
              <w:jc w:val="center"/>
              <w:rPr>
                <w:sz w:val="19"/>
                <w:szCs w:val="19"/>
              </w:rPr>
            </w:pPr>
            <w:r w:rsidRPr="0077156B">
              <w:rPr>
                <w:sz w:val="19"/>
                <w:szCs w:val="19"/>
              </w:rPr>
              <w:t>4.2–4.6</w:t>
            </w:r>
          </w:p>
        </w:tc>
        <w:tc>
          <w:tcPr>
            <w:tcW w:w="716" w:type="pct"/>
            <w:tcBorders>
              <w:top w:val="nil"/>
              <w:bottom w:val="nil"/>
            </w:tcBorders>
          </w:tcPr>
          <w:p w14:paraId="7F0F2AA4" w14:textId="77777777" w:rsidR="00356663" w:rsidRPr="00065C6F" w:rsidRDefault="00356663" w:rsidP="00356663">
            <w:pPr>
              <w:spacing w:before="0" w:after="0"/>
              <w:contextualSpacing/>
              <w:jc w:val="center"/>
              <w:rPr>
                <w:color w:val="auto"/>
                <w:sz w:val="19"/>
                <w:szCs w:val="19"/>
              </w:rPr>
            </w:pPr>
            <w:r w:rsidRPr="00065C6F">
              <w:rPr>
                <w:color w:val="auto"/>
                <w:sz w:val="19"/>
                <w:szCs w:val="19"/>
              </w:rPr>
              <w:t>*</w:t>
            </w:r>
            <w:r>
              <w:rPr>
                <w:color w:val="auto"/>
                <w:sz w:val="19"/>
                <w:szCs w:val="19"/>
              </w:rPr>
              <w:t>3</w:t>
            </w:r>
          </w:p>
        </w:tc>
        <w:tc>
          <w:tcPr>
            <w:tcW w:w="887" w:type="pct"/>
            <w:tcBorders>
              <w:top w:val="nil"/>
              <w:bottom w:val="nil"/>
            </w:tcBorders>
          </w:tcPr>
          <w:p w14:paraId="03E3C30D" w14:textId="77777777" w:rsidR="00356663" w:rsidRPr="0077156B" w:rsidRDefault="00356663" w:rsidP="00356663">
            <w:pPr>
              <w:spacing w:before="0" w:after="0"/>
              <w:contextualSpacing/>
              <w:jc w:val="center"/>
              <w:rPr>
                <w:sz w:val="19"/>
                <w:szCs w:val="19"/>
              </w:rPr>
            </w:pPr>
            <w:r>
              <w:rPr>
                <w:sz w:val="19"/>
                <w:szCs w:val="19"/>
              </w:rPr>
              <w:t>23/11/20</w:t>
            </w:r>
          </w:p>
        </w:tc>
      </w:tr>
      <w:tr w:rsidR="00356663" w:rsidRPr="00C01019" w14:paraId="7C9BAE46" w14:textId="77777777" w:rsidTr="00356663">
        <w:trPr>
          <w:trHeight w:val="340"/>
          <w:jc w:val="center"/>
        </w:trPr>
        <w:tc>
          <w:tcPr>
            <w:tcW w:w="715" w:type="pct"/>
            <w:tcBorders>
              <w:top w:val="nil"/>
              <w:bottom w:val="nil"/>
            </w:tcBorders>
          </w:tcPr>
          <w:p w14:paraId="5003861C" w14:textId="77777777" w:rsidR="00356663" w:rsidRPr="0077156B" w:rsidRDefault="00356663" w:rsidP="00356663">
            <w:pPr>
              <w:spacing w:before="0" w:after="0"/>
              <w:contextualSpacing/>
              <w:jc w:val="center"/>
              <w:rPr>
                <w:sz w:val="19"/>
                <w:szCs w:val="19"/>
              </w:rPr>
            </w:pPr>
            <w:r w:rsidRPr="0077156B">
              <w:rPr>
                <w:sz w:val="19"/>
                <w:szCs w:val="19"/>
              </w:rPr>
              <w:t>Lock 1</w:t>
            </w:r>
          </w:p>
        </w:tc>
        <w:tc>
          <w:tcPr>
            <w:tcW w:w="797" w:type="pct"/>
            <w:tcBorders>
              <w:top w:val="nil"/>
              <w:bottom w:val="nil"/>
            </w:tcBorders>
          </w:tcPr>
          <w:p w14:paraId="323CBFB5" w14:textId="77777777" w:rsidR="00356663" w:rsidRPr="0077156B" w:rsidRDefault="00356663" w:rsidP="00356663">
            <w:pPr>
              <w:spacing w:before="0" w:after="0"/>
              <w:contextualSpacing/>
              <w:jc w:val="center"/>
              <w:rPr>
                <w:sz w:val="19"/>
                <w:szCs w:val="19"/>
              </w:rPr>
            </w:pPr>
            <w:r w:rsidRPr="0077156B">
              <w:rPr>
                <w:sz w:val="19"/>
                <w:szCs w:val="19"/>
              </w:rPr>
              <w:t>2/12/20</w:t>
            </w:r>
          </w:p>
        </w:tc>
        <w:tc>
          <w:tcPr>
            <w:tcW w:w="857" w:type="pct"/>
            <w:tcBorders>
              <w:top w:val="nil"/>
              <w:bottom w:val="nil"/>
            </w:tcBorders>
          </w:tcPr>
          <w:p w14:paraId="5F934CEE" w14:textId="77777777" w:rsidR="00356663" w:rsidRPr="0077156B" w:rsidRDefault="00356663" w:rsidP="00356663">
            <w:pPr>
              <w:spacing w:before="0" w:after="0"/>
              <w:contextualSpacing/>
              <w:jc w:val="center"/>
              <w:rPr>
                <w:sz w:val="19"/>
                <w:szCs w:val="19"/>
              </w:rPr>
            </w:pPr>
            <w:r w:rsidRPr="0077156B">
              <w:rPr>
                <w:sz w:val="19"/>
                <w:szCs w:val="19"/>
              </w:rPr>
              <w:t>Golden perch</w:t>
            </w:r>
          </w:p>
        </w:tc>
        <w:tc>
          <w:tcPr>
            <w:tcW w:w="393" w:type="pct"/>
            <w:tcBorders>
              <w:top w:val="nil"/>
              <w:bottom w:val="nil"/>
            </w:tcBorders>
          </w:tcPr>
          <w:p w14:paraId="30FB3FEC" w14:textId="77777777" w:rsidR="00356663" w:rsidRPr="0077156B" w:rsidRDefault="00356663" w:rsidP="00356663">
            <w:pPr>
              <w:spacing w:before="0" w:after="0"/>
              <w:contextualSpacing/>
              <w:jc w:val="center"/>
              <w:rPr>
                <w:sz w:val="19"/>
                <w:szCs w:val="19"/>
              </w:rPr>
            </w:pPr>
            <w:r w:rsidRPr="0077156B">
              <w:rPr>
                <w:sz w:val="19"/>
                <w:szCs w:val="19"/>
              </w:rPr>
              <w:t>11</w:t>
            </w:r>
          </w:p>
        </w:tc>
        <w:tc>
          <w:tcPr>
            <w:tcW w:w="635" w:type="pct"/>
            <w:tcBorders>
              <w:top w:val="nil"/>
              <w:bottom w:val="nil"/>
            </w:tcBorders>
          </w:tcPr>
          <w:p w14:paraId="31D00512" w14:textId="77777777" w:rsidR="00356663" w:rsidRPr="0077156B" w:rsidRDefault="00356663" w:rsidP="00356663">
            <w:pPr>
              <w:spacing w:before="0" w:after="0"/>
              <w:contextualSpacing/>
              <w:jc w:val="center"/>
              <w:rPr>
                <w:sz w:val="19"/>
                <w:szCs w:val="19"/>
              </w:rPr>
            </w:pPr>
            <w:r w:rsidRPr="0077156B">
              <w:rPr>
                <w:sz w:val="19"/>
                <w:szCs w:val="19"/>
              </w:rPr>
              <w:t>4.0–5.2</w:t>
            </w:r>
          </w:p>
        </w:tc>
        <w:tc>
          <w:tcPr>
            <w:tcW w:w="716" w:type="pct"/>
            <w:tcBorders>
              <w:top w:val="nil"/>
              <w:bottom w:val="nil"/>
            </w:tcBorders>
          </w:tcPr>
          <w:p w14:paraId="145F5032" w14:textId="77777777" w:rsidR="00356663" w:rsidRPr="00065C6F" w:rsidRDefault="00356663" w:rsidP="00356663">
            <w:pPr>
              <w:spacing w:before="0" w:after="0"/>
              <w:contextualSpacing/>
              <w:jc w:val="center"/>
              <w:rPr>
                <w:color w:val="auto"/>
                <w:sz w:val="19"/>
                <w:szCs w:val="19"/>
              </w:rPr>
            </w:pPr>
            <w:r w:rsidRPr="00065C6F">
              <w:rPr>
                <w:color w:val="auto"/>
                <w:sz w:val="19"/>
                <w:szCs w:val="19"/>
              </w:rPr>
              <w:t>*</w:t>
            </w:r>
            <w:r>
              <w:rPr>
                <w:color w:val="auto"/>
                <w:sz w:val="19"/>
                <w:szCs w:val="19"/>
              </w:rPr>
              <w:t>3</w:t>
            </w:r>
          </w:p>
        </w:tc>
        <w:tc>
          <w:tcPr>
            <w:tcW w:w="887" w:type="pct"/>
            <w:tcBorders>
              <w:top w:val="nil"/>
              <w:bottom w:val="nil"/>
            </w:tcBorders>
          </w:tcPr>
          <w:p w14:paraId="27943AAC" w14:textId="77777777" w:rsidR="00356663" w:rsidRPr="0077156B" w:rsidRDefault="00356663" w:rsidP="00356663">
            <w:pPr>
              <w:spacing w:before="0" w:after="0"/>
              <w:contextualSpacing/>
              <w:jc w:val="center"/>
              <w:rPr>
                <w:color w:val="FF0000"/>
                <w:sz w:val="19"/>
                <w:szCs w:val="19"/>
              </w:rPr>
            </w:pPr>
            <w:r w:rsidRPr="00742A5D">
              <w:rPr>
                <w:color w:val="auto"/>
                <w:sz w:val="19"/>
                <w:szCs w:val="19"/>
              </w:rPr>
              <w:t>29/11/20</w:t>
            </w:r>
          </w:p>
        </w:tc>
      </w:tr>
      <w:tr w:rsidR="00356663" w:rsidRPr="00C01019" w14:paraId="5B14C7F3" w14:textId="77777777" w:rsidTr="00356663">
        <w:trPr>
          <w:trHeight w:val="340"/>
          <w:jc w:val="center"/>
        </w:trPr>
        <w:tc>
          <w:tcPr>
            <w:tcW w:w="715" w:type="pct"/>
            <w:tcBorders>
              <w:top w:val="nil"/>
              <w:bottom w:val="nil"/>
            </w:tcBorders>
          </w:tcPr>
          <w:p w14:paraId="7B79B2CE" w14:textId="77777777" w:rsidR="00356663" w:rsidRPr="0077156B" w:rsidRDefault="00356663" w:rsidP="00356663">
            <w:pPr>
              <w:spacing w:before="0" w:after="0"/>
              <w:contextualSpacing/>
              <w:jc w:val="center"/>
              <w:rPr>
                <w:sz w:val="19"/>
                <w:szCs w:val="19"/>
              </w:rPr>
            </w:pPr>
            <w:r w:rsidRPr="0077156B">
              <w:rPr>
                <w:sz w:val="19"/>
                <w:szCs w:val="19"/>
              </w:rPr>
              <w:t>Lock 4</w:t>
            </w:r>
          </w:p>
        </w:tc>
        <w:tc>
          <w:tcPr>
            <w:tcW w:w="797" w:type="pct"/>
            <w:tcBorders>
              <w:top w:val="nil"/>
              <w:bottom w:val="nil"/>
            </w:tcBorders>
          </w:tcPr>
          <w:p w14:paraId="06CD80F3" w14:textId="77777777" w:rsidR="00356663" w:rsidRPr="0077156B" w:rsidRDefault="00356663" w:rsidP="00356663">
            <w:pPr>
              <w:spacing w:before="0" w:after="0"/>
              <w:contextualSpacing/>
              <w:jc w:val="center"/>
              <w:rPr>
                <w:sz w:val="19"/>
                <w:szCs w:val="19"/>
              </w:rPr>
            </w:pPr>
            <w:r w:rsidRPr="0077156B">
              <w:rPr>
                <w:sz w:val="19"/>
                <w:szCs w:val="19"/>
              </w:rPr>
              <w:t>2/12/20</w:t>
            </w:r>
          </w:p>
        </w:tc>
        <w:tc>
          <w:tcPr>
            <w:tcW w:w="857" w:type="pct"/>
            <w:tcBorders>
              <w:top w:val="nil"/>
              <w:bottom w:val="nil"/>
            </w:tcBorders>
          </w:tcPr>
          <w:p w14:paraId="14D8A45A"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5625BB67" w14:textId="77777777" w:rsidR="00356663" w:rsidRPr="0077156B" w:rsidRDefault="00356663" w:rsidP="00356663">
            <w:pPr>
              <w:spacing w:before="0" w:after="0"/>
              <w:contextualSpacing/>
              <w:jc w:val="center"/>
              <w:rPr>
                <w:sz w:val="19"/>
                <w:szCs w:val="19"/>
              </w:rPr>
            </w:pPr>
            <w:r w:rsidRPr="0077156B">
              <w:rPr>
                <w:sz w:val="19"/>
                <w:szCs w:val="19"/>
              </w:rPr>
              <w:t>3</w:t>
            </w:r>
          </w:p>
        </w:tc>
        <w:tc>
          <w:tcPr>
            <w:tcW w:w="635" w:type="pct"/>
            <w:tcBorders>
              <w:top w:val="nil"/>
              <w:bottom w:val="nil"/>
            </w:tcBorders>
          </w:tcPr>
          <w:p w14:paraId="00934CCB" w14:textId="77777777" w:rsidR="00356663" w:rsidRPr="0077156B" w:rsidRDefault="00356663" w:rsidP="00356663">
            <w:pPr>
              <w:spacing w:before="0" w:after="0"/>
              <w:contextualSpacing/>
              <w:jc w:val="center"/>
              <w:rPr>
                <w:sz w:val="19"/>
                <w:szCs w:val="19"/>
              </w:rPr>
            </w:pPr>
            <w:r w:rsidRPr="0077156B">
              <w:rPr>
                <w:sz w:val="19"/>
                <w:szCs w:val="19"/>
              </w:rPr>
              <w:t>9.5–10.5</w:t>
            </w:r>
          </w:p>
        </w:tc>
        <w:tc>
          <w:tcPr>
            <w:tcW w:w="716" w:type="pct"/>
            <w:tcBorders>
              <w:top w:val="nil"/>
              <w:bottom w:val="nil"/>
            </w:tcBorders>
          </w:tcPr>
          <w:p w14:paraId="2DF5AA37" w14:textId="77777777" w:rsidR="00356663" w:rsidRPr="00065C6F" w:rsidRDefault="00356663" w:rsidP="00356663">
            <w:pPr>
              <w:spacing w:before="0" w:after="0"/>
              <w:contextualSpacing/>
              <w:jc w:val="center"/>
              <w:rPr>
                <w:color w:val="auto"/>
                <w:sz w:val="19"/>
                <w:szCs w:val="19"/>
              </w:rPr>
            </w:pPr>
            <w:r>
              <w:rPr>
                <w:color w:val="auto"/>
                <w:sz w:val="19"/>
                <w:szCs w:val="19"/>
              </w:rPr>
              <w:t>11–14</w:t>
            </w:r>
          </w:p>
        </w:tc>
        <w:tc>
          <w:tcPr>
            <w:tcW w:w="887" w:type="pct"/>
            <w:tcBorders>
              <w:top w:val="nil"/>
              <w:bottom w:val="nil"/>
            </w:tcBorders>
          </w:tcPr>
          <w:p w14:paraId="448FC8BD" w14:textId="77777777" w:rsidR="00356663" w:rsidRPr="0077156B" w:rsidRDefault="00356663" w:rsidP="00356663">
            <w:pPr>
              <w:spacing w:before="0" w:after="0"/>
              <w:contextualSpacing/>
              <w:jc w:val="center"/>
              <w:rPr>
                <w:sz w:val="19"/>
                <w:szCs w:val="19"/>
              </w:rPr>
            </w:pPr>
            <w:r>
              <w:rPr>
                <w:sz w:val="19"/>
                <w:szCs w:val="19"/>
              </w:rPr>
              <w:t>18–21/11/20</w:t>
            </w:r>
          </w:p>
        </w:tc>
      </w:tr>
      <w:tr w:rsidR="00356663" w:rsidRPr="00C01019" w14:paraId="53A03753" w14:textId="77777777" w:rsidTr="00356663">
        <w:trPr>
          <w:trHeight w:val="340"/>
          <w:jc w:val="center"/>
        </w:trPr>
        <w:tc>
          <w:tcPr>
            <w:tcW w:w="715" w:type="pct"/>
            <w:tcBorders>
              <w:top w:val="nil"/>
              <w:bottom w:val="nil"/>
            </w:tcBorders>
          </w:tcPr>
          <w:p w14:paraId="474789CC"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1E7E2CC1" w14:textId="77777777" w:rsidR="00356663" w:rsidRPr="0077156B" w:rsidRDefault="00356663" w:rsidP="00356663">
            <w:pPr>
              <w:spacing w:before="0" w:after="0"/>
              <w:contextualSpacing/>
              <w:jc w:val="center"/>
              <w:rPr>
                <w:sz w:val="19"/>
                <w:szCs w:val="19"/>
              </w:rPr>
            </w:pPr>
            <w:r w:rsidRPr="0077156B">
              <w:rPr>
                <w:sz w:val="19"/>
                <w:szCs w:val="19"/>
              </w:rPr>
              <w:t>3/12/20</w:t>
            </w:r>
          </w:p>
        </w:tc>
        <w:tc>
          <w:tcPr>
            <w:tcW w:w="857" w:type="pct"/>
            <w:tcBorders>
              <w:top w:val="nil"/>
              <w:bottom w:val="nil"/>
            </w:tcBorders>
          </w:tcPr>
          <w:p w14:paraId="6987B330" w14:textId="77777777" w:rsidR="00356663" w:rsidRPr="0077156B" w:rsidRDefault="00356663" w:rsidP="00356663">
            <w:pPr>
              <w:spacing w:before="0" w:after="0"/>
              <w:contextualSpacing/>
              <w:jc w:val="center"/>
              <w:rPr>
                <w:sz w:val="19"/>
                <w:szCs w:val="19"/>
              </w:rPr>
            </w:pPr>
            <w:r w:rsidRPr="0077156B">
              <w:rPr>
                <w:sz w:val="19"/>
                <w:szCs w:val="19"/>
              </w:rPr>
              <w:t>Golden perch</w:t>
            </w:r>
          </w:p>
        </w:tc>
        <w:tc>
          <w:tcPr>
            <w:tcW w:w="393" w:type="pct"/>
            <w:tcBorders>
              <w:top w:val="nil"/>
              <w:bottom w:val="nil"/>
            </w:tcBorders>
          </w:tcPr>
          <w:p w14:paraId="15F238CB" w14:textId="77777777" w:rsidR="00356663" w:rsidRPr="0077156B" w:rsidRDefault="00356663" w:rsidP="00356663">
            <w:pPr>
              <w:spacing w:before="0" w:after="0"/>
              <w:contextualSpacing/>
              <w:jc w:val="center"/>
              <w:rPr>
                <w:sz w:val="19"/>
                <w:szCs w:val="19"/>
              </w:rPr>
            </w:pPr>
            <w:r w:rsidRPr="0077156B">
              <w:rPr>
                <w:sz w:val="19"/>
                <w:szCs w:val="19"/>
              </w:rPr>
              <w:t>1</w:t>
            </w:r>
          </w:p>
        </w:tc>
        <w:tc>
          <w:tcPr>
            <w:tcW w:w="635" w:type="pct"/>
            <w:tcBorders>
              <w:top w:val="nil"/>
              <w:bottom w:val="nil"/>
            </w:tcBorders>
          </w:tcPr>
          <w:p w14:paraId="08797CFF" w14:textId="77777777" w:rsidR="00356663" w:rsidRPr="0077156B" w:rsidRDefault="00356663" w:rsidP="00356663">
            <w:pPr>
              <w:spacing w:before="0" w:after="0"/>
              <w:contextualSpacing/>
              <w:jc w:val="center"/>
              <w:rPr>
                <w:sz w:val="19"/>
                <w:szCs w:val="19"/>
              </w:rPr>
            </w:pPr>
            <w:r w:rsidRPr="0077156B">
              <w:rPr>
                <w:sz w:val="19"/>
                <w:szCs w:val="19"/>
              </w:rPr>
              <w:t>8.2</w:t>
            </w:r>
          </w:p>
        </w:tc>
        <w:tc>
          <w:tcPr>
            <w:tcW w:w="716" w:type="pct"/>
            <w:tcBorders>
              <w:top w:val="nil"/>
              <w:bottom w:val="nil"/>
            </w:tcBorders>
          </w:tcPr>
          <w:p w14:paraId="37BCED6C" w14:textId="77777777" w:rsidR="00356663" w:rsidRPr="00065C6F" w:rsidRDefault="00356663" w:rsidP="00356663">
            <w:pPr>
              <w:spacing w:before="0" w:after="0"/>
              <w:contextualSpacing/>
              <w:jc w:val="center"/>
              <w:rPr>
                <w:color w:val="auto"/>
                <w:sz w:val="19"/>
                <w:szCs w:val="19"/>
              </w:rPr>
            </w:pPr>
            <w:r>
              <w:rPr>
                <w:color w:val="auto"/>
                <w:sz w:val="19"/>
                <w:szCs w:val="19"/>
              </w:rPr>
              <w:t>10</w:t>
            </w:r>
          </w:p>
        </w:tc>
        <w:tc>
          <w:tcPr>
            <w:tcW w:w="887" w:type="pct"/>
            <w:tcBorders>
              <w:top w:val="nil"/>
              <w:bottom w:val="nil"/>
            </w:tcBorders>
          </w:tcPr>
          <w:p w14:paraId="65ED1735" w14:textId="77777777" w:rsidR="00356663" w:rsidRPr="0077156B" w:rsidRDefault="00356663" w:rsidP="00356663">
            <w:pPr>
              <w:spacing w:before="0" w:after="0"/>
              <w:contextualSpacing/>
              <w:jc w:val="center"/>
              <w:rPr>
                <w:sz w:val="19"/>
                <w:szCs w:val="19"/>
              </w:rPr>
            </w:pPr>
            <w:r>
              <w:rPr>
                <w:sz w:val="19"/>
                <w:szCs w:val="19"/>
              </w:rPr>
              <w:t>23/11/20</w:t>
            </w:r>
          </w:p>
        </w:tc>
      </w:tr>
      <w:tr w:rsidR="00356663" w:rsidRPr="00C01019" w14:paraId="2FB84EF7" w14:textId="77777777" w:rsidTr="00356663">
        <w:trPr>
          <w:trHeight w:val="340"/>
          <w:jc w:val="center"/>
        </w:trPr>
        <w:tc>
          <w:tcPr>
            <w:tcW w:w="715" w:type="pct"/>
            <w:tcBorders>
              <w:top w:val="nil"/>
              <w:bottom w:val="nil"/>
            </w:tcBorders>
          </w:tcPr>
          <w:p w14:paraId="44775AA5" w14:textId="77777777" w:rsidR="00356663" w:rsidRPr="0077156B" w:rsidRDefault="00356663" w:rsidP="00356663">
            <w:pPr>
              <w:spacing w:before="0" w:after="0"/>
              <w:contextualSpacing/>
              <w:jc w:val="center"/>
              <w:rPr>
                <w:sz w:val="19"/>
                <w:szCs w:val="19"/>
              </w:rPr>
            </w:pPr>
            <w:r w:rsidRPr="0077156B">
              <w:rPr>
                <w:sz w:val="19"/>
                <w:szCs w:val="19"/>
              </w:rPr>
              <w:t>Lock 4</w:t>
            </w:r>
          </w:p>
        </w:tc>
        <w:tc>
          <w:tcPr>
            <w:tcW w:w="797" w:type="pct"/>
            <w:tcBorders>
              <w:top w:val="nil"/>
              <w:bottom w:val="nil"/>
            </w:tcBorders>
          </w:tcPr>
          <w:p w14:paraId="31DD5092" w14:textId="77777777" w:rsidR="00356663" w:rsidRPr="0077156B" w:rsidRDefault="00356663" w:rsidP="00356663">
            <w:pPr>
              <w:spacing w:before="0" w:after="0"/>
              <w:contextualSpacing/>
              <w:jc w:val="center"/>
              <w:rPr>
                <w:sz w:val="19"/>
                <w:szCs w:val="19"/>
              </w:rPr>
            </w:pPr>
            <w:r w:rsidRPr="0077156B">
              <w:rPr>
                <w:sz w:val="19"/>
                <w:szCs w:val="19"/>
              </w:rPr>
              <w:t>7/12/20</w:t>
            </w:r>
          </w:p>
        </w:tc>
        <w:tc>
          <w:tcPr>
            <w:tcW w:w="857" w:type="pct"/>
            <w:tcBorders>
              <w:top w:val="nil"/>
              <w:bottom w:val="nil"/>
            </w:tcBorders>
          </w:tcPr>
          <w:p w14:paraId="1268C8B5" w14:textId="77777777" w:rsidR="00356663" w:rsidRPr="0077156B" w:rsidRDefault="00356663" w:rsidP="00356663">
            <w:pPr>
              <w:spacing w:before="0" w:after="0"/>
              <w:contextualSpacing/>
              <w:jc w:val="center"/>
              <w:rPr>
                <w:sz w:val="19"/>
                <w:szCs w:val="19"/>
              </w:rPr>
            </w:pPr>
            <w:r w:rsidRPr="0077156B">
              <w:rPr>
                <w:sz w:val="19"/>
                <w:szCs w:val="19"/>
              </w:rPr>
              <w:t>Golden perch</w:t>
            </w:r>
          </w:p>
        </w:tc>
        <w:tc>
          <w:tcPr>
            <w:tcW w:w="393" w:type="pct"/>
            <w:tcBorders>
              <w:top w:val="nil"/>
              <w:bottom w:val="nil"/>
            </w:tcBorders>
          </w:tcPr>
          <w:p w14:paraId="58E88F29" w14:textId="77777777" w:rsidR="00356663" w:rsidRPr="0077156B" w:rsidRDefault="00356663" w:rsidP="00356663">
            <w:pPr>
              <w:spacing w:before="0" w:after="0"/>
              <w:contextualSpacing/>
              <w:jc w:val="center"/>
              <w:rPr>
                <w:sz w:val="19"/>
                <w:szCs w:val="19"/>
              </w:rPr>
            </w:pPr>
            <w:r w:rsidRPr="0077156B">
              <w:rPr>
                <w:sz w:val="19"/>
                <w:szCs w:val="19"/>
              </w:rPr>
              <w:t>2</w:t>
            </w:r>
          </w:p>
        </w:tc>
        <w:tc>
          <w:tcPr>
            <w:tcW w:w="635" w:type="pct"/>
            <w:tcBorders>
              <w:top w:val="nil"/>
              <w:bottom w:val="nil"/>
            </w:tcBorders>
          </w:tcPr>
          <w:p w14:paraId="6CC8F5B4" w14:textId="77777777" w:rsidR="00356663" w:rsidRPr="0077156B" w:rsidRDefault="00356663" w:rsidP="00356663">
            <w:pPr>
              <w:spacing w:before="0" w:after="0"/>
              <w:contextualSpacing/>
              <w:jc w:val="center"/>
              <w:rPr>
                <w:sz w:val="19"/>
                <w:szCs w:val="19"/>
              </w:rPr>
            </w:pPr>
            <w:r w:rsidRPr="0077156B">
              <w:rPr>
                <w:sz w:val="19"/>
                <w:szCs w:val="19"/>
              </w:rPr>
              <w:t>5.5–6.0</w:t>
            </w:r>
          </w:p>
        </w:tc>
        <w:tc>
          <w:tcPr>
            <w:tcW w:w="716" w:type="pct"/>
            <w:tcBorders>
              <w:top w:val="nil"/>
              <w:bottom w:val="nil"/>
            </w:tcBorders>
          </w:tcPr>
          <w:p w14:paraId="7486E41D" w14:textId="77777777" w:rsidR="00356663" w:rsidRPr="00065C6F" w:rsidRDefault="00356663" w:rsidP="00356663">
            <w:pPr>
              <w:spacing w:before="0" w:after="0"/>
              <w:contextualSpacing/>
              <w:jc w:val="center"/>
              <w:rPr>
                <w:color w:val="auto"/>
                <w:sz w:val="19"/>
                <w:szCs w:val="19"/>
              </w:rPr>
            </w:pPr>
            <w:r>
              <w:rPr>
                <w:color w:val="auto"/>
                <w:sz w:val="19"/>
                <w:szCs w:val="19"/>
              </w:rPr>
              <w:t>5</w:t>
            </w:r>
          </w:p>
        </w:tc>
        <w:tc>
          <w:tcPr>
            <w:tcW w:w="887" w:type="pct"/>
            <w:tcBorders>
              <w:top w:val="nil"/>
              <w:bottom w:val="nil"/>
            </w:tcBorders>
          </w:tcPr>
          <w:p w14:paraId="75EA11C3" w14:textId="77777777" w:rsidR="00356663" w:rsidRPr="0077156B" w:rsidRDefault="00356663" w:rsidP="00356663">
            <w:pPr>
              <w:spacing w:before="0" w:after="0"/>
              <w:contextualSpacing/>
              <w:jc w:val="center"/>
              <w:rPr>
                <w:sz w:val="19"/>
                <w:szCs w:val="19"/>
              </w:rPr>
            </w:pPr>
            <w:r>
              <w:rPr>
                <w:sz w:val="19"/>
                <w:szCs w:val="19"/>
              </w:rPr>
              <w:t>2/12/20</w:t>
            </w:r>
          </w:p>
        </w:tc>
      </w:tr>
      <w:tr w:rsidR="00356663" w:rsidRPr="00C01019" w14:paraId="513A6C89" w14:textId="77777777" w:rsidTr="00356663">
        <w:trPr>
          <w:trHeight w:val="340"/>
          <w:jc w:val="center"/>
        </w:trPr>
        <w:tc>
          <w:tcPr>
            <w:tcW w:w="715" w:type="pct"/>
            <w:tcBorders>
              <w:top w:val="nil"/>
              <w:bottom w:val="nil"/>
            </w:tcBorders>
          </w:tcPr>
          <w:p w14:paraId="4CBA2D93"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1D73440F" w14:textId="77777777" w:rsidR="00356663" w:rsidRPr="0077156B" w:rsidRDefault="00356663" w:rsidP="00356663">
            <w:pPr>
              <w:spacing w:before="0" w:after="0"/>
              <w:contextualSpacing/>
              <w:jc w:val="center"/>
              <w:rPr>
                <w:sz w:val="19"/>
                <w:szCs w:val="19"/>
              </w:rPr>
            </w:pPr>
            <w:r w:rsidRPr="0077156B">
              <w:rPr>
                <w:sz w:val="19"/>
                <w:szCs w:val="19"/>
              </w:rPr>
              <w:t>8/12/20</w:t>
            </w:r>
          </w:p>
        </w:tc>
        <w:tc>
          <w:tcPr>
            <w:tcW w:w="857" w:type="pct"/>
            <w:tcBorders>
              <w:top w:val="nil"/>
              <w:bottom w:val="nil"/>
            </w:tcBorders>
          </w:tcPr>
          <w:p w14:paraId="6A06BD40" w14:textId="77777777" w:rsidR="00356663" w:rsidRPr="0077156B" w:rsidRDefault="00356663" w:rsidP="00356663">
            <w:pPr>
              <w:spacing w:before="0" w:after="0"/>
              <w:contextualSpacing/>
              <w:jc w:val="center"/>
              <w:rPr>
                <w:sz w:val="19"/>
                <w:szCs w:val="19"/>
              </w:rPr>
            </w:pPr>
            <w:r w:rsidRPr="0077156B">
              <w:rPr>
                <w:sz w:val="19"/>
                <w:szCs w:val="19"/>
              </w:rPr>
              <w:t>Golden perch</w:t>
            </w:r>
          </w:p>
        </w:tc>
        <w:tc>
          <w:tcPr>
            <w:tcW w:w="393" w:type="pct"/>
            <w:tcBorders>
              <w:top w:val="nil"/>
              <w:bottom w:val="nil"/>
            </w:tcBorders>
          </w:tcPr>
          <w:p w14:paraId="1F973D3C" w14:textId="77777777" w:rsidR="00356663" w:rsidRPr="0077156B" w:rsidRDefault="00356663" w:rsidP="00356663">
            <w:pPr>
              <w:spacing w:before="0" w:after="0"/>
              <w:contextualSpacing/>
              <w:jc w:val="center"/>
              <w:rPr>
                <w:sz w:val="19"/>
                <w:szCs w:val="19"/>
              </w:rPr>
            </w:pPr>
            <w:r w:rsidRPr="0077156B">
              <w:rPr>
                <w:sz w:val="19"/>
                <w:szCs w:val="19"/>
              </w:rPr>
              <w:t>1</w:t>
            </w:r>
          </w:p>
        </w:tc>
        <w:tc>
          <w:tcPr>
            <w:tcW w:w="635" w:type="pct"/>
            <w:tcBorders>
              <w:top w:val="nil"/>
              <w:bottom w:val="nil"/>
            </w:tcBorders>
          </w:tcPr>
          <w:p w14:paraId="0814D961" w14:textId="77777777" w:rsidR="00356663" w:rsidRPr="0077156B" w:rsidRDefault="00356663" w:rsidP="00356663">
            <w:pPr>
              <w:spacing w:before="0" w:after="0"/>
              <w:contextualSpacing/>
              <w:jc w:val="center"/>
              <w:rPr>
                <w:sz w:val="19"/>
                <w:szCs w:val="19"/>
              </w:rPr>
            </w:pPr>
            <w:r w:rsidRPr="0077156B">
              <w:rPr>
                <w:sz w:val="19"/>
                <w:szCs w:val="19"/>
              </w:rPr>
              <w:t>4.5</w:t>
            </w:r>
          </w:p>
        </w:tc>
        <w:tc>
          <w:tcPr>
            <w:tcW w:w="716" w:type="pct"/>
            <w:tcBorders>
              <w:top w:val="nil"/>
              <w:bottom w:val="nil"/>
            </w:tcBorders>
          </w:tcPr>
          <w:p w14:paraId="22E402A8" w14:textId="77777777" w:rsidR="00356663" w:rsidRPr="00065C6F" w:rsidRDefault="00356663" w:rsidP="00356663">
            <w:pPr>
              <w:spacing w:before="0" w:after="0"/>
              <w:contextualSpacing/>
              <w:jc w:val="center"/>
              <w:rPr>
                <w:color w:val="auto"/>
                <w:sz w:val="19"/>
                <w:szCs w:val="19"/>
              </w:rPr>
            </w:pPr>
            <w:r w:rsidRPr="00065C6F">
              <w:rPr>
                <w:color w:val="auto"/>
                <w:sz w:val="19"/>
                <w:szCs w:val="19"/>
              </w:rPr>
              <w:t>*</w:t>
            </w:r>
            <w:r>
              <w:rPr>
                <w:color w:val="auto"/>
                <w:sz w:val="19"/>
                <w:szCs w:val="19"/>
              </w:rPr>
              <w:t>3</w:t>
            </w:r>
          </w:p>
        </w:tc>
        <w:tc>
          <w:tcPr>
            <w:tcW w:w="887" w:type="pct"/>
            <w:tcBorders>
              <w:top w:val="nil"/>
              <w:bottom w:val="nil"/>
            </w:tcBorders>
          </w:tcPr>
          <w:p w14:paraId="2046A526" w14:textId="77777777" w:rsidR="00356663" w:rsidRPr="0077156B" w:rsidRDefault="00356663" w:rsidP="00356663">
            <w:pPr>
              <w:spacing w:before="0" w:after="0"/>
              <w:contextualSpacing/>
              <w:jc w:val="center"/>
              <w:rPr>
                <w:sz w:val="19"/>
                <w:szCs w:val="19"/>
              </w:rPr>
            </w:pPr>
            <w:r>
              <w:rPr>
                <w:sz w:val="19"/>
                <w:szCs w:val="19"/>
              </w:rPr>
              <w:t>5/12/20</w:t>
            </w:r>
          </w:p>
        </w:tc>
      </w:tr>
      <w:tr w:rsidR="00356663" w:rsidRPr="00C01019" w14:paraId="375661BD" w14:textId="77777777" w:rsidTr="00356663">
        <w:trPr>
          <w:trHeight w:val="340"/>
          <w:jc w:val="center"/>
        </w:trPr>
        <w:tc>
          <w:tcPr>
            <w:tcW w:w="715" w:type="pct"/>
            <w:tcBorders>
              <w:top w:val="nil"/>
              <w:bottom w:val="nil"/>
            </w:tcBorders>
          </w:tcPr>
          <w:p w14:paraId="4962936B"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65BE4CEE" w14:textId="77777777" w:rsidR="00356663" w:rsidRPr="0077156B" w:rsidRDefault="00356663" w:rsidP="00356663">
            <w:pPr>
              <w:spacing w:before="0" w:after="0"/>
              <w:contextualSpacing/>
              <w:jc w:val="center"/>
              <w:rPr>
                <w:sz w:val="19"/>
                <w:szCs w:val="19"/>
              </w:rPr>
            </w:pPr>
            <w:r w:rsidRPr="0077156B">
              <w:rPr>
                <w:sz w:val="19"/>
                <w:szCs w:val="19"/>
              </w:rPr>
              <w:t>8/12/20</w:t>
            </w:r>
          </w:p>
        </w:tc>
        <w:tc>
          <w:tcPr>
            <w:tcW w:w="857" w:type="pct"/>
            <w:tcBorders>
              <w:top w:val="nil"/>
              <w:bottom w:val="nil"/>
            </w:tcBorders>
          </w:tcPr>
          <w:p w14:paraId="509A373A"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47459412" w14:textId="77777777" w:rsidR="00356663" w:rsidRPr="0077156B" w:rsidRDefault="00356663" w:rsidP="00356663">
            <w:pPr>
              <w:spacing w:before="0" w:after="0"/>
              <w:contextualSpacing/>
              <w:jc w:val="center"/>
              <w:rPr>
                <w:sz w:val="19"/>
                <w:szCs w:val="19"/>
              </w:rPr>
            </w:pPr>
            <w:r w:rsidRPr="0077156B">
              <w:rPr>
                <w:sz w:val="19"/>
                <w:szCs w:val="19"/>
              </w:rPr>
              <w:t>1</w:t>
            </w:r>
          </w:p>
        </w:tc>
        <w:tc>
          <w:tcPr>
            <w:tcW w:w="635" w:type="pct"/>
            <w:tcBorders>
              <w:top w:val="nil"/>
              <w:bottom w:val="nil"/>
            </w:tcBorders>
          </w:tcPr>
          <w:p w14:paraId="534E54DF" w14:textId="77777777" w:rsidR="00356663" w:rsidRPr="0077156B" w:rsidRDefault="00356663" w:rsidP="00356663">
            <w:pPr>
              <w:spacing w:before="0" w:after="0"/>
              <w:contextualSpacing/>
              <w:jc w:val="center"/>
              <w:rPr>
                <w:sz w:val="19"/>
                <w:szCs w:val="19"/>
              </w:rPr>
            </w:pPr>
            <w:r w:rsidRPr="0077156B">
              <w:rPr>
                <w:sz w:val="19"/>
                <w:szCs w:val="19"/>
              </w:rPr>
              <w:t>10.5</w:t>
            </w:r>
          </w:p>
        </w:tc>
        <w:tc>
          <w:tcPr>
            <w:tcW w:w="716" w:type="pct"/>
            <w:tcBorders>
              <w:top w:val="nil"/>
              <w:bottom w:val="nil"/>
            </w:tcBorders>
          </w:tcPr>
          <w:p w14:paraId="7F1AE326" w14:textId="77777777" w:rsidR="00356663" w:rsidRPr="0077156B" w:rsidRDefault="00356663" w:rsidP="00356663">
            <w:pPr>
              <w:spacing w:before="0" w:after="0"/>
              <w:contextualSpacing/>
              <w:jc w:val="center"/>
              <w:rPr>
                <w:sz w:val="19"/>
                <w:szCs w:val="19"/>
              </w:rPr>
            </w:pPr>
            <w:r>
              <w:rPr>
                <w:sz w:val="19"/>
                <w:szCs w:val="19"/>
              </w:rPr>
              <w:t>15</w:t>
            </w:r>
          </w:p>
        </w:tc>
        <w:tc>
          <w:tcPr>
            <w:tcW w:w="887" w:type="pct"/>
            <w:tcBorders>
              <w:top w:val="nil"/>
              <w:bottom w:val="nil"/>
            </w:tcBorders>
          </w:tcPr>
          <w:p w14:paraId="45891779" w14:textId="77777777" w:rsidR="00356663" w:rsidRPr="0077156B" w:rsidRDefault="00356663" w:rsidP="00356663">
            <w:pPr>
              <w:spacing w:before="0" w:after="0"/>
              <w:contextualSpacing/>
              <w:jc w:val="center"/>
              <w:rPr>
                <w:sz w:val="19"/>
                <w:szCs w:val="19"/>
              </w:rPr>
            </w:pPr>
            <w:r>
              <w:rPr>
                <w:sz w:val="19"/>
                <w:szCs w:val="19"/>
              </w:rPr>
              <w:t>23/11/20</w:t>
            </w:r>
          </w:p>
        </w:tc>
      </w:tr>
      <w:tr w:rsidR="00356663" w:rsidRPr="00C01019" w14:paraId="5A7A8934" w14:textId="77777777" w:rsidTr="00356663">
        <w:trPr>
          <w:trHeight w:val="340"/>
          <w:jc w:val="center"/>
        </w:trPr>
        <w:tc>
          <w:tcPr>
            <w:tcW w:w="715" w:type="pct"/>
            <w:tcBorders>
              <w:top w:val="nil"/>
              <w:bottom w:val="nil"/>
            </w:tcBorders>
          </w:tcPr>
          <w:p w14:paraId="07F04EE7" w14:textId="77777777" w:rsidR="00356663" w:rsidRPr="0077156B" w:rsidRDefault="00356663" w:rsidP="00356663">
            <w:pPr>
              <w:spacing w:before="0" w:after="0"/>
              <w:contextualSpacing/>
              <w:jc w:val="center"/>
              <w:rPr>
                <w:sz w:val="19"/>
                <w:szCs w:val="19"/>
              </w:rPr>
            </w:pPr>
            <w:r w:rsidRPr="0077156B">
              <w:rPr>
                <w:sz w:val="19"/>
                <w:szCs w:val="19"/>
              </w:rPr>
              <w:t>Lock 1</w:t>
            </w:r>
          </w:p>
        </w:tc>
        <w:tc>
          <w:tcPr>
            <w:tcW w:w="797" w:type="pct"/>
            <w:tcBorders>
              <w:top w:val="nil"/>
              <w:bottom w:val="nil"/>
            </w:tcBorders>
          </w:tcPr>
          <w:p w14:paraId="290FB316" w14:textId="77777777" w:rsidR="00356663" w:rsidRPr="0077156B" w:rsidRDefault="00356663" w:rsidP="00356663">
            <w:pPr>
              <w:spacing w:before="0" w:after="0"/>
              <w:contextualSpacing/>
              <w:jc w:val="center"/>
              <w:rPr>
                <w:sz w:val="19"/>
                <w:szCs w:val="19"/>
              </w:rPr>
            </w:pPr>
            <w:r w:rsidRPr="0077156B">
              <w:rPr>
                <w:sz w:val="19"/>
                <w:szCs w:val="19"/>
              </w:rPr>
              <w:t>16/12/20</w:t>
            </w:r>
          </w:p>
        </w:tc>
        <w:tc>
          <w:tcPr>
            <w:tcW w:w="857" w:type="pct"/>
            <w:tcBorders>
              <w:top w:val="nil"/>
              <w:bottom w:val="nil"/>
            </w:tcBorders>
          </w:tcPr>
          <w:p w14:paraId="5A560B30"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31F8131F" w14:textId="77777777" w:rsidR="00356663" w:rsidRPr="0077156B" w:rsidRDefault="00356663" w:rsidP="00356663">
            <w:pPr>
              <w:spacing w:before="0" w:after="0"/>
              <w:contextualSpacing/>
              <w:jc w:val="center"/>
              <w:rPr>
                <w:sz w:val="19"/>
                <w:szCs w:val="19"/>
              </w:rPr>
            </w:pPr>
            <w:r w:rsidRPr="0077156B">
              <w:rPr>
                <w:sz w:val="19"/>
                <w:szCs w:val="19"/>
              </w:rPr>
              <w:t>2</w:t>
            </w:r>
          </w:p>
        </w:tc>
        <w:tc>
          <w:tcPr>
            <w:tcW w:w="635" w:type="pct"/>
            <w:tcBorders>
              <w:top w:val="nil"/>
              <w:bottom w:val="nil"/>
            </w:tcBorders>
          </w:tcPr>
          <w:p w14:paraId="15024835" w14:textId="77777777" w:rsidR="00356663" w:rsidRPr="0077156B" w:rsidRDefault="00356663" w:rsidP="00356663">
            <w:pPr>
              <w:spacing w:before="0" w:after="0"/>
              <w:contextualSpacing/>
              <w:jc w:val="center"/>
              <w:rPr>
                <w:sz w:val="19"/>
                <w:szCs w:val="19"/>
              </w:rPr>
            </w:pPr>
            <w:r w:rsidRPr="0077156B">
              <w:rPr>
                <w:sz w:val="19"/>
                <w:szCs w:val="19"/>
              </w:rPr>
              <w:t>11.5–14.5</w:t>
            </w:r>
          </w:p>
        </w:tc>
        <w:tc>
          <w:tcPr>
            <w:tcW w:w="716" w:type="pct"/>
            <w:tcBorders>
              <w:top w:val="nil"/>
              <w:bottom w:val="nil"/>
            </w:tcBorders>
          </w:tcPr>
          <w:p w14:paraId="1398D8B9" w14:textId="77777777" w:rsidR="00356663" w:rsidRPr="0077156B" w:rsidRDefault="00356663" w:rsidP="00356663">
            <w:pPr>
              <w:spacing w:before="0" w:after="0"/>
              <w:contextualSpacing/>
              <w:jc w:val="center"/>
              <w:rPr>
                <w:sz w:val="19"/>
                <w:szCs w:val="19"/>
              </w:rPr>
            </w:pPr>
            <w:r>
              <w:rPr>
                <w:sz w:val="19"/>
                <w:szCs w:val="19"/>
              </w:rPr>
              <w:t>16–24</w:t>
            </w:r>
          </w:p>
        </w:tc>
        <w:tc>
          <w:tcPr>
            <w:tcW w:w="887" w:type="pct"/>
            <w:tcBorders>
              <w:top w:val="nil"/>
              <w:bottom w:val="nil"/>
            </w:tcBorders>
          </w:tcPr>
          <w:p w14:paraId="69BEDEE9" w14:textId="77777777" w:rsidR="00356663" w:rsidRPr="0077156B" w:rsidRDefault="00356663" w:rsidP="00356663">
            <w:pPr>
              <w:spacing w:before="0" w:after="0"/>
              <w:contextualSpacing/>
              <w:jc w:val="center"/>
              <w:rPr>
                <w:sz w:val="19"/>
                <w:szCs w:val="19"/>
              </w:rPr>
            </w:pPr>
            <w:r>
              <w:rPr>
                <w:sz w:val="19"/>
                <w:szCs w:val="19"/>
              </w:rPr>
              <w:t>22–30/11/20</w:t>
            </w:r>
          </w:p>
        </w:tc>
      </w:tr>
      <w:tr w:rsidR="00356663" w:rsidRPr="00C01019" w14:paraId="2CC46585" w14:textId="77777777" w:rsidTr="00356663">
        <w:trPr>
          <w:trHeight w:val="340"/>
          <w:jc w:val="center"/>
        </w:trPr>
        <w:tc>
          <w:tcPr>
            <w:tcW w:w="715" w:type="pct"/>
            <w:tcBorders>
              <w:top w:val="nil"/>
              <w:bottom w:val="nil"/>
            </w:tcBorders>
          </w:tcPr>
          <w:p w14:paraId="29EE73B2"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Lock 6</w:t>
            </w:r>
          </w:p>
        </w:tc>
        <w:tc>
          <w:tcPr>
            <w:tcW w:w="797" w:type="pct"/>
            <w:tcBorders>
              <w:top w:val="nil"/>
              <w:bottom w:val="nil"/>
            </w:tcBorders>
          </w:tcPr>
          <w:p w14:paraId="3BD94B68"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16/12/20</w:t>
            </w:r>
          </w:p>
        </w:tc>
        <w:tc>
          <w:tcPr>
            <w:tcW w:w="857" w:type="pct"/>
            <w:tcBorders>
              <w:top w:val="nil"/>
              <w:bottom w:val="nil"/>
            </w:tcBorders>
          </w:tcPr>
          <w:p w14:paraId="1A2EA329"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Golden perch</w:t>
            </w:r>
          </w:p>
        </w:tc>
        <w:tc>
          <w:tcPr>
            <w:tcW w:w="393" w:type="pct"/>
            <w:tcBorders>
              <w:top w:val="nil"/>
              <w:bottom w:val="nil"/>
            </w:tcBorders>
          </w:tcPr>
          <w:p w14:paraId="0A360F39"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1</w:t>
            </w:r>
          </w:p>
        </w:tc>
        <w:tc>
          <w:tcPr>
            <w:tcW w:w="635" w:type="pct"/>
            <w:tcBorders>
              <w:top w:val="nil"/>
              <w:bottom w:val="nil"/>
            </w:tcBorders>
          </w:tcPr>
          <w:p w14:paraId="56F2C171"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12.5</w:t>
            </w:r>
          </w:p>
        </w:tc>
        <w:tc>
          <w:tcPr>
            <w:tcW w:w="716" w:type="pct"/>
            <w:tcBorders>
              <w:top w:val="nil"/>
              <w:bottom w:val="nil"/>
            </w:tcBorders>
          </w:tcPr>
          <w:p w14:paraId="39F3EDAF"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22</w:t>
            </w:r>
          </w:p>
        </w:tc>
        <w:tc>
          <w:tcPr>
            <w:tcW w:w="887" w:type="pct"/>
            <w:tcBorders>
              <w:top w:val="nil"/>
              <w:bottom w:val="nil"/>
            </w:tcBorders>
          </w:tcPr>
          <w:p w14:paraId="5DF2200C" w14:textId="77777777" w:rsidR="00356663" w:rsidRPr="00620529" w:rsidRDefault="00356663" w:rsidP="00356663">
            <w:pPr>
              <w:spacing w:before="0" w:after="0"/>
              <w:contextualSpacing/>
              <w:jc w:val="center"/>
              <w:rPr>
                <w:color w:val="auto"/>
                <w:sz w:val="19"/>
                <w:szCs w:val="19"/>
              </w:rPr>
            </w:pPr>
            <w:r w:rsidRPr="00620529">
              <w:rPr>
                <w:color w:val="auto"/>
                <w:sz w:val="19"/>
                <w:szCs w:val="19"/>
              </w:rPr>
              <w:t>24/11/20</w:t>
            </w:r>
          </w:p>
        </w:tc>
      </w:tr>
      <w:tr w:rsidR="00356663" w:rsidRPr="00C01019" w14:paraId="0D2029FF" w14:textId="77777777" w:rsidTr="00356663">
        <w:trPr>
          <w:trHeight w:val="340"/>
          <w:jc w:val="center"/>
        </w:trPr>
        <w:tc>
          <w:tcPr>
            <w:tcW w:w="715" w:type="pct"/>
            <w:tcBorders>
              <w:top w:val="nil"/>
              <w:bottom w:val="nil"/>
            </w:tcBorders>
          </w:tcPr>
          <w:p w14:paraId="05776E25"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51C93837" w14:textId="77777777" w:rsidR="00356663" w:rsidRPr="0077156B" w:rsidRDefault="00356663" w:rsidP="00356663">
            <w:pPr>
              <w:spacing w:before="0" w:after="0"/>
              <w:contextualSpacing/>
              <w:jc w:val="center"/>
              <w:rPr>
                <w:sz w:val="19"/>
                <w:szCs w:val="19"/>
              </w:rPr>
            </w:pPr>
            <w:r w:rsidRPr="0077156B">
              <w:rPr>
                <w:sz w:val="19"/>
                <w:szCs w:val="19"/>
              </w:rPr>
              <w:t>16/12/20</w:t>
            </w:r>
          </w:p>
        </w:tc>
        <w:tc>
          <w:tcPr>
            <w:tcW w:w="857" w:type="pct"/>
            <w:tcBorders>
              <w:top w:val="nil"/>
              <w:bottom w:val="nil"/>
            </w:tcBorders>
          </w:tcPr>
          <w:p w14:paraId="2F7E675B"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1F4FCB94" w14:textId="77777777" w:rsidR="00356663" w:rsidRPr="0077156B" w:rsidRDefault="00356663" w:rsidP="00356663">
            <w:pPr>
              <w:spacing w:before="0" w:after="0"/>
              <w:contextualSpacing/>
              <w:jc w:val="center"/>
              <w:rPr>
                <w:sz w:val="19"/>
                <w:szCs w:val="19"/>
              </w:rPr>
            </w:pPr>
            <w:r w:rsidRPr="0077156B">
              <w:rPr>
                <w:sz w:val="19"/>
                <w:szCs w:val="19"/>
              </w:rPr>
              <w:t>85</w:t>
            </w:r>
          </w:p>
        </w:tc>
        <w:tc>
          <w:tcPr>
            <w:tcW w:w="635" w:type="pct"/>
            <w:tcBorders>
              <w:top w:val="nil"/>
              <w:bottom w:val="nil"/>
            </w:tcBorders>
          </w:tcPr>
          <w:p w14:paraId="5341A51C" w14:textId="77777777" w:rsidR="00356663" w:rsidRPr="0077156B" w:rsidRDefault="00356663" w:rsidP="00356663">
            <w:pPr>
              <w:spacing w:before="0" w:after="0"/>
              <w:contextualSpacing/>
              <w:jc w:val="center"/>
              <w:rPr>
                <w:sz w:val="19"/>
                <w:szCs w:val="19"/>
              </w:rPr>
            </w:pPr>
            <w:r w:rsidRPr="0077156B">
              <w:rPr>
                <w:sz w:val="19"/>
                <w:szCs w:val="19"/>
              </w:rPr>
              <w:t>8.0–14.0</w:t>
            </w:r>
          </w:p>
        </w:tc>
        <w:tc>
          <w:tcPr>
            <w:tcW w:w="716" w:type="pct"/>
            <w:tcBorders>
              <w:top w:val="nil"/>
              <w:bottom w:val="nil"/>
            </w:tcBorders>
          </w:tcPr>
          <w:p w14:paraId="186813CB" w14:textId="77777777" w:rsidR="00356663" w:rsidRPr="0077156B" w:rsidRDefault="00356663" w:rsidP="00356663">
            <w:pPr>
              <w:spacing w:before="0" w:after="0"/>
              <w:contextualSpacing/>
              <w:jc w:val="center"/>
              <w:rPr>
                <w:sz w:val="19"/>
                <w:szCs w:val="19"/>
              </w:rPr>
            </w:pPr>
            <w:r>
              <w:rPr>
                <w:sz w:val="19"/>
                <w:szCs w:val="19"/>
              </w:rPr>
              <w:t>11–25</w:t>
            </w:r>
          </w:p>
        </w:tc>
        <w:tc>
          <w:tcPr>
            <w:tcW w:w="887" w:type="pct"/>
            <w:tcBorders>
              <w:top w:val="nil"/>
              <w:bottom w:val="nil"/>
            </w:tcBorders>
          </w:tcPr>
          <w:p w14:paraId="6BCC0672" w14:textId="77777777" w:rsidR="00356663" w:rsidRPr="0077156B" w:rsidRDefault="00356663" w:rsidP="00356663">
            <w:pPr>
              <w:spacing w:before="0" w:after="0"/>
              <w:contextualSpacing/>
              <w:jc w:val="center"/>
              <w:rPr>
                <w:sz w:val="19"/>
                <w:szCs w:val="19"/>
              </w:rPr>
            </w:pPr>
            <w:r>
              <w:rPr>
                <w:sz w:val="19"/>
                <w:szCs w:val="19"/>
              </w:rPr>
              <w:t>21/11–5/12/20</w:t>
            </w:r>
          </w:p>
        </w:tc>
      </w:tr>
      <w:tr w:rsidR="00356663" w:rsidRPr="00C01019" w14:paraId="51DDE943" w14:textId="77777777" w:rsidTr="00356663">
        <w:trPr>
          <w:trHeight w:val="340"/>
          <w:jc w:val="center"/>
        </w:trPr>
        <w:tc>
          <w:tcPr>
            <w:tcW w:w="715" w:type="pct"/>
            <w:tcBorders>
              <w:top w:val="nil"/>
              <w:bottom w:val="nil"/>
            </w:tcBorders>
          </w:tcPr>
          <w:p w14:paraId="25F7C260" w14:textId="77777777" w:rsidR="00356663" w:rsidRPr="0077156B" w:rsidRDefault="00356663" w:rsidP="00356663">
            <w:pPr>
              <w:spacing w:before="0" w:after="0"/>
              <w:contextualSpacing/>
              <w:jc w:val="center"/>
              <w:rPr>
                <w:sz w:val="19"/>
                <w:szCs w:val="19"/>
              </w:rPr>
            </w:pPr>
            <w:r w:rsidRPr="0077156B">
              <w:rPr>
                <w:sz w:val="19"/>
                <w:szCs w:val="19"/>
              </w:rPr>
              <w:t>Lock 4</w:t>
            </w:r>
          </w:p>
        </w:tc>
        <w:tc>
          <w:tcPr>
            <w:tcW w:w="797" w:type="pct"/>
            <w:tcBorders>
              <w:top w:val="nil"/>
              <w:bottom w:val="nil"/>
            </w:tcBorders>
          </w:tcPr>
          <w:p w14:paraId="2CE8B332" w14:textId="77777777" w:rsidR="00356663" w:rsidRPr="0077156B" w:rsidRDefault="00356663" w:rsidP="00356663">
            <w:pPr>
              <w:spacing w:before="0" w:after="0"/>
              <w:contextualSpacing/>
              <w:jc w:val="center"/>
              <w:rPr>
                <w:sz w:val="19"/>
                <w:szCs w:val="19"/>
              </w:rPr>
            </w:pPr>
            <w:r w:rsidRPr="0077156B">
              <w:rPr>
                <w:sz w:val="19"/>
                <w:szCs w:val="19"/>
              </w:rPr>
              <w:t>17/12/20</w:t>
            </w:r>
          </w:p>
        </w:tc>
        <w:tc>
          <w:tcPr>
            <w:tcW w:w="857" w:type="pct"/>
            <w:tcBorders>
              <w:top w:val="nil"/>
              <w:bottom w:val="nil"/>
            </w:tcBorders>
          </w:tcPr>
          <w:p w14:paraId="762F423A"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0E0CACB3" w14:textId="77777777" w:rsidR="00356663" w:rsidRPr="0077156B" w:rsidRDefault="00356663" w:rsidP="00356663">
            <w:pPr>
              <w:spacing w:before="0" w:after="0"/>
              <w:contextualSpacing/>
              <w:jc w:val="center"/>
              <w:rPr>
                <w:sz w:val="19"/>
                <w:szCs w:val="19"/>
              </w:rPr>
            </w:pPr>
            <w:r w:rsidRPr="0077156B">
              <w:rPr>
                <w:sz w:val="19"/>
                <w:szCs w:val="19"/>
              </w:rPr>
              <w:t>8</w:t>
            </w:r>
          </w:p>
        </w:tc>
        <w:tc>
          <w:tcPr>
            <w:tcW w:w="635" w:type="pct"/>
            <w:tcBorders>
              <w:top w:val="nil"/>
              <w:bottom w:val="nil"/>
            </w:tcBorders>
          </w:tcPr>
          <w:p w14:paraId="174A0BCC" w14:textId="77777777" w:rsidR="00356663" w:rsidRPr="0077156B" w:rsidRDefault="00356663" w:rsidP="00356663">
            <w:pPr>
              <w:spacing w:before="0" w:after="0"/>
              <w:contextualSpacing/>
              <w:jc w:val="center"/>
              <w:rPr>
                <w:sz w:val="19"/>
                <w:szCs w:val="19"/>
              </w:rPr>
            </w:pPr>
            <w:r w:rsidRPr="0077156B">
              <w:rPr>
                <w:sz w:val="19"/>
                <w:szCs w:val="19"/>
              </w:rPr>
              <w:t>12.5–13.5</w:t>
            </w:r>
          </w:p>
        </w:tc>
        <w:tc>
          <w:tcPr>
            <w:tcW w:w="716" w:type="pct"/>
            <w:tcBorders>
              <w:top w:val="nil"/>
              <w:bottom w:val="nil"/>
            </w:tcBorders>
          </w:tcPr>
          <w:p w14:paraId="0EB35081" w14:textId="77777777" w:rsidR="00356663" w:rsidRPr="0077156B" w:rsidRDefault="00356663" w:rsidP="00356663">
            <w:pPr>
              <w:spacing w:before="0" w:after="0"/>
              <w:contextualSpacing/>
              <w:jc w:val="center"/>
              <w:rPr>
                <w:sz w:val="19"/>
                <w:szCs w:val="19"/>
              </w:rPr>
            </w:pPr>
            <w:r>
              <w:rPr>
                <w:sz w:val="19"/>
                <w:szCs w:val="19"/>
              </w:rPr>
              <w:t>16–19</w:t>
            </w:r>
          </w:p>
        </w:tc>
        <w:tc>
          <w:tcPr>
            <w:tcW w:w="887" w:type="pct"/>
            <w:tcBorders>
              <w:top w:val="nil"/>
              <w:bottom w:val="nil"/>
            </w:tcBorders>
          </w:tcPr>
          <w:p w14:paraId="10240B9B" w14:textId="77777777" w:rsidR="00356663" w:rsidRPr="0077156B" w:rsidRDefault="00356663" w:rsidP="00356663">
            <w:pPr>
              <w:spacing w:before="0" w:after="0"/>
              <w:contextualSpacing/>
              <w:jc w:val="center"/>
              <w:rPr>
                <w:sz w:val="19"/>
                <w:szCs w:val="19"/>
              </w:rPr>
            </w:pPr>
            <w:r>
              <w:rPr>
                <w:sz w:val="19"/>
                <w:szCs w:val="19"/>
              </w:rPr>
              <w:t>28/11–1/12/20</w:t>
            </w:r>
          </w:p>
        </w:tc>
      </w:tr>
      <w:tr w:rsidR="00356663" w:rsidRPr="00C01019" w14:paraId="5A391656" w14:textId="77777777" w:rsidTr="00356663">
        <w:trPr>
          <w:trHeight w:val="340"/>
          <w:jc w:val="center"/>
        </w:trPr>
        <w:tc>
          <w:tcPr>
            <w:tcW w:w="715" w:type="pct"/>
            <w:tcBorders>
              <w:top w:val="nil"/>
              <w:bottom w:val="nil"/>
            </w:tcBorders>
          </w:tcPr>
          <w:p w14:paraId="494A92C5" w14:textId="77777777" w:rsidR="00356663" w:rsidRPr="0077156B" w:rsidRDefault="00356663" w:rsidP="00356663">
            <w:pPr>
              <w:spacing w:before="0" w:after="0"/>
              <w:contextualSpacing/>
              <w:jc w:val="center"/>
              <w:rPr>
                <w:sz w:val="19"/>
                <w:szCs w:val="19"/>
              </w:rPr>
            </w:pPr>
            <w:r w:rsidRPr="0077156B">
              <w:rPr>
                <w:sz w:val="19"/>
                <w:szCs w:val="19"/>
              </w:rPr>
              <w:t>Lock 4</w:t>
            </w:r>
          </w:p>
        </w:tc>
        <w:tc>
          <w:tcPr>
            <w:tcW w:w="797" w:type="pct"/>
            <w:tcBorders>
              <w:top w:val="nil"/>
              <w:bottom w:val="nil"/>
            </w:tcBorders>
          </w:tcPr>
          <w:p w14:paraId="4CED6AD4" w14:textId="77777777" w:rsidR="00356663" w:rsidRPr="0077156B" w:rsidRDefault="00356663" w:rsidP="00356663">
            <w:pPr>
              <w:spacing w:before="0" w:after="0"/>
              <w:contextualSpacing/>
              <w:jc w:val="center"/>
              <w:rPr>
                <w:sz w:val="19"/>
                <w:szCs w:val="19"/>
              </w:rPr>
            </w:pPr>
            <w:r w:rsidRPr="0077156B">
              <w:rPr>
                <w:sz w:val="19"/>
                <w:szCs w:val="19"/>
              </w:rPr>
              <w:t>21/12/20</w:t>
            </w:r>
          </w:p>
        </w:tc>
        <w:tc>
          <w:tcPr>
            <w:tcW w:w="857" w:type="pct"/>
            <w:tcBorders>
              <w:top w:val="nil"/>
              <w:bottom w:val="nil"/>
            </w:tcBorders>
          </w:tcPr>
          <w:p w14:paraId="4B2829FF"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5EDFF373" w14:textId="77777777" w:rsidR="00356663" w:rsidRPr="0077156B" w:rsidRDefault="00356663" w:rsidP="00356663">
            <w:pPr>
              <w:spacing w:before="0" w:after="0"/>
              <w:contextualSpacing/>
              <w:jc w:val="center"/>
              <w:rPr>
                <w:sz w:val="19"/>
                <w:szCs w:val="19"/>
              </w:rPr>
            </w:pPr>
            <w:r w:rsidRPr="0077156B">
              <w:rPr>
                <w:sz w:val="19"/>
                <w:szCs w:val="19"/>
              </w:rPr>
              <w:t>15</w:t>
            </w:r>
          </w:p>
        </w:tc>
        <w:tc>
          <w:tcPr>
            <w:tcW w:w="635" w:type="pct"/>
            <w:tcBorders>
              <w:top w:val="nil"/>
              <w:bottom w:val="nil"/>
            </w:tcBorders>
          </w:tcPr>
          <w:p w14:paraId="508B7E7C" w14:textId="77777777" w:rsidR="00356663" w:rsidRPr="0077156B" w:rsidRDefault="00356663" w:rsidP="00356663">
            <w:pPr>
              <w:spacing w:before="0" w:after="0"/>
              <w:contextualSpacing/>
              <w:jc w:val="center"/>
              <w:rPr>
                <w:sz w:val="19"/>
                <w:szCs w:val="19"/>
              </w:rPr>
            </w:pPr>
            <w:r w:rsidRPr="0077156B">
              <w:rPr>
                <w:sz w:val="19"/>
                <w:szCs w:val="19"/>
              </w:rPr>
              <w:t>9.0–11.5</w:t>
            </w:r>
          </w:p>
        </w:tc>
        <w:tc>
          <w:tcPr>
            <w:tcW w:w="716" w:type="pct"/>
            <w:tcBorders>
              <w:top w:val="nil"/>
              <w:bottom w:val="nil"/>
            </w:tcBorders>
          </w:tcPr>
          <w:p w14:paraId="1280309E" w14:textId="77777777" w:rsidR="00356663" w:rsidRPr="0077156B" w:rsidRDefault="00356663" w:rsidP="00356663">
            <w:pPr>
              <w:spacing w:before="0" w:after="0"/>
              <w:contextualSpacing/>
              <w:jc w:val="center"/>
              <w:rPr>
                <w:sz w:val="19"/>
                <w:szCs w:val="19"/>
              </w:rPr>
            </w:pPr>
            <w:r>
              <w:rPr>
                <w:sz w:val="19"/>
                <w:szCs w:val="19"/>
              </w:rPr>
              <w:t>14–19</w:t>
            </w:r>
          </w:p>
        </w:tc>
        <w:tc>
          <w:tcPr>
            <w:tcW w:w="887" w:type="pct"/>
            <w:tcBorders>
              <w:top w:val="nil"/>
              <w:bottom w:val="nil"/>
            </w:tcBorders>
          </w:tcPr>
          <w:p w14:paraId="5AD5E182" w14:textId="77777777" w:rsidR="00356663" w:rsidRPr="0077156B" w:rsidRDefault="00356663" w:rsidP="00356663">
            <w:pPr>
              <w:spacing w:before="0" w:after="0"/>
              <w:contextualSpacing/>
              <w:jc w:val="center"/>
              <w:rPr>
                <w:sz w:val="19"/>
                <w:szCs w:val="19"/>
              </w:rPr>
            </w:pPr>
            <w:r>
              <w:rPr>
                <w:sz w:val="19"/>
                <w:szCs w:val="19"/>
              </w:rPr>
              <w:t>2–7/12/20</w:t>
            </w:r>
          </w:p>
        </w:tc>
      </w:tr>
      <w:tr w:rsidR="00356663" w:rsidRPr="00C01019" w14:paraId="16C5A398" w14:textId="77777777" w:rsidTr="00356663">
        <w:trPr>
          <w:trHeight w:val="340"/>
          <w:jc w:val="center"/>
        </w:trPr>
        <w:tc>
          <w:tcPr>
            <w:tcW w:w="715" w:type="pct"/>
            <w:tcBorders>
              <w:top w:val="nil"/>
              <w:bottom w:val="nil"/>
            </w:tcBorders>
          </w:tcPr>
          <w:p w14:paraId="5B1AC07A"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2C56DCFE" w14:textId="77777777" w:rsidR="00356663" w:rsidRPr="0077156B" w:rsidRDefault="00356663" w:rsidP="00356663">
            <w:pPr>
              <w:spacing w:before="0" w:after="0"/>
              <w:contextualSpacing/>
              <w:jc w:val="center"/>
              <w:rPr>
                <w:sz w:val="19"/>
                <w:szCs w:val="19"/>
              </w:rPr>
            </w:pPr>
            <w:r w:rsidRPr="0077156B">
              <w:rPr>
                <w:sz w:val="19"/>
                <w:szCs w:val="19"/>
              </w:rPr>
              <w:t>22/12/20</w:t>
            </w:r>
          </w:p>
        </w:tc>
        <w:tc>
          <w:tcPr>
            <w:tcW w:w="857" w:type="pct"/>
            <w:tcBorders>
              <w:top w:val="nil"/>
              <w:bottom w:val="nil"/>
            </w:tcBorders>
          </w:tcPr>
          <w:p w14:paraId="1B68B97E"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1BA0D99D" w14:textId="77777777" w:rsidR="00356663" w:rsidRPr="0077156B" w:rsidRDefault="00356663" w:rsidP="00356663">
            <w:pPr>
              <w:spacing w:before="0" w:after="0"/>
              <w:contextualSpacing/>
              <w:jc w:val="center"/>
              <w:rPr>
                <w:sz w:val="19"/>
                <w:szCs w:val="19"/>
              </w:rPr>
            </w:pPr>
            <w:r w:rsidRPr="0077156B">
              <w:rPr>
                <w:sz w:val="19"/>
                <w:szCs w:val="19"/>
              </w:rPr>
              <w:t>1</w:t>
            </w:r>
          </w:p>
        </w:tc>
        <w:tc>
          <w:tcPr>
            <w:tcW w:w="635" w:type="pct"/>
            <w:tcBorders>
              <w:top w:val="nil"/>
              <w:bottom w:val="nil"/>
            </w:tcBorders>
          </w:tcPr>
          <w:p w14:paraId="04C9106A" w14:textId="77777777" w:rsidR="00356663" w:rsidRPr="0077156B" w:rsidRDefault="00356663" w:rsidP="00356663">
            <w:pPr>
              <w:spacing w:before="0" w:after="0"/>
              <w:contextualSpacing/>
              <w:jc w:val="center"/>
              <w:rPr>
                <w:sz w:val="19"/>
                <w:szCs w:val="19"/>
              </w:rPr>
            </w:pPr>
            <w:r w:rsidRPr="0077156B">
              <w:rPr>
                <w:sz w:val="19"/>
                <w:szCs w:val="19"/>
              </w:rPr>
              <w:t>12.5</w:t>
            </w:r>
          </w:p>
        </w:tc>
        <w:tc>
          <w:tcPr>
            <w:tcW w:w="716" w:type="pct"/>
            <w:tcBorders>
              <w:top w:val="nil"/>
              <w:bottom w:val="nil"/>
            </w:tcBorders>
          </w:tcPr>
          <w:p w14:paraId="308764B6" w14:textId="77777777" w:rsidR="00356663" w:rsidRPr="0077156B" w:rsidRDefault="00356663" w:rsidP="00356663">
            <w:pPr>
              <w:spacing w:before="0" w:after="0"/>
              <w:contextualSpacing/>
              <w:jc w:val="center"/>
              <w:rPr>
                <w:sz w:val="19"/>
                <w:szCs w:val="19"/>
              </w:rPr>
            </w:pPr>
            <w:r>
              <w:rPr>
                <w:sz w:val="19"/>
                <w:szCs w:val="19"/>
              </w:rPr>
              <w:t>20</w:t>
            </w:r>
          </w:p>
        </w:tc>
        <w:tc>
          <w:tcPr>
            <w:tcW w:w="887" w:type="pct"/>
            <w:tcBorders>
              <w:top w:val="nil"/>
              <w:bottom w:val="nil"/>
            </w:tcBorders>
          </w:tcPr>
          <w:p w14:paraId="552F686B" w14:textId="77777777" w:rsidR="00356663" w:rsidRPr="0077156B" w:rsidRDefault="00356663" w:rsidP="00356663">
            <w:pPr>
              <w:spacing w:before="0" w:after="0"/>
              <w:contextualSpacing/>
              <w:jc w:val="center"/>
              <w:rPr>
                <w:sz w:val="19"/>
                <w:szCs w:val="19"/>
              </w:rPr>
            </w:pPr>
            <w:r>
              <w:rPr>
                <w:sz w:val="19"/>
                <w:szCs w:val="19"/>
              </w:rPr>
              <w:t>2/12/20</w:t>
            </w:r>
          </w:p>
        </w:tc>
      </w:tr>
      <w:tr w:rsidR="00356663" w:rsidRPr="00C01019" w14:paraId="613729D5" w14:textId="77777777" w:rsidTr="00356663">
        <w:trPr>
          <w:trHeight w:val="340"/>
          <w:jc w:val="center"/>
        </w:trPr>
        <w:tc>
          <w:tcPr>
            <w:tcW w:w="715" w:type="pct"/>
            <w:tcBorders>
              <w:top w:val="nil"/>
              <w:bottom w:val="nil"/>
            </w:tcBorders>
          </w:tcPr>
          <w:p w14:paraId="3721C613"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nil"/>
            </w:tcBorders>
          </w:tcPr>
          <w:p w14:paraId="25B8A829" w14:textId="77777777" w:rsidR="00356663" w:rsidRPr="0077156B" w:rsidRDefault="00356663" w:rsidP="00356663">
            <w:pPr>
              <w:spacing w:before="0" w:after="0"/>
              <w:contextualSpacing/>
              <w:jc w:val="center"/>
              <w:rPr>
                <w:sz w:val="19"/>
                <w:szCs w:val="19"/>
              </w:rPr>
            </w:pPr>
            <w:r w:rsidRPr="0077156B">
              <w:rPr>
                <w:sz w:val="19"/>
                <w:szCs w:val="19"/>
              </w:rPr>
              <w:t>6/1/21</w:t>
            </w:r>
          </w:p>
        </w:tc>
        <w:tc>
          <w:tcPr>
            <w:tcW w:w="857" w:type="pct"/>
            <w:tcBorders>
              <w:top w:val="nil"/>
              <w:bottom w:val="nil"/>
            </w:tcBorders>
          </w:tcPr>
          <w:p w14:paraId="3817FDE5"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nil"/>
            </w:tcBorders>
          </w:tcPr>
          <w:p w14:paraId="0B73FB3C" w14:textId="77777777" w:rsidR="00356663" w:rsidRPr="0077156B" w:rsidRDefault="00356663" w:rsidP="00356663">
            <w:pPr>
              <w:spacing w:before="0" w:after="0"/>
              <w:contextualSpacing/>
              <w:jc w:val="center"/>
              <w:rPr>
                <w:sz w:val="19"/>
                <w:szCs w:val="19"/>
              </w:rPr>
            </w:pPr>
            <w:r w:rsidRPr="0077156B">
              <w:rPr>
                <w:sz w:val="19"/>
                <w:szCs w:val="19"/>
              </w:rPr>
              <w:t>22</w:t>
            </w:r>
          </w:p>
        </w:tc>
        <w:tc>
          <w:tcPr>
            <w:tcW w:w="635" w:type="pct"/>
            <w:tcBorders>
              <w:top w:val="nil"/>
              <w:bottom w:val="nil"/>
            </w:tcBorders>
          </w:tcPr>
          <w:p w14:paraId="7B79D362" w14:textId="77777777" w:rsidR="00356663" w:rsidRPr="0077156B" w:rsidRDefault="00356663" w:rsidP="00356663">
            <w:pPr>
              <w:spacing w:before="0" w:after="0"/>
              <w:contextualSpacing/>
              <w:jc w:val="center"/>
              <w:rPr>
                <w:sz w:val="19"/>
                <w:szCs w:val="19"/>
              </w:rPr>
            </w:pPr>
            <w:r w:rsidRPr="0077156B">
              <w:rPr>
                <w:sz w:val="19"/>
                <w:szCs w:val="19"/>
              </w:rPr>
              <w:t>9.0–11.8</w:t>
            </w:r>
          </w:p>
        </w:tc>
        <w:tc>
          <w:tcPr>
            <w:tcW w:w="716" w:type="pct"/>
            <w:tcBorders>
              <w:top w:val="nil"/>
              <w:bottom w:val="nil"/>
            </w:tcBorders>
          </w:tcPr>
          <w:p w14:paraId="0BAF4559" w14:textId="77777777" w:rsidR="00356663" w:rsidRPr="0077156B" w:rsidRDefault="00356663" w:rsidP="00356663">
            <w:pPr>
              <w:spacing w:before="0" w:after="0"/>
              <w:contextualSpacing/>
              <w:jc w:val="center"/>
              <w:rPr>
                <w:sz w:val="19"/>
                <w:szCs w:val="19"/>
              </w:rPr>
            </w:pPr>
            <w:r>
              <w:rPr>
                <w:sz w:val="19"/>
                <w:szCs w:val="19"/>
              </w:rPr>
              <w:t xml:space="preserve">13–16 </w:t>
            </w:r>
          </w:p>
        </w:tc>
        <w:tc>
          <w:tcPr>
            <w:tcW w:w="887" w:type="pct"/>
            <w:tcBorders>
              <w:top w:val="nil"/>
              <w:bottom w:val="nil"/>
            </w:tcBorders>
          </w:tcPr>
          <w:p w14:paraId="5E042CCA" w14:textId="77777777" w:rsidR="00356663" w:rsidRPr="0077156B" w:rsidRDefault="00356663" w:rsidP="00356663">
            <w:pPr>
              <w:spacing w:before="0" w:after="0"/>
              <w:contextualSpacing/>
              <w:jc w:val="center"/>
              <w:rPr>
                <w:sz w:val="19"/>
                <w:szCs w:val="19"/>
              </w:rPr>
            </w:pPr>
            <w:r>
              <w:rPr>
                <w:sz w:val="19"/>
                <w:szCs w:val="19"/>
              </w:rPr>
              <w:t>21–24/12/20</w:t>
            </w:r>
          </w:p>
        </w:tc>
      </w:tr>
      <w:tr w:rsidR="00356663" w:rsidRPr="00C01019" w14:paraId="7D3F05D8" w14:textId="77777777" w:rsidTr="00356663">
        <w:trPr>
          <w:trHeight w:val="340"/>
          <w:jc w:val="center"/>
        </w:trPr>
        <w:tc>
          <w:tcPr>
            <w:tcW w:w="715" w:type="pct"/>
            <w:tcBorders>
              <w:top w:val="nil"/>
              <w:bottom w:val="nil"/>
            </w:tcBorders>
          </w:tcPr>
          <w:p w14:paraId="1C4CB22A" w14:textId="77777777" w:rsidR="00356663" w:rsidRPr="009C0B94" w:rsidRDefault="00356663" w:rsidP="00356663">
            <w:pPr>
              <w:spacing w:before="0" w:after="0"/>
              <w:contextualSpacing/>
              <w:jc w:val="center"/>
              <w:rPr>
                <w:sz w:val="19"/>
                <w:szCs w:val="19"/>
              </w:rPr>
            </w:pPr>
            <w:r w:rsidRPr="009C0B94">
              <w:rPr>
                <w:sz w:val="19"/>
                <w:szCs w:val="19"/>
              </w:rPr>
              <w:t>Lock 1</w:t>
            </w:r>
          </w:p>
        </w:tc>
        <w:tc>
          <w:tcPr>
            <w:tcW w:w="797" w:type="pct"/>
            <w:tcBorders>
              <w:top w:val="nil"/>
              <w:bottom w:val="nil"/>
            </w:tcBorders>
          </w:tcPr>
          <w:p w14:paraId="455BAA4F" w14:textId="77777777" w:rsidR="00356663" w:rsidRPr="009C0B94" w:rsidRDefault="00356663" w:rsidP="00356663">
            <w:pPr>
              <w:spacing w:before="0" w:after="0"/>
              <w:contextualSpacing/>
              <w:jc w:val="center"/>
              <w:rPr>
                <w:sz w:val="19"/>
                <w:szCs w:val="19"/>
              </w:rPr>
            </w:pPr>
            <w:r w:rsidRPr="009C0B94">
              <w:rPr>
                <w:sz w:val="19"/>
                <w:szCs w:val="19"/>
              </w:rPr>
              <w:t>7/1/21</w:t>
            </w:r>
          </w:p>
        </w:tc>
        <w:tc>
          <w:tcPr>
            <w:tcW w:w="857" w:type="pct"/>
            <w:tcBorders>
              <w:top w:val="nil"/>
              <w:bottom w:val="nil"/>
            </w:tcBorders>
          </w:tcPr>
          <w:p w14:paraId="68A16340" w14:textId="77777777" w:rsidR="00356663" w:rsidRPr="009C0B94" w:rsidRDefault="00356663" w:rsidP="00356663">
            <w:pPr>
              <w:spacing w:before="0" w:after="0"/>
              <w:contextualSpacing/>
              <w:jc w:val="center"/>
              <w:rPr>
                <w:sz w:val="19"/>
                <w:szCs w:val="19"/>
              </w:rPr>
            </w:pPr>
            <w:r w:rsidRPr="009C0B94">
              <w:rPr>
                <w:sz w:val="19"/>
                <w:szCs w:val="19"/>
              </w:rPr>
              <w:t>Silver perch</w:t>
            </w:r>
          </w:p>
        </w:tc>
        <w:tc>
          <w:tcPr>
            <w:tcW w:w="393" w:type="pct"/>
            <w:tcBorders>
              <w:top w:val="nil"/>
              <w:bottom w:val="nil"/>
            </w:tcBorders>
          </w:tcPr>
          <w:p w14:paraId="12698431" w14:textId="77777777" w:rsidR="00356663" w:rsidRPr="009C0B94" w:rsidRDefault="00356663" w:rsidP="00356663">
            <w:pPr>
              <w:spacing w:before="0" w:after="0"/>
              <w:contextualSpacing/>
              <w:jc w:val="center"/>
              <w:rPr>
                <w:sz w:val="19"/>
                <w:szCs w:val="19"/>
              </w:rPr>
            </w:pPr>
            <w:r w:rsidRPr="009C0B94">
              <w:rPr>
                <w:sz w:val="19"/>
                <w:szCs w:val="19"/>
              </w:rPr>
              <w:t>1</w:t>
            </w:r>
          </w:p>
        </w:tc>
        <w:tc>
          <w:tcPr>
            <w:tcW w:w="635" w:type="pct"/>
            <w:tcBorders>
              <w:top w:val="nil"/>
              <w:bottom w:val="nil"/>
            </w:tcBorders>
          </w:tcPr>
          <w:p w14:paraId="7500FB87" w14:textId="77777777" w:rsidR="00356663" w:rsidRPr="009C0B94" w:rsidRDefault="00356663" w:rsidP="00356663">
            <w:pPr>
              <w:spacing w:before="0" w:after="0"/>
              <w:contextualSpacing/>
              <w:jc w:val="center"/>
              <w:rPr>
                <w:sz w:val="19"/>
                <w:szCs w:val="19"/>
              </w:rPr>
            </w:pPr>
            <w:r w:rsidRPr="009C0B94">
              <w:rPr>
                <w:sz w:val="19"/>
                <w:szCs w:val="19"/>
              </w:rPr>
              <w:t>14.5</w:t>
            </w:r>
          </w:p>
        </w:tc>
        <w:tc>
          <w:tcPr>
            <w:tcW w:w="716" w:type="pct"/>
            <w:tcBorders>
              <w:top w:val="nil"/>
              <w:bottom w:val="nil"/>
            </w:tcBorders>
          </w:tcPr>
          <w:p w14:paraId="41BE5EEE" w14:textId="77777777" w:rsidR="00356663" w:rsidRPr="00EE23DC" w:rsidRDefault="00356663" w:rsidP="00356663">
            <w:pPr>
              <w:spacing w:before="0" w:after="0"/>
              <w:contextualSpacing/>
              <w:jc w:val="center"/>
              <w:rPr>
                <w:sz w:val="19"/>
                <w:szCs w:val="19"/>
              </w:rPr>
            </w:pPr>
            <w:r w:rsidRPr="00EE23DC">
              <w:rPr>
                <w:sz w:val="19"/>
                <w:szCs w:val="19"/>
              </w:rPr>
              <w:t>31</w:t>
            </w:r>
          </w:p>
        </w:tc>
        <w:tc>
          <w:tcPr>
            <w:tcW w:w="887" w:type="pct"/>
            <w:tcBorders>
              <w:top w:val="nil"/>
              <w:bottom w:val="nil"/>
            </w:tcBorders>
          </w:tcPr>
          <w:p w14:paraId="3F4CB816" w14:textId="77777777" w:rsidR="00356663" w:rsidRPr="00EE23DC" w:rsidRDefault="00356663" w:rsidP="00356663">
            <w:pPr>
              <w:spacing w:before="0" w:after="0"/>
              <w:contextualSpacing/>
              <w:jc w:val="center"/>
              <w:rPr>
                <w:sz w:val="19"/>
                <w:szCs w:val="19"/>
              </w:rPr>
            </w:pPr>
            <w:r w:rsidRPr="00EE23DC">
              <w:rPr>
                <w:sz w:val="19"/>
                <w:szCs w:val="19"/>
              </w:rPr>
              <w:t>7/12/20</w:t>
            </w:r>
          </w:p>
        </w:tc>
      </w:tr>
      <w:tr w:rsidR="00356663" w:rsidRPr="00C01019" w14:paraId="55302ECF" w14:textId="77777777" w:rsidTr="00356663">
        <w:trPr>
          <w:trHeight w:val="340"/>
          <w:jc w:val="center"/>
        </w:trPr>
        <w:tc>
          <w:tcPr>
            <w:tcW w:w="715" w:type="pct"/>
            <w:tcBorders>
              <w:top w:val="nil"/>
              <w:bottom w:val="single" w:sz="4" w:space="0" w:color="auto"/>
            </w:tcBorders>
          </w:tcPr>
          <w:p w14:paraId="75D03836" w14:textId="77777777" w:rsidR="00356663" w:rsidRPr="0077156B" w:rsidRDefault="00356663" w:rsidP="00356663">
            <w:pPr>
              <w:spacing w:before="0" w:after="0"/>
              <w:contextualSpacing/>
              <w:jc w:val="center"/>
              <w:rPr>
                <w:sz w:val="19"/>
                <w:szCs w:val="19"/>
              </w:rPr>
            </w:pPr>
            <w:r w:rsidRPr="0077156B">
              <w:rPr>
                <w:sz w:val="19"/>
                <w:szCs w:val="19"/>
              </w:rPr>
              <w:t>Lock 6</w:t>
            </w:r>
          </w:p>
        </w:tc>
        <w:tc>
          <w:tcPr>
            <w:tcW w:w="797" w:type="pct"/>
            <w:tcBorders>
              <w:top w:val="nil"/>
              <w:bottom w:val="single" w:sz="4" w:space="0" w:color="auto"/>
            </w:tcBorders>
          </w:tcPr>
          <w:p w14:paraId="50095C7D" w14:textId="77777777" w:rsidR="00356663" w:rsidRPr="0077156B" w:rsidRDefault="00356663" w:rsidP="00356663">
            <w:pPr>
              <w:spacing w:before="0" w:after="0"/>
              <w:contextualSpacing/>
              <w:jc w:val="center"/>
              <w:rPr>
                <w:sz w:val="19"/>
                <w:szCs w:val="19"/>
              </w:rPr>
            </w:pPr>
            <w:r w:rsidRPr="0077156B">
              <w:rPr>
                <w:sz w:val="19"/>
                <w:szCs w:val="19"/>
              </w:rPr>
              <w:t>18/1/21</w:t>
            </w:r>
          </w:p>
        </w:tc>
        <w:tc>
          <w:tcPr>
            <w:tcW w:w="857" w:type="pct"/>
            <w:tcBorders>
              <w:top w:val="nil"/>
              <w:bottom w:val="single" w:sz="4" w:space="0" w:color="auto"/>
            </w:tcBorders>
          </w:tcPr>
          <w:p w14:paraId="122DFE68" w14:textId="77777777" w:rsidR="00356663" w:rsidRPr="0077156B" w:rsidRDefault="00356663" w:rsidP="00356663">
            <w:pPr>
              <w:spacing w:before="0" w:after="0"/>
              <w:contextualSpacing/>
              <w:jc w:val="center"/>
              <w:rPr>
                <w:sz w:val="19"/>
                <w:szCs w:val="19"/>
              </w:rPr>
            </w:pPr>
            <w:r w:rsidRPr="0077156B">
              <w:rPr>
                <w:sz w:val="19"/>
                <w:szCs w:val="19"/>
              </w:rPr>
              <w:t>Silver perch</w:t>
            </w:r>
          </w:p>
        </w:tc>
        <w:tc>
          <w:tcPr>
            <w:tcW w:w="393" w:type="pct"/>
            <w:tcBorders>
              <w:top w:val="nil"/>
              <w:bottom w:val="single" w:sz="4" w:space="0" w:color="auto"/>
            </w:tcBorders>
          </w:tcPr>
          <w:p w14:paraId="09858AD7" w14:textId="77777777" w:rsidR="00356663" w:rsidRPr="0077156B" w:rsidRDefault="00356663" w:rsidP="00356663">
            <w:pPr>
              <w:spacing w:before="0" w:after="0"/>
              <w:contextualSpacing/>
              <w:jc w:val="center"/>
              <w:rPr>
                <w:sz w:val="19"/>
                <w:szCs w:val="19"/>
              </w:rPr>
            </w:pPr>
            <w:r w:rsidRPr="0077156B">
              <w:rPr>
                <w:sz w:val="19"/>
                <w:szCs w:val="19"/>
              </w:rPr>
              <w:t>4</w:t>
            </w:r>
          </w:p>
        </w:tc>
        <w:tc>
          <w:tcPr>
            <w:tcW w:w="635" w:type="pct"/>
            <w:tcBorders>
              <w:top w:val="nil"/>
              <w:bottom w:val="single" w:sz="4" w:space="0" w:color="auto"/>
            </w:tcBorders>
          </w:tcPr>
          <w:p w14:paraId="632C1047" w14:textId="77777777" w:rsidR="00356663" w:rsidRPr="0077156B" w:rsidRDefault="00356663" w:rsidP="00356663">
            <w:pPr>
              <w:spacing w:before="0" w:after="0"/>
              <w:contextualSpacing/>
              <w:jc w:val="center"/>
              <w:rPr>
                <w:sz w:val="19"/>
                <w:szCs w:val="19"/>
              </w:rPr>
            </w:pPr>
            <w:r w:rsidRPr="0077156B">
              <w:rPr>
                <w:sz w:val="19"/>
                <w:szCs w:val="19"/>
              </w:rPr>
              <w:t>9.5–11.5</w:t>
            </w:r>
          </w:p>
        </w:tc>
        <w:tc>
          <w:tcPr>
            <w:tcW w:w="716" w:type="pct"/>
            <w:tcBorders>
              <w:top w:val="nil"/>
              <w:bottom w:val="single" w:sz="4" w:space="0" w:color="auto"/>
            </w:tcBorders>
          </w:tcPr>
          <w:p w14:paraId="2C795A26" w14:textId="77777777" w:rsidR="00356663" w:rsidRPr="0077156B" w:rsidRDefault="00356663" w:rsidP="00356663">
            <w:pPr>
              <w:spacing w:before="0" w:after="0"/>
              <w:contextualSpacing/>
              <w:jc w:val="center"/>
              <w:rPr>
                <w:sz w:val="19"/>
                <w:szCs w:val="19"/>
              </w:rPr>
            </w:pPr>
            <w:r>
              <w:rPr>
                <w:sz w:val="19"/>
                <w:szCs w:val="19"/>
              </w:rPr>
              <w:t>16–17</w:t>
            </w:r>
          </w:p>
        </w:tc>
        <w:tc>
          <w:tcPr>
            <w:tcW w:w="887" w:type="pct"/>
            <w:tcBorders>
              <w:top w:val="nil"/>
              <w:bottom w:val="single" w:sz="4" w:space="0" w:color="auto"/>
            </w:tcBorders>
          </w:tcPr>
          <w:p w14:paraId="46841BED" w14:textId="77777777" w:rsidR="00356663" w:rsidRPr="0077156B" w:rsidRDefault="00356663" w:rsidP="00356663">
            <w:pPr>
              <w:spacing w:before="0" w:after="0"/>
              <w:contextualSpacing/>
              <w:jc w:val="center"/>
              <w:rPr>
                <w:sz w:val="19"/>
                <w:szCs w:val="19"/>
              </w:rPr>
            </w:pPr>
            <w:r>
              <w:rPr>
                <w:sz w:val="19"/>
                <w:szCs w:val="19"/>
              </w:rPr>
              <w:t>1–2/01/20</w:t>
            </w:r>
          </w:p>
        </w:tc>
      </w:tr>
    </w:tbl>
    <w:p w14:paraId="3480A1A1" w14:textId="77777777" w:rsidR="00356663" w:rsidRPr="007A0B9E" w:rsidRDefault="00356663" w:rsidP="00356663">
      <w:pPr>
        <w:jc w:val="center"/>
        <w:rPr>
          <w:sz w:val="2"/>
          <w:szCs w:val="2"/>
        </w:rPr>
      </w:pPr>
    </w:p>
    <w:p w14:paraId="45C55C94" w14:textId="1B406201" w:rsidR="00356663" w:rsidRDefault="0089667B" w:rsidP="00356663">
      <w:pPr>
        <w:jc w:val="center"/>
      </w:pPr>
      <w:r w:rsidRPr="00FB72DF">
        <w:rPr>
          <w:noProof/>
        </w:rPr>
        <w:drawing>
          <wp:inline distT="0" distB="0" distL="0" distR="0" wp14:anchorId="0FFC8D05" wp14:editId="3902E317">
            <wp:extent cx="5629275" cy="666956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4038"/>
                    <a:stretch/>
                  </pic:blipFill>
                  <pic:spPr bwMode="auto">
                    <a:xfrm>
                      <a:off x="0" y="0"/>
                      <a:ext cx="5631335" cy="6672003"/>
                    </a:xfrm>
                    <a:prstGeom prst="rect">
                      <a:avLst/>
                    </a:prstGeom>
                    <a:noFill/>
                    <a:ln>
                      <a:noFill/>
                    </a:ln>
                    <a:extLst>
                      <a:ext uri="{53640926-AAD7-44D8-BBD7-CCE9431645EC}">
                        <a14:shadowObscured xmlns:a14="http://schemas.microsoft.com/office/drawing/2010/main"/>
                      </a:ext>
                    </a:extLst>
                  </pic:spPr>
                </pic:pic>
              </a:graphicData>
            </a:graphic>
          </wp:inline>
        </w:drawing>
      </w:r>
    </w:p>
    <w:p w14:paraId="3F7D715B" w14:textId="67C2B5B7" w:rsidR="00356663" w:rsidRDefault="00356663" w:rsidP="00356663">
      <w:pPr>
        <w:pStyle w:val="Caption"/>
      </w:pPr>
      <w:bookmarkStart w:id="284" w:name="_Ref90308561"/>
      <w:bookmarkStart w:id="285" w:name="_Toc101963836"/>
      <w:r>
        <w:t>Figur</w:t>
      </w:r>
      <w:r w:rsidRPr="0021450B">
        <w:t xml:space="preserve">e </w:t>
      </w:r>
      <w:fldSimple w:instr=" SEQ Figure \* ARABIC ">
        <w:r w:rsidR="003C13F6">
          <w:rPr>
            <w:noProof/>
          </w:rPr>
          <w:t>44</w:t>
        </w:r>
      </w:fldSimple>
      <w:bookmarkEnd w:id="284"/>
      <w:r w:rsidRPr="0021450B">
        <w:t>.</w:t>
      </w:r>
      <w:r>
        <w:t xml:space="preserve"> Mean catch-per-unit-effort (CPUE, individuals per trip) </w:t>
      </w:r>
      <w:r w:rsidRPr="004C306C">
        <w:t xml:space="preserve">± standard error </w:t>
      </w:r>
      <w:r>
        <w:t xml:space="preserve">of golden perch and silver perch larvae </w:t>
      </w:r>
      <w:r w:rsidR="00920D99">
        <w:t xml:space="preserve">downstream of Locks 1 (a), 4 (b) and 6 (c) </w:t>
      </w:r>
      <w:r>
        <w:t xml:space="preserve">in the LMR from November 2020 to January 2021. Detections of golden perch eggs </w:t>
      </w:r>
      <w:r w:rsidRPr="006F658C">
        <w:t xml:space="preserve">are indicated by asterisks. Daily flow </w:t>
      </w:r>
      <w:r w:rsidR="00920D99">
        <w:t xml:space="preserve">at Lock 1 (red line), Lock 4 (grey line) and </w:t>
      </w:r>
      <w:r w:rsidRPr="006F658C">
        <w:t>to South Australia (SA) (blue line)</w:t>
      </w:r>
      <w:r w:rsidRPr="00626534">
        <w:t xml:space="preserve"> are shown.</w:t>
      </w:r>
      <w:bookmarkEnd w:id="285"/>
      <w:r w:rsidRPr="00626534">
        <w:t xml:space="preserve"> </w:t>
      </w:r>
    </w:p>
    <w:p w14:paraId="4180E081" w14:textId="77777777" w:rsidR="00920D99" w:rsidRDefault="00356663" w:rsidP="00356663">
      <w:pPr>
        <w:spacing w:before="0" w:after="200"/>
        <w:jc w:val="center"/>
        <w:rPr>
          <w:sz w:val="22"/>
        </w:rPr>
      </w:pPr>
      <w:r w:rsidRPr="00732625">
        <w:rPr>
          <w:sz w:val="22"/>
        </w:rPr>
        <w:t xml:space="preserve"> </w:t>
      </w:r>
    </w:p>
    <w:p w14:paraId="4A7296DC" w14:textId="41785C7C" w:rsidR="00356663" w:rsidRPr="00651DD7" w:rsidRDefault="00356663" w:rsidP="00356663">
      <w:pPr>
        <w:spacing w:before="0" w:after="200"/>
        <w:jc w:val="center"/>
        <w:rPr>
          <w:sz w:val="22"/>
        </w:rPr>
      </w:pPr>
      <w:r w:rsidRPr="0047798B">
        <w:rPr>
          <w:noProof/>
        </w:rPr>
        <w:drawing>
          <wp:inline distT="0" distB="0" distL="0" distR="0" wp14:anchorId="11424EB2" wp14:editId="615950E7">
            <wp:extent cx="5719639" cy="5118265"/>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642" t="2187"/>
                    <a:stretch/>
                  </pic:blipFill>
                  <pic:spPr bwMode="auto">
                    <a:xfrm>
                      <a:off x="0" y="0"/>
                      <a:ext cx="5730647" cy="5128116"/>
                    </a:xfrm>
                    <a:prstGeom prst="rect">
                      <a:avLst/>
                    </a:prstGeom>
                    <a:noFill/>
                    <a:ln>
                      <a:noFill/>
                    </a:ln>
                    <a:extLst>
                      <a:ext uri="{53640926-AAD7-44D8-BBD7-CCE9431645EC}">
                        <a14:shadowObscured xmlns:a14="http://schemas.microsoft.com/office/drawing/2010/main"/>
                      </a:ext>
                    </a:extLst>
                  </pic:spPr>
                </pic:pic>
              </a:graphicData>
            </a:graphic>
          </wp:inline>
        </w:drawing>
      </w:r>
    </w:p>
    <w:p w14:paraId="291257DB" w14:textId="50331FAD" w:rsidR="00356663" w:rsidRDefault="00356663" w:rsidP="00356663">
      <w:pPr>
        <w:pStyle w:val="Caption"/>
      </w:pPr>
      <w:bookmarkStart w:id="286" w:name="_Ref90308610"/>
      <w:bookmarkStart w:id="287" w:name="_Toc3558376"/>
      <w:bookmarkStart w:id="288" w:name="_Toc101963837"/>
      <w:r>
        <w:t xml:space="preserve">Figure </w:t>
      </w:r>
      <w:fldSimple w:instr=" SEQ Figure \* ARABIC ">
        <w:r w:rsidR="003C13F6">
          <w:rPr>
            <w:noProof/>
          </w:rPr>
          <w:t>45</w:t>
        </w:r>
      </w:fldSimple>
      <w:bookmarkEnd w:id="286"/>
      <w:r w:rsidRPr="0021450B">
        <w:t>.</w:t>
      </w:r>
      <w:r w:rsidRPr="00651DD7">
        <w:t xml:space="preserve"> Back-calculated spawn dates for (a) golden perch larvae</w:t>
      </w:r>
      <w:r>
        <w:t xml:space="preserve"> (</w:t>
      </w:r>
      <w:r w:rsidRPr="00651DD7">
        <w:rPr>
          <w:i/>
        </w:rPr>
        <w:t>n</w:t>
      </w:r>
      <w:r w:rsidRPr="00651DD7">
        <w:t xml:space="preserve"> = </w:t>
      </w:r>
      <w:r>
        <w:t>20)</w:t>
      </w:r>
      <w:r w:rsidRPr="00651DD7">
        <w:t xml:space="preserve"> and (b) silver perch larvae</w:t>
      </w:r>
      <w:r>
        <w:t xml:space="preserve"> (</w:t>
      </w:r>
      <w:r w:rsidRPr="00651DD7">
        <w:rPr>
          <w:i/>
        </w:rPr>
        <w:t>n</w:t>
      </w:r>
      <w:r w:rsidRPr="00651DD7">
        <w:t xml:space="preserve"> = </w:t>
      </w:r>
      <w:r>
        <w:t>56)</w:t>
      </w:r>
      <w:r w:rsidRPr="00651DD7">
        <w:t xml:space="preserve"> captured </w:t>
      </w:r>
      <w:r>
        <w:t>below</w:t>
      </w:r>
      <w:r w:rsidRPr="00651DD7">
        <w:t xml:space="preserve"> Lock 6 (blue bars), Lock 4 (grey bars) and Lock 1 (red bars) in the LMR during 2020-21, plotted against discharge (ML/d) at the South Australian border (solid blue line)</w:t>
      </w:r>
      <w:r>
        <w:t xml:space="preserve"> and</w:t>
      </w:r>
      <w:r w:rsidRPr="00651DD7">
        <w:t xml:space="preserve"> </w:t>
      </w:r>
      <w:r>
        <w:t>Euston</w:t>
      </w:r>
      <w:r w:rsidRPr="00651DD7">
        <w:t xml:space="preserve"> (solid grey line), and water temperature (°C) (dotted black line). </w:t>
      </w:r>
      <w:r>
        <w:t>Golden perch e</w:t>
      </w:r>
      <w:r w:rsidRPr="00651DD7">
        <w:t>gg collection dates are shown for Lock 6 (blue asterisk), Lock 4 (</w:t>
      </w:r>
      <w:r>
        <w:t>grey</w:t>
      </w:r>
      <w:r w:rsidRPr="00651DD7">
        <w:t xml:space="preserve"> asterisk) and Lock 1 (red asterisk).</w:t>
      </w:r>
      <w:bookmarkEnd w:id="287"/>
      <w:bookmarkEnd w:id="288"/>
    </w:p>
    <w:p w14:paraId="3FC12F8B" w14:textId="77777777" w:rsidR="00356663" w:rsidRDefault="00356663" w:rsidP="00356663">
      <w:pPr>
        <w:jc w:val="center"/>
      </w:pPr>
      <w:r w:rsidRPr="00905895">
        <w:t xml:space="preserve"> </w:t>
      </w:r>
      <w:r w:rsidRPr="003F43B9">
        <w:t xml:space="preserve"> </w:t>
      </w:r>
      <w:r w:rsidRPr="00E044D4">
        <w:t xml:space="preserve"> </w:t>
      </w:r>
    </w:p>
    <w:p w14:paraId="7149D02B" w14:textId="77777777" w:rsidR="00356663" w:rsidRDefault="00356663" w:rsidP="00356663">
      <w:pPr>
        <w:pStyle w:val="Caption"/>
      </w:pPr>
    </w:p>
    <w:p w14:paraId="37C3F84F" w14:textId="77777777" w:rsidR="00356663" w:rsidRDefault="00356663" w:rsidP="00356663">
      <w:pPr>
        <w:rPr>
          <w:highlight w:val="yellow"/>
        </w:rPr>
      </w:pPr>
    </w:p>
    <w:p w14:paraId="7419BDBF" w14:textId="77777777" w:rsidR="00356663" w:rsidRDefault="00356663" w:rsidP="00356663">
      <w:pPr>
        <w:rPr>
          <w:highlight w:val="yellow"/>
        </w:rPr>
      </w:pPr>
      <w:bookmarkStart w:id="289" w:name="_Ref24727877"/>
    </w:p>
    <w:p w14:paraId="1A913A6E" w14:textId="77777777" w:rsidR="00356663" w:rsidRDefault="00356663" w:rsidP="00356663">
      <w:pPr>
        <w:spacing w:before="0" w:after="160" w:line="259" w:lineRule="auto"/>
        <w:jc w:val="left"/>
        <w:rPr>
          <w:highlight w:val="yellow"/>
        </w:rPr>
      </w:pPr>
      <w:r>
        <w:rPr>
          <w:highlight w:val="yellow"/>
        </w:rPr>
        <w:br w:type="page"/>
      </w:r>
    </w:p>
    <w:p w14:paraId="507B531E" w14:textId="77777777" w:rsidR="00356663" w:rsidRPr="00871792" w:rsidRDefault="00356663" w:rsidP="00356663">
      <w:pPr>
        <w:rPr>
          <w:i/>
          <w:u w:val="single"/>
        </w:rPr>
      </w:pPr>
      <w:bookmarkStart w:id="290" w:name="_Hlk78880030"/>
      <w:r w:rsidRPr="00871792">
        <w:rPr>
          <w:i/>
          <w:u w:val="single"/>
        </w:rPr>
        <w:t xml:space="preserve">Water </w:t>
      </w:r>
      <w:r w:rsidRPr="00871792">
        <w:rPr>
          <w:i/>
          <w:u w:val="single"/>
          <w:vertAlign w:val="superscript"/>
        </w:rPr>
        <w:t>87</w:t>
      </w:r>
      <w:r w:rsidRPr="00871792">
        <w:rPr>
          <w:i/>
          <w:u w:val="single"/>
        </w:rPr>
        <w:t>Sr/</w:t>
      </w:r>
      <w:r w:rsidRPr="00871792">
        <w:rPr>
          <w:i/>
          <w:u w:val="single"/>
          <w:vertAlign w:val="superscript"/>
        </w:rPr>
        <w:t>86</w:t>
      </w:r>
      <w:r w:rsidRPr="00871792">
        <w:rPr>
          <w:i/>
          <w:u w:val="single"/>
        </w:rPr>
        <w:t>Sr, natal origin</w:t>
      </w:r>
      <w:bookmarkEnd w:id="290"/>
      <w:r w:rsidRPr="00871792">
        <w:rPr>
          <w:i/>
          <w:u w:val="single"/>
        </w:rPr>
        <w:t xml:space="preserve"> of larvae and YOY</w:t>
      </w:r>
    </w:p>
    <w:bookmarkEnd w:id="289"/>
    <w:p w14:paraId="263098D7" w14:textId="7366EB8C" w:rsidR="00356663" w:rsidRPr="0086439C" w:rsidRDefault="00FE7396" w:rsidP="00356663">
      <w:pPr>
        <w:rPr>
          <w:color w:val="FF0000"/>
        </w:rPr>
      </w:pPr>
      <w:r w:rsidRPr="00871792">
        <w:t xml:space="preserve">From November 2020–January 2021, water </w:t>
      </w:r>
      <w:r w:rsidRPr="00871792">
        <w:rPr>
          <w:vertAlign w:val="superscript"/>
        </w:rPr>
        <w:t>87</w:t>
      </w:r>
      <w:r w:rsidRPr="00871792">
        <w:t>Sr/</w:t>
      </w:r>
      <w:r w:rsidRPr="00871792">
        <w:rPr>
          <w:vertAlign w:val="superscript"/>
        </w:rPr>
        <w:t>86</w:t>
      </w:r>
      <w:r w:rsidRPr="00871792">
        <w:t xml:space="preserve">Sr </w:t>
      </w:r>
      <w:r>
        <w:t>was temporally</w:t>
      </w:r>
      <w:r w:rsidRPr="00871792">
        <w:t xml:space="preserve"> stable </w:t>
      </w:r>
      <w:r>
        <w:t xml:space="preserve">at sites </w:t>
      </w:r>
      <w:r w:rsidRPr="00871792">
        <w:t>in the Murray River</w:t>
      </w:r>
      <w:r>
        <w:t>. Yet, along the Murray</w:t>
      </w:r>
      <w:r w:rsidR="000D5394">
        <w:t xml:space="preserve"> River</w:t>
      </w:r>
      <w:r>
        <w:t xml:space="preserve">, water  </w:t>
      </w:r>
      <w:r w:rsidRPr="00D14638">
        <w:rPr>
          <w:vertAlign w:val="superscript"/>
        </w:rPr>
        <w:t>87</w:t>
      </w:r>
      <w:r w:rsidRPr="00D14638">
        <w:t>Sr/</w:t>
      </w:r>
      <w:r w:rsidRPr="00D14638">
        <w:rPr>
          <w:vertAlign w:val="superscript"/>
        </w:rPr>
        <w:t>86</w:t>
      </w:r>
      <w:r w:rsidRPr="00D14638">
        <w:t xml:space="preserve">Sr </w:t>
      </w:r>
      <w:r w:rsidRPr="00871792">
        <w:t xml:space="preserve"> </w:t>
      </w:r>
      <w:r>
        <w:t xml:space="preserve">gradually </w:t>
      </w:r>
      <w:r w:rsidRPr="00871792">
        <w:t xml:space="preserve">decreased </w:t>
      </w:r>
      <w:r>
        <w:t>in a downstream direction</w:t>
      </w:r>
      <w:r w:rsidRPr="00871792">
        <w:t xml:space="preserve"> (</w:t>
      </w:r>
      <w:r w:rsidR="00356663">
        <w:fldChar w:fldCharType="begin"/>
      </w:r>
      <w:r w:rsidR="00356663">
        <w:instrText xml:space="preserve"> REF _Ref90308648 \h </w:instrText>
      </w:r>
      <w:r w:rsidR="00356663">
        <w:fldChar w:fldCharType="separate"/>
      </w:r>
      <w:r w:rsidR="003C13F6">
        <w:t xml:space="preserve">Figure </w:t>
      </w:r>
      <w:r w:rsidR="003C13F6">
        <w:rPr>
          <w:noProof/>
        </w:rPr>
        <w:t>46</w:t>
      </w:r>
      <w:r w:rsidR="00356663">
        <w:fldChar w:fldCharType="end"/>
      </w:r>
      <w:r w:rsidR="00356663" w:rsidRPr="00871792">
        <w:t xml:space="preserve">). Water </w:t>
      </w:r>
      <w:r w:rsidR="00356663" w:rsidRPr="00871792">
        <w:rPr>
          <w:vertAlign w:val="superscript"/>
        </w:rPr>
        <w:t>87</w:t>
      </w:r>
      <w:r w:rsidR="00356663" w:rsidRPr="00871792">
        <w:t>Sr/</w:t>
      </w:r>
      <w:r w:rsidR="00356663" w:rsidRPr="00871792">
        <w:rPr>
          <w:vertAlign w:val="superscript"/>
        </w:rPr>
        <w:t>86</w:t>
      </w:r>
      <w:r w:rsidR="00356663" w:rsidRPr="00871792">
        <w:t xml:space="preserve">Sr </w:t>
      </w:r>
      <w:r w:rsidR="00356663" w:rsidRPr="0086439C">
        <w:t>was most variable at Lock 9 (0.7157–0.7164).</w:t>
      </w:r>
      <w:r w:rsidR="00356663">
        <w:t xml:space="preserve"> Otoliths from a</w:t>
      </w:r>
      <w:r w:rsidR="00356663" w:rsidRPr="0086439C">
        <w:rPr>
          <w:color w:val="auto"/>
        </w:rPr>
        <w:t xml:space="preserve"> sample of 54 silver perch larvae and two golden perch larvae were analysed for </w:t>
      </w:r>
      <w:r w:rsidR="00356663" w:rsidRPr="0086439C">
        <w:rPr>
          <w:color w:val="auto"/>
          <w:vertAlign w:val="superscript"/>
        </w:rPr>
        <w:t>87</w:t>
      </w:r>
      <w:r w:rsidR="00356663" w:rsidRPr="0086439C">
        <w:rPr>
          <w:color w:val="auto"/>
        </w:rPr>
        <w:t>Sr/</w:t>
      </w:r>
      <w:r w:rsidR="00356663" w:rsidRPr="0086439C">
        <w:rPr>
          <w:color w:val="auto"/>
          <w:vertAlign w:val="superscript"/>
        </w:rPr>
        <w:t>86</w:t>
      </w:r>
      <w:r w:rsidR="00356663" w:rsidRPr="0086439C">
        <w:rPr>
          <w:color w:val="auto"/>
        </w:rPr>
        <w:t xml:space="preserve">Sr. The otoliths of the remaining larval golden perch were too small for analysis. The majority (85%) of silver perch and </w:t>
      </w:r>
      <w:r w:rsidR="00616A72">
        <w:rPr>
          <w:color w:val="auto"/>
        </w:rPr>
        <w:t>both</w:t>
      </w:r>
      <w:r w:rsidR="00356663" w:rsidRPr="0086439C">
        <w:rPr>
          <w:color w:val="auto"/>
        </w:rPr>
        <w:t xml:space="preserve"> golden perch larvae exhibited otolith core </w:t>
      </w:r>
      <w:r w:rsidR="00356663" w:rsidRPr="0086439C">
        <w:rPr>
          <w:color w:val="auto"/>
          <w:vertAlign w:val="superscript"/>
        </w:rPr>
        <w:t>87</w:t>
      </w:r>
      <w:r w:rsidR="00356663" w:rsidRPr="0086439C">
        <w:rPr>
          <w:color w:val="auto"/>
        </w:rPr>
        <w:t>Sr/</w:t>
      </w:r>
      <w:r w:rsidR="00356663" w:rsidRPr="0086439C">
        <w:rPr>
          <w:color w:val="auto"/>
          <w:vertAlign w:val="superscript"/>
        </w:rPr>
        <w:t>86</w:t>
      </w:r>
      <w:r w:rsidR="00356663" w:rsidRPr="0086439C">
        <w:rPr>
          <w:color w:val="auto"/>
        </w:rPr>
        <w:t>Sr indicative of the mid-Murray River, above Lock 9 (i.e. 0.7158–0.7172)</w:t>
      </w:r>
      <w:r w:rsidR="00356663">
        <w:rPr>
          <w:color w:val="auto"/>
        </w:rPr>
        <w:t xml:space="preserve"> </w:t>
      </w:r>
      <w:r w:rsidR="00356663" w:rsidRPr="0086439C">
        <w:rPr>
          <w:color w:val="auto"/>
        </w:rPr>
        <w:t>(</w:t>
      </w:r>
      <w:r w:rsidR="00356663">
        <w:rPr>
          <w:color w:val="auto"/>
          <w:highlight w:val="yellow"/>
        </w:rPr>
        <w:fldChar w:fldCharType="begin"/>
      </w:r>
      <w:r w:rsidR="00356663">
        <w:rPr>
          <w:color w:val="auto"/>
        </w:rPr>
        <w:instrText xml:space="preserve"> REF _Ref90308648 \h </w:instrText>
      </w:r>
      <w:r w:rsidR="00356663">
        <w:rPr>
          <w:color w:val="auto"/>
          <w:highlight w:val="yellow"/>
        </w:rPr>
      </w:r>
      <w:r w:rsidR="00356663">
        <w:rPr>
          <w:color w:val="auto"/>
          <w:highlight w:val="yellow"/>
        </w:rPr>
        <w:fldChar w:fldCharType="separate"/>
      </w:r>
      <w:r w:rsidR="003C13F6">
        <w:t xml:space="preserve">Figure </w:t>
      </w:r>
      <w:r w:rsidR="003C13F6">
        <w:rPr>
          <w:noProof/>
        </w:rPr>
        <w:t>46</w:t>
      </w:r>
      <w:r w:rsidR="00356663">
        <w:rPr>
          <w:color w:val="auto"/>
          <w:highlight w:val="yellow"/>
        </w:rPr>
        <w:fldChar w:fldCharType="end"/>
      </w:r>
      <w:r w:rsidR="00356663" w:rsidRPr="0086439C">
        <w:rPr>
          <w:color w:val="auto"/>
        </w:rPr>
        <w:t>).</w:t>
      </w:r>
      <w:r w:rsidR="00356663">
        <w:rPr>
          <w:color w:val="auto"/>
        </w:rPr>
        <w:t xml:space="preserve"> The t</w:t>
      </w:r>
      <w:r w:rsidR="00356663" w:rsidRPr="00693A13">
        <w:rPr>
          <w:color w:val="auto"/>
        </w:rPr>
        <w:t xml:space="preserve">ransects of </w:t>
      </w:r>
      <w:r w:rsidR="00356663" w:rsidRPr="00693A13">
        <w:rPr>
          <w:color w:val="auto"/>
          <w:vertAlign w:val="superscript"/>
        </w:rPr>
        <w:t>87</w:t>
      </w:r>
      <w:r w:rsidR="00356663" w:rsidRPr="00693A13">
        <w:rPr>
          <w:color w:val="auto"/>
        </w:rPr>
        <w:t>Sr/</w:t>
      </w:r>
      <w:r w:rsidR="00356663" w:rsidRPr="00693A13">
        <w:rPr>
          <w:color w:val="auto"/>
          <w:vertAlign w:val="superscript"/>
        </w:rPr>
        <w:t>86</w:t>
      </w:r>
      <w:r w:rsidR="00356663" w:rsidRPr="00693A13">
        <w:rPr>
          <w:color w:val="auto"/>
        </w:rPr>
        <w:t>Sr from the otolith core to edge</w:t>
      </w:r>
      <w:r w:rsidR="00356663">
        <w:rPr>
          <w:color w:val="auto"/>
        </w:rPr>
        <w:t xml:space="preserve">s of these individuals </w:t>
      </w:r>
      <w:r w:rsidR="00356663" w:rsidRPr="00693A13">
        <w:rPr>
          <w:color w:val="auto"/>
        </w:rPr>
        <w:t>indicat</w:t>
      </w:r>
      <w:r w:rsidR="00356663">
        <w:rPr>
          <w:color w:val="auto"/>
        </w:rPr>
        <w:t>ed</w:t>
      </w:r>
      <w:r w:rsidR="00356663" w:rsidRPr="00693A13">
        <w:rPr>
          <w:color w:val="auto"/>
        </w:rPr>
        <w:t xml:space="preserve"> that </w:t>
      </w:r>
      <w:r w:rsidR="00356663">
        <w:rPr>
          <w:color w:val="auto"/>
        </w:rPr>
        <w:t>these</w:t>
      </w:r>
      <w:r w:rsidR="00356663" w:rsidRPr="00693A13">
        <w:rPr>
          <w:color w:val="auto"/>
        </w:rPr>
        <w:t xml:space="preserve"> fish </w:t>
      </w:r>
      <w:r w:rsidR="00356663">
        <w:rPr>
          <w:color w:val="auto"/>
        </w:rPr>
        <w:t xml:space="preserve">originated from </w:t>
      </w:r>
      <w:r w:rsidR="00356663" w:rsidRPr="00693A13">
        <w:rPr>
          <w:color w:val="auto"/>
        </w:rPr>
        <w:t xml:space="preserve">the </w:t>
      </w:r>
      <w:r w:rsidR="00356663">
        <w:rPr>
          <w:color w:val="auto"/>
        </w:rPr>
        <w:t xml:space="preserve">lower reaches of the </w:t>
      </w:r>
      <w:r w:rsidR="00356663" w:rsidRPr="00693A13">
        <w:rPr>
          <w:color w:val="auto"/>
        </w:rPr>
        <w:t>mid-Murray River and subsequently moved (passively/actively)</w:t>
      </w:r>
      <w:r w:rsidR="00356663">
        <w:rPr>
          <w:color w:val="auto"/>
        </w:rPr>
        <w:t xml:space="preserve"> downstream</w:t>
      </w:r>
      <w:r w:rsidR="00356663" w:rsidRPr="00693A13">
        <w:rPr>
          <w:color w:val="auto"/>
        </w:rPr>
        <w:t xml:space="preserve"> to the</w:t>
      </w:r>
      <w:r w:rsidR="00356663">
        <w:rPr>
          <w:color w:val="auto"/>
        </w:rPr>
        <w:t>ir</w:t>
      </w:r>
      <w:r w:rsidR="00356663" w:rsidRPr="00693A13">
        <w:rPr>
          <w:color w:val="auto"/>
        </w:rPr>
        <w:t xml:space="preserve"> capture location in the</w:t>
      </w:r>
      <w:r w:rsidR="00356663">
        <w:rPr>
          <w:color w:val="auto"/>
        </w:rPr>
        <w:t xml:space="preserve"> </w:t>
      </w:r>
      <w:r w:rsidR="00086886">
        <w:rPr>
          <w:color w:val="auto"/>
        </w:rPr>
        <w:t>LMR</w:t>
      </w:r>
      <w:r w:rsidR="00356663">
        <w:rPr>
          <w:color w:val="auto"/>
        </w:rPr>
        <w:t xml:space="preserve"> (e.g. </w:t>
      </w:r>
      <w:r w:rsidR="00356663" w:rsidRPr="008B680A">
        <w:rPr>
          <w:color w:val="auto"/>
        </w:rPr>
        <w:fldChar w:fldCharType="begin"/>
      </w:r>
      <w:r w:rsidR="00356663" w:rsidRPr="008B680A">
        <w:rPr>
          <w:color w:val="auto"/>
        </w:rPr>
        <w:instrText xml:space="preserve"> REF _Ref90308683 \h </w:instrText>
      </w:r>
      <w:r w:rsidR="00356663">
        <w:rPr>
          <w:color w:val="auto"/>
        </w:rPr>
        <w:instrText xml:space="preserve"> \* MERGEFORMAT </w:instrText>
      </w:r>
      <w:r w:rsidR="00356663" w:rsidRPr="008B680A">
        <w:rPr>
          <w:color w:val="auto"/>
        </w:rPr>
      </w:r>
      <w:r w:rsidR="00356663" w:rsidRPr="008B680A">
        <w:rPr>
          <w:color w:val="auto"/>
        </w:rPr>
        <w:fldChar w:fldCharType="separate"/>
      </w:r>
      <w:r w:rsidR="003C13F6">
        <w:t xml:space="preserve">Figure </w:t>
      </w:r>
      <w:r w:rsidR="003C13F6">
        <w:rPr>
          <w:noProof/>
        </w:rPr>
        <w:t>47</w:t>
      </w:r>
      <w:r w:rsidR="00356663" w:rsidRPr="008B680A">
        <w:rPr>
          <w:color w:val="auto"/>
        </w:rPr>
        <w:fldChar w:fldCharType="end"/>
      </w:r>
      <w:r w:rsidR="00356663" w:rsidRPr="008B680A">
        <w:rPr>
          <w:color w:val="auto"/>
        </w:rPr>
        <w:t>a, b, d)</w:t>
      </w:r>
      <w:r w:rsidR="00616A72">
        <w:rPr>
          <w:color w:val="auto"/>
        </w:rPr>
        <w:t>.</w:t>
      </w:r>
      <w:r w:rsidR="00356663" w:rsidRPr="008B680A">
        <w:rPr>
          <w:color w:val="auto"/>
        </w:rPr>
        <w:t xml:space="preserve"> The remaining silver perch larvae had otolith core </w:t>
      </w:r>
      <w:r w:rsidR="00356663" w:rsidRPr="008B680A">
        <w:rPr>
          <w:color w:val="auto"/>
          <w:vertAlign w:val="superscript"/>
        </w:rPr>
        <w:t>87</w:t>
      </w:r>
      <w:r w:rsidR="00356663" w:rsidRPr="008B680A">
        <w:rPr>
          <w:color w:val="auto"/>
        </w:rPr>
        <w:t>Sr/</w:t>
      </w:r>
      <w:r w:rsidR="00356663" w:rsidRPr="008B680A">
        <w:rPr>
          <w:color w:val="auto"/>
          <w:vertAlign w:val="superscript"/>
        </w:rPr>
        <w:t>86</w:t>
      </w:r>
      <w:r w:rsidR="00356663" w:rsidRPr="008B680A">
        <w:rPr>
          <w:color w:val="auto"/>
        </w:rPr>
        <w:t>Sr (i.e. 0.7152–0.7160) indicative of the Murray</w:t>
      </w:r>
      <w:r w:rsidR="0070500C">
        <w:rPr>
          <w:color w:val="auto"/>
        </w:rPr>
        <w:t xml:space="preserve"> River between</w:t>
      </w:r>
      <w:r w:rsidR="00356663" w:rsidRPr="008B680A">
        <w:rPr>
          <w:color w:val="auto"/>
        </w:rPr>
        <w:t xml:space="preserve"> Lock 6</w:t>
      </w:r>
      <w:r w:rsidR="0070500C">
        <w:rPr>
          <w:color w:val="auto"/>
        </w:rPr>
        <w:t xml:space="preserve"> and </w:t>
      </w:r>
      <w:r w:rsidR="00356663" w:rsidRPr="008B680A">
        <w:rPr>
          <w:color w:val="auto"/>
        </w:rPr>
        <w:t xml:space="preserve">Lock 9. Transects of otolith </w:t>
      </w:r>
      <w:r w:rsidR="00356663" w:rsidRPr="008B680A">
        <w:rPr>
          <w:color w:val="auto"/>
          <w:vertAlign w:val="superscript"/>
        </w:rPr>
        <w:t>87</w:t>
      </w:r>
      <w:r w:rsidR="00356663" w:rsidRPr="008B680A">
        <w:rPr>
          <w:color w:val="auto"/>
        </w:rPr>
        <w:t>Sr/</w:t>
      </w:r>
      <w:r w:rsidR="00356663" w:rsidRPr="008B680A">
        <w:rPr>
          <w:color w:val="auto"/>
          <w:vertAlign w:val="superscript"/>
        </w:rPr>
        <w:t>86</w:t>
      </w:r>
      <w:r w:rsidR="00356663" w:rsidRPr="008B680A">
        <w:rPr>
          <w:color w:val="auto"/>
        </w:rPr>
        <w:t>Sr indicated that these individuals were spawned in the Murray</w:t>
      </w:r>
      <w:r w:rsidR="0070500C">
        <w:rPr>
          <w:color w:val="auto"/>
        </w:rPr>
        <w:t xml:space="preserve"> River</w:t>
      </w:r>
      <w:r w:rsidR="00356663" w:rsidRPr="008B680A">
        <w:rPr>
          <w:color w:val="auto"/>
        </w:rPr>
        <w:t xml:space="preserve">, somewhere between Lock 6 and the Darling River junction, and remained in this region throughout their early life (e.g. </w:t>
      </w:r>
      <w:r w:rsidR="00356663" w:rsidRPr="008B680A">
        <w:rPr>
          <w:color w:val="auto"/>
        </w:rPr>
        <w:fldChar w:fldCharType="begin"/>
      </w:r>
      <w:r w:rsidR="00356663" w:rsidRPr="008B680A">
        <w:rPr>
          <w:color w:val="auto"/>
        </w:rPr>
        <w:instrText xml:space="preserve"> REF _Ref90308683 \h </w:instrText>
      </w:r>
      <w:r w:rsidR="00356663">
        <w:rPr>
          <w:color w:val="auto"/>
        </w:rPr>
        <w:instrText xml:space="preserve"> \* MERGEFORMAT </w:instrText>
      </w:r>
      <w:r w:rsidR="00356663" w:rsidRPr="008B680A">
        <w:rPr>
          <w:color w:val="auto"/>
        </w:rPr>
      </w:r>
      <w:r w:rsidR="00356663" w:rsidRPr="008B680A">
        <w:rPr>
          <w:color w:val="auto"/>
        </w:rPr>
        <w:fldChar w:fldCharType="separate"/>
      </w:r>
      <w:r w:rsidR="003C13F6">
        <w:t xml:space="preserve">Figure </w:t>
      </w:r>
      <w:r w:rsidR="003C13F6">
        <w:rPr>
          <w:noProof/>
        </w:rPr>
        <w:t>47</w:t>
      </w:r>
      <w:r w:rsidR="00356663" w:rsidRPr="008B680A">
        <w:rPr>
          <w:color w:val="auto"/>
        </w:rPr>
        <w:fldChar w:fldCharType="end"/>
      </w:r>
      <w:r w:rsidR="00356663" w:rsidRPr="008B680A">
        <w:rPr>
          <w:color w:val="auto"/>
        </w:rPr>
        <w:t>c).</w:t>
      </w:r>
    </w:p>
    <w:p w14:paraId="31643C02" w14:textId="77777777" w:rsidR="00356663" w:rsidRPr="00392011" w:rsidRDefault="00356663" w:rsidP="00356663">
      <w:pPr>
        <w:rPr>
          <w:highlight w:val="yellow"/>
        </w:rPr>
      </w:pPr>
      <w:r w:rsidRPr="00355FB6">
        <w:rPr>
          <w:noProof/>
        </w:rPr>
        <w:drawing>
          <wp:inline distT="0" distB="0" distL="0" distR="0" wp14:anchorId="0616D44B" wp14:editId="34DAF5B2">
            <wp:extent cx="5505450" cy="3649345"/>
            <wp:effectExtent l="0" t="0" r="0" b="825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7037" r="3944"/>
                    <a:stretch/>
                  </pic:blipFill>
                  <pic:spPr bwMode="auto">
                    <a:xfrm>
                      <a:off x="0" y="0"/>
                      <a:ext cx="5505450" cy="3649345"/>
                    </a:xfrm>
                    <a:prstGeom prst="rect">
                      <a:avLst/>
                    </a:prstGeom>
                    <a:noFill/>
                    <a:ln>
                      <a:noFill/>
                    </a:ln>
                    <a:extLst>
                      <a:ext uri="{53640926-AAD7-44D8-BBD7-CCE9431645EC}">
                        <a14:shadowObscured xmlns:a14="http://schemas.microsoft.com/office/drawing/2010/main"/>
                      </a:ext>
                    </a:extLst>
                  </pic:spPr>
                </pic:pic>
              </a:graphicData>
            </a:graphic>
          </wp:inline>
        </w:drawing>
      </w:r>
    </w:p>
    <w:p w14:paraId="6D5EF2A3" w14:textId="43A60F55" w:rsidR="00356663" w:rsidRPr="00392011" w:rsidRDefault="00356663" w:rsidP="00356663">
      <w:pPr>
        <w:pStyle w:val="Caption"/>
        <w:rPr>
          <w:highlight w:val="yellow"/>
        </w:rPr>
      </w:pPr>
      <w:bookmarkStart w:id="291" w:name="_Ref90308648"/>
      <w:bookmarkStart w:id="292" w:name="_Toc3558377"/>
      <w:bookmarkStart w:id="293" w:name="_Toc101963838"/>
      <w:r>
        <w:t xml:space="preserve">Figure </w:t>
      </w:r>
      <w:fldSimple w:instr=" SEQ Figure \* ARABIC ">
        <w:r w:rsidR="003C13F6">
          <w:rPr>
            <w:noProof/>
          </w:rPr>
          <w:t>46</w:t>
        </w:r>
      </w:fldSimple>
      <w:bookmarkEnd w:id="291"/>
      <w:r>
        <w:t>.</w:t>
      </w:r>
      <w:r w:rsidRPr="007337B1">
        <w:t xml:space="preserve"> </w:t>
      </w:r>
      <w:r w:rsidRPr="007337B1">
        <w:rPr>
          <w:vertAlign w:val="superscript"/>
        </w:rPr>
        <w:t>87</w:t>
      </w:r>
      <w:r w:rsidRPr="007337B1">
        <w:t>Sr/</w:t>
      </w:r>
      <w:r w:rsidRPr="007337B1">
        <w:rPr>
          <w:vertAlign w:val="superscript"/>
        </w:rPr>
        <w:t>86</w:t>
      </w:r>
      <w:r w:rsidRPr="007337B1">
        <w:t xml:space="preserve">Sr in water samples collected from early November 2020 to mid-January 2021 at sites in the southern MDB. </w:t>
      </w:r>
      <w:r w:rsidRPr="007337B1">
        <w:rPr>
          <w:vertAlign w:val="superscript"/>
        </w:rPr>
        <w:t>87</w:t>
      </w:r>
      <w:r w:rsidRPr="007337B1">
        <w:t>Sr/</w:t>
      </w:r>
      <w:r w:rsidRPr="007337B1">
        <w:rPr>
          <w:vertAlign w:val="superscript"/>
        </w:rPr>
        <w:t>86</w:t>
      </w:r>
      <w:r w:rsidRPr="007337B1">
        <w:t xml:space="preserve">Sr in the Darling River </w:t>
      </w:r>
      <w:r>
        <w:t xml:space="preserve">(0.7076) </w:t>
      </w:r>
      <w:r w:rsidRPr="007337B1">
        <w:t>and Murray River at Barmah</w:t>
      </w:r>
      <w:r>
        <w:t xml:space="preserve"> (0.7192)</w:t>
      </w:r>
      <w:r w:rsidRPr="007337B1">
        <w:t xml:space="preserve"> are presented as dashed straight lines and based on long-term </w:t>
      </w:r>
      <w:r>
        <w:t xml:space="preserve">(2012–2019) </w:t>
      </w:r>
      <w:r w:rsidRPr="007337B1">
        <w:t xml:space="preserve">averages </w:t>
      </w:r>
      <w:r w:rsidRPr="00871792">
        <w:t xml:space="preserve">(Ye </w:t>
      </w:r>
      <w:r w:rsidRPr="00871792">
        <w:rPr>
          <w:i/>
          <w:iCs/>
        </w:rPr>
        <w:t xml:space="preserve">et al. </w:t>
      </w:r>
      <w:r w:rsidRPr="00871792">
        <w:t>2020</w:t>
      </w:r>
      <w:r w:rsidR="0036505B">
        <w:t>a</w:t>
      </w:r>
      <w:r w:rsidRPr="00871792">
        <w:t xml:space="preserve">). </w:t>
      </w:r>
      <w:r>
        <w:t>Water from the Rufus River (upwards grey triangle) was only sampled on one occasion (3 replicates averaged) in late December 2020-21. Coloured symbols</w:t>
      </w:r>
      <w:r w:rsidRPr="007337B1">
        <w:t xml:space="preserve"> represent spawn date and otolith core </w:t>
      </w:r>
      <w:r w:rsidRPr="007337B1">
        <w:rPr>
          <w:vertAlign w:val="superscript"/>
        </w:rPr>
        <w:t>87</w:t>
      </w:r>
      <w:r w:rsidRPr="007337B1">
        <w:t>Sr/</w:t>
      </w:r>
      <w:r w:rsidRPr="007337B1">
        <w:rPr>
          <w:vertAlign w:val="superscript"/>
        </w:rPr>
        <w:t>86</w:t>
      </w:r>
      <w:r w:rsidRPr="007337B1">
        <w:t>Sr of larval golden perch (red</w:t>
      </w:r>
      <w:r>
        <w:t xml:space="preserve"> triangles</w:t>
      </w:r>
      <w:r w:rsidRPr="007337B1">
        <w:t>) and silver perch (blue</w:t>
      </w:r>
      <w:r>
        <w:t xml:space="preserve"> circles</w:t>
      </w:r>
      <w:r w:rsidRPr="007337B1">
        <w:t>) collected in the LMR from November 2020 to January 2021.</w:t>
      </w:r>
      <w:bookmarkEnd w:id="292"/>
      <w:bookmarkEnd w:id="293"/>
      <w:r>
        <w:t xml:space="preserve"> </w:t>
      </w:r>
    </w:p>
    <w:p w14:paraId="6E8F5637" w14:textId="77777777" w:rsidR="00356663" w:rsidRPr="00FF26F5" w:rsidRDefault="00356663" w:rsidP="00356663">
      <w:pPr>
        <w:jc w:val="center"/>
      </w:pPr>
      <w:r w:rsidRPr="00535ADF">
        <w:rPr>
          <w:noProof/>
        </w:rPr>
        <w:drawing>
          <wp:inline distT="0" distB="0" distL="0" distR="0" wp14:anchorId="4F108D32" wp14:editId="4905A7B5">
            <wp:extent cx="5731510" cy="412305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6481"/>
                    <a:stretch/>
                  </pic:blipFill>
                  <pic:spPr bwMode="auto">
                    <a:xfrm>
                      <a:off x="0" y="0"/>
                      <a:ext cx="5731510" cy="4123055"/>
                    </a:xfrm>
                    <a:prstGeom prst="rect">
                      <a:avLst/>
                    </a:prstGeom>
                    <a:noFill/>
                    <a:ln>
                      <a:noFill/>
                    </a:ln>
                    <a:extLst>
                      <a:ext uri="{53640926-AAD7-44D8-BBD7-CCE9431645EC}">
                        <a14:shadowObscured xmlns:a14="http://schemas.microsoft.com/office/drawing/2010/main"/>
                      </a:ext>
                    </a:extLst>
                  </pic:spPr>
                </pic:pic>
              </a:graphicData>
            </a:graphic>
          </wp:inline>
        </w:drawing>
      </w:r>
    </w:p>
    <w:p w14:paraId="0BEB77B1" w14:textId="788A4184" w:rsidR="00356663" w:rsidRPr="008B5AA7" w:rsidRDefault="00356663" w:rsidP="00356663">
      <w:pPr>
        <w:pStyle w:val="Caption"/>
      </w:pPr>
      <w:bookmarkStart w:id="294" w:name="_Ref90308683"/>
      <w:bookmarkStart w:id="295" w:name="_Toc3558378"/>
      <w:bookmarkStart w:id="296" w:name="_Toc101963839"/>
      <w:r>
        <w:t xml:space="preserve">Figure </w:t>
      </w:r>
      <w:fldSimple w:instr=" SEQ Figure \* ARABIC ">
        <w:r w:rsidR="003C13F6">
          <w:rPr>
            <w:noProof/>
          </w:rPr>
          <w:t>47</w:t>
        </w:r>
      </w:fldSimple>
      <w:bookmarkEnd w:id="294"/>
      <w:r w:rsidRPr="00FF26F5">
        <w:rPr>
          <w:noProof/>
        </w:rPr>
        <w:t xml:space="preserve">. </w:t>
      </w:r>
      <w:r w:rsidRPr="00FF26F5">
        <w:t xml:space="preserve">Individual life history profiles based on otolith Sr isotope transects (core to edge) for </w:t>
      </w:r>
      <w:r>
        <w:t>silver</w:t>
      </w:r>
      <w:r w:rsidRPr="00FF26F5">
        <w:t xml:space="preserve"> perch </w:t>
      </w:r>
      <w:r>
        <w:t xml:space="preserve">(a-c) and golden perch (d) </w:t>
      </w:r>
      <w:r w:rsidRPr="00FF26F5">
        <w:t>larvae collected in the L</w:t>
      </w:r>
      <w:r>
        <w:t xml:space="preserve">ower </w:t>
      </w:r>
      <w:r w:rsidRPr="00FF26F5">
        <w:t>M</w:t>
      </w:r>
      <w:r>
        <w:t>urray</w:t>
      </w:r>
      <w:r w:rsidR="00086886">
        <w:t xml:space="preserve"> River</w:t>
      </w:r>
      <w:r w:rsidRPr="00FF26F5">
        <w:t xml:space="preserve">. Age at capture and capture location are provide above each transect. Dashed lines denote minimum and maximum </w:t>
      </w:r>
      <w:r w:rsidRPr="00FF26F5">
        <w:rPr>
          <w:vertAlign w:val="superscript"/>
        </w:rPr>
        <w:t>87</w:t>
      </w:r>
      <w:r w:rsidRPr="00FF26F5">
        <w:t>Sr/</w:t>
      </w:r>
      <w:r w:rsidRPr="00FF26F5">
        <w:rPr>
          <w:vertAlign w:val="superscript"/>
        </w:rPr>
        <w:t>86</w:t>
      </w:r>
      <w:r w:rsidRPr="00FF26F5">
        <w:t xml:space="preserve">Sr ratios in the </w:t>
      </w:r>
      <w:r w:rsidR="00EA1B9C">
        <w:t>L</w:t>
      </w:r>
      <w:r>
        <w:t>ower Murray</w:t>
      </w:r>
      <w:r w:rsidR="0070500C">
        <w:t xml:space="preserve"> River </w:t>
      </w:r>
      <w:r w:rsidR="004319B2">
        <w:t>downstream of</w:t>
      </w:r>
      <w:r w:rsidR="0070500C">
        <w:t xml:space="preserve"> the Darling River junction</w:t>
      </w:r>
      <w:r w:rsidRPr="00FF26F5">
        <w:t xml:space="preserve"> (</w:t>
      </w:r>
      <w:r>
        <w:t xml:space="preserve">i.e. Lock 1 to Lock 9, </w:t>
      </w:r>
      <w:r w:rsidRPr="00FF26F5">
        <w:t>blue)</w:t>
      </w:r>
      <w:r>
        <w:t xml:space="preserve"> and mid-Murray River</w:t>
      </w:r>
      <w:r w:rsidRPr="00FF26F5">
        <w:t xml:space="preserve"> (</w:t>
      </w:r>
      <w:r>
        <w:t>i.e. Lock 11 to Torrumbarry, red</w:t>
      </w:r>
      <w:r w:rsidRPr="00FF26F5">
        <w:t xml:space="preserve">) </w:t>
      </w:r>
      <w:r>
        <w:t>for the 2020-21 spring/summer period</w:t>
      </w:r>
      <w:r w:rsidRPr="00FF26F5">
        <w:t>.</w:t>
      </w:r>
      <w:bookmarkEnd w:id="295"/>
      <w:r w:rsidRPr="00FF26F5">
        <w:t xml:space="preserve"> Green dashed line indicates the temporally stable water </w:t>
      </w:r>
      <w:r w:rsidRPr="00FF26F5">
        <w:rPr>
          <w:vertAlign w:val="superscript"/>
        </w:rPr>
        <w:t>87</w:t>
      </w:r>
      <w:r w:rsidRPr="00FF26F5">
        <w:t>Sr/</w:t>
      </w:r>
      <w:r w:rsidRPr="00FF26F5">
        <w:rPr>
          <w:vertAlign w:val="superscript"/>
        </w:rPr>
        <w:t>86</w:t>
      </w:r>
      <w:r w:rsidRPr="00FF26F5">
        <w:t>Sr of the lower Darling River (i.e. ~0.7075).</w:t>
      </w:r>
      <w:bookmarkEnd w:id="296"/>
    </w:p>
    <w:p w14:paraId="635B7094" w14:textId="77777777" w:rsidR="00356663" w:rsidRDefault="00356663" w:rsidP="00356663">
      <w:pPr>
        <w:rPr>
          <w:i/>
          <w:u w:val="single"/>
        </w:rPr>
      </w:pPr>
    </w:p>
    <w:p w14:paraId="45FACF35" w14:textId="77777777" w:rsidR="00356663" w:rsidRPr="00907FB5" w:rsidRDefault="00356663" w:rsidP="00356663">
      <w:pPr>
        <w:rPr>
          <w:i/>
          <w:u w:val="single"/>
        </w:rPr>
      </w:pPr>
      <w:r w:rsidRPr="00551D2F">
        <w:rPr>
          <w:i/>
          <w:u w:val="single"/>
        </w:rPr>
        <w:t>Juvenile/adult abundance</w:t>
      </w:r>
    </w:p>
    <w:p w14:paraId="41EBFE3E" w14:textId="25F89FA8" w:rsidR="00356663" w:rsidRDefault="00356663" w:rsidP="00356663">
      <w:r>
        <w:t>F</w:t>
      </w:r>
      <w:r w:rsidRPr="00401C96">
        <w:t>rom 2015 to 20</w:t>
      </w:r>
      <w:r>
        <w:t>20, r</w:t>
      </w:r>
      <w:r w:rsidRPr="00401C96">
        <w:t xml:space="preserve">elative abundance of golden perch declined </w:t>
      </w:r>
      <w:r>
        <w:t xml:space="preserve">from </w:t>
      </w:r>
      <w:r w:rsidRPr="00401C96">
        <w:t>0.57 ± 0.08</w:t>
      </w:r>
      <w:r>
        <w:t> </w:t>
      </w:r>
      <w:r w:rsidRPr="00401C96">
        <w:t>ind./shot</w:t>
      </w:r>
      <w:r>
        <w:t xml:space="preserve"> to </w:t>
      </w:r>
      <w:r w:rsidRPr="00401C96">
        <w:t>0.2</w:t>
      </w:r>
      <w:r>
        <w:t>7</w:t>
      </w:r>
      <w:r w:rsidRPr="00401C96">
        <w:t xml:space="preserve"> ± 0.0</w:t>
      </w:r>
      <w:r>
        <w:t>3 </w:t>
      </w:r>
      <w:r w:rsidRPr="00401C96">
        <w:t xml:space="preserve">ind./shot </w:t>
      </w:r>
      <w:r>
        <w:t>(</w:t>
      </w:r>
      <w:r w:rsidRPr="0002107D">
        <w:fldChar w:fldCharType="begin"/>
      </w:r>
      <w:r w:rsidRPr="0002107D">
        <w:instrText xml:space="preserve"> REF _Ref24642517 \h </w:instrText>
      </w:r>
      <w:r>
        <w:instrText xml:space="preserve"> \* MERGEFORMAT </w:instrText>
      </w:r>
      <w:r w:rsidRPr="0002107D">
        <w:fldChar w:fldCharType="separate"/>
      </w:r>
      <w:r w:rsidR="003C13F6">
        <w:t xml:space="preserve">Figure </w:t>
      </w:r>
      <w:r w:rsidR="003C13F6">
        <w:rPr>
          <w:noProof/>
        </w:rPr>
        <w:t>48</w:t>
      </w:r>
      <w:r w:rsidRPr="0002107D">
        <w:fldChar w:fldCharType="end"/>
      </w:r>
      <w:r>
        <w:t>a</w:t>
      </w:r>
      <w:r w:rsidRPr="0002107D">
        <w:t xml:space="preserve">). </w:t>
      </w:r>
      <w:r>
        <w:t>In 2021, abundance increased slightly to 0.38</w:t>
      </w:r>
      <w:r w:rsidRPr="003817B9">
        <w:t xml:space="preserve"> ± 0.0</w:t>
      </w:r>
      <w:r>
        <w:t>5 </w:t>
      </w:r>
      <w:r w:rsidRPr="003817B9">
        <w:t>ind./shot</w:t>
      </w:r>
      <w:r>
        <w:t>.</w:t>
      </w:r>
      <w:r w:rsidRPr="003817B9">
        <w:t xml:space="preserve"> </w:t>
      </w:r>
      <w:r w:rsidRPr="00401C96">
        <w:t>This was supported by PERMANOVA which demonstrated significant differences between years (</w:t>
      </w:r>
      <w:r w:rsidRPr="002D3F67">
        <w:rPr>
          <w:i/>
          <w:lang w:val="en-US"/>
        </w:rPr>
        <w:t>Pseudo</w:t>
      </w:r>
      <w:r w:rsidRPr="002D3F67">
        <w:rPr>
          <w:i/>
          <w:lang w:val="en-US"/>
        </w:rPr>
        <w:noBreakHyphen/>
        <w:t>F</w:t>
      </w:r>
      <w:r>
        <w:rPr>
          <w:vertAlign w:val="subscript"/>
        </w:rPr>
        <w:t>6</w:t>
      </w:r>
      <w:r w:rsidRPr="001D60DC">
        <w:rPr>
          <w:vertAlign w:val="subscript"/>
        </w:rPr>
        <w:t>,</w:t>
      </w:r>
      <w:r>
        <w:rPr>
          <w:vertAlign w:val="subscript"/>
        </w:rPr>
        <w:t>6</w:t>
      </w:r>
      <w:r w:rsidRPr="001D60DC">
        <w:rPr>
          <w:vertAlign w:val="subscript"/>
        </w:rPr>
        <w:t xml:space="preserve">4 </w:t>
      </w:r>
      <w:r w:rsidRPr="001D60DC">
        <w:t>=</w:t>
      </w:r>
      <w:r>
        <w:t>4.9726</w:t>
      </w:r>
      <w:r w:rsidRPr="001D60DC">
        <w:t xml:space="preserve">, </w:t>
      </w:r>
      <w:r w:rsidRPr="001D60DC">
        <w:rPr>
          <w:i/>
        </w:rPr>
        <w:t>P</w:t>
      </w:r>
      <w:r>
        <w:t>≤</w:t>
      </w:r>
      <w:r w:rsidRPr="003B2109">
        <w:t>0.00</w:t>
      </w:r>
      <w:r>
        <w:t>1</w:t>
      </w:r>
      <w:r w:rsidRPr="00401C96">
        <w:t>). Pair-wise comparisons revealed significant di</w:t>
      </w:r>
      <w:r>
        <w:t>fferences between 2015 and 2019, 2015 and 2020, 2016 and 2019</w:t>
      </w:r>
      <w:r w:rsidRPr="00401C96">
        <w:t>,</w:t>
      </w:r>
      <w:r>
        <w:t xml:space="preserve"> and 2016 and 2020,</w:t>
      </w:r>
      <w:r w:rsidRPr="00401C96">
        <w:t xml:space="preserve"> but not between any other years</w:t>
      </w:r>
      <w:r w:rsidRPr="000A7BCA">
        <w:t xml:space="preserve"> (</w:t>
      </w:r>
      <w:r>
        <w:t>Table D</w:t>
      </w:r>
      <w:r w:rsidR="00DD27F8">
        <w:t>12</w:t>
      </w:r>
      <w:r>
        <w:t xml:space="preserve"> in Appendix D</w:t>
      </w:r>
      <w:r w:rsidRPr="000A7BCA">
        <w:t>).</w:t>
      </w:r>
    </w:p>
    <w:p w14:paraId="15857023" w14:textId="4B92D141" w:rsidR="00356663" w:rsidRDefault="00356663" w:rsidP="00356663">
      <w:r>
        <w:t>Silver perch relative abundance was low (&lt;0.02 ind./shot) and variable from 2015–2021 (</w:t>
      </w:r>
      <w:r w:rsidRPr="0002107D">
        <w:fldChar w:fldCharType="begin"/>
      </w:r>
      <w:r w:rsidRPr="0002107D">
        <w:instrText xml:space="preserve"> REF _Ref24642517 \h </w:instrText>
      </w:r>
      <w:r>
        <w:instrText xml:space="preserve"> \* MERGEFORMAT </w:instrText>
      </w:r>
      <w:r w:rsidRPr="0002107D">
        <w:fldChar w:fldCharType="separate"/>
      </w:r>
      <w:r w:rsidR="003C13F6">
        <w:t xml:space="preserve">Figure </w:t>
      </w:r>
      <w:r w:rsidR="003C13F6">
        <w:rPr>
          <w:noProof/>
        </w:rPr>
        <w:t>48</w:t>
      </w:r>
      <w:r w:rsidRPr="0002107D">
        <w:fldChar w:fldCharType="end"/>
      </w:r>
      <w:r>
        <w:t xml:space="preserve">b). Low samples and variability in silver perch CPUE data meant no statistical comparisons were made. </w:t>
      </w:r>
    </w:p>
    <w:p w14:paraId="3B2B9980" w14:textId="77777777" w:rsidR="00356663" w:rsidRDefault="00356663" w:rsidP="00356663">
      <w:pPr>
        <w:jc w:val="center"/>
        <w:rPr>
          <w:i/>
          <w:u w:val="single"/>
        </w:rPr>
      </w:pPr>
      <w:r w:rsidRPr="00150B15">
        <w:rPr>
          <w:noProof/>
        </w:rPr>
        <w:drawing>
          <wp:inline distT="0" distB="0" distL="0" distR="0" wp14:anchorId="78FF9DD9" wp14:editId="01577889">
            <wp:extent cx="4358244" cy="5336971"/>
            <wp:effectExtent l="0" t="0" r="4445"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7830" cy="5360955"/>
                    </a:xfrm>
                    <a:prstGeom prst="rect">
                      <a:avLst/>
                    </a:prstGeom>
                    <a:noFill/>
                    <a:ln>
                      <a:noFill/>
                    </a:ln>
                  </pic:spPr>
                </pic:pic>
              </a:graphicData>
            </a:graphic>
          </wp:inline>
        </w:drawing>
      </w:r>
    </w:p>
    <w:p w14:paraId="12AC927A" w14:textId="7B796193" w:rsidR="00356663" w:rsidRDefault="00356663" w:rsidP="00356663">
      <w:pPr>
        <w:pStyle w:val="Caption"/>
        <w:rPr>
          <w:i/>
          <w:u w:val="single"/>
        </w:rPr>
      </w:pPr>
      <w:bookmarkStart w:id="297" w:name="_Ref24642517"/>
      <w:bookmarkStart w:id="298" w:name="_Toc101963840"/>
      <w:r>
        <w:t xml:space="preserve">Figure </w:t>
      </w:r>
      <w:fldSimple w:instr=" SEQ Figure \* ARABIC ">
        <w:r w:rsidR="003C13F6">
          <w:rPr>
            <w:noProof/>
          </w:rPr>
          <w:t>48</w:t>
        </w:r>
      </w:fldSimple>
      <w:bookmarkEnd w:id="297"/>
      <w:r>
        <w:t xml:space="preserve">. </w:t>
      </w:r>
      <w:r w:rsidRPr="00607412">
        <w:t xml:space="preserve">Mean catch-per-unit-effort (CPUE) ± standard error of </w:t>
      </w:r>
      <w:r>
        <w:t>(a) golden perch and (b) silver perch</w:t>
      </w:r>
      <w:r w:rsidRPr="00607412">
        <w:t xml:space="preserve"> captured </w:t>
      </w:r>
      <w:r>
        <w:t>during Category 1 Fish Assemblage</w:t>
      </w:r>
      <w:r w:rsidRPr="00607412">
        <w:t xml:space="preserve"> electrofishing (individuals per 90 second shot) in the gorge geomorphic zone (10 sites) of the </w:t>
      </w:r>
      <w:r>
        <w:t>LMR</w:t>
      </w:r>
      <w:r w:rsidRPr="00607412">
        <w:t xml:space="preserve"> in </w:t>
      </w:r>
      <w:r>
        <w:t>a</w:t>
      </w:r>
      <w:r w:rsidRPr="00607412">
        <w:t>utumn from 2015–20</w:t>
      </w:r>
      <w:r>
        <w:t>21</w:t>
      </w:r>
      <w:r w:rsidRPr="00607412">
        <w:t>. CPUE data from five sites are presented for 2017 as other sites were sampled during winter 2017.</w:t>
      </w:r>
      <w:bookmarkEnd w:id="298"/>
    </w:p>
    <w:p w14:paraId="017C1709" w14:textId="77777777" w:rsidR="00356663" w:rsidRPr="00410B45" w:rsidRDefault="00356663" w:rsidP="00356663">
      <w:pPr>
        <w:rPr>
          <w:i/>
          <w:u w:val="single"/>
        </w:rPr>
      </w:pPr>
      <w:r>
        <w:rPr>
          <w:i/>
          <w:u w:val="single"/>
        </w:rPr>
        <w:t>A</w:t>
      </w:r>
      <w:r w:rsidRPr="00410B45">
        <w:rPr>
          <w:i/>
          <w:u w:val="single"/>
        </w:rPr>
        <w:t>ge structure</w:t>
      </w:r>
    </w:p>
    <w:p w14:paraId="108C570A" w14:textId="67845EF7" w:rsidR="00356663" w:rsidRDefault="00356663" w:rsidP="00356663">
      <w:pPr>
        <w:sectPr w:rsidR="00356663">
          <w:footnotePr>
            <w:numFmt w:val="lowerLetter"/>
          </w:footnotePr>
          <w:pgSz w:w="11906" w:h="16838"/>
          <w:pgMar w:top="1440" w:right="1440" w:bottom="1440" w:left="1440" w:header="708" w:footer="708" w:gutter="0"/>
          <w:cols w:space="708"/>
          <w:docGrid w:linePitch="360"/>
        </w:sectPr>
      </w:pPr>
      <w:r w:rsidRPr="0071385C">
        <w:t xml:space="preserve">In 2021, YOY (age 0+) golden perch </w:t>
      </w:r>
      <w:r>
        <w:t xml:space="preserve">and silver perch </w:t>
      </w:r>
      <w:r w:rsidRPr="0071385C">
        <w:t>were absent from electrofishing samples</w:t>
      </w:r>
      <w:r w:rsidR="00591805">
        <w:t xml:space="preserve"> (</w:t>
      </w:r>
      <w:r w:rsidR="00591805" w:rsidRPr="006E1D33">
        <w:fldChar w:fldCharType="begin"/>
      </w:r>
      <w:r w:rsidR="00591805" w:rsidRPr="006E1D33">
        <w:instrText xml:space="preserve"> REF _Ref531251781 \h  \* MERGEFORMAT </w:instrText>
      </w:r>
      <w:r w:rsidR="00591805" w:rsidRPr="006E1D33">
        <w:fldChar w:fldCharType="separate"/>
      </w:r>
      <w:r w:rsidR="003C13F6" w:rsidRPr="00D62357">
        <w:t xml:space="preserve">Figure </w:t>
      </w:r>
      <w:r w:rsidR="003C13F6">
        <w:rPr>
          <w:noProof/>
        </w:rPr>
        <w:t>49</w:t>
      </w:r>
      <w:r w:rsidR="00591805" w:rsidRPr="006E1D33">
        <w:fldChar w:fldCharType="end"/>
      </w:r>
      <w:r w:rsidR="00591805">
        <w:t>a)</w:t>
      </w:r>
      <w:r w:rsidRPr="0071385C">
        <w:t xml:space="preserve">, </w:t>
      </w:r>
      <w:r w:rsidR="00616A72" w:rsidRPr="0071385C">
        <w:t xml:space="preserve">although two YOY </w:t>
      </w:r>
      <w:r w:rsidR="00616A72">
        <w:t xml:space="preserve">golden perch </w:t>
      </w:r>
      <w:r w:rsidR="00616A72" w:rsidRPr="0071385C">
        <w:t xml:space="preserve">were collected in the Pike and Katarapko anabranches through </w:t>
      </w:r>
      <w:r w:rsidR="00616A72">
        <w:t xml:space="preserve">other </w:t>
      </w:r>
      <w:r w:rsidR="00616A72" w:rsidRPr="0071385C">
        <w:t>project</w:t>
      </w:r>
      <w:r w:rsidR="00616A72">
        <w:t>s</w:t>
      </w:r>
      <w:r w:rsidR="00616A72" w:rsidRPr="0071385C">
        <w:t xml:space="preserve">. </w:t>
      </w:r>
      <w:r w:rsidRPr="0071385C">
        <w:t xml:space="preserve">In 2021, golden perch collected in the LMR ranged in </w:t>
      </w:r>
      <w:r w:rsidRPr="006E1D33">
        <w:t xml:space="preserve">age from 2+ to 24+ years, with dominant cohorts of age </w:t>
      </w:r>
      <w:r>
        <w:t>10</w:t>
      </w:r>
      <w:r w:rsidRPr="006E1D33">
        <w:t xml:space="preserve">+ and </w:t>
      </w:r>
      <w:r>
        <w:t>9</w:t>
      </w:r>
      <w:r w:rsidRPr="006E1D33">
        <w:t>+ fish, born in 2010-11 and 2011-12, respectively, collectively comprising 49% of the sampled population (</w:t>
      </w:r>
      <w:r w:rsidRPr="006E1D33">
        <w:fldChar w:fldCharType="begin"/>
      </w:r>
      <w:r w:rsidRPr="006E1D33">
        <w:instrText xml:space="preserve"> REF _Ref531251781 \h  \* MERGEFORMAT </w:instrText>
      </w:r>
      <w:r w:rsidRPr="006E1D33">
        <w:fldChar w:fldCharType="separate"/>
      </w:r>
      <w:r w:rsidR="003C13F6" w:rsidRPr="00D62357">
        <w:t xml:space="preserve">Figure </w:t>
      </w:r>
      <w:r w:rsidR="003C13F6">
        <w:rPr>
          <w:noProof/>
        </w:rPr>
        <w:t>49</w:t>
      </w:r>
      <w:r w:rsidRPr="006E1D33">
        <w:fldChar w:fldCharType="end"/>
      </w:r>
      <w:r w:rsidR="00591805">
        <w:t>a</w:t>
      </w:r>
      <w:r w:rsidRPr="006E1D33">
        <w:t>). In 2021</w:t>
      </w:r>
      <w:r w:rsidR="00616A72" w:rsidRPr="006E1D33">
        <w:t xml:space="preserve">, four </w:t>
      </w:r>
      <w:r w:rsidR="00616A72" w:rsidRPr="006E1D33">
        <w:rPr>
          <w:lang w:val="en-US"/>
        </w:rPr>
        <w:t>silver perch were sampled in the LMR, ranging in age from 2+ to 4+ years</w:t>
      </w:r>
      <w:r w:rsidR="00616A72">
        <w:rPr>
          <w:lang w:val="en-US"/>
        </w:rPr>
        <w:t xml:space="preserve"> </w:t>
      </w:r>
      <w:r w:rsidRPr="006E1D33">
        <w:t>(</w:t>
      </w:r>
      <w:r w:rsidRPr="006E1D33">
        <w:fldChar w:fldCharType="begin"/>
      </w:r>
      <w:r w:rsidRPr="006E1D33">
        <w:instrText xml:space="preserve"> REF _Ref531251781 \h  \* MERGEFORMAT </w:instrText>
      </w:r>
      <w:r w:rsidRPr="006E1D33">
        <w:fldChar w:fldCharType="separate"/>
      </w:r>
      <w:r w:rsidR="003C13F6" w:rsidRPr="00D62357">
        <w:t xml:space="preserve">Figure </w:t>
      </w:r>
      <w:r w:rsidR="003C13F6">
        <w:rPr>
          <w:noProof/>
        </w:rPr>
        <w:t>49</w:t>
      </w:r>
      <w:r w:rsidRPr="006E1D33">
        <w:fldChar w:fldCharType="end"/>
      </w:r>
      <w:r w:rsidR="00591805">
        <w:t>b</w:t>
      </w:r>
      <w:r w:rsidRPr="006E1D33">
        <w:t>).</w:t>
      </w:r>
    </w:p>
    <w:p w14:paraId="72F3D8E6" w14:textId="77777777" w:rsidR="00356663" w:rsidRPr="0071385C" w:rsidRDefault="00356663" w:rsidP="00356663">
      <w:pPr>
        <w:jc w:val="center"/>
        <w:rPr>
          <w:highlight w:val="yellow"/>
        </w:rPr>
      </w:pPr>
      <w:r w:rsidRPr="00344282">
        <w:t xml:space="preserve">  </w:t>
      </w:r>
      <w:r w:rsidRPr="00674F0D">
        <w:rPr>
          <w:noProof/>
        </w:rPr>
        <w:drawing>
          <wp:inline distT="0" distB="0" distL="0" distR="0" wp14:anchorId="13B7C610" wp14:editId="0C360053">
            <wp:extent cx="4419600" cy="3438827"/>
            <wp:effectExtent l="0" t="0" r="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0555"/>
                    <a:stretch/>
                  </pic:blipFill>
                  <pic:spPr bwMode="auto">
                    <a:xfrm>
                      <a:off x="0" y="0"/>
                      <a:ext cx="4428210" cy="3445527"/>
                    </a:xfrm>
                    <a:prstGeom prst="rect">
                      <a:avLst/>
                    </a:prstGeom>
                    <a:noFill/>
                    <a:ln>
                      <a:noFill/>
                    </a:ln>
                    <a:extLst>
                      <a:ext uri="{53640926-AAD7-44D8-BBD7-CCE9431645EC}">
                        <a14:shadowObscured xmlns:a14="http://schemas.microsoft.com/office/drawing/2010/main"/>
                      </a:ext>
                    </a:extLst>
                  </pic:spPr>
                </pic:pic>
              </a:graphicData>
            </a:graphic>
          </wp:inline>
        </w:drawing>
      </w:r>
    </w:p>
    <w:p w14:paraId="0FD4D2BA" w14:textId="0A047049" w:rsidR="00356663" w:rsidRDefault="00356663" w:rsidP="00356663">
      <w:pPr>
        <w:pStyle w:val="Caption"/>
      </w:pPr>
      <w:bookmarkStart w:id="299" w:name="_Ref81229309"/>
      <w:bookmarkStart w:id="300" w:name="_Ref531251781"/>
      <w:bookmarkStart w:id="301" w:name="_Toc3558379"/>
      <w:bookmarkStart w:id="302" w:name="_Toc101963841"/>
      <w:r w:rsidRPr="00D62357">
        <w:t xml:space="preserve">Figure </w:t>
      </w:r>
      <w:fldSimple w:instr=" SEQ Figure \* ARABIC ">
        <w:r w:rsidR="003C13F6">
          <w:rPr>
            <w:noProof/>
          </w:rPr>
          <w:t>49</w:t>
        </w:r>
      </w:fldSimple>
      <w:bookmarkEnd w:id="299"/>
      <w:bookmarkEnd w:id="300"/>
      <w:r w:rsidRPr="00D62357">
        <w:t xml:space="preserve">. Age frequency distribution of </w:t>
      </w:r>
      <w:r>
        <w:t xml:space="preserve">(a) </w:t>
      </w:r>
      <w:r w:rsidRPr="00D62357">
        <w:t>golden perch</w:t>
      </w:r>
      <w:r>
        <w:t xml:space="preserve"> and (b) silver perch</w:t>
      </w:r>
      <w:r w:rsidRPr="00D62357">
        <w:t xml:space="preserve"> from the</w:t>
      </w:r>
      <w:r>
        <w:t xml:space="preserve"> main channel of the</w:t>
      </w:r>
      <w:r w:rsidRPr="00D62357">
        <w:t xml:space="preserve"> </w:t>
      </w:r>
      <w:r>
        <w:t xml:space="preserve">LMR in </w:t>
      </w:r>
      <w:r w:rsidRPr="00D62357">
        <w:t>2021.</w:t>
      </w:r>
      <w:bookmarkEnd w:id="301"/>
      <w:r>
        <w:t xml:space="preserve"> Note the y-axis scales are different.</w:t>
      </w:r>
      <w:bookmarkEnd w:id="302"/>
      <w:r>
        <w:t xml:space="preserve"> </w:t>
      </w:r>
    </w:p>
    <w:p w14:paraId="72A4D94C" w14:textId="77777777" w:rsidR="00356663" w:rsidRPr="00A90A5B" w:rsidRDefault="00356663" w:rsidP="00356663">
      <w:pPr>
        <w:rPr>
          <w:i/>
          <w:u w:val="single"/>
        </w:rPr>
      </w:pPr>
      <w:r>
        <w:rPr>
          <w:i/>
          <w:u w:val="single"/>
        </w:rPr>
        <w:t>N</w:t>
      </w:r>
      <w:r w:rsidRPr="00A90A5B">
        <w:rPr>
          <w:i/>
          <w:u w:val="single"/>
        </w:rPr>
        <w:t>atal origin and migration history</w:t>
      </w:r>
      <w:r>
        <w:rPr>
          <w:i/>
          <w:u w:val="single"/>
        </w:rPr>
        <w:t xml:space="preserve"> of prominent cohorts</w:t>
      </w:r>
    </w:p>
    <w:p w14:paraId="39312D80" w14:textId="550DDEDB" w:rsidR="00356663" w:rsidRPr="0071385C" w:rsidRDefault="00356663" w:rsidP="00356663">
      <w:pPr>
        <w:rPr>
          <w:highlight w:val="yellow"/>
        </w:rPr>
      </w:pPr>
      <w:r w:rsidRPr="00A90A5B">
        <w:t xml:space="preserve">In 2021, </w:t>
      </w:r>
      <w:r w:rsidRPr="009B62C3">
        <w:t xml:space="preserve">natal origin and migration history were </w:t>
      </w:r>
      <w:r>
        <w:t>determined</w:t>
      </w:r>
      <w:r w:rsidRPr="009B62C3">
        <w:t xml:space="preserve"> for 1</w:t>
      </w:r>
      <w:r>
        <w:t>5</w:t>
      </w:r>
      <w:r w:rsidRPr="009B62C3">
        <w:t xml:space="preserve"> golden perch from </w:t>
      </w:r>
      <w:r>
        <w:t>age 0+ (</w:t>
      </w:r>
      <w:r w:rsidRPr="00A46951">
        <w:rPr>
          <w:i/>
          <w:iCs/>
        </w:rPr>
        <w:t>n</w:t>
      </w:r>
      <w:r>
        <w:t xml:space="preserve"> = 1), </w:t>
      </w:r>
      <w:r w:rsidRPr="009B62C3">
        <w:t>age 2+ (</w:t>
      </w:r>
      <w:r w:rsidRPr="009B62C3">
        <w:rPr>
          <w:i/>
        </w:rPr>
        <w:t>n</w:t>
      </w:r>
      <w:r w:rsidRPr="009B62C3">
        <w:t xml:space="preserve"> = 5), 3+ (</w:t>
      </w:r>
      <w:r w:rsidRPr="009B62C3">
        <w:rPr>
          <w:i/>
        </w:rPr>
        <w:t>n</w:t>
      </w:r>
      <w:r w:rsidRPr="009B62C3">
        <w:t xml:space="preserve"> = 4) and 4+ (</w:t>
      </w:r>
      <w:r w:rsidRPr="009B62C3">
        <w:rPr>
          <w:i/>
        </w:rPr>
        <w:t>n</w:t>
      </w:r>
      <w:r w:rsidRPr="009B62C3">
        <w:t xml:space="preserve"> = 5) cohorts.</w:t>
      </w:r>
      <w:r>
        <w:t xml:space="preserve"> In addition, </w:t>
      </w:r>
      <w:r w:rsidRPr="009B62C3">
        <w:t xml:space="preserve">natal origin and migration history were </w:t>
      </w:r>
      <w:r>
        <w:t xml:space="preserve">determined </w:t>
      </w:r>
      <w:r w:rsidR="00591805">
        <w:t>for</w:t>
      </w:r>
      <w:r w:rsidRPr="009B62C3">
        <w:t xml:space="preserve"> </w:t>
      </w:r>
      <w:r>
        <w:t>seven</w:t>
      </w:r>
      <w:r w:rsidRPr="009B62C3">
        <w:t xml:space="preserve"> silver perch from age 1+ (</w:t>
      </w:r>
      <w:r w:rsidRPr="009B62C3">
        <w:rPr>
          <w:i/>
        </w:rPr>
        <w:t>n</w:t>
      </w:r>
      <w:r w:rsidRPr="009B62C3">
        <w:t xml:space="preserve"> = 1), 2+ (</w:t>
      </w:r>
      <w:r w:rsidRPr="009B62C3">
        <w:rPr>
          <w:i/>
        </w:rPr>
        <w:t>n</w:t>
      </w:r>
      <w:r w:rsidRPr="009B62C3">
        <w:t xml:space="preserve"> = 5) and </w:t>
      </w:r>
      <w:r>
        <w:t>3</w:t>
      </w:r>
      <w:r w:rsidRPr="009B62C3">
        <w:t>+ (</w:t>
      </w:r>
      <w:r w:rsidRPr="009B62C3">
        <w:rPr>
          <w:i/>
        </w:rPr>
        <w:t>n</w:t>
      </w:r>
      <w:r w:rsidRPr="009B62C3">
        <w:t xml:space="preserve"> = </w:t>
      </w:r>
      <w:r>
        <w:t>1</w:t>
      </w:r>
      <w:r w:rsidRPr="009B62C3">
        <w:t>) cohorts.</w:t>
      </w:r>
      <w:r>
        <w:t xml:space="preserve"> </w:t>
      </w:r>
      <w:r w:rsidRPr="00F5156F">
        <w:t>Samples obtained through other Murray River projects (i.e. Pike and Katarapko Condition Monitoring and Fishway Assessments) were included in these analyses.</w:t>
      </w:r>
      <w:r w:rsidRPr="009B62C3">
        <w:t xml:space="preserve"> </w:t>
      </w:r>
      <w:r>
        <w:t xml:space="preserve">All golden perch </w:t>
      </w:r>
      <w:r w:rsidRPr="00BC046B">
        <w:t xml:space="preserve">and silver perch </w:t>
      </w:r>
      <w:r>
        <w:t xml:space="preserve">from these cohorts </w:t>
      </w:r>
      <w:r w:rsidRPr="00BC046B">
        <w:t xml:space="preserve">exhibited otolith core </w:t>
      </w:r>
      <w:r w:rsidRPr="00BC046B">
        <w:rPr>
          <w:vertAlign w:val="superscript"/>
        </w:rPr>
        <w:t>87</w:t>
      </w:r>
      <w:r w:rsidRPr="00BC046B">
        <w:t>Sr/</w:t>
      </w:r>
      <w:r w:rsidRPr="00BC046B">
        <w:rPr>
          <w:vertAlign w:val="superscript"/>
        </w:rPr>
        <w:t>86</w:t>
      </w:r>
      <w:r w:rsidRPr="00BC046B">
        <w:t xml:space="preserve">Sr comparable to water </w:t>
      </w:r>
      <w:r w:rsidRPr="00BC046B">
        <w:rPr>
          <w:vertAlign w:val="superscript"/>
        </w:rPr>
        <w:t>87</w:t>
      </w:r>
      <w:r w:rsidRPr="00BC046B">
        <w:t>Sr/</w:t>
      </w:r>
      <w:r w:rsidRPr="00BC046B">
        <w:rPr>
          <w:vertAlign w:val="superscript"/>
        </w:rPr>
        <w:t>86</w:t>
      </w:r>
      <w:r w:rsidRPr="00BC046B">
        <w:t>Sr in the Murray</w:t>
      </w:r>
      <w:r w:rsidR="0070500C">
        <w:t xml:space="preserve"> River </w:t>
      </w:r>
      <w:r w:rsidR="006A2DC4">
        <w:t xml:space="preserve">downstream of </w:t>
      </w:r>
      <w:r w:rsidR="0070500C">
        <w:t>the Darling River junction</w:t>
      </w:r>
      <w:r w:rsidRPr="00BC046B">
        <w:t xml:space="preserve"> (~0.7080–0.7140) </w:t>
      </w:r>
      <w:r>
        <w:t>and transects indicative of lifetime residence</w:t>
      </w:r>
      <w:r w:rsidRPr="00BC046B">
        <w:t xml:space="preserve"> in </w:t>
      </w:r>
      <w:r w:rsidR="0070500C">
        <w:t>this area</w:t>
      </w:r>
      <w:r w:rsidRPr="00BC046B">
        <w:t xml:space="preserve"> (</w:t>
      </w:r>
      <w:r w:rsidRPr="00BC046B">
        <w:fldChar w:fldCharType="begin"/>
      </w:r>
      <w:r w:rsidRPr="00BC046B">
        <w:instrText xml:space="preserve"> REF _Ref1389182 \h </w:instrText>
      </w:r>
      <w:r>
        <w:instrText xml:space="preserve"> \* MERGEFORMAT </w:instrText>
      </w:r>
      <w:r w:rsidRPr="00BC046B">
        <w:fldChar w:fldCharType="separate"/>
      </w:r>
      <w:r w:rsidR="003C13F6" w:rsidRPr="00AD72A3">
        <w:t xml:space="preserve">Figure </w:t>
      </w:r>
      <w:r w:rsidR="003C13F6">
        <w:rPr>
          <w:noProof/>
        </w:rPr>
        <w:t>50</w:t>
      </w:r>
      <w:r w:rsidRPr="00BC046B">
        <w:fldChar w:fldCharType="end"/>
      </w:r>
      <w:r w:rsidRPr="00BC046B">
        <w:t>).</w:t>
      </w:r>
    </w:p>
    <w:p w14:paraId="2EAB48C4" w14:textId="001C4168" w:rsidR="00356663" w:rsidRPr="00AD72A3" w:rsidRDefault="00AD72A3" w:rsidP="00356663">
      <w:pPr>
        <w:jc w:val="center"/>
      </w:pPr>
      <w:r w:rsidRPr="00AD72A3">
        <w:t xml:space="preserve"> </w:t>
      </w:r>
      <w:r w:rsidRPr="00AD72A3">
        <w:rPr>
          <w:noProof/>
        </w:rPr>
        <w:drawing>
          <wp:inline distT="0" distB="0" distL="0" distR="0" wp14:anchorId="3794BE5E" wp14:editId="4AB4C1F6">
            <wp:extent cx="5677200" cy="6069674"/>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4789" r="1119"/>
                    <a:stretch/>
                  </pic:blipFill>
                  <pic:spPr bwMode="auto">
                    <a:xfrm>
                      <a:off x="0" y="0"/>
                      <a:ext cx="5677200" cy="6069674"/>
                    </a:xfrm>
                    <a:prstGeom prst="rect">
                      <a:avLst/>
                    </a:prstGeom>
                    <a:noFill/>
                    <a:ln>
                      <a:noFill/>
                    </a:ln>
                    <a:extLst>
                      <a:ext uri="{53640926-AAD7-44D8-BBD7-CCE9431645EC}">
                        <a14:shadowObscured xmlns:a14="http://schemas.microsoft.com/office/drawing/2010/main"/>
                      </a:ext>
                    </a:extLst>
                  </pic:spPr>
                </pic:pic>
              </a:graphicData>
            </a:graphic>
          </wp:inline>
        </w:drawing>
      </w:r>
    </w:p>
    <w:p w14:paraId="7C1342B1" w14:textId="102B5359" w:rsidR="00356663" w:rsidRDefault="00356663" w:rsidP="00356663">
      <w:pPr>
        <w:pStyle w:val="Caption"/>
        <w:rPr>
          <w:rFonts w:eastAsiaTheme="majorEastAsia" w:cstheme="majorBidi"/>
          <w:b w:val="0"/>
          <w:i/>
          <w:color w:val="44546A" w:themeColor="text2"/>
          <w:sz w:val="24"/>
          <w:szCs w:val="24"/>
        </w:rPr>
      </w:pPr>
      <w:bookmarkStart w:id="303" w:name="_Ref1389182"/>
      <w:bookmarkStart w:id="304" w:name="_Toc3558382"/>
      <w:bookmarkStart w:id="305" w:name="_Toc101963842"/>
      <w:r w:rsidRPr="00AD72A3">
        <w:t xml:space="preserve">Figure </w:t>
      </w:r>
      <w:fldSimple w:instr=" SEQ Figure \* ARABIC ">
        <w:r w:rsidR="003C13F6">
          <w:rPr>
            <w:noProof/>
          </w:rPr>
          <w:t>50</w:t>
        </w:r>
      </w:fldSimple>
      <w:bookmarkEnd w:id="303"/>
      <w:r w:rsidRPr="00AD72A3">
        <w:t xml:space="preserve">. Individual life history profiles based on transect analysis of </w:t>
      </w:r>
      <w:r w:rsidRPr="00AD72A3">
        <w:rPr>
          <w:vertAlign w:val="superscript"/>
        </w:rPr>
        <w:t>87</w:t>
      </w:r>
      <w:r w:rsidRPr="00AD72A3">
        <w:t>Sr/</w:t>
      </w:r>
      <w:r w:rsidRPr="00AD72A3">
        <w:rPr>
          <w:vertAlign w:val="superscript"/>
        </w:rPr>
        <w:t>86</w:t>
      </w:r>
      <w:r w:rsidRPr="00AD72A3">
        <w:t>Sr from the core to edge of otoliths from age 0+–4+ golden perch and silver perch captured in the Lower Murray</w:t>
      </w:r>
      <w:r w:rsidRPr="00D05E3B">
        <w:t xml:space="preserve"> </w:t>
      </w:r>
      <w:r w:rsidR="00086886">
        <w:t>River d</w:t>
      </w:r>
      <w:r w:rsidRPr="00D05E3B">
        <w:t xml:space="preserve">uring 2021. Green dashed line indicates the temporally stable water </w:t>
      </w:r>
      <w:r w:rsidRPr="00D05E3B">
        <w:rPr>
          <w:vertAlign w:val="superscript"/>
        </w:rPr>
        <w:t>87</w:t>
      </w:r>
      <w:r w:rsidRPr="00D05E3B">
        <w:t>Sr/</w:t>
      </w:r>
      <w:r w:rsidRPr="00D05E3B">
        <w:rPr>
          <w:vertAlign w:val="superscript"/>
        </w:rPr>
        <w:t>86</w:t>
      </w:r>
      <w:r w:rsidRPr="00D05E3B">
        <w:t xml:space="preserve">Sr of the lower Darling River (i.e. ~0.7075) and the blue dashed lines represent the range of water </w:t>
      </w:r>
      <w:r w:rsidRPr="00D05E3B">
        <w:rPr>
          <w:vertAlign w:val="superscript"/>
        </w:rPr>
        <w:t>87</w:t>
      </w:r>
      <w:r w:rsidRPr="00D05E3B">
        <w:t>Sr/</w:t>
      </w:r>
      <w:r w:rsidRPr="00D05E3B">
        <w:rPr>
          <w:vertAlign w:val="superscript"/>
        </w:rPr>
        <w:t>86</w:t>
      </w:r>
      <w:r w:rsidRPr="00D05E3B">
        <w:t xml:space="preserve">Sr in the </w:t>
      </w:r>
      <w:r w:rsidR="00EA1B9C">
        <w:t xml:space="preserve">Lower </w:t>
      </w:r>
      <w:r w:rsidRPr="00D05E3B">
        <w:t>Murray</w:t>
      </w:r>
      <w:r w:rsidR="0070500C">
        <w:t xml:space="preserve"> River </w:t>
      </w:r>
      <w:r w:rsidR="006A2DC4">
        <w:t xml:space="preserve">downstream of </w:t>
      </w:r>
      <w:r w:rsidR="0070500C">
        <w:t>the Darling River junction</w:t>
      </w:r>
      <w:r w:rsidRPr="00D05E3B">
        <w:t xml:space="preserve"> (i.e. ~0.7080–0.7160). Red dashed lines represent the range of water </w:t>
      </w:r>
      <w:r w:rsidRPr="00D05E3B">
        <w:rPr>
          <w:vertAlign w:val="superscript"/>
        </w:rPr>
        <w:t>87</w:t>
      </w:r>
      <w:r w:rsidRPr="00D05E3B">
        <w:t>Sr/</w:t>
      </w:r>
      <w:r w:rsidRPr="00D05E3B">
        <w:rPr>
          <w:vertAlign w:val="superscript"/>
        </w:rPr>
        <w:t>86</w:t>
      </w:r>
      <w:r w:rsidRPr="00D05E3B">
        <w:t>Sr in the mid-Murray River (Lock 11–Torrumbarry, ~0.7160–0.7190).</w:t>
      </w:r>
      <w:bookmarkEnd w:id="304"/>
      <w:bookmarkEnd w:id="305"/>
      <w:r>
        <w:br w:type="page"/>
      </w:r>
    </w:p>
    <w:p w14:paraId="09F2890C" w14:textId="77777777" w:rsidR="00356663" w:rsidRDefault="00356663" w:rsidP="00356663">
      <w:pPr>
        <w:pStyle w:val="Heading3"/>
      </w:pPr>
      <w:r w:rsidRPr="00B76721">
        <w:t>Evaluation</w:t>
      </w:r>
    </w:p>
    <w:p w14:paraId="388057DE" w14:textId="621C0790" w:rsidR="00356663" w:rsidRDefault="00356663" w:rsidP="00356663">
      <w:r>
        <w:t xml:space="preserve">The evaluation approach, including assessment criteria, is described in the evaluation section for Hydraulic Regime (Section </w:t>
      </w:r>
      <w:r>
        <w:fldChar w:fldCharType="begin"/>
      </w:r>
      <w:r>
        <w:instrText xml:space="preserve"> REF _Ref35872226 \r \h  \* MERGEFORMAT </w:instrText>
      </w:r>
      <w:r>
        <w:fldChar w:fldCharType="separate"/>
      </w:r>
      <w:r w:rsidR="003C13F6">
        <w:t>2.1</w:t>
      </w:r>
      <w:r>
        <w:fldChar w:fldCharType="end"/>
      </w:r>
      <w:r>
        <w:t>).</w:t>
      </w:r>
    </w:p>
    <w:p w14:paraId="2EB7B691" w14:textId="0E95E80E" w:rsidR="00356663" w:rsidRPr="00B76721" w:rsidRDefault="00356663" w:rsidP="00356663">
      <w:pPr>
        <w:pStyle w:val="Caption"/>
      </w:pPr>
      <w:bookmarkStart w:id="306" w:name="_Toc101963878"/>
      <w:r>
        <w:t xml:space="preserve">Table </w:t>
      </w:r>
      <w:r>
        <w:rPr>
          <w:noProof/>
        </w:rPr>
        <w:fldChar w:fldCharType="begin"/>
      </w:r>
      <w:r>
        <w:rPr>
          <w:noProof/>
        </w:rPr>
        <w:instrText xml:space="preserve"> SEQ Table \* ARABIC </w:instrText>
      </w:r>
      <w:r>
        <w:rPr>
          <w:noProof/>
        </w:rPr>
        <w:fldChar w:fldCharType="separate"/>
      </w:r>
      <w:r w:rsidR="003C13F6">
        <w:rPr>
          <w:noProof/>
        </w:rPr>
        <w:t>20</w:t>
      </w:r>
      <w:r>
        <w:rPr>
          <w:noProof/>
        </w:rPr>
        <w:fldChar w:fldCharType="end"/>
      </w:r>
      <w:r>
        <w:t xml:space="preserve">. </w:t>
      </w:r>
      <w:r w:rsidRPr="00F46757">
        <w:t xml:space="preserve">Flow-cued Spawning Fish </w:t>
      </w:r>
      <w:r>
        <w:t>Reproduction evaluation questions and answers. YOY = young-of-year.</w:t>
      </w:r>
      <w:bookmarkEnd w:id="3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9"/>
        <w:gridCol w:w="1277"/>
        <w:gridCol w:w="1910"/>
        <w:gridCol w:w="3350"/>
      </w:tblGrid>
      <w:tr w:rsidR="00FE7396" w:rsidRPr="0041543F" w14:paraId="55BDA253" w14:textId="77777777" w:rsidTr="00B52A58">
        <w:trPr>
          <w:cantSplit/>
          <w:trHeight w:val="20"/>
          <w:tblHeader/>
        </w:trPr>
        <w:tc>
          <w:tcPr>
            <w:tcW w:w="1375" w:type="pct"/>
            <w:vMerge w:val="restart"/>
            <w:tcBorders>
              <w:top w:val="single" w:sz="4" w:space="0" w:color="auto"/>
              <w:left w:val="single" w:sz="4" w:space="0" w:color="auto"/>
              <w:right w:val="single" w:sz="4" w:space="0" w:color="auto"/>
            </w:tcBorders>
          </w:tcPr>
          <w:p w14:paraId="24D7F10F" w14:textId="77777777" w:rsidR="00FE7396" w:rsidRPr="0041543F" w:rsidRDefault="00FE7396" w:rsidP="00B52A58">
            <w:pPr>
              <w:pStyle w:val="TableHeading"/>
              <w:jc w:val="center"/>
              <w:rPr>
                <w:sz w:val="19"/>
                <w:szCs w:val="19"/>
              </w:rPr>
            </w:pPr>
            <w:r w:rsidRPr="0041543F">
              <w:rPr>
                <w:sz w:val="19"/>
                <w:szCs w:val="19"/>
              </w:rPr>
              <w:t xml:space="preserve">CEWO evaluation questions </w:t>
            </w:r>
          </w:p>
        </w:tc>
        <w:tc>
          <w:tcPr>
            <w:tcW w:w="3625" w:type="pct"/>
            <w:gridSpan w:val="3"/>
            <w:tcBorders>
              <w:top w:val="single" w:sz="4" w:space="0" w:color="auto"/>
              <w:left w:val="single" w:sz="4" w:space="0" w:color="auto"/>
              <w:right w:val="single" w:sz="4" w:space="0" w:color="auto"/>
            </w:tcBorders>
          </w:tcPr>
          <w:p w14:paraId="0B479F79" w14:textId="77777777" w:rsidR="00FE7396" w:rsidRPr="0041543F" w:rsidRDefault="00FE7396" w:rsidP="00B52A58">
            <w:pPr>
              <w:pStyle w:val="TableHeading"/>
              <w:jc w:val="center"/>
              <w:rPr>
                <w:sz w:val="19"/>
                <w:szCs w:val="19"/>
              </w:rPr>
            </w:pPr>
            <w:r w:rsidRPr="0041543F">
              <w:rPr>
                <w:sz w:val="19"/>
                <w:szCs w:val="19"/>
              </w:rPr>
              <w:t xml:space="preserve">Outcomes </w:t>
            </w:r>
            <w:r w:rsidRPr="0085624C">
              <w:rPr>
                <w:sz w:val="19"/>
                <w:szCs w:val="19"/>
              </w:rPr>
              <w:t xml:space="preserve">of </w:t>
            </w:r>
            <w:r w:rsidRPr="001408FD">
              <w:rPr>
                <w:sz w:val="19"/>
                <w:szCs w:val="19"/>
              </w:rPr>
              <w:t>flow</w:t>
            </w:r>
            <w:r w:rsidRPr="0085624C">
              <w:rPr>
                <w:sz w:val="19"/>
                <w:szCs w:val="19"/>
              </w:rPr>
              <w:t xml:space="preserve"> delivery</w:t>
            </w:r>
          </w:p>
        </w:tc>
      </w:tr>
      <w:tr w:rsidR="00FE7396" w:rsidRPr="0041543F" w14:paraId="1900176B" w14:textId="77777777" w:rsidTr="00B52A58">
        <w:trPr>
          <w:cantSplit/>
          <w:trHeight w:val="20"/>
          <w:tblHeader/>
        </w:trPr>
        <w:tc>
          <w:tcPr>
            <w:tcW w:w="1375" w:type="pct"/>
            <w:vMerge/>
            <w:tcBorders>
              <w:left w:val="single" w:sz="4" w:space="0" w:color="auto"/>
              <w:bottom w:val="single" w:sz="4" w:space="0" w:color="auto"/>
              <w:right w:val="single" w:sz="4" w:space="0" w:color="auto"/>
            </w:tcBorders>
          </w:tcPr>
          <w:p w14:paraId="67091AEC" w14:textId="77777777" w:rsidR="00FE7396" w:rsidRDefault="00FE7396" w:rsidP="00B52A58">
            <w:pPr>
              <w:pStyle w:val="TableHeading"/>
              <w:jc w:val="center"/>
              <w:rPr>
                <w:sz w:val="19"/>
                <w:szCs w:val="19"/>
              </w:rPr>
            </w:pPr>
          </w:p>
        </w:tc>
        <w:tc>
          <w:tcPr>
            <w:tcW w:w="708" w:type="pct"/>
            <w:tcBorders>
              <w:left w:val="single" w:sz="4" w:space="0" w:color="auto"/>
              <w:bottom w:val="single" w:sz="4" w:space="0" w:color="auto"/>
            </w:tcBorders>
            <w:vAlign w:val="bottom"/>
          </w:tcPr>
          <w:p w14:paraId="635AC898" w14:textId="77777777" w:rsidR="00FE7396" w:rsidRPr="0041543F" w:rsidRDefault="00FE7396" w:rsidP="00B52A58">
            <w:pPr>
              <w:pStyle w:val="TableHeading"/>
              <w:jc w:val="center"/>
              <w:rPr>
                <w:sz w:val="19"/>
                <w:szCs w:val="19"/>
              </w:rPr>
            </w:pPr>
            <w:r>
              <w:rPr>
                <w:sz w:val="19"/>
                <w:szCs w:val="19"/>
              </w:rPr>
              <w:t>2014-15 – 2018-19</w:t>
            </w:r>
          </w:p>
        </w:tc>
        <w:tc>
          <w:tcPr>
            <w:tcW w:w="1059" w:type="pct"/>
            <w:tcBorders>
              <w:top w:val="single" w:sz="4" w:space="0" w:color="auto"/>
              <w:bottom w:val="single" w:sz="4" w:space="0" w:color="auto"/>
            </w:tcBorders>
          </w:tcPr>
          <w:p w14:paraId="2CCE4889" w14:textId="77777777" w:rsidR="00FE7396" w:rsidRDefault="00FE7396" w:rsidP="00B52A58">
            <w:pPr>
              <w:pStyle w:val="TableHeading"/>
              <w:jc w:val="center"/>
              <w:rPr>
                <w:sz w:val="19"/>
                <w:szCs w:val="19"/>
              </w:rPr>
            </w:pPr>
            <w:r>
              <w:rPr>
                <w:sz w:val="19"/>
                <w:szCs w:val="19"/>
              </w:rPr>
              <w:t>2019-20*</w:t>
            </w:r>
          </w:p>
        </w:tc>
        <w:tc>
          <w:tcPr>
            <w:tcW w:w="1858" w:type="pct"/>
            <w:tcBorders>
              <w:top w:val="single" w:sz="4" w:space="0" w:color="auto"/>
              <w:bottom w:val="single" w:sz="4" w:space="0" w:color="auto"/>
            </w:tcBorders>
          </w:tcPr>
          <w:p w14:paraId="00C17708" w14:textId="77777777" w:rsidR="00FE7396" w:rsidRDefault="00FE7396" w:rsidP="00B52A58">
            <w:pPr>
              <w:pStyle w:val="TableHeading"/>
              <w:jc w:val="center"/>
              <w:rPr>
                <w:sz w:val="19"/>
                <w:szCs w:val="19"/>
              </w:rPr>
            </w:pPr>
            <w:r>
              <w:rPr>
                <w:sz w:val="19"/>
                <w:szCs w:val="19"/>
              </w:rPr>
              <w:t>2020-21</w:t>
            </w:r>
          </w:p>
        </w:tc>
      </w:tr>
      <w:tr w:rsidR="00FE7396" w:rsidRPr="0041543F" w14:paraId="2F87C97B" w14:textId="77777777" w:rsidTr="00D823F0">
        <w:trPr>
          <w:cantSplit/>
          <w:trHeight w:val="20"/>
          <w:tblHeader/>
        </w:trPr>
        <w:tc>
          <w:tcPr>
            <w:tcW w:w="1375" w:type="pct"/>
            <w:tcBorders>
              <w:left w:val="single" w:sz="4" w:space="0" w:color="auto"/>
              <w:bottom w:val="single" w:sz="4" w:space="0" w:color="auto"/>
              <w:right w:val="single" w:sz="4" w:space="0" w:color="auto"/>
            </w:tcBorders>
          </w:tcPr>
          <w:p w14:paraId="338F2F7A" w14:textId="77777777" w:rsidR="00FE7396" w:rsidRPr="00C63722" w:rsidRDefault="00FE7396" w:rsidP="00B52A58">
            <w:pPr>
              <w:pStyle w:val="TableHeading"/>
              <w:jc w:val="left"/>
              <w:rPr>
                <w:sz w:val="19"/>
                <w:szCs w:val="19"/>
              </w:rPr>
            </w:pPr>
            <w:r w:rsidRPr="00C63722">
              <w:rPr>
                <w:b w:val="0"/>
                <w:sz w:val="19"/>
                <w:szCs w:val="19"/>
              </w:rPr>
              <w:t xml:space="preserve">Did the flow regime (including environmental water) contribute to </w:t>
            </w:r>
            <w:r>
              <w:rPr>
                <w:b w:val="0"/>
                <w:sz w:val="19"/>
                <w:szCs w:val="19"/>
              </w:rPr>
              <w:t>reproduction (spawning and recruitment)</w:t>
            </w:r>
            <w:r w:rsidRPr="00C63722">
              <w:rPr>
                <w:b w:val="0"/>
                <w:sz w:val="19"/>
                <w:szCs w:val="19"/>
              </w:rPr>
              <w:t xml:space="preserve"> of golden perch and silver perch?</w:t>
            </w:r>
          </w:p>
        </w:tc>
        <w:tc>
          <w:tcPr>
            <w:tcW w:w="708" w:type="pct"/>
            <w:tcBorders>
              <w:left w:val="single" w:sz="4" w:space="0" w:color="auto"/>
              <w:bottom w:val="single" w:sz="4" w:space="0" w:color="auto"/>
            </w:tcBorders>
            <w:shd w:val="clear" w:color="auto" w:fill="C5E0B3" w:themeFill="accent6" w:themeFillTint="66"/>
          </w:tcPr>
          <w:p w14:paraId="171D24DE" w14:textId="46C7E158" w:rsidR="00FE7396" w:rsidRPr="00B71F94" w:rsidRDefault="00FE7396" w:rsidP="00B52A58">
            <w:pPr>
              <w:pStyle w:val="TableHeading"/>
              <w:jc w:val="left"/>
              <w:rPr>
                <w:b w:val="0"/>
                <w:sz w:val="19"/>
                <w:szCs w:val="19"/>
              </w:rPr>
            </w:pPr>
            <w:r>
              <w:rPr>
                <w:b w:val="0"/>
                <w:sz w:val="19"/>
                <w:szCs w:val="19"/>
              </w:rPr>
              <w:t xml:space="preserve">Coincident spawning, </w:t>
            </w:r>
            <w:r w:rsidR="00D823F0">
              <w:rPr>
                <w:b w:val="0"/>
                <w:sz w:val="19"/>
                <w:szCs w:val="19"/>
              </w:rPr>
              <w:t>minor</w:t>
            </w:r>
            <w:r>
              <w:rPr>
                <w:b w:val="0"/>
                <w:sz w:val="19"/>
                <w:szCs w:val="19"/>
              </w:rPr>
              <w:t xml:space="preserve"> recruitment</w:t>
            </w:r>
          </w:p>
          <w:p w14:paraId="541C03B2" w14:textId="77777777" w:rsidR="00FE7396" w:rsidRPr="00311ED9" w:rsidRDefault="00FE7396" w:rsidP="00B52A58">
            <w:pPr>
              <w:pStyle w:val="TableHeading"/>
              <w:jc w:val="left"/>
              <w:rPr>
                <w:sz w:val="19"/>
                <w:szCs w:val="19"/>
              </w:rPr>
            </w:pPr>
          </w:p>
        </w:tc>
        <w:tc>
          <w:tcPr>
            <w:tcW w:w="1059" w:type="pct"/>
            <w:tcBorders>
              <w:top w:val="single" w:sz="4" w:space="0" w:color="auto"/>
              <w:bottom w:val="single" w:sz="4" w:space="0" w:color="auto"/>
            </w:tcBorders>
            <w:shd w:val="clear" w:color="auto" w:fill="E2EFD9" w:themeFill="accent6" w:themeFillTint="33"/>
          </w:tcPr>
          <w:p w14:paraId="51C697D8" w14:textId="77777777" w:rsidR="00FE7396" w:rsidRPr="00DA052E" w:rsidRDefault="00FE7396" w:rsidP="00B52A58">
            <w:pPr>
              <w:pStyle w:val="TableHeading"/>
              <w:jc w:val="left"/>
              <w:rPr>
                <w:b w:val="0"/>
                <w:color w:val="auto"/>
                <w:sz w:val="19"/>
                <w:szCs w:val="19"/>
              </w:rPr>
            </w:pPr>
            <w:r>
              <w:rPr>
                <w:b w:val="0"/>
                <w:color w:val="auto"/>
                <w:sz w:val="19"/>
                <w:szCs w:val="19"/>
              </w:rPr>
              <w:t>Negligible recruitment</w:t>
            </w:r>
          </w:p>
        </w:tc>
        <w:tc>
          <w:tcPr>
            <w:tcW w:w="1858" w:type="pct"/>
            <w:tcBorders>
              <w:top w:val="single" w:sz="4" w:space="0" w:color="auto"/>
              <w:bottom w:val="single" w:sz="4" w:space="0" w:color="auto"/>
            </w:tcBorders>
            <w:shd w:val="clear" w:color="auto" w:fill="E2EFD9" w:themeFill="accent6" w:themeFillTint="33"/>
          </w:tcPr>
          <w:p w14:paraId="4ABC2943" w14:textId="77777777" w:rsidR="00FE7396" w:rsidRDefault="00FE7396" w:rsidP="00B52A58">
            <w:pPr>
              <w:pStyle w:val="TableHeading"/>
              <w:jc w:val="left"/>
              <w:rPr>
                <w:b w:val="0"/>
                <w:color w:val="auto"/>
                <w:sz w:val="19"/>
                <w:szCs w:val="19"/>
              </w:rPr>
            </w:pPr>
            <w:r w:rsidRPr="008C08C9">
              <w:rPr>
                <w:b w:val="0"/>
                <w:color w:val="auto"/>
                <w:sz w:val="19"/>
                <w:szCs w:val="19"/>
              </w:rPr>
              <w:t>In 2020-21, spawning of silver perch</w:t>
            </w:r>
            <w:r>
              <w:rPr>
                <w:b w:val="0"/>
                <w:color w:val="auto"/>
                <w:sz w:val="19"/>
                <w:szCs w:val="19"/>
              </w:rPr>
              <w:t xml:space="preserve"> and golden perch was coincident with environmental water delivery</w:t>
            </w:r>
            <w:r w:rsidRPr="008C08C9">
              <w:rPr>
                <w:b w:val="0"/>
                <w:color w:val="auto"/>
                <w:sz w:val="19"/>
                <w:szCs w:val="19"/>
              </w:rPr>
              <w:t xml:space="preserve"> in the </w:t>
            </w:r>
            <w:r>
              <w:rPr>
                <w:b w:val="0"/>
                <w:color w:val="auto"/>
                <w:sz w:val="19"/>
                <w:szCs w:val="19"/>
              </w:rPr>
              <w:t xml:space="preserve">mid-Murray River and </w:t>
            </w:r>
            <w:r w:rsidRPr="008C08C9">
              <w:rPr>
                <w:b w:val="0"/>
                <w:color w:val="auto"/>
                <w:sz w:val="19"/>
                <w:szCs w:val="19"/>
              </w:rPr>
              <w:t>LMR</w:t>
            </w:r>
            <w:r>
              <w:rPr>
                <w:b w:val="0"/>
                <w:color w:val="auto"/>
                <w:sz w:val="19"/>
                <w:szCs w:val="19"/>
              </w:rPr>
              <w:t>, yet</w:t>
            </w:r>
            <w:r w:rsidRPr="008C08C9">
              <w:rPr>
                <w:b w:val="0"/>
                <w:color w:val="auto"/>
                <w:sz w:val="19"/>
                <w:szCs w:val="19"/>
              </w:rPr>
              <w:t xml:space="preserve"> negligible recruitment (to YOY, age 0+) </w:t>
            </w:r>
            <w:r>
              <w:rPr>
                <w:b w:val="0"/>
                <w:color w:val="auto"/>
                <w:sz w:val="19"/>
                <w:szCs w:val="19"/>
              </w:rPr>
              <w:t>was evident in the LMR</w:t>
            </w:r>
            <w:r w:rsidRPr="008C08C9">
              <w:rPr>
                <w:b w:val="0"/>
                <w:color w:val="auto"/>
                <w:sz w:val="19"/>
                <w:szCs w:val="19"/>
              </w:rPr>
              <w:t>.</w:t>
            </w:r>
          </w:p>
        </w:tc>
      </w:tr>
      <w:tr w:rsidR="00FE7396" w:rsidRPr="007770BB" w14:paraId="5F1B5A4F" w14:textId="77777777" w:rsidTr="00B52A58">
        <w:trPr>
          <w:cantSplit/>
          <w:trHeight w:val="20"/>
        </w:trPr>
        <w:tc>
          <w:tcPr>
            <w:tcW w:w="1375" w:type="pct"/>
            <w:tcBorders>
              <w:left w:val="single" w:sz="4" w:space="0" w:color="auto"/>
              <w:bottom w:val="single" w:sz="4" w:space="0" w:color="auto"/>
              <w:right w:val="single" w:sz="4" w:space="0" w:color="auto"/>
            </w:tcBorders>
          </w:tcPr>
          <w:p w14:paraId="07493ADF" w14:textId="77777777" w:rsidR="00FE7396" w:rsidRPr="00C63722" w:rsidRDefault="00FE7396" w:rsidP="00B52A58">
            <w:pPr>
              <w:pStyle w:val="TableHeading"/>
              <w:jc w:val="left"/>
              <w:rPr>
                <w:b w:val="0"/>
                <w:sz w:val="19"/>
                <w:szCs w:val="19"/>
              </w:rPr>
            </w:pPr>
            <w:r w:rsidRPr="00C63722">
              <w:rPr>
                <w:b w:val="0"/>
                <w:sz w:val="19"/>
                <w:szCs w:val="19"/>
              </w:rPr>
              <w:t>Did the flow regime (including environmental water) contribute to the resilience of golden perch and silver perch populations?</w:t>
            </w:r>
          </w:p>
        </w:tc>
        <w:tc>
          <w:tcPr>
            <w:tcW w:w="3625" w:type="pct"/>
            <w:gridSpan w:val="3"/>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F641F8E" w14:textId="2D87A3F1" w:rsidR="00FE7396" w:rsidRDefault="00FE7396" w:rsidP="00B52A58">
            <w:pPr>
              <w:pStyle w:val="TableHeading"/>
              <w:jc w:val="left"/>
              <w:rPr>
                <w:b w:val="0"/>
                <w:sz w:val="19"/>
                <w:szCs w:val="19"/>
              </w:rPr>
            </w:pPr>
            <w:r w:rsidRPr="00C47327">
              <w:rPr>
                <w:b w:val="0"/>
                <w:sz w:val="19"/>
                <w:szCs w:val="19"/>
              </w:rPr>
              <w:t xml:space="preserve">In the </w:t>
            </w:r>
            <w:r w:rsidR="00BD0534">
              <w:rPr>
                <w:b w:val="0"/>
                <w:sz w:val="19"/>
                <w:szCs w:val="19"/>
              </w:rPr>
              <w:t>LMR</w:t>
            </w:r>
            <w:r w:rsidRPr="00C47327">
              <w:rPr>
                <w:b w:val="0"/>
                <w:sz w:val="19"/>
                <w:szCs w:val="19"/>
              </w:rPr>
              <w:t xml:space="preserve"> in 2021, golden perch and silver perch ranging in age from</w:t>
            </w:r>
            <w:r w:rsidR="00C47327" w:rsidRPr="00C47327">
              <w:rPr>
                <w:b w:val="0"/>
                <w:sz w:val="19"/>
                <w:szCs w:val="19"/>
              </w:rPr>
              <w:t xml:space="preserve"> </w:t>
            </w:r>
            <w:r w:rsidRPr="00C47327">
              <w:rPr>
                <w:b w:val="0"/>
                <w:sz w:val="19"/>
                <w:szCs w:val="19"/>
              </w:rPr>
              <w:t xml:space="preserve">2+ to 5+ </w:t>
            </w:r>
            <w:r w:rsidR="00C47327" w:rsidRPr="00C47327">
              <w:rPr>
                <w:b w:val="0"/>
                <w:sz w:val="19"/>
                <w:szCs w:val="19"/>
              </w:rPr>
              <w:t xml:space="preserve">years </w:t>
            </w:r>
            <w:r w:rsidRPr="00C47327">
              <w:rPr>
                <w:b w:val="0"/>
                <w:sz w:val="19"/>
                <w:szCs w:val="19"/>
              </w:rPr>
              <w:t>can be associated with recruitment coincident with spring-summer flows that included environmental water. As such</w:t>
            </w:r>
            <w:r>
              <w:rPr>
                <w:b w:val="0"/>
                <w:sz w:val="19"/>
                <w:szCs w:val="19"/>
              </w:rPr>
              <w:t>,</w:t>
            </w:r>
            <w:r w:rsidRPr="00A70398">
              <w:rPr>
                <w:b w:val="0"/>
                <w:sz w:val="19"/>
                <w:szCs w:val="19"/>
              </w:rPr>
              <w:t xml:space="preserve"> </w:t>
            </w:r>
            <w:r>
              <w:rPr>
                <w:b w:val="0"/>
                <w:sz w:val="19"/>
                <w:szCs w:val="19"/>
              </w:rPr>
              <w:t>t</w:t>
            </w:r>
            <w:r w:rsidRPr="00A70398">
              <w:rPr>
                <w:b w:val="0"/>
                <w:sz w:val="19"/>
                <w:szCs w:val="19"/>
              </w:rPr>
              <w:t xml:space="preserve">he presence of these cohorts </w:t>
            </w:r>
            <w:r>
              <w:rPr>
                <w:b w:val="0"/>
                <w:sz w:val="19"/>
                <w:szCs w:val="19"/>
              </w:rPr>
              <w:t>contributes to the resilience of populations of these species</w:t>
            </w:r>
            <w:r w:rsidRPr="00A70398">
              <w:rPr>
                <w:b w:val="0"/>
                <w:sz w:val="19"/>
                <w:szCs w:val="19"/>
              </w:rPr>
              <w:t>.</w:t>
            </w:r>
          </w:p>
        </w:tc>
      </w:tr>
    </w:tbl>
    <w:p w14:paraId="3BBDAF76" w14:textId="7F3D8F73" w:rsidR="0059439C" w:rsidRDefault="00356663" w:rsidP="00356663">
      <w:pPr>
        <w:pStyle w:val="NoSpacing"/>
        <w:rPr>
          <w:rFonts w:ascii="Century Gothic" w:hAnsi="Century Gothic"/>
          <w:sz w:val="19"/>
          <w:szCs w:val="19"/>
        </w:rPr>
      </w:pPr>
      <w:r>
        <w:rPr>
          <w:rFonts w:ascii="Century Gothic" w:hAnsi="Century Gothic"/>
          <w:sz w:val="19"/>
          <w:szCs w:val="19"/>
        </w:rPr>
        <w:t>*Contribution of the flow regime to spawning was not investigated in 2019-20.</w:t>
      </w:r>
    </w:p>
    <w:p w14:paraId="047F815A" w14:textId="77777777" w:rsidR="00356663" w:rsidRDefault="00356663" w:rsidP="00356663">
      <w:pPr>
        <w:pStyle w:val="NoSpacing"/>
        <w:rPr>
          <w:rFonts w:ascii="Century Gothic" w:hAnsi="Century Gothic"/>
          <w:sz w:val="19"/>
          <w:szCs w:val="19"/>
        </w:rPr>
      </w:pPr>
    </w:p>
    <w:p w14:paraId="2A920AA0" w14:textId="77777777" w:rsidR="00356663" w:rsidRPr="0033194D" w:rsidRDefault="00356663" w:rsidP="00356663">
      <w:pPr>
        <w:spacing w:before="0" w:after="0" w:line="240" w:lineRule="auto"/>
        <w:jc w:val="left"/>
        <w:rPr>
          <w:color w:val="auto"/>
          <w:kern w:val="0"/>
          <w:sz w:val="19"/>
          <w:szCs w:val="19"/>
          <w:lang w:val="en-US" w:bidi="en-US"/>
        </w:rPr>
      </w:pPr>
      <w:r w:rsidRPr="0033194D">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356663" w:rsidRPr="0033194D" w14:paraId="542FBB3A" w14:textId="77777777" w:rsidTr="00356663">
        <w:tc>
          <w:tcPr>
            <w:tcW w:w="222" w:type="dxa"/>
            <w:shd w:val="clear" w:color="auto" w:fill="D9D9D9" w:themeFill="background1" w:themeFillShade="D9"/>
          </w:tcPr>
          <w:p w14:paraId="3FAE670E" w14:textId="77777777" w:rsidR="00356663" w:rsidRPr="0033194D" w:rsidRDefault="00356663" w:rsidP="00356663">
            <w:pPr>
              <w:contextualSpacing/>
              <w:rPr>
                <w:sz w:val="19"/>
                <w:szCs w:val="19"/>
              </w:rPr>
            </w:pPr>
          </w:p>
        </w:tc>
        <w:tc>
          <w:tcPr>
            <w:tcW w:w="1066" w:type="dxa"/>
            <w:vAlign w:val="center"/>
          </w:tcPr>
          <w:p w14:paraId="20B45024" w14:textId="77777777" w:rsidR="00356663" w:rsidRPr="0033194D" w:rsidRDefault="00356663" w:rsidP="00356663">
            <w:pPr>
              <w:contextualSpacing/>
              <w:rPr>
                <w:sz w:val="19"/>
                <w:szCs w:val="19"/>
              </w:rPr>
            </w:pPr>
            <w:r w:rsidRPr="0033194D">
              <w:rPr>
                <w:sz w:val="19"/>
                <w:szCs w:val="19"/>
              </w:rPr>
              <w:t>Unknown</w:t>
            </w:r>
          </w:p>
        </w:tc>
        <w:tc>
          <w:tcPr>
            <w:tcW w:w="222" w:type="dxa"/>
            <w:shd w:val="clear" w:color="auto" w:fill="FF0000"/>
            <w:vAlign w:val="center"/>
          </w:tcPr>
          <w:p w14:paraId="40733691" w14:textId="77777777" w:rsidR="00356663" w:rsidRPr="0033194D" w:rsidRDefault="00356663" w:rsidP="00356663">
            <w:pPr>
              <w:contextualSpacing/>
              <w:rPr>
                <w:sz w:val="19"/>
                <w:szCs w:val="19"/>
              </w:rPr>
            </w:pPr>
          </w:p>
        </w:tc>
        <w:tc>
          <w:tcPr>
            <w:tcW w:w="1069" w:type="dxa"/>
            <w:vAlign w:val="center"/>
          </w:tcPr>
          <w:p w14:paraId="1F012914" w14:textId="77777777" w:rsidR="00356663" w:rsidRPr="0033194D" w:rsidRDefault="00356663" w:rsidP="00356663">
            <w:pPr>
              <w:contextualSpacing/>
              <w:rPr>
                <w:sz w:val="19"/>
                <w:szCs w:val="19"/>
              </w:rPr>
            </w:pPr>
            <w:r w:rsidRPr="0033194D">
              <w:rPr>
                <w:sz w:val="19"/>
                <w:szCs w:val="19"/>
              </w:rPr>
              <w:t>Negative</w:t>
            </w:r>
          </w:p>
        </w:tc>
        <w:tc>
          <w:tcPr>
            <w:tcW w:w="222" w:type="dxa"/>
            <w:shd w:val="clear" w:color="auto" w:fill="E2EFD9" w:themeFill="accent6" w:themeFillTint="33"/>
            <w:vAlign w:val="center"/>
          </w:tcPr>
          <w:p w14:paraId="0A9193EC" w14:textId="77777777" w:rsidR="00356663" w:rsidRPr="0033194D" w:rsidRDefault="00356663" w:rsidP="00356663">
            <w:pPr>
              <w:contextualSpacing/>
              <w:rPr>
                <w:sz w:val="19"/>
                <w:szCs w:val="19"/>
              </w:rPr>
            </w:pPr>
          </w:p>
        </w:tc>
        <w:tc>
          <w:tcPr>
            <w:tcW w:w="1704" w:type="dxa"/>
            <w:vAlign w:val="center"/>
          </w:tcPr>
          <w:p w14:paraId="0DE48C4B" w14:textId="77777777" w:rsidR="00356663" w:rsidRPr="0033194D" w:rsidRDefault="00356663" w:rsidP="00356663">
            <w:pPr>
              <w:contextualSpacing/>
              <w:rPr>
                <w:sz w:val="19"/>
                <w:szCs w:val="19"/>
              </w:rPr>
            </w:pPr>
            <w:r w:rsidRPr="0033194D">
              <w:rPr>
                <w:sz w:val="19"/>
                <w:szCs w:val="19"/>
              </w:rPr>
              <w:t>None/negligible</w:t>
            </w:r>
          </w:p>
        </w:tc>
        <w:tc>
          <w:tcPr>
            <w:tcW w:w="222" w:type="dxa"/>
            <w:shd w:val="clear" w:color="auto" w:fill="A8D08D" w:themeFill="accent6" w:themeFillTint="99"/>
            <w:vAlign w:val="center"/>
          </w:tcPr>
          <w:p w14:paraId="13E6DEA2" w14:textId="77777777" w:rsidR="00356663" w:rsidRPr="0033194D" w:rsidRDefault="00356663" w:rsidP="00356663">
            <w:pPr>
              <w:contextualSpacing/>
              <w:rPr>
                <w:sz w:val="19"/>
                <w:szCs w:val="19"/>
              </w:rPr>
            </w:pPr>
          </w:p>
        </w:tc>
        <w:tc>
          <w:tcPr>
            <w:tcW w:w="727" w:type="dxa"/>
            <w:vAlign w:val="center"/>
          </w:tcPr>
          <w:p w14:paraId="1AF7A7F9" w14:textId="77777777" w:rsidR="00356663" w:rsidRPr="0033194D" w:rsidRDefault="00356663" w:rsidP="00356663">
            <w:pPr>
              <w:contextualSpacing/>
              <w:rPr>
                <w:sz w:val="19"/>
                <w:szCs w:val="19"/>
              </w:rPr>
            </w:pPr>
            <w:r w:rsidRPr="0033194D">
              <w:rPr>
                <w:sz w:val="19"/>
                <w:szCs w:val="19"/>
              </w:rPr>
              <w:t>Minor</w:t>
            </w:r>
          </w:p>
        </w:tc>
        <w:tc>
          <w:tcPr>
            <w:tcW w:w="222" w:type="dxa"/>
            <w:shd w:val="clear" w:color="auto" w:fill="70AD47" w:themeFill="accent6"/>
            <w:vAlign w:val="center"/>
          </w:tcPr>
          <w:p w14:paraId="29F3BAFF" w14:textId="77777777" w:rsidR="00356663" w:rsidRPr="0033194D" w:rsidRDefault="00356663" w:rsidP="00356663">
            <w:pPr>
              <w:contextualSpacing/>
              <w:rPr>
                <w:sz w:val="19"/>
                <w:szCs w:val="19"/>
              </w:rPr>
            </w:pPr>
          </w:p>
        </w:tc>
        <w:tc>
          <w:tcPr>
            <w:tcW w:w="1144" w:type="dxa"/>
            <w:vAlign w:val="center"/>
          </w:tcPr>
          <w:p w14:paraId="0659A3AE" w14:textId="77777777" w:rsidR="00356663" w:rsidRPr="0033194D" w:rsidRDefault="00356663" w:rsidP="00356663">
            <w:pPr>
              <w:contextualSpacing/>
              <w:rPr>
                <w:sz w:val="19"/>
                <w:szCs w:val="19"/>
              </w:rPr>
            </w:pPr>
            <w:r w:rsidRPr="0033194D">
              <w:rPr>
                <w:sz w:val="19"/>
                <w:szCs w:val="19"/>
              </w:rPr>
              <w:t>Moderate</w:t>
            </w:r>
          </w:p>
        </w:tc>
        <w:tc>
          <w:tcPr>
            <w:tcW w:w="222" w:type="dxa"/>
            <w:shd w:val="clear" w:color="auto" w:fill="5B9BD5" w:themeFill="accent1"/>
          </w:tcPr>
          <w:p w14:paraId="37E8F1EC" w14:textId="77777777" w:rsidR="00356663" w:rsidRPr="0033194D" w:rsidRDefault="00356663" w:rsidP="00356663">
            <w:pPr>
              <w:contextualSpacing/>
              <w:rPr>
                <w:sz w:val="19"/>
                <w:szCs w:val="19"/>
              </w:rPr>
            </w:pPr>
          </w:p>
        </w:tc>
        <w:tc>
          <w:tcPr>
            <w:tcW w:w="236" w:type="dxa"/>
            <w:vAlign w:val="center"/>
          </w:tcPr>
          <w:p w14:paraId="7E95CEE9" w14:textId="77777777" w:rsidR="00356663" w:rsidRPr="0033194D" w:rsidRDefault="00356663" w:rsidP="00356663">
            <w:pPr>
              <w:contextualSpacing/>
              <w:jc w:val="left"/>
              <w:rPr>
                <w:sz w:val="19"/>
                <w:szCs w:val="19"/>
              </w:rPr>
            </w:pPr>
            <w:r w:rsidRPr="0033194D">
              <w:rPr>
                <w:sz w:val="19"/>
                <w:szCs w:val="19"/>
              </w:rPr>
              <w:t>Substantial</w:t>
            </w:r>
          </w:p>
        </w:tc>
      </w:tr>
    </w:tbl>
    <w:p w14:paraId="462E8034" w14:textId="77777777" w:rsidR="00356663" w:rsidRDefault="00356663" w:rsidP="00356663">
      <w:pPr>
        <w:spacing w:before="0" w:after="160" w:line="259" w:lineRule="auto"/>
        <w:jc w:val="left"/>
      </w:pPr>
    </w:p>
    <w:p w14:paraId="00F92675" w14:textId="77777777" w:rsidR="00356663" w:rsidRDefault="00356663" w:rsidP="00356663">
      <w:pPr>
        <w:pStyle w:val="Heading3"/>
      </w:pPr>
      <w:r>
        <w:t>Discussion</w:t>
      </w:r>
    </w:p>
    <w:p w14:paraId="714508A1" w14:textId="0854E97A" w:rsidR="00356663" w:rsidRPr="00455843" w:rsidRDefault="00356663" w:rsidP="00356663">
      <w:r w:rsidRPr="00455843">
        <w:rPr>
          <w:bCs/>
        </w:rPr>
        <w:t xml:space="preserve">Over the </w:t>
      </w:r>
      <w:r w:rsidR="00821E51">
        <w:rPr>
          <w:bCs/>
        </w:rPr>
        <w:t xml:space="preserve">CEWO </w:t>
      </w:r>
      <w:r w:rsidRPr="00455843">
        <w:rPr>
          <w:bCs/>
        </w:rPr>
        <w:t xml:space="preserve">LTIM and MER projects, we have aimed to identify potential associations between recruitment of golden perch and silver perch and flow, including environmental water </w:t>
      </w:r>
      <w:r w:rsidR="00AA1D03">
        <w:rPr>
          <w:bCs/>
        </w:rPr>
        <w:t>delivery</w:t>
      </w:r>
      <w:r w:rsidR="00616A72" w:rsidRPr="00455843">
        <w:rPr>
          <w:bCs/>
        </w:rPr>
        <w:t xml:space="preserve">. </w:t>
      </w:r>
      <w:r w:rsidRPr="00455843">
        <w:rPr>
          <w:bCs/>
        </w:rPr>
        <w:t>We hypothesised that (1) increased flow (nominally &gt;20,000</w:t>
      </w:r>
      <w:r w:rsidR="00821E51">
        <w:rPr>
          <w:bCs/>
        </w:rPr>
        <w:t> M</w:t>
      </w:r>
      <w:r w:rsidRPr="00455843">
        <w:rPr>
          <w:bCs/>
        </w:rPr>
        <w:t xml:space="preserve">L/d) in spring–summer would promote </w:t>
      </w:r>
      <w:r w:rsidR="0004606A">
        <w:rPr>
          <w:bCs/>
        </w:rPr>
        <w:t>s</w:t>
      </w:r>
      <w:r w:rsidRPr="00455843">
        <w:rPr>
          <w:bCs/>
        </w:rPr>
        <w:t>pawning and recruitment to YOY, and (2) multiple years of enhanced spring–summer flow would increase the resilience of golden perch and silver perch populations in the LMR by promoting a diverse age structure.</w:t>
      </w:r>
    </w:p>
    <w:p w14:paraId="0068F630" w14:textId="336FA7DE" w:rsidR="00356663" w:rsidRDefault="00356663" w:rsidP="00356663">
      <w:pPr>
        <w:rPr>
          <w:bCs/>
          <w:highlight w:val="yellow"/>
        </w:rPr>
      </w:pPr>
      <w:r w:rsidRPr="00455843">
        <w:rPr>
          <w:bCs/>
        </w:rPr>
        <w:t>In 2020</w:t>
      </w:r>
      <w:r w:rsidR="00821E51">
        <w:rPr>
          <w:bCs/>
        </w:rPr>
        <w:t>-</w:t>
      </w:r>
      <w:r w:rsidRPr="00455843">
        <w:rPr>
          <w:bCs/>
        </w:rPr>
        <w:t xml:space="preserve">21, golden perch and silver </w:t>
      </w:r>
      <w:r w:rsidR="00616A72" w:rsidRPr="00455843">
        <w:rPr>
          <w:bCs/>
        </w:rPr>
        <w:t xml:space="preserve">perch eggs and </w:t>
      </w:r>
      <w:r w:rsidRPr="00455843">
        <w:rPr>
          <w:bCs/>
        </w:rPr>
        <w:t xml:space="preserve">larvae were collected in the </w:t>
      </w:r>
      <w:r w:rsidR="00821E51">
        <w:rPr>
          <w:bCs/>
        </w:rPr>
        <w:t>LMR</w:t>
      </w:r>
      <w:r w:rsidRPr="00455843">
        <w:rPr>
          <w:bCs/>
        </w:rPr>
        <w:t>. The presence of eggs</w:t>
      </w:r>
      <w:r w:rsidR="00AA1D03">
        <w:rPr>
          <w:bCs/>
        </w:rPr>
        <w:t>,</w:t>
      </w:r>
      <w:r w:rsidRPr="00455843">
        <w:rPr>
          <w:bCs/>
        </w:rPr>
        <w:t xml:space="preserve"> and estimated spawn dates of larvae</w:t>
      </w:r>
      <w:r>
        <w:rPr>
          <w:bCs/>
        </w:rPr>
        <w:t>,</w:t>
      </w:r>
      <w:r w:rsidRPr="00455843">
        <w:rPr>
          <w:bCs/>
        </w:rPr>
        <w:t xml:space="preserve"> coincided with a flow pulse (peak </w:t>
      </w:r>
      <w:r w:rsidR="00821E51">
        <w:rPr>
          <w:bCs/>
        </w:rPr>
        <w:t xml:space="preserve">flow </w:t>
      </w:r>
      <w:r w:rsidR="009F0B5D">
        <w:rPr>
          <w:bCs/>
        </w:rPr>
        <w:t xml:space="preserve">at the </w:t>
      </w:r>
      <w:r w:rsidR="00821E51">
        <w:rPr>
          <w:bCs/>
        </w:rPr>
        <w:t>South Australia</w:t>
      </w:r>
      <w:r w:rsidR="009F0B5D">
        <w:rPr>
          <w:bCs/>
        </w:rPr>
        <w:t>n border</w:t>
      </w:r>
      <w:r w:rsidR="00821E51">
        <w:rPr>
          <w:bCs/>
        </w:rPr>
        <w:t xml:space="preserve"> </w:t>
      </w:r>
      <w:r w:rsidR="00685DC3">
        <w:rPr>
          <w:bCs/>
        </w:rPr>
        <w:t>~</w:t>
      </w:r>
      <w:r w:rsidR="00821E51" w:rsidRPr="00821E51">
        <w:rPr>
          <w:bCs/>
        </w:rPr>
        <w:t>17,900 ML/d in late November 2020</w:t>
      </w:r>
      <w:r w:rsidRPr="00455843">
        <w:rPr>
          <w:bCs/>
        </w:rPr>
        <w:t>) in the Murray</w:t>
      </w:r>
      <w:r w:rsidR="0070500C">
        <w:rPr>
          <w:bCs/>
        </w:rPr>
        <w:t xml:space="preserve"> River</w:t>
      </w:r>
      <w:r w:rsidRPr="00455843">
        <w:rPr>
          <w:bCs/>
        </w:rPr>
        <w:t xml:space="preserve"> but also extended through late December 2020 and early January 2021 in association with receding flow. </w:t>
      </w:r>
      <w:r>
        <w:rPr>
          <w:bCs/>
        </w:rPr>
        <w:t>O</w:t>
      </w:r>
      <w:r w:rsidRPr="00455843">
        <w:rPr>
          <w:bCs/>
        </w:rPr>
        <w:t xml:space="preserve">tolith chemistry analysis indicated that the majority of silver perch </w:t>
      </w:r>
      <w:r w:rsidR="00821E51" w:rsidRPr="00455843">
        <w:rPr>
          <w:bCs/>
        </w:rPr>
        <w:t xml:space="preserve">(85%) </w:t>
      </w:r>
      <w:r w:rsidR="00616A72" w:rsidRPr="00455843">
        <w:rPr>
          <w:bCs/>
        </w:rPr>
        <w:t xml:space="preserve">and </w:t>
      </w:r>
      <w:r w:rsidR="00AA1D03">
        <w:rPr>
          <w:bCs/>
        </w:rPr>
        <w:t xml:space="preserve">the </w:t>
      </w:r>
      <w:r w:rsidR="00616A72">
        <w:rPr>
          <w:bCs/>
        </w:rPr>
        <w:t>two</w:t>
      </w:r>
      <w:r w:rsidR="00616A72" w:rsidRPr="00455843">
        <w:rPr>
          <w:bCs/>
        </w:rPr>
        <w:t xml:space="preserve"> golden perch larvae </w:t>
      </w:r>
      <w:r w:rsidR="00616A72">
        <w:rPr>
          <w:bCs/>
        </w:rPr>
        <w:t xml:space="preserve">analysed </w:t>
      </w:r>
      <w:r w:rsidRPr="00455843">
        <w:rPr>
          <w:bCs/>
        </w:rPr>
        <w:t xml:space="preserve">exhibited otolith core </w:t>
      </w:r>
      <w:r w:rsidRPr="00455843">
        <w:rPr>
          <w:bCs/>
          <w:vertAlign w:val="superscript"/>
        </w:rPr>
        <w:t>87</w:t>
      </w:r>
      <w:r w:rsidRPr="00455843">
        <w:rPr>
          <w:bCs/>
        </w:rPr>
        <w:t>Sr/</w:t>
      </w:r>
      <w:r w:rsidRPr="00455843">
        <w:rPr>
          <w:bCs/>
          <w:vertAlign w:val="superscript"/>
        </w:rPr>
        <w:t>86</w:t>
      </w:r>
      <w:r w:rsidRPr="00455843">
        <w:rPr>
          <w:bCs/>
        </w:rPr>
        <w:t xml:space="preserve">Sr indicative of </w:t>
      </w:r>
      <w:r>
        <w:rPr>
          <w:bCs/>
        </w:rPr>
        <w:t>an</w:t>
      </w:r>
      <w:r w:rsidRPr="00455843">
        <w:rPr>
          <w:bCs/>
        </w:rPr>
        <w:t xml:space="preserve"> origin in the lower reaches of the mid</w:t>
      </w:r>
      <w:r w:rsidR="00BD0534">
        <w:rPr>
          <w:bCs/>
        </w:rPr>
        <w:t>-</w:t>
      </w:r>
      <w:r w:rsidRPr="00455843">
        <w:rPr>
          <w:bCs/>
        </w:rPr>
        <w:t xml:space="preserve"> Murray </w:t>
      </w:r>
      <w:r w:rsidR="002024CB" w:rsidRPr="00455843">
        <w:rPr>
          <w:bCs/>
        </w:rPr>
        <w:t xml:space="preserve">River </w:t>
      </w:r>
      <w:r w:rsidRPr="00455843">
        <w:rPr>
          <w:bCs/>
        </w:rPr>
        <w:t>(i.e. upstream of the Darling River junction)</w:t>
      </w:r>
      <w:r>
        <w:rPr>
          <w:bCs/>
        </w:rPr>
        <w:t xml:space="preserve"> </w:t>
      </w:r>
      <w:r w:rsidRPr="004B2551">
        <w:rPr>
          <w:bCs/>
        </w:rPr>
        <w:t xml:space="preserve">and subsequently </w:t>
      </w:r>
      <w:r>
        <w:rPr>
          <w:bCs/>
        </w:rPr>
        <w:t>dispersal</w:t>
      </w:r>
      <w:r w:rsidRPr="004B2551">
        <w:rPr>
          <w:bCs/>
        </w:rPr>
        <w:t xml:space="preserve"> downstream to their capture location in the </w:t>
      </w:r>
      <w:r w:rsidR="00086886">
        <w:rPr>
          <w:bCs/>
        </w:rPr>
        <w:t>LMR</w:t>
      </w:r>
      <w:r>
        <w:rPr>
          <w:bCs/>
        </w:rPr>
        <w:t xml:space="preserve">. </w:t>
      </w:r>
      <w:r w:rsidR="00331E82">
        <w:rPr>
          <w:bCs/>
        </w:rPr>
        <w:t>As such, it is appropriate to associate the spawning of golden perch and silver perch in the mid</w:t>
      </w:r>
      <w:r w:rsidR="0070500C">
        <w:rPr>
          <w:bCs/>
        </w:rPr>
        <w:t>-</w:t>
      </w:r>
      <w:r w:rsidR="00331E82">
        <w:rPr>
          <w:bCs/>
        </w:rPr>
        <w:t xml:space="preserve">Murray with flows in that region, </w:t>
      </w:r>
      <w:r>
        <w:rPr>
          <w:bCs/>
        </w:rPr>
        <w:t xml:space="preserve">rather than the further regulated and often distinct flows in the </w:t>
      </w:r>
      <w:r w:rsidR="0070500C">
        <w:rPr>
          <w:bCs/>
        </w:rPr>
        <w:t>LMR</w:t>
      </w:r>
      <w:r>
        <w:rPr>
          <w:bCs/>
        </w:rPr>
        <w:t xml:space="preserve">, downstream of the South Australian border (Zampatti et al. 2018). </w:t>
      </w:r>
      <w:r w:rsidRPr="000550F1">
        <w:rPr>
          <w:bCs/>
        </w:rPr>
        <w:t>The remaining silver perch larvae</w:t>
      </w:r>
      <w:r>
        <w:rPr>
          <w:bCs/>
        </w:rPr>
        <w:t xml:space="preserve"> captured in the </w:t>
      </w:r>
      <w:r w:rsidR="00685DC3">
        <w:rPr>
          <w:bCs/>
        </w:rPr>
        <w:t>LMR</w:t>
      </w:r>
      <w:r>
        <w:rPr>
          <w:bCs/>
        </w:rPr>
        <w:t>,</w:t>
      </w:r>
      <w:r w:rsidRPr="000550F1">
        <w:rPr>
          <w:bCs/>
        </w:rPr>
        <w:t xml:space="preserve"> demonstrated otolith core </w:t>
      </w:r>
      <w:r w:rsidRPr="000550F1">
        <w:rPr>
          <w:bCs/>
          <w:vertAlign w:val="superscript"/>
        </w:rPr>
        <w:t>87</w:t>
      </w:r>
      <w:r w:rsidRPr="000550F1">
        <w:rPr>
          <w:bCs/>
        </w:rPr>
        <w:t>Sr/</w:t>
      </w:r>
      <w:r w:rsidRPr="000550F1">
        <w:rPr>
          <w:bCs/>
          <w:vertAlign w:val="superscript"/>
        </w:rPr>
        <w:t>86</w:t>
      </w:r>
      <w:r w:rsidRPr="000550F1">
        <w:rPr>
          <w:bCs/>
        </w:rPr>
        <w:t>Sr indicative of a Murray</w:t>
      </w:r>
      <w:r w:rsidR="0070500C">
        <w:rPr>
          <w:bCs/>
        </w:rPr>
        <w:t xml:space="preserve"> River</w:t>
      </w:r>
      <w:r w:rsidRPr="000550F1">
        <w:rPr>
          <w:bCs/>
        </w:rPr>
        <w:t xml:space="preserve"> origin</w:t>
      </w:r>
      <w:r w:rsidR="0070500C">
        <w:rPr>
          <w:bCs/>
        </w:rPr>
        <w:t xml:space="preserve"> </w:t>
      </w:r>
      <w:r w:rsidR="009F0B5D">
        <w:rPr>
          <w:bCs/>
        </w:rPr>
        <w:t xml:space="preserve">downstream of </w:t>
      </w:r>
      <w:r w:rsidR="0070500C">
        <w:rPr>
          <w:bCs/>
        </w:rPr>
        <w:t>the Darling River junction</w:t>
      </w:r>
      <w:r w:rsidRPr="000550F1">
        <w:rPr>
          <w:bCs/>
        </w:rPr>
        <w:t xml:space="preserve">, specifically in the reach between Lock 6 and Lock </w:t>
      </w:r>
      <w:r>
        <w:rPr>
          <w:bCs/>
        </w:rPr>
        <w:t>10</w:t>
      </w:r>
      <w:r w:rsidRPr="000550F1">
        <w:rPr>
          <w:bCs/>
        </w:rPr>
        <w:t xml:space="preserve">, thus spawning of silver perch also occurred in this </w:t>
      </w:r>
      <w:r w:rsidR="00616A72" w:rsidRPr="000550F1">
        <w:rPr>
          <w:bCs/>
        </w:rPr>
        <w:t>region.</w:t>
      </w:r>
      <w:r w:rsidR="00616A72">
        <w:rPr>
          <w:bCs/>
        </w:rPr>
        <w:t xml:space="preserve"> The capture of golden perch eggs and young larvae (estimated ~3 days old) in the LMR also indicates spawning of this species in </w:t>
      </w:r>
      <w:r w:rsidR="0070500C">
        <w:rPr>
          <w:bCs/>
        </w:rPr>
        <w:t>this area</w:t>
      </w:r>
      <w:r w:rsidR="0037205A">
        <w:rPr>
          <w:bCs/>
        </w:rPr>
        <w:t xml:space="preserve">, but otoliths were too small for confirmation via </w:t>
      </w:r>
      <w:r w:rsidR="0004606A">
        <w:rPr>
          <w:bCs/>
        </w:rPr>
        <w:t>otolith chemical analysis</w:t>
      </w:r>
      <w:r w:rsidR="00616A72">
        <w:rPr>
          <w:bCs/>
        </w:rPr>
        <w:t>.</w:t>
      </w:r>
    </w:p>
    <w:p w14:paraId="55B94B74" w14:textId="1943DE27" w:rsidR="00356663" w:rsidRPr="00037A8A" w:rsidRDefault="00356663" w:rsidP="00356663">
      <w:pPr>
        <w:rPr>
          <w:bCs/>
        </w:rPr>
      </w:pPr>
      <w:r w:rsidRPr="004B2551">
        <w:rPr>
          <w:bCs/>
        </w:rPr>
        <w:t xml:space="preserve">Our results again highlight that a variety of spatially distinct natal sources may contribute to golden perch and silver perch populations in the </w:t>
      </w:r>
      <w:r w:rsidR="0070500C">
        <w:rPr>
          <w:bCs/>
        </w:rPr>
        <w:t>LMR</w:t>
      </w:r>
      <w:r w:rsidRPr="004B2551">
        <w:rPr>
          <w:bCs/>
        </w:rPr>
        <w:t xml:space="preserve"> (Zampatti et al. 2018; Zampatti et al. 2021</w:t>
      </w:r>
      <w:r>
        <w:rPr>
          <w:bCs/>
        </w:rPr>
        <w:t>)</w:t>
      </w:r>
      <w:r w:rsidRPr="004B2551">
        <w:rPr>
          <w:bCs/>
        </w:rPr>
        <w:t xml:space="preserve">. In 2021, however, early life stages (eggs and larvae) spawned in </w:t>
      </w:r>
      <w:r w:rsidR="0070500C">
        <w:rPr>
          <w:bCs/>
        </w:rPr>
        <w:t xml:space="preserve">the </w:t>
      </w:r>
      <w:r w:rsidRPr="004B2551">
        <w:rPr>
          <w:bCs/>
        </w:rPr>
        <w:t>Murray</w:t>
      </w:r>
      <w:r w:rsidR="0070500C">
        <w:rPr>
          <w:bCs/>
        </w:rPr>
        <w:t xml:space="preserve"> River between Lock 1 and Lock 11</w:t>
      </w:r>
      <w:r w:rsidRPr="004B2551">
        <w:rPr>
          <w:bCs/>
        </w:rPr>
        <w:t xml:space="preserve"> did not contribute to measurable recruitment to YOY</w:t>
      </w:r>
      <w:r>
        <w:rPr>
          <w:bCs/>
        </w:rPr>
        <w:t xml:space="preserve"> in the </w:t>
      </w:r>
      <w:r w:rsidR="0018778A">
        <w:rPr>
          <w:bCs/>
        </w:rPr>
        <w:t>LMR</w:t>
      </w:r>
      <w:r w:rsidRPr="004B2551">
        <w:rPr>
          <w:bCs/>
        </w:rPr>
        <w:t>.</w:t>
      </w:r>
      <w:r>
        <w:rPr>
          <w:bCs/>
        </w:rPr>
        <w:t xml:space="preserve"> </w:t>
      </w:r>
      <w:r w:rsidRPr="0018778A">
        <w:rPr>
          <w:bCs/>
        </w:rPr>
        <w:t xml:space="preserve">Indeed, from 2015–2021, golden perch recruitment in the LMR was generally poor, with no strong age classes added to the population. </w:t>
      </w:r>
      <w:r w:rsidRPr="0018778A">
        <w:t>In 2015, the sampled population of golden perch ranged in age from 2+ to 18+ years, with dominant year</w:t>
      </w:r>
      <w:r w:rsidRPr="00037A8A">
        <w:t xml:space="preserve"> classes from 2010-11, 2009</w:t>
      </w:r>
      <w:r w:rsidRPr="00037A8A">
        <w:rPr>
          <w:rFonts w:cstheme="minorHAnsi"/>
        </w:rPr>
        <w:t>-</w:t>
      </w:r>
      <w:r w:rsidRPr="00037A8A">
        <w:t xml:space="preserve">10, </w:t>
      </w:r>
      <w:r w:rsidRPr="00037A8A">
        <w:rPr>
          <w:bCs/>
        </w:rPr>
        <w:t xml:space="preserve">2005–06, </w:t>
      </w:r>
      <w:r w:rsidRPr="00037A8A">
        <w:t xml:space="preserve">2000-01 and 1996-97. These cohorts persisted in the population but by 2021 the </w:t>
      </w:r>
      <w:r w:rsidRPr="00037A8A">
        <w:rPr>
          <w:bCs/>
        </w:rPr>
        <w:t>contributions of older age cohorts (2005–06, 2000-01 and 1996-97) was low (~6% combined). In 2021, however, cohorts of 2</w:t>
      </w:r>
      <w:r w:rsidR="00295574">
        <w:rPr>
          <w:bCs/>
        </w:rPr>
        <w:t>+</w:t>
      </w:r>
      <w:r w:rsidRPr="00037A8A">
        <w:rPr>
          <w:bCs/>
        </w:rPr>
        <w:t>, 3</w:t>
      </w:r>
      <w:r w:rsidR="00295574">
        <w:rPr>
          <w:bCs/>
        </w:rPr>
        <w:t>+</w:t>
      </w:r>
      <w:r w:rsidRPr="00037A8A">
        <w:rPr>
          <w:bCs/>
        </w:rPr>
        <w:t xml:space="preserve"> and 4</w:t>
      </w:r>
      <w:r w:rsidR="00295574">
        <w:rPr>
          <w:bCs/>
        </w:rPr>
        <w:t>+</w:t>
      </w:r>
      <w:r w:rsidRPr="00037A8A">
        <w:rPr>
          <w:bCs/>
        </w:rPr>
        <w:t xml:space="preserve"> year old fish were apparent in the age structure, collectively comprising ~</w:t>
      </w:r>
      <w:r w:rsidR="00295574">
        <w:rPr>
          <w:bCs/>
        </w:rPr>
        <w:t>20</w:t>
      </w:r>
      <w:r w:rsidRPr="00037A8A">
        <w:rPr>
          <w:bCs/>
        </w:rPr>
        <w:t>% of the sample and indicating low-level recruitment in 2018–19, 2017–18</w:t>
      </w:r>
      <w:r>
        <w:rPr>
          <w:bCs/>
        </w:rPr>
        <w:t xml:space="preserve"> and 2016–17</w:t>
      </w:r>
      <w:r w:rsidR="00295574">
        <w:rPr>
          <w:bCs/>
        </w:rPr>
        <w:t>, respectively</w:t>
      </w:r>
      <w:r w:rsidRPr="00037A8A">
        <w:rPr>
          <w:bCs/>
        </w:rPr>
        <w:t>. Otolith chemistry analysis indicated these fish were born in the Murray</w:t>
      </w:r>
      <w:r w:rsidR="0070500C">
        <w:rPr>
          <w:bCs/>
        </w:rPr>
        <w:t xml:space="preserve"> River, downstream of the Darling River junction,</w:t>
      </w:r>
      <w:r w:rsidRPr="00037A8A">
        <w:rPr>
          <w:bCs/>
        </w:rPr>
        <w:t xml:space="preserve"> and had spent their lives in this region. </w:t>
      </w:r>
      <w:r w:rsidR="00616A72" w:rsidRPr="00037A8A">
        <w:rPr>
          <w:bCs/>
        </w:rPr>
        <w:t>These age classes have become more prominent over the last few years, and it is possible that</w:t>
      </w:r>
      <w:r w:rsidR="00616A72">
        <w:rPr>
          <w:bCs/>
        </w:rPr>
        <w:t>,</w:t>
      </w:r>
      <w:r w:rsidR="00616A72" w:rsidRPr="00037A8A">
        <w:rPr>
          <w:bCs/>
        </w:rPr>
        <w:t xml:space="preserve"> when present in only low abundances, the detectability of these age classes may increase with age (Mahardja </w:t>
      </w:r>
      <w:r w:rsidR="00616A72" w:rsidRPr="00295574">
        <w:rPr>
          <w:bCs/>
          <w:i/>
          <w:iCs/>
        </w:rPr>
        <w:t>et al.</w:t>
      </w:r>
      <w:r w:rsidR="00616A72" w:rsidRPr="00037A8A">
        <w:rPr>
          <w:bCs/>
        </w:rPr>
        <w:t xml:space="preserve"> 2017)</w:t>
      </w:r>
      <w:r w:rsidR="0037205A">
        <w:rPr>
          <w:bCs/>
        </w:rPr>
        <w:t>. Furthermore, decreasing strength of older cohorts, and lower general population abundance, may have contributed to the increasing prominence of these 2+–4+ cohorts</w:t>
      </w:r>
      <w:r w:rsidR="00616A72" w:rsidRPr="00037A8A">
        <w:rPr>
          <w:bCs/>
        </w:rPr>
        <w:t>. Th</w:t>
      </w:r>
      <w:r w:rsidR="0037205A">
        <w:rPr>
          <w:bCs/>
        </w:rPr>
        <w:t>is</w:t>
      </w:r>
      <w:r w:rsidR="00616A72" w:rsidRPr="00037A8A">
        <w:rPr>
          <w:bCs/>
        </w:rPr>
        <w:t xml:space="preserve"> reinforc</w:t>
      </w:r>
      <w:r w:rsidR="0037205A">
        <w:rPr>
          <w:bCs/>
        </w:rPr>
        <w:t>es</w:t>
      </w:r>
      <w:r w:rsidR="00616A72" w:rsidRPr="00037A8A">
        <w:rPr>
          <w:bCs/>
        </w:rPr>
        <w:t xml:space="preserve"> the need for a long-term perspective (5</w:t>
      </w:r>
      <w:r w:rsidR="00616A72">
        <w:rPr>
          <w:bCs/>
        </w:rPr>
        <w:t>–</w:t>
      </w:r>
      <w:r w:rsidR="00616A72" w:rsidRPr="00037A8A">
        <w:rPr>
          <w:bCs/>
        </w:rPr>
        <w:t>10 years) in detecting population responses of long-lived fishes to flow variability and management interventions.</w:t>
      </w:r>
    </w:p>
    <w:p w14:paraId="40908DF0" w14:textId="1D5EAF78" w:rsidR="00356663" w:rsidRPr="00037A8A" w:rsidRDefault="00356663" w:rsidP="00356663">
      <w:pPr>
        <w:rPr>
          <w:bCs/>
        </w:rPr>
      </w:pPr>
      <w:r w:rsidRPr="00037A8A">
        <w:rPr>
          <w:bCs/>
        </w:rPr>
        <w:t xml:space="preserve">In association with an ageing population, abundance of golden perch in the LMR steadily declined by almost half from 2015 to 2020. Over the same period, declines in golden perch abundance were also observed in other monitoring programs in the region, for example, in TLM </w:t>
      </w:r>
      <w:r w:rsidR="000879A9">
        <w:rPr>
          <w:bCs/>
        </w:rPr>
        <w:t>C</w:t>
      </w:r>
      <w:r w:rsidRPr="00037A8A">
        <w:rPr>
          <w:bCs/>
          <w:i/>
        </w:rPr>
        <w:t>ondition</w:t>
      </w:r>
      <w:r w:rsidRPr="00037A8A">
        <w:rPr>
          <w:bCs/>
        </w:rPr>
        <w:t xml:space="preserve"> </w:t>
      </w:r>
      <w:r w:rsidR="000879A9">
        <w:rPr>
          <w:bCs/>
          <w:i/>
          <w:iCs/>
        </w:rPr>
        <w:t>M</w:t>
      </w:r>
      <w:r w:rsidRPr="00037A8A">
        <w:rPr>
          <w:bCs/>
          <w:i/>
          <w:iCs/>
        </w:rPr>
        <w:t>onitoring</w:t>
      </w:r>
      <w:r w:rsidRPr="00037A8A">
        <w:rPr>
          <w:bCs/>
        </w:rPr>
        <w:t xml:space="preserve"> at the Chowilla icon site (Fredberg </w:t>
      </w:r>
      <w:r w:rsidRPr="00037A8A">
        <w:rPr>
          <w:bCs/>
          <w:i/>
        </w:rPr>
        <w:t>et al</w:t>
      </w:r>
      <w:r w:rsidRPr="00037A8A">
        <w:rPr>
          <w:bCs/>
        </w:rPr>
        <w:t xml:space="preserve">. 2019). Potential factors contributing to </w:t>
      </w:r>
      <w:r w:rsidR="000879A9">
        <w:rPr>
          <w:bCs/>
        </w:rPr>
        <w:t xml:space="preserve">the </w:t>
      </w:r>
      <w:r w:rsidRPr="00037A8A">
        <w:rPr>
          <w:bCs/>
        </w:rPr>
        <w:t xml:space="preserve">decline are a lack of recruitment, mortality (fishing and natural) and upstream emigration of adults (Zampatti </w:t>
      </w:r>
      <w:r w:rsidRPr="00037A8A">
        <w:rPr>
          <w:bCs/>
          <w:i/>
        </w:rPr>
        <w:t>et al</w:t>
      </w:r>
      <w:r w:rsidRPr="00037A8A">
        <w:rPr>
          <w:bCs/>
        </w:rPr>
        <w:t xml:space="preserve">. 2018). Ultimately, a lack of younger cohorts, reduced abundance and diminished age structure diversity (e.g. population dominated by few cohorts) lead to a population that lacks resilience to environmental perturbations and other impacts (e.g. fishing). </w:t>
      </w:r>
    </w:p>
    <w:p w14:paraId="797375A7" w14:textId="77777777" w:rsidR="0004606A" w:rsidRPr="00037A8A" w:rsidRDefault="0004606A" w:rsidP="0004606A">
      <w:pPr>
        <w:pStyle w:val="Heading3"/>
      </w:pPr>
      <w:r w:rsidRPr="00037A8A">
        <w:t>Management implications</w:t>
      </w:r>
    </w:p>
    <w:p w14:paraId="5D75803A" w14:textId="3EDBB5B8" w:rsidR="0004606A" w:rsidRDefault="0004606A" w:rsidP="0004606A">
      <w:pPr>
        <w:rPr>
          <w:bCs/>
        </w:rPr>
      </w:pPr>
      <w:r w:rsidRPr="00037A8A">
        <w:rPr>
          <w:bCs/>
        </w:rPr>
        <w:t xml:space="preserve">Over the past seven years, golden perch recruitment in the </w:t>
      </w:r>
      <w:r w:rsidR="00BD0534">
        <w:rPr>
          <w:bCs/>
        </w:rPr>
        <w:t>LMR</w:t>
      </w:r>
      <w:r w:rsidRPr="00037A8A">
        <w:rPr>
          <w:bCs/>
        </w:rPr>
        <w:t xml:space="preserve"> was minimal. Evidence from the current investigation and allied studies suggest that greater flow (&gt;20,000 ML/d) is likely required to significantly influence local golden perch spawning and recruitment in the LMR. Annual spring–summer in-channel flow pulses of this magnitude were a key feature of the hydrograph of the LMR prior to regulation (Mallen-Cooper and Zampatti 2018), and would have occurred in recent years under natural, unregulated conditions.</w:t>
      </w:r>
    </w:p>
    <w:p w14:paraId="7FC514F2" w14:textId="1B7CA40A" w:rsidR="0004606A" w:rsidRDefault="0004606A" w:rsidP="0004606A">
      <w:pPr>
        <w:rPr>
          <w:bCs/>
        </w:rPr>
      </w:pPr>
      <w:r>
        <w:rPr>
          <w:bCs/>
        </w:rPr>
        <w:t>Nuanced understanding of the spawning, downstream dispersal and recruitment of s</w:t>
      </w:r>
      <w:r w:rsidRPr="002D25BB">
        <w:rPr>
          <w:bCs/>
        </w:rPr>
        <w:t xml:space="preserve">ilver perch </w:t>
      </w:r>
      <w:r>
        <w:rPr>
          <w:bCs/>
        </w:rPr>
        <w:t>in the LMR lags that for golden perch. Nevertheless, the collection of substantial numbers of silver perch larvae in 2020-21 and their natal origin suggests that the spring</w:t>
      </w:r>
      <w:r>
        <w:rPr>
          <w:rFonts w:ascii="Calibri" w:hAnsi="Calibri" w:cs="Calibri"/>
          <w:bCs/>
        </w:rPr>
        <w:t>–</w:t>
      </w:r>
      <w:r>
        <w:rPr>
          <w:bCs/>
        </w:rPr>
        <w:t xml:space="preserve">summer hydrographs in the Murray </w:t>
      </w:r>
      <w:r w:rsidR="0070500C">
        <w:rPr>
          <w:bCs/>
        </w:rPr>
        <w:t>River between Lock 1 and Lock 11</w:t>
      </w:r>
      <w:r>
        <w:rPr>
          <w:bCs/>
        </w:rPr>
        <w:t xml:space="preserve"> </w:t>
      </w:r>
      <w:r w:rsidR="00667261">
        <w:rPr>
          <w:bCs/>
        </w:rPr>
        <w:t xml:space="preserve">were suitable to promote spawning and downstream drift to the </w:t>
      </w:r>
      <w:r w:rsidR="0070500C">
        <w:rPr>
          <w:bCs/>
        </w:rPr>
        <w:t>LMR</w:t>
      </w:r>
      <w:r w:rsidR="00667261">
        <w:rPr>
          <w:bCs/>
        </w:rPr>
        <w:t>. Furthermore, analysis of movement history of a small number of individuals 2+–4+ years of age suggested origin and residence in the LMR and the potential that some level of spawning and recruitment may occur in this region on a near annual basis.</w:t>
      </w:r>
    </w:p>
    <w:p w14:paraId="46C18CFD" w14:textId="77777777" w:rsidR="0004606A" w:rsidRPr="000879A9" w:rsidRDefault="0004606A" w:rsidP="0004606A">
      <w:pPr>
        <w:pStyle w:val="Heading3"/>
      </w:pPr>
      <w:r w:rsidRPr="000879A9">
        <w:t>Conclusion</w:t>
      </w:r>
    </w:p>
    <w:p w14:paraId="0A4A902B" w14:textId="6AE5DE25" w:rsidR="0004606A" w:rsidRDefault="0004606A" w:rsidP="0004606A">
      <w:r w:rsidRPr="000879A9">
        <w:rPr>
          <w:bCs/>
        </w:rPr>
        <w:t xml:space="preserve">Since 2013-14, there has been limited recruitment of golden perch in the LMR, leading to a population dominated by a few distinct and ageing cohorts. </w:t>
      </w:r>
      <w:r>
        <w:rPr>
          <w:bCs/>
        </w:rPr>
        <w:t>Yet</w:t>
      </w:r>
      <w:r w:rsidRPr="000879A9">
        <w:rPr>
          <w:bCs/>
        </w:rPr>
        <w:t>, the appearance of small cohorts of age 2</w:t>
      </w:r>
      <w:r>
        <w:rPr>
          <w:bCs/>
        </w:rPr>
        <w:t>+</w:t>
      </w:r>
      <w:r w:rsidRPr="000879A9">
        <w:rPr>
          <w:bCs/>
        </w:rPr>
        <w:t>–4</w:t>
      </w:r>
      <w:r>
        <w:rPr>
          <w:bCs/>
        </w:rPr>
        <w:t>+</w:t>
      </w:r>
      <w:r w:rsidRPr="000879A9">
        <w:rPr>
          <w:bCs/>
        </w:rPr>
        <w:t xml:space="preserve"> fish appears to have mitigated decline in golden perch abundance</w:t>
      </w:r>
      <w:r>
        <w:rPr>
          <w:bCs/>
        </w:rPr>
        <w:t xml:space="preserve">. Silver perch abundance in the LMR remains low, although a </w:t>
      </w:r>
      <w:r w:rsidR="00667261">
        <w:rPr>
          <w:bCs/>
        </w:rPr>
        <w:t xml:space="preserve">low level of near-annual recruitment is evident. </w:t>
      </w:r>
      <w:r w:rsidR="00667261" w:rsidRPr="000879A9">
        <w:rPr>
          <w:bCs/>
        </w:rPr>
        <w:t xml:space="preserve">To improve the resilience of golden perch </w:t>
      </w:r>
      <w:r w:rsidR="00667261">
        <w:rPr>
          <w:bCs/>
        </w:rPr>
        <w:t xml:space="preserve">and silver perch </w:t>
      </w:r>
      <w:r w:rsidR="00667261" w:rsidRPr="000879A9">
        <w:rPr>
          <w:bCs/>
        </w:rPr>
        <w:t>populations in the LMR</w:t>
      </w:r>
      <w:r w:rsidR="00667261">
        <w:rPr>
          <w:bCs/>
        </w:rPr>
        <w:t xml:space="preserve"> </w:t>
      </w:r>
      <w:r w:rsidR="00667261" w:rsidRPr="000879A9">
        <w:rPr>
          <w:bCs/>
        </w:rPr>
        <w:t xml:space="preserve">it is pertinent in the coming years to provide flows that may facilitate spawning and recruitment. Specifically, Commonwealth environmental water could contribute to spring/early summer in-channel flow </w:t>
      </w:r>
      <w:r w:rsidR="00667261" w:rsidRPr="000879A9">
        <w:t xml:space="preserve">&gt;20,000 ML/d in the LMR </w:t>
      </w:r>
      <w:r w:rsidR="00667261">
        <w:t xml:space="preserve">to promote </w:t>
      </w:r>
      <w:r w:rsidR="00667261" w:rsidRPr="000879A9">
        <w:t>spawning, recruitment and subsequent downstream dispersal from upstream reaches (e.g. the lower Darling and mid-Murray rivers).</w:t>
      </w:r>
    </w:p>
    <w:p w14:paraId="6D300F13" w14:textId="77777777" w:rsidR="00616A72" w:rsidRDefault="00616A72">
      <w:pPr>
        <w:spacing w:before="0" w:after="160" w:line="259" w:lineRule="auto"/>
        <w:jc w:val="left"/>
      </w:pPr>
      <w:r>
        <w:br w:type="page"/>
      </w:r>
    </w:p>
    <w:p w14:paraId="0D62E495" w14:textId="7BCEA706" w:rsidR="00846CBB" w:rsidRPr="00B51857" w:rsidRDefault="00846CBB" w:rsidP="00846CBB">
      <w:pPr>
        <w:pStyle w:val="Heading2"/>
      </w:pPr>
      <w:bookmarkStart w:id="307" w:name="_Ref50027079"/>
      <w:bookmarkStart w:id="308" w:name="_Toc101963780"/>
      <w:bookmarkStart w:id="309" w:name="_Ref876511"/>
      <w:bookmarkStart w:id="310" w:name="_Toc3558341"/>
      <w:bookmarkStart w:id="311" w:name="_Ref25334037"/>
      <w:bookmarkStart w:id="312" w:name="_Ref25334134"/>
      <w:bookmarkStart w:id="313" w:name="_Ref30588645"/>
      <w:r w:rsidRPr="00B51857">
        <w:t>Murray Cod Recruitment</w:t>
      </w:r>
      <w:bookmarkEnd w:id="307"/>
      <w:bookmarkEnd w:id="308"/>
    </w:p>
    <w:p w14:paraId="154E19BE" w14:textId="27699726" w:rsidR="007B56CE" w:rsidDel="0015522E" w:rsidRDefault="007B56CE" w:rsidP="00FB0CF5">
      <w:pPr>
        <w:pStyle w:val="Heading3"/>
      </w:pPr>
      <w:bookmarkStart w:id="314" w:name="_Hlk58844708"/>
      <w:r w:rsidRPr="00841506" w:rsidDel="0015522E">
        <w:t>Background</w:t>
      </w:r>
    </w:p>
    <w:p w14:paraId="703E4C36" w14:textId="16AB3E51" w:rsidR="007B56CE" w:rsidDel="0015522E" w:rsidRDefault="007B56CE" w:rsidP="007B56CE">
      <w:r w:rsidDel="0015522E">
        <w:t>Murray cod has great recreational and cultural significance in the MDB. Nonetheless, populations have declined as a result of human impacts including alteration of flow regimes, barriers to movement, overharvesting and habitat (hydraulic and physical) degradation (Lintermans and Phillips 2005)</w:t>
      </w:r>
      <w:r w:rsidR="00A97D30" w:rsidDel="0015522E">
        <w:t>,</w:t>
      </w:r>
      <w:r w:rsidR="008C0FDF" w:rsidDel="0015522E">
        <w:t xml:space="preserve"> and the species</w:t>
      </w:r>
      <w:r w:rsidDel="0015522E">
        <w:t xml:space="preserve"> is </w:t>
      </w:r>
      <w:r w:rsidR="008C0FDF" w:rsidDel="0015522E">
        <w:t xml:space="preserve">currently </w:t>
      </w:r>
      <w:r w:rsidDel="0015522E">
        <w:t xml:space="preserve">considered vulnerable under the Australian EPBC Act (1999). In the </w:t>
      </w:r>
      <w:r w:rsidR="007E3AE5" w:rsidDel="0015522E">
        <w:t xml:space="preserve">Murray </w:t>
      </w:r>
      <w:r w:rsidR="00F47059" w:rsidDel="0015522E">
        <w:t xml:space="preserve">River </w:t>
      </w:r>
      <w:r w:rsidDel="0015522E">
        <w:t xml:space="preserve">downstream of the Darling River junction, the fragmentation of the river by sequential weirs, alteration to hydraulics and loss of lotic habitats are considered primary threats to the persistence of Murray cod populations (Zampatti </w:t>
      </w:r>
      <w:r w:rsidRPr="00BE1769" w:rsidDel="0015522E">
        <w:rPr>
          <w:i/>
          <w:iCs/>
        </w:rPr>
        <w:t>et al.</w:t>
      </w:r>
      <w:r w:rsidDel="0015522E">
        <w:t xml:space="preserve"> 2014; Mallen-Cooper and Zampatti 2018). Indeed, under low flows, lotic environments that provide favourable juvenile and adult habitat, and support key life history processes (spawning and recruitment) </w:t>
      </w:r>
      <w:r w:rsidR="008C0FDF" w:rsidDel="0015522E">
        <w:t>are restricted to</w:t>
      </w:r>
      <w:r w:rsidDel="0015522E">
        <w:t xml:space="preserve"> select anabranch systems (e.g. Chowilla) and lock and weir tailwaters. During elevated flows (e.g. &gt;20,000 ML/d), however, lotic conditions are returned to considerable reaches of the </w:t>
      </w:r>
      <w:r w:rsidR="009712C8">
        <w:t>LMR</w:t>
      </w:r>
      <w:r w:rsidR="008C0FDF" w:rsidDel="0015522E">
        <w:t xml:space="preserve"> (Bice </w:t>
      </w:r>
      <w:r w:rsidR="008C0FDF" w:rsidRPr="00BE1769" w:rsidDel="0015522E">
        <w:rPr>
          <w:i/>
          <w:iCs/>
        </w:rPr>
        <w:t>et al.</w:t>
      </w:r>
      <w:r w:rsidR="008C0FDF" w:rsidDel="0015522E">
        <w:t xml:space="preserve"> 2017)</w:t>
      </w:r>
      <w:r w:rsidDel="0015522E">
        <w:t xml:space="preserve">.  </w:t>
      </w:r>
    </w:p>
    <w:p w14:paraId="20FEAAAE" w14:textId="0FF9E01F" w:rsidR="007B56CE" w:rsidDel="0015522E" w:rsidRDefault="007B56CE" w:rsidP="007B56CE">
      <w:r w:rsidDel="0015522E">
        <w:t xml:space="preserve">Murray cod spawn annually over a well-defined period from October–December, irrespective of flow (Davis 1977; Rowland 1998), but recruitment in the </w:t>
      </w:r>
      <w:r w:rsidR="002F719E" w:rsidDel="0015522E">
        <w:t>LMR</w:t>
      </w:r>
      <w:r w:rsidDel="0015522E">
        <w:t xml:space="preserve"> main channel is positively associated with flow (Ye and Zampatti 2007; Zampatti </w:t>
      </w:r>
      <w:r w:rsidRPr="00BE1769" w:rsidDel="0015522E">
        <w:rPr>
          <w:i/>
          <w:iCs/>
        </w:rPr>
        <w:t>et al.</w:t>
      </w:r>
      <w:r w:rsidDel="0015522E">
        <w:t xml:space="preserve"> 2014). Indeed, from 2003–2010 during the Millennium Drought, </w:t>
      </w:r>
      <w:r w:rsidR="008C0FDF" w:rsidDel="0015522E">
        <w:t xml:space="preserve">discharge in </w:t>
      </w:r>
      <w:r w:rsidR="00C06352" w:rsidDel="0015522E">
        <w:t>the LMR</w:t>
      </w:r>
      <w:r w:rsidR="008C0FDF" w:rsidDel="0015522E">
        <w:t xml:space="preserve"> was predominantly &lt;10,000 ML/d, and </w:t>
      </w:r>
      <w:r w:rsidDel="0015522E">
        <w:t xml:space="preserve">Murray cod recruitment, measured as abundances of YOY in autumn, was limited in the predominantly lentic main channel. Subsequently, recruitment was observed in association with spawning that occurred in high flow years from 2010–2013 (Zampatti </w:t>
      </w:r>
      <w:r w:rsidRPr="00BE1769" w:rsidDel="0015522E">
        <w:rPr>
          <w:i/>
          <w:iCs/>
        </w:rPr>
        <w:t>et al.</w:t>
      </w:r>
      <w:r w:rsidDel="0015522E">
        <w:t xml:space="preserve"> 2014). In recent years (2015–20</w:t>
      </w:r>
      <w:r w:rsidR="00A445FA">
        <w:t>20</w:t>
      </w:r>
      <w:r w:rsidDel="0015522E">
        <w:t xml:space="preserve">), </w:t>
      </w:r>
      <w:r w:rsidR="008C0FDF" w:rsidDel="0015522E">
        <w:t xml:space="preserve">annual </w:t>
      </w:r>
      <w:r w:rsidDel="0015522E">
        <w:t xml:space="preserve">recruitment of Murray cod </w:t>
      </w:r>
      <w:r w:rsidR="004B3848" w:rsidDel="0015522E">
        <w:t xml:space="preserve">occurred </w:t>
      </w:r>
      <w:r w:rsidDel="0015522E">
        <w:t xml:space="preserve">in the </w:t>
      </w:r>
      <w:r w:rsidR="00C06352" w:rsidDel="0015522E">
        <w:t>LMR</w:t>
      </w:r>
      <w:r w:rsidR="008C0FDF" w:rsidDel="0015522E">
        <w:t xml:space="preserve"> main channel</w:t>
      </w:r>
      <w:r w:rsidDel="0015522E">
        <w:t xml:space="preserve">, </w:t>
      </w:r>
      <w:r w:rsidR="00F0775B">
        <w:t xml:space="preserve">in concert with </w:t>
      </w:r>
      <w:r w:rsidDel="0015522E">
        <w:t>in-channel flow pulse</w:t>
      </w:r>
      <w:r w:rsidR="00A445FA">
        <w:t>s</w:t>
      </w:r>
      <w:r w:rsidDel="0015522E">
        <w:t xml:space="preserve"> (15,000–18,000 ML/d) and a</w:t>
      </w:r>
      <w:r w:rsidR="008C0FDF" w:rsidDel="0015522E">
        <w:t>n</w:t>
      </w:r>
      <w:r w:rsidDel="0015522E">
        <w:t xml:space="preserve"> overbank flow (&gt;90,000 ML/d)</w:t>
      </w:r>
      <w:r>
        <w:t xml:space="preserve">, </w:t>
      </w:r>
      <w:r w:rsidDel="0015522E">
        <w:t xml:space="preserve">but also years of </w:t>
      </w:r>
      <w:r w:rsidR="00F0775B">
        <w:t>low</w:t>
      </w:r>
      <w:r w:rsidDel="0015522E">
        <w:t xml:space="preserve"> in-channel flows (</w:t>
      </w:r>
      <w:r w:rsidR="004071D3">
        <w:t>10,000–</w:t>
      </w:r>
      <w:r w:rsidDel="0015522E">
        <w:t>12,000 ML/d)</w:t>
      </w:r>
      <w:r w:rsidR="00A445FA" w:rsidRPr="00A445FA" w:rsidDel="0015522E">
        <w:t xml:space="preserve"> </w:t>
      </w:r>
      <w:r w:rsidR="00A445FA" w:rsidDel="0015522E">
        <w:t xml:space="preserve">(Ye </w:t>
      </w:r>
      <w:r w:rsidR="00A445FA" w:rsidRPr="00BE1769" w:rsidDel="0015522E">
        <w:rPr>
          <w:i/>
          <w:iCs/>
        </w:rPr>
        <w:t>et al.</w:t>
      </w:r>
      <w:r w:rsidR="00A445FA" w:rsidDel="0015522E">
        <w:t xml:space="preserve"> 2020</w:t>
      </w:r>
      <w:r w:rsidR="0036505B">
        <w:t>a</w:t>
      </w:r>
      <w:r w:rsidR="00A445FA">
        <w:t>; 2021</w:t>
      </w:r>
      <w:r w:rsidR="00A445FA" w:rsidDel="0015522E">
        <w:t>)</w:t>
      </w:r>
      <w:r w:rsidDel="0015522E">
        <w:t xml:space="preserve">. Furthermore, these </w:t>
      </w:r>
      <w:r w:rsidR="008C0FDF" w:rsidDel="0015522E">
        <w:t xml:space="preserve">recent </w:t>
      </w:r>
      <w:r w:rsidDel="0015522E">
        <w:t xml:space="preserve">cohorts have generally persisted in the population (Ye </w:t>
      </w:r>
      <w:r w:rsidRPr="00BE1769" w:rsidDel="0015522E">
        <w:rPr>
          <w:i/>
          <w:iCs/>
        </w:rPr>
        <w:t>et al.</w:t>
      </w:r>
      <w:r w:rsidDel="0015522E">
        <w:t xml:space="preserve"> 20</w:t>
      </w:r>
      <w:r w:rsidR="00A445FA">
        <w:t>20</w:t>
      </w:r>
      <w:r w:rsidR="0036505B">
        <w:t>a</w:t>
      </w:r>
      <w:r w:rsidR="00A445FA">
        <w:t>; 2021</w:t>
      </w:r>
      <w:r w:rsidDel="0015522E">
        <w:t>).</w:t>
      </w:r>
    </w:p>
    <w:p w14:paraId="64E6A0D0" w14:textId="6D4CE3C7" w:rsidR="007B56CE" w:rsidDel="0015522E" w:rsidRDefault="007B56CE" w:rsidP="007B56CE">
      <w:r w:rsidDel="0015522E">
        <w:t xml:space="preserve">The mechanisms that facilitate recruitment of Murray cod (to YOY) in the </w:t>
      </w:r>
      <w:r w:rsidR="009712C8">
        <w:t>LMR</w:t>
      </w:r>
      <w:r w:rsidDel="0015522E">
        <w:t xml:space="preserve"> likely relate to enhanced </w:t>
      </w:r>
      <w:r w:rsidR="008C0FDF" w:rsidDel="0015522E">
        <w:t xml:space="preserve">spawning habitat and </w:t>
      </w:r>
      <w:r w:rsidDel="0015522E">
        <w:t xml:space="preserve">survival of early life stages associated with </w:t>
      </w:r>
      <w:r w:rsidR="008C0FDF" w:rsidDel="0015522E">
        <w:t xml:space="preserve">improved </w:t>
      </w:r>
      <w:r w:rsidDel="0015522E">
        <w:t xml:space="preserve">riverine hydraulics and productivity. Survival is likely mediated by enhanced </w:t>
      </w:r>
      <w:r w:rsidR="008C0FDF" w:rsidDel="0015522E">
        <w:t xml:space="preserve">habitat availability, </w:t>
      </w:r>
      <w:r w:rsidR="009E441A">
        <w:t xml:space="preserve">fish </w:t>
      </w:r>
      <w:r w:rsidDel="0015522E">
        <w:t>growth rates and condition, and ultimately determine</w:t>
      </w:r>
      <w:r w:rsidR="008C0FDF" w:rsidDel="0015522E">
        <w:t>s</w:t>
      </w:r>
      <w:r w:rsidDel="0015522E">
        <w:t xml:space="preserve"> recruitment and population abundance. This indicator will explore these mechanisms, </w:t>
      </w:r>
      <w:r w:rsidR="008C0FDF" w:rsidDel="0015522E">
        <w:t>together with a related</w:t>
      </w:r>
      <w:r w:rsidDel="0015522E">
        <w:t xml:space="preserve"> research project</w:t>
      </w:r>
      <w:r w:rsidR="008C0FDF" w:rsidDel="0015522E">
        <w:t xml:space="preserve"> (see </w:t>
      </w:r>
      <w:r w:rsidR="00747D6C" w:rsidDel="0015522E">
        <w:t xml:space="preserve">SARDI </w:t>
      </w:r>
      <w:r w:rsidR="00747D6C" w:rsidRPr="00BE1769" w:rsidDel="0015522E">
        <w:rPr>
          <w:i/>
          <w:iCs/>
        </w:rPr>
        <w:t>et al.</w:t>
      </w:r>
      <w:r w:rsidR="00747D6C" w:rsidDel="0015522E">
        <w:t xml:space="preserve"> 201</w:t>
      </w:r>
      <w:r w:rsidR="00B534B7" w:rsidDel="0015522E">
        <w:t>9</w:t>
      </w:r>
      <w:r w:rsidR="008C0FDF" w:rsidDel="0015522E">
        <w:t>)</w:t>
      </w:r>
      <w:r w:rsidDel="0015522E">
        <w:t xml:space="preserve">, by assessing aspects of Murray cod recruitment (e.g. abundance, growth, condition) in association with flow. Understanding the magnitude of recruitment, and causal links between recruitment and flow, </w:t>
      </w:r>
      <w:r w:rsidR="00F21845" w:rsidDel="0015522E">
        <w:t>is</w:t>
      </w:r>
      <w:r w:rsidDel="0015522E">
        <w:t xml:space="preserve"> critical for informing future environmental flow management and will help evaluate ecological outcomes of Commonwealth environmental water.</w:t>
      </w:r>
    </w:p>
    <w:p w14:paraId="7EB42FF7" w14:textId="0E39D2D8" w:rsidR="007B56CE" w:rsidRPr="001A0E7A" w:rsidDel="0015522E" w:rsidRDefault="00F0775B" w:rsidP="007B56CE">
      <w:pPr>
        <w:rPr>
          <w:i/>
          <w:u w:val="single"/>
        </w:rPr>
      </w:pPr>
      <w:r>
        <w:rPr>
          <w:i/>
          <w:u w:val="single"/>
        </w:rPr>
        <w:t>H</w:t>
      </w:r>
      <w:r w:rsidR="007B56CE" w:rsidRPr="001A0E7A" w:rsidDel="0015522E">
        <w:rPr>
          <w:i/>
          <w:u w:val="single"/>
        </w:rPr>
        <w:t>ypotheses</w:t>
      </w:r>
    </w:p>
    <w:p w14:paraId="61A0FFDA" w14:textId="25957E95" w:rsidR="007B56CE" w:rsidDel="0015522E" w:rsidRDefault="007B56CE" w:rsidP="00E85C2D">
      <w:pPr>
        <w:pStyle w:val="ListParagraph"/>
        <w:numPr>
          <w:ilvl w:val="0"/>
          <w:numId w:val="10"/>
        </w:numPr>
        <w:spacing w:before="0" w:after="160" w:line="259" w:lineRule="auto"/>
      </w:pPr>
      <w:r w:rsidDel="0015522E">
        <w:t>Elevated spring–summer flow, either in-channel or overbank, and associated increase in lotic habitat, will enhance recruitment (to YOY) of Murray cod</w:t>
      </w:r>
      <w:r w:rsidR="008C0FDF" w:rsidDel="0015522E">
        <w:t>;</w:t>
      </w:r>
    </w:p>
    <w:p w14:paraId="78844866" w14:textId="1FA702E9" w:rsidR="007B56CE" w:rsidDel="0015522E" w:rsidRDefault="007B56CE" w:rsidP="00E85C2D">
      <w:pPr>
        <w:pStyle w:val="ListParagraph"/>
        <w:numPr>
          <w:ilvl w:val="0"/>
          <w:numId w:val="10"/>
        </w:numPr>
        <w:spacing w:before="0" w:after="160" w:line="259" w:lineRule="auto"/>
      </w:pPr>
      <w:r w:rsidDel="0015522E">
        <w:t>Elevated spring–summer flow, either in-channel or overbank, and associated increase in lotic habitat, will be associated with enhanced growth rates and morphometric condition of Murray cod</w:t>
      </w:r>
      <w:r w:rsidR="008C0FDF" w:rsidDel="0015522E">
        <w:t>; and</w:t>
      </w:r>
    </w:p>
    <w:p w14:paraId="05DA7B14" w14:textId="7B4D9919" w:rsidR="007B56CE" w:rsidRPr="00841506" w:rsidDel="0015522E" w:rsidRDefault="007B56CE" w:rsidP="00E85C2D">
      <w:pPr>
        <w:pStyle w:val="ListParagraph"/>
        <w:numPr>
          <w:ilvl w:val="0"/>
          <w:numId w:val="10"/>
        </w:numPr>
        <w:spacing w:before="0" w:after="160" w:line="259" w:lineRule="auto"/>
      </w:pPr>
      <w:r w:rsidDel="0015522E">
        <w:t xml:space="preserve">Multiple years of enhanced spring–summer flow will result in broad size/age distributions of Murray cod and increased population resilience in the </w:t>
      </w:r>
      <w:r w:rsidR="009712C8">
        <w:t>LMR</w:t>
      </w:r>
      <w:r w:rsidDel="0015522E">
        <w:t>.</w:t>
      </w:r>
    </w:p>
    <w:bookmarkEnd w:id="314"/>
    <w:p w14:paraId="29B051DC" w14:textId="77777777" w:rsidR="007B56CE" w:rsidRDefault="007B56CE" w:rsidP="00FB0CF5">
      <w:pPr>
        <w:pStyle w:val="Heading3"/>
      </w:pPr>
      <w:r>
        <w:t>Methods</w:t>
      </w:r>
    </w:p>
    <w:p w14:paraId="6C41231C" w14:textId="0FECF5ED" w:rsidR="007B56CE" w:rsidRDefault="007B56CE" w:rsidP="007B56CE">
      <w:r w:rsidRPr="007723B6">
        <w:t xml:space="preserve">To evaluate the contribution of </w:t>
      </w:r>
      <w:r>
        <w:t xml:space="preserve">flow, including </w:t>
      </w:r>
      <w:r w:rsidRPr="007723B6">
        <w:t>Commonwealth environmental water</w:t>
      </w:r>
      <w:r>
        <w:t>,</w:t>
      </w:r>
      <w:r w:rsidRPr="007723B6">
        <w:t xml:space="preserve"> to the </w:t>
      </w:r>
      <w:r w:rsidR="003073BC">
        <w:t>morphometric condition,</w:t>
      </w:r>
      <w:r w:rsidR="003073BC" w:rsidRPr="007723B6">
        <w:t xml:space="preserve"> </w:t>
      </w:r>
      <w:r>
        <w:t xml:space="preserve">growth </w:t>
      </w:r>
      <w:r w:rsidRPr="007723B6">
        <w:t xml:space="preserve">and recruitment of </w:t>
      </w:r>
      <w:r>
        <w:t>Murray cod</w:t>
      </w:r>
      <w:r w:rsidRPr="007723B6">
        <w:t xml:space="preserve"> in the LMR </w:t>
      </w:r>
      <w:r>
        <w:t>during 2020</w:t>
      </w:r>
      <w:r w:rsidR="00A445FA">
        <w:t>-21</w:t>
      </w:r>
      <w:r w:rsidRPr="007723B6">
        <w:t>, we</w:t>
      </w:r>
      <w:r>
        <w:t xml:space="preserve"> used: (1) length–weight </w:t>
      </w:r>
      <w:r w:rsidR="008C0FDF">
        <w:t xml:space="preserve">relationships </w:t>
      </w:r>
      <w:r>
        <w:t xml:space="preserve">and </w:t>
      </w:r>
      <w:r w:rsidR="008C0FDF">
        <w:t>associated</w:t>
      </w:r>
      <w:r>
        <w:t xml:space="preserve"> metrics to assess body condition; (2) otolith microstructure analysis (including daily otolith growth increments) to determine the time of spawning</w:t>
      </w:r>
      <w:r w:rsidR="008C0FDF">
        <w:t>,</w:t>
      </w:r>
      <w:r>
        <w:t xml:space="preserve"> </w:t>
      </w:r>
      <w:r w:rsidR="007C2D10">
        <w:t>along with</w:t>
      </w:r>
      <w:r>
        <w:t xml:space="preserve"> </w:t>
      </w:r>
      <w:r w:rsidR="008C0FDF">
        <w:t xml:space="preserve">seasonal and daily </w:t>
      </w:r>
      <w:r>
        <w:t xml:space="preserve">growth rates; and (3) electrofishing </w:t>
      </w:r>
      <w:r w:rsidRPr="006567A5">
        <w:t xml:space="preserve">to </w:t>
      </w:r>
      <w:r>
        <w:t xml:space="preserve">quantify the abundance of YOY to assess recruitment, and to </w:t>
      </w:r>
      <w:r w:rsidR="003073BC">
        <w:t>establish</w:t>
      </w:r>
      <w:r w:rsidRPr="006567A5">
        <w:t xml:space="preserve"> a </w:t>
      </w:r>
      <w:r>
        <w:t>length frequency</w:t>
      </w:r>
      <w:r w:rsidRPr="006567A5">
        <w:t xml:space="preserve"> </w:t>
      </w:r>
      <w:r>
        <w:t>distribution</w:t>
      </w:r>
      <w:r w:rsidRPr="006567A5">
        <w:t xml:space="preserve"> of the </w:t>
      </w:r>
      <w:r>
        <w:t>Murray cod population</w:t>
      </w:r>
      <w:r w:rsidRPr="006567A5">
        <w:t xml:space="preserve"> in the LMR to determine population structure</w:t>
      </w:r>
      <w:r>
        <w:t>.</w:t>
      </w:r>
      <w:r w:rsidR="005F4738">
        <w:t xml:space="preserve"> </w:t>
      </w:r>
      <w:r w:rsidR="006224A5">
        <w:t>Reference</w:t>
      </w:r>
      <w:r w:rsidR="005F4738">
        <w:t xml:space="preserve"> data </w:t>
      </w:r>
      <w:r w:rsidR="0096268C">
        <w:t xml:space="preserve">collected in numerous past monitoring projects and </w:t>
      </w:r>
      <w:r w:rsidR="00771050">
        <w:t>presented in</w:t>
      </w:r>
      <w:r w:rsidR="009E4047">
        <w:t xml:space="preserve"> Ye </w:t>
      </w:r>
      <w:r w:rsidR="009E4047" w:rsidRPr="009E4047">
        <w:rPr>
          <w:i/>
          <w:iCs/>
        </w:rPr>
        <w:t>et al.</w:t>
      </w:r>
      <w:r w:rsidR="009E4047">
        <w:t xml:space="preserve"> (2021) were </w:t>
      </w:r>
      <w:r w:rsidR="005F4738">
        <w:t>used and presented in this</w:t>
      </w:r>
      <w:r w:rsidR="00293A3A">
        <w:t xml:space="preserve"> indicator</w:t>
      </w:r>
      <w:r w:rsidR="005F4738">
        <w:t xml:space="preserve"> section</w:t>
      </w:r>
      <w:r w:rsidR="009037C5">
        <w:t xml:space="preserve">. </w:t>
      </w:r>
    </w:p>
    <w:p w14:paraId="19ECE03C" w14:textId="77777777" w:rsidR="007B56CE" w:rsidRDefault="007B56CE" w:rsidP="00FB0CF5">
      <w:pPr>
        <w:pStyle w:val="Heading4"/>
      </w:pPr>
      <w:r>
        <w:t>Sampling</w:t>
      </w:r>
    </w:p>
    <w:p w14:paraId="2F632967" w14:textId="1ABCF96F" w:rsidR="007B56CE" w:rsidRDefault="00096208" w:rsidP="007B56CE">
      <w:r>
        <w:t>Murray cod</w:t>
      </w:r>
      <w:r w:rsidRPr="00333324">
        <w:t xml:space="preserve"> </w:t>
      </w:r>
      <w:r>
        <w:t xml:space="preserve">were collected from </w:t>
      </w:r>
      <w:r w:rsidR="008C0FDF">
        <w:t>the main channel of the L</w:t>
      </w:r>
      <w:r w:rsidR="009712C8">
        <w:t>MR</w:t>
      </w:r>
      <w:r w:rsidR="007B56CE" w:rsidRPr="00333324">
        <w:t xml:space="preserve"> at several stages during early ontogeny, from larvae through to YOY (&gt;120 d of age)</w:t>
      </w:r>
      <w:r w:rsidR="007B56CE">
        <w:t xml:space="preserve"> (</w:t>
      </w:r>
      <w:r w:rsidR="00862675">
        <w:fldChar w:fldCharType="begin"/>
      </w:r>
      <w:r w:rsidR="00862675">
        <w:instrText xml:space="preserve"> REF _Ref57899670 \h </w:instrText>
      </w:r>
      <w:r w:rsidR="00862675">
        <w:fldChar w:fldCharType="separate"/>
      </w:r>
      <w:r w:rsidR="003C13F6">
        <w:t xml:space="preserve">Table </w:t>
      </w:r>
      <w:r w:rsidR="003C13F6">
        <w:rPr>
          <w:noProof/>
        </w:rPr>
        <w:t>21</w:t>
      </w:r>
      <w:r w:rsidR="00862675">
        <w:fldChar w:fldCharType="end"/>
      </w:r>
      <w:r w:rsidR="007B56CE">
        <w:t>). Sampling for larvae (&lt;30 mm</w:t>
      </w:r>
      <w:r w:rsidR="0096268C">
        <w:t xml:space="preserve"> TL</w:t>
      </w:r>
      <w:r w:rsidR="007B56CE">
        <w:t xml:space="preserve">) in </w:t>
      </w:r>
      <w:r>
        <w:t>November 202</w:t>
      </w:r>
      <w:r w:rsidR="006B550C">
        <w:t>1</w:t>
      </w:r>
      <w:r>
        <w:t xml:space="preserve"> comprised</w:t>
      </w:r>
      <w:r w:rsidR="007B56CE">
        <w:t xml:space="preserve"> a combination of passive (light traps) and active (bongo net tows) methods. </w:t>
      </w:r>
      <w:r w:rsidR="006313C4">
        <w:t>S</w:t>
      </w:r>
      <w:r w:rsidR="007B56CE">
        <w:t xml:space="preserve">ampling </w:t>
      </w:r>
      <w:r w:rsidR="006313C4">
        <w:t xml:space="preserve">effort varied </w:t>
      </w:r>
      <w:r w:rsidR="007B56CE">
        <w:t xml:space="preserve">across sites, but included setting 20–30 </w:t>
      </w:r>
      <w:r w:rsidR="008C0FDF">
        <w:t xml:space="preserve">quatrefoil </w:t>
      </w:r>
      <w:r w:rsidR="007B56CE">
        <w:t xml:space="preserve">light traps </w:t>
      </w:r>
      <w:r w:rsidR="008C0FDF">
        <w:t xml:space="preserve">(225 x 225 x 255 mm, 5 mm mesh) </w:t>
      </w:r>
      <w:r w:rsidR="007B56CE">
        <w:t xml:space="preserve">and 2–4 drift nets </w:t>
      </w:r>
      <w:r w:rsidR="008C0FDF">
        <w:t>(1.5</w:t>
      </w:r>
      <w:r w:rsidR="00E23E58">
        <w:t> </w:t>
      </w:r>
      <w:r w:rsidR="008C0FDF">
        <w:t>m long x 0.5</w:t>
      </w:r>
      <w:r w:rsidR="0093676E">
        <w:t> </w:t>
      </w:r>
      <w:r w:rsidR="008C0FDF">
        <w:t xml:space="preserve">m diameter, 500 µm mesh) </w:t>
      </w:r>
      <w:r w:rsidR="007B56CE">
        <w:t>over</w:t>
      </w:r>
      <w:r w:rsidR="00F40D02">
        <w:t>night for</w:t>
      </w:r>
      <w:r w:rsidR="007B56CE">
        <w:t xml:space="preserve"> 2–3</w:t>
      </w:r>
      <w:r w:rsidR="006B550C">
        <w:t> </w:t>
      </w:r>
      <w:r w:rsidR="007B56CE">
        <w:t xml:space="preserve">nights (set time of </w:t>
      </w:r>
      <w:r w:rsidR="00800A52">
        <w:t>14</w:t>
      </w:r>
      <w:r w:rsidR="007B56CE">
        <w:t>–</w:t>
      </w:r>
      <w:r w:rsidR="00800A52">
        <w:t>18</w:t>
      </w:r>
      <w:r w:rsidR="007B56CE">
        <w:t xml:space="preserve"> hours). Larval tows were performed opportunistically </w:t>
      </w:r>
      <w:r>
        <w:t xml:space="preserve">with </w:t>
      </w:r>
      <w:r w:rsidR="007B56CE">
        <w:t>a paired bongo net</w:t>
      </w:r>
      <w:r w:rsidR="0093676E">
        <w:t xml:space="preserve"> (</w:t>
      </w:r>
      <w:r w:rsidR="0093676E" w:rsidRPr="0093676E">
        <w:t xml:space="preserve">0.5 x 0.5 </w:t>
      </w:r>
      <w:r w:rsidR="0093676E">
        <w:t xml:space="preserve">m x 3 m long, </w:t>
      </w:r>
      <w:r w:rsidR="0093676E" w:rsidRPr="0093676E">
        <w:t>500 µm mesh</w:t>
      </w:r>
      <w:r w:rsidR="0093676E">
        <w:t>)</w:t>
      </w:r>
      <w:r w:rsidR="007B56CE">
        <w:t xml:space="preserve"> (Ye </w:t>
      </w:r>
      <w:r w:rsidR="007B56CE" w:rsidRPr="00BE1769">
        <w:rPr>
          <w:i/>
          <w:iCs/>
        </w:rPr>
        <w:t>et al.</w:t>
      </w:r>
      <w:r w:rsidR="007B56CE">
        <w:t xml:space="preserve"> 2018). Larvae</w:t>
      </w:r>
      <w:r w:rsidR="007B56CE" w:rsidRPr="001226B6">
        <w:t xml:space="preserve"> were preserved (70</w:t>
      </w:r>
      <w:r w:rsidR="007B56CE">
        <w:t>–</w:t>
      </w:r>
      <w:r w:rsidR="007B56CE" w:rsidRPr="001226B6">
        <w:t>95% ethanol) in the field and returned to the laboratory for processing.</w:t>
      </w:r>
    </w:p>
    <w:p w14:paraId="4108D103" w14:textId="0D94E65C" w:rsidR="00800A52" w:rsidRDefault="007B56CE" w:rsidP="007B56CE">
      <w:pPr>
        <w:rPr>
          <w:b/>
          <w:sz w:val="20"/>
        </w:rPr>
      </w:pPr>
      <w:r>
        <w:t xml:space="preserve">Electrofishing was used </w:t>
      </w:r>
      <w:r w:rsidR="00314E4F">
        <w:t xml:space="preserve">specifically </w:t>
      </w:r>
      <w:r>
        <w:t xml:space="preserve">to </w:t>
      </w:r>
      <w:r w:rsidR="00314E4F">
        <w:t>collect</w:t>
      </w:r>
      <w:r>
        <w:t xml:space="preserve"> juveniles (~30–1</w:t>
      </w:r>
      <w:r w:rsidR="009D7C83">
        <w:t>6</w:t>
      </w:r>
      <w:r>
        <w:t>0 mm) and sample the broader population (</w:t>
      </w:r>
      <w:r w:rsidR="00862675">
        <w:fldChar w:fldCharType="begin"/>
      </w:r>
      <w:r w:rsidR="00862675">
        <w:instrText xml:space="preserve"> REF _Ref57899670 \h </w:instrText>
      </w:r>
      <w:r w:rsidR="00862675">
        <w:fldChar w:fldCharType="separate"/>
      </w:r>
      <w:r w:rsidR="003C13F6">
        <w:t xml:space="preserve">Table </w:t>
      </w:r>
      <w:r w:rsidR="003C13F6">
        <w:rPr>
          <w:noProof/>
        </w:rPr>
        <w:t>21</w:t>
      </w:r>
      <w:r w:rsidR="00862675">
        <w:fldChar w:fldCharType="end"/>
      </w:r>
      <w:r>
        <w:t xml:space="preserve">). </w:t>
      </w:r>
      <w:r w:rsidR="00314E4F">
        <w:t>All s</w:t>
      </w:r>
      <w:r>
        <w:t>ampl</w:t>
      </w:r>
      <w:r w:rsidR="00314E4F">
        <w:t>ing</w:t>
      </w:r>
      <w:r>
        <w:t xml:space="preserve"> was performed using a 7.5 kW Smith Root (Model GPP 7.5) boat electrofishing unit during daylight hours. Sampling in January and February 202</w:t>
      </w:r>
      <w:r w:rsidR="006B550C">
        <w:t>1</w:t>
      </w:r>
      <w:r>
        <w:t xml:space="preserve"> was targeted towards preferred habitat of early juveniles (e.g. root complexes of snags and rock crevices). </w:t>
      </w:r>
      <w:r w:rsidR="002701AC">
        <w:t>Two complementary types of s</w:t>
      </w:r>
      <w:r w:rsidRPr="00B40CB1">
        <w:t xml:space="preserve">ampling </w:t>
      </w:r>
      <w:r w:rsidR="002701AC">
        <w:t xml:space="preserve">were used </w:t>
      </w:r>
      <w:r w:rsidRPr="00B40CB1">
        <w:t>to assess YOY abundance and population structure</w:t>
      </w:r>
      <w:r w:rsidR="00202B13">
        <w:t>:</w:t>
      </w:r>
      <w:r>
        <w:t xml:space="preserve"> </w:t>
      </w:r>
      <w:r w:rsidR="00202B13">
        <w:t xml:space="preserve">1) </w:t>
      </w:r>
      <w:r>
        <w:t xml:space="preserve">autumn </w:t>
      </w:r>
      <w:r w:rsidR="00096208">
        <w:t>(March/April)</w:t>
      </w:r>
      <w:r w:rsidR="00096208" w:rsidRPr="00B40CB1">
        <w:t xml:space="preserve"> </w:t>
      </w:r>
      <w:r w:rsidRPr="00B40CB1">
        <w:t xml:space="preserve">non-targeted Fish (Channel) electrofishing (see Section </w:t>
      </w:r>
      <w:r w:rsidR="00800A52">
        <w:rPr>
          <w:highlight w:val="yellow"/>
        </w:rPr>
        <w:fldChar w:fldCharType="begin"/>
      </w:r>
      <w:r w:rsidR="00800A52">
        <w:instrText xml:space="preserve"> REF _Ref56693925 \r \h </w:instrText>
      </w:r>
      <w:r w:rsidR="00800A52">
        <w:rPr>
          <w:highlight w:val="yellow"/>
        </w:rPr>
      </w:r>
      <w:r w:rsidR="00800A52">
        <w:rPr>
          <w:highlight w:val="yellow"/>
        </w:rPr>
        <w:fldChar w:fldCharType="separate"/>
      </w:r>
      <w:r w:rsidR="003C13F6">
        <w:t>2.8</w:t>
      </w:r>
      <w:r w:rsidR="00800A52">
        <w:rPr>
          <w:highlight w:val="yellow"/>
        </w:rPr>
        <w:fldChar w:fldCharType="end"/>
      </w:r>
      <w:r>
        <w:t xml:space="preserve"> </w:t>
      </w:r>
      <w:r w:rsidRPr="00C15D80">
        <w:t>Fish Assemblage</w:t>
      </w:r>
      <w:r>
        <w:t xml:space="preserve">) and </w:t>
      </w:r>
      <w:r w:rsidR="00202B13">
        <w:t xml:space="preserve">2) autumn (May) </w:t>
      </w:r>
      <w:r>
        <w:t xml:space="preserve">habitat-specific (targeted) electrofishing. Electrofishing during May was targeted a </w:t>
      </w:r>
      <w:r w:rsidRPr="00681EC7">
        <w:t xml:space="preserve">wider range of Murray cod habitats, </w:t>
      </w:r>
      <w:r w:rsidR="00096208" w:rsidRPr="00681EC7">
        <w:t xml:space="preserve">including snags </w:t>
      </w:r>
      <w:r w:rsidRPr="00681EC7">
        <w:t>in flowing</w:t>
      </w:r>
      <w:r w:rsidR="004B4BAB">
        <w:t xml:space="preserve"> habitat extending beyond the river bank</w:t>
      </w:r>
      <w:r w:rsidRPr="00681EC7">
        <w:t xml:space="preserve"> (preferred by sub-adults and adults). At each site, </w:t>
      </w:r>
      <w:r w:rsidR="002701AC">
        <w:t xml:space="preserve">electrofishing </w:t>
      </w:r>
      <w:r w:rsidR="004B4BAB">
        <w:t>‘</w:t>
      </w:r>
      <w:r w:rsidR="002701AC">
        <w:t>on-time</w:t>
      </w:r>
      <w:r w:rsidR="004B4BAB">
        <w:t>’ effort</w:t>
      </w:r>
      <w:r w:rsidR="002701AC">
        <w:t xml:space="preserve"> </w:t>
      </w:r>
      <w:r w:rsidRPr="00681EC7">
        <w:t xml:space="preserve">was variable, and depended on the available habitat. All individuals were measured for TL </w:t>
      </w:r>
      <w:r w:rsidR="002701AC">
        <w:t>(</w:t>
      </w:r>
      <w:r w:rsidRPr="00681EC7">
        <w:t>nearest mm) and weight (to 0.5</w:t>
      </w:r>
      <w:r w:rsidR="00886DD7">
        <w:t> </w:t>
      </w:r>
      <w:r w:rsidRPr="00681EC7">
        <w:t>kg), and a sub</w:t>
      </w:r>
      <w:r w:rsidR="00E330A8">
        <w:t>-</w:t>
      </w:r>
      <w:r w:rsidRPr="00681EC7">
        <w:t>sample of juvenile (&lt;160</w:t>
      </w:r>
      <w:r w:rsidR="006B550C">
        <w:t> </w:t>
      </w:r>
      <w:r w:rsidRPr="00681EC7">
        <w:t xml:space="preserve">mm) fish were retained for </w:t>
      </w:r>
      <w:r w:rsidR="00202B13">
        <w:t>morphometric</w:t>
      </w:r>
      <w:r w:rsidR="00202B13" w:rsidRPr="00681EC7">
        <w:t xml:space="preserve"> </w:t>
      </w:r>
      <w:r w:rsidRPr="00681EC7">
        <w:t xml:space="preserve">and </w:t>
      </w:r>
      <w:r w:rsidR="00202B13">
        <w:t>otolith</w:t>
      </w:r>
      <w:r w:rsidRPr="00681EC7">
        <w:t xml:space="preserve"> analyses</w:t>
      </w:r>
      <w:r w:rsidR="00CB1773">
        <w:t>.</w:t>
      </w:r>
      <w:r w:rsidRPr="00681EC7">
        <w:t xml:space="preserve"> </w:t>
      </w:r>
    </w:p>
    <w:p w14:paraId="699A503A" w14:textId="77777777" w:rsidR="00800A52" w:rsidRDefault="00800A52">
      <w:pPr>
        <w:spacing w:before="0" w:after="160" w:line="259" w:lineRule="auto"/>
        <w:jc w:val="left"/>
        <w:rPr>
          <w:b/>
          <w:sz w:val="20"/>
        </w:rPr>
      </w:pPr>
      <w:r>
        <w:rPr>
          <w:b/>
          <w:sz w:val="20"/>
        </w:rPr>
        <w:br w:type="page"/>
      </w:r>
    </w:p>
    <w:p w14:paraId="2428FBA1" w14:textId="7BCEF110" w:rsidR="007B56CE" w:rsidRPr="000702B8" w:rsidRDefault="00862675" w:rsidP="004C3BA1">
      <w:pPr>
        <w:pStyle w:val="Captions"/>
      </w:pPr>
      <w:bookmarkStart w:id="315" w:name="_Ref57899670"/>
      <w:bookmarkStart w:id="316" w:name="_Toc101963879"/>
      <w:r>
        <w:t xml:space="preserve">Table </w:t>
      </w:r>
      <w:r>
        <w:fldChar w:fldCharType="begin"/>
      </w:r>
      <w:r>
        <w:instrText xml:space="preserve"> SEQ Table \* ARABIC </w:instrText>
      </w:r>
      <w:r>
        <w:fldChar w:fldCharType="separate"/>
      </w:r>
      <w:r w:rsidR="003C13F6">
        <w:rPr>
          <w:noProof/>
        </w:rPr>
        <w:t>21</w:t>
      </w:r>
      <w:r>
        <w:fldChar w:fldCharType="end"/>
      </w:r>
      <w:bookmarkEnd w:id="315"/>
      <w:r w:rsidR="007B56CE" w:rsidRPr="000702B8">
        <w:t xml:space="preserve">. </w:t>
      </w:r>
      <w:r w:rsidR="007B56CE">
        <w:t xml:space="preserve">Sampling trips targeting Murray cod in the </w:t>
      </w:r>
      <w:r w:rsidR="008F38A9">
        <w:t xml:space="preserve">main channel of the </w:t>
      </w:r>
      <w:r w:rsidR="00274EE5">
        <w:t>LMR</w:t>
      </w:r>
      <w:r w:rsidR="007B56CE">
        <w:t xml:space="preserve"> during 2020</w:t>
      </w:r>
      <w:r w:rsidR="00EB4894">
        <w:t>-21</w:t>
      </w:r>
      <w:r w:rsidR="007B56CE">
        <w:t>.</w:t>
      </w:r>
      <w:bookmarkEnd w:id="316"/>
    </w:p>
    <w:tbl>
      <w:tblPr>
        <w:tblW w:w="0" w:type="auto"/>
        <w:jc w:val="center"/>
        <w:tblLook w:val="04A0" w:firstRow="1" w:lastRow="0" w:firstColumn="1" w:lastColumn="0" w:noHBand="0" w:noVBand="1"/>
      </w:tblPr>
      <w:tblGrid>
        <w:gridCol w:w="1984"/>
        <w:gridCol w:w="3119"/>
        <w:gridCol w:w="3072"/>
      </w:tblGrid>
      <w:tr w:rsidR="007B5CF9" w:rsidRPr="004509F2" w14:paraId="121CB364" w14:textId="77777777" w:rsidTr="00FB0CF5">
        <w:trPr>
          <w:trHeight w:val="340"/>
          <w:jc w:val="center"/>
        </w:trPr>
        <w:tc>
          <w:tcPr>
            <w:tcW w:w="1984" w:type="dxa"/>
            <w:tcBorders>
              <w:top w:val="single" w:sz="4" w:space="0" w:color="auto"/>
              <w:bottom w:val="single" w:sz="4" w:space="0" w:color="auto"/>
            </w:tcBorders>
            <w:vAlign w:val="bottom"/>
          </w:tcPr>
          <w:p w14:paraId="5E3777A9" w14:textId="77777777" w:rsidR="007B5CF9" w:rsidRPr="009A132E" w:rsidRDefault="007B5CF9" w:rsidP="00FB0CF5">
            <w:pPr>
              <w:contextualSpacing/>
              <w:jc w:val="left"/>
              <w:rPr>
                <w:b/>
                <w:sz w:val="19"/>
                <w:szCs w:val="19"/>
              </w:rPr>
            </w:pPr>
            <w:r w:rsidRPr="009A132E">
              <w:rPr>
                <w:b/>
                <w:sz w:val="19"/>
                <w:szCs w:val="19"/>
              </w:rPr>
              <w:t>Date range</w:t>
            </w:r>
          </w:p>
        </w:tc>
        <w:tc>
          <w:tcPr>
            <w:tcW w:w="3119" w:type="dxa"/>
            <w:tcBorders>
              <w:top w:val="single" w:sz="4" w:space="0" w:color="auto"/>
              <w:bottom w:val="single" w:sz="4" w:space="0" w:color="auto"/>
            </w:tcBorders>
            <w:vAlign w:val="bottom"/>
          </w:tcPr>
          <w:p w14:paraId="10F682B0" w14:textId="77777777" w:rsidR="007B5CF9" w:rsidRPr="009A132E" w:rsidRDefault="007B5CF9" w:rsidP="00FB0CF5">
            <w:pPr>
              <w:contextualSpacing/>
              <w:jc w:val="left"/>
              <w:rPr>
                <w:b/>
                <w:sz w:val="19"/>
                <w:szCs w:val="19"/>
              </w:rPr>
            </w:pPr>
            <w:r>
              <w:rPr>
                <w:b/>
                <w:sz w:val="19"/>
                <w:szCs w:val="19"/>
              </w:rPr>
              <w:t>Methods</w:t>
            </w:r>
          </w:p>
        </w:tc>
        <w:tc>
          <w:tcPr>
            <w:tcW w:w="3072" w:type="dxa"/>
            <w:tcBorders>
              <w:top w:val="single" w:sz="4" w:space="0" w:color="auto"/>
              <w:bottom w:val="single" w:sz="4" w:space="0" w:color="auto"/>
            </w:tcBorders>
            <w:vAlign w:val="bottom"/>
          </w:tcPr>
          <w:p w14:paraId="5C0049D1" w14:textId="77777777" w:rsidR="007B5CF9" w:rsidRDefault="007B5CF9" w:rsidP="00FB0CF5">
            <w:pPr>
              <w:contextualSpacing/>
              <w:jc w:val="left"/>
              <w:rPr>
                <w:b/>
                <w:sz w:val="19"/>
                <w:szCs w:val="19"/>
              </w:rPr>
            </w:pPr>
            <w:r>
              <w:rPr>
                <w:b/>
                <w:sz w:val="19"/>
                <w:szCs w:val="19"/>
              </w:rPr>
              <w:t>Indicator</w:t>
            </w:r>
          </w:p>
        </w:tc>
      </w:tr>
      <w:tr w:rsidR="007B5CF9" w:rsidRPr="004509F2" w14:paraId="02EEB056" w14:textId="77777777" w:rsidTr="00FB0CF5">
        <w:trPr>
          <w:trHeight w:val="340"/>
          <w:jc w:val="center"/>
        </w:trPr>
        <w:tc>
          <w:tcPr>
            <w:tcW w:w="1984" w:type="dxa"/>
            <w:tcBorders>
              <w:top w:val="single" w:sz="4" w:space="0" w:color="auto"/>
            </w:tcBorders>
          </w:tcPr>
          <w:p w14:paraId="06B884F1" w14:textId="286E83A6" w:rsidR="007B5CF9" w:rsidRPr="004509F2" w:rsidRDefault="00337481" w:rsidP="00FB0CF5">
            <w:pPr>
              <w:contextualSpacing/>
              <w:rPr>
                <w:sz w:val="19"/>
                <w:szCs w:val="19"/>
              </w:rPr>
            </w:pPr>
            <w:r>
              <w:rPr>
                <w:sz w:val="19"/>
                <w:szCs w:val="19"/>
              </w:rPr>
              <w:t>8</w:t>
            </w:r>
            <w:r w:rsidR="007B5CF9">
              <w:rPr>
                <w:sz w:val="19"/>
                <w:szCs w:val="19"/>
              </w:rPr>
              <w:t>–1</w:t>
            </w:r>
            <w:r>
              <w:rPr>
                <w:sz w:val="19"/>
                <w:szCs w:val="19"/>
              </w:rPr>
              <w:t>1</w:t>
            </w:r>
            <w:r w:rsidR="007B5CF9">
              <w:rPr>
                <w:sz w:val="19"/>
                <w:szCs w:val="19"/>
              </w:rPr>
              <w:t>/11/</w:t>
            </w:r>
            <w:r w:rsidR="00597EDA">
              <w:rPr>
                <w:sz w:val="19"/>
                <w:szCs w:val="19"/>
              </w:rPr>
              <w:t>20</w:t>
            </w:r>
            <w:r w:rsidR="00507F49">
              <w:rPr>
                <w:sz w:val="19"/>
                <w:szCs w:val="19"/>
              </w:rPr>
              <w:t>20</w:t>
            </w:r>
          </w:p>
        </w:tc>
        <w:tc>
          <w:tcPr>
            <w:tcW w:w="3119" w:type="dxa"/>
            <w:tcBorders>
              <w:top w:val="single" w:sz="4" w:space="0" w:color="auto"/>
            </w:tcBorders>
          </w:tcPr>
          <w:p w14:paraId="6FD0C686" w14:textId="4B34B8EA" w:rsidR="007B5CF9" w:rsidRPr="004509F2" w:rsidRDefault="007B5CF9" w:rsidP="00FB0CF5">
            <w:pPr>
              <w:contextualSpacing/>
              <w:rPr>
                <w:sz w:val="19"/>
                <w:szCs w:val="19"/>
              </w:rPr>
            </w:pPr>
            <w:r>
              <w:rPr>
                <w:sz w:val="19"/>
                <w:szCs w:val="19"/>
              </w:rPr>
              <w:t>Light traps, larval tows</w:t>
            </w:r>
          </w:p>
        </w:tc>
        <w:tc>
          <w:tcPr>
            <w:tcW w:w="3072" w:type="dxa"/>
            <w:tcBorders>
              <w:top w:val="single" w:sz="4" w:space="0" w:color="auto"/>
            </w:tcBorders>
          </w:tcPr>
          <w:p w14:paraId="375CECA1" w14:textId="77777777" w:rsidR="007B5CF9" w:rsidRDefault="007B5CF9" w:rsidP="00FB0CF5">
            <w:pPr>
              <w:contextualSpacing/>
              <w:rPr>
                <w:sz w:val="19"/>
                <w:szCs w:val="19"/>
              </w:rPr>
            </w:pPr>
            <w:r>
              <w:rPr>
                <w:sz w:val="19"/>
                <w:szCs w:val="19"/>
              </w:rPr>
              <w:t>Growth, condition</w:t>
            </w:r>
          </w:p>
        </w:tc>
      </w:tr>
      <w:tr w:rsidR="007B5CF9" w:rsidRPr="004509F2" w14:paraId="41D484B0" w14:textId="77777777" w:rsidTr="00FB0CF5">
        <w:trPr>
          <w:trHeight w:val="340"/>
          <w:jc w:val="center"/>
        </w:trPr>
        <w:tc>
          <w:tcPr>
            <w:tcW w:w="1984" w:type="dxa"/>
          </w:tcPr>
          <w:p w14:paraId="1688A194" w14:textId="21832546" w:rsidR="007B5CF9" w:rsidRPr="004509F2" w:rsidRDefault="00A10FA0" w:rsidP="00FB0CF5">
            <w:pPr>
              <w:contextualSpacing/>
              <w:rPr>
                <w:sz w:val="19"/>
                <w:szCs w:val="19"/>
              </w:rPr>
            </w:pPr>
            <w:r>
              <w:rPr>
                <w:sz w:val="19"/>
                <w:szCs w:val="19"/>
              </w:rPr>
              <w:t>5</w:t>
            </w:r>
            <w:r w:rsidR="007B5CF9" w:rsidRPr="004509F2">
              <w:rPr>
                <w:sz w:val="19"/>
                <w:szCs w:val="19"/>
              </w:rPr>
              <w:t>–</w:t>
            </w:r>
            <w:r>
              <w:rPr>
                <w:sz w:val="19"/>
                <w:szCs w:val="19"/>
              </w:rPr>
              <w:t>8</w:t>
            </w:r>
            <w:r w:rsidR="007B5CF9" w:rsidRPr="004509F2">
              <w:rPr>
                <w:sz w:val="19"/>
                <w:szCs w:val="19"/>
              </w:rPr>
              <w:t>/1/</w:t>
            </w:r>
            <w:r w:rsidR="00597EDA">
              <w:rPr>
                <w:sz w:val="19"/>
                <w:szCs w:val="19"/>
              </w:rPr>
              <w:t>20</w:t>
            </w:r>
            <w:r w:rsidR="007B5CF9">
              <w:rPr>
                <w:sz w:val="19"/>
                <w:szCs w:val="19"/>
              </w:rPr>
              <w:t>2</w:t>
            </w:r>
            <w:r w:rsidR="00507F49">
              <w:rPr>
                <w:sz w:val="19"/>
                <w:szCs w:val="19"/>
              </w:rPr>
              <w:t>1</w:t>
            </w:r>
          </w:p>
        </w:tc>
        <w:tc>
          <w:tcPr>
            <w:tcW w:w="3119" w:type="dxa"/>
          </w:tcPr>
          <w:p w14:paraId="12AB7207" w14:textId="2835C49A" w:rsidR="007B5CF9" w:rsidRPr="004509F2" w:rsidRDefault="007B5CF9" w:rsidP="00FB0CF5">
            <w:pPr>
              <w:contextualSpacing/>
              <w:rPr>
                <w:sz w:val="19"/>
                <w:szCs w:val="19"/>
              </w:rPr>
            </w:pPr>
            <w:r>
              <w:rPr>
                <w:sz w:val="19"/>
                <w:szCs w:val="19"/>
              </w:rPr>
              <w:t>Light traps, electrofishing</w:t>
            </w:r>
          </w:p>
        </w:tc>
        <w:tc>
          <w:tcPr>
            <w:tcW w:w="3072" w:type="dxa"/>
          </w:tcPr>
          <w:p w14:paraId="5642200D" w14:textId="77777777" w:rsidR="007B5CF9" w:rsidRPr="004509F2" w:rsidRDefault="007B5CF9" w:rsidP="00FB0CF5">
            <w:pPr>
              <w:contextualSpacing/>
              <w:rPr>
                <w:sz w:val="19"/>
                <w:szCs w:val="19"/>
              </w:rPr>
            </w:pPr>
            <w:r>
              <w:rPr>
                <w:sz w:val="19"/>
                <w:szCs w:val="19"/>
              </w:rPr>
              <w:t>Growth, condition</w:t>
            </w:r>
          </w:p>
        </w:tc>
      </w:tr>
      <w:tr w:rsidR="007B5CF9" w:rsidRPr="004509F2" w14:paraId="393E5E44" w14:textId="77777777" w:rsidTr="00FB0CF5">
        <w:trPr>
          <w:trHeight w:val="340"/>
          <w:jc w:val="center"/>
        </w:trPr>
        <w:tc>
          <w:tcPr>
            <w:tcW w:w="1984" w:type="dxa"/>
          </w:tcPr>
          <w:p w14:paraId="5DC54ABA" w14:textId="2429EEBE" w:rsidR="007B5CF9" w:rsidRPr="004509F2" w:rsidRDefault="007B5CF9" w:rsidP="00FB0CF5">
            <w:pPr>
              <w:contextualSpacing/>
              <w:rPr>
                <w:sz w:val="19"/>
                <w:szCs w:val="19"/>
              </w:rPr>
            </w:pPr>
            <w:r>
              <w:rPr>
                <w:sz w:val="19"/>
                <w:szCs w:val="19"/>
              </w:rPr>
              <w:t>2</w:t>
            </w:r>
            <w:r w:rsidR="00337481">
              <w:rPr>
                <w:sz w:val="19"/>
                <w:szCs w:val="19"/>
              </w:rPr>
              <w:t>2</w:t>
            </w:r>
            <w:r w:rsidRPr="004509F2">
              <w:rPr>
                <w:sz w:val="19"/>
                <w:szCs w:val="19"/>
              </w:rPr>
              <w:t>–</w:t>
            </w:r>
            <w:r>
              <w:rPr>
                <w:sz w:val="19"/>
                <w:szCs w:val="19"/>
              </w:rPr>
              <w:t>2</w:t>
            </w:r>
            <w:r w:rsidR="00337481">
              <w:rPr>
                <w:sz w:val="19"/>
                <w:szCs w:val="19"/>
              </w:rPr>
              <w:t>6</w:t>
            </w:r>
            <w:r>
              <w:rPr>
                <w:sz w:val="19"/>
                <w:szCs w:val="19"/>
              </w:rPr>
              <w:t>/2/</w:t>
            </w:r>
            <w:r w:rsidR="00597EDA">
              <w:rPr>
                <w:sz w:val="19"/>
                <w:szCs w:val="19"/>
              </w:rPr>
              <w:t>20</w:t>
            </w:r>
            <w:r>
              <w:rPr>
                <w:sz w:val="19"/>
                <w:szCs w:val="19"/>
              </w:rPr>
              <w:t>2</w:t>
            </w:r>
            <w:r w:rsidR="00337481">
              <w:rPr>
                <w:sz w:val="19"/>
                <w:szCs w:val="19"/>
              </w:rPr>
              <w:t>1</w:t>
            </w:r>
          </w:p>
        </w:tc>
        <w:tc>
          <w:tcPr>
            <w:tcW w:w="3119" w:type="dxa"/>
          </w:tcPr>
          <w:p w14:paraId="74D0BBB3" w14:textId="77777777" w:rsidR="007B5CF9" w:rsidRPr="004509F2" w:rsidRDefault="007B5CF9" w:rsidP="00FB0CF5">
            <w:pPr>
              <w:contextualSpacing/>
              <w:rPr>
                <w:sz w:val="19"/>
                <w:szCs w:val="19"/>
              </w:rPr>
            </w:pPr>
            <w:r>
              <w:rPr>
                <w:sz w:val="19"/>
                <w:szCs w:val="19"/>
              </w:rPr>
              <w:t>Electrofishing</w:t>
            </w:r>
          </w:p>
        </w:tc>
        <w:tc>
          <w:tcPr>
            <w:tcW w:w="3072" w:type="dxa"/>
          </w:tcPr>
          <w:p w14:paraId="06BDC515" w14:textId="77777777" w:rsidR="007B5CF9" w:rsidRDefault="007B5CF9" w:rsidP="00FB0CF5">
            <w:pPr>
              <w:contextualSpacing/>
              <w:rPr>
                <w:sz w:val="19"/>
                <w:szCs w:val="19"/>
              </w:rPr>
            </w:pPr>
            <w:r>
              <w:rPr>
                <w:sz w:val="19"/>
                <w:szCs w:val="19"/>
              </w:rPr>
              <w:t>Growth, condition</w:t>
            </w:r>
          </w:p>
        </w:tc>
      </w:tr>
      <w:tr w:rsidR="007B5CF9" w:rsidRPr="004509F2" w14:paraId="7C527885" w14:textId="77777777" w:rsidTr="00FB0CF5">
        <w:trPr>
          <w:trHeight w:val="340"/>
          <w:jc w:val="center"/>
        </w:trPr>
        <w:tc>
          <w:tcPr>
            <w:tcW w:w="1984" w:type="dxa"/>
          </w:tcPr>
          <w:p w14:paraId="7DDB7058" w14:textId="067A5DE9" w:rsidR="007B5CF9" w:rsidRPr="004509F2" w:rsidRDefault="00337481" w:rsidP="00FB0CF5">
            <w:pPr>
              <w:contextualSpacing/>
              <w:rPr>
                <w:sz w:val="19"/>
                <w:szCs w:val="19"/>
              </w:rPr>
            </w:pPr>
            <w:r>
              <w:rPr>
                <w:sz w:val="19"/>
                <w:szCs w:val="19"/>
              </w:rPr>
              <w:t>29</w:t>
            </w:r>
            <w:r w:rsidR="007B5CF9">
              <w:rPr>
                <w:sz w:val="19"/>
                <w:szCs w:val="19"/>
              </w:rPr>
              <w:t>/3–8/4</w:t>
            </w:r>
            <w:r w:rsidR="007B5CF9" w:rsidRPr="004509F2">
              <w:rPr>
                <w:sz w:val="19"/>
                <w:szCs w:val="19"/>
              </w:rPr>
              <w:t>/</w:t>
            </w:r>
            <w:r w:rsidR="00597EDA">
              <w:rPr>
                <w:sz w:val="19"/>
                <w:szCs w:val="19"/>
              </w:rPr>
              <w:t>20</w:t>
            </w:r>
            <w:r w:rsidR="007B5CF9">
              <w:rPr>
                <w:sz w:val="19"/>
                <w:szCs w:val="19"/>
              </w:rPr>
              <w:t>2</w:t>
            </w:r>
            <w:r>
              <w:rPr>
                <w:sz w:val="19"/>
                <w:szCs w:val="19"/>
              </w:rPr>
              <w:t>1</w:t>
            </w:r>
            <w:r w:rsidR="007B5CF9">
              <w:rPr>
                <w:sz w:val="19"/>
                <w:szCs w:val="19"/>
              </w:rPr>
              <w:t>*</w:t>
            </w:r>
          </w:p>
        </w:tc>
        <w:tc>
          <w:tcPr>
            <w:tcW w:w="3119" w:type="dxa"/>
          </w:tcPr>
          <w:p w14:paraId="6671E617" w14:textId="77777777" w:rsidR="007B5CF9" w:rsidRPr="004509F2" w:rsidRDefault="007B5CF9" w:rsidP="00FB0CF5">
            <w:pPr>
              <w:contextualSpacing/>
              <w:rPr>
                <w:sz w:val="19"/>
                <w:szCs w:val="19"/>
              </w:rPr>
            </w:pPr>
            <w:r>
              <w:rPr>
                <w:sz w:val="19"/>
                <w:szCs w:val="19"/>
              </w:rPr>
              <w:t>Electrofishing</w:t>
            </w:r>
          </w:p>
        </w:tc>
        <w:tc>
          <w:tcPr>
            <w:tcW w:w="3072" w:type="dxa"/>
          </w:tcPr>
          <w:p w14:paraId="3A94DF97" w14:textId="77777777" w:rsidR="007B5CF9" w:rsidRDefault="007B5CF9" w:rsidP="00FB0CF5">
            <w:pPr>
              <w:contextualSpacing/>
              <w:rPr>
                <w:sz w:val="19"/>
                <w:szCs w:val="19"/>
              </w:rPr>
            </w:pPr>
            <w:r>
              <w:rPr>
                <w:sz w:val="19"/>
                <w:szCs w:val="19"/>
              </w:rPr>
              <w:t>Condition, YOY abundance, population structure</w:t>
            </w:r>
          </w:p>
        </w:tc>
      </w:tr>
      <w:tr w:rsidR="007B5CF9" w:rsidRPr="004509F2" w14:paraId="2E33CAC0" w14:textId="77777777" w:rsidTr="00FB0CF5">
        <w:trPr>
          <w:trHeight w:val="340"/>
          <w:jc w:val="center"/>
        </w:trPr>
        <w:tc>
          <w:tcPr>
            <w:tcW w:w="1984" w:type="dxa"/>
            <w:tcBorders>
              <w:bottom w:val="single" w:sz="4" w:space="0" w:color="auto"/>
            </w:tcBorders>
          </w:tcPr>
          <w:p w14:paraId="62391D40" w14:textId="5C266697" w:rsidR="007B5CF9" w:rsidRPr="004509F2" w:rsidRDefault="00337481" w:rsidP="00FB0CF5">
            <w:pPr>
              <w:contextualSpacing/>
              <w:rPr>
                <w:sz w:val="19"/>
                <w:szCs w:val="19"/>
              </w:rPr>
            </w:pPr>
            <w:r>
              <w:rPr>
                <w:sz w:val="19"/>
                <w:szCs w:val="19"/>
              </w:rPr>
              <w:t>3</w:t>
            </w:r>
            <w:r w:rsidR="007B5CF9" w:rsidRPr="004509F2">
              <w:rPr>
                <w:sz w:val="19"/>
                <w:szCs w:val="19"/>
              </w:rPr>
              <w:t>–</w:t>
            </w:r>
            <w:r>
              <w:rPr>
                <w:sz w:val="19"/>
                <w:szCs w:val="19"/>
              </w:rPr>
              <w:t>6</w:t>
            </w:r>
            <w:r w:rsidR="007B5CF9">
              <w:rPr>
                <w:sz w:val="19"/>
                <w:szCs w:val="19"/>
              </w:rPr>
              <w:t>/5/</w:t>
            </w:r>
            <w:r w:rsidR="00597EDA">
              <w:rPr>
                <w:sz w:val="19"/>
                <w:szCs w:val="19"/>
              </w:rPr>
              <w:t>20</w:t>
            </w:r>
            <w:r w:rsidR="007B5CF9">
              <w:rPr>
                <w:sz w:val="19"/>
                <w:szCs w:val="19"/>
              </w:rPr>
              <w:t>2</w:t>
            </w:r>
            <w:r>
              <w:rPr>
                <w:sz w:val="19"/>
                <w:szCs w:val="19"/>
              </w:rPr>
              <w:t>1</w:t>
            </w:r>
          </w:p>
        </w:tc>
        <w:tc>
          <w:tcPr>
            <w:tcW w:w="3119" w:type="dxa"/>
            <w:tcBorders>
              <w:bottom w:val="single" w:sz="4" w:space="0" w:color="auto"/>
            </w:tcBorders>
          </w:tcPr>
          <w:p w14:paraId="442401F5" w14:textId="77777777" w:rsidR="007B5CF9" w:rsidRPr="004509F2" w:rsidRDefault="007B5CF9" w:rsidP="00FB0CF5">
            <w:pPr>
              <w:contextualSpacing/>
              <w:rPr>
                <w:sz w:val="19"/>
                <w:szCs w:val="19"/>
              </w:rPr>
            </w:pPr>
            <w:r>
              <w:rPr>
                <w:sz w:val="19"/>
                <w:szCs w:val="19"/>
              </w:rPr>
              <w:t>Electrofishing</w:t>
            </w:r>
          </w:p>
        </w:tc>
        <w:tc>
          <w:tcPr>
            <w:tcW w:w="3072" w:type="dxa"/>
            <w:tcBorders>
              <w:bottom w:val="single" w:sz="4" w:space="0" w:color="auto"/>
            </w:tcBorders>
          </w:tcPr>
          <w:p w14:paraId="346BFF74" w14:textId="77777777" w:rsidR="007B5CF9" w:rsidRDefault="007B5CF9" w:rsidP="00FB0CF5">
            <w:pPr>
              <w:contextualSpacing/>
              <w:rPr>
                <w:sz w:val="19"/>
                <w:szCs w:val="19"/>
              </w:rPr>
            </w:pPr>
            <w:r>
              <w:rPr>
                <w:sz w:val="19"/>
                <w:szCs w:val="19"/>
              </w:rPr>
              <w:t>Condition, YOY abundance, population structure</w:t>
            </w:r>
          </w:p>
        </w:tc>
      </w:tr>
    </w:tbl>
    <w:p w14:paraId="13F5F7C7" w14:textId="1293FAC0" w:rsidR="007B56CE" w:rsidRPr="000702B8" w:rsidRDefault="007B56CE" w:rsidP="007B56CE">
      <w:pPr>
        <w:rPr>
          <w:sz w:val="18"/>
        </w:rPr>
      </w:pPr>
      <w:r w:rsidRPr="000702B8">
        <w:rPr>
          <w:sz w:val="18"/>
        </w:rPr>
        <w:t>* Fish (Channel) sampling in the Gorge zone</w:t>
      </w:r>
      <w:r>
        <w:rPr>
          <w:sz w:val="18"/>
        </w:rPr>
        <w:t xml:space="preserve"> (see Section </w:t>
      </w:r>
      <w:r w:rsidR="00800A52">
        <w:rPr>
          <w:sz w:val="18"/>
          <w:highlight w:val="yellow"/>
        </w:rPr>
        <w:fldChar w:fldCharType="begin"/>
      </w:r>
      <w:r w:rsidR="00800A52">
        <w:rPr>
          <w:sz w:val="18"/>
        </w:rPr>
        <w:instrText xml:space="preserve"> REF _Ref56693948 \r \h </w:instrText>
      </w:r>
      <w:r w:rsidR="00800A52">
        <w:rPr>
          <w:sz w:val="18"/>
          <w:highlight w:val="yellow"/>
        </w:rPr>
      </w:r>
      <w:r w:rsidR="00800A52">
        <w:rPr>
          <w:sz w:val="18"/>
          <w:highlight w:val="yellow"/>
        </w:rPr>
        <w:fldChar w:fldCharType="separate"/>
      </w:r>
      <w:r w:rsidR="003C13F6">
        <w:rPr>
          <w:sz w:val="18"/>
        </w:rPr>
        <w:t>2.8</w:t>
      </w:r>
      <w:r w:rsidR="00800A52">
        <w:rPr>
          <w:sz w:val="18"/>
          <w:highlight w:val="yellow"/>
        </w:rPr>
        <w:fldChar w:fldCharType="end"/>
      </w:r>
      <w:r>
        <w:rPr>
          <w:sz w:val="18"/>
        </w:rPr>
        <w:t xml:space="preserve"> </w:t>
      </w:r>
      <w:r w:rsidRPr="00AF5AF7">
        <w:rPr>
          <w:sz w:val="18"/>
        </w:rPr>
        <w:t>Fish Assemblage</w:t>
      </w:r>
      <w:r>
        <w:rPr>
          <w:sz w:val="18"/>
        </w:rPr>
        <w:t xml:space="preserve"> for details)</w:t>
      </w:r>
    </w:p>
    <w:p w14:paraId="5E2F4078" w14:textId="114E57C7" w:rsidR="007B56CE" w:rsidRDefault="007B56CE" w:rsidP="007B56CE">
      <w:r>
        <w:t>Sampling for larvae (</w:t>
      </w:r>
      <w:r w:rsidR="007B5CF9">
        <w:t>November</w:t>
      </w:r>
      <w:r>
        <w:t>) and early juveniles (</w:t>
      </w:r>
      <w:r w:rsidR="007B5CF9">
        <w:t>January and February</w:t>
      </w:r>
      <w:r>
        <w:t>) was</w:t>
      </w:r>
      <w:r w:rsidRPr="00C30D3A">
        <w:t xml:space="preserve"> conducted in the tailwaters (&lt;15 km downstream) of Lock </w:t>
      </w:r>
      <w:r>
        <w:t xml:space="preserve">3 </w:t>
      </w:r>
      <w:r w:rsidRPr="00C30D3A">
        <w:t>(</w:t>
      </w:r>
      <w:r>
        <w:t>Gorge zone</w:t>
      </w:r>
      <w:r w:rsidRPr="00C30D3A">
        <w:t>)</w:t>
      </w:r>
      <w:r>
        <w:t xml:space="preserve"> and Lock 4 (Floodplain zone</w:t>
      </w:r>
      <w:r w:rsidRPr="00C30D3A">
        <w:t xml:space="preserve">) </w:t>
      </w:r>
      <w:r>
        <w:t>(</w:t>
      </w:r>
      <w:r w:rsidR="00800A52">
        <w:fldChar w:fldCharType="begin"/>
      </w:r>
      <w:r w:rsidR="00800A52">
        <w:instrText xml:space="preserve"> REF _Ref469926522 \h </w:instrText>
      </w:r>
      <w:r w:rsidR="00800A52">
        <w:fldChar w:fldCharType="separate"/>
      </w:r>
      <w:r w:rsidR="003C13F6">
        <w:t xml:space="preserve">Figure </w:t>
      </w:r>
      <w:r w:rsidR="003C13F6">
        <w:rPr>
          <w:noProof/>
        </w:rPr>
        <w:t>1</w:t>
      </w:r>
      <w:r w:rsidR="00800A52">
        <w:fldChar w:fldCharType="end"/>
      </w:r>
      <w:r>
        <w:t>)</w:t>
      </w:r>
      <w:r w:rsidRPr="00C30D3A">
        <w:t>.</w:t>
      </w:r>
      <w:r w:rsidRPr="00074768">
        <w:t xml:space="preserve"> </w:t>
      </w:r>
      <w:r>
        <w:t xml:space="preserve">Sampling to assess YOY abundance and population structure </w:t>
      </w:r>
      <w:r w:rsidR="00202B13">
        <w:t xml:space="preserve">in May </w:t>
      </w:r>
      <w:r>
        <w:t>occurred at sites in the tailwaters of Locks 3 (Gorge zone), 4</w:t>
      </w:r>
      <w:r w:rsidR="005E6D33">
        <w:t xml:space="preserve"> and</w:t>
      </w:r>
      <w:r>
        <w:t xml:space="preserve"> 5 (Floodplain zone), </w:t>
      </w:r>
      <w:r w:rsidR="00202B13">
        <w:t xml:space="preserve">and was </w:t>
      </w:r>
      <w:r>
        <w:t xml:space="preserve">supplemented by non-targeted sampling in March/April at ten sites between Locks 1 and 3 in the Gorge zone (Fish (Channel) sampling). In addition to the sampling described above, Murray cod larvae and juveniles were opportunistically collected through other </w:t>
      </w:r>
      <w:r w:rsidR="00861D06">
        <w:t xml:space="preserve">MER </w:t>
      </w:r>
      <w:r>
        <w:t xml:space="preserve">field sampling (e.g. Section </w:t>
      </w:r>
      <w:r w:rsidR="00800A52">
        <w:rPr>
          <w:highlight w:val="yellow"/>
        </w:rPr>
        <w:fldChar w:fldCharType="begin"/>
      </w:r>
      <w:r w:rsidR="00800A52">
        <w:instrText xml:space="preserve"> REF _Ref53046930 \r \h </w:instrText>
      </w:r>
      <w:r w:rsidR="00800A52">
        <w:rPr>
          <w:highlight w:val="yellow"/>
        </w:rPr>
      </w:r>
      <w:r w:rsidR="00800A52">
        <w:rPr>
          <w:highlight w:val="yellow"/>
        </w:rPr>
        <w:fldChar w:fldCharType="separate"/>
      </w:r>
      <w:r w:rsidR="003C13F6">
        <w:t>2.6</w:t>
      </w:r>
      <w:r w:rsidR="00800A52">
        <w:rPr>
          <w:highlight w:val="yellow"/>
        </w:rPr>
        <w:fldChar w:fldCharType="end"/>
      </w:r>
      <w:r>
        <w:t xml:space="preserve"> Flow-cued Spawning Fish Re</w:t>
      </w:r>
      <w:r w:rsidR="00B44ACE">
        <w:t>production</w:t>
      </w:r>
      <w:r>
        <w:t xml:space="preserve">) </w:t>
      </w:r>
      <w:r w:rsidR="00861D06">
        <w:t>and sampling from other projects (</w:t>
      </w:r>
      <w:r w:rsidR="00E23E58">
        <w:t>e</w:t>
      </w:r>
      <w:r w:rsidR="00861D06">
        <w:t>.</w:t>
      </w:r>
      <w:r w:rsidR="00E23E58">
        <w:t>g</w:t>
      </w:r>
      <w:r w:rsidR="00861D06">
        <w:t>. Chowilla</w:t>
      </w:r>
      <w:r w:rsidR="00E23E58">
        <w:t>,</w:t>
      </w:r>
      <w:r w:rsidR="00861D06">
        <w:t xml:space="preserve"> Katarapko </w:t>
      </w:r>
      <w:r w:rsidR="00E23E58">
        <w:t xml:space="preserve">and Pike/Mundic </w:t>
      </w:r>
      <w:r w:rsidR="00861D06">
        <w:t>condition monitoring)</w:t>
      </w:r>
      <w:r w:rsidR="00D41565">
        <w:t xml:space="preserve">. Samples from the main river channel were included in all analyses, while samples from anabranches were used solely to supplement age analyses to determine the range of spawn dates for Murray cod in the </w:t>
      </w:r>
      <w:r w:rsidR="00BD0534">
        <w:t>LMR</w:t>
      </w:r>
      <w:r w:rsidR="00D41565">
        <w:t>.</w:t>
      </w:r>
    </w:p>
    <w:p w14:paraId="55C917C1" w14:textId="77777777" w:rsidR="007B56CE" w:rsidRDefault="007B56CE" w:rsidP="00FB0CF5">
      <w:pPr>
        <w:pStyle w:val="Heading4"/>
      </w:pPr>
      <w:r>
        <w:t xml:space="preserve">Otolith </w:t>
      </w:r>
      <w:r w:rsidRPr="00F845A6">
        <w:t>preparation and increment</w:t>
      </w:r>
      <w:r>
        <w:t xml:space="preserve"> counts and measurements</w:t>
      </w:r>
    </w:p>
    <w:p w14:paraId="5CF17398" w14:textId="77777777" w:rsidR="00DF4017" w:rsidRPr="0019516E" w:rsidRDefault="00DF4017" w:rsidP="00DF4017">
      <w:r w:rsidRPr="0019516E">
        <w:t xml:space="preserve">Larval/juvenile Murray cod were measured for TL to the nearest millimetre, weighed to 0.001 of a gram, and sagittal otoliths were removed. Sagittae were embedded in crystal bond™, then ground and polished from the anterior margin towards the core. For larvae and early juveniles (from January), we used 9 and 3 μm lapping film, while for otoliths of larger juveniles from February, used 240-grit sandpaper and 15, 9 and 3 μm lapping film sequentially. The ground surface was adhered to the centre of a microscope slide with crystal bond™ and then further ground and polished from the posterior side, to produce sections of approximately 50 μm thickness. </w:t>
      </w:r>
    </w:p>
    <w:p w14:paraId="28E126A3" w14:textId="346A0E53" w:rsidR="007B56CE" w:rsidRDefault="00DF4017" w:rsidP="00DF4017">
      <w:r w:rsidRPr="0019516E">
        <w:t>Prominent hatch marks were evident on most sectioned otoliths, providing a reliable reference point to begin increment counts. As such, daily increment counts were made from the hatch mark along the maximum growth axis towards the ventral apex. Two readers examined each otolith on separate occasions and each reader performed two counts of the increments. Counts from each reader were compared and if they differed by more than 10%, the otolith was rejected; but if count variation was within 10%, the mean of all counts was accepted as the daily increment number</w:t>
      </w:r>
      <w:r w:rsidR="004071D3">
        <w:t xml:space="preserve"> and estimate of age</w:t>
      </w:r>
      <w:r w:rsidRPr="0019516E">
        <w:t>. Hatch dates were determined by subtracting estimated age from capture dates. Prior to increment counts, otolith readers were calibrated by reading a reference collection of otoliths from k</w:t>
      </w:r>
      <w:r w:rsidRPr="00781F15">
        <w:t>nown-age Murray cod larvae and achieving 90% agreement. Otolith sections were examined using a compound microscope (x 200) fitted with a digital camera and Olympus Stream image analysis software (version 2.3).</w:t>
      </w:r>
      <w:r w:rsidR="00437B75" w:rsidRPr="00781F15">
        <w:t xml:space="preserve"> </w:t>
      </w:r>
      <w:r w:rsidRPr="00781F15">
        <w:t>YOY</w:t>
      </w:r>
      <w:r w:rsidRPr="0019516E">
        <w:t xml:space="preserve"> Murray cod collected in</w:t>
      </w:r>
      <w:r w:rsidR="005F3F04">
        <w:t xml:space="preserve"> late April and</w:t>
      </w:r>
      <w:r w:rsidRPr="0019516E">
        <w:t xml:space="preserve"> May were omitted from age analyses due to unreliability in daily increment estimates.</w:t>
      </w:r>
    </w:p>
    <w:p w14:paraId="6094150D" w14:textId="77777777" w:rsidR="007B56CE" w:rsidRPr="00342719" w:rsidRDefault="007B56CE" w:rsidP="00FB0CF5">
      <w:pPr>
        <w:pStyle w:val="Heading4"/>
      </w:pPr>
      <w:r w:rsidRPr="00342719">
        <w:t>Data analyses</w:t>
      </w:r>
    </w:p>
    <w:p w14:paraId="2BF88BC2" w14:textId="77777777" w:rsidR="007B56CE" w:rsidRPr="00F0775B" w:rsidRDefault="007B56CE" w:rsidP="007B56CE">
      <w:pPr>
        <w:rPr>
          <w:i/>
          <w:iCs/>
        </w:rPr>
      </w:pPr>
      <w:r w:rsidRPr="00F0775B">
        <w:rPr>
          <w:i/>
          <w:iCs/>
        </w:rPr>
        <w:t>Morphometric condition</w:t>
      </w:r>
    </w:p>
    <w:p w14:paraId="6C0E94DF" w14:textId="69E97652" w:rsidR="007B56CE" w:rsidRPr="0038253D" w:rsidRDefault="007B56CE" w:rsidP="00C90A96">
      <w:r w:rsidRPr="00AC05BE">
        <w:t xml:space="preserve">The length–weight </w:t>
      </w:r>
      <w:r w:rsidR="00096208" w:rsidRPr="00AC05BE">
        <w:t xml:space="preserve">relationships for </w:t>
      </w:r>
      <w:r w:rsidR="00CD0488" w:rsidRPr="00AC05BE">
        <w:t>juvenile (</w:t>
      </w:r>
      <w:r w:rsidR="00096208" w:rsidRPr="00AC05BE">
        <w:t>0+ year old</w:t>
      </w:r>
      <w:r w:rsidR="00CD0488" w:rsidRPr="00AC05BE">
        <w:t>,</w:t>
      </w:r>
      <w:r w:rsidR="00096208" w:rsidRPr="00AC05BE">
        <w:t xml:space="preserve"> &lt;160 mm) </w:t>
      </w:r>
      <w:r w:rsidRPr="00AC05BE">
        <w:t xml:space="preserve">Murray cod were described using linear regression, following the methods outlined in Tonkin </w:t>
      </w:r>
      <w:r w:rsidRPr="00AC05BE">
        <w:rPr>
          <w:i/>
          <w:iCs/>
        </w:rPr>
        <w:t>et al.</w:t>
      </w:r>
      <w:r w:rsidRPr="00AC05BE">
        <w:t xml:space="preserve"> (2008). Linear and non-linear relationships were examined with non-linearity modelled by fitting polynomial terms of increasing order (up to 4) to length. The relative support for each of the models was assessed using Akaike’s Information Criterion, corrected for small sample size (AICc) (Burnham and Anderson 200</w:t>
      </w:r>
      <w:r w:rsidR="00F8184E" w:rsidRPr="00AC05BE">
        <w:t>2</w:t>
      </w:r>
      <w:r w:rsidRPr="00AC05BE">
        <w:t xml:space="preserve">). AICc values were rescaled as differences between the model and the model with the lowest AICc value, with the likelihood of the model calculated (see Tonkin </w:t>
      </w:r>
      <w:r w:rsidRPr="00AC05BE">
        <w:rPr>
          <w:i/>
          <w:iCs/>
        </w:rPr>
        <w:t>et al.</w:t>
      </w:r>
      <w:r w:rsidRPr="00AC05BE">
        <w:t xml:space="preserve"> 2008 for equation). Morphometric condition was estimated by calculating the relative condition factor (K</w:t>
      </w:r>
      <w:r w:rsidRPr="00AC05BE">
        <w:rPr>
          <w:i/>
        </w:rPr>
        <w:t>rel</w:t>
      </w:r>
      <w:r w:rsidRPr="00AC05BE">
        <w:t>) of an individual fish, using the</w:t>
      </w:r>
      <w:r w:rsidR="00181BBF" w:rsidRPr="00AC05BE">
        <w:t xml:space="preserve"> </w:t>
      </w:r>
      <w:r w:rsidR="00C14FEB" w:rsidRPr="00AC05BE">
        <w:t xml:space="preserve">estimated weight calculated from the </w:t>
      </w:r>
      <w:r w:rsidR="00181BBF" w:rsidRPr="00AC05BE">
        <w:t>selected model</w:t>
      </w:r>
      <w:r w:rsidR="00C14FEB" w:rsidRPr="00AC05BE">
        <w:t xml:space="preserve"> equation</w:t>
      </w:r>
      <w:r w:rsidRPr="00AC05BE">
        <w:t>: K</w:t>
      </w:r>
      <w:r w:rsidRPr="00AC05BE">
        <w:rPr>
          <w:i/>
        </w:rPr>
        <w:t>rel</w:t>
      </w:r>
      <w:r w:rsidRPr="00AC05BE">
        <w:t xml:space="preserve"> = W</w:t>
      </w:r>
      <w:r w:rsidR="00181BBF" w:rsidRPr="00AC05BE">
        <w:t>t</w:t>
      </w:r>
      <w:r w:rsidR="00181BBF" w:rsidRPr="00AC05BE">
        <w:rPr>
          <w:vertAlign w:val="subscript"/>
        </w:rPr>
        <w:t>actual</w:t>
      </w:r>
      <w:r w:rsidRPr="00AC05BE">
        <w:t>/</w:t>
      </w:r>
      <w:r w:rsidR="00181BBF" w:rsidRPr="00AC05BE">
        <w:t>Wt</w:t>
      </w:r>
      <w:r w:rsidR="00181BBF" w:rsidRPr="00AC05BE">
        <w:rPr>
          <w:vertAlign w:val="subscript"/>
        </w:rPr>
        <w:t>estimated</w:t>
      </w:r>
      <w:r w:rsidRPr="00AC05BE">
        <w:t xml:space="preserve">. To determine if the condition of Murray cod differed among years </w:t>
      </w:r>
      <w:r w:rsidR="00202B13" w:rsidRPr="00AC05BE">
        <w:t>(i.e. 2015–202</w:t>
      </w:r>
      <w:r w:rsidR="00E102E9" w:rsidRPr="00AC05BE">
        <w:t>1</w:t>
      </w:r>
      <w:r w:rsidR="00202B13" w:rsidRPr="00AC05BE">
        <w:t xml:space="preserve">) </w:t>
      </w:r>
      <w:r w:rsidRPr="00AC05BE">
        <w:t>of different flow regimes, differences in K</w:t>
      </w:r>
      <w:r w:rsidRPr="00AC05BE">
        <w:rPr>
          <w:i/>
        </w:rPr>
        <w:t>rel</w:t>
      </w:r>
      <w:r w:rsidRPr="00AC05BE">
        <w:t xml:space="preserve"> of individuals sampled </w:t>
      </w:r>
      <w:r w:rsidR="00C90A96" w:rsidRPr="00AC05BE">
        <w:t>between March and August</w:t>
      </w:r>
      <w:r w:rsidRPr="00AC05BE">
        <w:t xml:space="preserve"> were assessed using a </w:t>
      </w:r>
      <w:r w:rsidR="007B226C">
        <w:t>single</w:t>
      </w:r>
      <w:r w:rsidRPr="00AC05BE">
        <w:t xml:space="preserve">-factor univariate </w:t>
      </w:r>
      <w:r w:rsidRPr="00CA7908">
        <w:t>PERMANOVA</w:t>
      </w:r>
      <w:r w:rsidR="007B226C">
        <w:t xml:space="preserve"> </w:t>
      </w:r>
      <w:r w:rsidR="007B226C" w:rsidRPr="00C15D80">
        <w:t xml:space="preserve">(permutational ANOVA and MANOVA) in the software package PRIMER v. 6.1.12 and PERMANOVA+ (Anderson </w:t>
      </w:r>
      <w:r w:rsidR="007B226C" w:rsidRPr="00BE1769">
        <w:rPr>
          <w:i/>
          <w:iCs/>
        </w:rPr>
        <w:t>et al.</w:t>
      </w:r>
      <w:r w:rsidR="007B226C" w:rsidRPr="00C15D80">
        <w:t xml:space="preserve"> 2008)</w:t>
      </w:r>
      <w:r w:rsidRPr="00CA7908">
        <w:t xml:space="preserve">. </w:t>
      </w:r>
      <w:r w:rsidR="00475BBA" w:rsidRPr="00CA7908">
        <w:t xml:space="preserve">A significance value of </w:t>
      </w:r>
      <w:r w:rsidR="00475BBA" w:rsidRPr="00CA7908">
        <w:rPr>
          <w:i/>
          <w:iCs/>
        </w:rPr>
        <w:t>α</w:t>
      </w:r>
      <w:r w:rsidR="00475BBA" w:rsidRPr="00CA7908">
        <w:t xml:space="preserve"> = 0.05</w:t>
      </w:r>
      <w:r w:rsidRPr="00CA7908">
        <w:t xml:space="preserve"> was </w:t>
      </w:r>
      <w:r w:rsidR="00475BBA" w:rsidRPr="00CA7908">
        <w:t>adopted for all statistical comparisons</w:t>
      </w:r>
      <w:r w:rsidR="007C2D10" w:rsidRPr="00CA7908">
        <w:t>, acknowledging an increased likelihood of type 1 errors for multiple comparisons.</w:t>
      </w:r>
      <w:r w:rsidR="00AC05BE">
        <w:t xml:space="preserve"> </w:t>
      </w:r>
      <w:r w:rsidR="00AC05BE" w:rsidRPr="00AC05BE">
        <w:t xml:space="preserve">Comparisons of </w:t>
      </w:r>
      <w:r w:rsidR="00AC05BE">
        <w:t xml:space="preserve">morphometric condition, </w:t>
      </w:r>
      <w:r w:rsidR="007B226C">
        <w:t xml:space="preserve">seasonal </w:t>
      </w:r>
      <w:r w:rsidR="00AC05BE">
        <w:t xml:space="preserve">growth rate and </w:t>
      </w:r>
      <w:r w:rsidR="00AC05BE" w:rsidRPr="00AC05BE">
        <w:t>CPUE between weir pools were not explored as they were not of interest in this study.</w:t>
      </w:r>
    </w:p>
    <w:p w14:paraId="06722122" w14:textId="77777777" w:rsidR="007B56CE" w:rsidRPr="00F0775B" w:rsidRDefault="007B56CE" w:rsidP="007B56CE">
      <w:pPr>
        <w:rPr>
          <w:i/>
          <w:iCs/>
        </w:rPr>
      </w:pPr>
      <w:r w:rsidRPr="00F0775B">
        <w:rPr>
          <w:i/>
          <w:iCs/>
        </w:rPr>
        <w:t>Growth rate</w:t>
      </w:r>
    </w:p>
    <w:p w14:paraId="7E51368B" w14:textId="16E80693" w:rsidR="007C2D10" w:rsidRPr="00F35FB8" w:rsidRDefault="00F47059" w:rsidP="007C2D10">
      <w:r w:rsidRPr="00F35FB8">
        <w:t xml:space="preserve">Mean seasonal growth was described by fitting linear and nonlinear models to length-at-age data. Three models were considered </w:t>
      </w:r>
      <w:r w:rsidR="007B226C">
        <w:t>for</w:t>
      </w:r>
      <w:r w:rsidRPr="00F35FB8">
        <w:t xml:space="preserve"> fish growth rate: linear, Gompertz and Von Bertalanffy. Model selection procedures using AICc, </w:t>
      </w:r>
      <w:r w:rsidR="007B226C">
        <w:t xml:space="preserve">as </w:t>
      </w:r>
      <w:r w:rsidRPr="00F35FB8">
        <w:t xml:space="preserve">described above, were used to select the model with most support. Mean seasonal growth rate was calculated as the function of TL and age (days) at capture. To determine if seasonal growth rates of Murray cod differed </w:t>
      </w:r>
      <w:r w:rsidR="004D4CDA">
        <w:t xml:space="preserve">between </w:t>
      </w:r>
      <w:r w:rsidR="00AC05BE" w:rsidRPr="00F35FB8">
        <w:t>years (2019-20</w:t>
      </w:r>
      <w:r w:rsidR="004D4CDA">
        <w:t xml:space="preserve"> and</w:t>
      </w:r>
      <w:r w:rsidR="00AC05BE" w:rsidRPr="00F35FB8">
        <w:t xml:space="preserve"> 2020-21)</w:t>
      </w:r>
      <w:r w:rsidRPr="00F35FB8">
        <w:t xml:space="preserve">, mean seasonal growth </w:t>
      </w:r>
      <w:r w:rsidR="007C2D10" w:rsidRPr="00F35FB8">
        <w:t>rate</w:t>
      </w:r>
      <w:r w:rsidR="007B226C">
        <w:t>s</w:t>
      </w:r>
      <w:r w:rsidR="007C2D10" w:rsidRPr="00F35FB8">
        <w:t xml:space="preserve"> were </w:t>
      </w:r>
      <w:r w:rsidR="007B226C">
        <w:t>compared</w:t>
      </w:r>
      <w:r w:rsidR="007C2D10" w:rsidRPr="00F35FB8">
        <w:t xml:space="preserve"> using a single-factor univariate PERMANOVA.</w:t>
      </w:r>
    </w:p>
    <w:p w14:paraId="2BDBA372" w14:textId="662C89FC" w:rsidR="007B56CE" w:rsidRPr="00F0775B" w:rsidRDefault="007B56CE" w:rsidP="007C2D10">
      <w:pPr>
        <w:rPr>
          <w:i/>
          <w:iCs/>
        </w:rPr>
      </w:pPr>
      <w:r w:rsidRPr="00F0775B">
        <w:rPr>
          <w:i/>
          <w:iCs/>
        </w:rPr>
        <w:t>Recruitment</w:t>
      </w:r>
    </w:p>
    <w:p w14:paraId="13FA29DE" w14:textId="6D2FBAAC" w:rsidR="002978BB" w:rsidRDefault="002978BB" w:rsidP="002978BB">
      <w:r>
        <w:t>To compare recruitment and abundance of Murray cod across years (2013–2021), t</w:t>
      </w:r>
      <w:r w:rsidRPr="00C15D80">
        <w:t xml:space="preserve">emporal variability in the relative abundance of </w:t>
      </w:r>
      <w:r>
        <w:t xml:space="preserve">YOY </w:t>
      </w:r>
      <w:r w:rsidR="004A027B">
        <w:t>(i.e. &lt;160 mm TL)</w:t>
      </w:r>
      <w:r w:rsidR="004A027B" w:rsidRPr="00C15D80">
        <w:t xml:space="preserve"> </w:t>
      </w:r>
      <w:r>
        <w:t xml:space="preserve">and all Murray cod </w:t>
      </w:r>
      <w:r w:rsidRPr="00C15D80">
        <w:t xml:space="preserve">was </w:t>
      </w:r>
      <w:r>
        <w:t>assessed using two datasets: 1)</w:t>
      </w:r>
      <w:r w:rsidRPr="00C15D80">
        <w:t xml:space="preserve"> </w:t>
      </w:r>
      <w:r>
        <w:t xml:space="preserve">March/April non-targeted </w:t>
      </w:r>
      <w:r w:rsidRPr="00C15D80">
        <w:t>Category 1 electrofi</w:t>
      </w:r>
      <w:r>
        <w:t xml:space="preserve">shing CPUE data (see Section </w:t>
      </w:r>
      <w:r>
        <w:rPr>
          <w:highlight w:val="yellow"/>
        </w:rPr>
        <w:fldChar w:fldCharType="begin"/>
      </w:r>
      <w:r>
        <w:instrText xml:space="preserve"> REF _Ref56694021 \r \h </w:instrText>
      </w:r>
      <w:r>
        <w:rPr>
          <w:highlight w:val="yellow"/>
        </w:rPr>
      </w:r>
      <w:r>
        <w:rPr>
          <w:highlight w:val="yellow"/>
        </w:rPr>
        <w:fldChar w:fldCharType="separate"/>
      </w:r>
      <w:r w:rsidR="003C13F6">
        <w:t>2.8</w:t>
      </w:r>
      <w:r>
        <w:rPr>
          <w:highlight w:val="yellow"/>
        </w:rPr>
        <w:fldChar w:fldCharType="end"/>
      </w:r>
      <w:r w:rsidRPr="00C15D80">
        <w:t xml:space="preserve"> Fish Assemblage)</w:t>
      </w:r>
      <w:r>
        <w:t>; and 2) May targeted electrofishing CPUE data</w:t>
      </w:r>
      <w:r w:rsidRPr="00C15D80">
        <w:t xml:space="preserve">. </w:t>
      </w:r>
      <w:r>
        <w:t>For the first dataset, sites (</w:t>
      </w:r>
      <w:r>
        <w:rPr>
          <w:i/>
          <w:iCs/>
        </w:rPr>
        <w:t xml:space="preserve">n = </w:t>
      </w:r>
      <w:r>
        <w:t>10) were grouped and represented as two reaches, namely downstream of Lock 3 and downstream of Lock 2. For the second data set, numerous ‘shots’ (</w:t>
      </w:r>
      <w:r w:rsidRPr="002D5EA4">
        <w:rPr>
          <w:i/>
          <w:iCs/>
        </w:rPr>
        <w:t>n</w:t>
      </w:r>
      <w:r>
        <w:t xml:space="preserve"> = 1–5) were undertaken across broad sites downstream of Locks 3, 4 and 5, and CPUE data presented as per the first dataset. </w:t>
      </w:r>
      <w:r w:rsidRPr="00C15D80">
        <w:t>Differences in relative abundance</w:t>
      </w:r>
      <w:r>
        <w:t xml:space="preserve"> of YOY</w:t>
      </w:r>
      <w:r w:rsidRPr="00C15D80">
        <w:t xml:space="preserve"> (individuals per </w:t>
      </w:r>
      <w:r>
        <w:t>minute</w:t>
      </w:r>
      <w:r w:rsidRPr="00C15D80">
        <w:t xml:space="preserve"> of electrofishing on-time effort) </w:t>
      </w:r>
      <w:r>
        <w:t xml:space="preserve">among </w:t>
      </w:r>
      <w:r w:rsidRPr="00C15D80">
        <w:t xml:space="preserve">years at each </w:t>
      </w:r>
      <w:r>
        <w:t>reach</w:t>
      </w:r>
      <w:r w:rsidRPr="00C15D80">
        <w:t xml:space="preserve"> were analysed using univariate single-factor PERMANOVA</w:t>
      </w:r>
      <w:r>
        <w:t>.</w:t>
      </w:r>
      <w:r w:rsidRPr="00C15D80">
        <w:t xml:space="preserve"> </w:t>
      </w:r>
      <w:r w:rsidRPr="00681EC7">
        <w:t>These analyses were performed on untransformed, standardised relative abundance data.</w:t>
      </w:r>
      <w:r>
        <w:t xml:space="preserve"> For statistical analyses, in the first dataset, YOY CPUE data from downstream of Lock 2 and Lock 3 were amalgamated to represent the gorge geomorphic zone because there were no significant effects of reach or the interaction of reach and year. For the second dataset, data from downstream of Lock 4 were used to represent the floodplain geomorphic zone because sampling downstream of Locks 5 and 3 had low replication in multiple years (</w:t>
      </w:r>
      <w:r w:rsidRPr="00A60FFC">
        <w:rPr>
          <w:i/>
          <w:iCs/>
        </w:rPr>
        <w:t>n</w:t>
      </w:r>
      <w:r>
        <w:t xml:space="preserve"> &lt; 3) and/or were not sampled across all years.  </w:t>
      </w:r>
    </w:p>
    <w:p w14:paraId="63F1C887" w14:textId="231803F1" w:rsidR="007B56CE" w:rsidRDefault="007B56CE" w:rsidP="00FB0CF5">
      <w:pPr>
        <w:pStyle w:val="Heading3"/>
      </w:pPr>
      <w:r>
        <w:t>Results</w:t>
      </w:r>
    </w:p>
    <w:p w14:paraId="4DA6C8F2" w14:textId="77777777" w:rsidR="007B56CE" w:rsidRDefault="007B56CE" w:rsidP="00FB0CF5">
      <w:pPr>
        <w:pStyle w:val="Heading4"/>
      </w:pPr>
      <w:r w:rsidRPr="000600BA">
        <w:t>Catch summary</w:t>
      </w:r>
    </w:p>
    <w:p w14:paraId="1277C6F4" w14:textId="002E2591" w:rsidR="007B56CE" w:rsidRDefault="007B56CE" w:rsidP="007B56CE">
      <w:r>
        <w:t xml:space="preserve">During sampling </w:t>
      </w:r>
      <w:r w:rsidR="005E4B28">
        <w:t xml:space="preserve">in the </w:t>
      </w:r>
      <w:r w:rsidR="005B795C">
        <w:t xml:space="preserve">main channel of the </w:t>
      </w:r>
      <w:r w:rsidR="005E4B28">
        <w:t>LMR</w:t>
      </w:r>
      <w:r w:rsidR="000C7AB4">
        <w:t xml:space="preserve"> and associated anabranches (e.g. Chowilla)</w:t>
      </w:r>
      <w:r w:rsidR="005E4B28">
        <w:t xml:space="preserve"> </w:t>
      </w:r>
      <w:r w:rsidR="00803972">
        <w:t>from</w:t>
      </w:r>
      <w:r>
        <w:t xml:space="preserve"> November 20</w:t>
      </w:r>
      <w:r w:rsidR="005516FC">
        <w:t>20</w:t>
      </w:r>
      <w:r>
        <w:t xml:space="preserve"> </w:t>
      </w:r>
      <w:r w:rsidR="00AC3062">
        <w:t xml:space="preserve">to </w:t>
      </w:r>
      <w:r>
        <w:t>May 202</w:t>
      </w:r>
      <w:r w:rsidR="005516FC">
        <w:t>1</w:t>
      </w:r>
      <w:r>
        <w:t xml:space="preserve">, a total of </w:t>
      </w:r>
      <w:r w:rsidR="00184457" w:rsidRPr="003E1030">
        <w:t>37</w:t>
      </w:r>
      <w:r w:rsidR="005516FC">
        <w:t xml:space="preserve"> </w:t>
      </w:r>
      <w:r w:rsidR="009A6500">
        <w:t xml:space="preserve">age 0+ </w:t>
      </w:r>
      <w:r>
        <w:t>Murray cod were collected</w:t>
      </w:r>
      <w:r w:rsidR="008F38A9">
        <w:t xml:space="preserve"> (</w:t>
      </w:r>
      <w:r w:rsidR="00862675">
        <w:fldChar w:fldCharType="begin"/>
      </w:r>
      <w:r w:rsidR="00862675">
        <w:instrText xml:space="preserve"> REF _Ref57899686 \h </w:instrText>
      </w:r>
      <w:r w:rsidR="00862675">
        <w:fldChar w:fldCharType="separate"/>
      </w:r>
      <w:r w:rsidR="003C13F6">
        <w:t xml:space="preserve">Table </w:t>
      </w:r>
      <w:r w:rsidR="003C13F6">
        <w:rPr>
          <w:noProof/>
        </w:rPr>
        <w:t>22</w:t>
      </w:r>
      <w:r w:rsidR="00862675">
        <w:fldChar w:fldCharType="end"/>
      </w:r>
      <w:r w:rsidR="008F38A9">
        <w:t>)</w:t>
      </w:r>
      <w:r>
        <w:t>.</w:t>
      </w:r>
      <w:r w:rsidRPr="00326629">
        <w:t xml:space="preserve"> </w:t>
      </w:r>
      <w:r>
        <w:t xml:space="preserve">The majority </w:t>
      </w:r>
      <w:r w:rsidR="005E4B28">
        <w:t xml:space="preserve">of </w:t>
      </w:r>
      <w:r w:rsidR="00096208">
        <w:t xml:space="preserve">Murray cod </w:t>
      </w:r>
      <w:r>
        <w:t>(</w:t>
      </w:r>
      <w:r w:rsidRPr="00D271AA">
        <w:rPr>
          <w:i/>
        </w:rPr>
        <w:t>n</w:t>
      </w:r>
      <w:r>
        <w:t xml:space="preserve"> = </w:t>
      </w:r>
      <w:r w:rsidR="008064BC">
        <w:t>35</w:t>
      </w:r>
      <w:r>
        <w:t xml:space="preserve">) </w:t>
      </w:r>
      <w:r w:rsidR="000C7AB4">
        <w:t xml:space="preserve">suspected to be age 0+ </w:t>
      </w:r>
      <w:r>
        <w:t>were retained for morphometric, age and growth assessments.</w:t>
      </w:r>
    </w:p>
    <w:p w14:paraId="18184CB8" w14:textId="2ABC9997" w:rsidR="007B56CE" w:rsidRPr="000702B8" w:rsidRDefault="00862675" w:rsidP="004C3BA1">
      <w:pPr>
        <w:pStyle w:val="Captions"/>
      </w:pPr>
      <w:bookmarkStart w:id="317" w:name="_Ref57899686"/>
      <w:bookmarkStart w:id="318" w:name="_Toc101963880"/>
      <w:r>
        <w:t xml:space="preserve">Table </w:t>
      </w:r>
      <w:r>
        <w:fldChar w:fldCharType="begin"/>
      </w:r>
      <w:r>
        <w:instrText xml:space="preserve"> SEQ Table \* ARABIC </w:instrText>
      </w:r>
      <w:r>
        <w:fldChar w:fldCharType="separate"/>
      </w:r>
      <w:r w:rsidR="003C13F6">
        <w:rPr>
          <w:noProof/>
        </w:rPr>
        <w:t>22</w:t>
      </w:r>
      <w:r>
        <w:fldChar w:fldCharType="end"/>
      </w:r>
      <w:bookmarkEnd w:id="317"/>
      <w:r w:rsidR="007B56CE" w:rsidRPr="000702B8">
        <w:t xml:space="preserve">. </w:t>
      </w:r>
      <w:r w:rsidR="007B56CE">
        <w:t xml:space="preserve">Catch summary of </w:t>
      </w:r>
      <w:r w:rsidR="00735214">
        <w:t xml:space="preserve">age 0+ </w:t>
      </w:r>
      <w:r w:rsidR="007B56CE">
        <w:t xml:space="preserve">Murray cod in the </w:t>
      </w:r>
      <w:r w:rsidR="00EB279B">
        <w:t>main channel of the L</w:t>
      </w:r>
      <w:r w:rsidR="00CF5B78">
        <w:t xml:space="preserve">ower </w:t>
      </w:r>
      <w:r w:rsidR="00EB279B">
        <w:t>M</w:t>
      </w:r>
      <w:r w:rsidR="00CF5B78">
        <w:t xml:space="preserve">urray </w:t>
      </w:r>
      <w:r w:rsidR="00EB279B">
        <w:t>R</w:t>
      </w:r>
      <w:r w:rsidR="00CF5B78">
        <w:t>iver</w:t>
      </w:r>
      <w:r w:rsidR="00EB279B">
        <w:t xml:space="preserve"> and Chowilla anabranch</w:t>
      </w:r>
      <w:r w:rsidR="007B56CE">
        <w:t xml:space="preserve"> </w:t>
      </w:r>
      <w:r w:rsidR="008F38A9">
        <w:t xml:space="preserve">from sampling </w:t>
      </w:r>
      <w:r w:rsidR="00D129CA">
        <w:t>of</w:t>
      </w:r>
      <w:r w:rsidR="008F38A9">
        <w:t xml:space="preserve"> the MER project (</w:t>
      </w:r>
      <w:r w:rsidR="008F38A9">
        <w:fldChar w:fldCharType="begin"/>
      </w:r>
      <w:r w:rsidR="008F38A9">
        <w:instrText xml:space="preserve"> REF _Ref57899670 \h </w:instrText>
      </w:r>
      <w:r w:rsidR="008F38A9">
        <w:fldChar w:fldCharType="separate"/>
      </w:r>
      <w:r w:rsidR="003C13F6">
        <w:t xml:space="preserve">Table </w:t>
      </w:r>
      <w:r w:rsidR="003C13F6">
        <w:rPr>
          <w:noProof/>
        </w:rPr>
        <w:t>21</w:t>
      </w:r>
      <w:r w:rsidR="008F38A9">
        <w:fldChar w:fldCharType="end"/>
      </w:r>
      <w:r w:rsidR="008F38A9">
        <w:t xml:space="preserve">) and other projects (e.g. Chowilla and Katarapko monitoring) </w:t>
      </w:r>
      <w:r w:rsidR="007B56CE">
        <w:t>in 20</w:t>
      </w:r>
      <w:r w:rsidR="001B6438">
        <w:t>20</w:t>
      </w:r>
      <w:r w:rsidR="007B56CE">
        <w:t>-2</w:t>
      </w:r>
      <w:r w:rsidR="001B6438">
        <w:t>1</w:t>
      </w:r>
      <w:r w:rsidR="007B56CE">
        <w:t>.</w:t>
      </w:r>
      <w:r w:rsidR="007974B6">
        <w:t xml:space="preserve"> </w:t>
      </w:r>
      <w:r w:rsidR="00D129CA">
        <w:t xml:space="preserve">Data are not comparable between sites due to varying sampling effort. </w:t>
      </w:r>
      <w:r w:rsidR="007974B6">
        <w:t>NS = not sampled.</w:t>
      </w:r>
      <w:bookmarkEnd w:id="318"/>
      <w:r w:rsidR="00EB279B">
        <w:t xml:space="preserve"> </w:t>
      </w:r>
    </w:p>
    <w:tbl>
      <w:tblPr>
        <w:tblW w:w="0" w:type="auto"/>
        <w:jc w:val="center"/>
        <w:tblLook w:val="04A0" w:firstRow="1" w:lastRow="0" w:firstColumn="1" w:lastColumn="0" w:noHBand="0" w:noVBand="1"/>
      </w:tblPr>
      <w:tblGrid>
        <w:gridCol w:w="1614"/>
        <w:gridCol w:w="429"/>
        <w:gridCol w:w="935"/>
        <w:gridCol w:w="1246"/>
        <w:gridCol w:w="452"/>
        <w:gridCol w:w="943"/>
        <w:gridCol w:w="1246"/>
      </w:tblGrid>
      <w:tr w:rsidR="005B795C" w:rsidRPr="004509F2" w14:paraId="0288D8D6" w14:textId="77777777" w:rsidTr="00BF5797">
        <w:trPr>
          <w:trHeight w:val="340"/>
          <w:jc w:val="center"/>
        </w:trPr>
        <w:tc>
          <w:tcPr>
            <w:tcW w:w="0" w:type="auto"/>
            <w:tcBorders>
              <w:top w:val="single" w:sz="4" w:space="0" w:color="auto"/>
            </w:tcBorders>
            <w:vAlign w:val="bottom"/>
          </w:tcPr>
          <w:p w14:paraId="03DAE39E" w14:textId="77777777" w:rsidR="005B795C" w:rsidRPr="009A132E" w:rsidRDefault="005B795C" w:rsidP="00FB0CF5">
            <w:pPr>
              <w:contextualSpacing/>
              <w:jc w:val="left"/>
              <w:rPr>
                <w:b/>
                <w:sz w:val="19"/>
                <w:szCs w:val="19"/>
              </w:rPr>
            </w:pPr>
            <w:r w:rsidRPr="009A132E">
              <w:rPr>
                <w:b/>
                <w:sz w:val="19"/>
                <w:szCs w:val="19"/>
              </w:rPr>
              <w:t>Date range</w:t>
            </w:r>
          </w:p>
        </w:tc>
        <w:tc>
          <w:tcPr>
            <w:tcW w:w="0" w:type="auto"/>
            <w:tcBorders>
              <w:top w:val="single" w:sz="4" w:space="0" w:color="auto"/>
            </w:tcBorders>
            <w:vAlign w:val="bottom"/>
          </w:tcPr>
          <w:p w14:paraId="7F5ADE2A" w14:textId="77777777" w:rsidR="005B795C" w:rsidRPr="009A132E" w:rsidRDefault="005B795C" w:rsidP="00FB0CF5">
            <w:pPr>
              <w:contextualSpacing/>
              <w:jc w:val="center"/>
              <w:rPr>
                <w:b/>
                <w:sz w:val="19"/>
                <w:szCs w:val="19"/>
              </w:rPr>
            </w:pPr>
          </w:p>
        </w:tc>
        <w:tc>
          <w:tcPr>
            <w:tcW w:w="0" w:type="auto"/>
            <w:gridSpan w:val="2"/>
            <w:tcBorders>
              <w:top w:val="single" w:sz="4" w:space="0" w:color="auto"/>
            </w:tcBorders>
            <w:vAlign w:val="bottom"/>
          </w:tcPr>
          <w:p w14:paraId="04C32AB8" w14:textId="255D203B" w:rsidR="005B795C" w:rsidRDefault="005B795C" w:rsidP="00FB0CF5">
            <w:pPr>
              <w:contextualSpacing/>
              <w:jc w:val="center"/>
              <w:rPr>
                <w:b/>
                <w:sz w:val="19"/>
                <w:szCs w:val="19"/>
              </w:rPr>
            </w:pPr>
            <w:r>
              <w:rPr>
                <w:b/>
                <w:sz w:val="19"/>
                <w:szCs w:val="19"/>
              </w:rPr>
              <w:t>Main channel</w:t>
            </w:r>
          </w:p>
        </w:tc>
        <w:tc>
          <w:tcPr>
            <w:tcW w:w="0" w:type="auto"/>
            <w:tcBorders>
              <w:top w:val="single" w:sz="4" w:space="0" w:color="auto"/>
            </w:tcBorders>
            <w:vAlign w:val="bottom"/>
          </w:tcPr>
          <w:p w14:paraId="4E4A83C0" w14:textId="77777777" w:rsidR="005B795C" w:rsidRDefault="005B795C" w:rsidP="00FB0CF5">
            <w:pPr>
              <w:contextualSpacing/>
              <w:jc w:val="center"/>
              <w:rPr>
                <w:b/>
                <w:sz w:val="19"/>
                <w:szCs w:val="19"/>
              </w:rPr>
            </w:pPr>
          </w:p>
        </w:tc>
        <w:tc>
          <w:tcPr>
            <w:tcW w:w="0" w:type="auto"/>
            <w:gridSpan w:val="2"/>
            <w:tcBorders>
              <w:top w:val="single" w:sz="4" w:space="0" w:color="auto"/>
            </w:tcBorders>
            <w:vAlign w:val="bottom"/>
          </w:tcPr>
          <w:p w14:paraId="5D64E3ED" w14:textId="3EAB032B" w:rsidR="005B795C" w:rsidRDefault="005B795C" w:rsidP="00FB0CF5">
            <w:pPr>
              <w:contextualSpacing/>
              <w:jc w:val="center"/>
              <w:rPr>
                <w:b/>
                <w:sz w:val="19"/>
                <w:szCs w:val="19"/>
              </w:rPr>
            </w:pPr>
            <w:r>
              <w:rPr>
                <w:b/>
                <w:sz w:val="19"/>
                <w:szCs w:val="19"/>
              </w:rPr>
              <w:t>Chowilla anabranch</w:t>
            </w:r>
          </w:p>
        </w:tc>
      </w:tr>
      <w:tr w:rsidR="003F20E1" w:rsidRPr="004509F2" w14:paraId="5637A5DF" w14:textId="77777777" w:rsidTr="00FB0CF5">
        <w:trPr>
          <w:trHeight w:val="340"/>
          <w:jc w:val="center"/>
        </w:trPr>
        <w:tc>
          <w:tcPr>
            <w:tcW w:w="0" w:type="auto"/>
            <w:tcBorders>
              <w:bottom w:val="single" w:sz="4" w:space="0" w:color="auto"/>
            </w:tcBorders>
            <w:vAlign w:val="bottom"/>
          </w:tcPr>
          <w:p w14:paraId="4DD66FA1" w14:textId="5AC588C1" w:rsidR="007B5CF9" w:rsidRPr="009A132E" w:rsidRDefault="007B5CF9" w:rsidP="00FB0CF5">
            <w:pPr>
              <w:contextualSpacing/>
              <w:jc w:val="left"/>
              <w:rPr>
                <w:b/>
                <w:sz w:val="19"/>
                <w:szCs w:val="19"/>
              </w:rPr>
            </w:pPr>
          </w:p>
        </w:tc>
        <w:tc>
          <w:tcPr>
            <w:tcW w:w="0" w:type="auto"/>
            <w:tcBorders>
              <w:bottom w:val="single" w:sz="4" w:space="0" w:color="auto"/>
            </w:tcBorders>
            <w:vAlign w:val="bottom"/>
          </w:tcPr>
          <w:p w14:paraId="368545D6" w14:textId="4DDB63E7" w:rsidR="007B5CF9" w:rsidRPr="009A132E" w:rsidRDefault="007B5CF9" w:rsidP="00FB0CF5">
            <w:pPr>
              <w:contextualSpacing/>
              <w:jc w:val="center"/>
              <w:rPr>
                <w:b/>
                <w:sz w:val="19"/>
                <w:szCs w:val="19"/>
              </w:rPr>
            </w:pPr>
            <w:r w:rsidRPr="00F47059">
              <w:rPr>
                <w:b/>
                <w:i/>
                <w:iCs/>
                <w:sz w:val="19"/>
                <w:szCs w:val="19"/>
              </w:rPr>
              <w:t>n</w:t>
            </w:r>
          </w:p>
        </w:tc>
        <w:tc>
          <w:tcPr>
            <w:tcW w:w="0" w:type="auto"/>
            <w:tcBorders>
              <w:bottom w:val="single" w:sz="4" w:space="0" w:color="auto"/>
            </w:tcBorders>
            <w:vAlign w:val="bottom"/>
          </w:tcPr>
          <w:p w14:paraId="31D4EE1F" w14:textId="77777777" w:rsidR="007B5CF9" w:rsidRDefault="007B5CF9" w:rsidP="00FB0CF5">
            <w:pPr>
              <w:contextualSpacing/>
              <w:jc w:val="center"/>
              <w:rPr>
                <w:b/>
                <w:sz w:val="19"/>
                <w:szCs w:val="19"/>
              </w:rPr>
            </w:pPr>
            <w:r>
              <w:rPr>
                <w:b/>
                <w:sz w:val="19"/>
                <w:szCs w:val="19"/>
              </w:rPr>
              <w:t>TL (mm)</w:t>
            </w:r>
          </w:p>
        </w:tc>
        <w:tc>
          <w:tcPr>
            <w:tcW w:w="0" w:type="auto"/>
            <w:tcBorders>
              <w:bottom w:val="single" w:sz="4" w:space="0" w:color="auto"/>
            </w:tcBorders>
            <w:vAlign w:val="bottom"/>
          </w:tcPr>
          <w:p w14:paraId="50BFEAC3" w14:textId="77777777" w:rsidR="007B5CF9" w:rsidRDefault="007B5CF9" w:rsidP="00FB0CF5">
            <w:pPr>
              <w:contextualSpacing/>
              <w:jc w:val="center"/>
              <w:rPr>
                <w:b/>
                <w:sz w:val="19"/>
                <w:szCs w:val="19"/>
              </w:rPr>
            </w:pPr>
            <w:r>
              <w:rPr>
                <w:b/>
                <w:sz w:val="19"/>
                <w:szCs w:val="19"/>
              </w:rPr>
              <w:t>Age (days)</w:t>
            </w:r>
          </w:p>
        </w:tc>
        <w:tc>
          <w:tcPr>
            <w:tcW w:w="0" w:type="auto"/>
            <w:tcBorders>
              <w:bottom w:val="single" w:sz="4" w:space="0" w:color="auto"/>
            </w:tcBorders>
            <w:vAlign w:val="bottom"/>
          </w:tcPr>
          <w:p w14:paraId="6D9E09F6" w14:textId="749468D6" w:rsidR="007B5CF9" w:rsidRDefault="007B5CF9" w:rsidP="00FB0CF5">
            <w:pPr>
              <w:contextualSpacing/>
              <w:jc w:val="center"/>
              <w:rPr>
                <w:b/>
                <w:sz w:val="19"/>
                <w:szCs w:val="19"/>
              </w:rPr>
            </w:pPr>
            <w:r w:rsidRPr="00F47059">
              <w:rPr>
                <w:b/>
                <w:i/>
                <w:iCs/>
                <w:sz w:val="19"/>
                <w:szCs w:val="19"/>
              </w:rPr>
              <w:t>n</w:t>
            </w:r>
          </w:p>
        </w:tc>
        <w:tc>
          <w:tcPr>
            <w:tcW w:w="0" w:type="auto"/>
            <w:tcBorders>
              <w:bottom w:val="single" w:sz="4" w:space="0" w:color="auto"/>
            </w:tcBorders>
            <w:vAlign w:val="bottom"/>
          </w:tcPr>
          <w:p w14:paraId="62F11B60" w14:textId="77777777" w:rsidR="007B5CF9" w:rsidRDefault="007B5CF9" w:rsidP="00FB0CF5">
            <w:pPr>
              <w:contextualSpacing/>
              <w:jc w:val="center"/>
              <w:rPr>
                <w:b/>
                <w:sz w:val="19"/>
                <w:szCs w:val="19"/>
              </w:rPr>
            </w:pPr>
            <w:r>
              <w:rPr>
                <w:b/>
                <w:sz w:val="19"/>
                <w:szCs w:val="19"/>
              </w:rPr>
              <w:t>TL</w:t>
            </w:r>
          </w:p>
        </w:tc>
        <w:tc>
          <w:tcPr>
            <w:tcW w:w="0" w:type="auto"/>
            <w:tcBorders>
              <w:bottom w:val="single" w:sz="4" w:space="0" w:color="auto"/>
            </w:tcBorders>
            <w:vAlign w:val="bottom"/>
          </w:tcPr>
          <w:p w14:paraId="56B41933" w14:textId="0B888EBF" w:rsidR="007B5CF9" w:rsidRDefault="007B5CF9" w:rsidP="00FB0CF5">
            <w:pPr>
              <w:contextualSpacing/>
              <w:jc w:val="center"/>
              <w:rPr>
                <w:b/>
                <w:sz w:val="19"/>
                <w:szCs w:val="19"/>
              </w:rPr>
            </w:pPr>
            <w:r>
              <w:rPr>
                <w:b/>
                <w:sz w:val="19"/>
                <w:szCs w:val="19"/>
              </w:rPr>
              <w:t>Age (days)</w:t>
            </w:r>
          </w:p>
        </w:tc>
      </w:tr>
      <w:tr w:rsidR="003F20E1" w:rsidRPr="004509F2" w14:paraId="36A1F19C" w14:textId="77777777" w:rsidTr="00FB0CF5">
        <w:trPr>
          <w:trHeight w:val="340"/>
          <w:jc w:val="center"/>
        </w:trPr>
        <w:tc>
          <w:tcPr>
            <w:tcW w:w="0" w:type="auto"/>
            <w:tcBorders>
              <w:top w:val="single" w:sz="4" w:space="0" w:color="auto"/>
            </w:tcBorders>
          </w:tcPr>
          <w:p w14:paraId="3E55D2AC" w14:textId="205DA764" w:rsidR="005B795C" w:rsidRPr="004509F2" w:rsidRDefault="003F20E1" w:rsidP="005B795C">
            <w:pPr>
              <w:contextualSpacing/>
              <w:rPr>
                <w:sz w:val="19"/>
                <w:szCs w:val="19"/>
              </w:rPr>
            </w:pPr>
            <w:r>
              <w:rPr>
                <w:sz w:val="19"/>
                <w:szCs w:val="19"/>
              </w:rPr>
              <w:t>3</w:t>
            </w:r>
            <w:r w:rsidR="005B795C">
              <w:rPr>
                <w:sz w:val="19"/>
                <w:szCs w:val="19"/>
              </w:rPr>
              <w:t>–</w:t>
            </w:r>
            <w:r>
              <w:rPr>
                <w:sz w:val="19"/>
                <w:szCs w:val="19"/>
              </w:rPr>
              <w:t>25</w:t>
            </w:r>
            <w:r w:rsidR="005B795C">
              <w:rPr>
                <w:sz w:val="19"/>
                <w:szCs w:val="19"/>
              </w:rPr>
              <w:t>/11/</w:t>
            </w:r>
            <w:r w:rsidR="00A12753">
              <w:rPr>
                <w:sz w:val="19"/>
                <w:szCs w:val="19"/>
              </w:rPr>
              <w:t>20</w:t>
            </w:r>
            <w:r w:rsidR="005B795C">
              <w:rPr>
                <w:sz w:val="19"/>
                <w:szCs w:val="19"/>
              </w:rPr>
              <w:t>20</w:t>
            </w:r>
          </w:p>
        </w:tc>
        <w:tc>
          <w:tcPr>
            <w:tcW w:w="0" w:type="auto"/>
            <w:tcBorders>
              <w:top w:val="single" w:sz="4" w:space="0" w:color="auto"/>
            </w:tcBorders>
          </w:tcPr>
          <w:p w14:paraId="7D7FEE84" w14:textId="21EB2D2D" w:rsidR="005B795C" w:rsidRPr="00175A6D" w:rsidRDefault="00EB279B" w:rsidP="005B795C">
            <w:pPr>
              <w:contextualSpacing/>
              <w:jc w:val="center"/>
              <w:rPr>
                <w:sz w:val="19"/>
                <w:szCs w:val="19"/>
              </w:rPr>
            </w:pPr>
            <w:r>
              <w:rPr>
                <w:sz w:val="19"/>
                <w:szCs w:val="19"/>
              </w:rPr>
              <w:t>4</w:t>
            </w:r>
          </w:p>
        </w:tc>
        <w:tc>
          <w:tcPr>
            <w:tcW w:w="0" w:type="auto"/>
            <w:tcBorders>
              <w:top w:val="single" w:sz="4" w:space="0" w:color="auto"/>
            </w:tcBorders>
          </w:tcPr>
          <w:p w14:paraId="2FEE3C95" w14:textId="2E0936F7" w:rsidR="005B795C" w:rsidRPr="00175A6D" w:rsidRDefault="005B795C" w:rsidP="005B795C">
            <w:pPr>
              <w:contextualSpacing/>
              <w:jc w:val="center"/>
              <w:rPr>
                <w:sz w:val="19"/>
                <w:szCs w:val="19"/>
              </w:rPr>
            </w:pPr>
            <w:r w:rsidRPr="00BB1441">
              <w:rPr>
                <w:sz w:val="19"/>
                <w:szCs w:val="19"/>
              </w:rPr>
              <w:t>11–1</w:t>
            </w:r>
            <w:r w:rsidR="003F20E1">
              <w:rPr>
                <w:sz w:val="19"/>
                <w:szCs w:val="19"/>
              </w:rPr>
              <w:t>3</w:t>
            </w:r>
          </w:p>
        </w:tc>
        <w:tc>
          <w:tcPr>
            <w:tcW w:w="0" w:type="auto"/>
            <w:tcBorders>
              <w:top w:val="single" w:sz="4" w:space="0" w:color="auto"/>
            </w:tcBorders>
          </w:tcPr>
          <w:p w14:paraId="6196F911" w14:textId="1D52D6CB" w:rsidR="005B795C" w:rsidRPr="00175A6D" w:rsidRDefault="005B795C" w:rsidP="005B795C">
            <w:pPr>
              <w:contextualSpacing/>
              <w:jc w:val="center"/>
              <w:rPr>
                <w:sz w:val="19"/>
                <w:szCs w:val="19"/>
              </w:rPr>
            </w:pPr>
            <w:r>
              <w:rPr>
                <w:sz w:val="19"/>
                <w:szCs w:val="19"/>
              </w:rPr>
              <w:t>12</w:t>
            </w:r>
            <w:r w:rsidRPr="00BB1441">
              <w:rPr>
                <w:sz w:val="19"/>
                <w:szCs w:val="19"/>
              </w:rPr>
              <w:t>–</w:t>
            </w:r>
            <w:r>
              <w:rPr>
                <w:sz w:val="19"/>
                <w:szCs w:val="19"/>
              </w:rPr>
              <w:t>13</w:t>
            </w:r>
          </w:p>
        </w:tc>
        <w:tc>
          <w:tcPr>
            <w:tcW w:w="0" w:type="auto"/>
            <w:tcBorders>
              <w:top w:val="single" w:sz="4" w:space="0" w:color="auto"/>
            </w:tcBorders>
          </w:tcPr>
          <w:p w14:paraId="77DDF250" w14:textId="4D84D0DF" w:rsidR="005B795C" w:rsidRPr="00175A6D" w:rsidRDefault="00EB279B" w:rsidP="005B795C">
            <w:pPr>
              <w:contextualSpacing/>
              <w:jc w:val="center"/>
              <w:rPr>
                <w:sz w:val="19"/>
                <w:szCs w:val="19"/>
              </w:rPr>
            </w:pPr>
            <w:r>
              <w:rPr>
                <w:sz w:val="19"/>
                <w:szCs w:val="19"/>
              </w:rPr>
              <w:t>14</w:t>
            </w:r>
          </w:p>
        </w:tc>
        <w:tc>
          <w:tcPr>
            <w:tcW w:w="0" w:type="auto"/>
            <w:tcBorders>
              <w:top w:val="single" w:sz="4" w:space="0" w:color="auto"/>
            </w:tcBorders>
          </w:tcPr>
          <w:p w14:paraId="18A5F1E8" w14:textId="685F13E3" w:rsidR="005B795C" w:rsidRPr="00BB1441" w:rsidRDefault="003F20E1" w:rsidP="005B795C">
            <w:pPr>
              <w:contextualSpacing/>
              <w:jc w:val="center"/>
              <w:rPr>
                <w:sz w:val="19"/>
                <w:szCs w:val="19"/>
              </w:rPr>
            </w:pPr>
            <w:r>
              <w:rPr>
                <w:sz w:val="19"/>
                <w:szCs w:val="19"/>
              </w:rPr>
              <w:t>10–13</w:t>
            </w:r>
          </w:p>
        </w:tc>
        <w:tc>
          <w:tcPr>
            <w:tcW w:w="0" w:type="auto"/>
            <w:tcBorders>
              <w:top w:val="single" w:sz="4" w:space="0" w:color="auto"/>
            </w:tcBorders>
          </w:tcPr>
          <w:p w14:paraId="313E1B16" w14:textId="5D07E637" w:rsidR="005B795C" w:rsidRPr="00BB1441" w:rsidRDefault="003F20E1" w:rsidP="005B795C">
            <w:pPr>
              <w:contextualSpacing/>
              <w:jc w:val="center"/>
              <w:rPr>
                <w:sz w:val="19"/>
                <w:szCs w:val="19"/>
              </w:rPr>
            </w:pPr>
            <w:r>
              <w:rPr>
                <w:sz w:val="19"/>
                <w:szCs w:val="19"/>
              </w:rPr>
              <w:t>11–17</w:t>
            </w:r>
          </w:p>
        </w:tc>
      </w:tr>
      <w:tr w:rsidR="003F20E1" w:rsidRPr="004509F2" w14:paraId="06B6808D" w14:textId="77777777" w:rsidTr="00FB0CF5">
        <w:trPr>
          <w:trHeight w:val="340"/>
          <w:jc w:val="center"/>
        </w:trPr>
        <w:tc>
          <w:tcPr>
            <w:tcW w:w="0" w:type="auto"/>
          </w:tcPr>
          <w:p w14:paraId="1AD63FD1" w14:textId="3B9C2DBE" w:rsidR="005B795C" w:rsidRPr="004509F2" w:rsidRDefault="005B795C" w:rsidP="005B795C">
            <w:pPr>
              <w:contextualSpacing/>
              <w:rPr>
                <w:sz w:val="19"/>
                <w:szCs w:val="19"/>
              </w:rPr>
            </w:pPr>
            <w:r>
              <w:rPr>
                <w:sz w:val="19"/>
                <w:szCs w:val="19"/>
              </w:rPr>
              <w:t>5</w:t>
            </w:r>
            <w:r w:rsidRPr="004509F2">
              <w:rPr>
                <w:sz w:val="19"/>
                <w:szCs w:val="19"/>
              </w:rPr>
              <w:t>–</w:t>
            </w:r>
            <w:r>
              <w:rPr>
                <w:sz w:val="19"/>
                <w:szCs w:val="19"/>
              </w:rPr>
              <w:t>8</w:t>
            </w:r>
            <w:r w:rsidRPr="004509F2">
              <w:rPr>
                <w:sz w:val="19"/>
                <w:szCs w:val="19"/>
              </w:rPr>
              <w:t>/1/</w:t>
            </w:r>
            <w:r w:rsidR="00A12753">
              <w:rPr>
                <w:sz w:val="19"/>
                <w:szCs w:val="19"/>
              </w:rPr>
              <w:t>20</w:t>
            </w:r>
            <w:r>
              <w:rPr>
                <w:sz w:val="19"/>
                <w:szCs w:val="19"/>
              </w:rPr>
              <w:t>21</w:t>
            </w:r>
          </w:p>
        </w:tc>
        <w:tc>
          <w:tcPr>
            <w:tcW w:w="0" w:type="auto"/>
          </w:tcPr>
          <w:p w14:paraId="285AF331" w14:textId="4422F96B" w:rsidR="005B795C" w:rsidRPr="004509F2" w:rsidRDefault="005B795C" w:rsidP="005B795C">
            <w:pPr>
              <w:contextualSpacing/>
              <w:jc w:val="center"/>
              <w:rPr>
                <w:sz w:val="19"/>
                <w:szCs w:val="19"/>
              </w:rPr>
            </w:pPr>
            <w:r>
              <w:rPr>
                <w:sz w:val="19"/>
                <w:szCs w:val="19"/>
              </w:rPr>
              <w:t>0</w:t>
            </w:r>
          </w:p>
        </w:tc>
        <w:tc>
          <w:tcPr>
            <w:tcW w:w="0" w:type="auto"/>
          </w:tcPr>
          <w:p w14:paraId="44307678" w14:textId="0CC76068" w:rsidR="005B795C" w:rsidRPr="004509F2" w:rsidRDefault="005B795C" w:rsidP="005B795C">
            <w:pPr>
              <w:contextualSpacing/>
              <w:jc w:val="center"/>
              <w:rPr>
                <w:sz w:val="19"/>
                <w:szCs w:val="19"/>
              </w:rPr>
            </w:pPr>
          </w:p>
        </w:tc>
        <w:tc>
          <w:tcPr>
            <w:tcW w:w="0" w:type="auto"/>
          </w:tcPr>
          <w:p w14:paraId="123DA101" w14:textId="57CA23C9" w:rsidR="005B795C" w:rsidRPr="004509F2" w:rsidRDefault="005B795C" w:rsidP="005B795C">
            <w:pPr>
              <w:contextualSpacing/>
              <w:jc w:val="center"/>
              <w:rPr>
                <w:sz w:val="19"/>
                <w:szCs w:val="19"/>
              </w:rPr>
            </w:pPr>
          </w:p>
        </w:tc>
        <w:tc>
          <w:tcPr>
            <w:tcW w:w="0" w:type="auto"/>
          </w:tcPr>
          <w:p w14:paraId="61565ACF" w14:textId="00CBC418" w:rsidR="005B795C" w:rsidRPr="004509F2" w:rsidRDefault="00EB279B" w:rsidP="005B795C">
            <w:pPr>
              <w:contextualSpacing/>
              <w:jc w:val="center"/>
              <w:rPr>
                <w:sz w:val="19"/>
                <w:szCs w:val="19"/>
              </w:rPr>
            </w:pPr>
            <w:r>
              <w:rPr>
                <w:sz w:val="19"/>
                <w:szCs w:val="19"/>
              </w:rPr>
              <w:t>NS</w:t>
            </w:r>
          </w:p>
        </w:tc>
        <w:tc>
          <w:tcPr>
            <w:tcW w:w="0" w:type="auto"/>
          </w:tcPr>
          <w:p w14:paraId="48E6A0EC" w14:textId="242E79AE" w:rsidR="005B795C" w:rsidRPr="00BB1441" w:rsidRDefault="005B795C" w:rsidP="005B795C">
            <w:pPr>
              <w:contextualSpacing/>
              <w:jc w:val="center"/>
              <w:rPr>
                <w:sz w:val="19"/>
                <w:szCs w:val="19"/>
              </w:rPr>
            </w:pPr>
          </w:p>
        </w:tc>
        <w:tc>
          <w:tcPr>
            <w:tcW w:w="0" w:type="auto"/>
          </w:tcPr>
          <w:p w14:paraId="52B862E3" w14:textId="25FEBB17" w:rsidR="005B795C" w:rsidRPr="00BB1441" w:rsidRDefault="005B795C" w:rsidP="005B795C">
            <w:pPr>
              <w:contextualSpacing/>
              <w:jc w:val="center"/>
              <w:rPr>
                <w:sz w:val="19"/>
                <w:szCs w:val="19"/>
              </w:rPr>
            </w:pPr>
          </w:p>
        </w:tc>
      </w:tr>
      <w:tr w:rsidR="003F20E1" w:rsidRPr="004509F2" w14:paraId="09BDC4E0" w14:textId="77777777" w:rsidTr="00FB0CF5">
        <w:trPr>
          <w:trHeight w:val="340"/>
          <w:jc w:val="center"/>
        </w:trPr>
        <w:tc>
          <w:tcPr>
            <w:tcW w:w="0" w:type="auto"/>
          </w:tcPr>
          <w:p w14:paraId="7C5E1816" w14:textId="4A20C45A" w:rsidR="003F20E1" w:rsidRPr="004509F2" w:rsidRDefault="003F20E1" w:rsidP="003F20E1">
            <w:pPr>
              <w:contextualSpacing/>
              <w:rPr>
                <w:sz w:val="19"/>
                <w:szCs w:val="19"/>
              </w:rPr>
            </w:pPr>
            <w:r>
              <w:rPr>
                <w:sz w:val="19"/>
                <w:szCs w:val="19"/>
              </w:rPr>
              <w:t>22/2–17/3/</w:t>
            </w:r>
            <w:r w:rsidR="00A12753">
              <w:rPr>
                <w:sz w:val="19"/>
                <w:szCs w:val="19"/>
              </w:rPr>
              <w:t>20</w:t>
            </w:r>
            <w:r>
              <w:rPr>
                <w:sz w:val="19"/>
                <w:szCs w:val="19"/>
              </w:rPr>
              <w:t>21</w:t>
            </w:r>
          </w:p>
        </w:tc>
        <w:tc>
          <w:tcPr>
            <w:tcW w:w="0" w:type="auto"/>
          </w:tcPr>
          <w:p w14:paraId="40CEFB6E" w14:textId="760C257E" w:rsidR="003F20E1" w:rsidRPr="00175A6D" w:rsidRDefault="003F20E1" w:rsidP="003F20E1">
            <w:pPr>
              <w:contextualSpacing/>
              <w:jc w:val="center"/>
              <w:rPr>
                <w:sz w:val="19"/>
                <w:szCs w:val="19"/>
              </w:rPr>
            </w:pPr>
            <w:r w:rsidRPr="00175A6D">
              <w:rPr>
                <w:sz w:val="19"/>
                <w:szCs w:val="19"/>
              </w:rPr>
              <w:t>2</w:t>
            </w:r>
          </w:p>
        </w:tc>
        <w:tc>
          <w:tcPr>
            <w:tcW w:w="0" w:type="auto"/>
          </w:tcPr>
          <w:p w14:paraId="5F90731E" w14:textId="6EF3A16F" w:rsidR="003F20E1" w:rsidRPr="00175A6D" w:rsidRDefault="003F20E1" w:rsidP="003F20E1">
            <w:pPr>
              <w:contextualSpacing/>
              <w:jc w:val="center"/>
              <w:rPr>
                <w:sz w:val="19"/>
                <w:szCs w:val="19"/>
              </w:rPr>
            </w:pPr>
            <w:r w:rsidRPr="00BB1441">
              <w:rPr>
                <w:sz w:val="19"/>
                <w:szCs w:val="19"/>
              </w:rPr>
              <w:t>67–68</w:t>
            </w:r>
          </w:p>
        </w:tc>
        <w:tc>
          <w:tcPr>
            <w:tcW w:w="0" w:type="auto"/>
          </w:tcPr>
          <w:p w14:paraId="439D1CAA" w14:textId="74FD7107" w:rsidR="003F20E1" w:rsidRPr="00175A6D" w:rsidRDefault="003F20E1" w:rsidP="003F20E1">
            <w:pPr>
              <w:contextualSpacing/>
              <w:jc w:val="center"/>
              <w:rPr>
                <w:sz w:val="19"/>
                <w:szCs w:val="19"/>
              </w:rPr>
            </w:pPr>
            <w:r>
              <w:rPr>
                <w:sz w:val="19"/>
                <w:szCs w:val="19"/>
              </w:rPr>
              <w:t>96</w:t>
            </w:r>
            <w:r w:rsidRPr="00BB1441">
              <w:rPr>
                <w:sz w:val="19"/>
                <w:szCs w:val="19"/>
              </w:rPr>
              <w:t>–</w:t>
            </w:r>
            <w:r>
              <w:rPr>
                <w:sz w:val="19"/>
                <w:szCs w:val="19"/>
              </w:rPr>
              <w:t>100</w:t>
            </w:r>
          </w:p>
        </w:tc>
        <w:tc>
          <w:tcPr>
            <w:tcW w:w="0" w:type="auto"/>
          </w:tcPr>
          <w:p w14:paraId="7D618CA2" w14:textId="3B6365F6" w:rsidR="003F20E1" w:rsidRPr="00175A6D" w:rsidRDefault="003F20E1" w:rsidP="003F20E1">
            <w:pPr>
              <w:contextualSpacing/>
              <w:jc w:val="center"/>
              <w:rPr>
                <w:sz w:val="19"/>
                <w:szCs w:val="19"/>
              </w:rPr>
            </w:pPr>
            <w:r>
              <w:rPr>
                <w:sz w:val="19"/>
                <w:szCs w:val="19"/>
              </w:rPr>
              <w:t>3</w:t>
            </w:r>
          </w:p>
        </w:tc>
        <w:tc>
          <w:tcPr>
            <w:tcW w:w="0" w:type="auto"/>
          </w:tcPr>
          <w:p w14:paraId="225D0BC1" w14:textId="6F4B6CB3" w:rsidR="003F20E1" w:rsidRPr="00BB1441" w:rsidRDefault="003F20E1" w:rsidP="003F20E1">
            <w:pPr>
              <w:contextualSpacing/>
              <w:jc w:val="center"/>
              <w:rPr>
                <w:sz w:val="19"/>
                <w:szCs w:val="19"/>
              </w:rPr>
            </w:pPr>
            <w:r>
              <w:rPr>
                <w:sz w:val="19"/>
                <w:szCs w:val="19"/>
              </w:rPr>
              <w:t>62–87</w:t>
            </w:r>
          </w:p>
        </w:tc>
        <w:tc>
          <w:tcPr>
            <w:tcW w:w="0" w:type="auto"/>
          </w:tcPr>
          <w:p w14:paraId="6698A9FA" w14:textId="3B96032B" w:rsidR="003F20E1" w:rsidRPr="00BB1441" w:rsidRDefault="003F20E1" w:rsidP="003F20E1">
            <w:pPr>
              <w:contextualSpacing/>
              <w:jc w:val="center"/>
              <w:rPr>
                <w:sz w:val="19"/>
                <w:szCs w:val="19"/>
              </w:rPr>
            </w:pPr>
            <w:r>
              <w:rPr>
                <w:sz w:val="19"/>
                <w:szCs w:val="19"/>
              </w:rPr>
              <w:t>96–112</w:t>
            </w:r>
          </w:p>
        </w:tc>
      </w:tr>
      <w:tr w:rsidR="003F20E1" w:rsidRPr="004509F2" w14:paraId="224FD0C7" w14:textId="77777777" w:rsidTr="00FB0CF5">
        <w:trPr>
          <w:trHeight w:val="340"/>
          <w:jc w:val="center"/>
        </w:trPr>
        <w:tc>
          <w:tcPr>
            <w:tcW w:w="0" w:type="auto"/>
          </w:tcPr>
          <w:p w14:paraId="52D2EB5E" w14:textId="7DECEF8A" w:rsidR="003F20E1" w:rsidRPr="004509F2" w:rsidRDefault="003F20E1" w:rsidP="003F20E1">
            <w:pPr>
              <w:contextualSpacing/>
              <w:rPr>
                <w:sz w:val="19"/>
                <w:szCs w:val="19"/>
              </w:rPr>
            </w:pPr>
            <w:r>
              <w:rPr>
                <w:sz w:val="19"/>
                <w:szCs w:val="19"/>
              </w:rPr>
              <w:t>29/3–21/4</w:t>
            </w:r>
            <w:r w:rsidRPr="004509F2">
              <w:rPr>
                <w:sz w:val="19"/>
                <w:szCs w:val="19"/>
              </w:rPr>
              <w:t>/</w:t>
            </w:r>
            <w:r w:rsidR="00A12753">
              <w:rPr>
                <w:sz w:val="19"/>
                <w:szCs w:val="19"/>
              </w:rPr>
              <w:t>20</w:t>
            </w:r>
            <w:r>
              <w:rPr>
                <w:sz w:val="19"/>
                <w:szCs w:val="19"/>
              </w:rPr>
              <w:t>21</w:t>
            </w:r>
          </w:p>
        </w:tc>
        <w:tc>
          <w:tcPr>
            <w:tcW w:w="0" w:type="auto"/>
          </w:tcPr>
          <w:p w14:paraId="009C6911" w14:textId="45B97159" w:rsidR="003F20E1" w:rsidRPr="00175A6D" w:rsidRDefault="003F20E1" w:rsidP="003F20E1">
            <w:pPr>
              <w:contextualSpacing/>
              <w:jc w:val="center"/>
              <w:rPr>
                <w:sz w:val="19"/>
                <w:szCs w:val="19"/>
              </w:rPr>
            </w:pPr>
            <w:r>
              <w:rPr>
                <w:sz w:val="19"/>
                <w:szCs w:val="19"/>
              </w:rPr>
              <w:t>7</w:t>
            </w:r>
          </w:p>
        </w:tc>
        <w:tc>
          <w:tcPr>
            <w:tcW w:w="0" w:type="auto"/>
          </w:tcPr>
          <w:p w14:paraId="0B776495" w14:textId="763E3141" w:rsidR="003F20E1" w:rsidRPr="00175A6D" w:rsidRDefault="003F20E1" w:rsidP="003F20E1">
            <w:pPr>
              <w:contextualSpacing/>
              <w:jc w:val="center"/>
              <w:rPr>
                <w:sz w:val="19"/>
                <w:szCs w:val="19"/>
              </w:rPr>
            </w:pPr>
            <w:r>
              <w:rPr>
                <w:sz w:val="19"/>
                <w:szCs w:val="19"/>
              </w:rPr>
              <w:t xml:space="preserve">83–109 </w:t>
            </w:r>
          </w:p>
        </w:tc>
        <w:tc>
          <w:tcPr>
            <w:tcW w:w="0" w:type="auto"/>
          </w:tcPr>
          <w:p w14:paraId="7E5A4C78" w14:textId="4AF48738" w:rsidR="003F20E1" w:rsidRPr="00175A6D" w:rsidRDefault="003F20E1" w:rsidP="003F20E1">
            <w:pPr>
              <w:contextualSpacing/>
              <w:jc w:val="center"/>
              <w:rPr>
                <w:sz w:val="19"/>
                <w:szCs w:val="19"/>
              </w:rPr>
            </w:pPr>
            <w:r>
              <w:rPr>
                <w:sz w:val="19"/>
                <w:szCs w:val="19"/>
              </w:rPr>
              <w:t>125–129</w:t>
            </w:r>
          </w:p>
        </w:tc>
        <w:tc>
          <w:tcPr>
            <w:tcW w:w="0" w:type="auto"/>
          </w:tcPr>
          <w:p w14:paraId="6934809B" w14:textId="11A7388C" w:rsidR="003F20E1" w:rsidRPr="00175A6D" w:rsidRDefault="003F20E1" w:rsidP="003F20E1">
            <w:pPr>
              <w:contextualSpacing/>
              <w:jc w:val="center"/>
              <w:rPr>
                <w:sz w:val="19"/>
                <w:szCs w:val="19"/>
              </w:rPr>
            </w:pPr>
            <w:r>
              <w:rPr>
                <w:sz w:val="19"/>
                <w:szCs w:val="19"/>
              </w:rPr>
              <w:t>NS</w:t>
            </w:r>
          </w:p>
        </w:tc>
        <w:tc>
          <w:tcPr>
            <w:tcW w:w="0" w:type="auto"/>
          </w:tcPr>
          <w:p w14:paraId="1E3696D9" w14:textId="6E69ACF6" w:rsidR="003F20E1" w:rsidRPr="00BB1441" w:rsidRDefault="003F20E1" w:rsidP="003F20E1">
            <w:pPr>
              <w:contextualSpacing/>
              <w:jc w:val="center"/>
              <w:rPr>
                <w:sz w:val="19"/>
                <w:szCs w:val="19"/>
              </w:rPr>
            </w:pPr>
          </w:p>
        </w:tc>
        <w:tc>
          <w:tcPr>
            <w:tcW w:w="0" w:type="auto"/>
          </w:tcPr>
          <w:p w14:paraId="2F45C2D2" w14:textId="608BCDF9" w:rsidR="003F20E1" w:rsidRPr="00BB1441" w:rsidRDefault="003F20E1" w:rsidP="003F20E1">
            <w:pPr>
              <w:contextualSpacing/>
              <w:jc w:val="center"/>
              <w:rPr>
                <w:sz w:val="19"/>
                <w:szCs w:val="19"/>
              </w:rPr>
            </w:pPr>
          </w:p>
        </w:tc>
      </w:tr>
      <w:tr w:rsidR="003F20E1" w:rsidRPr="004509F2" w14:paraId="3F058D28" w14:textId="77777777" w:rsidTr="003F20E1">
        <w:trPr>
          <w:trHeight w:val="340"/>
          <w:jc w:val="center"/>
        </w:trPr>
        <w:tc>
          <w:tcPr>
            <w:tcW w:w="0" w:type="auto"/>
          </w:tcPr>
          <w:p w14:paraId="56DCD501" w14:textId="133FCB02" w:rsidR="003F20E1" w:rsidRPr="004509F2" w:rsidRDefault="003F20E1" w:rsidP="003F20E1">
            <w:pPr>
              <w:contextualSpacing/>
              <w:rPr>
                <w:sz w:val="19"/>
                <w:szCs w:val="19"/>
              </w:rPr>
            </w:pPr>
            <w:r>
              <w:rPr>
                <w:sz w:val="19"/>
                <w:szCs w:val="19"/>
              </w:rPr>
              <w:t>3</w:t>
            </w:r>
            <w:r w:rsidRPr="004509F2">
              <w:rPr>
                <w:sz w:val="19"/>
                <w:szCs w:val="19"/>
              </w:rPr>
              <w:t>–</w:t>
            </w:r>
            <w:r>
              <w:rPr>
                <w:sz w:val="19"/>
                <w:szCs w:val="19"/>
              </w:rPr>
              <w:t>20/5/</w:t>
            </w:r>
            <w:r w:rsidR="00A12753">
              <w:rPr>
                <w:sz w:val="19"/>
                <w:szCs w:val="19"/>
              </w:rPr>
              <w:t>20</w:t>
            </w:r>
            <w:r>
              <w:rPr>
                <w:sz w:val="19"/>
                <w:szCs w:val="19"/>
              </w:rPr>
              <w:t>21</w:t>
            </w:r>
          </w:p>
        </w:tc>
        <w:tc>
          <w:tcPr>
            <w:tcW w:w="0" w:type="auto"/>
          </w:tcPr>
          <w:p w14:paraId="70E46CE3" w14:textId="5597A8D1" w:rsidR="003F20E1" w:rsidRPr="00175A6D" w:rsidRDefault="003F20E1" w:rsidP="003F20E1">
            <w:pPr>
              <w:contextualSpacing/>
              <w:jc w:val="center"/>
              <w:rPr>
                <w:sz w:val="19"/>
                <w:szCs w:val="19"/>
              </w:rPr>
            </w:pPr>
            <w:r>
              <w:rPr>
                <w:sz w:val="19"/>
                <w:szCs w:val="19"/>
              </w:rPr>
              <w:t>2</w:t>
            </w:r>
          </w:p>
        </w:tc>
        <w:tc>
          <w:tcPr>
            <w:tcW w:w="0" w:type="auto"/>
          </w:tcPr>
          <w:p w14:paraId="06324564" w14:textId="3634405B" w:rsidR="003F20E1" w:rsidRPr="00175A6D" w:rsidRDefault="003F20E1" w:rsidP="003F20E1">
            <w:pPr>
              <w:contextualSpacing/>
              <w:jc w:val="center"/>
              <w:rPr>
                <w:sz w:val="19"/>
                <w:szCs w:val="19"/>
              </w:rPr>
            </w:pPr>
            <w:r>
              <w:rPr>
                <w:sz w:val="19"/>
                <w:szCs w:val="19"/>
              </w:rPr>
              <w:t>95–121</w:t>
            </w:r>
          </w:p>
        </w:tc>
        <w:tc>
          <w:tcPr>
            <w:tcW w:w="0" w:type="auto"/>
          </w:tcPr>
          <w:p w14:paraId="519CC9CB" w14:textId="77777777" w:rsidR="003F20E1" w:rsidRPr="00175A6D" w:rsidRDefault="003F20E1" w:rsidP="003F20E1">
            <w:pPr>
              <w:contextualSpacing/>
              <w:jc w:val="center"/>
              <w:rPr>
                <w:sz w:val="19"/>
                <w:szCs w:val="19"/>
              </w:rPr>
            </w:pPr>
          </w:p>
        </w:tc>
        <w:tc>
          <w:tcPr>
            <w:tcW w:w="0" w:type="auto"/>
          </w:tcPr>
          <w:p w14:paraId="06F660FE" w14:textId="0D95A227" w:rsidR="003F20E1" w:rsidRPr="00175A6D" w:rsidRDefault="003F20E1" w:rsidP="003F20E1">
            <w:pPr>
              <w:contextualSpacing/>
              <w:jc w:val="center"/>
              <w:rPr>
                <w:sz w:val="19"/>
                <w:szCs w:val="19"/>
              </w:rPr>
            </w:pPr>
            <w:r>
              <w:rPr>
                <w:sz w:val="19"/>
                <w:szCs w:val="19"/>
              </w:rPr>
              <w:t>4</w:t>
            </w:r>
          </w:p>
        </w:tc>
        <w:tc>
          <w:tcPr>
            <w:tcW w:w="0" w:type="auto"/>
          </w:tcPr>
          <w:p w14:paraId="34F3A77F" w14:textId="407A6365" w:rsidR="003F20E1" w:rsidRPr="00BB1441" w:rsidRDefault="003F20E1" w:rsidP="003F20E1">
            <w:pPr>
              <w:contextualSpacing/>
              <w:jc w:val="center"/>
              <w:rPr>
                <w:sz w:val="19"/>
                <w:szCs w:val="19"/>
              </w:rPr>
            </w:pPr>
            <w:r>
              <w:rPr>
                <w:sz w:val="19"/>
                <w:szCs w:val="19"/>
              </w:rPr>
              <w:t>103–135</w:t>
            </w:r>
          </w:p>
        </w:tc>
        <w:tc>
          <w:tcPr>
            <w:tcW w:w="0" w:type="auto"/>
          </w:tcPr>
          <w:p w14:paraId="026D87F6" w14:textId="77777777" w:rsidR="003F20E1" w:rsidRPr="00BB1441" w:rsidRDefault="003F20E1" w:rsidP="003F20E1">
            <w:pPr>
              <w:contextualSpacing/>
              <w:jc w:val="center"/>
              <w:rPr>
                <w:sz w:val="19"/>
                <w:szCs w:val="19"/>
              </w:rPr>
            </w:pPr>
          </w:p>
        </w:tc>
      </w:tr>
      <w:tr w:rsidR="003F20E1" w:rsidRPr="004509F2" w14:paraId="54ECC05D" w14:textId="77777777" w:rsidTr="00FB0CF5">
        <w:trPr>
          <w:trHeight w:val="340"/>
          <w:jc w:val="center"/>
        </w:trPr>
        <w:tc>
          <w:tcPr>
            <w:tcW w:w="0" w:type="auto"/>
            <w:tcBorders>
              <w:bottom w:val="single" w:sz="4" w:space="0" w:color="auto"/>
            </w:tcBorders>
          </w:tcPr>
          <w:p w14:paraId="62CDDE53" w14:textId="69DCA504" w:rsidR="003F20E1" w:rsidRPr="003F20E1" w:rsidRDefault="003F20E1" w:rsidP="003F20E1">
            <w:pPr>
              <w:contextualSpacing/>
              <w:rPr>
                <w:b/>
                <w:bCs/>
                <w:sz w:val="19"/>
                <w:szCs w:val="19"/>
              </w:rPr>
            </w:pPr>
            <w:r w:rsidRPr="003F20E1">
              <w:rPr>
                <w:b/>
                <w:bCs/>
                <w:sz w:val="19"/>
                <w:szCs w:val="19"/>
              </w:rPr>
              <w:t>Total</w:t>
            </w:r>
          </w:p>
        </w:tc>
        <w:tc>
          <w:tcPr>
            <w:tcW w:w="0" w:type="auto"/>
            <w:tcBorders>
              <w:bottom w:val="single" w:sz="4" w:space="0" w:color="auto"/>
            </w:tcBorders>
          </w:tcPr>
          <w:p w14:paraId="0ED7038D" w14:textId="07E9CF30" w:rsidR="003F20E1" w:rsidRPr="003F20E1" w:rsidRDefault="003F20E1" w:rsidP="003F20E1">
            <w:pPr>
              <w:contextualSpacing/>
              <w:jc w:val="center"/>
              <w:rPr>
                <w:b/>
                <w:bCs/>
                <w:sz w:val="19"/>
                <w:szCs w:val="19"/>
              </w:rPr>
            </w:pPr>
            <w:r>
              <w:rPr>
                <w:b/>
                <w:bCs/>
                <w:sz w:val="19"/>
                <w:szCs w:val="19"/>
              </w:rPr>
              <w:t>15</w:t>
            </w:r>
          </w:p>
        </w:tc>
        <w:tc>
          <w:tcPr>
            <w:tcW w:w="0" w:type="auto"/>
            <w:tcBorders>
              <w:bottom w:val="single" w:sz="4" w:space="0" w:color="auto"/>
            </w:tcBorders>
          </w:tcPr>
          <w:p w14:paraId="69AFF330" w14:textId="77777777" w:rsidR="003F20E1" w:rsidRPr="003F20E1" w:rsidDel="00184457" w:rsidRDefault="003F20E1" w:rsidP="003F20E1">
            <w:pPr>
              <w:contextualSpacing/>
              <w:jc w:val="center"/>
              <w:rPr>
                <w:b/>
                <w:bCs/>
                <w:sz w:val="19"/>
                <w:szCs w:val="19"/>
              </w:rPr>
            </w:pPr>
          </w:p>
        </w:tc>
        <w:tc>
          <w:tcPr>
            <w:tcW w:w="0" w:type="auto"/>
            <w:tcBorders>
              <w:bottom w:val="single" w:sz="4" w:space="0" w:color="auto"/>
            </w:tcBorders>
          </w:tcPr>
          <w:p w14:paraId="1E1176C5" w14:textId="77777777" w:rsidR="003F20E1" w:rsidRPr="003F20E1" w:rsidRDefault="003F20E1" w:rsidP="003F20E1">
            <w:pPr>
              <w:contextualSpacing/>
              <w:jc w:val="center"/>
              <w:rPr>
                <w:b/>
                <w:bCs/>
                <w:sz w:val="19"/>
                <w:szCs w:val="19"/>
              </w:rPr>
            </w:pPr>
          </w:p>
        </w:tc>
        <w:tc>
          <w:tcPr>
            <w:tcW w:w="0" w:type="auto"/>
            <w:tcBorders>
              <w:bottom w:val="single" w:sz="4" w:space="0" w:color="auto"/>
            </w:tcBorders>
          </w:tcPr>
          <w:p w14:paraId="1F06207C" w14:textId="115CDD5F" w:rsidR="003F20E1" w:rsidRPr="003F20E1" w:rsidRDefault="003F20E1" w:rsidP="003F20E1">
            <w:pPr>
              <w:contextualSpacing/>
              <w:jc w:val="center"/>
              <w:rPr>
                <w:b/>
                <w:bCs/>
                <w:sz w:val="19"/>
                <w:szCs w:val="19"/>
              </w:rPr>
            </w:pPr>
            <w:r>
              <w:rPr>
                <w:b/>
                <w:bCs/>
                <w:sz w:val="19"/>
                <w:szCs w:val="19"/>
              </w:rPr>
              <w:t>21</w:t>
            </w:r>
          </w:p>
        </w:tc>
        <w:tc>
          <w:tcPr>
            <w:tcW w:w="0" w:type="auto"/>
            <w:tcBorders>
              <w:bottom w:val="single" w:sz="4" w:space="0" w:color="auto"/>
            </w:tcBorders>
          </w:tcPr>
          <w:p w14:paraId="4919025F" w14:textId="77777777" w:rsidR="003F20E1" w:rsidRPr="003F20E1" w:rsidDel="00184457" w:rsidRDefault="003F20E1" w:rsidP="003F20E1">
            <w:pPr>
              <w:contextualSpacing/>
              <w:jc w:val="center"/>
              <w:rPr>
                <w:b/>
                <w:bCs/>
                <w:sz w:val="19"/>
                <w:szCs w:val="19"/>
              </w:rPr>
            </w:pPr>
          </w:p>
        </w:tc>
        <w:tc>
          <w:tcPr>
            <w:tcW w:w="0" w:type="auto"/>
            <w:tcBorders>
              <w:bottom w:val="single" w:sz="4" w:space="0" w:color="auto"/>
            </w:tcBorders>
          </w:tcPr>
          <w:p w14:paraId="5F7CE1BC" w14:textId="77777777" w:rsidR="003F20E1" w:rsidRPr="003F20E1" w:rsidRDefault="003F20E1" w:rsidP="003F20E1">
            <w:pPr>
              <w:contextualSpacing/>
              <w:jc w:val="center"/>
              <w:rPr>
                <w:b/>
                <w:bCs/>
                <w:sz w:val="19"/>
                <w:szCs w:val="19"/>
              </w:rPr>
            </w:pPr>
          </w:p>
        </w:tc>
      </w:tr>
    </w:tbl>
    <w:p w14:paraId="058965E8" w14:textId="00617F51" w:rsidR="007B56CE" w:rsidRPr="00CD088A" w:rsidRDefault="007B56CE" w:rsidP="00FB0CF5">
      <w:pPr>
        <w:pStyle w:val="Heading4"/>
      </w:pPr>
      <w:r w:rsidRPr="00CD088A">
        <w:t xml:space="preserve">Length and </w:t>
      </w:r>
      <w:r w:rsidR="00065519" w:rsidRPr="00CD088A">
        <w:t>hatch</w:t>
      </w:r>
      <w:r w:rsidRPr="00CD088A">
        <w:t xml:space="preserve"> dates</w:t>
      </w:r>
    </w:p>
    <w:p w14:paraId="03171761" w14:textId="56B9E42E" w:rsidR="007B56CE" w:rsidRDefault="00096208" w:rsidP="007B56CE">
      <w:r w:rsidRPr="00CD088A">
        <w:t>Murray cod larvae and</w:t>
      </w:r>
      <w:r w:rsidR="0007255A" w:rsidRPr="00CD088A">
        <w:t xml:space="preserve"> age</w:t>
      </w:r>
      <w:r w:rsidRPr="00CD088A">
        <w:t xml:space="preserve"> 0+ juveniles sampled from the LMR </w:t>
      </w:r>
      <w:r w:rsidR="00D129CA">
        <w:t xml:space="preserve">main channel </w:t>
      </w:r>
      <w:r w:rsidR="004C5116">
        <w:t xml:space="preserve">and </w:t>
      </w:r>
      <w:r w:rsidR="00D129CA">
        <w:t>a</w:t>
      </w:r>
      <w:r w:rsidR="004C5116">
        <w:t>nabranch</w:t>
      </w:r>
      <w:r w:rsidR="00D129CA">
        <w:t>es</w:t>
      </w:r>
      <w:r w:rsidR="004C5116">
        <w:t xml:space="preserve"> </w:t>
      </w:r>
      <w:r w:rsidRPr="00CD088A">
        <w:t>ranged in TL from 10–1</w:t>
      </w:r>
      <w:r w:rsidR="000E3931" w:rsidRPr="00CD088A">
        <w:t>35</w:t>
      </w:r>
      <w:r w:rsidRPr="00CD088A">
        <w:t> mm. From November 20</w:t>
      </w:r>
      <w:r w:rsidR="000E3931" w:rsidRPr="00CD088A">
        <w:t>20</w:t>
      </w:r>
      <w:r w:rsidRPr="00CD088A">
        <w:t xml:space="preserve"> to May 202</w:t>
      </w:r>
      <w:r w:rsidR="000E3931" w:rsidRPr="00CD088A">
        <w:t>1</w:t>
      </w:r>
      <w:r w:rsidRPr="00CD088A">
        <w:t xml:space="preserve">, length frequency </w:t>
      </w:r>
      <w:r w:rsidRPr="004C5116">
        <w:t xml:space="preserve">distributions indicated progression in length between sampling events </w:t>
      </w:r>
      <w:r w:rsidR="007B56CE" w:rsidRPr="004C5116">
        <w:t>(</w:t>
      </w:r>
      <w:r w:rsidR="00A34010" w:rsidRPr="004C5116">
        <w:fldChar w:fldCharType="begin"/>
      </w:r>
      <w:r w:rsidR="00A34010" w:rsidRPr="004C5116">
        <w:instrText xml:space="preserve"> REF _Ref57899369 \h </w:instrText>
      </w:r>
      <w:r w:rsidR="00993ECF" w:rsidRPr="004C5116">
        <w:instrText xml:space="preserve"> \* MERGEFORMAT </w:instrText>
      </w:r>
      <w:r w:rsidR="00A34010" w:rsidRPr="004C5116">
        <w:fldChar w:fldCharType="separate"/>
      </w:r>
      <w:r w:rsidR="003C13F6" w:rsidRPr="00653A9F">
        <w:t xml:space="preserve">Figure </w:t>
      </w:r>
      <w:r w:rsidR="003C13F6">
        <w:rPr>
          <w:noProof/>
        </w:rPr>
        <w:t>51</w:t>
      </w:r>
      <w:r w:rsidR="00A34010" w:rsidRPr="004C5116">
        <w:fldChar w:fldCharType="end"/>
      </w:r>
      <w:r w:rsidR="007B56CE" w:rsidRPr="004C5116">
        <w:t xml:space="preserve">). </w:t>
      </w:r>
      <w:r w:rsidRPr="004C5116">
        <w:t xml:space="preserve">Estimated ages during </w:t>
      </w:r>
      <w:r w:rsidR="007B5CF9" w:rsidRPr="004C5116">
        <w:t>November</w:t>
      </w:r>
      <w:r w:rsidRPr="004C5116">
        <w:t xml:space="preserve">, </w:t>
      </w:r>
      <w:r w:rsidR="007B5CF9" w:rsidRPr="004C5116">
        <w:t>February</w:t>
      </w:r>
      <w:r w:rsidR="004C5116" w:rsidRPr="004C5116">
        <w:t>/early March</w:t>
      </w:r>
      <w:r w:rsidRPr="004C5116">
        <w:t xml:space="preserve"> and </w:t>
      </w:r>
      <w:r w:rsidR="004C5116" w:rsidRPr="004C5116">
        <w:t>late March/</w:t>
      </w:r>
      <w:r w:rsidR="00C368A4" w:rsidRPr="004C5116">
        <w:t>April</w:t>
      </w:r>
      <w:r w:rsidRPr="004C5116">
        <w:t xml:space="preserve"> ranged from 10–1</w:t>
      </w:r>
      <w:r w:rsidR="004C5116" w:rsidRPr="004C5116">
        <w:t>7</w:t>
      </w:r>
      <w:r w:rsidRPr="004C5116">
        <w:t xml:space="preserve">, </w:t>
      </w:r>
      <w:r w:rsidR="004C5116" w:rsidRPr="004C5116">
        <w:t>96</w:t>
      </w:r>
      <w:r w:rsidRPr="004C5116">
        <w:t>–</w:t>
      </w:r>
      <w:r w:rsidR="004C5116" w:rsidRPr="004C5116">
        <w:t>112</w:t>
      </w:r>
      <w:r w:rsidRPr="004C5116">
        <w:t xml:space="preserve"> and </w:t>
      </w:r>
      <w:r w:rsidR="004C5116" w:rsidRPr="004C5116">
        <w:t>125</w:t>
      </w:r>
      <w:r w:rsidRPr="004C5116">
        <w:t>–1</w:t>
      </w:r>
      <w:r w:rsidR="004C5116" w:rsidRPr="004C5116">
        <w:t>29</w:t>
      </w:r>
      <w:r w:rsidRPr="004C5116">
        <w:t xml:space="preserve"> days, respectively </w:t>
      </w:r>
      <w:r w:rsidR="007B56CE" w:rsidRPr="004C5116">
        <w:t>(</w:t>
      </w:r>
      <w:r w:rsidR="00862675" w:rsidRPr="004C5116">
        <w:fldChar w:fldCharType="begin"/>
      </w:r>
      <w:r w:rsidR="00862675" w:rsidRPr="004C5116">
        <w:instrText xml:space="preserve"> REF _Ref57899686 \h </w:instrText>
      </w:r>
      <w:r w:rsidR="00993ECF" w:rsidRPr="004C5116">
        <w:instrText xml:space="preserve"> \* MERGEFORMAT </w:instrText>
      </w:r>
      <w:r w:rsidR="00862675" w:rsidRPr="004C5116">
        <w:fldChar w:fldCharType="separate"/>
      </w:r>
      <w:r w:rsidR="003C13F6">
        <w:t xml:space="preserve">Table </w:t>
      </w:r>
      <w:r w:rsidR="003C13F6">
        <w:rPr>
          <w:noProof/>
        </w:rPr>
        <w:t>22</w:t>
      </w:r>
      <w:r w:rsidR="00862675" w:rsidRPr="004C5116">
        <w:fldChar w:fldCharType="end"/>
      </w:r>
      <w:r w:rsidR="007B56CE" w:rsidRPr="004C5116">
        <w:t>),</w:t>
      </w:r>
      <w:r w:rsidR="004C5116" w:rsidRPr="004C5116">
        <w:t xml:space="preserve"> </w:t>
      </w:r>
      <w:r w:rsidR="007B56CE" w:rsidRPr="004C5116">
        <w:t>correspond</w:t>
      </w:r>
      <w:r w:rsidR="004C5116" w:rsidRPr="004C5116">
        <w:t>ing</w:t>
      </w:r>
      <w:r w:rsidR="007B56CE" w:rsidRPr="004C5116">
        <w:t xml:space="preserve"> to </w:t>
      </w:r>
      <w:r w:rsidR="00065519" w:rsidRPr="004C5116">
        <w:t>hatch</w:t>
      </w:r>
      <w:r w:rsidR="007B56CE" w:rsidRPr="004C5116">
        <w:t xml:space="preserve"> dates from 1</w:t>
      </w:r>
      <w:r w:rsidR="004C5116" w:rsidRPr="004C5116">
        <w:t>8</w:t>
      </w:r>
      <w:r w:rsidR="007B56CE" w:rsidRPr="004C5116">
        <w:t xml:space="preserve"> October to </w:t>
      </w:r>
      <w:r w:rsidR="004C5116" w:rsidRPr="004C5116">
        <w:t>1</w:t>
      </w:r>
      <w:r w:rsidR="007B56CE" w:rsidRPr="004C5116">
        <w:t xml:space="preserve"> December 20</w:t>
      </w:r>
      <w:r w:rsidR="004C5116" w:rsidRPr="004C5116">
        <w:t>20</w:t>
      </w:r>
      <w:r w:rsidR="007B56CE" w:rsidRPr="004C5116">
        <w:t xml:space="preserve">. </w:t>
      </w:r>
      <w:r w:rsidR="00E10624" w:rsidRPr="004C5116">
        <w:t>Assuming an incubation period of 7</w:t>
      </w:r>
      <w:r w:rsidR="0091362A" w:rsidRPr="004C5116">
        <w:t xml:space="preserve"> </w:t>
      </w:r>
      <w:r w:rsidR="00E10624" w:rsidRPr="004C5116">
        <w:t>d</w:t>
      </w:r>
      <w:r w:rsidR="0091362A" w:rsidRPr="004C5116">
        <w:t>ays</w:t>
      </w:r>
      <w:r w:rsidR="00FB7555" w:rsidRPr="004C5116">
        <w:t xml:space="preserve"> (Ingram </w:t>
      </w:r>
      <w:r w:rsidR="00FB7555" w:rsidRPr="004C5116">
        <w:rPr>
          <w:i/>
          <w:iCs/>
        </w:rPr>
        <w:t>et al.</w:t>
      </w:r>
      <w:r w:rsidR="00FB7555" w:rsidRPr="004C5116">
        <w:t xml:space="preserve"> 2012)</w:t>
      </w:r>
      <w:r w:rsidR="00E10624" w:rsidRPr="004C5116">
        <w:t xml:space="preserve">, </w:t>
      </w:r>
      <w:r w:rsidR="007B56CE" w:rsidRPr="004C5116">
        <w:t>spawning</w:t>
      </w:r>
      <w:r w:rsidR="00C163C9" w:rsidRPr="004C5116">
        <w:t xml:space="preserve"> is estimated to have</w:t>
      </w:r>
      <w:r w:rsidR="007B56CE" w:rsidRPr="004C5116">
        <w:t xml:space="preserve"> occurred from </w:t>
      </w:r>
      <w:r w:rsidR="00E10624" w:rsidRPr="004C5116">
        <w:t>1</w:t>
      </w:r>
      <w:r w:rsidR="004C5116" w:rsidRPr="004C5116">
        <w:t>1</w:t>
      </w:r>
      <w:r w:rsidR="007B56CE" w:rsidRPr="004C5116">
        <w:t xml:space="preserve"> October to </w:t>
      </w:r>
      <w:r w:rsidR="004C5116" w:rsidRPr="004C5116">
        <w:t>24</w:t>
      </w:r>
      <w:r w:rsidR="00160146" w:rsidRPr="004C5116">
        <w:t xml:space="preserve"> </w:t>
      </w:r>
      <w:r w:rsidR="007B56CE" w:rsidRPr="004C5116">
        <w:t>November 20</w:t>
      </w:r>
      <w:r w:rsidR="00F7021E">
        <w:t>20</w:t>
      </w:r>
      <w:r w:rsidR="00160146" w:rsidRPr="004C5116">
        <w:t xml:space="preserve">, with </w:t>
      </w:r>
      <w:r w:rsidR="007E408D" w:rsidRPr="004C5116">
        <w:t>spawn</w:t>
      </w:r>
      <w:r w:rsidR="00160146" w:rsidRPr="004C5116">
        <w:t xml:space="preserve"> date frequency distributions influenced by the timing of larval sampling (</w:t>
      </w:r>
      <w:r w:rsidR="00A34010" w:rsidRPr="004C5116">
        <w:fldChar w:fldCharType="begin"/>
      </w:r>
      <w:r w:rsidR="00A34010" w:rsidRPr="004C5116">
        <w:instrText xml:space="preserve"> REF _Ref57899348 \h </w:instrText>
      </w:r>
      <w:r w:rsidR="00993ECF" w:rsidRPr="004C5116">
        <w:instrText xml:space="preserve"> \* MERGEFORMAT </w:instrText>
      </w:r>
      <w:r w:rsidR="00A34010" w:rsidRPr="004C5116">
        <w:fldChar w:fldCharType="separate"/>
      </w:r>
      <w:r w:rsidR="003C13F6" w:rsidRPr="00514473">
        <w:t xml:space="preserve">Figure </w:t>
      </w:r>
      <w:r w:rsidR="003C13F6">
        <w:rPr>
          <w:noProof/>
        </w:rPr>
        <w:t>52</w:t>
      </w:r>
      <w:r w:rsidR="00A34010" w:rsidRPr="004C5116">
        <w:fldChar w:fldCharType="end"/>
      </w:r>
      <w:r w:rsidR="008C1399" w:rsidRPr="004C5116">
        <w:t>a</w:t>
      </w:r>
      <w:r w:rsidR="00160146" w:rsidRPr="004C5116">
        <w:t>)</w:t>
      </w:r>
      <w:r w:rsidR="007B56CE" w:rsidRPr="004C5116">
        <w:t>.</w:t>
      </w:r>
    </w:p>
    <w:p w14:paraId="27E88A27" w14:textId="1BD2E4A8" w:rsidR="007B56CE" w:rsidRPr="00653A9F" w:rsidRDefault="00653A9F" w:rsidP="007B56CE">
      <w:pPr>
        <w:jc w:val="center"/>
      </w:pPr>
      <w:r w:rsidRPr="00653A9F">
        <w:rPr>
          <w:noProof/>
        </w:rPr>
        <w:drawing>
          <wp:inline distT="0" distB="0" distL="0" distR="0" wp14:anchorId="3B75773C" wp14:editId="2E0171D3">
            <wp:extent cx="4358244" cy="8044921"/>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363" r="10116"/>
                    <a:stretch/>
                  </pic:blipFill>
                  <pic:spPr bwMode="auto">
                    <a:xfrm>
                      <a:off x="0" y="0"/>
                      <a:ext cx="4366295" cy="8059783"/>
                    </a:xfrm>
                    <a:prstGeom prst="rect">
                      <a:avLst/>
                    </a:prstGeom>
                    <a:noFill/>
                    <a:ln>
                      <a:noFill/>
                    </a:ln>
                    <a:extLst>
                      <a:ext uri="{53640926-AAD7-44D8-BBD7-CCE9431645EC}">
                        <a14:shadowObscured xmlns:a14="http://schemas.microsoft.com/office/drawing/2010/main"/>
                      </a:ext>
                    </a:extLst>
                  </pic:spPr>
                </pic:pic>
              </a:graphicData>
            </a:graphic>
          </wp:inline>
        </w:drawing>
      </w:r>
    </w:p>
    <w:p w14:paraId="1F08D091" w14:textId="115CA553" w:rsidR="007B56CE" w:rsidRPr="006E29B5" w:rsidRDefault="00A34010" w:rsidP="004C3BA1">
      <w:pPr>
        <w:pStyle w:val="Captions"/>
      </w:pPr>
      <w:bookmarkStart w:id="319" w:name="_Ref57899369"/>
      <w:bookmarkStart w:id="320" w:name="_Toc101963843"/>
      <w:r w:rsidRPr="00653A9F">
        <w:t xml:space="preserve">Figure </w:t>
      </w:r>
      <w:r w:rsidR="001F30EA">
        <w:fldChar w:fldCharType="begin"/>
      </w:r>
      <w:r w:rsidR="001F30EA">
        <w:instrText xml:space="preserve"> SEQ Figure \* ARABIC </w:instrText>
      </w:r>
      <w:r w:rsidR="001F30EA">
        <w:fldChar w:fldCharType="separate"/>
      </w:r>
      <w:r w:rsidR="003C13F6">
        <w:rPr>
          <w:noProof/>
        </w:rPr>
        <w:t>51</w:t>
      </w:r>
      <w:r w:rsidR="001F30EA">
        <w:fldChar w:fldCharType="end"/>
      </w:r>
      <w:bookmarkEnd w:id="319"/>
      <w:r w:rsidR="007B56CE" w:rsidRPr="00653A9F">
        <w:t>. Length frequency distributions of larval/juvenile Murray cod</w:t>
      </w:r>
      <w:r w:rsidR="005737CC" w:rsidRPr="00653A9F">
        <w:t xml:space="preserve"> collected</w:t>
      </w:r>
      <w:r w:rsidR="007B56CE" w:rsidRPr="00653A9F">
        <w:t xml:space="preserve"> in the </w:t>
      </w:r>
      <w:r w:rsidR="008C22A9" w:rsidRPr="00653A9F">
        <w:t>Lower Murray River</w:t>
      </w:r>
      <w:r w:rsidR="007B56CE" w:rsidRPr="00653A9F">
        <w:t xml:space="preserve"> </w:t>
      </w:r>
      <w:r w:rsidR="00CF5B78">
        <w:t xml:space="preserve">main channel and </w:t>
      </w:r>
      <w:r w:rsidR="00E94090">
        <w:t xml:space="preserve">anabranches </w:t>
      </w:r>
      <w:r w:rsidR="005737CC" w:rsidRPr="00653A9F">
        <w:t xml:space="preserve">(sites pooled) </w:t>
      </w:r>
      <w:r w:rsidR="00E94090">
        <w:t>from November 2020 to May 2021</w:t>
      </w:r>
      <w:r w:rsidR="007B56CE" w:rsidRPr="00653A9F">
        <w:t>.</w:t>
      </w:r>
      <w:bookmarkEnd w:id="320"/>
    </w:p>
    <w:p w14:paraId="3035FF5A" w14:textId="635B194F" w:rsidR="007B56CE" w:rsidRPr="00514473" w:rsidRDefault="00577F46" w:rsidP="007B56CE">
      <w:pPr>
        <w:jc w:val="center"/>
      </w:pPr>
      <w:r w:rsidRPr="00577F46">
        <w:t xml:space="preserve"> </w:t>
      </w:r>
      <w:r w:rsidR="00514473" w:rsidRPr="00514473">
        <w:rPr>
          <w:noProof/>
        </w:rPr>
        <w:drawing>
          <wp:inline distT="0" distB="0" distL="0" distR="0" wp14:anchorId="38E6C637" wp14:editId="2C178465">
            <wp:extent cx="4869711" cy="53543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756" r="1890"/>
                    <a:stretch/>
                  </pic:blipFill>
                  <pic:spPr bwMode="auto">
                    <a:xfrm>
                      <a:off x="0" y="0"/>
                      <a:ext cx="4870560" cy="5355254"/>
                    </a:xfrm>
                    <a:prstGeom prst="rect">
                      <a:avLst/>
                    </a:prstGeom>
                    <a:noFill/>
                    <a:ln>
                      <a:noFill/>
                    </a:ln>
                    <a:extLst>
                      <a:ext uri="{53640926-AAD7-44D8-BBD7-CCE9431645EC}">
                        <a14:shadowObscured xmlns:a14="http://schemas.microsoft.com/office/drawing/2010/main"/>
                      </a:ext>
                    </a:extLst>
                  </pic:spPr>
                </pic:pic>
              </a:graphicData>
            </a:graphic>
          </wp:inline>
        </w:drawing>
      </w:r>
    </w:p>
    <w:p w14:paraId="2291EDC6" w14:textId="1D133DF6" w:rsidR="007B56CE" w:rsidRPr="006E29B5" w:rsidRDefault="00A34010" w:rsidP="004C3BA1">
      <w:pPr>
        <w:pStyle w:val="Captions"/>
      </w:pPr>
      <w:bookmarkStart w:id="321" w:name="_Ref57899348"/>
      <w:bookmarkStart w:id="322" w:name="_Toc101963844"/>
      <w:r w:rsidRPr="00514473">
        <w:t xml:space="preserve">Figure </w:t>
      </w:r>
      <w:r w:rsidR="001F30EA" w:rsidRPr="00514473">
        <w:fldChar w:fldCharType="begin"/>
      </w:r>
      <w:r w:rsidR="001F30EA" w:rsidRPr="00514473">
        <w:instrText xml:space="preserve"> SEQ Figure \* ARABIC </w:instrText>
      </w:r>
      <w:r w:rsidR="001F30EA" w:rsidRPr="00514473">
        <w:fldChar w:fldCharType="separate"/>
      </w:r>
      <w:r w:rsidR="003C13F6">
        <w:rPr>
          <w:noProof/>
        </w:rPr>
        <w:t>52</w:t>
      </w:r>
      <w:r w:rsidR="001F30EA" w:rsidRPr="00514473">
        <w:fldChar w:fldCharType="end"/>
      </w:r>
      <w:bookmarkEnd w:id="321"/>
      <w:r w:rsidR="007B56CE" w:rsidRPr="00514473">
        <w:t xml:space="preserve">. </w:t>
      </w:r>
      <w:r w:rsidR="00B62390" w:rsidRPr="00514473">
        <w:t>Estimated spawn</w:t>
      </w:r>
      <w:r w:rsidR="007B56CE" w:rsidRPr="00514473">
        <w:t xml:space="preserve"> date frequency distributions of </w:t>
      </w:r>
      <w:r w:rsidR="00855503" w:rsidRPr="00514473">
        <w:t xml:space="preserve">(a) </w:t>
      </w:r>
      <w:r w:rsidR="007B56CE" w:rsidRPr="00514473">
        <w:t>larval</w:t>
      </w:r>
      <w:r w:rsidR="00855503" w:rsidRPr="00514473">
        <w:t xml:space="preserve"> Murray cod captured in November 20</w:t>
      </w:r>
      <w:r w:rsidR="00514473" w:rsidRPr="00514473">
        <w:t>20</w:t>
      </w:r>
      <w:r w:rsidR="00855503" w:rsidRPr="00514473">
        <w:t xml:space="preserve"> and (b) </w:t>
      </w:r>
      <w:r w:rsidR="007B56CE" w:rsidRPr="00514473">
        <w:t xml:space="preserve">juvenile Murray cod </w:t>
      </w:r>
      <w:r w:rsidR="00855503" w:rsidRPr="00514473">
        <w:t xml:space="preserve">captured from </w:t>
      </w:r>
      <w:r w:rsidR="00514473" w:rsidRPr="00514473">
        <w:t xml:space="preserve">February </w:t>
      </w:r>
      <w:r w:rsidR="00855503" w:rsidRPr="00514473">
        <w:t>to April 202</w:t>
      </w:r>
      <w:r w:rsidR="00514473" w:rsidRPr="00514473">
        <w:t>1</w:t>
      </w:r>
      <w:r w:rsidR="00855503" w:rsidRPr="00514473">
        <w:t xml:space="preserve">, </w:t>
      </w:r>
      <w:r w:rsidR="007B56CE" w:rsidRPr="00514473">
        <w:t xml:space="preserve">in </w:t>
      </w:r>
      <w:r w:rsidR="008C22A9" w:rsidRPr="00514473">
        <w:t>Lower Murray River</w:t>
      </w:r>
      <w:r w:rsidR="00514473" w:rsidRPr="00514473">
        <w:t xml:space="preserve"> </w:t>
      </w:r>
      <w:r w:rsidR="00CF5B78">
        <w:t>main channel and anabranches</w:t>
      </w:r>
      <w:r w:rsidR="007B56CE" w:rsidRPr="00514473">
        <w:t>.</w:t>
      </w:r>
      <w:bookmarkEnd w:id="322"/>
    </w:p>
    <w:p w14:paraId="78B3AD9A" w14:textId="77777777" w:rsidR="007B56CE" w:rsidRPr="00852BAB" w:rsidRDefault="007B56CE" w:rsidP="00FB0CF5">
      <w:pPr>
        <w:pStyle w:val="Heading4"/>
      </w:pPr>
      <w:r w:rsidRPr="00852BAB">
        <w:t>Morphometrics and seasonal growth</w:t>
      </w:r>
    </w:p>
    <w:p w14:paraId="2017F372" w14:textId="13E487CA" w:rsidR="007B56CE" w:rsidRPr="003E1248" w:rsidRDefault="00040DA3" w:rsidP="007B56CE">
      <w:r w:rsidRPr="00A25C5A">
        <w:t>Using the model selection procedure, a cubic polynomial of TL was applied to model length–weight relationships for larval/</w:t>
      </w:r>
      <w:r w:rsidR="0007255A" w:rsidRPr="00A25C5A">
        <w:t>juvenile</w:t>
      </w:r>
      <w:r w:rsidRPr="00A25C5A">
        <w:t xml:space="preserve"> (&lt;160 mm) Murray cod for all years (</w:t>
      </w:r>
      <w:r w:rsidR="004F38F0">
        <w:t>reference</w:t>
      </w:r>
      <w:r w:rsidR="004F38F0" w:rsidRPr="00A25C5A">
        <w:t xml:space="preserve"> </w:t>
      </w:r>
      <w:r w:rsidRPr="00A25C5A">
        <w:t>data, 2004–202</w:t>
      </w:r>
      <w:r w:rsidR="00F07508" w:rsidRPr="00A25C5A">
        <w:t>1</w:t>
      </w:r>
      <w:r w:rsidRPr="00A25C5A">
        <w:t xml:space="preserve">), and for </w:t>
      </w:r>
      <w:r w:rsidR="00686C9C">
        <w:t xml:space="preserve">2019-20 and </w:t>
      </w:r>
      <w:r w:rsidR="00F07508" w:rsidRPr="00A25C5A">
        <w:t>2020-21</w:t>
      </w:r>
      <w:r w:rsidRPr="00A25C5A">
        <w:t xml:space="preserve"> </w:t>
      </w:r>
      <w:r w:rsidR="007B56CE" w:rsidRPr="00A25C5A">
        <w:t>(</w:t>
      </w:r>
      <w:r w:rsidR="00A34010" w:rsidRPr="00A25C5A">
        <w:fldChar w:fldCharType="begin"/>
      </w:r>
      <w:r w:rsidR="00A34010" w:rsidRPr="00A25C5A">
        <w:instrText xml:space="preserve"> REF _Ref57899397 \h </w:instrText>
      </w:r>
      <w:r w:rsidR="007E408D" w:rsidRPr="00A25C5A">
        <w:instrText xml:space="preserve"> \* MERGEFORMAT </w:instrText>
      </w:r>
      <w:r w:rsidR="00A34010" w:rsidRPr="00A25C5A">
        <w:fldChar w:fldCharType="separate"/>
      </w:r>
      <w:r w:rsidR="003C13F6" w:rsidRPr="001A7A30">
        <w:t xml:space="preserve">Figure </w:t>
      </w:r>
      <w:r w:rsidR="003C13F6">
        <w:rPr>
          <w:noProof/>
        </w:rPr>
        <w:t>53</w:t>
      </w:r>
      <w:r w:rsidR="00A34010" w:rsidRPr="00A25C5A">
        <w:fldChar w:fldCharType="end"/>
      </w:r>
      <w:r w:rsidR="007B56CE" w:rsidRPr="00A25C5A">
        <w:t xml:space="preserve">). </w:t>
      </w:r>
      <w:r w:rsidR="004A1334" w:rsidRPr="00A25C5A">
        <w:t>Comparison of the 20</w:t>
      </w:r>
      <w:r w:rsidR="00F07508" w:rsidRPr="00A25C5A">
        <w:t>20</w:t>
      </w:r>
      <w:r w:rsidR="004A1334" w:rsidRPr="00A25C5A">
        <w:t>-2</w:t>
      </w:r>
      <w:r w:rsidR="00F07508" w:rsidRPr="00A25C5A">
        <w:t>1</w:t>
      </w:r>
      <w:r w:rsidR="004A1334" w:rsidRPr="00A25C5A">
        <w:t xml:space="preserve"> length–weight </w:t>
      </w:r>
      <w:r w:rsidR="0002424D" w:rsidRPr="00A25C5A">
        <w:t xml:space="preserve">relationship </w:t>
      </w:r>
      <w:r w:rsidR="004A1334" w:rsidRPr="00A25C5A">
        <w:t xml:space="preserve">to the </w:t>
      </w:r>
      <w:r w:rsidR="004F38F0">
        <w:t>reference</w:t>
      </w:r>
      <w:r w:rsidR="004F38F0" w:rsidRPr="00A25C5A">
        <w:t xml:space="preserve"> </w:t>
      </w:r>
      <w:r w:rsidRPr="00A25C5A">
        <w:t xml:space="preserve">curve </w:t>
      </w:r>
      <w:r w:rsidR="004A1334" w:rsidRPr="00A25C5A">
        <w:t xml:space="preserve">indicates that the condition of Murray cod during </w:t>
      </w:r>
      <w:r w:rsidR="00F07508" w:rsidRPr="00A25C5A">
        <w:t>2020-21</w:t>
      </w:r>
      <w:r w:rsidR="004A1334" w:rsidRPr="00A25C5A">
        <w:t xml:space="preserve"> </w:t>
      </w:r>
      <w:r w:rsidR="002260FF" w:rsidRPr="00A25C5A">
        <w:t>was</w:t>
      </w:r>
      <w:r w:rsidR="004A1334" w:rsidRPr="00A25C5A">
        <w:t xml:space="preserve"> </w:t>
      </w:r>
      <w:r w:rsidR="002260FF" w:rsidRPr="00A25C5A">
        <w:t>similar to the</w:t>
      </w:r>
      <w:r w:rsidR="004A1334" w:rsidRPr="00A25C5A">
        <w:t xml:space="preserve"> </w:t>
      </w:r>
      <w:r w:rsidR="002260FF" w:rsidRPr="00A25C5A">
        <w:t>‘</w:t>
      </w:r>
      <w:r w:rsidR="004A1334" w:rsidRPr="00A25C5A">
        <w:t>average</w:t>
      </w:r>
      <w:r w:rsidR="002260FF" w:rsidRPr="00A25C5A">
        <w:t>’</w:t>
      </w:r>
      <w:r w:rsidR="004A1334" w:rsidRPr="00A25C5A">
        <w:t xml:space="preserve"> condition. </w:t>
      </w:r>
      <w:r w:rsidR="004A1334" w:rsidRPr="00C3501E">
        <w:t>To further investigate this, d</w:t>
      </w:r>
      <w:r w:rsidR="007B56CE" w:rsidRPr="00C3501E">
        <w:t xml:space="preserve">ifferences in </w:t>
      </w:r>
      <w:r w:rsidR="002E3CE2" w:rsidRPr="00C3501E">
        <w:t>the relative condition index (K</w:t>
      </w:r>
      <w:r w:rsidR="002E3CE2" w:rsidRPr="00C3501E">
        <w:rPr>
          <w:i/>
        </w:rPr>
        <w:t>rel</w:t>
      </w:r>
      <w:r w:rsidR="002E3CE2" w:rsidRPr="00C3501E">
        <w:t xml:space="preserve">) </w:t>
      </w:r>
      <w:r w:rsidR="00096208" w:rsidRPr="00C3501E">
        <w:t xml:space="preserve">of YOY </w:t>
      </w:r>
      <w:r w:rsidR="0007255A" w:rsidRPr="00C3501E">
        <w:t xml:space="preserve">(sampled autumn/winter) </w:t>
      </w:r>
      <w:r w:rsidR="00096208" w:rsidRPr="00C3501E">
        <w:t xml:space="preserve">Murray </w:t>
      </w:r>
      <w:r w:rsidR="007B56CE" w:rsidRPr="00C3501E">
        <w:t xml:space="preserve">cod </w:t>
      </w:r>
      <w:r w:rsidR="002E3CE2" w:rsidRPr="00C3501E">
        <w:t>among</w:t>
      </w:r>
      <w:r w:rsidR="007B56CE" w:rsidRPr="00C3501E">
        <w:t xml:space="preserve"> </w:t>
      </w:r>
      <w:r w:rsidR="004557B3" w:rsidRPr="00C3501E">
        <w:t xml:space="preserve">sampling </w:t>
      </w:r>
      <w:r w:rsidR="007B56CE" w:rsidRPr="00C3501E">
        <w:t>years (2015 to 202</w:t>
      </w:r>
      <w:r w:rsidR="007B6A2F" w:rsidRPr="00C3501E">
        <w:t>1</w:t>
      </w:r>
      <w:r w:rsidR="007B56CE" w:rsidRPr="00C3501E">
        <w:t>) (</w:t>
      </w:r>
      <w:r w:rsidR="00A34010" w:rsidRPr="00C3501E">
        <w:fldChar w:fldCharType="begin"/>
      </w:r>
      <w:r w:rsidR="00A34010" w:rsidRPr="00C3501E">
        <w:instrText xml:space="preserve"> REF _Ref57899409 \h </w:instrText>
      </w:r>
      <w:r w:rsidR="00FF3900" w:rsidRPr="00C3501E">
        <w:instrText xml:space="preserve"> \* MERGEFORMAT </w:instrText>
      </w:r>
      <w:r w:rsidR="00A34010" w:rsidRPr="00C3501E">
        <w:fldChar w:fldCharType="separate"/>
      </w:r>
      <w:r w:rsidR="003C13F6" w:rsidRPr="00FB5341">
        <w:t xml:space="preserve">Figure </w:t>
      </w:r>
      <w:r w:rsidR="003C13F6">
        <w:rPr>
          <w:noProof/>
        </w:rPr>
        <w:t>54</w:t>
      </w:r>
      <w:r w:rsidR="00A34010" w:rsidRPr="00C3501E">
        <w:fldChar w:fldCharType="end"/>
      </w:r>
      <w:r w:rsidR="007B56CE" w:rsidRPr="00C3501E">
        <w:t xml:space="preserve">) </w:t>
      </w:r>
      <w:r w:rsidR="002E3CE2" w:rsidRPr="00C3501E">
        <w:t xml:space="preserve">were assessed </w:t>
      </w:r>
      <w:r w:rsidR="007B56CE" w:rsidRPr="00C3501E">
        <w:t xml:space="preserve">using PERMANOVA. </w:t>
      </w:r>
      <w:r w:rsidR="00743D78">
        <w:t>T</w:t>
      </w:r>
      <w:r w:rsidR="00400C2E" w:rsidRPr="00C3501E">
        <w:t>here was a</w:t>
      </w:r>
      <w:r w:rsidR="007B56CE" w:rsidRPr="00C3501E">
        <w:t xml:space="preserve"> significant </w:t>
      </w:r>
      <w:r w:rsidR="00400C2E" w:rsidRPr="00C3501E">
        <w:t>effect</w:t>
      </w:r>
      <w:r w:rsidR="007B56CE" w:rsidRPr="00C3501E">
        <w:t xml:space="preserve"> </w:t>
      </w:r>
      <w:r w:rsidR="00400C2E" w:rsidRPr="00C3501E">
        <w:t>of</w:t>
      </w:r>
      <w:r w:rsidR="007B56CE" w:rsidRPr="00C3501E">
        <w:t xml:space="preserve"> sampling year</w:t>
      </w:r>
      <w:r w:rsidR="00400C2E" w:rsidRPr="00C3501E">
        <w:t xml:space="preserve"> on K</w:t>
      </w:r>
      <w:r w:rsidR="00400C2E" w:rsidRPr="00C3501E">
        <w:rPr>
          <w:i/>
          <w:iCs/>
        </w:rPr>
        <w:t xml:space="preserve">rel </w:t>
      </w:r>
      <w:r w:rsidR="00400C2E" w:rsidRPr="00C3501E">
        <w:rPr>
          <w:noProof/>
          <w:lang w:eastAsia="en-AU"/>
        </w:rPr>
        <w:t xml:space="preserve">(PERMANOVA, </w:t>
      </w:r>
      <w:r w:rsidR="00400C2E" w:rsidRPr="00C3501E">
        <w:rPr>
          <w:i/>
          <w:noProof/>
          <w:lang w:eastAsia="en-AU"/>
        </w:rPr>
        <w:t>Pseudo-F</w:t>
      </w:r>
      <w:r w:rsidR="00D455F0" w:rsidRPr="00C3501E">
        <w:rPr>
          <w:i/>
          <w:noProof/>
          <w:vertAlign w:val="subscript"/>
          <w:lang w:eastAsia="en-AU"/>
        </w:rPr>
        <w:t>6</w:t>
      </w:r>
      <w:r w:rsidR="00400C2E" w:rsidRPr="00C3501E">
        <w:rPr>
          <w:i/>
          <w:noProof/>
          <w:vertAlign w:val="subscript"/>
          <w:lang w:eastAsia="en-AU"/>
        </w:rPr>
        <w:t>,</w:t>
      </w:r>
      <w:r w:rsidR="00D455F0" w:rsidRPr="00C3501E">
        <w:rPr>
          <w:i/>
          <w:noProof/>
          <w:vertAlign w:val="subscript"/>
          <w:lang w:eastAsia="en-AU"/>
        </w:rPr>
        <w:t>120</w:t>
      </w:r>
      <w:r w:rsidR="00400C2E" w:rsidRPr="00C3501E">
        <w:rPr>
          <w:i/>
          <w:noProof/>
          <w:lang w:eastAsia="en-AU"/>
        </w:rPr>
        <w:t xml:space="preserve"> </w:t>
      </w:r>
      <w:r w:rsidR="00400C2E" w:rsidRPr="00C3501E">
        <w:rPr>
          <w:noProof/>
          <w:lang w:eastAsia="en-AU"/>
        </w:rPr>
        <w:t xml:space="preserve">= </w:t>
      </w:r>
      <w:r w:rsidR="00D455F0" w:rsidRPr="00C3501E">
        <w:rPr>
          <w:noProof/>
          <w:lang w:eastAsia="en-AU"/>
        </w:rPr>
        <w:t>3.5548</w:t>
      </w:r>
      <w:r w:rsidR="00400C2E" w:rsidRPr="00C3501E">
        <w:rPr>
          <w:noProof/>
          <w:lang w:eastAsia="en-AU"/>
        </w:rPr>
        <w:t xml:space="preserve">, </w:t>
      </w:r>
      <w:r w:rsidR="00400C2E" w:rsidRPr="00C3501E">
        <w:rPr>
          <w:i/>
          <w:noProof/>
          <w:lang w:eastAsia="en-AU"/>
        </w:rPr>
        <w:t>p</w:t>
      </w:r>
      <w:r w:rsidR="00400C2E" w:rsidRPr="00C3501E">
        <w:rPr>
          <w:noProof/>
          <w:lang w:eastAsia="en-AU"/>
        </w:rPr>
        <w:t xml:space="preserve"> = </w:t>
      </w:r>
      <w:r w:rsidR="001D49BD" w:rsidRPr="00C3501E">
        <w:rPr>
          <w:noProof/>
          <w:lang w:eastAsia="en-AU"/>
        </w:rPr>
        <w:t>0.0</w:t>
      </w:r>
      <w:r w:rsidR="00D455F0" w:rsidRPr="00C3501E">
        <w:rPr>
          <w:noProof/>
          <w:lang w:eastAsia="en-AU"/>
        </w:rPr>
        <w:t>033</w:t>
      </w:r>
      <w:r w:rsidR="00400C2E" w:rsidRPr="00C3501E">
        <w:rPr>
          <w:noProof/>
          <w:lang w:eastAsia="en-AU"/>
        </w:rPr>
        <w:t>)</w:t>
      </w:r>
      <w:r w:rsidR="00743D78">
        <w:t>,</w:t>
      </w:r>
      <w:r w:rsidR="007C2D10" w:rsidRPr="00C3501E">
        <w:t xml:space="preserve"> </w:t>
      </w:r>
      <w:r w:rsidR="00743D78">
        <w:t>with</w:t>
      </w:r>
      <w:r w:rsidR="007B56CE" w:rsidRPr="00C3501E">
        <w:t xml:space="preserve"> </w:t>
      </w:r>
      <w:r w:rsidR="00743D78">
        <w:t>p</w:t>
      </w:r>
      <w:r w:rsidR="007B56CE" w:rsidRPr="00C3501E">
        <w:t xml:space="preserve">airwise comparisons </w:t>
      </w:r>
      <w:r w:rsidR="00743D78">
        <w:t xml:space="preserve">suggesting the </w:t>
      </w:r>
      <w:r w:rsidR="007B56CE" w:rsidRPr="00C3501E">
        <w:t>K</w:t>
      </w:r>
      <w:r w:rsidR="007B56CE" w:rsidRPr="00C3501E">
        <w:rPr>
          <w:i/>
        </w:rPr>
        <w:t>rel</w:t>
      </w:r>
      <w:r w:rsidR="007B56CE" w:rsidRPr="00C3501E">
        <w:t xml:space="preserve"> of YOY was significantly greater in </w:t>
      </w:r>
      <w:r w:rsidR="00061398" w:rsidRPr="00C3501E">
        <w:t>2017</w:t>
      </w:r>
      <w:r w:rsidR="007B56CE" w:rsidRPr="00C3501E">
        <w:t xml:space="preserve"> than </w:t>
      </w:r>
      <w:r w:rsidR="00C3501E" w:rsidRPr="00C3501E">
        <w:t>in 2015, 2016, 2018 and 2020</w:t>
      </w:r>
      <w:r w:rsidR="00E55BFA" w:rsidRPr="00C3501E">
        <w:t xml:space="preserve">, and significantly </w:t>
      </w:r>
      <w:r w:rsidR="00CB7075" w:rsidRPr="00C3501E">
        <w:t>greater in</w:t>
      </w:r>
      <w:r w:rsidR="00E55BFA" w:rsidRPr="00C3501E">
        <w:t xml:space="preserve"> 2019</w:t>
      </w:r>
      <w:r w:rsidR="00CB7075" w:rsidRPr="00C3501E">
        <w:t xml:space="preserve"> compared to 2018</w:t>
      </w:r>
      <w:r w:rsidR="006B2ECD">
        <w:t xml:space="preserve"> and 2020</w:t>
      </w:r>
      <w:r w:rsidR="00061398" w:rsidRPr="00C3501E">
        <w:t xml:space="preserve"> (</w:t>
      </w:r>
      <w:r w:rsidR="009A4875" w:rsidRPr="00C3501E">
        <w:fldChar w:fldCharType="begin"/>
      </w:r>
      <w:r w:rsidR="009A4875" w:rsidRPr="00C3501E">
        <w:instrText xml:space="preserve"> REF _Ref57899409 \h </w:instrText>
      </w:r>
      <w:r w:rsidR="00FF3900" w:rsidRPr="00C3501E">
        <w:instrText xml:space="preserve"> \* MERGEFORMAT </w:instrText>
      </w:r>
      <w:r w:rsidR="009A4875" w:rsidRPr="00C3501E">
        <w:fldChar w:fldCharType="separate"/>
      </w:r>
      <w:r w:rsidR="003C13F6" w:rsidRPr="00FB5341">
        <w:t xml:space="preserve">Figure </w:t>
      </w:r>
      <w:r w:rsidR="003C13F6">
        <w:rPr>
          <w:noProof/>
        </w:rPr>
        <w:t>54</w:t>
      </w:r>
      <w:r w:rsidR="009A4875" w:rsidRPr="00C3501E">
        <w:fldChar w:fldCharType="end"/>
      </w:r>
      <w:r w:rsidR="007E408D" w:rsidRPr="00C3501E">
        <w:t>).</w:t>
      </w:r>
      <w:r w:rsidR="003E1248">
        <w:t xml:space="preserve"> The relative condition of YOY Murray cod </w:t>
      </w:r>
      <w:r w:rsidR="006B2ECD">
        <w:t>in</w:t>
      </w:r>
      <w:r w:rsidR="003E1248">
        <w:t xml:space="preserve"> 2021 (mean ± S.E. K</w:t>
      </w:r>
      <w:r w:rsidR="003E1248" w:rsidRPr="00781F15">
        <w:rPr>
          <w:i/>
          <w:iCs/>
        </w:rPr>
        <w:t>rel</w:t>
      </w:r>
      <w:r w:rsidR="003E1248">
        <w:t xml:space="preserve"> = </w:t>
      </w:r>
      <w:r w:rsidR="006B2ECD">
        <w:t>1.07 ± 0.02</w:t>
      </w:r>
      <w:r w:rsidR="003E1248">
        <w:t>)</w:t>
      </w:r>
      <w:r w:rsidR="006B2ECD">
        <w:t xml:space="preserve"> was similar to 2019, and significantly greater than 2016 and 2018. </w:t>
      </w:r>
    </w:p>
    <w:p w14:paraId="0F2A6C66" w14:textId="263A2EA8" w:rsidR="007B56CE" w:rsidRPr="001A7A30" w:rsidRDefault="00393235" w:rsidP="007B56CE">
      <w:pPr>
        <w:jc w:val="center"/>
        <w:rPr>
          <w:noProof/>
          <w:lang w:eastAsia="en-AU"/>
        </w:rPr>
      </w:pPr>
      <w:r w:rsidRPr="001A7A30">
        <w:rPr>
          <w:noProof/>
          <w:lang w:eastAsia="en-AU"/>
        </w:rPr>
        <w:t xml:space="preserve"> </w:t>
      </w:r>
      <w:r w:rsidR="00A91AAE" w:rsidRPr="001A7A30">
        <w:rPr>
          <w:noProof/>
        </w:rPr>
        <w:drawing>
          <wp:inline distT="0" distB="0" distL="0" distR="0" wp14:anchorId="27959AD6" wp14:editId="211CB0E2">
            <wp:extent cx="5314950" cy="3409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504" r="1587"/>
                    <a:stretch/>
                  </pic:blipFill>
                  <pic:spPr bwMode="auto">
                    <a:xfrm>
                      <a:off x="0" y="0"/>
                      <a:ext cx="5314950" cy="3409950"/>
                    </a:xfrm>
                    <a:prstGeom prst="rect">
                      <a:avLst/>
                    </a:prstGeom>
                    <a:noFill/>
                    <a:ln>
                      <a:noFill/>
                    </a:ln>
                    <a:extLst>
                      <a:ext uri="{53640926-AAD7-44D8-BBD7-CCE9431645EC}">
                        <a14:shadowObscured xmlns:a14="http://schemas.microsoft.com/office/drawing/2010/main"/>
                      </a:ext>
                    </a:extLst>
                  </pic:spPr>
                </pic:pic>
              </a:graphicData>
            </a:graphic>
          </wp:inline>
        </w:drawing>
      </w:r>
    </w:p>
    <w:p w14:paraId="698D4843" w14:textId="5CEBFD20" w:rsidR="007B56CE" w:rsidRPr="00FF3900" w:rsidRDefault="00A34010" w:rsidP="004C3BA1">
      <w:pPr>
        <w:pStyle w:val="Captions"/>
        <w:rPr>
          <w:highlight w:val="yellow"/>
        </w:rPr>
      </w:pPr>
      <w:bookmarkStart w:id="323" w:name="_Ref57899397"/>
      <w:bookmarkStart w:id="324" w:name="_Toc101963845"/>
      <w:r w:rsidRPr="001A7A30">
        <w:t xml:space="preserve">Figure </w:t>
      </w:r>
      <w:r w:rsidR="001F30EA">
        <w:fldChar w:fldCharType="begin"/>
      </w:r>
      <w:r w:rsidR="001F30EA">
        <w:instrText xml:space="preserve"> SEQ Figure \* ARABIC </w:instrText>
      </w:r>
      <w:r w:rsidR="001F30EA">
        <w:fldChar w:fldCharType="separate"/>
      </w:r>
      <w:r w:rsidR="003C13F6">
        <w:rPr>
          <w:noProof/>
        </w:rPr>
        <w:t>53</w:t>
      </w:r>
      <w:r w:rsidR="001F30EA">
        <w:fldChar w:fldCharType="end"/>
      </w:r>
      <w:bookmarkEnd w:id="323"/>
      <w:r w:rsidR="007B56CE" w:rsidRPr="001A7A30">
        <w:t xml:space="preserve">. The relationship between weight and total length (TL) of YOY (&lt;160 mm) Murray cod in the </w:t>
      </w:r>
      <w:r w:rsidR="008C22A9" w:rsidRPr="001A7A30">
        <w:t>Lower Murray River</w:t>
      </w:r>
      <w:r w:rsidR="007B56CE" w:rsidRPr="001A7A30">
        <w:t xml:space="preserve"> predicted by a cubic linear regression model </w:t>
      </w:r>
      <w:r w:rsidR="005563A4" w:rsidRPr="001A7A30">
        <w:t>(y=-0.</w:t>
      </w:r>
      <w:r w:rsidR="00A30031" w:rsidRPr="001A7A30">
        <w:t>5326–</w:t>
      </w:r>
      <w:r w:rsidR="005563A4" w:rsidRPr="001A7A30">
        <w:t>0.</w:t>
      </w:r>
      <w:r w:rsidR="00A30031" w:rsidRPr="001A7A30">
        <w:t>1716</w:t>
      </w:r>
      <w:r w:rsidR="00FC55C1" w:rsidRPr="001A7A30">
        <w:t>x</w:t>
      </w:r>
      <w:r w:rsidR="005563A4" w:rsidRPr="001A7A30">
        <w:t>–0.0</w:t>
      </w:r>
      <w:r w:rsidR="00A30031" w:rsidRPr="001A7A30">
        <w:t>0</w:t>
      </w:r>
      <w:r w:rsidR="005563A4" w:rsidRPr="001A7A30">
        <w:t>1</w:t>
      </w:r>
      <w:r w:rsidR="00A30031" w:rsidRPr="001A7A30">
        <w:t>0</w:t>
      </w:r>
      <w:r w:rsidR="005563A4" w:rsidRPr="001A7A30">
        <w:t>x</w:t>
      </w:r>
      <w:r w:rsidR="005563A4" w:rsidRPr="001A7A30">
        <w:rPr>
          <w:vertAlign w:val="superscript"/>
        </w:rPr>
        <w:t>2</w:t>
      </w:r>
      <w:r w:rsidR="00A30031" w:rsidRPr="001A7A30">
        <w:t>–0.0000066155</w:t>
      </w:r>
      <w:r w:rsidR="005563A4" w:rsidRPr="001A7A30">
        <w:t>x</w:t>
      </w:r>
      <w:r w:rsidR="005563A4" w:rsidRPr="001A7A30">
        <w:rPr>
          <w:vertAlign w:val="superscript"/>
        </w:rPr>
        <w:t>3</w:t>
      </w:r>
      <w:r w:rsidR="005563A4" w:rsidRPr="001A7A30">
        <w:t xml:space="preserve">) </w:t>
      </w:r>
      <w:r w:rsidR="007B56CE" w:rsidRPr="001A7A30">
        <w:t>for</w:t>
      </w:r>
      <w:r w:rsidR="00393235" w:rsidRPr="001A7A30">
        <w:t xml:space="preserve"> 20</w:t>
      </w:r>
      <w:r w:rsidR="00A30031" w:rsidRPr="001A7A30">
        <w:t>20-21</w:t>
      </w:r>
      <w:r w:rsidR="00393235" w:rsidRPr="001A7A30">
        <w:t xml:space="preserve"> (black line and circles</w:t>
      </w:r>
      <w:r w:rsidR="000C4438" w:rsidRPr="001A7A30">
        <w:t xml:space="preserve">, </w:t>
      </w:r>
      <w:r w:rsidR="000C4438" w:rsidRPr="001A7A30">
        <w:rPr>
          <w:i/>
          <w:iCs/>
        </w:rPr>
        <w:t>n</w:t>
      </w:r>
      <w:r w:rsidR="000C4438" w:rsidRPr="001A7A30">
        <w:t> = </w:t>
      </w:r>
      <w:r w:rsidR="00905E24" w:rsidRPr="001A7A30">
        <w:t>154</w:t>
      </w:r>
      <w:r w:rsidR="00393235" w:rsidRPr="001A7A30">
        <w:t>)</w:t>
      </w:r>
      <w:r w:rsidR="00A30031" w:rsidRPr="001A7A30">
        <w:t>, 2019-20 (blue line</w:t>
      </w:r>
      <w:r w:rsidR="00A25C5A">
        <w:t xml:space="preserve">, Ye </w:t>
      </w:r>
      <w:r w:rsidR="00A25C5A" w:rsidRPr="00A25C5A">
        <w:rPr>
          <w:i/>
          <w:iCs/>
        </w:rPr>
        <w:t>et al.</w:t>
      </w:r>
      <w:r w:rsidR="00A25C5A">
        <w:t xml:space="preserve"> 2021</w:t>
      </w:r>
      <w:r w:rsidR="00A30031" w:rsidRPr="001A7A30">
        <w:t>)</w:t>
      </w:r>
      <w:r w:rsidR="007B56CE" w:rsidRPr="001A7A30">
        <w:t xml:space="preserve"> </w:t>
      </w:r>
      <w:r w:rsidR="00393235" w:rsidRPr="001A7A30">
        <w:t xml:space="preserve">and </w:t>
      </w:r>
      <w:r w:rsidR="007B56CE" w:rsidRPr="001A7A30">
        <w:t>all years (2004–202</w:t>
      </w:r>
      <w:r w:rsidR="00A01750">
        <w:t>1</w:t>
      </w:r>
      <w:r w:rsidR="007B56CE" w:rsidRPr="001A7A30">
        <w:t>, ‘stocked’ fish removed</w:t>
      </w:r>
      <w:r w:rsidR="00393235" w:rsidRPr="001A7A30">
        <w:t>, red line</w:t>
      </w:r>
      <w:r w:rsidR="007B56CE" w:rsidRPr="001A7A30">
        <w:t>).</w:t>
      </w:r>
      <w:r w:rsidR="009A4875" w:rsidRPr="001A7A30">
        <w:t xml:space="preserve"> </w:t>
      </w:r>
      <w:r w:rsidR="009A4875" w:rsidRPr="004D2237">
        <w:t>See Table D1</w:t>
      </w:r>
      <w:r w:rsidR="00DD27F8">
        <w:t>3</w:t>
      </w:r>
      <w:r w:rsidR="009A4875" w:rsidRPr="004D2237">
        <w:t xml:space="preserve"> in Appendix D for statistics.</w:t>
      </w:r>
      <w:bookmarkEnd w:id="324"/>
    </w:p>
    <w:p w14:paraId="4AB12E4E" w14:textId="4FA09D62" w:rsidR="007B56CE" w:rsidRPr="00FB5341" w:rsidRDefault="007B56CE" w:rsidP="007B56CE">
      <w:pPr>
        <w:jc w:val="center"/>
        <w:rPr>
          <w:b/>
          <w:sz w:val="20"/>
        </w:rPr>
      </w:pPr>
      <w:r w:rsidRPr="00852BAB">
        <w:rPr>
          <w:b/>
          <w:sz w:val="20"/>
        </w:rPr>
        <w:t xml:space="preserve"> </w:t>
      </w:r>
      <w:r w:rsidR="004A551F" w:rsidRPr="004A551F">
        <w:rPr>
          <w:b/>
          <w:sz w:val="20"/>
        </w:rPr>
        <w:t xml:space="preserve"> </w:t>
      </w:r>
      <w:r w:rsidR="004A551F" w:rsidRPr="004A551F">
        <w:rPr>
          <w:noProof/>
        </w:rPr>
        <w:drawing>
          <wp:inline distT="0" distB="0" distL="0" distR="0" wp14:anchorId="0B41216B" wp14:editId="1C965DFE">
            <wp:extent cx="4694400" cy="3287661"/>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94400" cy="3287661"/>
                    </a:xfrm>
                    <a:prstGeom prst="rect">
                      <a:avLst/>
                    </a:prstGeom>
                    <a:noFill/>
                    <a:ln>
                      <a:noFill/>
                    </a:ln>
                  </pic:spPr>
                </pic:pic>
              </a:graphicData>
            </a:graphic>
          </wp:inline>
        </w:drawing>
      </w:r>
    </w:p>
    <w:p w14:paraId="0A4A4E6A" w14:textId="27CAA2A4" w:rsidR="007B56CE" w:rsidRPr="00FB5341" w:rsidRDefault="00A34010" w:rsidP="004C3BA1">
      <w:pPr>
        <w:pStyle w:val="Captions"/>
      </w:pPr>
      <w:bookmarkStart w:id="325" w:name="_Ref57899409"/>
      <w:bookmarkStart w:id="326" w:name="_Toc101963846"/>
      <w:r w:rsidRPr="00FB5341">
        <w:t xml:space="preserve">Figure </w:t>
      </w:r>
      <w:r w:rsidR="001F30EA">
        <w:fldChar w:fldCharType="begin"/>
      </w:r>
      <w:r w:rsidR="001F30EA">
        <w:instrText xml:space="preserve"> SEQ Figure \* ARABIC </w:instrText>
      </w:r>
      <w:r w:rsidR="001F30EA">
        <w:fldChar w:fldCharType="separate"/>
      </w:r>
      <w:r w:rsidR="003C13F6">
        <w:rPr>
          <w:noProof/>
        </w:rPr>
        <w:t>54</w:t>
      </w:r>
      <w:r w:rsidR="001F30EA">
        <w:fldChar w:fldCharType="end"/>
      </w:r>
      <w:bookmarkEnd w:id="325"/>
      <w:r w:rsidR="007B56CE" w:rsidRPr="00FB5341">
        <w:t>. Mean relative condition index (K</w:t>
      </w:r>
      <w:r w:rsidR="007B56CE" w:rsidRPr="00FB5341">
        <w:rPr>
          <w:i/>
        </w:rPr>
        <w:t>rel</w:t>
      </w:r>
      <w:r w:rsidR="007B56CE" w:rsidRPr="00FB5341">
        <w:t xml:space="preserve">) ± S.E. of YOY (&lt;160 mm) Murray cod in the </w:t>
      </w:r>
      <w:r w:rsidR="008C22A9" w:rsidRPr="00FB5341">
        <w:t>Lower Murray River</w:t>
      </w:r>
      <w:r w:rsidR="00852BAB">
        <w:t xml:space="preserve"> (excludes Chowilla anabranch)</w:t>
      </w:r>
      <w:r w:rsidR="007B56CE" w:rsidRPr="00FB5341">
        <w:t xml:space="preserve"> during autumn/winter 2015 (</w:t>
      </w:r>
      <w:r w:rsidR="007B56CE" w:rsidRPr="00FB5341">
        <w:rPr>
          <w:i/>
        </w:rPr>
        <w:t>n</w:t>
      </w:r>
      <w:r w:rsidR="007B56CE" w:rsidRPr="00FB5341">
        <w:t xml:space="preserve"> = 11), 2016 (</w:t>
      </w:r>
      <w:r w:rsidR="007B56CE" w:rsidRPr="00FB5341">
        <w:rPr>
          <w:i/>
        </w:rPr>
        <w:t>n</w:t>
      </w:r>
      <w:r w:rsidR="007B56CE" w:rsidRPr="00FB5341">
        <w:t xml:space="preserve"> = 1</w:t>
      </w:r>
      <w:r w:rsidR="002E03FC" w:rsidRPr="00FB5341">
        <w:t>4</w:t>
      </w:r>
      <w:r w:rsidR="007B56CE" w:rsidRPr="00FB5341">
        <w:t>), 2017 (</w:t>
      </w:r>
      <w:r w:rsidR="007B56CE" w:rsidRPr="00FB5341">
        <w:rPr>
          <w:i/>
        </w:rPr>
        <w:t>n</w:t>
      </w:r>
      <w:r w:rsidR="007B56CE" w:rsidRPr="00FB5341">
        <w:t xml:space="preserve"> = </w:t>
      </w:r>
      <w:r w:rsidR="002E03FC" w:rsidRPr="00FB5341">
        <w:t>6</w:t>
      </w:r>
      <w:r w:rsidR="007B56CE" w:rsidRPr="00FB5341">
        <w:t xml:space="preserve">), </w:t>
      </w:r>
      <w:r w:rsidR="007B56CE" w:rsidRPr="00852BAB">
        <w:t>2018 (</w:t>
      </w:r>
      <w:r w:rsidR="007B56CE" w:rsidRPr="00852BAB">
        <w:rPr>
          <w:i/>
        </w:rPr>
        <w:t>n</w:t>
      </w:r>
      <w:r w:rsidR="007B56CE" w:rsidRPr="00852BAB">
        <w:t xml:space="preserve"> = </w:t>
      </w:r>
      <w:r w:rsidR="002E03FC" w:rsidRPr="00852BAB">
        <w:t>11</w:t>
      </w:r>
      <w:r w:rsidR="007B56CE" w:rsidRPr="00852BAB">
        <w:t>), 2019 (</w:t>
      </w:r>
      <w:r w:rsidR="007B56CE" w:rsidRPr="00852BAB">
        <w:rPr>
          <w:i/>
        </w:rPr>
        <w:t>n</w:t>
      </w:r>
      <w:r w:rsidR="007B56CE" w:rsidRPr="00852BAB">
        <w:t xml:space="preserve"> = 25), 2020 (</w:t>
      </w:r>
      <w:r w:rsidR="007B56CE" w:rsidRPr="00852BAB">
        <w:rPr>
          <w:i/>
        </w:rPr>
        <w:t>n</w:t>
      </w:r>
      <w:r w:rsidR="007B56CE" w:rsidRPr="00852BAB">
        <w:t xml:space="preserve"> = 51)</w:t>
      </w:r>
      <w:r w:rsidR="00AB65C8" w:rsidRPr="00852BAB">
        <w:t xml:space="preserve"> and 2021 (</w:t>
      </w:r>
      <w:r w:rsidR="00AB65C8" w:rsidRPr="00852BAB">
        <w:rPr>
          <w:i/>
          <w:iCs/>
        </w:rPr>
        <w:t>n</w:t>
      </w:r>
      <w:r w:rsidR="00AB65C8" w:rsidRPr="00852BAB">
        <w:t xml:space="preserve"> = 9)</w:t>
      </w:r>
      <w:r w:rsidR="007B56CE" w:rsidRPr="00852BAB">
        <w:t xml:space="preserve">. </w:t>
      </w:r>
      <w:r w:rsidR="009A4875" w:rsidRPr="00852BAB">
        <w:t>See Table D1</w:t>
      </w:r>
      <w:r w:rsidR="00DD27F8">
        <w:t>4</w:t>
      </w:r>
      <w:r w:rsidR="009A4875" w:rsidRPr="00852BAB">
        <w:t xml:space="preserve"> in Appendix D for statistics.</w:t>
      </w:r>
      <w:bookmarkEnd w:id="326"/>
    </w:p>
    <w:p w14:paraId="4B559D00" w14:textId="7E08CB22" w:rsidR="007B56CE" w:rsidRPr="00B77CA4" w:rsidRDefault="00096208" w:rsidP="007B56CE">
      <w:pPr>
        <w:rPr>
          <w:noProof/>
          <w:lang w:eastAsia="en-AU"/>
        </w:rPr>
      </w:pPr>
      <w:r w:rsidRPr="005B3707">
        <w:t xml:space="preserve">Model selection indicated that </w:t>
      </w:r>
      <w:r w:rsidRPr="00145D90">
        <w:t xml:space="preserve">the Gompertz model </w:t>
      </w:r>
      <w:r w:rsidRPr="00377FA1">
        <w:t xml:space="preserve">was the </w:t>
      </w:r>
      <w:r w:rsidR="0007255A" w:rsidRPr="00377FA1">
        <w:t>best fit for the</w:t>
      </w:r>
      <w:r w:rsidRPr="00377FA1">
        <w:t xml:space="preserve"> </w:t>
      </w:r>
      <w:r w:rsidR="005B4691" w:rsidRPr="00377FA1">
        <w:t>2017–</w:t>
      </w:r>
      <w:r w:rsidRPr="00377FA1">
        <w:t>2</w:t>
      </w:r>
      <w:r w:rsidR="005B4691" w:rsidRPr="00377FA1">
        <w:t>02</w:t>
      </w:r>
      <w:r w:rsidR="00686C9C">
        <w:t>1</w:t>
      </w:r>
      <w:r w:rsidRPr="00377FA1">
        <w:t xml:space="preserve"> Murray cod age–length data </w:t>
      </w:r>
      <w:r w:rsidR="007B56CE" w:rsidRPr="00377FA1">
        <w:t>(</w:t>
      </w:r>
      <w:r w:rsidR="00121041" w:rsidRPr="00377FA1">
        <w:fldChar w:fldCharType="begin"/>
      </w:r>
      <w:r w:rsidR="00121041" w:rsidRPr="00377FA1">
        <w:instrText xml:space="preserve"> REF _Ref57899419 \h </w:instrText>
      </w:r>
      <w:r w:rsidR="00FF3900" w:rsidRPr="00377FA1">
        <w:instrText xml:space="preserve"> \* MERGEFORMAT </w:instrText>
      </w:r>
      <w:r w:rsidR="00121041" w:rsidRPr="00377FA1">
        <w:fldChar w:fldCharType="separate"/>
      </w:r>
      <w:r w:rsidR="003C13F6" w:rsidRPr="00B77CA4">
        <w:t xml:space="preserve">Figure </w:t>
      </w:r>
      <w:r w:rsidR="003C13F6">
        <w:rPr>
          <w:noProof/>
        </w:rPr>
        <w:t>55</w:t>
      </w:r>
      <w:r w:rsidR="00121041" w:rsidRPr="00377FA1">
        <w:fldChar w:fldCharType="end"/>
      </w:r>
      <w:r w:rsidR="00BF2B60" w:rsidRPr="00377FA1">
        <w:t>)</w:t>
      </w:r>
      <w:r w:rsidR="007B56CE" w:rsidRPr="00377FA1">
        <w:t xml:space="preserve">. </w:t>
      </w:r>
      <w:r w:rsidRPr="00377FA1">
        <w:rPr>
          <w:noProof/>
          <w:lang w:eastAsia="en-AU"/>
        </w:rPr>
        <w:t xml:space="preserve">Mean seasonal growth rate in </w:t>
      </w:r>
      <w:r w:rsidR="005B3707" w:rsidRPr="00377FA1">
        <w:rPr>
          <w:noProof/>
          <w:lang w:eastAsia="en-AU"/>
        </w:rPr>
        <w:t>2020-21</w:t>
      </w:r>
      <w:r w:rsidRPr="00377FA1">
        <w:rPr>
          <w:noProof/>
          <w:lang w:eastAsia="en-AU"/>
        </w:rPr>
        <w:t xml:space="preserve"> (0.</w:t>
      </w:r>
      <w:r w:rsidR="00145D90" w:rsidRPr="00377FA1">
        <w:rPr>
          <w:noProof/>
          <w:lang w:eastAsia="en-AU"/>
        </w:rPr>
        <w:t>8</w:t>
      </w:r>
      <w:r w:rsidR="004A027B">
        <w:rPr>
          <w:noProof/>
          <w:lang w:eastAsia="en-AU"/>
        </w:rPr>
        <w:t>46</w:t>
      </w:r>
      <w:r w:rsidR="00057266">
        <w:rPr>
          <w:noProof/>
          <w:lang w:eastAsia="en-AU"/>
        </w:rPr>
        <w:t> </w:t>
      </w:r>
      <w:r w:rsidRPr="00377FA1">
        <w:rPr>
          <w:noProof/>
          <w:lang w:eastAsia="en-AU"/>
        </w:rPr>
        <w:t>mm/d ± 0.0</w:t>
      </w:r>
      <w:r w:rsidR="004A027B">
        <w:rPr>
          <w:noProof/>
          <w:lang w:eastAsia="en-AU"/>
        </w:rPr>
        <w:t>38</w:t>
      </w:r>
      <w:r w:rsidRPr="00377FA1">
        <w:rPr>
          <w:noProof/>
          <w:lang w:eastAsia="en-AU"/>
        </w:rPr>
        <w:t xml:space="preserve"> S.E.) was </w:t>
      </w:r>
      <w:r w:rsidR="00305167">
        <w:rPr>
          <w:noProof/>
          <w:lang w:eastAsia="en-AU"/>
        </w:rPr>
        <w:t>slightly</w:t>
      </w:r>
      <w:r w:rsidRPr="00377FA1">
        <w:rPr>
          <w:noProof/>
          <w:lang w:eastAsia="en-AU"/>
        </w:rPr>
        <w:t xml:space="preserve"> higher than </w:t>
      </w:r>
      <w:r w:rsidR="00145D90" w:rsidRPr="00377FA1">
        <w:rPr>
          <w:noProof/>
          <w:lang w:eastAsia="en-AU"/>
        </w:rPr>
        <w:t>in 2019-20</w:t>
      </w:r>
      <w:r w:rsidRPr="00377FA1">
        <w:rPr>
          <w:noProof/>
          <w:lang w:eastAsia="en-AU"/>
        </w:rPr>
        <w:t xml:space="preserve"> (0.7</w:t>
      </w:r>
      <w:r w:rsidR="00145D90" w:rsidRPr="00377FA1">
        <w:rPr>
          <w:noProof/>
          <w:lang w:eastAsia="en-AU"/>
        </w:rPr>
        <w:t>81</w:t>
      </w:r>
      <w:r w:rsidRPr="00377FA1">
        <w:rPr>
          <w:noProof/>
          <w:lang w:eastAsia="en-AU"/>
        </w:rPr>
        <w:t xml:space="preserve"> ± 0.0</w:t>
      </w:r>
      <w:r w:rsidR="00145D90" w:rsidRPr="00377FA1">
        <w:rPr>
          <w:noProof/>
          <w:lang w:eastAsia="en-AU"/>
        </w:rPr>
        <w:t>18</w:t>
      </w:r>
      <w:r w:rsidRPr="00377FA1">
        <w:rPr>
          <w:noProof/>
          <w:lang w:eastAsia="en-AU"/>
        </w:rPr>
        <w:t>)</w:t>
      </w:r>
      <w:r w:rsidR="00305167">
        <w:rPr>
          <w:noProof/>
          <w:lang w:eastAsia="en-AU"/>
        </w:rPr>
        <w:t>, but differences were not significant</w:t>
      </w:r>
      <w:r w:rsidRPr="00377FA1">
        <w:rPr>
          <w:noProof/>
          <w:lang w:eastAsia="en-AU"/>
        </w:rPr>
        <w:t xml:space="preserve"> (PERMANOVA, </w:t>
      </w:r>
      <w:r w:rsidRPr="00377FA1">
        <w:rPr>
          <w:i/>
          <w:noProof/>
          <w:lang w:eastAsia="en-AU"/>
        </w:rPr>
        <w:t>Pseudo-F</w:t>
      </w:r>
      <w:r w:rsidRPr="00377FA1">
        <w:rPr>
          <w:i/>
          <w:noProof/>
          <w:vertAlign w:val="subscript"/>
          <w:lang w:eastAsia="en-AU"/>
        </w:rPr>
        <w:t xml:space="preserve">1, </w:t>
      </w:r>
      <w:r w:rsidR="007426C3">
        <w:rPr>
          <w:i/>
          <w:noProof/>
          <w:vertAlign w:val="subscript"/>
          <w:lang w:eastAsia="en-AU"/>
        </w:rPr>
        <w:t>80</w:t>
      </w:r>
      <w:r w:rsidRPr="00377FA1">
        <w:rPr>
          <w:i/>
          <w:noProof/>
          <w:lang w:eastAsia="en-AU"/>
        </w:rPr>
        <w:t xml:space="preserve"> </w:t>
      </w:r>
      <w:r w:rsidRPr="00377FA1">
        <w:rPr>
          <w:noProof/>
          <w:lang w:eastAsia="en-AU"/>
        </w:rPr>
        <w:t xml:space="preserve">= </w:t>
      </w:r>
      <w:r w:rsidR="007426C3">
        <w:rPr>
          <w:noProof/>
          <w:lang w:eastAsia="en-AU"/>
        </w:rPr>
        <w:t>1.7251</w:t>
      </w:r>
      <w:r w:rsidRPr="00377FA1">
        <w:rPr>
          <w:noProof/>
          <w:lang w:eastAsia="en-AU"/>
        </w:rPr>
        <w:t xml:space="preserve">, </w:t>
      </w:r>
      <w:r w:rsidRPr="00377FA1">
        <w:rPr>
          <w:i/>
          <w:noProof/>
          <w:lang w:eastAsia="en-AU"/>
        </w:rPr>
        <w:t>p</w:t>
      </w:r>
      <w:r w:rsidRPr="00377FA1">
        <w:rPr>
          <w:noProof/>
          <w:lang w:eastAsia="en-AU"/>
        </w:rPr>
        <w:t xml:space="preserve"> = 0.</w:t>
      </w:r>
      <w:r w:rsidR="00305167">
        <w:rPr>
          <w:noProof/>
          <w:lang w:eastAsia="en-AU"/>
        </w:rPr>
        <w:t>1886</w:t>
      </w:r>
      <w:r w:rsidRPr="00377FA1">
        <w:rPr>
          <w:noProof/>
          <w:lang w:eastAsia="en-AU"/>
        </w:rPr>
        <w:t>)</w:t>
      </w:r>
      <w:r w:rsidR="00305167">
        <w:rPr>
          <w:noProof/>
          <w:lang w:eastAsia="en-AU"/>
        </w:rPr>
        <w:t>.</w:t>
      </w:r>
      <w:r w:rsidR="00057266">
        <w:rPr>
          <w:noProof/>
          <w:lang w:eastAsia="en-AU"/>
        </w:rPr>
        <w:t xml:space="preserve"> </w:t>
      </w:r>
      <w:r w:rsidR="00305167">
        <w:rPr>
          <w:noProof/>
          <w:lang w:eastAsia="en-AU"/>
        </w:rPr>
        <w:t>T</w:t>
      </w:r>
      <w:r w:rsidR="00057266">
        <w:rPr>
          <w:noProof/>
          <w:lang w:eastAsia="en-AU"/>
        </w:rPr>
        <w:t>he lack of fish 20–90 mm TL</w:t>
      </w:r>
      <w:r w:rsidR="00305167">
        <w:rPr>
          <w:noProof/>
          <w:lang w:eastAsia="en-AU"/>
        </w:rPr>
        <w:t xml:space="preserve"> in 2020-21</w:t>
      </w:r>
      <w:r w:rsidR="00057266">
        <w:rPr>
          <w:noProof/>
          <w:lang w:eastAsia="en-AU"/>
        </w:rPr>
        <w:t xml:space="preserve"> may have </w:t>
      </w:r>
      <w:r w:rsidR="0045769E">
        <w:rPr>
          <w:noProof/>
          <w:lang w:eastAsia="en-AU"/>
        </w:rPr>
        <w:t>influenced this result</w:t>
      </w:r>
      <w:r w:rsidRPr="00377FA1">
        <w:rPr>
          <w:noProof/>
          <w:lang w:eastAsia="en-AU"/>
        </w:rPr>
        <w:t xml:space="preserve">. </w:t>
      </w:r>
      <w:r w:rsidRPr="00145D90">
        <w:rPr>
          <w:noProof/>
          <w:lang w:eastAsia="en-AU"/>
        </w:rPr>
        <w:t xml:space="preserve"> </w:t>
      </w:r>
    </w:p>
    <w:p w14:paraId="2E74F3ED" w14:textId="38B4321B" w:rsidR="007B56CE" w:rsidRPr="00B77CA4" w:rsidRDefault="007B56CE" w:rsidP="007B56CE">
      <w:pPr>
        <w:jc w:val="center"/>
      </w:pPr>
      <w:r w:rsidRPr="00B77CA4">
        <w:t xml:space="preserve">  </w:t>
      </w:r>
      <w:r w:rsidR="00B77CA4" w:rsidRPr="00B77CA4">
        <w:rPr>
          <w:noProof/>
        </w:rPr>
        <w:drawing>
          <wp:inline distT="0" distB="0" distL="0" distR="0" wp14:anchorId="73F30741" wp14:editId="4D6A3376">
            <wp:extent cx="5357004" cy="3225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8558" r="5041"/>
                    <a:stretch/>
                  </pic:blipFill>
                  <pic:spPr bwMode="auto">
                    <a:xfrm>
                      <a:off x="0" y="0"/>
                      <a:ext cx="5357562" cy="3226136"/>
                    </a:xfrm>
                    <a:prstGeom prst="rect">
                      <a:avLst/>
                    </a:prstGeom>
                    <a:noFill/>
                    <a:ln>
                      <a:noFill/>
                    </a:ln>
                    <a:extLst>
                      <a:ext uri="{53640926-AAD7-44D8-BBD7-CCE9431645EC}">
                        <a14:shadowObscured xmlns:a14="http://schemas.microsoft.com/office/drawing/2010/main"/>
                      </a:ext>
                    </a:extLst>
                  </pic:spPr>
                </pic:pic>
              </a:graphicData>
            </a:graphic>
          </wp:inline>
        </w:drawing>
      </w:r>
    </w:p>
    <w:p w14:paraId="57BE864A" w14:textId="778C1F81" w:rsidR="007B56CE" w:rsidRPr="00B77CA4" w:rsidRDefault="00A34010" w:rsidP="004C3BA1">
      <w:pPr>
        <w:pStyle w:val="Captions"/>
      </w:pPr>
      <w:bookmarkStart w:id="327" w:name="_Ref57899419"/>
      <w:bookmarkStart w:id="328" w:name="_Toc101963847"/>
      <w:r w:rsidRPr="00B77CA4">
        <w:t xml:space="preserve">Figure </w:t>
      </w:r>
      <w:r w:rsidR="001F30EA" w:rsidRPr="00B77CA4">
        <w:fldChar w:fldCharType="begin"/>
      </w:r>
      <w:r w:rsidR="001F30EA" w:rsidRPr="00B77CA4">
        <w:instrText xml:space="preserve"> SEQ Figure \* ARABIC </w:instrText>
      </w:r>
      <w:r w:rsidR="001F30EA" w:rsidRPr="00B77CA4">
        <w:fldChar w:fldCharType="separate"/>
      </w:r>
      <w:r w:rsidR="003C13F6">
        <w:rPr>
          <w:noProof/>
        </w:rPr>
        <w:t>55</w:t>
      </w:r>
      <w:r w:rsidR="001F30EA" w:rsidRPr="00B77CA4">
        <w:fldChar w:fldCharType="end"/>
      </w:r>
      <w:bookmarkEnd w:id="327"/>
      <w:r w:rsidR="007B56CE" w:rsidRPr="00B77CA4">
        <w:t xml:space="preserve">. The relationship between total length (TL) and estimated age of YOY (&lt;160 mm) Murray cod in the </w:t>
      </w:r>
      <w:r w:rsidR="008C22A9" w:rsidRPr="00B77CA4">
        <w:t>Lower Murray River</w:t>
      </w:r>
      <w:r w:rsidR="007B56CE" w:rsidRPr="00B77CA4">
        <w:t xml:space="preserve"> </w:t>
      </w:r>
      <w:r w:rsidR="00E20845">
        <w:t>from</w:t>
      </w:r>
      <w:r w:rsidR="00E20845" w:rsidRPr="00B77CA4">
        <w:t xml:space="preserve"> </w:t>
      </w:r>
      <w:r w:rsidR="00E20845">
        <w:t>2017–2021</w:t>
      </w:r>
      <w:r w:rsidR="007B56CE" w:rsidRPr="00B77CA4">
        <w:t>, predicted by the Gompertz model.</w:t>
      </w:r>
      <w:r w:rsidR="009A4875" w:rsidRPr="00B77CA4">
        <w:t xml:space="preserve"> See Table D1</w:t>
      </w:r>
      <w:r w:rsidR="00DD27F8">
        <w:t>5</w:t>
      </w:r>
      <w:r w:rsidR="009A4875" w:rsidRPr="00B77CA4">
        <w:t xml:space="preserve"> in Appendix D for statistics.</w:t>
      </w:r>
      <w:bookmarkEnd w:id="328"/>
    </w:p>
    <w:p w14:paraId="35CC8C95" w14:textId="072C34DE" w:rsidR="00096208" w:rsidRPr="003E07A7" w:rsidRDefault="00057266" w:rsidP="00096208">
      <w:pPr>
        <w:pStyle w:val="Heading4"/>
      </w:pPr>
      <w:r>
        <w:t>Recruitment and p</w:t>
      </w:r>
      <w:r w:rsidR="00096208" w:rsidRPr="003E07A7">
        <w:t>opulation structure</w:t>
      </w:r>
    </w:p>
    <w:p w14:paraId="29F1175E" w14:textId="532B4F12" w:rsidR="007B56CE" w:rsidRPr="003E07A7" w:rsidRDefault="007B56CE" w:rsidP="003E2029">
      <w:r w:rsidRPr="003E07A7">
        <w:t xml:space="preserve">Mean relative abundances (non-targeted CPUE) of Murray cod in the weir pools below Locks 2 and 3 </w:t>
      </w:r>
      <w:r w:rsidR="001E3253">
        <w:t xml:space="preserve">varied </w:t>
      </w:r>
      <w:r w:rsidR="001E3253" w:rsidRPr="00F3600A">
        <w:t>among years.</w:t>
      </w:r>
      <w:r w:rsidR="001E3253">
        <w:t xml:space="preserve"> Abundance </w:t>
      </w:r>
      <w:r w:rsidRPr="003E07A7">
        <w:t>remained relatively consistent from 2015 to 20</w:t>
      </w:r>
      <w:r w:rsidR="000C579D" w:rsidRPr="003E07A7">
        <w:t>19</w:t>
      </w:r>
      <w:r w:rsidRPr="003E07A7">
        <w:t xml:space="preserve"> (&lt;0.05 fish/min)</w:t>
      </w:r>
      <w:r w:rsidR="000C579D" w:rsidRPr="003E07A7">
        <w:t>.</w:t>
      </w:r>
      <w:r w:rsidR="005902DF" w:rsidRPr="003E07A7">
        <w:t xml:space="preserve"> </w:t>
      </w:r>
      <w:r w:rsidR="009D2A72" w:rsidRPr="003E07A7">
        <w:t>In 2020, t</w:t>
      </w:r>
      <w:r w:rsidRPr="003E07A7">
        <w:t>he</w:t>
      </w:r>
      <w:r w:rsidR="000C579D" w:rsidRPr="003E07A7">
        <w:t xml:space="preserve">re </w:t>
      </w:r>
      <w:r w:rsidR="009D2A72" w:rsidRPr="003E07A7">
        <w:t>was a four-fold</w:t>
      </w:r>
      <w:r w:rsidRPr="003E07A7">
        <w:t xml:space="preserve"> increase in </w:t>
      </w:r>
      <w:r w:rsidR="00663886" w:rsidRPr="003E07A7">
        <w:t xml:space="preserve">mean </w:t>
      </w:r>
      <w:r w:rsidRPr="003E07A7">
        <w:t>abundance below Lock 3,</w:t>
      </w:r>
      <w:r w:rsidR="005902DF" w:rsidRPr="003E07A7">
        <w:t xml:space="preserve"> </w:t>
      </w:r>
      <w:r w:rsidRPr="003E07A7">
        <w:t>driven by</w:t>
      </w:r>
      <w:r w:rsidR="0096172A">
        <w:t xml:space="preserve"> an increase in</w:t>
      </w:r>
      <w:r w:rsidRPr="003E07A7">
        <w:t xml:space="preserve"> the abundance of YOY fish (</w:t>
      </w:r>
      <w:r w:rsidR="00A34010" w:rsidRPr="003E07A7">
        <w:fldChar w:fldCharType="begin"/>
      </w:r>
      <w:r w:rsidR="00A34010" w:rsidRPr="003E07A7">
        <w:instrText xml:space="preserve"> REF _Ref57899436 \h  \* MERGEFORMAT </w:instrText>
      </w:r>
      <w:r w:rsidR="00A34010" w:rsidRPr="003E07A7">
        <w:fldChar w:fldCharType="separate"/>
      </w:r>
      <w:r w:rsidR="003C13F6" w:rsidRPr="0094661B">
        <w:t xml:space="preserve">Figure </w:t>
      </w:r>
      <w:r w:rsidR="003C13F6">
        <w:rPr>
          <w:noProof/>
        </w:rPr>
        <w:t>56</w:t>
      </w:r>
      <w:r w:rsidR="00A34010" w:rsidRPr="003E07A7">
        <w:fldChar w:fldCharType="end"/>
      </w:r>
      <w:r w:rsidR="00A34010" w:rsidRPr="003E07A7">
        <w:t xml:space="preserve"> and </w:t>
      </w:r>
      <w:r w:rsidR="00A34010" w:rsidRPr="003E07A7">
        <w:fldChar w:fldCharType="begin"/>
      </w:r>
      <w:r w:rsidR="00A34010" w:rsidRPr="003E07A7">
        <w:instrText xml:space="preserve"> REF _Ref57899437 \h  \* MERGEFORMAT </w:instrText>
      </w:r>
      <w:r w:rsidR="00A34010" w:rsidRPr="003E07A7">
        <w:fldChar w:fldCharType="separate"/>
      </w:r>
      <w:r w:rsidR="003C13F6" w:rsidRPr="00560189">
        <w:t xml:space="preserve">Figure </w:t>
      </w:r>
      <w:r w:rsidR="003C13F6">
        <w:rPr>
          <w:noProof/>
        </w:rPr>
        <w:t>57</w:t>
      </w:r>
      <w:r w:rsidR="00A34010" w:rsidRPr="003E07A7">
        <w:fldChar w:fldCharType="end"/>
      </w:r>
      <w:r w:rsidRPr="003E07A7">
        <w:t>).</w:t>
      </w:r>
      <w:r w:rsidR="009D2A72" w:rsidRPr="003E07A7">
        <w:t xml:space="preserve"> </w:t>
      </w:r>
      <w:r w:rsidR="00C562E2">
        <w:t xml:space="preserve">From 2020 to </w:t>
      </w:r>
      <w:r w:rsidR="001E3253" w:rsidRPr="003E07A7">
        <w:t>2021, mean abundance below Lock</w:t>
      </w:r>
      <w:r w:rsidR="00592CC2">
        <w:t>s 2 and</w:t>
      </w:r>
      <w:r w:rsidR="001E3253" w:rsidRPr="003E07A7">
        <w:t xml:space="preserve"> 3 declined. Nonetheless, abundance </w:t>
      </w:r>
      <w:r w:rsidR="0045769E">
        <w:t>in</w:t>
      </w:r>
      <w:r w:rsidR="001E3253" w:rsidRPr="003E07A7">
        <w:t xml:space="preserve"> both </w:t>
      </w:r>
      <w:r w:rsidR="003C1531">
        <w:t>re</w:t>
      </w:r>
      <w:r w:rsidR="0045769E">
        <w:t>aches</w:t>
      </w:r>
      <w:r w:rsidR="001E3253" w:rsidRPr="003E07A7">
        <w:t xml:space="preserve"> </w:t>
      </w:r>
      <w:r w:rsidR="00686C9C">
        <w:t xml:space="preserve">in 2021 </w:t>
      </w:r>
      <w:r w:rsidR="001E3253" w:rsidRPr="003E07A7">
        <w:t>remained slightly higher than the pre-2020 period</w:t>
      </w:r>
      <w:r w:rsidR="006B4B63">
        <w:t>.</w:t>
      </w:r>
      <w:r w:rsidR="00883E8D">
        <w:t xml:space="preserve"> </w:t>
      </w:r>
      <w:r w:rsidRPr="003E07A7">
        <w:t>The proportional abundance of YOY from these sites throughout the s</w:t>
      </w:r>
      <w:r w:rsidR="003E07A7" w:rsidRPr="003E07A7">
        <w:t>even</w:t>
      </w:r>
      <w:r w:rsidRPr="003E07A7">
        <w:t>-year period was relatively high (&gt;50%)</w:t>
      </w:r>
      <w:r w:rsidR="003E07A7" w:rsidRPr="003E07A7">
        <w:t>, with the exception of 2021</w:t>
      </w:r>
      <w:r w:rsidR="009B7B93">
        <w:t xml:space="preserve"> (</w:t>
      </w:r>
      <w:r w:rsidR="00393A03">
        <w:t>20</w:t>
      </w:r>
      <w:r w:rsidR="009B7B93">
        <w:t>%)</w:t>
      </w:r>
      <w:r w:rsidR="00592CC2">
        <w:t xml:space="preserve"> </w:t>
      </w:r>
      <w:r w:rsidR="00592CC2" w:rsidRPr="003E07A7">
        <w:t>(</w:t>
      </w:r>
      <w:r w:rsidR="00592CC2" w:rsidRPr="003E07A7">
        <w:fldChar w:fldCharType="begin"/>
      </w:r>
      <w:r w:rsidR="00592CC2" w:rsidRPr="003E07A7">
        <w:instrText xml:space="preserve"> REF _Ref57899436 \h  \* MERGEFORMAT </w:instrText>
      </w:r>
      <w:r w:rsidR="00592CC2" w:rsidRPr="003E07A7">
        <w:fldChar w:fldCharType="separate"/>
      </w:r>
      <w:r w:rsidR="003C13F6" w:rsidRPr="0094661B">
        <w:t xml:space="preserve">Figure </w:t>
      </w:r>
      <w:r w:rsidR="003C13F6">
        <w:rPr>
          <w:noProof/>
        </w:rPr>
        <w:t>56</w:t>
      </w:r>
      <w:r w:rsidR="00592CC2" w:rsidRPr="003E07A7">
        <w:fldChar w:fldCharType="end"/>
      </w:r>
      <w:r w:rsidR="00592CC2" w:rsidRPr="003E07A7">
        <w:t xml:space="preserve"> and </w:t>
      </w:r>
      <w:r w:rsidR="00592CC2" w:rsidRPr="003E07A7">
        <w:fldChar w:fldCharType="begin"/>
      </w:r>
      <w:r w:rsidR="00592CC2" w:rsidRPr="003E07A7">
        <w:instrText xml:space="preserve"> REF _Ref57899437 \h  \* MERGEFORMAT </w:instrText>
      </w:r>
      <w:r w:rsidR="00592CC2" w:rsidRPr="003E07A7">
        <w:fldChar w:fldCharType="separate"/>
      </w:r>
      <w:r w:rsidR="003C13F6" w:rsidRPr="00560189">
        <w:t xml:space="preserve">Figure </w:t>
      </w:r>
      <w:r w:rsidR="003C13F6">
        <w:rPr>
          <w:noProof/>
        </w:rPr>
        <w:t>57</w:t>
      </w:r>
      <w:r w:rsidR="00592CC2" w:rsidRPr="003E07A7">
        <w:fldChar w:fldCharType="end"/>
      </w:r>
      <w:r w:rsidR="00592CC2" w:rsidRPr="003E07A7">
        <w:t>)</w:t>
      </w:r>
      <w:r w:rsidRPr="003E07A7">
        <w:t>.</w:t>
      </w:r>
      <w:r w:rsidR="002019D4" w:rsidRPr="002019D4">
        <w:t xml:space="preserve"> Relative abundances of </w:t>
      </w:r>
      <w:r w:rsidR="002019D4">
        <w:t xml:space="preserve">YOY between Locks 1 and 3 </w:t>
      </w:r>
      <w:r w:rsidR="002019D4" w:rsidRPr="002019D4">
        <w:t xml:space="preserve">varied among years (PERMANOVA, </w:t>
      </w:r>
      <w:r w:rsidR="002019D4" w:rsidRPr="008E121C">
        <w:rPr>
          <w:i/>
          <w:noProof/>
          <w:lang w:eastAsia="en-AU"/>
        </w:rPr>
        <w:t>Pseudo-F</w:t>
      </w:r>
      <w:r w:rsidR="002019D4">
        <w:rPr>
          <w:i/>
          <w:noProof/>
          <w:vertAlign w:val="subscript"/>
          <w:lang w:eastAsia="en-AU"/>
        </w:rPr>
        <w:t>6</w:t>
      </w:r>
      <w:r w:rsidR="002019D4" w:rsidRPr="008E121C">
        <w:rPr>
          <w:i/>
          <w:noProof/>
          <w:vertAlign w:val="subscript"/>
          <w:lang w:eastAsia="en-AU"/>
        </w:rPr>
        <w:t xml:space="preserve">, </w:t>
      </w:r>
      <w:r w:rsidR="002019D4">
        <w:rPr>
          <w:i/>
          <w:noProof/>
          <w:vertAlign w:val="subscript"/>
          <w:lang w:eastAsia="en-AU"/>
        </w:rPr>
        <w:t>69</w:t>
      </w:r>
      <w:r w:rsidR="002019D4" w:rsidRPr="008E121C">
        <w:rPr>
          <w:i/>
          <w:noProof/>
          <w:lang w:eastAsia="en-AU"/>
        </w:rPr>
        <w:t xml:space="preserve"> </w:t>
      </w:r>
      <w:r w:rsidR="002019D4" w:rsidRPr="008E121C">
        <w:rPr>
          <w:noProof/>
          <w:lang w:eastAsia="en-AU"/>
        </w:rPr>
        <w:t xml:space="preserve">= </w:t>
      </w:r>
      <w:r w:rsidR="002019D4">
        <w:rPr>
          <w:noProof/>
          <w:lang w:eastAsia="en-AU"/>
        </w:rPr>
        <w:t>2.359</w:t>
      </w:r>
      <w:r w:rsidR="002019D4" w:rsidRPr="008E121C">
        <w:rPr>
          <w:noProof/>
          <w:lang w:eastAsia="en-AU"/>
        </w:rPr>
        <w:t xml:space="preserve">, </w:t>
      </w:r>
      <w:r w:rsidR="002019D4" w:rsidRPr="008E121C">
        <w:rPr>
          <w:i/>
          <w:noProof/>
          <w:lang w:eastAsia="en-AU"/>
        </w:rPr>
        <w:t>p</w:t>
      </w:r>
      <w:r w:rsidR="002019D4" w:rsidRPr="008E121C">
        <w:rPr>
          <w:noProof/>
          <w:lang w:eastAsia="en-AU"/>
        </w:rPr>
        <w:t xml:space="preserve"> = 0.0</w:t>
      </w:r>
      <w:r w:rsidR="002019D4">
        <w:rPr>
          <w:noProof/>
          <w:lang w:eastAsia="en-AU"/>
        </w:rPr>
        <w:t>4</w:t>
      </w:r>
      <w:r w:rsidR="004E68C9">
        <w:rPr>
          <w:noProof/>
          <w:lang w:eastAsia="en-AU"/>
        </w:rPr>
        <w:t>1</w:t>
      </w:r>
      <w:r w:rsidR="002019D4" w:rsidRPr="002019D4">
        <w:t>)</w:t>
      </w:r>
      <w:r w:rsidR="002019D4">
        <w:t>.</w:t>
      </w:r>
      <w:r w:rsidR="002019D4" w:rsidRPr="002019D4">
        <w:t xml:space="preserve"> </w:t>
      </w:r>
      <w:r w:rsidR="002019D4" w:rsidRPr="00883E8D">
        <w:t>PERMANOVA pair-wise comparisons revealed significant</w:t>
      </w:r>
      <w:r w:rsidR="002019D4">
        <w:t>ly higher recruitment</w:t>
      </w:r>
      <w:r w:rsidR="002019D4" w:rsidRPr="00883E8D">
        <w:t xml:space="preserve"> </w:t>
      </w:r>
      <w:r w:rsidR="002019D4">
        <w:t>(YOY</w:t>
      </w:r>
      <w:r w:rsidR="002019D4" w:rsidRPr="00883E8D">
        <w:t xml:space="preserve"> abundance</w:t>
      </w:r>
      <w:r w:rsidR="002019D4">
        <w:t>)</w:t>
      </w:r>
      <w:r w:rsidR="002019D4" w:rsidRPr="00883E8D">
        <w:t xml:space="preserve"> </w:t>
      </w:r>
      <w:r w:rsidR="002019D4">
        <w:t>in 2015, 2019 and 2020 compared to 2017, but not for any other comparisons between years</w:t>
      </w:r>
      <w:r w:rsidR="002019D4" w:rsidRPr="00883E8D">
        <w:t xml:space="preserve"> (</w:t>
      </w:r>
      <w:r w:rsidR="002019D4" w:rsidRPr="003E07A7">
        <w:fldChar w:fldCharType="begin"/>
      </w:r>
      <w:r w:rsidR="002019D4" w:rsidRPr="003E07A7">
        <w:instrText xml:space="preserve"> REF _Ref57899436 \h  \* MERGEFORMAT </w:instrText>
      </w:r>
      <w:r w:rsidR="002019D4" w:rsidRPr="003E07A7">
        <w:fldChar w:fldCharType="separate"/>
      </w:r>
      <w:r w:rsidR="003C13F6" w:rsidRPr="0094661B">
        <w:t xml:space="preserve">Figure </w:t>
      </w:r>
      <w:r w:rsidR="003C13F6">
        <w:rPr>
          <w:noProof/>
        </w:rPr>
        <w:t>56</w:t>
      </w:r>
      <w:r w:rsidR="002019D4" w:rsidRPr="003E07A7">
        <w:fldChar w:fldCharType="end"/>
      </w:r>
      <w:r w:rsidR="00C221FF">
        <w:t>; Table D16, Appendix D</w:t>
      </w:r>
      <w:r w:rsidR="002019D4" w:rsidRPr="00883E8D">
        <w:t>)</w:t>
      </w:r>
      <w:r w:rsidR="002019D4" w:rsidRPr="003E07A7">
        <w:t>.</w:t>
      </w:r>
    </w:p>
    <w:p w14:paraId="211A43DF" w14:textId="2DF721BB" w:rsidR="007B56CE" w:rsidRPr="001B657D" w:rsidRDefault="007B56CE" w:rsidP="003E2029">
      <w:r w:rsidRPr="001B657D">
        <w:t xml:space="preserve">Relative abundances (targeted CPUE) of Murray cod in the </w:t>
      </w:r>
      <w:r w:rsidR="00265CBF" w:rsidRPr="001B657D">
        <w:t>tailwaters of</w:t>
      </w:r>
      <w:r w:rsidRPr="001B657D">
        <w:t xml:space="preserve"> Locks 4 and 5</w:t>
      </w:r>
      <w:r w:rsidR="00350336" w:rsidRPr="001B657D">
        <w:t xml:space="preserve"> varied among </w:t>
      </w:r>
      <w:r w:rsidR="00350336" w:rsidRPr="008E121C">
        <w:t>years and</w:t>
      </w:r>
      <w:r w:rsidRPr="008E121C">
        <w:t xml:space="preserve"> showed a general increasing trend in abundance from 2013 to 2016, before a decline in abundance in 2017. </w:t>
      </w:r>
      <w:r w:rsidR="00265CBF" w:rsidRPr="008E121C">
        <w:t>This was followed by</w:t>
      </w:r>
      <w:r w:rsidRPr="008E121C">
        <w:t xml:space="preserve"> a</w:t>
      </w:r>
      <w:r w:rsidR="002019D4">
        <w:t>n</w:t>
      </w:r>
      <w:r w:rsidRPr="008E121C">
        <w:t xml:space="preserve"> increase in relative abundances in 2020. Consistent</w:t>
      </w:r>
      <w:r w:rsidRPr="001B657D">
        <w:t xml:space="preserve"> with the </w:t>
      </w:r>
      <w:r w:rsidR="00265CBF" w:rsidRPr="001B657D">
        <w:t>non-targeted CPUE data from</w:t>
      </w:r>
      <w:r w:rsidRPr="001B657D">
        <w:t xml:space="preserve"> below Lock 3, th</w:t>
      </w:r>
      <w:r w:rsidR="00383FF7" w:rsidRPr="001B657D">
        <w:t>e 2020</w:t>
      </w:r>
      <w:r w:rsidRPr="001B657D">
        <w:t xml:space="preserve"> increase in relative abundance below Lock 4 was driven by an increase in abundance of YOY (</w:t>
      </w:r>
      <w:r w:rsidR="00A34010" w:rsidRPr="001B657D">
        <w:fldChar w:fldCharType="begin"/>
      </w:r>
      <w:r w:rsidR="00A34010" w:rsidRPr="001B657D">
        <w:instrText xml:space="preserve"> REF _Ref57899436 \h  \* MERGEFORMAT </w:instrText>
      </w:r>
      <w:r w:rsidR="00A34010" w:rsidRPr="001B657D">
        <w:fldChar w:fldCharType="separate"/>
      </w:r>
      <w:r w:rsidR="003C13F6" w:rsidRPr="0094661B">
        <w:t xml:space="preserve">Figure </w:t>
      </w:r>
      <w:r w:rsidR="003C13F6">
        <w:rPr>
          <w:noProof/>
        </w:rPr>
        <w:t>56</w:t>
      </w:r>
      <w:r w:rsidR="00A34010" w:rsidRPr="001B657D">
        <w:fldChar w:fldCharType="end"/>
      </w:r>
      <w:r w:rsidR="00A34010" w:rsidRPr="001B657D">
        <w:t xml:space="preserve"> and </w:t>
      </w:r>
      <w:r w:rsidR="00A34010" w:rsidRPr="001B657D">
        <w:fldChar w:fldCharType="begin"/>
      </w:r>
      <w:r w:rsidR="00A34010" w:rsidRPr="001B657D">
        <w:instrText xml:space="preserve"> REF _Ref57899437 \h  \* MERGEFORMAT </w:instrText>
      </w:r>
      <w:r w:rsidR="00A34010" w:rsidRPr="001B657D">
        <w:fldChar w:fldCharType="separate"/>
      </w:r>
      <w:r w:rsidR="003C13F6" w:rsidRPr="00560189">
        <w:t xml:space="preserve">Figure </w:t>
      </w:r>
      <w:r w:rsidR="003C13F6">
        <w:rPr>
          <w:noProof/>
        </w:rPr>
        <w:t>57</w:t>
      </w:r>
      <w:r w:rsidR="00A34010" w:rsidRPr="001B657D">
        <w:fldChar w:fldCharType="end"/>
      </w:r>
      <w:r w:rsidRPr="001B657D">
        <w:t>).</w:t>
      </w:r>
      <w:r w:rsidR="00383FF7" w:rsidRPr="001B657D">
        <w:t xml:space="preserve"> In 2021,</w:t>
      </w:r>
      <w:r w:rsidR="000403B0">
        <w:t xml:space="preserve"> </w:t>
      </w:r>
      <w:r w:rsidR="00383FF7" w:rsidRPr="001B657D">
        <w:t>high relative abundance</w:t>
      </w:r>
      <w:r w:rsidR="008E121C">
        <w:t>s</w:t>
      </w:r>
      <w:r w:rsidR="00383FF7" w:rsidRPr="001B657D">
        <w:t xml:space="preserve"> below Lock</w:t>
      </w:r>
      <w:r w:rsidR="008E121C">
        <w:t>s</w:t>
      </w:r>
      <w:r w:rsidR="000403B0">
        <w:t xml:space="preserve"> 4 </w:t>
      </w:r>
      <w:r w:rsidR="008E121C">
        <w:t xml:space="preserve">and 5 </w:t>
      </w:r>
      <w:r w:rsidR="00383FF7" w:rsidRPr="001B657D">
        <w:t>w</w:t>
      </w:r>
      <w:r w:rsidR="008E121C">
        <w:t>ere</w:t>
      </w:r>
      <w:r w:rsidR="00383FF7" w:rsidRPr="001B657D">
        <w:t xml:space="preserve"> </w:t>
      </w:r>
      <w:r w:rsidR="000403B0">
        <w:t xml:space="preserve">maintained and </w:t>
      </w:r>
      <w:r w:rsidR="00383FF7" w:rsidRPr="001B657D">
        <w:t>not driven by an increase in the abundance of YOY.</w:t>
      </w:r>
      <w:r w:rsidR="002019D4">
        <w:t xml:space="preserve"> </w:t>
      </w:r>
      <w:r w:rsidR="002019D4" w:rsidRPr="002019D4">
        <w:t xml:space="preserve">Relative abundances of YOY </w:t>
      </w:r>
      <w:r w:rsidR="002019D4">
        <w:t xml:space="preserve">downstream of Lock 4 </w:t>
      </w:r>
      <w:r w:rsidR="002019D4" w:rsidRPr="002019D4">
        <w:t xml:space="preserve">varied among years (PERMANOVA, </w:t>
      </w:r>
      <w:r w:rsidR="002019D4" w:rsidRPr="008E121C">
        <w:rPr>
          <w:i/>
          <w:noProof/>
          <w:lang w:eastAsia="en-AU"/>
        </w:rPr>
        <w:t>Pseudo-F</w:t>
      </w:r>
      <w:r w:rsidR="00DC6474">
        <w:rPr>
          <w:i/>
          <w:noProof/>
          <w:vertAlign w:val="subscript"/>
          <w:lang w:eastAsia="en-AU"/>
        </w:rPr>
        <w:t>7</w:t>
      </w:r>
      <w:r w:rsidR="002019D4" w:rsidRPr="008E121C">
        <w:rPr>
          <w:i/>
          <w:noProof/>
          <w:vertAlign w:val="subscript"/>
          <w:lang w:eastAsia="en-AU"/>
        </w:rPr>
        <w:t xml:space="preserve">, </w:t>
      </w:r>
      <w:r w:rsidR="00DC6474">
        <w:rPr>
          <w:i/>
          <w:noProof/>
          <w:vertAlign w:val="subscript"/>
          <w:lang w:eastAsia="en-AU"/>
        </w:rPr>
        <w:t>29</w:t>
      </w:r>
      <w:r w:rsidR="002019D4" w:rsidRPr="008E121C">
        <w:rPr>
          <w:i/>
          <w:noProof/>
          <w:lang w:eastAsia="en-AU"/>
        </w:rPr>
        <w:t xml:space="preserve"> </w:t>
      </w:r>
      <w:r w:rsidR="002019D4" w:rsidRPr="008E121C">
        <w:rPr>
          <w:noProof/>
          <w:lang w:eastAsia="en-AU"/>
        </w:rPr>
        <w:t xml:space="preserve">= </w:t>
      </w:r>
      <w:r w:rsidR="00DC6474">
        <w:rPr>
          <w:noProof/>
          <w:lang w:eastAsia="en-AU"/>
        </w:rPr>
        <w:t>7.31</w:t>
      </w:r>
      <w:r w:rsidR="004E68C9">
        <w:rPr>
          <w:noProof/>
          <w:lang w:eastAsia="en-AU"/>
        </w:rPr>
        <w:t>8</w:t>
      </w:r>
      <w:r w:rsidR="002019D4" w:rsidRPr="008E121C">
        <w:rPr>
          <w:noProof/>
          <w:lang w:eastAsia="en-AU"/>
        </w:rPr>
        <w:t xml:space="preserve">, </w:t>
      </w:r>
      <w:r w:rsidR="002019D4" w:rsidRPr="008E121C">
        <w:rPr>
          <w:i/>
          <w:noProof/>
          <w:lang w:eastAsia="en-AU"/>
        </w:rPr>
        <w:t>p</w:t>
      </w:r>
      <w:r w:rsidR="002019D4" w:rsidRPr="008E121C">
        <w:rPr>
          <w:noProof/>
          <w:lang w:eastAsia="en-AU"/>
        </w:rPr>
        <w:t xml:space="preserve"> </w:t>
      </w:r>
      <w:r w:rsidR="004E68C9">
        <w:rPr>
          <w:noProof/>
          <w:lang w:eastAsia="en-AU"/>
        </w:rPr>
        <w:t xml:space="preserve">&lt; </w:t>
      </w:r>
      <w:r w:rsidR="002019D4" w:rsidRPr="008E121C">
        <w:rPr>
          <w:noProof/>
          <w:lang w:eastAsia="en-AU"/>
        </w:rPr>
        <w:t>0.0</w:t>
      </w:r>
      <w:r w:rsidR="00DC6474">
        <w:rPr>
          <w:noProof/>
          <w:lang w:eastAsia="en-AU"/>
        </w:rPr>
        <w:t>0</w:t>
      </w:r>
      <w:r w:rsidR="004E68C9">
        <w:rPr>
          <w:noProof/>
          <w:lang w:eastAsia="en-AU"/>
        </w:rPr>
        <w:t>1</w:t>
      </w:r>
      <w:r w:rsidR="002019D4" w:rsidRPr="002019D4">
        <w:t xml:space="preserve">). PERMANOVA pair-wise comparisons revealed significantly higher recruitment (YOY abundance) in 2020 compared to </w:t>
      </w:r>
      <w:r w:rsidR="00C221FF">
        <w:t>years 2013–2015</w:t>
      </w:r>
      <w:r w:rsidR="002019D4" w:rsidRPr="002019D4">
        <w:t>,</w:t>
      </w:r>
      <w:r w:rsidR="00C221FF">
        <w:t xml:space="preserve"> 2017 and 2021,</w:t>
      </w:r>
      <w:r w:rsidR="002019D4" w:rsidRPr="002019D4">
        <w:t xml:space="preserve"> but not for any other comparisons between years (</w:t>
      </w:r>
      <w:r w:rsidR="00C73C05" w:rsidRPr="003E07A7">
        <w:fldChar w:fldCharType="begin"/>
      </w:r>
      <w:r w:rsidR="00C73C05" w:rsidRPr="003E07A7">
        <w:instrText xml:space="preserve"> REF _Ref57899436 \h  \* MERGEFORMAT </w:instrText>
      </w:r>
      <w:r w:rsidR="00C73C05" w:rsidRPr="003E07A7">
        <w:fldChar w:fldCharType="separate"/>
      </w:r>
      <w:r w:rsidR="003C13F6" w:rsidRPr="0094661B">
        <w:t xml:space="preserve">Figure </w:t>
      </w:r>
      <w:r w:rsidR="003C13F6">
        <w:rPr>
          <w:noProof/>
        </w:rPr>
        <w:t>56</w:t>
      </w:r>
      <w:r w:rsidR="00C73C05" w:rsidRPr="003E07A7">
        <w:fldChar w:fldCharType="end"/>
      </w:r>
      <w:r w:rsidR="00C221FF">
        <w:t>; Table D17, Appendix D</w:t>
      </w:r>
      <w:r w:rsidR="002019D4" w:rsidRPr="002019D4">
        <w:t>).</w:t>
      </w:r>
    </w:p>
    <w:p w14:paraId="777B9747" w14:textId="7E884D7C" w:rsidR="007B56CE" w:rsidRPr="00FF3900" w:rsidRDefault="007B56CE" w:rsidP="007B56CE">
      <w:pPr>
        <w:rPr>
          <w:b/>
          <w:highlight w:val="yellow"/>
        </w:rPr>
      </w:pPr>
      <w:r w:rsidRPr="00063A25">
        <w:t>Excluding years with low sample sizes</w:t>
      </w:r>
      <w:r w:rsidR="00265CBF" w:rsidRPr="00063A25">
        <w:t xml:space="preserve"> (</w:t>
      </w:r>
      <w:r w:rsidR="00265CBF" w:rsidRPr="00063A25">
        <w:rPr>
          <w:i/>
          <w:iCs/>
        </w:rPr>
        <w:t xml:space="preserve">n </w:t>
      </w:r>
      <w:r w:rsidR="00265CBF" w:rsidRPr="00063A25">
        <w:t>&lt; 10</w:t>
      </w:r>
      <w:r w:rsidR="00E05846">
        <w:t xml:space="preserve">; </w:t>
      </w:r>
      <w:r w:rsidR="00E05846" w:rsidRPr="00063A25">
        <w:t>2013 and 2014</w:t>
      </w:r>
      <w:r w:rsidR="00265CBF" w:rsidRPr="00063A25">
        <w:t>)</w:t>
      </w:r>
      <w:r w:rsidRPr="00063A25">
        <w:t xml:space="preserve">, </w:t>
      </w:r>
      <w:r w:rsidR="00265CBF" w:rsidRPr="00063A25">
        <w:t xml:space="preserve">Murray cod generally exhibited broad </w:t>
      </w:r>
      <w:r w:rsidRPr="00063A25">
        <w:t xml:space="preserve">length frequency distributions, comprised of juveniles (including YOY), sub-adults (300–600 mm) </w:t>
      </w:r>
      <w:r w:rsidRPr="004E02CC">
        <w:t>and adults (&gt;600 mm) (</w:t>
      </w:r>
      <w:r w:rsidR="00A34010" w:rsidRPr="004E02CC">
        <w:fldChar w:fldCharType="begin"/>
      </w:r>
      <w:r w:rsidR="00A34010" w:rsidRPr="004E02CC">
        <w:instrText xml:space="preserve"> REF _Ref57899437 \h </w:instrText>
      </w:r>
      <w:r w:rsidR="00FF3900" w:rsidRPr="004E02CC">
        <w:instrText xml:space="preserve"> \* MERGEFORMAT </w:instrText>
      </w:r>
      <w:r w:rsidR="00A34010" w:rsidRPr="004E02CC">
        <w:fldChar w:fldCharType="separate"/>
      </w:r>
      <w:r w:rsidR="003C13F6" w:rsidRPr="00560189">
        <w:t xml:space="preserve">Figure </w:t>
      </w:r>
      <w:r w:rsidR="003C13F6">
        <w:rPr>
          <w:noProof/>
        </w:rPr>
        <w:t>57</w:t>
      </w:r>
      <w:r w:rsidR="00A34010" w:rsidRPr="004E02CC">
        <w:fldChar w:fldCharType="end"/>
      </w:r>
      <w:r w:rsidRPr="004E02CC">
        <w:t>). YOY fish (i.e. &lt;1</w:t>
      </w:r>
      <w:r w:rsidR="00F01A8E">
        <w:t>6</w:t>
      </w:r>
      <w:r w:rsidRPr="004E02CC">
        <w:t>0 mm) dominated the sampled population in 2019 (69 %) and 2020 (67 %).</w:t>
      </w:r>
      <w:r w:rsidR="004E02CC" w:rsidRPr="004E02CC">
        <w:t xml:space="preserve"> In 2021, YOY fish </w:t>
      </w:r>
      <w:r w:rsidR="00472B79">
        <w:t>contributed towards</w:t>
      </w:r>
      <w:r w:rsidR="004E02CC" w:rsidRPr="004E02CC">
        <w:t xml:space="preserve"> the lowest proportion (</w:t>
      </w:r>
      <w:r w:rsidR="00393A03">
        <w:t xml:space="preserve">7 </w:t>
      </w:r>
      <w:r w:rsidR="004E02CC" w:rsidRPr="004E02CC">
        <w:t>%)</w:t>
      </w:r>
      <w:r w:rsidR="00472B79">
        <w:t>, across all years,</w:t>
      </w:r>
      <w:r w:rsidR="004E02CC" w:rsidRPr="004E02CC">
        <w:t xml:space="preserve"> of the sampled population</w:t>
      </w:r>
      <w:r w:rsidR="007561A5">
        <w:t>,</w:t>
      </w:r>
      <w:r w:rsidR="004E02CC" w:rsidRPr="004E02CC">
        <w:t xml:space="preserve"> and age 1+ individuals (~150–300 mm) dominated the population (</w:t>
      </w:r>
      <w:r w:rsidR="00E1317D">
        <w:t>49</w:t>
      </w:r>
      <w:r w:rsidR="004E02CC" w:rsidRPr="004E02CC">
        <w:t>%).</w:t>
      </w:r>
      <w:r w:rsidRPr="004E02CC">
        <w:t xml:space="preserve"> </w:t>
      </w:r>
      <w:r w:rsidR="004E02CC" w:rsidRPr="004E02CC">
        <w:t>F</w:t>
      </w:r>
      <w:r w:rsidRPr="004E02CC">
        <w:t>rom 2015, new (YOY) cohorts can be seen to persist and progress through the population each year to adult size (&gt;600 mm).</w:t>
      </w:r>
    </w:p>
    <w:p w14:paraId="28C8591E" w14:textId="7FE12D1B" w:rsidR="007B56CE" w:rsidRPr="0094661B" w:rsidRDefault="0094661B" w:rsidP="007B56CE">
      <w:pPr>
        <w:jc w:val="center"/>
      </w:pPr>
      <w:bookmarkStart w:id="329" w:name="_Hlk81489474"/>
      <w:r w:rsidRPr="0094661B">
        <w:rPr>
          <w:noProof/>
        </w:rPr>
        <w:drawing>
          <wp:inline distT="0" distB="0" distL="0" distR="0" wp14:anchorId="7C8C5CC4" wp14:editId="37E64B4F">
            <wp:extent cx="5155704" cy="5149970"/>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2281" r="20023"/>
                    <a:stretch/>
                  </pic:blipFill>
                  <pic:spPr bwMode="auto">
                    <a:xfrm>
                      <a:off x="0" y="0"/>
                      <a:ext cx="5174062" cy="5168308"/>
                    </a:xfrm>
                    <a:prstGeom prst="rect">
                      <a:avLst/>
                    </a:prstGeom>
                    <a:noFill/>
                    <a:ln>
                      <a:noFill/>
                    </a:ln>
                    <a:extLst>
                      <a:ext uri="{53640926-AAD7-44D8-BBD7-CCE9431645EC}">
                        <a14:shadowObscured xmlns:a14="http://schemas.microsoft.com/office/drawing/2010/main"/>
                      </a:ext>
                    </a:extLst>
                  </pic:spPr>
                </pic:pic>
              </a:graphicData>
            </a:graphic>
          </wp:inline>
        </w:drawing>
      </w:r>
    </w:p>
    <w:p w14:paraId="290F9C48" w14:textId="0381F51A" w:rsidR="007B56CE" w:rsidRPr="0094661B" w:rsidRDefault="00A34010" w:rsidP="004C3BA1">
      <w:pPr>
        <w:pStyle w:val="Captions"/>
      </w:pPr>
      <w:bookmarkStart w:id="330" w:name="_Ref57899436"/>
      <w:bookmarkStart w:id="331" w:name="_Toc101963848"/>
      <w:r w:rsidRPr="0094661B">
        <w:t xml:space="preserve">Figure </w:t>
      </w:r>
      <w:r w:rsidR="001F30EA">
        <w:fldChar w:fldCharType="begin"/>
      </w:r>
      <w:r w:rsidR="001F30EA">
        <w:instrText xml:space="preserve"> SEQ Figure \* ARABIC </w:instrText>
      </w:r>
      <w:r w:rsidR="001F30EA">
        <w:fldChar w:fldCharType="separate"/>
      </w:r>
      <w:r w:rsidR="003C13F6">
        <w:rPr>
          <w:noProof/>
        </w:rPr>
        <w:t>56</w:t>
      </w:r>
      <w:r w:rsidR="001F30EA">
        <w:fldChar w:fldCharType="end"/>
      </w:r>
      <w:bookmarkEnd w:id="330"/>
      <w:r w:rsidR="007B56CE" w:rsidRPr="0094661B">
        <w:t xml:space="preserve">. Mean non-targeted (top) and targeted (bottom) electrofishing catch-per-unit-effort (CPUE) ± S.E. of Murray cod in the weir pools downstream of Locks 2, 3, 4 and 5 of the </w:t>
      </w:r>
      <w:r w:rsidR="008C22A9" w:rsidRPr="0094661B">
        <w:t>Lower Murray River</w:t>
      </w:r>
      <w:r w:rsidR="007B56CE" w:rsidRPr="0094661B">
        <w:t>. Dashed bars represent the proportion of YOY to the total CPUE. Note the different scales on the CPUE-axis for the different methods of electrofishing.</w:t>
      </w:r>
      <w:r w:rsidR="009A4875" w:rsidRPr="0094661B">
        <w:t xml:space="preserve"> See Tables D1</w:t>
      </w:r>
      <w:r w:rsidR="00DD27F8">
        <w:t>6</w:t>
      </w:r>
      <w:r w:rsidR="009A4875" w:rsidRPr="0094661B">
        <w:t xml:space="preserve"> and D1</w:t>
      </w:r>
      <w:r w:rsidR="00DD27F8">
        <w:t>7</w:t>
      </w:r>
      <w:r w:rsidR="009A4875" w:rsidRPr="0094661B">
        <w:t xml:space="preserve"> in Appendix D for statistics.</w:t>
      </w:r>
      <w:bookmarkEnd w:id="331"/>
    </w:p>
    <w:bookmarkEnd w:id="329"/>
    <w:p w14:paraId="56EB3B77" w14:textId="6700E683" w:rsidR="007B56CE" w:rsidRPr="00FF3900" w:rsidRDefault="00560189" w:rsidP="007B56CE">
      <w:pPr>
        <w:jc w:val="center"/>
        <w:rPr>
          <w:highlight w:val="yellow"/>
        </w:rPr>
      </w:pPr>
      <w:r w:rsidRPr="002C3978">
        <w:rPr>
          <w:noProof/>
        </w:rPr>
        <w:drawing>
          <wp:inline distT="0" distB="0" distL="0" distR="0" wp14:anchorId="3F1290A5" wp14:editId="355C23B1">
            <wp:extent cx="5670201" cy="7293935"/>
            <wp:effectExtent l="0" t="0" r="698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420" r="9839"/>
                    <a:stretch/>
                  </pic:blipFill>
                  <pic:spPr bwMode="auto">
                    <a:xfrm>
                      <a:off x="0" y="0"/>
                      <a:ext cx="5679458" cy="7305843"/>
                    </a:xfrm>
                    <a:prstGeom prst="rect">
                      <a:avLst/>
                    </a:prstGeom>
                    <a:noFill/>
                    <a:ln>
                      <a:noFill/>
                    </a:ln>
                    <a:extLst>
                      <a:ext uri="{53640926-AAD7-44D8-BBD7-CCE9431645EC}">
                        <a14:shadowObscured xmlns:a14="http://schemas.microsoft.com/office/drawing/2010/main"/>
                      </a:ext>
                    </a:extLst>
                  </pic:spPr>
                </pic:pic>
              </a:graphicData>
            </a:graphic>
          </wp:inline>
        </w:drawing>
      </w:r>
    </w:p>
    <w:p w14:paraId="41A91A8F" w14:textId="19778C46" w:rsidR="00A17284" w:rsidRDefault="00A34010" w:rsidP="004C3BA1">
      <w:pPr>
        <w:pStyle w:val="Captions"/>
      </w:pPr>
      <w:bookmarkStart w:id="332" w:name="_Ref81230116"/>
      <w:bookmarkStart w:id="333" w:name="_Ref57899437"/>
      <w:bookmarkStart w:id="334" w:name="_Toc101963849"/>
      <w:r w:rsidRPr="00560189">
        <w:t xml:space="preserve">Figure </w:t>
      </w:r>
      <w:r w:rsidR="001F30EA">
        <w:fldChar w:fldCharType="begin"/>
      </w:r>
      <w:r w:rsidR="001F30EA">
        <w:instrText xml:space="preserve"> SEQ Figure \* ARABIC </w:instrText>
      </w:r>
      <w:r w:rsidR="001F30EA">
        <w:fldChar w:fldCharType="separate"/>
      </w:r>
      <w:r w:rsidR="003C13F6">
        <w:rPr>
          <w:noProof/>
        </w:rPr>
        <w:t>57</w:t>
      </w:r>
      <w:r w:rsidR="001F30EA">
        <w:fldChar w:fldCharType="end"/>
      </w:r>
      <w:bookmarkEnd w:id="332"/>
      <w:bookmarkEnd w:id="333"/>
      <w:r w:rsidR="007B56CE" w:rsidRPr="00560189">
        <w:t xml:space="preserve">. Total length (TL) frequencies of Murray cod in the main channel of the </w:t>
      </w:r>
      <w:r w:rsidR="008C22A9" w:rsidRPr="00560189">
        <w:t>Lower Murray River</w:t>
      </w:r>
      <w:r w:rsidR="007B56CE" w:rsidRPr="00560189">
        <w:t xml:space="preserve"> during autumn/winter from 2013–202</w:t>
      </w:r>
      <w:r w:rsidR="00560189" w:rsidRPr="00560189">
        <w:t>1</w:t>
      </w:r>
      <w:r w:rsidR="007B56CE" w:rsidRPr="00560189">
        <w:t>.</w:t>
      </w:r>
      <w:bookmarkEnd w:id="334"/>
    </w:p>
    <w:p w14:paraId="598207A8" w14:textId="77777777" w:rsidR="00A17284" w:rsidRDefault="00A17284">
      <w:pPr>
        <w:spacing w:before="0" w:after="160" w:line="259" w:lineRule="auto"/>
        <w:jc w:val="left"/>
        <w:rPr>
          <w:rFonts w:eastAsiaTheme="majorEastAsia" w:cstheme="majorBidi"/>
          <w:b/>
          <w:i/>
          <w:color w:val="44546A" w:themeColor="text2"/>
          <w:sz w:val="24"/>
          <w:szCs w:val="24"/>
        </w:rPr>
      </w:pPr>
      <w:r>
        <w:br w:type="page"/>
      </w:r>
    </w:p>
    <w:p w14:paraId="755F9196" w14:textId="6674DD4E" w:rsidR="00846CBB" w:rsidRDefault="00846CBB" w:rsidP="00846CBB">
      <w:pPr>
        <w:pStyle w:val="Heading3"/>
      </w:pPr>
      <w:r>
        <w:t>Evaluation</w:t>
      </w:r>
    </w:p>
    <w:p w14:paraId="6E61255F" w14:textId="13A4B253" w:rsidR="00846CBB" w:rsidRDefault="00846CBB" w:rsidP="00846CBB">
      <w:r w:rsidRPr="00D35016">
        <w:t xml:space="preserve">The evaluation approach, including assessment criteria, is described in the evaluation section for </w:t>
      </w:r>
      <w:r w:rsidR="00855E31" w:rsidRPr="00D35016">
        <w:t>H</w:t>
      </w:r>
      <w:r w:rsidR="00B10E73" w:rsidRPr="00D35016">
        <w:t>ydr</w:t>
      </w:r>
      <w:r w:rsidR="001522FE" w:rsidRPr="00D35016">
        <w:t>aulic</w:t>
      </w:r>
      <w:r w:rsidR="00B10E73" w:rsidRPr="00D35016">
        <w:t xml:space="preserve"> </w:t>
      </w:r>
      <w:r w:rsidR="00855E31" w:rsidRPr="00D35016">
        <w:t>R</w:t>
      </w:r>
      <w:r w:rsidR="00B10E73" w:rsidRPr="00D35016">
        <w:t xml:space="preserve">egime (Section </w:t>
      </w:r>
      <w:r w:rsidR="00B10E73" w:rsidRPr="00D35016">
        <w:fldChar w:fldCharType="begin"/>
      </w:r>
      <w:r w:rsidR="00B10E73" w:rsidRPr="00D35016">
        <w:instrText xml:space="preserve"> REF _Ref35872226 \r \h  \* MERGEFORMAT </w:instrText>
      </w:r>
      <w:r w:rsidR="00B10E73" w:rsidRPr="00D35016">
        <w:fldChar w:fldCharType="separate"/>
      </w:r>
      <w:r w:rsidR="003C13F6">
        <w:t>2.1</w:t>
      </w:r>
      <w:r w:rsidR="00B10E73" w:rsidRPr="00D35016">
        <w:fldChar w:fldCharType="end"/>
      </w:r>
      <w:r w:rsidR="00B10E73" w:rsidRPr="00D35016">
        <w:t>)</w:t>
      </w:r>
      <w:r w:rsidRPr="00D35016">
        <w:t>.</w:t>
      </w:r>
      <w:r w:rsidR="00BB3D8E" w:rsidRPr="00D35016">
        <w:t xml:space="preserve"> The assessment</w:t>
      </w:r>
      <w:r w:rsidR="00B10E73" w:rsidRPr="00D35016">
        <w:t xml:space="preserve"> for Murray cod </w:t>
      </w:r>
      <w:r w:rsidR="00DA1F1C" w:rsidRPr="00D35016">
        <w:t>recruitment</w:t>
      </w:r>
      <w:r w:rsidR="00BB3D8E" w:rsidRPr="00D35016">
        <w:t xml:space="preserve"> </w:t>
      </w:r>
      <w:r w:rsidR="00B10E73" w:rsidRPr="00D35016">
        <w:t>in</w:t>
      </w:r>
      <w:r w:rsidR="00BB3D8E" w:rsidRPr="00D35016">
        <w:t xml:space="preserve"> 2019-20 </w:t>
      </w:r>
      <w:r w:rsidR="00D35016">
        <w:t xml:space="preserve">and 2020-21 </w:t>
      </w:r>
      <w:r w:rsidR="00DE5BE0" w:rsidRPr="00D35016">
        <w:t xml:space="preserve">took </w:t>
      </w:r>
      <w:r w:rsidR="00DE7BB3" w:rsidRPr="00D35016">
        <w:t>a conservative approach and is likely to vary in future based on further analysis as additional annual data are added and findings from the allied research project are integrated</w:t>
      </w:r>
      <w:r w:rsidR="00BB3D8E" w:rsidRPr="00D35016">
        <w:t>.</w:t>
      </w:r>
    </w:p>
    <w:p w14:paraId="1FE38D59" w14:textId="355A1A75" w:rsidR="00846CBB" w:rsidRPr="001D41FE" w:rsidRDefault="00846CBB" w:rsidP="00846CBB">
      <w:pPr>
        <w:pStyle w:val="Caption"/>
        <w:rPr>
          <w:lang w:val="en-US"/>
        </w:rPr>
      </w:pPr>
      <w:bookmarkStart w:id="335" w:name="_Toc101963881"/>
      <w:r>
        <w:t xml:space="preserve">Table </w:t>
      </w:r>
      <w:r>
        <w:rPr>
          <w:noProof/>
        </w:rPr>
        <w:fldChar w:fldCharType="begin"/>
      </w:r>
      <w:r>
        <w:rPr>
          <w:noProof/>
        </w:rPr>
        <w:instrText xml:space="preserve"> SEQ Table \* ARABIC </w:instrText>
      </w:r>
      <w:r>
        <w:rPr>
          <w:noProof/>
        </w:rPr>
        <w:fldChar w:fldCharType="separate"/>
      </w:r>
      <w:r w:rsidR="003C13F6">
        <w:rPr>
          <w:noProof/>
        </w:rPr>
        <w:t>23</w:t>
      </w:r>
      <w:r>
        <w:rPr>
          <w:noProof/>
        </w:rPr>
        <w:fldChar w:fldCharType="end"/>
      </w:r>
      <w:r>
        <w:rPr>
          <w:noProof/>
        </w:rPr>
        <w:t>.</w:t>
      </w:r>
      <w:r>
        <w:t xml:space="preserve"> Murray Cod Recruitment evaluation questions and answers. CEW = Commonwealth environmental water, eWater = environmental water.</w:t>
      </w:r>
      <w:bookmarkEnd w:id="3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5"/>
        <w:gridCol w:w="3670"/>
        <w:gridCol w:w="3671"/>
      </w:tblGrid>
      <w:tr w:rsidR="00D41565" w:rsidRPr="0041543F" w14:paraId="4BB5799A" w14:textId="77777777" w:rsidTr="00B52A58">
        <w:trPr>
          <w:cantSplit/>
          <w:trHeight w:val="415"/>
          <w:tblHeader/>
        </w:trPr>
        <w:tc>
          <w:tcPr>
            <w:tcW w:w="929" w:type="pct"/>
            <w:vMerge w:val="restart"/>
            <w:tcBorders>
              <w:top w:val="single" w:sz="4" w:space="0" w:color="auto"/>
              <w:left w:val="single" w:sz="4" w:space="0" w:color="auto"/>
              <w:right w:val="single" w:sz="4" w:space="0" w:color="auto"/>
            </w:tcBorders>
          </w:tcPr>
          <w:p w14:paraId="16276CDA" w14:textId="77777777" w:rsidR="00D41565" w:rsidRPr="0041543F" w:rsidRDefault="00D41565" w:rsidP="00B52A58">
            <w:pPr>
              <w:pStyle w:val="TableHeading"/>
              <w:jc w:val="center"/>
              <w:rPr>
                <w:sz w:val="19"/>
                <w:szCs w:val="19"/>
              </w:rPr>
            </w:pPr>
            <w:bookmarkStart w:id="336" w:name="_Hlk58920469"/>
            <w:r w:rsidRPr="0041543F">
              <w:rPr>
                <w:sz w:val="19"/>
                <w:szCs w:val="19"/>
              </w:rPr>
              <w:t xml:space="preserve">CEWO evaluation questions </w:t>
            </w:r>
          </w:p>
        </w:tc>
        <w:tc>
          <w:tcPr>
            <w:tcW w:w="4071" w:type="pct"/>
            <w:gridSpan w:val="2"/>
            <w:tcBorders>
              <w:top w:val="single" w:sz="4" w:space="0" w:color="auto"/>
              <w:left w:val="single" w:sz="4" w:space="0" w:color="auto"/>
              <w:right w:val="single" w:sz="4" w:space="0" w:color="auto"/>
            </w:tcBorders>
          </w:tcPr>
          <w:p w14:paraId="0187A444" w14:textId="77777777" w:rsidR="00D41565" w:rsidRPr="0041543F" w:rsidRDefault="00D41565" w:rsidP="00B52A58">
            <w:pPr>
              <w:pStyle w:val="TableHeading"/>
              <w:jc w:val="center"/>
              <w:rPr>
                <w:sz w:val="19"/>
                <w:szCs w:val="19"/>
              </w:rPr>
            </w:pPr>
            <w:r w:rsidRPr="0041543F">
              <w:rPr>
                <w:sz w:val="19"/>
                <w:szCs w:val="19"/>
              </w:rPr>
              <w:t>Outcomes of CEW</w:t>
            </w:r>
            <w:r>
              <w:rPr>
                <w:sz w:val="19"/>
                <w:szCs w:val="19"/>
              </w:rPr>
              <w:t xml:space="preserve"> delivery</w:t>
            </w:r>
          </w:p>
        </w:tc>
      </w:tr>
      <w:tr w:rsidR="00D41565" w:rsidRPr="0041543F" w14:paraId="459B3389" w14:textId="77777777" w:rsidTr="00B52A58">
        <w:trPr>
          <w:cantSplit/>
          <w:trHeight w:val="415"/>
          <w:tblHeader/>
        </w:trPr>
        <w:tc>
          <w:tcPr>
            <w:tcW w:w="929" w:type="pct"/>
            <w:vMerge/>
            <w:tcBorders>
              <w:left w:val="single" w:sz="4" w:space="0" w:color="auto"/>
              <w:right w:val="single" w:sz="4" w:space="0" w:color="auto"/>
            </w:tcBorders>
          </w:tcPr>
          <w:p w14:paraId="0C06EBEE" w14:textId="77777777" w:rsidR="00D41565" w:rsidRPr="0041543F" w:rsidRDefault="00D41565" w:rsidP="00B52A58">
            <w:pPr>
              <w:pStyle w:val="TableHeading"/>
              <w:jc w:val="center"/>
              <w:rPr>
                <w:sz w:val="19"/>
                <w:szCs w:val="19"/>
              </w:rPr>
            </w:pPr>
          </w:p>
        </w:tc>
        <w:tc>
          <w:tcPr>
            <w:tcW w:w="2035" w:type="pct"/>
            <w:tcBorders>
              <w:top w:val="single" w:sz="4" w:space="0" w:color="auto"/>
              <w:left w:val="single" w:sz="4" w:space="0" w:color="auto"/>
              <w:right w:val="single" w:sz="4" w:space="0" w:color="auto"/>
            </w:tcBorders>
          </w:tcPr>
          <w:p w14:paraId="0095C662" w14:textId="77777777" w:rsidR="00D41565" w:rsidRPr="0041543F" w:rsidRDefault="00D41565" w:rsidP="00B52A58">
            <w:pPr>
              <w:pStyle w:val="TableHeading"/>
              <w:jc w:val="center"/>
              <w:rPr>
                <w:sz w:val="19"/>
                <w:szCs w:val="19"/>
              </w:rPr>
            </w:pPr>
            <w:r>
              <w:rPr>
                <w:sz w:val="19"/>
                <w:szCs w:val="19"/>
              </w:rPr>
              <w:t>2019-20</w:t>
            </w:r>
          </w:p>
        </w:tc>
        <w:tc>
          <w:tcPr>
            <w:tcW w:w="2036" w:type="pct"/>
            <w:tcBorders>
              <w:top w:val="single" w:sz="4" w:space="0" w:color="auto"/>
              <w:left w:val="single" w:sz="4" w:space="0" w:color="auto"/>
              <w:right w:val="single" w:sz="4" w:space="0" w:color="auto"/>
            </w:tcBorders>
          </w:tcPr>
          <w:p w14:paraId="0CE84491" w14:textId="77777777" w:rsidR="00D41565" w:rsidRPr="0041543F" w:rsidRDefault="00D41565" w:rsidP="00B52A58">
            <w:pPr>
              <w:pStyle w:val="TableHeading"/>
              <w:jc w:val="center"/>
              <w:rPr>
                <w:sz w:val="19"/>
                <w:szCs w:val="19"/>
              </w:rPr>
            </w:pPr>
            <w:r>
              <w:rPr>
                <w:sz w:val="19"/>
                <w:szCs w:val="19"/>
              </w:rPr>
              <w:t>2020-21</w:t>
            </w:r>
          </w:p>
        </w:tc>
      </w:tr>
      <w:tr w:rsidR="00D41565" w:rsidRPr="0041543F" w14:paraId="63FAF152" w14:textId="77777777" w:rsidTr="00B52A58">
        <w:trPr>
          <w:cantSplit/>
          <w:trHeight w:val="1616"/>
        </w:trPr>
        <w:tc>
          <w:tcPr>
            <w:tcW w:w="929" w:type="pct"/>
            <w:tcBorders>
              <w:top w:val="single" w:sz="4" w:space="0" w:color="auto"/>
              <w:left w:val="single" w:sz="4" w:space="0" w:color="auto"/>
              <w:bottom w:val="single" w:sz="4" w:space="0" w:color="auto"/>
              <w:right w:val="single" w:sz="4" w:space="0" w:color="auto"/>
            </w:tcBorders>
          </w:tcPr>
          <w:p w14:paraId="6E14F156" w14:textId="77777777" w:rsidR="00D41565" w:rsidRPr="002B6ECA" w:rsidRDefault="00D41565" w:rsidP="00B52A58">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the growth and morphometric condition of Murray cod?</w:t>
            </w:r>
          </w:p>
        </w:tc>
        <w:tc>
          <w:tcPr>
            <w:tcW w:w="20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7B5B3E" w14:textId="77777777" w:rsidR="00D41565" w:rsidRPr="00D35016" w:rsidRDefault="00D41565" w:rsidP="00B52A58">
            <w:pPr>
              <w:pStyle w:val="TableHeading"/>
              <w:jc w:val="left"/>
              <w:rPr>
                <w:b w:val="0"/>
                <w:sz w:val="19"/>
                <w:szCs w:val="19"/>
              </w:rPr>
            </w:pPr>
            <w:r w:rsidRPr="00D35016">
              <w:rPr>
                <w:b w:val="0"/>
                <w:sz w:val="19"/>
                <w:szCs w:val="19"/>
              </w:rPr>
              <w:t>The influence of CEW on the growth and condition of Murray cod in 2019-20 is unknown. Increased flows (including CEW) during the spawning/early larval period, however, may have improved food resources (e.g. microinvertebrates) that in part supported survival of larvae. Nonetheless, CEW likely had negligible or minor influence on later growth as there was minimal CEW delivery post-November 2020.</w:t>
            </w:r>
          </w:p>
        </w:tc>
        <w:tc>
          <w:tcPr>
            <w:tcW w:w="20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681BAF" w14:textId="77777777" w:rsidR="00D41565" w:rsidRPr="00FF3900" w:rsidRDefault="00D41565" w:rsidP="00B52A58">
            <w:pPr>
              <w:pStyle w:val="TableHeading"/>
              <w:jc w:val="left"/>
              <w:rPr>
                <w:b w:val="0"/>
                <w:sz w:val="19"/>
                <w:szCs w:val="19"/>
                <w:highlight w:val="yellow"/>
              </w:rPr>
            </w:pPr>
            <w:r w:rsidRPr="0073148F">
              <w:rPr>
                <w:b w:val="0"/>
                <w:sz w:val="19"/>
                <w:szCs w:val="19"/>
              </w:rPr>
              <w:t xml:space="preserve">The influence of CEW on the growth and condition of Murray cod in 2020-21 is unknown. </w:t>
            </w:r>
            <w:r>
              <w:rPr>
                <w:b w:val="0"/>
                <w:sz w:val="19"/>
                <w:szCs w:val="19"/>
              </w:rPr>
              <w:t xml:space="preserve">However, morphometric condition was greater than many previous years, and the seasonal growth rate was greater than that in 2019-20. </w:t>
            </w:r>
            <w:r w:rsidRPr="0073148F">
              <w:rPr>
                <w:b w:val="0"/>
                <w:sz w:val="19"/>
                <w:szCs w:val="19"/>
              </w:rPr>
              <w:t>Increased flows (including CEW) from late November to mid-December may have improved food resources (e.g. decapods)</w:t>
            </w:r>
            <w:r>
              <w:rPr>
                <w:b w:val="0"/>
                <w:sz w:val="19"/>
                <w:szCs w:val="19"/>
              </w:rPr>
              <w:t xml:space="preserve"> for early juveniles</w:t>
            </w:r>
            <w:r w:rsidRPr="0073148F">
              <w:rPr>
                <w:b w:val="0"/>
                <w:sz w:val="19"/>
                <w:szCs w:val="19"/>
              </w:rPr>
              <w:t>.</w:t>
            </w:r>
          </w:p>
        </w:tc>
      </w:tr>
      <w:tr w:rsidR="00D41565" w:rsidRPr="0041543F" w14:paraId="511FD812" w14:textId="77777777" w:rsidTr="00B52A58">
        <w:trPr>
          <w:cantSplit/>
          <w:trHeight w:val="1193"/>
        </w:trPr>
        <w:tc>
          <w:tcPr>
            <w:tcW w:w="929" w:type="pct"/>
            <w:tcBorders>
              <w:top w:val="single" w:sz="4" w:space="0" w:color="auto"/>
              <w:left w:val="single" w:sz="4" w:space="0" w:color="auto"/>
              <w:bottom w:val="single" w:sz="4" w:space="0" w:color="auto"/>
              <w:right w:val="single" w:sz="4" w:space="0" w:color="auto"/>
            </w:tcBorders>
          </w:tcPr>
          <w:p w14:paraId="2D08D498" w14:textId="77777777" w:rsidR="00D41565" w:rsidRPr="00BE09D3" w:rsidRDefault="00D41565" w:rsidP="00B52A58">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recruitment of Murray cod?</w:t>
            </w:r>
          </w:p>
        </w:tc>
        <w:tc>
          <w:tcPr>
            <w:tcW w:w="20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D0A415" w14:textId="77777777" w:rsidR="00D41565" w:rsidRPr="00D35016" w:rsidRDefault="00D41565" w:rsidP="00B52A58">
            <w:pPr>
              <w:pStyle w:val="TableHeading"/>
              <w:jc w:val="left"/>
              <w:rPr>
                <w:b w:val="0"/>
                <w:sz w:val="19"/>
                <w:szCs w:val="19"/>
              </w:rPr>
            </w:pPr>
            <w:r w:rsidRPr="00D35016">
              <w:rPr>
                <w:b w:val="0"/>
                <w:sz w:val="19"/>
                <w:szCs w:val="19"/>
              </w:rPr>
              <w:t xml:space="preserve">The influence of CEW on the recruitment of Murray cod in 2019-20 </w:t>
            </w:r>
            <w:bookmarkStart w:id="337" w:name="_Hlk63978883"/>
            <w:r w:rsidRPr="00D35016">
              <w:rPr>
                <w:b w:val="0"/>
                <w:sz w:val="19"/>
                <w:szCs w:val="19"/>
              </w:rPr>
              <w:t xml:space="preserve">remains unquantified. Nevertheless, increased flows (including CEW) during the spawning/early larval period </w:t>
            </w:r>
            <w:r>
              <w:rPr>
                <w:b w:val="0"/>
                <w:sz w:val="19"/>
                <w:szCs w:val="19"/>
              </w:rPr>
              <w:t>(October–November) likely</w:t>
            </w:r>
            <w:r w:rsidRPr="00D35016">
              <w:rPr>
                <w:b w:val="0"/>
                <w:sz w:val="19"/>
                <w:szCs w:val="19"/>
              </w:rPr>
              <w:t xml:space="preserve"> benefited Murray cod by increasing the extent and duration of lotic habitat, potentially enhancing spawning habitat area and survival of early life stages.</w:t>
            </w:r>
            <w:bookmarkEnd w:id="337"/>
          </w:p>
        </w:tc>
        <w:tc>
          <w:tcPr>
            <w:tcW w:w="20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33A3CD" w14:textId="77777777" w:rsidR="00D41565" w:rsidRPr="00FF3900" w:rsidRDefault="00D41565" w:rsidP="00B52A58">
            <w:pPr>
              <w:pStyle w:val="TableHeading"/>
              <w:jc w:val="left"/>
              <w:rPr>
                <w:b w:val="0"/>
                <w:sz w:val="19"/>
                <w:szCs w:val="19"/>
                <w:highlight w:val="yellow"/>
              </w:rPr>
            </w:pPr>
            <w:r w:rsidRPr="000073F1">
              <w:rPr>
                <w:b w:val="0"/>
                <w:sz w:val="19"/>
                <w:szCs w:val="19"/>
              </w:rPr>
              <w:t>Recruitment of Murray cod in 2020-21, as indicated by YOY abundance, was poor relative to previous years. The influence of CEW on the recruitment of Murray cod in 2020-21 remains unquantified.</w:t>
            </w:r>
          </w:p>
        </w:tc>
      </w:tr>
      <w:tr w:rsidR="00D41565" w:rsidRPr="0041543F" w14:paraId="77BC621B" w14:textId="77777777" w:rsidTr="00B52A58">
        <w:trPr>
          <w:cantSplit/>
          <w:trHeight w:val="1425"/>
        </w:trPr>
        <w:tc>
          <w:tcPr>
            <w:tcW w:w="929" w:type="pct"/>
            <w:tcBorders>
              <w:top w:val="single" w:sz="4" w:space="0" w:color="auto"/>
              <w:left w:val="single" w:sz="4" w:space="0" w:color="auto"/>
              <w:right w:val="single" w:sz="4" w:space="0" w:color="auto"/>
            </w:tcBorders>
          </w:tcPr>
          <w:p w14:paraId="4DB11A42" w14:textId="77777777" w:rsidR="00D41565" w:rsidRPr="00846CBB" w:rsidRDefault="00D41565" w:rsidP="00B52A58">
            <w:pPr>
              <w:pStyle w:val="TableHeading"/>
              <w:jc w:val="left"/>
              <w:rPr>
                <w:b w:val="0"/>
                <w:sz w:val="19"/>
                <w:szCs w:val="19"/>
              </w:rPr>
            </w:pPr>
            <w:r w:rsidRPr="00846CBB">
              <w:rPr>
                <w:b w:val="0"/>
                <w:sz w:val="19"/>
                <w:szCs w:val="19"/>
              </w:rPr>
              <w:t xml:space="preserve">What did </w:t>
            </w:r>
            <w:r>
              <w:rPr>
                <w:b w:val="0"/>
                <w:sz w:val="19"/>
                <w:szCs w:val="19"/>
              </w:rPr>
              <w:t>CEW</w:t>
            </w:r>
            <w:r w:rsidRPr="00846CBB">
              <w:rPr>
                <w:b w:val="0"/>
                <w:sz w:val="19"/>
                <w:szCs w:val="19"/>
              </w:rPr>
              <w:t xml:space="preserve"> contribute to the resilience of Murray cod populations?</w:t>
            </w:r>
          </w:p>
        </w:tc>
        <w:tc>
          <w:tcPr>
            <w:tcW w:w="4071" w:type="pct"/>
            <w:gridSpan w:val="2"/>
            <w:tcBorders>
              <w:top w:val="single" w:sz="4" w:space="0" w:color="auto"/>
              <w:left w:val="single" w:sz="4" w:space="0" w:color="auto"/>
              <w:right w:val="single" w:sz="4" w:space="0" w:color="auto"/>
            </w:tcBorders>
            <w:shd w:val="clear" w:color="auto" w:fill="D9D9D9" w:themeFill="background1" w:themeFillShade="D9"/>
          </w:tcPr>
          <w:p w14:paraId="1E492926" w14:textId="77777777" w:rsidR="00D41565" w:rsidRPr="00FF3900" w:rsidRDefault="00D41565" w:rsidP="00B52A58">
            <w:pPr>
              <w:pStyle w:val="TableHeading"/>
              <w:jc w:val="left"/>
              <w:rPr>
                <w:b w:val="0"/>
                <w:sz w:val="19"/>
                <w:szCs w:val="19"/>
                <w:highlight w:val="yellow"/>
              </w:rPr>
            </w:pPr>
            <w:r>
              <w:rPr>
                <w:b w:val="0"/>
                <w:sz w:val="19"/>
                <w:szCs w:val="19"/>
              </w:rPr>
              <w:t>In 2020-21, the 2019-20 cohort persisted and represented 49% of the sampled population as age 1+ individuals. As the influence of CEW on the recruitment of Murray cod in 2019-20 remains unknown, the contribution to resilience also remains unknown.*</w:t>
            </w:r>
          </w:p>
        </w:tc>
      </w:tr>
    </w:tbl>
    <w:bookmarkEnd w:id="336"/>
    <w:p w14:paraId="16FA2345" w14:textId="2E598696" w:rsidR="00846CBB" w:rsidRDefault="006B04FA" w:rsidP="00846CBB">
      <w:pPr>
        <w:pStyle w:val="NoSpacing"/>
        <w:rPr>
          <w:rFonts w:ascii="Century Gothic" w:hAnsi="Century Gothic"/>
          <w:sz w:val="19"/>
          <w:szCs w:val="19"/>
        </w:rPr>
      </w:pPr>
      <w:r>
        <w:rPr>
          <w:rFonts w:ascii="Century Gothic" w:hAnsi="Century Gothic"/>
          <w:sz w:val="19"/>
          <w:szCs w:val="19"/>
        </w:rPr>
        <w:t xml:space="preserve">*The influence of CEW on the resilience of Murray cod populations will be assessed </w:t>
      </w:r>
      <w:r w:rsidR="006B4D0D">
        <w:rPr>
          <w:rFonts w:ascii="Century Gothic" w:hAnsi="Century Gothic"/>
          <w:sz w:val="19"/>
          <w:szCs w:val="19"/>
        </w:rPr>
        <w:t>b</w:t>
      </w:r>
      <w:r>
        <w:rPr>
          <w:rFonts w:ascii="Century Gothic" w:hAnsi="Century Gothic"/>
          <w:sz w:val="19"/>
          <w:szCs w:val="19"/>
        </w:rPr>
        <w:t>as</w:t>
      </w:r>
      <w:r w:rsidR="006B4D0D">
        <w:rPr>
          <w:rFonts w:ascii="Century Gothic" w:hAnsi="Century Gothic"/>
          <w:sz w:val="19"/>
          <w:szCs w:val="19"/>
        </w:rPr>
        <w:t>ed on its contribution to</w:t>
      </w:r>
      <w:r w:rsidR="00807502">
        <w:rPr>
          <w:rFonts w:ascii="Century Gothic" w:hAnsi="Century Gothic"/>
          <w:sz w:val="19"/>
          <w:szCs w:val="19"/>
        </w:rPr>
        <w:t xml:space="preserve"> </w:t>
      </w:r>
      <w:r w:rsidR="00DA1F1C">
        <w:rPr>
          <w:rFonts w:ascii="Century Gothic" w:hAnsi="Century Gothic"/>
          <w:sz w:val="19"/>
          <w:szCs w:val="19"/>
        </w:rPr>
        <w:t>length/</w:t>
      </w:r>
      <w:r w:rsidR="00807502">
        <w:rPr>
          <w:rFonts w:ascii="Century Gothic" w:hAnsi="Century Gothic"/>
          <w:sz w:val="19"/>
          <w:szCs w:val="19"/>
        </w:rPr>
        <w:t>age structure</w:t>
      </w:r>
      <w:r>
        <w:rPr>
          <w:rFonts w:ascii="Century Gothic" w:hAnsi="Century Gothic"/>
          <w:sz w:val="19"/>
          <w:szCs w:val="19"/>
        </w:rPr>
        <w:t xml:space="preserve"> in future years.</w:t>
      </w:r>
    </w:p>
    <w:p w14:paraId="75F954D6" w14:textId="77777777" w:rsidR="006B04FA" w:rsidRPr="006B04FA" w:rsidRDefault="006B04FA" w:rsidP="00846CBB">
      <w:pPr>
        <w:pStyle w:val="NoSpacing"/>
        <w:rPr>
          <w:rFonts w:ascii="Century Gothic" w:hAnsi="Century Gothic"/>
          <w:sz w:val="4"/>
          <w:szCs w:val="4"/>
        </w:rPr>
      </w:pPr>
    </w:p>
    <w:p w14:paraId="1527CFDB" w14:textId="77777777" w:rsidR="00846CBB" w:rsidRPr="00BF0490" w:rsidRDefault="00846CBB" w:rsidP="00846CBB">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846CBB" w:rsidRPr="00BF0490" w14:paraId="5A51C09C" w14:textId="77777777" w:rsidTr="00333722">
        <w:tc>
          <w:tcPr>
            <w:tcW w:w="222" w:type="dxa"/>
            <w:shd w:val="clear" w:color="auto" w:fill="D9D9D9" w:themeFill="background1" w:themeFillShade="D9"/>
          </w:tcPr>
          <w:p w14:paraId="335DCA78" w14:textId="77777777" w:rsidR="00846CBB" w:rsidRPr="00BF0490" w:rsidRDefault="00846CBB" w:rsidP="00333722">
            <w:pPr>
              <w:contextualSpacing/>
              <w:rPr>
                <w:sz w:val="19"/>
                <w:szCs w:val="19"/>
              </w:rPr>
            </w:pPr>
          </w:p>
        </w:tc>
        <w:tc>
          <w:tcPr>
            <w:tcW w:w="1066" w:type="dxa"/>
            <w:vAlign w:val="center"/>
          </w:tcPr>
          <w:p w14:paraId="302D2321" w14:textId="77777777" w:rsidR="00846CBB" w:rsidRPr="00BF0490" w:rsidRDefault="00846CBB" w:rsidP="00333722">
            <w:pPr>
              <w:contextualSpacing/>
              <w:rPr>
                <w:sz w:val="19"/>
                <w:szCs w:val="19"/>
              </w:rPr>
            </w:pPr>
            <w:r w:rsidRPr="00BF0490">
              <w:rPr>
                <w:sz w:val="19"/>
                <w:szCs w:val="19"/>
              </w:rPr>
              <w:t>Unknown</w:t>
            </w:r>
          </w:p>
        </w:tc>
        <w:tc>
          <w:tcPr>
            <w:tcW w:w="222" w:type="dxa"/>
            <w:shd w:val="clear" w:color="auto" w:fill="FF0000"/>
            <w:vAlign w:val="center"/>
          </w:tcPr>
          <w:p w14:paraId="4EA9720B" w14:textId="77777777" w:rsidR="00846CBB" w:rsidRPr="00BF0490" w:rsidRDefault="00846CBB" w:rsidP="00333722">
            <w:pPr>
              <w:contextualSpacing/>
              <w:rPr>
                <w:sz w:val="19"/>
                <w:szCs w:val="19"/>
              </w:rPr>
            </w:pPr>
          </w:p>
        </w:tc>
        <w:tc>
          <w:tcPr>
            <w:tcW w:w="1069" w:type="dxa"/>
            <w:vAlign w:val="center"/>
          </w:tcPr>
          <w:p w14:paraId="5588EDA8" w14:textId="77777777" w:rsidR="00846CBB" w:rsidRPr="00BF0490" w:rsidRDefault="00846CBB" w:rsidP="00333722">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011221D3" w14:textId="77777777" w:rsidR="00846CBB" w:rsidRPr="00BF0490" w:rsidRDefault="00846CBB" w:rsidP="00333722">
            <w:pPr>
              <w:contextualSpacing/>
              <w:rPr>
                <w:sz w:val="19"/>
                <w:szCs w:val="19"/>
              </w:rPr>
            </w:pPr>
          </w:p>
        </w:tc>
        <w:tc>
          <w:tcPr>
            <w:tcW w:w="1704" w:type="dxa"/>
            <w:vAlign w:val="center"/>
          </w:tcPr>
          <w:p w14:paraId="2FA83C53" w14:textId="77777777" w:rsidR="00846CBB" w:rsidRPr="00BF0490" w:rsidRDefault="00846CBB" w:rsidP="00333722">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641EF71F" w14:textId="77777777" w:rsidR="00846CBB" w:rsidRPr="00BF0490" w:rsidRDefault="00846CBB" w:rsidP="00333722">
            <w:pPr>
              <w:contextualSpacing/>
              <w:rPr>
                <w:sz w:val="19"/>
                <w:szCs w:val="19"/>
              </w:rPr>
            </w:pPr>
          </w:p>
        </w:tc>
        <w:tc>
          <w:tcPr>
            <w:tcW w:w="727" w:type="dxa"/>
            <w:vAlign w:val="center"/>
          </w:tcPr>
          <w:p w14:paraId="12FB43BB" w14:textId="77777777" w:rsidR="00846CBB" w:rsidRPr="00BF0490" w:rsidRDefault="00846CBB" w:rsidP="00333722">
            <w:pPr>
              <w:contextualSpacing/>
              <w:rPr>
                <w:sz w:val="19"/>
                <w:szCs w:val="19"/>
              </w:rPr>
            </w:pPr>
            <w:r w:rsidRPr="00BF0490">
              <w:rPr>
                <w:sz w:val="19"/>
                <w:szCs w:val="19"/>
              </w:rPr>
              <w:t>Minor</w:t>
            </w:r>
          </w:p>
        </w:tc>
        <w:tc>
          <w:tcPr>
            <w:tcW w:w="222" w:type="dxa"/>
            <w:shd w:val="clear" w:color="auto" w:fill="70AD47" w:themeFill="accent6"/>
            <w:vAlign w:val="center"/>
          </w:tcPr>
          <w:p w14:paraId="4C622876" w14:textId="77777777" w:rsidR="00846CBB" w:rsidRPr="00BF0490" w:rsidRDefault="00846CBB" w:rsidP="00333722">
            <w:pPr>
              <w:contextualSpacing/>
              <w:rPr>
                <w:sz w:val="19"/>
                <w:szCs w:val="19"/>
              </w:rPr>
            </w:pPr>
          </w:p>
        </w:tc>
        <w:tc>
          <w:tcPr>
            <w:tcW w:w="1144" w:type="dxa"/>
            <w:vAlign w:val="center"/>
          </w:tcPr>
          <w:p w14:paraId="6CB7144D" w14:textId="77777777" w:rsidR="00846CBB" w:rsidRPr="00BF0490" w:rsidRDefault="00846CBB" w:rsidP="00333722">
            <w:pPr>
              <w:contextualSpacing/>
              <w:rPr>
                <w:sz w:val="19"/>
                <w:szCs w:val="19"/>
              </w:rPr>
            </w:pPr>
            <w:r w:rsidRPr="00BF0490">
              <w:rPr>
                <w:sz w:val="19"/>
                <w:szCs w:val="19"/>
              </w:rPr>
              <w:t>Moderate</w:t>
            </w:r>
          </w:p>
        </w:tc>
        <w:tc>
          <w:tcPr>
            <w:tcW w:w="222" w:type="dxa"/>
            <w:shd w:val="clear" w:color="auto" w:fill="5B9BD5" w:themeFill="accent1"/>
          </w:tcPr>
          <w:p w14:paraId="4692BB38" w14:textId="77777777" w:rsidR="00846CBB" w:rsidRPr="00BF0490" w:rsidRDefault="00846CBB" w:rsidP="00333722">
            <w:pPr>
              <w:contextualSpacing/>
              <w:rPr>
                <w:sz w:val="19"/>
                <w:szCs w:val="19"/>
              </w:rPr>
            </w:pPr>
          </w:p>
        </w:tc>
        <w:tc>
          <w:tcPr>
            <w:tcW w:w="236" w:type="dxa"/>
            <w:vAlign w:val="center"/>
          </w:tcPr>
          <w:p w14:paraId="062526E5" w14:textId="77777777" w:rsidR="00846CBB" w:rsidRPr="00BF0490" w:rsidRDefault="00846CBB" w:rsidP="00333722">
            <w:pPr>
              <w:contextualSpacing/>
              <w:jc w:val="left"/>
              <w:rPr>
                <w:sz w:val="19"/>
                <w:szCs w:val="19"/>
              </w:rPr>
            </w:pPr>
            <w:r w:rsidRPr="00BF0490">
              <w:rPr>
                <w:sz w:val="19"/>
                <w:szCs w:val="19"/>
              </w:rPr>
              <w:t>Substantial</w:t>
            </w:r>
          </w:p>
        </w:tc>
      </w:tr>
    </w:tbl>
    <w:p w14:paraId="5CFE94D8" w14:textId="77777777" w:rsidR="00B51095" w:rsidRDefault="00B51095" w:rsidP="00B51095"/>
    <w:p w14:paraId="5CE6847C" w14:textId="45801050" w:rsidR="00846CBB" w:rsidRPr="00E96333" w:rsidRDefault="00846CBB" w:rsidP="00846CBB">
      <w:pPr>
        <w:pStyle w:val="Heading3"/>
      </w:pPr>
      <w:r w:rsidRPr="00E96333">
        <w:t>Discussion</w:t>
      </w:r>
    </w:p>
    <w:p w14:paraId="5CCC9F49" w14:textId="6831A5CE" w:rsidR="0045769E" w:rsidRPr="00E96333" w:rsidRDefault="0045769E" w:rsidP="0045769E">
      <w:r w:rsidRPr="00E96333">
        <w:rPr>
          <w:bCs/>
        </w:rPr>
        <w:t xml:space="preserve">Over the course of the MER Project (2019-20 to </w:t>
      </w:r>
      <w:r w:rsidR="00263649">
        <w:rPr>
          <w:bCs/>
        </w:rPr>
        <w:t>2022-23</w:t>
      </w:r>
      <w:r w:rsidRPr="00E96333">
        <w:rPr>
          <w:bCs/>
        </w:rPr>
        <w:t xml:space="preserve">), we aim to identify associations between hydrology and hydraulics, and the recruitment of Murray cod in the LMR, and ultimately evaluate the benefit of environmental water delivery. </w:t>
      </w:r>
      <w:r w:rsidRPr="00E96333">
        <w:t xml:space="preserve">Flow may influence the spawning and early life history of Murray cod in the MDB via several mechanisms, </w:t>
      </w:r>
      <w:r>
        <w:t xml:space="preserve">and </w:t>
      </w:r>
      <w:r w:rsidRPr="00E96333">
        <w:t xml:space="preserve">responses to flow likely differ among river systems (Tonkin </w:t>
      </w:r>
      <w:r w:rsidRPr="00E96333">
        <w:rPr>
          <w:i/>
          <w:iCs/>
        </w:rPr>
        <w:t>et al.</w:t>
      </w:r>
      <w:r w:rsidRPr="00E96333">
        <w:t xml:space="preserve"> 2018). For the LMR, w</w:t>
      </w:r>
      <w:r w:rsidRPr="00E96333">
        <w:rPr>
          <w:bCs/>
        </w:rPr>
        <w:t>e hypothesise that e</w:t>
      </w:r>
      <w:r w:rsidRPr="00E96333">
        <w:t xml:space="preserve">levated spring–summer flow, either in-channel or overbank, and an accompanying increase in lotic habitat, may: </w:t>
      </w:r>
      <w:r w:rsidR="00D41565" w:rsidRPr="00E96333">
        <w:t xml:space="preserve">(1) enhance the area of suitable spawning habitat; </w:t>
      </w:r>
      <w:r w:rsidR="003C1531" w:rsidRPr="00E96333">
        <w:t xml:space="preserve">(2) </w:t>
      </w:r>
      <w:r w:rsidRPr="00E96333">
        <w:t xml:space="preserve">be associated with enhanced growth rates and morphometric condition of Murray cod; and (3) enhance recruitment (to YOY). Further, we hypothesise that multiple years of enhanced spring–summer flow will </w:t>
      </w:r>
      <w:r>
        <w:t>contribute to</w:t>
      </w:r>
      <w:r w:rsidRPr="00E96333">
        <w:t xml:space="preserve"> broad size/age distributions of Murray cod and increased population resilience in the </w:t>
      </w:r>
      <w:r w:rsidR="009712C8">
        <w:t>LMR</w:t>
      </w:r>
      <w:r w:rsidRPr="00E96333">
        <w:t>.</w:t>
      </w:r>
    </w:p>
    <w:p w14:paraId="3107A82F" w14:textId="21F9AA7A" w:rsidR="0045769E" w:rsidRDefault="0045769E" w:rsidP="0045769E">
      <w:pPr>
        <w:rPr>
          <w:color w:val="auto"/>
        </w:rPr>
      </w:pPr>
      <w:r>
        <w:t xml:space="preserve">Across the Basin, </w:t>
      </w:r>
      <w:r w:rsidRPr="00E96333">
        <w:t>Murray cod spawn annually over a well-defined period from October–December, irrespective of flow (Davis 1977; Rowland 1998)</w:t>
      </w:r>
      <w:r>
        <w:t xml:space="preserve"> and in the LMR the key period appears to be from mid-October to mid-</w:t>
      </w:r>
      <w:r w:rsidRPr="007D7EF2">
        <w:t xml:space="preserve">November (Ye </w:t>
      </w:r>
      <w:r w:rsidRPr="007D7EF2">
        <w:rPr>
          <w:i/>
          <w:iCs/>
        </w:rPr>
        <w:t xml:space="preserve">et al. </w:t>
      </w:r>
      <w:r w:rsidRPr="007D7EF2">
        <w:t>2021</w:t>
      </w:r>
      <w:r>
        <w:t>). Broad-scale recruitment in the LMR, however,</w:t>
      </w:r>
      <w:r w:rsidRPr="00E96333">
        <w:t xml:space="preserve"> is positively associated with </w:t>
      </w:r>
      <w:r>
        <w:t xml:space="preserve">spring–summer </w:t>
      </w:r>
      <w:r w:rsidRPr="00E96333">
        <w:t xml:space="preserve">flow and lotic habitats (Zampatti </w:t>
      </w:r>
      <w:r w:rsidRPr="00E96333">
        <w:rPr>
          <w:i/>
          <w:iCs/>
        </w:rPr>
        <w:t>et al.</w:t>
      </w:r>
      <w:r w:rsidRPr="00E96333">
        <w:t xml:space="preserve"> 2014). In recent years (2015–20</w:t>
      </w:r>
      <w:r>
        <w:t>20</w:t>
      </w:r>
      <w:r w:rsidRPr="00E96333">
        <w:t>)</w:t>
      </w:r>
      <w:r>
        <w:t>,</w:t>
      </w:r>
      <w:r w:rsidRPr="00E96333">
        <w:t xml:space="preserve"> </w:t>
      </w:r>
      <w:r>
        <w:t>in association with</w:t>
      </w:r>
      <w:r w:rsidRPr="00E96333">
        <w:t xml:space="preserve"> predominately in-channel flows</w:t>
      </w:r>
      <w:r>
        <w:t>, peaking at 10,000</w:t>
      </w:r>
      <w:r>
        <w:rPr>
          <w:rFonts w:ascii="Calibri" w:hAnsi="Calibri" w:cs="Calibri"/>
        </w:rPr>
        <w:t>–</w:t>
      </w:r>
      <w:r w:rsidRPr="00E96333">
        <w:t>18,000 ML/d</w:t>
      </w:r>
      <w:r>
        <w:t xml:space="preserve"> during spring</w:t>
      </w:r>
      <w:r>
        <w:rPr>
          <w:rFonts w:ascii="Calibri" w:hAnsi="Calibri" w:cs="Calibri"/>
        </w:rPr>
        <w:t>–</w:t>
      </w:r>
      <w:r>
        <w:t>summer</w:t>
      </w:r>
      <w:r w:rsidRPr="00E96333">
        <w:t xml:space="preserve">, regular recruitment of Murray cod was </w:t>
      </w:r>
      <w:r>
        <w:t>evident</w:t>
      </w:r>
      <w:r w:rsidRPr="00E96333">
        <w:t xml:space="preserve"> in the LMR. In the Upper Murray River, spring flows and antecedent maximum (e.g. bankfull) flow conditions (i.e. flows preceding and during the spawning period) increas</w:t>
      </w:r>
      <w:r>
        <w:t>e</w:t>
      </w:r>
      <w:r w:rsidRPr="00E96333">
        <w:t xml:space="preserve"> recruitment strength (Tonkin </w:t>
      </w:r>
      <w:r w:rsidRPr="00E96333">
        <w:rPr>
          <w:i/>
          <w:iCs/>
        </w:rPr>
        <w:t>et al.</w:t>
      </w:r>
      <w:r w:rsidRPr="00E96333">
        <w:t xml:space="preserve"> 2018). Potential mechanisms driving this could be increased extent and quality of spawning </w:t>
      </w:r>
      <w:r>
        <w:t xml:space="preserve">and nursery </w:t>
      </w:r>
      <w:r w:rsidRPr="00E96333">
        <w:t xml:space="preserve">habitat (e.g. Koehn 2009; Baumgartner </w:t>
      </w:r>
      <w:r w:rsidRPr="00E96333">
        <w:rPr>
          <w:i/>
          <w:iCs/>
        </w:rPr>
        <w:t>et al.</w:t>
      </w:r>
      <w:r w:rsidRPr="00E96333">
        <w:t xml:space="preserve"> 2014; Stuart </w:t>
      </w:r>
      <w:r w:rsidRPr="00E96333">
        <w:rPr>
          <w:i/>
          <w:iCs/>
        </w:rPr>
        <w:t>et al.</w:t>
      </w:r>
      <w:r w:rsidRPr="00E96333">
        <w:t xml:space="preserve"> 2019) or provision of additional food resources for larvae. </w:t>
      </w:r>
      <w:r>
        <w:t>In 2019-20, strong recruitment, indicated by an increase in the relative abundance of YOY, was evident in the LMR and throughout the MDB (e.g. Goulburn, Lachlan and Edward-Wakool rivers, Hlad</w:t>
      </w:r>
      <w:r w:rsidR="000B7D9B">
        <w:t>y</w:t>
      </w:r>
      <w:r>
        <w:t xml:space="preserve">z </w:t>
      </w:r>
      <w:r w:rsidRPr="000E6A36">
        <w:rPr>
          <w:i/>
          <w:iCs/>
        </w:rPr>
        <w:t>et al.</w:t>
      </w:r>
      <w:r>
        <w:t xml:space="preserve"> 2021). </w:t>
      </w:r>
      <w:r w:rsidRPr="00E96333">
        <w:t xml:space="preserve">During </w:t>
      </w:r>
      <w:r>
        <w:t>this year</w:t>
      </w:r>
      <w:r w:rsidRPr="00E96333">
        <w:t xml:space="preserve">, </w:t>
      </w:r>
      <w:r>
        <w:t xml:space="preserve">a spring flow pulse, supported by </w:t>
      </w:r>
      <w:r w:rsidRPr="00E96333">
        <w:t>Commonwealth environmental water</w:t>
      </w:r>
      <w:r>
        <w:t xml:space="preserve">, occurred from late-September to early November, </w:t>
      </w:r>
      <w:r w:rsidR="003C1531">
        <w:t>flow (QSA) peaking</w:t>
      </w:r>
      <w:r>
        <w:t xml:space="preserve"> at </w:t>
      </w:r>
      <w:r w:rsidRPr="00E96333">
        <w:t xml:space="preserve">15,600 ML/d </w:t>
      </w:r>
      <w:r>
        <w:t xml:space="preserve">around </w:t>
      </w:r>
      <w:r w:rsidRPr="00E96333">
        <w:t>mid-October</w:t>
      </w:r>
      <w:r>
        <w:t>. This coincided with the period immediately preceding and during the key spawning period</w:t>
      </w:r>
      <w:r w:rsidRPr="00E96333" w:rsidDel="003334BF">
        <w:t xml:space="preserve"> </w:t>
      </w:r>
      <w:r>
        <w:t>from mid-October to mid-November (</w:t>
      </w:r>
      <w:r w:rsidR="0035493A">
        <w:fldChar w:fldCharType="begin"/>
      </w:r>
      <w:r w:rsidR="0035493A">
        <w:instrText xml:space="preserve"> REF _Ref96417669 \h </w:instrText>
      </w:r>
      <w:r w:rsidR="0035493A">
        <w:fldChar w:fldCharType="separate"/>
      </w:r>
      <w:r w:rsidR="003C13F6">
        <w:t xml:space="preserve">Figure </w:t>
      </w:r>
      <w:r w:rsidR="003C13F6">
        <w:rPr>
          <w:noProof/>
        </w:rPr>
        <w:t>58</w:t>
      </w:r>
      <w:r w:rsidR="0035493A">
        <w:fldChar w:fldCharType="end"/>
      </w:r>
      <w:r>
        <w:t xml:space="preserve">). The spring flow pulse in 2019-20 </w:t>
      </w:r>
      <w:r w:rsidRPr="00E96333">
        <w:t xml:space="preserve">increased </w:t>
      </w:r>
      <w:r w:rsidRPr="00E96333">
        <w:rPr>
          <w:color w:val="auto"/>
        </w:rPr>
        <w:t xml:space="preserve">the extent of </w:t>
      </w:r>
      <w:r>
        <w:rPr>
          <w:color w:val="auto"/>
        </w:rPr>
        <w:t xml:space="preserve">lotic </w:t>
      </w:r>
      <w:r w:rsidRPr="00E96333">
        <w:rPr>
          <w:color w:val="auto"/>
        </w:rPr>
        <w:t>habitat</w:t>
      </w:r>
      <w:r>
        <w:rPr>
          <w:color w:val="auto"/>
        </w:rPr>
        <w:t xml:space="preserve"> (i.e. water velocities &gt;0.3 m/s)</w:t>
      </w:r>
      <w:r w:rsidRPr="00E96333">
        <w:rPr>
          <w:color w:val="auto"/>
        </w:rPr>
        <w:t xml:space="preserve"> favoured </w:t>
      </w:r>
      <w:r>
        <w:rPr>
          <w:color w:val="auto"/>
        </w:rPr>
        <w:t xml:space="preserve">by Murray cod </w:t>
      </w:r>
      <w:r w:rsidRPr="00E96333">
        <w:rPr>
          <w:color w:val="auto"/>
        </w:rPr>
        <w:t xml:space="preserve">for spawning and early life history processes (e.g. drift and residence) (Gibbs </w:t>
      </w:r>
      <w:r w:rsidRPr="00E96333">
        <w:rPr>
          <w:i/>
          <w:iCs/>
          <w:color w:val="auto"/>
        </w:rPr>
        <w:t>et al.</w:t>
      </w:r>
      <w:r w:rsidRPr="00E96333">
        <w:rPr>
          <w:color w:val="auto"/>
        </w:rPr>
        <w:t xml:space="preserve"> 2020). </w:t>
      </w:r>
    </w:p>
    <w:p w14:paraId="0DCBE5CC" w14:textId="4FF7DAEC" w:rsidR="0045769E" w:rsidRPr="0099783F" w:rsidRDefault="0045769E" w:rsidP="0045769E">
      <w:pPr>
        <w:rPr>
          <w:color w:val="auto"/>
        </w:rPr>
      </w:pPr>
      <w:r>
        <w:rPr>
          <w:color w:val="auto"/>
        </w:rPr>
        <w:t xml:space="preserve">Alternatively, during 2020-21, there was poor recruitment of Murray cod in the LMR. The period from </w:t>
      </w:r>
      <w:r>
        <w:t>late-September to early November 2020 was characterised by flow typically &lt;10,000</w:t>
      </w:r>
      <w:r>
        <w:rPr>
          <w:color w:val="auto"/>
        </w:rPr>
        <w:t xml:space="preserve"> ML/d, with the majority of environmental water delivered and promotion of lotic conditions (</w:t>
      </w:r>
      <w:r>
        <w:rPr>
          <w:color w:val="auto"/>
        </w:rPr>
        <w:fldChar w:fldCharType="begin"/>
      </w:r>
      <w:r>
        <w:rPr>
          <w:color w:val="auto"/>
        </w:rPr>
        <w:instrText xml:space="preserve"> REF _Ref96417669 \h </w:instrText>
      </w:r>
      <w:r>
        <w:rPr>
          <w:color w:val="auto"/>
        </w:rPr>
      </w:r>
      <w:r>
        <w:rPr>
          <w:color w:val="auto"/>
        </w:rPr>
        <w:fldChar w:fldCharType="separate"/>
      </w:r>
      <w:r w:rsidR="003C13F6">
        <w:t xml:space="preserve">Figure </w:t>
      </w:r>
      <w:r w:rsidR="003C13F6">
        <w:rPr>
          <w:noProof/>
        </w:rPr>
        <w:t>58</w:t>
      </w:r>
      <w:r>
        <w:rPr>
          <w:color w:val="auto"/>
        </w:rPr>
        <w:fldChar w:fldCharType="end"/>
      </w:r>
      <w:r>
        <w:rPr>
          <w:color w:val="auto"/>
        </w:rPr>
        <w:t>) occurring after the key spawning period, from late November to mid-December 2020 (peak at = 17,900 ML/d in late November) (</w:t>
      </w:r>
      <w:r>
        <w:rPr>
          <w:color w:val="auto"/>
        </w:rPr>
        <w:fldChar w:fldCharType="begin"/>
      </w:r>
      <w:r>
        <w:rPr>
          <w:color w:val="auto"/>
        </w:rPr>
        <w:instrText xml:space="preserve"> REF _Ref81474313 \h </w:instrText>
      </w:r>
      <w:r>
        <w:rPr>
          <w:color w:val="auto"/>
        </w:rPr>
      </w:r>
      <w:r>
        <w:rPr>
          <w:color w:val="auto"/>
        </w:rPr>
        <w:fldChar w:fldCharType="separate"/>
      </w:r>
      <w:r w:rsidR="003C13F6" w:rsidRPr="00F23935">
        <w:t xml:space="preserve">Figure </w:t>
      </w:r>
      <w:r w:rsidR="003C13F6">
        <w:rPr>
          <w:noProof/>
        </w:rPr>
        <w:t>5</w:t>
      </w:r>
      <w:r>
        <w:rPr>
          <w:color w:val="auto"/>
        </w:rPr>
        <w:fldChar w:fldCharType="end"/>
      </w:r>
      <w:r>
        <w:rPr>
          <w:color w:val="auto"/>
        </w:rPr>
        <w:t xml:space="preserve">). </w:t>
      </w:r>
      <w:r w:rsidR="000B7D9B">
        <w:rPr>
          <w:color w:val="auto"/>
        </w:rPr>
        <w:t xml:space="preserve">Our data suggest elevated flow in early spring, immediately prior to and during spawning, may be positively associated with strong recruitment in Murray cod. </w:t>
      </w:r>
      <w:r w:rsidR="003C1531">
        <w:rPr>
          <w:color w:val="auto"/>
        </w:rPr>
        <w:t xml:space="preserve">Flows delivered mostly after the spawning season may not elicit the same response. </w:t>
      </w:r>
      <w:r>
        <w:rPr>
          <w:color w:val="auto"/>
        </w:rPr>
        <w:t xml:space="preserve">Nonetheless, </w:t>
      </w:r>
      <w:r>
        <w:t>m</w:t>
      </w:r>
      <w:r w:rsidRPr="00E96333">
        <w:t>ultiple years of data and further modelling is required to identify the drivers of recruitment, and to better evaluate the influence of environmental water on Murray cod recruitment.</w:t>
      </w:r>
      <w:r>
        <w:t xml:space="preserve"> </w:t>
      </w:r>
    </w:p>
    <w:p w14:paraId="623B8AF7" w14:textId="77777777" w:rsidR="0045769E" w:rsidRPr="00E96333" w:rsidRDefault="0045769E" w:rsidP="0045769E">
      <w:pPr>
        <w:rPr>
          <w:color w:val="auto"/>
        </w:rPr>
      </w:pPr>
      <w:r w:rsidRPr="00E96333">
        <w:t xml:space="preserve">To assess morphometric condition and growth during </w:t>
      </w:r>
      <w:r>
        <w:t>2020-21</w:t>
      </w:r>
      <w:r w:rsidRPr="00E96333">
        <w:t>, and the influence of flow (including Commonwealth environmental water) on these parameters, data from other projects including LTIM were used to develop ‘</w:t>
      </w:r>
      <w:r>
        <w:t>reference’ values/relationships</w:t>
      </w:r>
      <w:r w:rsidRPr="00E96333">
        <w:t xml:space="preserve"> for comparison. During </w:t>
      </w:r>
      <w:r>
        <w:t>2020-21</w:t>
      </w:r>
      <w:r w:rsidRPr="00E96333">
        <w:t xml:space="preserve">, </w:t>
      </w:r>
      <w:r>
        <w:t xml:space="preserve">low numbers of </w:t>
      </w:r>
      <w:r w:rsidRPr="00E96333">
        <w:t xml:space="preserve">Murray cod were sampled </w:t>
      </w:r>
      <w:r>
        <w:t xml:space="preserve">throughout </w:t>
      </w:r>
      <w:r w:rsidRPr="00E96333">
        <w:t>their early life history from larvae (November) through to YOY (April/May).</w:t>
      </w:r>
      <w:r>
        <w:t xml:space="preserve"> This made it difficult to compare with </w:t>
      </w:r>
      <w:r w:rsidRPr="00E96333">
        <w:t>2019-20</w:t>
      </w:r>
      <w:r>
        <w:t>, which</w:t>
      </w:r>
      <w:r w:rsidRPr="00E96333">
        <w:t xml:space="preserve"> was the first year early juvenile Murray cod were successfully sampled in summer (January and February)</w:t>
      </w:r>
      <w:r>
        <w:t>.</w:t>
      </w:r>
      <w:r w:rsidRPr="00E96333">
        <w:t xml:space="preserve"> </w:t>
      </w:r>
      <w:r>
        <w:t>A</w:t>
      </w:r>
      <w:r w:rsidRPr="00E96333">
        <w:t xml:space="preserve">dditional years of data are required to provide robust comparison and evaluation. </w:t>
      </w:r>
      <w:r>
        <w:rPr>
          <w:color w:val="auto"/>
        </w:rPr>
        <w:t xml:space="preserve">The addition of YOY body condition data from 2020-21 further supports the theory </w:t>
      </w:r>
      <w:r w:rsidRPr="00E96333">
        <w:rPr>
          <w:color w:val="auto"/>
        </w:rPr>
        <w:t xml:space="preserve">that condition may be influenced by large-scale (i.e. overbank) flow events, while small-scale seasonal flow deliveries (e.g. winter or spring–summer freshes </w:t>
      </w:r>
      <w:r>
        <w:rPr>
          <w:color w:val="auto"/>
        </w:rPr>
        <w:t>10,000–</w:t>
      </w:r>
      <w:r w:rsidRPr="00E96333">
        <w:rPr>
          <w:color w:val="auto"/>
        </w:rPr>
        <w:t xml:space="preserve">18,000 ML/d) may have </w:t>
      </w:r>
      <w:r>
        <w:rPr>
          <w:color w:val="auto"/>
        </w:rPr>
        <w:t>a lesser</w:t>
      </w:r>
      <w:r w:rsidRPr="00E96333">
        <w:rPr>
          <w:color w:val="auto"/>
        </w:rPr>
        <w:t xml:space="preserve"> influence. </w:t>
      </w:r>
      <w:r>
        <w:rPr>
          <w:color w:val="auto"/>
        </w:rPr>
        <w:t>For instance, condition of YOY in 2021 was marginally but significantly greater than observed in 2016 and 2018, years characterised by lower total flow volumes in spring</w:t>
      </w:r>
      <w:r>
        <w:rPr>
          <w:rFonts w:ascii="Calibri" w:hAnsi="Calibri" w:cs="Calibri"/>
          <w:color w:val="auto"/>
        </w:rPr>
        <w:t>–</w:t>
      </w:r>
      <w:r>
        <w:rPr>
          <w:color w:val="auto"/>
        </w:rPr>
        <w:t xml:space="preserve">summer.  </w:t>
      </w:r>
      <w:r w:rsidRPr="00E96333">
        <w:rPr>
          <w:color w:val="auto"/>
        </w:rPr>
        <w:t xml:space="preserve">Potential mechanisms driving this may be related to increases in productivity/food resources (allochthonous sources) and/or hydraulic changes that improve habitat quality and increased feeding efficiency. </w:t>
      </w:r>
    </w:p>
    <w:p w14:paraId="2CD5391A" w14:textId="77777777" w:rsidR="0035493A" w:rsidRDefault="0045769E" w:rsidP="0035493A">
      <w:r>
        <w:t>T</w:t>
      </w:r>
      <w:r w:rsidRPr="00E96333">
        <w:t>hrough 2013–202</w:t>
      </w:r>
      <w:r>
        <w:t>1, a</w:t>
      </w:r>
      <w:r w:rsidRPr="00E96333">
        <w:t xml:space="preserve">bundance (CPUE) of Murray cod in the LMR </w:t>
      </w:r>
      <w:r>
        <w:t>was variable</w:t>
      </w:r>
      <w:r w:rsidRPr="00E96333">
        <w:t xml:space="preserve">. </w:t>
      </w:r>
      <w:r>
        <w:t>D</w:t>
      </w:r>
      <w:r w:rsidRPr="00E96333">
        <w:t>uring 2017</w:t>
      </w:r>
      <w:r>
        <w:t>,</w:t>
      </w:r>
      <w:r w:rsidRPr="00E96333">
        <w:t xml:space="preserve"> </w:t>
      </w:r>
      <w:r>
        <w:t>a</w:t>
      </w:r>
      <w:r w:rsidRPr="00E96333">
        <w:t xml:space="preserve"> decline in abundance, notably adults (&gt;600</w:t>
      </w:r>
      <w:r>
        <w:t> </w:t>
      </w:r>
      <w:r w:rsidRPr="00E96333">
        <w:t xml:space="preserve">mm TL), was associated with a hypoxic blackwater event in the LMR (Ye </w:t>
      </w:r>
      <w:r w:rsidRPr="00E96333">
        <w:rPr>
          <w:i/>
          <w:iCs/>
        </w:rPr>
        <w:t>et al.</w:t>
      </w:r>
      <w:r w:rsidRPr="00E96333">
        <w:t xml:space="preserve"> 2018). Following this widespread blackwater event, declines in the abundance of adult Murray cod were also observed throughout the Murray River and some of its tributaries (e.g. Lachlan River, Murrumbidgee River, Edward–Wakool River system) (Dyer </w:t>
      </w:r>
      <w:r w:rsidRPr="00E96333">
        <w:rPr>
          <w:i/>
          <w:iCs/>
        </w:rPr>
        <w:t>et al.</w:t>
      </w:r>
      <w:r w:rsidRPr="00E96333">
        <w:t xml:space="preserve"> 2017; Wassens </w:t>
      </w:r>
      <w:r w:rsidRPr="00E96333">
        <w:rPr>
          <w:i/>
          <w:iCs/>
        </w:rPr>
        <w:t>et al.</w:t>
      </w:r>
      <w:r w:rsidRPr="00E96333">
        <w:t xml:space="preserve"> 2017; Watts </w:t>
      </w:r>
      <w:r w:rsidRPr="00E96333">
        <w:rPr>
          <w:i/>
          <w:iCs/>
        </w:rPr>
        <w:t>et al.</w:t>
      </w:r>
      <w:r w:rsidRPr="00E96333">
        <w:t xml:space="preserve"> 2017; Stoffels </w:t>
      </w:r>
      <w:r w:rsidRPr="00E96333">
        <w:rPr>
          <w:i/>
          <w:iCs/>
        </w:rPr>
        <w:t>et al.</w:t>
      </w:r>
      <w:r w:rsidRPr="00E96333">
        <w:t xml:space="preserve"> 2018). After 2017, abundance of Murray cod</w:t>
      </w:r>
      <w:r>
        <w:t xml:space="preserve"> in the LMR</w:t>
      </w:r>
      <w:r w:rsidRPr="00E96333">
        <w:t xml:space="preserve"> increased to a peak in 202</w:t>
      </w:r>
      <w:r>
        <w:t>1</w:t>
      </w:r>
      <w:r w:rsidRPr="00E96333">
        <w:t xml:space="preserve">, driven predominantly by </w:t>
      </w:r>
      <w:r>
        <w:t>strong recruitment in 2019-20 and the persistence of this cohort as age 1+ in 2021</w:t>
      </w:r>
      <w:r w:rsidRPr="00E96333">
        <w:t xml:space="preserve">. Length frequency distributions showed a broad size distribution from 2015–2020, comprised of juveniles (including YOY), sub-adults and adults. In 2019 and 2020, YOY dominated the sampled population (≥67%) and cohorts from recent recruitment events (e.g. age 1+ and ~3+) were also apparent in 2020. </w:t>
      </w:r>
      <w:r>
        <w:t xml:space="preserve">As a result of poor recruitment in 2020-21, age 1+ fish spawned in spring 2019 continued to dominate (49%) the sampled population. </w:t>
      </w:r>
      <w:r w:rsidRPr="00E96333">
        <w:t>Th</w:t>
      </w:r>
      <w:r>
        <w:t>ese findings</w:t>
      </w:r>
      <w:r w:rsidRPr="00E96333">
        <w:t xml:space="preserve"> contrast with the Millennium Drought when length frequency distributions in the main channel of the LMR were dominated by adults &gt;800</w:t>
      </w:r>
      <w:r>
        <w:t> </w:t>
      </w:r>
      <w:r w:rsidRPr="00E96333">
        <w:t xml:space="preserve">mm TL, indicating a lack of recruitment </w:t>
      </w:r>
      <w:r>
        <w:t xml:space="preserve">from 2003–2010 </w:t>
      </w:r>
      <w:r w:rsidRPr="00E96333">
        <w:t xml:space="preserve">(Zampatti </w:t>
      </w:r>
      <w:r w:rsidRPr="00E96333">
        <w:rPr>
          <w:i/>
          <w:iCs/>
        </w:rPr>
        <w:t>et al.</w:t>
      </w:r>
      <w:r w:rsidRPr="00E96333">
        <w:t xml:space="preserve"> 2014). </w:t>
      </w:r>
      <w:r>
        <w:t>C</w:t>
      </w:r>
      <w:r w:rsidRPr="00E96333">
        <w:t xml:space="preserve">ontemporary length frequency distributions in the LMR main channel </w:t>
      </w:r>
      <w:r>
        <w:t xml:space="preserve">will likely infer </w:t>
      </w:r>
      <w:r w:rsidRPr="00E96333">
        <w:t xml:space="preserve">population resilience to </w:t>
      </w:r>
      <w:r>
        <w:t xml:space="preserve">future </w:t>
      </w:r>
      <w:r w:rsidRPr="00E96333">
        <w:t>environmental perturbations such as hypoxic blackwater events.</w:t>
      </w:r>
    </w:p>
    <w:p w14:paraId="47BCD15F" w14:textId="445427EC" w:rsidR="0035493A" w:rsidRPr="00365C16" w:rsidRDefault="0045769E" w:rsidP="0035493A">
      <w:pPr>
        <w:jc w:val="center"/>
        <w:rPr>
          <w:color w:val="auto"/>
          <w:highlight w:val="yellow"/>
        </w:rPr>
      </w:pPr>
      <w:r w:rsidRPr="00E96333">
        <w:rPr>
          <w:color w:val="auto"/>
        </w:rPr>
        <w:t xml:space="preserve"> </w:t>
      </w:r>
      <w:r w:rsidR="00523FAE" w:rsidRPr="00523FAE">
        <w:rPr>
          <w:color w:val="auto"/>
        </w:rPr>
        <w:t xml:space="preserve"> </w:t>
      </w:r>
      <w:r w:rsidR="00F3242F" w:rsidRPr="00F3242F">
        <w:rPr>
          <w:noProof/>
        </w:rPr>
        <w:drawing>
          <wp:inline distT="0" distB="0" distL="0" distR="0" wp14:anchorId="3DED5E7C" wp14:editId="66D2F02F">
            <wp:extent cx="4810125" cy="7574385"/>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1681"/>
                    <a:stretch/>
                  </pic:blipFill>
                  <pic:spPr bwMode="auto">
                    <a:xfrm>
                      <a:off x="0" y="0"/>
                      <a:ext cx="4813121" cy="7579103"/>
                    </a:xfrm>
                    <a:prstGeom prst="rect">
                      <a:avLst/>
                    </a:prstGeom>
                    <a:noFill/>
                    <a:ln>
                      <a:noFill/>
                    </a:ln>
                    <a:extLst>
                      <a:ext uri="{53640926-AAD7-44D8-BBD7-CCE9431645EC}">
                        <a14:shadowObscured xmlns:a14="http://schemas.microsoft.com/office/drawing/2010/main"/>
                      </a:ext>
                    </a:extLst>
                  </pic:spPr>
                </pic:pic>
              </a:graphicData>
            </a:graphic>
          </wp:inline>
        </w:drawing>
      </w:r>
    </w:p>
    <w:p w14:paraId="6FCBE8E8" w14:textId="058A28CA" w:rsidR="0045769E" w:rsidRDefault="00D14638" w:rsidP="0035493A">
      <w:pPr>
        <w:pStyle w:val="Captions"/>
      </w:pPr>
      <w:bookmarkStart w:id="338" w:name="_Ref96417669"/>
      <w:bookmarkStart w:id="339" w:name="_Toc101963850"/>
      <w:r>
        <w:t>Figure</w:t>
      </w:r>
      <w:r w:rsidR="0035493A">
        <w:t xml:space="preserve"> </w:t>
      </w:r>
      <w:r w:rsidR="0035493A">
        <w:fldChar w:fldCharType="begin"/>
      </w:r>
      <w:r w:rsidR="0035493A">
        <w:instrText xml:space="preserve"> SEQ Figure \* ARABIC </w:instrText>
      </w:r>
      <w:r w:rsidR="0035493A">
        <w:fldChar w:fldCharType="separate"/>
      </w:r>
      <w:r w:rsidR="003C13F6">
        <w:rPr>
          <w:noProof/>
        </w:rPr>
        <w:t>58</w:t>
      </w:r>
      <w:r w:rsidR="0035493A">
        <w:rPr>
          <w:noProof/>
        </w:rPr>
        <w:fldChar w:fldCharType="end"/>
      </w:r>
      <w:bookmarkEnd w:id="338"/>
      <w:r w:rsidR="0035493A" w:rsidRPr="00AE149A">
        <w:t>. Increases in lotic habitat</w:t>
      </w:r>
      <w:r w:rsidR="0035493A">
        <w:t xml:space="preserve"> (length of river with velocities &gt;0.3 m/s)</w:t>
      </w:r>
      <w:r w:rsidR="0035493A" w:rsidRPr="00AE149A">
        <w:t xml:space="preserve"> in the weir pools below Lock 3 </w:t>
      </w:r>
      <w:r w:rsidR="00523FAE">
        <w:t xml:space="preserve">(a,b) </w:t>
      </w:r>
      <w:r w:rsidR="0035493A" w:rsidRPr="00AE149A">
        <w:t>and Lock 4</w:t>
      </w:r>
      <w:r w:rsidR="00523FAE">
        <w:t xml:space="preserve"> (c,d)</w:t>
      </w:r>
      <w:r w:rsidR="0035493A" w:rsidRPr="00AE149A">
        <w:t xml:space="preserve"> </w:t>
      </w:r>
      <w:r w:rsidR="0035493A">
        <w:t>from July 2019 to June 2021. The</w:t>
      </w:r>
      <w:r w:rsidR="0035493A" w:rsidRPr="00AE149A">
        <w:t xml:space="preserve"> </w:t>
      </w:r>
      <w:r w:rsidR="0035493A">
        <w:t xml:space="preserve">Murray cod </w:t>
      </w:r>
      <w:r w:rsidR="00523FAE">
        <w:t xml:space="preserve">peak </w:t>
      </w:r>
      <w:r w:rsidR="0035493A" w:rsidRPr="00F7021E">
        <w:t>spawning period</w:t>
      </w:r>
      <w:r w:rsidR="000C3276">
        <w:t xml:space="preserve"> for South Australia</w:t>
      </w:r>
      <w:r w:rsidR="0035493A" w:rsidRPr="00F7021E">
        <w:t xml:space="preserve"> </w:t>
      </w:r>
      <w:r w:rsidR="00523FAE">
        <w:t xml:space="preserve">(i.e. mid-October to mid-November) </w:t>
      </w:r>
      <w:r w:rsidR="0035493A">
        <w:t xml:space="preserve">is </w:t>
      </w:r>
      <w:r w:rsidR="0035493A" w:rsidRPr="00F7021E">
        <w:t>indicated</w:t>
      </w:r>
      <w:r w:rsidR="0035493A">
        <w:t xml:space="preserve"> </w:t>
      </w:r>
      <w:r w:rsidR="0035493A" w:rsidRPr="00F7021E">
        <w:t>by a grey shaded bar.</w:t>
      </w:r>
      <w:r w:rsidR="0035493A">
        <w:t xml:space="preserve"> S</w:t>
      </w:r>
      <w:r w:rsidR="0035493A" w:rsidRPr="008244A8">
        <w:t xml:space="preserve">imultaneous improvements of lotic conditions </w:t>
      </w:r>
      <w:r w:rsidR="0035493A">
        <w:t xml:space="preserve">also </w:t>
      </w:r>
      <w:r w:rsidR="0035493A" w:rsidRPr="008244A8">
        <w:t>occurred in the other weir</w:t>
      </w:r>
      <w:r w:rsidR="0035493A">
        <w:t xml:space="preserve"> </w:t>
      </w:r>
      <w:r w:rsidR="0035493A" w:rsidRPr="008244A8">
        <w:t>pools</w:t>
      </w:r>
      <w:r w:rsidR="0035493A">
        <w:t xml:space="preserve"> (</w:t>
      </w:r>
      <w:r w:rsidR="0035493A" w:rsidRPr="00AE149A">
        <w:t>Section 2.</w:t>
      </w:r>
      <w:r w:rsidR="0035493A">
        <w:t xml:space="preserve">1). WoD = Without </w:t>
      </w:r>
      <w:r w:rsidR="0035493A" w:rsidRPr="0035493A">
        <w:t xml:space="preserve">Development, a representation of natural conditions, which has the locks removed </w:t>
      </w:r>
      <w:r w:rsidR="0035493A">
        <w:t>and</w:t>
      </w:r>
      <w:r w:rsidR="0035493A" w:rsidRPr="0035493A">
        <w:t xml:space="preserve"> a modelled flow representing no storage or diversions across the Murray</w:t>
      </w:r>
      <w:r w:rsidR="00BD0534">
        <w:t xml:space="preserve"> River</w:t>
      </w:r>
      <w:r w:rsidR="0035493A" w:rsidRPr="0035493A">
        <w:t>.</w:t>
      </w:r>
      <w:bookmarkEnd w:id="339"/>
    </w:p>
    <w:p w14:paraId="28C744D3" w14:textId="77777777" w:rsidR="00626E31" w:rsidRPr="00E96333" w:rsidRDefault="00626E31" w:rsidP="00626E31">
      <w:pPr>
        <w:pStyle w:val="Heading3"/>
      </w:pPr>
      <w:r w:rsidRPr="00E96333">
        <w:t>Management implications</w:t>
      </w:r>
    </w:p>
    <w:p w14:paraId="7FA82059" w14:textId="0D6E164F" w:rsidR="00626E31" w:rsidRPr="00E96333" w:rsidRDefault="00626E31" w:rsidP="00626E31">
      <w:r w:rsidRPr="00E96333">
        <w:t xml:space="preserve">Murray cod show a preference for lotic habitats and in the LMR, the extent of lotic habitat available during spawning and early life stages may be important for the magnitude of spawning and subsequent recruitment. In 2019-20, environmental water delivered as freshes during October–early November increased the longitudinal extent of lotic habitats - defined as mean cross-sectional velocity &gt;0.3 m/s - in the LMR by 10% for at least 30 days. Specifically, downstream of Locks 4 (Weir Pool 3) and 3 (Weir Pool 2), the peak of the spring </w:t>
      </w:r>
      <w:r>
        <w:t xml:space="preserve">flow </w:t>
      </w:r>
      <w:r w:rsidRPr="00E96333">
        <w:t>pulse was associated with an increase of lotic habitat area, relative to without Commonwealth environmental water, two-fold and five-fold, respectively</w:t>
      </w:r>
      <w:r>
        <w:t xml:space="preserve"> (</w:t>
      </w:r>
      <w:r>
        <w:fldChar w:fldCharType="begin"/>
      </w:r>
      <w:r>
        <w:instrText xml:space="preserve"> REF _Ref96417669 \h </w:instrText>
      </w:r>
      <w:r>
        <w:fldChar w:fldCharType="separate"/>
      </w:r>
      <w:r w:rsidR="003C13F6">
        <w:t xml:space="preserve">Figure </w:t>
      </w:r>
      <w:r w:rsidR="003C13F6">
        <w:rPr>
          <w:noProof/>
        </w:rPr>
        <w:t>58</w:t>
      </w:r>
      <w:r>
        <w:fldChar w:fldCharType="end"/>
      </w:r>
      <w:r>
        <w:t>)</w:t>
      </w:r>
      <w:r w:rsidRPr="00E96333">
        <w:t>.</w:t>
      </w:r>
      <w:r>
        <w:t xml:space="preserve"> The hydrograph and timing of the flow pulse during 2019-20 </w:t>
      </w:r>
      <w:r w:rsidR="003C1531">
        <w:t xml:space="preserve">was </w:t>
      </w:r>
      <w:r w:rsidR="00D14638">
        <w:t xml:space="preserve">considerably different to </w:t>
      </w:r>
      <w:r>
        <w:t>any other years during the CEWO LTIM/MER period (</w:t>
      </w:r>
      <w:r>
        <w:fldChar w:fldCharType="begin"/>
      </w:r>
      <w:r>
        <w:instrText xml:space="preserve"> REF _Ref54615575 \h </w:instrText>
      </w:r>
      <w:r>
        <w:fldChar w:fldCharType="separate"/>
      </w:r>
      <w:r w:rsidR="003C13F6">
        <w:t xml:space="preserve">Figure </w:t>
      </w:r>
      <w:r w:rsidR="003C13F6">
        <w:rPr>
          <w:noProof/>
        </w:rPr>
        <w:t>10</w:t>
      </w:r>
      <w:r>
        <w:fldChar w:fldCharType="end"/>
      </w:r>
      <w:r>
        <w:t>).</w:t>
      </w:r>
      <w:r w:rsidRPr="00E96333">
        <w:t xml:space="preserve"> </w:t>
      </w:r>
      <w:r>
        <w:t xml:space="preserve">In contrast, in 2020-21, environmental water contributed to a fresh later in the season (late November to mid-December), following the spawning period of Murray cod, and was associated with poor recruitment. </w:t>
      </w:r>
    </w:p>
    <w:p w14:paraId="6FEE0465" w14:textId="51A3E9A6" w:rsidR="00626E31" w:rsidRPr="00E96333" w:rsidRDefault="00626E31" w:rsidP="00626E31">
      <w:bookmarkStart w:id="340" w:name="_Hlk59546817"/>
      <w:r w:rsidRPr="00E96333">
        <w:t xml:space="preserve">Murray cod </w:t>
      </w:r>
      <w:r>
        <w:t xml:space="preserve">morphometric </w:t>
      </w:r>
      <w:r w:rsidRPr="00E96333">
        <w:t xml:space="preserve">condition appeared to be </w:t>
      </w:r>
      <w:r>
        <w:t xml:space="preserve">most </w:t>
      </w:r>
      <w:r w:rsidRPr="00E96333">
        <w:t>influenced by large-scale flow events (e.g. floods)</w:t>
      </w:r>
      <w:r>
        <w:t xml:space="preserve">, while </w:t>
      </w:r>
      <w:r w:rsidRPr="00E96333">
        <w:t xml:space="preserve">smaller scale </w:t>
      </w:r>
      <w:r>
        <w:t>events</w:t>
      </w:r>
      <w:r w:rsidRPr="00E96333">
        <w:t xml:space="preserve"> (e.g. small freshes)</w:t>
      </w:r>
      <w:r>
        <w:t xml:space="preserve"> appearing to elicit commensurate minor improvements in condition</w:t>
      </w:r>
      <w:r w:rsidRPr="00E96333">
        <w:t xml:space="preserve">. As such, flow pulses may support enhanced recruitment of Murray cod more so through expansion </w:t>
      </w:r>
      <w:r w:rsidR="003C1531" w:rsidRPr="00E96333">
        <w:t xml:space="preserve">of lotic habitat favoured for spawning </w:t>
      </w:r>
      <w:r w:rsidRPr="00E96333">
        <w:t xml:space="preserve">and by early life stages rather than </w:t>
      </w:r>
      <w:r>
        <w:t xml:space="preserve">substantial </w:t>
      </w:r>
      <w:r w:rsidRPr="00E96333">
        <w:t xml:space="preserve">productivity benefits. Nonetheless, further analysis and comparison of otolith daily growth increments will inform on finer temporal-scale influence of flow on growth.  </w:t>
      </w:r>
    </w:p>
    <w:bookmarkEnd w:id="340"/>
    <w:p w14:paraId="192B7F85" w14:textId="77777777" w:rsidR="00626E31" w:rsidRPr="00E96333" w:rsidRDefault="00626E31" w:rsidP="00626E31">
      <w:r w:rsidRPr="00E96333">
        <w:t xml:space="preserve">In addition to the delivery of environmental water, other actions that support the maintenance/enhancement of lotic habitats in the LMR (e.g. weir pool lowering) may further benefit Murray cod recruitment and population resilience. </w:t>
      </w:r>
    </w:p>
    <w:p w14:paraId="34C7C94A" w14:textId="77777777" w:rsidR="00626E31" w:rsidRPr="00E96333" w:rsidRDefault="00626E31" w:rsidP="00626E31">
      <w:pPr>
        <w:pStyle w:val="Heading3"/>
      </w:pPr>
      <w:r w:rsidRPr="00E96333">
        <w:t>Conclusion</w:t>
      </w:r>
    </w:p>
    <w:p w14:paraId="6F81E9A8" w14:textId="77777777" w:rsidR="00626E31" w:rsidRPr="000E3E7B" w:rsidRDefault="00626E31" w:rsidP="00626E31">
      <w:r>
        <w:t>Poor</w:t>
      </w:r>
      <w:r w:rsidRPr="00E96333">
        <w:t xml:space="preserve"> recruitment of Murray cod to YOY was observed in the LMR during </w:t>
      </w:r>
      <w:r>
        <w:t>2020-21</w:t>
      </w:r>
      <w:r w:rsidRPr="00E96333">
        <w:t xml:space="preserve">. </w:t>
      </w:r>
      <w:r>
        <w:t>However, a</w:t>
      </w:r>
      <w:r w:rsidRPr="00E96333">
        <w:t xml:space="preserve">n increase in the extent of favourable (lotic) habitat </w:t>
      </w:r>
      <w:r>
        <w:t>by the spring</w:t>
      </w:r>
      <w:r>
        <w:rPr>
          <w:rFonts w:ascii="Calibri" w:hAnsi="Calibri" w:cs="Calibri"/>
        </w:rPr>
        <w:t>–</w:t>
      </w:r>
      <w:r>
        <w:t xml:space="preserve">summer flows </w:t>
      </w:r>
      <w:r w:rsidRPr="00E96333">
        <w:t xml:space="preserve">during the </w:t>
      </w:r>
      <w:r>
        <w:t>larval/juvenile</w:t>
      </w:r>
      <w:r w:rsidRPr="00E96333">
        <w:t xml:space="preserve"> period may have played a role in supporting</w:t>
      </w:r>
      <w:r>
        <w:t xml:space="preserve"> the survival of new recruits in</w:t>
      </w:r>
      <w:r w:rsidRPr="00E96333">
        <w:t xml:space="preserve"> 2020</w:t>
      </w:r>
      <w:r>
        <w:t>-21</w:t>
      </w:r>
      <w:r w:rsidRPr="00E96333">
        <w:t xml:space="preserve">. </w:t>
      </w:r>
      <w:r>
        <w:t>E</w:t>
      </w:r>
      <w:r w:rsidRPr="00E96333">
        <w:t>valuation of the contribution of Commonwealth environmental water towards growth, condition and recruitment in 2019-20</w:t>
      </w:r>
      <w:r>
        <w:t xml:space="preserve"> and 2020-21</w:t>
      </w:r>
      <w:r w:rsidRPr="00E96333">
        <w:t>, was conservatively designated as unknown. In future years, a more robust evaluation will be informed by multiple years of data (including otolith increment analysis), and results of the Selected Area research project and Basin-scale research and evaluation.</w:t>
      </w:r>
    </w:p>
    <w:p w14:paraId="5B5C9834" w14:textId="679EEC5B" w:rsidR="00846CBB" w:rsidRPr="0035493A" w:rsidRDefault="00846CBB" w:rsidP="008244A8">
      <w:pPr>
        <w:pStyle w:val="Caption"/>
      </w:pPr>
      <w:r>
        <w:br w:type="page"/>
      </w:r>
    </w:p>
    <w:p w14:paraId="703A0BE6" w14:textId="1E5066DB" w:rsidR="00914280" w:rsidRPr="00B51857" w:rsidRDefault="00914280" w:rsidP="00914280">
      <w:pPr>
        <w:pStyle w:val="Heading2"/>
      </w:pPr>
      <w:bookmarkStart w:id="341" w:name="_Ref56693925"/>
      <w:bookmarkStart w:id="342" w:name="_Ref56693948"/>
      <w:bookmarkStart w:id="343" w:name="_Ref56694021"/>
      <w:bookmarkStart w:id="344" w:name="_Toc101963781"/>
      <w:r w:rsidRPr="00B51857">
        <w:t xml:space="preserve">Fish </w:t>
      </w:r>
      <w:bookmarkEnd w:id="309"/>
      <w:bookmarkEnd w:id="310"/>
      <w:r w:rsidR="0058193C" w:rsidRPr="00B51857">
        <w:t>Assemblage</w:t>
      </w:r>
      <w:bookmarkEnd w:id="311"/>
      <w:bookmarkEnd w:id="312"/>
      <w:bookmarkEnd w:id="313"/>
      <w:bookmarkEnd w:id="341"/>
      <w:bookmarkEnd w:id="342"/>
      <w:bookmarkEnd w:id="343"/>
      <w:bookmarkEnd w:id="344"/>
    </w:p>
    <w:p w14:paraId="7DE7660B" w14:textId="77777777" w:rsidR="00914280" w:rsidRPr="0000477E" w:rsidRDefault="00914280" w:rsidP="00914280">
      <w:pPr>
        <w:pStyle w:val="Heading3"/>
      </w:pPr>
      <w:r w:rsidRPr="0000477E">
        <w:t>Background</w:t>
      </w:r>
    </w:p>
    <w:p w14:paraId="22AFC3A3" w14:textId="5A1EA73B" w:rsidR="00474420" w:rsidRDefault="00FD1C3B" w:rsidP="000858BA">
      <w:pPr>
        <w:rPr>
          <w:lang w:val="en-US"/>
        </w:rPr>
      </w:pPr>
      <w:r>
        <w:rPr>
          <w:lang w:val="en-US"/>
        </w:rPr>
        <w:t>In 202</w:t>
      </w:r>
      <w:r w:rsidR="00424090">
        <w:rPr>
          <w:lang w:val="en-US"/>
        </w:rPr>
        <w:t>1</w:t>
      </w:r>
      <w:r w:rsidR="00FA168A">
        <w:rPr>
          <w:lang w:val="en-US"/>
        </w:rPr>
        <w:t>,</w:t>
      </w:r>
      <w:r w:rsidR="00FA168A" w:rsidRPr="00CD1C9C">
        <w:rPr>
          <w:lang w:val="en-US"/>
        </w:rPr>
        <w:t xml:space="preserve"> we collected fish assemblage data</w:t>
      </w:r>
      <w:r w:rsidR="00FA168A">
        <w:rPr>
          <w:lang w:val="en-US"/>
        </w:rPr>
        <w:t xml:space="preserve"> in the main channel</w:t>
      </w:r>
      <w:r w:rsidR="00FA168A" w:rsidRPr="00CD1C9C">
        <w:rPr>
          <w:lang w:val="en-US"/>
        </w:rPr>
        <w:t xml:space="preserve"> </w:t>
      </w:r>
      <w:r w:rsidR="00FA168A">
        <w:rPr>
          <w:lang w:val="en-US"/>
        </w:rPr>
        <w:t xml:space="preserve">of the LMR </w:t>
      </w:r>
      <w:r w:rsidR="00FA168A" w:rsidRPr="00CD1C9C">
        <w:rPr>
          <w:lang w:val="en-US"/>
        </w:rPr>
        <w:t>to inform Basin-scale evaluation of fish community responses to Commonwealth environmental water</w:t>
      </w:r>
      <w:r w:rsidR="00FA168A">
        <w:rPr>
          <w:lang w:val="en-US"/>
        </w:rPr>
        <w:t>. Th</w:t>
      </w:r>
      <w:r w:rsidR="00EC6A54">
        <w:rPr>
          <w:lang w:val="en-US"/>
        </w:rPr>
        <w:t>e</w:t>
      </w:r>
      <w:r w:rsidR="00FA168A">
        <w:rPr>
          <w:lang w:val="en-US"/>
        </w:rPr>
        <w:t xml:space="preserve"> </w:t>
      </w:r>
      <w:r w:rsidR="00EC6A54">
        <w:rPr>
          <w:lang w:val="en-US"/>
        </w:rPr>
        <w:t>evaluation under the MER Project (2020</w:t>
      </w:r>
      <w:r w:rsidR="00490062">
        <w:rPr>
          <w:lang w:val="en-US"/>
        </w:rPr>
        <w:t>–</w:t>
      </w:r>
      <w:r w:rsidR="00EC6A54">
        <w:rPr>
          <w:lang w:val="en-US"/>
        </w:rPr>
        <w:t xml:space="preserve">2022) is being </w:t>
      </w:r>
      <w:r w:rsidR="00B01B96">
        <w:rPr>
          <w:lang w:val="en-US"/>
        </w:rPr>
        <w:t xml:space="preserve">undertaken </w:t>
      </w:r>
      <w:r w:rsidR="00B01B96" w:rsidRPr="0066617A">
        <w:rPr>
          <w:lang w:val="en-US"/>
        </w:rPr>
        <w:t>by</w:t>
      </w:r>
      <w:r w:rsidR="00A914D6">
        <w:rPr>
          <w:lang w:val="en-US"/>
        </w:rPr>
        <w:t xml:space="preserve"> a team of fish ecologists</w:t>
      </w:r>
      <w:r w:rsidR="00DD4655">
        <w:rPr>
          <w:lang w:val="en-US"/>
        </w:rPr>
        <w:t xml:space="preserve"> and biometricians</w:t>
      </w:r>
      <w:r w:rsidR="00A914D6">
        <w:rPr>
          <w:lang w:val="en-US"/>
        </w:rPr>
        <w:t xml:space="preserve">, led by the </w:t>
      </w:r>
      <w:r w:rsidR="00A914D6" w:rsidRPr="00A914D6">
        <w:rPr>
          <w:lang w:val="en-US"/>
        </w:rPr>
        <w:t>Arthur Rylah Institute for Environmental Research</w:t>
      </w:r>
      <w:r w:rsidR="00A914D6">
        <w:rPr>
          <w:lang w:val="en-US"/>
        </w:rPr>
        <w:t xml:space="preserve"> (ARI)</w:t>
      </w:r>
      <w:r w:rsidR="00424090">
        <w:rPr>
          <w:lang w:val="en-US"/>
        </w:rPr>
        <w:t xml:space="preserve"> (</w:t>
      </w:r>
      <w:r w:rsidR="009A207D">
        <w:rPr>
          <w:lang w:val="en-US"/>
        </w:rPr>
        <w:t xml:space="preserve">Hladyz </w:t>
      </w:r>
      <w:r w:rsidR="009A207D" w:rsidRPr="00365C16">
        <w:rPr>
          <w:i/>
          <w:iCs/>
          <w:lang w:val="en-US"/>
        </w:rPr>
        <w:t>et al.</w:t>
      </w:r>
      <w:r w:rsidR="009A207D">
        <w:rPr>
          <w:lang w:val="en-US"/>
        </w:rPr>
        <w:t xml:space="preserve"> 2021</w:t>
      </w:r>
      <w:r w:rsidR="00424090">
        <w:rPr>
          <w:lang w:val="en-US"/>
        </w:rPr>
        <w:t>)</w:t>
      </w:r>
      <w:r w:rsidR="00B01B96" w:rsidRPr="0066617A">
        <w:rPr>
          <w:lang w:val="en-US"/>
        </w:rPr>
        <w:t>.</w:t>
      </w:r>
    </w:p>
    <w:p w14:paraId="546E96CD" w14:textId="27353BAF" w:rsidR="00474420" w:rsidRPr="00474420" w:rsidRDefault="00474420" w:rsidP="00FB0F60">
      <w:pPr>
        <w:rPr>
          <w:i/>
          <w:u w:val="single"/>
          <w:lang w:val="en-US"/>
        </w:rPr>
      </w:pPr>
      <w:r w:rsidRPr="00474420">
        <w:rPr>
          <w:i/>
          <w:u w:val="single"/>
          <w:lang w:val="en-US"/>
        </w:rPr>
        <w:t>Objectives</w:t>
      </w:r>
    </w:p>
    <w:p w14:paraId="67423D16" w14:textId="70FBF0B5" w:rsidR="007F7577" w:rsidRDefault="00FA168A" w:rsidP="00FB0F60">
      <w:r>
        <w:rPr>
          <w:lang w:val="en-US"/>
        </w:rPr>
        <w:t xml:space="preserve">In this </w:t>
      </w:r>
      <w:r w:rsidR="007C2D10">
        <w:rPr>
          <w:lang w:val="en-US"/>
        </w:rPr>
        <w:t>section</w:t>
      </w:r>
      <w:r>
        <w:rPr>
          <w:lang w:val="en-US"/>
        </w:rPr>
        <w:t>, o</w:t>
      </w:r>
      <w:r w:rsidRPr="00CD1C9C">
        <w:rPr>
          <w:lang w:val="en-US"/>
        </w:rPr>
        <w:t xml:space="preserve">ur objectives </w:t>
      </w:r>
      <w:r>
        <w:rPr>
          <w:lang w:val="en-US"/>
        </w:rPr>
        <w:t>are</w:t>
      </w:r>
      <w:r w:rsidRPr="00CD1C9C">
        <w:rPr>
          <w:lang w:val="en-US"/>
        </w:rPr>
        <w:t xml:space="preserve"> to: (1) </w:t>
      </w:r>
      <w:r>
        <w:rPr>
          <w:lang w:val="en-US"/>
        </w:rPr>
        <w:t>p</w:t>
      </w:r>
      <w:r w:rsidRPr="00CD1C9C">
        <w:rPr>
          <w:lang w:val="en-US"/>
        </w:rPr>
        <w:t xml:space="preserve">rovide summary statistics of the catch rates and population demographics for nominated species; (2) </w:t>
      </w:r>
      <w:r>
        <w:rPr>
          <w:lang w:val="en-US"/>
        </w:rPr>
        <w:t>d</w:t>
      </w:r>
      <w:r w:rsidRPr="00CD1C9C">
        <w:rPr>
          <w:lang w:val="en-US"/>
        </w:rPr>
        <w:t>escribe temporal variation in fish assemblage and population structure from 2015–20</w:t>
      </w:r>
      <w:r w:rsidR="00FD1C3B">
        <w:rPr>
          <w:lang w:val="en-US"/>
        </w:rPr>
        <w:t>2</w:t>
      </w:r>
      <w:r w:rsidR="00E53863">
        <w:rPr>
          <w:lang w:val="en-US"/>
        </w:rPr>
        <w:t>1</w:t>
      </w:r>
      <w:r w:rsidRPr="00CD1C9C">
        <w:rPr>
          <w:lang w:val="en-US"/>
        </w:rPr>
        <w:t xml:space="preserve">; and (3) </w:t>
      </w:r>
      <w:r>
        <w:rPr>
          <w:lang w:val="en-US"/>
        </w:rPr>
        <w:t>d</w:t>
      </w:r>
      <w:r w:rsidRPr="00CD1C9C">
        <w:rPr>
          <w:lang w:val="en-US"/>
        </w:rPr>
        <w:t xml:space="preserve">iscuss key findings based on published research </w:t>
      </w:r>
      <w:r w:rsidR="00B01B96" w:rsidRPr="00CD1C9C">
        <w:rPr>
          <w:lang w:val="en-US"/>
        </w:rPr>
        <w:t xml:space="preserve">and </w:t>
      </w:r>
      <w:r w:rsidR="00B01B96">
        <w:rPr>
          <w:lang w:val="en-US"/>
        </w:rPr>
        <w:t>a contemporary</w:t>
      </w:r>
      <w:r w:rsidR="00B01B96" w:rsidRPr="00CD1C9C">
        <w:rPr>
          <w:lang w:val="en-US"/>
        </w:rPr>
        <w:t xml:space="preserve"> understanding </w:t>
      </w:r>
      <w:r w:rsidRPr="00CD1C9C">
        <w:rPr>
          <w:lang w:val="en-US"/>
        </w:rPr>
        <w:t>of fish life histories and population dynamics in the LMR.</w:t>
      </w:r>
      <w:r>
        <w:rPr>
          <w:lang w:val="en-US"/>
        </w:rPr>
        <w:t xml:space="preserve"> </w:t>
      </w:r>
      <w:r w:rsidRPr="004039D1">
        <w:rPr>
          <w:lang w:val="en-US"/>
        </w:rPr>
        <w:t>Our interpretations of the data for this indicator do not infer association with environmental water delivery.</w:t>
      </w:r>
    </w:p>
    <w:p w14:paraId="68A5C7A6" w14:textId="399D6BED" w:rsidR="00914280" w:rsidRPr="0000477E" w:rsidRDefault="00914280" w:rsidP="00914280">
      <w:pPr>
        <w:pStyle w:val="Heading3"/>
      </w:pPr>
      <w:r w:rsidRPr="0000477E">
        <w:t>Methods</w:t>
      </w:r>
    </w:p>
    <w:p w14:paraId="18FAA355" w14:textId="38459160" w:rsidR="00FA168A" w:rsidRDefault="00FA168A" w:rsidP="00FA168A">
      <w:pPr>
        <w:rPr>
          <w:lang w:val="en-US"/>
        </w:rPr>
      </w:pPr>
      <w:r w:rsidRPr="00CD1C9C">
        <w:rPr>
          <w:lang w:val="en-US"/>
        </w:rPr>
        <w:t xml:space="preserve">During </w:t>
      </w:r>
      <w:r w:rsidR="00015260">
        <w:rPr>
          <w:lang w:val="en-US"/>
        </w:rPr>
        <w:t>March–April 202</w:t>
      </w:r>
      <w:r w:rsidR="00E53863">
        <w:rPr>
          <w:lang w:val="en-US"/>
        </w:rPr>
        <w:t>1</w:t>
      </w:r>
      <w:r w:rsidRPr="00CD1C9C">
        <w:rPr>
          <w:lang w:val="en-US"/>
        </w:rPr>
        <w:t xml:space="preserve">, small- and large-bodied fish assemblages were sampled from the gorge geomorphic zone of the </w:t>
      </w:r>
      <w:r w:rsidR="005C7926">
        <w:rPr>
          <w:lang w:val="en-US"/>
        </w:rPr>
        <w:t>LMR (</w:t>
      </w:r>
      <w:r w:rsidR="005C7926">
        <w:rPr>
          <w:lang w:val="en-US"/>
        </w:rPr>
        <w:fldChar w:fldCharType="begin"/>
      </w:r>
      <w:r w:rsidR="005C7926">
        <w:rPr>
          <w:lang w:val="en-US"/>
        </w:rPr>
        <w:instrText xml:space="preserve"> REF _Ref469926522 \h </w:instrText>
      </w:r>
      <w:r w:rsidR="005C7926">
        <w:rPr>
          <w:lang w:val="en-US"/>
        </w:rPr>
      </w:r>
      <w:r w:rsidR="005C7926">
        <w:rPr>
          <w:lang w:val="en-US"/>
        </w:rPr>
        <w:fldChar w:fldCharType="separate"/>
      </w:r>
      <w:r w:rsidR="003C13F6">
        <w:t xml:space="preserve">Figure </w:t>
      </w:r>
      <w:r w:rsidR="003C13F6">
        <w:rPr>
          <w:noProof/>
        </w:rPr>
        <w:t>1</w:t>
      </w:r>
      <w:r w:rsidR="005C7926">
        <w:rPr>
          <w:lang w:val="en-US"/>
        </w:rPr>
        <w:fldChar w:fldCharType="end"/>
      </w:r>
      <w:r>
        <w:rPr>
          <w:lang w:val="en-US"/>
        </w:rPr>
        <w:t>)</w:t>
      </w:r>
      <w:r w:rsidRPr="00CD1C9C">
        <w:rPr>
          <w:lang w:val="en-US"/>
        </w:rPr>
        <w:t xml:space="preserve"> using fyke nets and electrofishing, respectively. Prescribed methods </w:t>
      </w:r>
      <w:r>
        <w:rPr>
          <w:color w:val="auto"/>
          <w:lang w:val="en-US"/>
        </w:rPr>
        <w:t>(</w:t>
      </w:r>
      <w:r w:rsidRPr="00CD1C9C">
        <w:rPr>
          <w:color w:val="auto"/>
          <w:lang w:val="en-US"/>
        </w:rPr>
        <w:t xml:space="preserve">Hale </w:t>
      </w:r>
      <w:r w:rsidRPr="00CD1C9C">
        <w:rPr>
          <w:i/>
          <w:color w:val="auto"/>
          <w:lang w:val="en-US"/>
        </w:rPr>
        <w:t>et al.</w:t>
      </w:r>
      <w:r w:rsidRPr="00CD1C9C">
        <w:rPr>
          <w:color w:val="auto"/>
          <w:lang w:val="en-US"/>
        </w:rPr>
        <w:t xml:space="preserve"> 2014) were used </w:t>
      </w:r>
      <w:r>
        <w:rPr>
          <w:color w:val="auto"/>
          <w:lang w:val="en-US"/>
        </w:rPr>
        <w:t>to obtain</w:t>
      </w:r>
      <w:r w:rsidRPr="00CD1C9C">
        <w:rPr>
          <w:color w:val="auto"/>
          <w:lang w:val="en-US"/>
        </w:rPr>
        <w:t xml:space="preserve"> </w:t>
      </w:r>
      <w:r w:rsidRPr="00CD1C9C">
        <w:rPr>
          <w:lang w:val="en-US"/>
        </w:rPr>
        <w:t>population structure data for seven target species (</w:t>
      </w:r>
      <w:r>
        <w:rPr>
          <w:lang w:val="en-US"/>
        </w:rPr>
        <w:fldChar w:fldCharType="begin"/>
      </w:r>
      <w:r>
        <w:rPr>
          <w:lang w:val="en-US"/>
        </w:rPr>
        <w:instrText xml:space="preserve"> REF _Ref876789 \h </w:instrText>
      </w:r>
      <w:r>
        <w:rPr>
          <w:lang w:val="en-US"/>
        </w:rPr>
      </w:r>
      <w:r>
        <w:rPr>
          <w:lang w:val="en-US"/>
        </w:rPr>
        <w:fldChar w:fldCharType="separate"/>
      </w:r>
      <w:r w:rsidR="003C13F6">
        <w:t xml:space="preserve">Figure </w:t>
      </w:r>
      <w:r w:rsidR="003C13F6">
        <w:rPr>
          <w:noProof/>
        </w:rPr>
        <w:t>59</w:t>
      </w:r>
      <w:r>
        <w:rPr>
          <w:lang w:val="en-US"/>
        </w:rPr>
        <w:fldChar w:fldCharType="end"/>
      </w:r>
      <w:r w:rsidRPr="00CD1C9C">
        <w:rPr>
          <w:lang w:val="en-US"/>
        </w:rPr>
        <w:t xml:space="preserve">). Refer to </w:t>
      </w:r>
      <w:r w:rsidRPr="00B41819">
        <w:t xml:space="preserve">SARDI </w:t>
      </w:r>
      <w:r w:rsidRPr="00AC182A">
        <w:rPr>
          <w:i/>
        </w:rPr>
        <w:t>et al.</w:t>
      </w:r>
      <w:r w:rsidRPr="00B41819">
        <w:t xml:space="preserve"> (201</w:t>
      </w:r>
      <w:r w:rsidR="00B534B7">
        <w:t>9</w:t>
      </w:r>
      <w:r w:rsidRPr="00B41819">
        <w:t xml:space="preserve">) </w:t>
      </w:r>
      <w:r w:rsidRPr="00CD1C9C">
        <w:rPr>
          <w:lang w:val="en-US"/>
        </w:rPr>
        <w:t>for detailed sampling design and methodology.</w:t>
      </w:r>
      <w:r>
        <w:rPr>
          <w:lang w:val="en-US"/>
        </w:rPr>
        <w:t xml:space="preserve"> </w:t>
      </w:r>
    </w:p>
    <w:p w14:paraId="3DFE3368" w14:textId="1CC4C1DE" w:rsidR="00FA168A" w:rsidRDefault="00074BE4" w:rsidP="00FA168A">
      <w:pPr>
        <w:rPr>
          <w:noProof/>
          <w:lang w:eastAsia="en-AU"/>
        </w:rPr>
      </w:pPr>
      <w:r w:rsidRPr="003C4AE8">
        <w:rPr>
          <w:noProof/>
          <w:lang w:eastAsia="en-AU"/>
        </w:rPr>
        <w:drawing>
          <wp:inline distT="0" distB="0" distL="0" distR="0" wp14:anchorId="69C4EA00" wp14:editId="434E30EC">
            <wp:extent cx="5727700" cy="225361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27700" cy="2253615"/>
                    </a:xfrm>
                    <a:prstGeom prst="rect">
                      <a:avLst/>
                    </a:prstGeom>
                    <a:noFill/>
                    <a:ln>
                      <a:noFill/>
                    </a:ln>
                  </pic:spPr>
                </pic:pic>
              </a:graphicData>
            </a:graphic>
          </wp:inline>
        </w:drawing>
      </w:r>
    </w:p>
    <w:p w14:paraId="5C06EC6E" w14:textId="080D9FC0" w:rsidR="00FA168A" w:rsidRPr="005A47ED" w:rsidRDefault="00FA168A" w:rsidP="00FA168A">
      <w:pPr>
        <w:pStyle w:val="Caption"/>
      </w:pPr>
      <w:bookmarkStart w:id="345" w:name="_Ref876789"/>
      <w:bookmarkStart w:id="346" w:name="_Toc3558383"/>
      <w:bookmarkStart w:id="347" w:name="_Toc101963851"/>
      <w:r>
        <w:t xml:space="preserve">Figure </w:t>
      </w:r>
      <w:fldSimple w:instr=" SEQ Figure \* ARABIC ">
        <w:r w:rsidR="003C13F6">
          <w:rPr>
            <w:noProof/>
          </w:rPr>
          <w:t>59</w:t>
        </w:r>
      </w:fldSimple>
      <w:bookmarkEnd w:id="345"/>
      <w:r w:rsidRPr="005A47ED">
        <w:t xml:space="preserve">. Target species for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5A47ED">
        <w:t>: (a) Murray cod and (b) freshwater catfish (equilibrium life history); (c) golden perch and (d) silver perch (periodic life hi</w:t>
      </w:r>
      <w:r>
        <w:t xml:space="preserve">story); and </w:t>
      </w:r>
      <w:r w:rsidR="00D716D6">
        <w:t>(e)</w:t>
      </w:r>
      <w:r w:rsidR="002F7BE7">
        <w:t xml:space="preserve"> </w:t>
      </w:r>
      <w:r>
        <w:t>carp gudgeon,</w:t>
      </w:r>
      <w:r w:rsidRPr="005A47ED">
        <w:t xml:space="preserve"> (f) Murray rainbowfish</w:t>
      </w:r>
      <w:r>
        <w:t xml:space="preserve"> and (g) bony herring</w:t>
      </w:r>
      <w:r w:rsidRPr="005A47ED">
        <w:t xml:space="preserve"> (opportunistic life history).</w:t>
      </w:r>
      <w:bookmarkEnd w:id="346"/>
      <w:bookmarkEnd w:id="347"/>
    </w:p>
    <w:p w14:paraId="10A91506" w14:textId="329B2010" w:rsidR="00FA168A" w:rsidRDefault="00FA168A" w:rsidP="00FA168A">
      <w:pPr>
        <w:rPr>
          <w:b/>
          <w:color w:val="44546A" w:themeColor="text2"/>
          <w:sz w:val="26"/>
          <w:szCs w:val="26"/>
        </w:rPr>
      </w:pPr>
      <w:r>
        <w:rPr>
          <w:lang w:val="en-US"/>
        </w:rPr>
        <w:t>Temporal variation in fish assemblage structure (species composition and abundance), between sampling years</w:t>
      </w:r>
      <w:r w:rsidR="00025F13">
        <w:rPr>
          <w:lang w:val="en-US"/>
        </w:rPr>
        <w:t xml:space="preserve"> (i.e. 2015–202</w:t>
      </w:r>
      <w:r w:rsidR="00025E38">
        <w:rPr>
          <w:lang w:val="en-US"/>
        </w:rPr>
        <w:t>1</w:t>
      </w:r>
      <w:r w:rsidR="00025F13">
        <w:rPr>
          <w:lang w:val="en-US"/>
        </w:rPr>
        <w:t>)</w:t>
      </w:r>
      <w:r>
        <w:rPr>
          <w:lang w:val="en-US"/>
        </w:rPr>
        <w:t xml:space="preserve">, was investigated using </w:t>
      </w:r>
      <w:r w:rsidRPr="00E55399">
        <w:rPr>
          <w:lang w:val="en-US"/>
        </w:rPr>
        <w:t>Non-metric Multi-Dimensional Scaling (MDS)</w:t>
      </w:r>
      <w:r>
        <w:rPr>
          <w:lang w:val="en-US"/>
        </w:rPr>
        <w:t xml:space="preserve">, permutational multivariate analysis of variance (PERMANOVA) and Similarity Percentages (SIMPER) analysis in the software package PRIMER v. </w:t>
      </w:r>
      <w:r w:rsidRPr="00531040">
        <w:rPr>
          <w:lang w:val="en-US"/>
        </w:rPr>
        <w:t>6.1.12</w:t>
      </w:r>
      <w:r>
        <w:rPr>
          <w:lang w:val="en-US"/>
        </w:rPr>
        <w:t xml:space="preserve"> (Clarke and Gorley 20</w:t>
      </w:r>
      <w:r w:rsidR="004679F4">
        <w:rPr>
          <w:lang w:val="en-US"/>
        </w:rPr>
        <w:t>15</w:t>
      </w:r>
      <w:r>
        <w:rPr>
          <w:lang w:val="en-US"/>
        </w:rPr>
        <w:t xml:space="preserve">) and PERMANOVA + v.1.02 (Anderson </w:t>
      </w:r>
      <w:r w:rsidRPr="00C673C6">
        <w:rPr>
          <w:i/>
          <w:lang w:val="en-US"/>
        </w:rPr>
        <w:t>et al.</w:t>
      </w:r>
      <w:r>
        <w:rPr>
          <w:lang w:val="en-US"/>
        </w:rPr>
        <w:t xml:space="preserve"> 2008).</w:t>
      </w:r>
      <w:r w:rsidRPr="00C673C6">
        <w:rPr>
          <w:lang w:val="en-US"/>
        </w:rPr>
        <w:t xml:space="preserve"> </w:t>
      </w:r>
      <w:r>
        <w:rPr>
          <w:lang w:val="en-US"/>
        </w:rPr>
        <w:t xml:space="preserve">To determine temporal variation in population structure, length frequency histograms were qualitatively compared </w:t>
      </w:r>
      <w:r w:rsidR="007C2D10">
        <w:rPr>
          <w:lang w:val="en-US"/>
        </w:rPr>
        <w:t>among</w:t>
      </w:r>
      <w:r>
        <w:rPr>
          <w:lang w:val="en-US"/>
        </w:rPr>
        <w:t xml:space="preserve"> sampling years.</w:t>
      </w:r>
    </w:p>
    <w:p w14:paraId="53EF66AC" w14:textId="6ECBBC10" w:rsidR="00914280" w:rsidRPr="0000477E" w:rsidRDefault="00914280" w:rsidP="00914280">
      <w:pPr>
        <w:pStyle w:val="Heading3"/>
      </w:pPr>
      <w:r w:rsidRPr="0000477E">
        <w:t>Results</w:t>
      </w:r>
    </w:p>
    <w:p w14:paraId="2242B61E" w14:textId="26F48579" w:rsidR="00914280" w:rsidRPr="00DC60AE" w:rsidRDefault="00FA168A" w:rsidP="00914280">
      <w:pPr>
        <w:rPr>
          <w:i/>
          <w:u w:val="single"/>
        </w:rPr>
      </w:pPr>
      <w:r>
        <w:rPr>
          <w:i/>
          <w:u w:val="single"/>
        </w:rPr>
        <w:t>Catch summary</w:t>
      </w:r>
      <w:r w:rsidR="00025F13">
        <w:rPr>
          <w:i/>
          <w:u w:val="single"/>
        </w:rPr>
        <w:t xml:space="preserve"> for 202</w:t>
      </w:r>
      <w:r w:rsidR="00025E38">
        <w:rPr>
          <w:i/>
          <w:u w:val="single"/>
        </w:rPr>
        <w:t>1</w:t>
      </w:r>
    </w:p>
    <w:p w14:paraId="495E72FC" w14:textId="6DD49C9B" w:rsidR="00FA168A" w:rsidRPr="00AD5B88" w:rsidRDefault="00025F13" w:rsidP="00FA168A">
      <w:pPr>
        <w:rPr>
          <w:lang w:val="en-US"/>
        </w:rPr>
      </w:pPr>
      <w:r>
        <w:rPr>
          <w:lang w:val="en-US"/>
        </w:rPr>
        <w:t>A</w:t>
      </w:r>
      <w:r w:rsidR="00FA168A" w:rsidRPr="00641F42">
        <w:rPr>
          <w:lang w:val="en-US"/>
        </w:rPr>
        <w:t xml:space="preserve"> </w:t>
      </w:r>
      <w:r w:rsidR="00FA168A" w:rsidRPr="00D21FDE">
        <w:rPr>
          <w:lang w:val="en-US"/>
        </w:rPr>
        <w:t xml:space="preserve">total of </w:t>
      </w:r>
      <w:r w:rsidR="00E81416">
        <w:rPr>
          <w:lang w:val="en-US"/>
        </w:rPr>
        <w:t>6,424</w:t>
      </w:r>
      <w:r w:rsidR="00FA168A" w:rsidRPr="00D21FDE">
        <w:rPr>
          <w:lang w:val="en-US"/>
        </w:rPr>
        <w:t xml:space="preserve"> individuals (ind.) from eight large-bodied fish species were collected by electrofishing. </w:t>
      </w:r>
      <w:r w:rsidRPr="00D21FDE">
        <w:rPr>
          <w:lang w:val="en-US"/>
        </w:rPr>
        <w:t>B</w:t>
      </w:r>
      <w:r w:rsidR="00FA168A" w:rsidRPr="00D21FDE">
        <w:rPr>
          <w:lang w:val="en-US"/>
        </w:rPr>
        <w:t xml:space="preserve">ony herring </w:t>
      </w:r>
      <w:r w:rsidR="00645AFC" w:rsidRPr="00D21FDE">
        <w:rPr>
          <w:lang w:val="en-US"/>
        </w:rPr>
        <w:t>(</w:t>
      </w:r>
      <w:r w:rsidR="00645AFC" w:rsidRPr="00D21FDE">
        <w:rPr>
          <w:i/>
          <w:lang w:val="en-US"/>
        </w:rPr>
        <w:t>Nematalosa erebi</w:t>
      </w:r>
      <w:r w:rsidR="00645AFC" w:rsidRPr="00D21FDE">
        <w:rPr>
          <w:lang w:val="en-US"/>
        </w:rPr>
        <w:t xml:space="preserve">) </w:t>
      </w:r>
      <w:r w:rsidR="00FA168A" w:rsidRPr="00D21FDE">
        <w:rPr>
          <w:lang w:val="en-US"/>
        </w:rPr>
        <w:t>was the most abundant species (</w:t>
      </w:r>
      <w:r w:rsidR="00FA168A" w:rsidRPr="000858BA">
        <w:rPr>
          <w:lang w:val="en-US"/>
        </w:rPr>
        <w:t>9</w:t>
      </w:r>
      <w:r w:rsidR="00E81416">
        <w:rPr>
          <w:lang w:val="en-US"/>
        </w:rPr>
        <w:t>0</w:t>
      </w:r>
      <w:r w:rsidR="00FA168A" w:rsidRPr="00D21FDE">
        <w:rPr>
          <w:lang w:val="en-US"/>
        </w:rPr>
        <w:t>% of the catch</w:t>
      </w:r>
      <w:r w:rsidR="00CE6106">
        <w:rPr>
          <w:lang w:val="en-US"/>
        </w:rPr>
        <w:t xml:space="preserve"> by number</w:t>
      </w:r>
      <w:r w:rsidR="00FA168A" w:rsidRPr="00D21FDE">
        <w:rPr>
          <w:lang w:val="en-US"/>
        </w:rPr>
        <w:t>), followed by common carp (</w:t>
      </w:r>
      <w:r w:rsidR="00FA168A" w:rsidRPr="00D21FDE">
        <w:rPr>
          <w:i/>
          <w:lang w:val="en-US"/>
        </w:rPr>
        <w:t>Cyprinus carpio</w:t>
      </w:r>
      <w:r w:rsidR="00FA168A" w:rsidRPr="00D21FDE">
        <w:rPr>
          <w:lang w:val="en-US"/>
        </w:rPr>
        <w:t>) (</w:t>
      </w:r>
      <w:r w:rsidR="00E81416">
        <w:rPr>
          <w:lang w:val="en-US"/>
        </w:rPr>
        <w:t>6</w:t>
      </w:r>
      <w:r w:rsidR="00FA168A" w:rsidRPr="00D21FDE">
        <w:rPr>
          <w:lang w:val="en-US"/>
        </w:rPr>
        <w:t>%)</w:t>
      </w:r>
      <w:r w:rsidRPr="00D21FDE">
        <w:rPr>
          <w:lang w:val="en-US"/>
        </w:rPr>
        <w:t xml:space="preserve"> </w:t>
      </w:r>
      <w:r w:rsidR="00FA168A" w:rsidRPr="00D21FDE">
        <w:rPr>
          <w:lang w:val="en-US"/>
        </w:rPr>
        <w:t>(</w:t>
      </w:r>
      <w:r w:rsidR="00FA168A" w:rsidRPr="00D21FDE">
        <w:rPr>
          <w:lang w:val="en-US"/>
        </w:rPr>
        <w:fldChar w:fldCharType="begin"/>
      </w:r>
      <w:r w:rsidR="00FA168A" w:rsidRPr="00D21FDE">
        <w:rPr>
          <w:lang w:val="en-US"/>
        </w:rPr>
        <w:instrText xml:space="preserve"> REF _Ref876802 \h  \* MERGEFORMAT </w:instrText>
      </w:r>
      <w:r w:rsidR="00FA168A" w:rsidRPr="00D21FDE">
        <w:rPr>
          <w:lang w:val="en-US"/>
        </w:rPr>
      </w:r>
      <w:r w:rsidR="00FA168A" w:rsidRPr="00D21FDE">
        <w:rPr>
          <w:lang w:val="en-US"/>
        </w:rPr>
        <w:fldChar w:fldCharType="separate"/>
      </w:r>
      <w:r w:rsidR="003C13F6">
        <w:t xml:space="preserve">Figure </w:t>
      </w:r>
      <w:r w:rsidR="003C13F6">
        <w:rPr>
          <w:noProof/>
        </w:rPr>
        <w:t>60</w:t>
      </w:r>
      <w:r w:rsidR="00FA168A" w:rsidRPr="00D21FDE">
        <w:rPr>
          <w:lang w:val="en-US"/>
        </w:rPr>
        <w:fldChar w:fldCharType="end"/>
      </w:r>
      <w:r w:rsidR="00FA168A" w:rsidRPr="00D21FDE">
        <w:rPr>
          <w:lang w:val="en-US"/>
        </w:rPr>
        <w:t>a).</w:t>
      </w:r>
    </w:p>
    <w:p w14:paraId="37F7E3D1" w14:textId="7561969D" w:rsidR="00FB6261" w:rsidRDefault="00FA168A" w:rsidP="00003505">
      <w:pPr>
        <w:rPr>
          <w:i/>
          <w:u w:val="single"/>
        </w:rPr>
      </w:pPr>
      <w:r w:rsidRPr="00AD5B88">
        <w:rPr>
          <w:lang w:val="en-US"/>
        </w:rPr>
        <w:t xml:space="preserve">A total of </w:t>
      </w:r>
      <w:r w:rsidR="00E81416">
        <w:rPr>
          <w:lang w:val="en-US"/>
        </w:rPr>
        <w:t>20,915</w:t>
      </w:r>
      <w:r w:rsidRPr="00AD5B88">
        <w:rPr>
          <w:lang w:val="en-US"/>
        </w:rPr>
        <w:t xml:space="preserve"> individuals from seven small-bodied species were collected </w:t>
      </w:r>
      <w:r w:rsidR="007C2D10">
        <w:rPr>
          <w:lang w:val="en-US"/>
        </w:rPr>
        <w:t>using</w:t>
      </w:r>
      <w:r w:rsidRPr="00AD5B88">
        <w:rPr>
          <w:lang w:val="en-US"/>
        </w:rPr>
        <w:t xml:space="preserve"> fyke nets. Carp gudgeon (</w:t>
      </w:r>
      <w:r w:rsidRPr="00AD5B88">
        <w:rPr>
          <w:i/>
          <w:lang w:val="en-US"/>
        </w:rPr>
        <w:t>Hypseleotris</w:t>
      </w:r>
      <w:r w:rsidRPr="00AD5B88">
        <w:rPr>
          <w:lang w:val="en-US"/>
        </w:rPr>
        <w:t xml:space="preserve"> spp.) was the most abundant species (</w:t>
      </w:r>
      <w:r w:rsidR="00837A6B">
        <w:rPr>
          <w:lang w:val="en-US"/>
        </w:rPr>
        <w:t>8</w:t>
      </w:r>
      <w:r w:rsidR="009A2FFA">
        <w:rPr>
          <w:lang w:val="en-US"/>
        </w:rPr>
        <w:t>9</w:t>
      </w:r>
      <w:r w:rsidRPr="00AD5B88">
        <w:rPr>
          <w:lang w:val="en-US"/>
        </w:rPr>
        <w:t>% of catch</w:t>
      </w:r>
      <w:r w:rsidR="00CE6106">
        <w:rPr>
          <w:lang w:val="en-US"/>
        </w:rPr>
        <w:t xml:space="preserve"> by number</w:t>
      </w:r>
      <w:r w:rsidRPr="00AD5B88">
        <w:rPr>
          <w:lang w:val="en-US"/>
        </w:rPr>
        <w:t xml:space="preserve">), followed by </w:t>
      </w:r>
      <w:r w:rsidR="00837A6B">
        <w:rPr>
          <w:lang w:val="en-US"/>
        </w:rPr>
        <w:t xml:space="preserve">Murray rainbowfish </w:t>
      </w:r>
      <w:r w:rsidRPr="00AD5B88">
        <w:rPr>
          <w:lang w:val="en-US"/>
        </w:rPr>
        <w:t>(</w:t>
      </w:r>
      <w:r w:rsidR="00837A6B" w:rsidRPr="00003505">
        <w:rPr>
          <w:i/>
          <w:lang w:val="en-US"/>
        </w:rPr>
        <w:t>Melanotaenia fluviatilis</w:t>
      </w:r>
      <w:r w:rsidRPr="00AD5B88">
        <w:rPr>
          <w:lang w:val="en-US"/>
        </w:rPr>
        <w:t>) (</w:t>
      </w:r>
      <w:r w:rsidR="00837A6B">
        <w:rPr>
          <w:lang w:val="en-US"/>
        </w:rPr>
        <w:t>5</w:t>
      </w:r>
      <w:r>
        <w:rPr>
          <w:lang w:val="en-US"/>
        </w:rPr>
        <w:t>%)</w:t>
      </w:r>
      <w:r w:rsidR="00837A6B">
        <w:rPr>
          <w:lang w:val="en-US"/>
        </w:rPr>
        <w:t xml:space="preserve"> and unspecked hardyhead (</w:t>
      </w:r>
      <w:r w:rsidR="00B956BB" w:rsidRPr="00003505">
        <w:rPr>
          <w:i/>
          <w:lang w:val="en-US"/>
        </w:rPr>
        <w:t>Craterocephalus stercusmuscarum fulvus</w:t>
      </w:r>
      <w:r w:rsidR="00837A6B">
        <w:rPr>
          <w:lang w:val="en-US"/>
        </w:rPr>
        <w:t>) (4%)</w:t>
      </w:r>
      <w:r w:rsidRPr="00AD5B88">
        <w:rPr>
          <w:lang w:val="en-US"/>
        </w:rPr>
        <w:t xml:space="preserve"> (</w:t>
      </w:r>
      <w:r w:rsidRPr="00AD5B88">
        <w:rPr>
          <w:lang w:val="en-US"/>
        </w:rPr>
        <w:fldChar w:fldCharType="begin"/>
      </w:r>
      <w:r w:rsidRPr="00AD5B88">
        <w:rPr>
          <w:lang w:val="en-US"/>
        </w:rPr>
        <w:instrText xml:space="preserve"> REF _Ref876802 \h </w:instrText>
      </w:r>
      <w:r>
        <w:rPr>
          <w:lang w:val="en-US"/>
        </w:rPr>
        <w:instrText xml:space="preserve"> \* MERGEFORMAT </w:instrText>
      </w:r>
      <w:r w:rsidRPr="00AD5B88">
        <w:rPr>
          <w:lang w:val="en-US"/>
        </w:rPr>
      </w:r>
      <w:r w:rsidRPr="00AD5B88">
        <w:rPr>
          <w:lang w:val="en-US"/>
        </w:rPr>
        <w:fldChar w:fldCharType="separate"/>
      </w:r>
      <w:r w:rsidR="003C13F6">
        <w:t xml:space="preserve">Figure </w:t>
      </w:r>
      <w:r w:rsidR="003C13F6">
        <w:rPr>
          <w:noProof/>
        </w:rPr>
        <w:t>60</w:t>
      </w:r>
      <w:r w:rsidRPr="00AD5B88">
        <w:rPr>
          <w:lang w:val="en-US"/>
        </w:rPr>
        <w:fldChar w:fldCharType="end"/>
      </w:r>
      <w:r w:rsidRPr="00AD5B88">
        <w:rPr>
          <w:lang w:val="en-US"/>
        </w:rPr>
        <w:t xml:space="preserve">b). </w:t>
      </w:r>
    </w:p>
    <w:p w14:paraId="726AB7AB" w14:textId="4845C734" w:rsidR="00914280" w:rsidRDefault="00914280" w:rsidP="00914280">
      <w:pPr>
        <w:rPr>
          <w:i/>
          <w:u w:val="single"/>
        </w:rPr>
      </w:pPr>
      <w:r w:rsidRPr="00DC60AE">
        <w:rPr>
          <w:i/>
          <w:u w:val="single"/>
        </w:rPr>
        <w:t>Temporal variability in fish assemblage structure</w:t>
      </w:r>
    </w:p>
    <w:p w14:paraId="653151A7" w14:textId="795E9938" w:rsidR="008B2466" w:rsidRDefault="00FA168A" w:rsidP="00FA168A">
      <w:pPr>
        <w:rPr>
          <w:lang w:val="en-US"/>
        </w:rPr>
      </w:pPr>
      <w:r>
        <w:rPr>
          <w:lang w:val="en-US"/>
        </w:rPr>
        <w:t>MDS ordination of electrofishing data demonstrated separation of 2017</w:t>
      </w:r>
      <w:r w:rsidR="00844D1C">
        <w:rPr>
          <w:lang w:val="en-US"/>
        </w:rPr>
        <w:t xml:space="preserve"> </w:t>
      </w:r>
      <w:r>
        <w:rPr>
          <w:lang w:val="en-US"/>
        </w:rPr>
        <w:t>from</w:t>
      </w:r>
      <w:r w:rsidR="00844D1C">
        <w:rPr>
          <w:lang w:val="en-US"/>
        </w:rPr>
        <w:t xml:space="preserve"> all</w:t>
      </w:r>
      <w:r>
        <w:rPr>
          <w:lang w:val="en-US"/>
        </w:rPr>
        <w:t xml:space="preserve"> other years (</w:t>
      </w:r>
      <w:r>
        <w:rPr>
          <w:lang w:val="en-US"/>
        </w:rPr>
        <w:fldChar w:fldCharType="begin"/>
      </w:r>
      <w:r>
        <w:rPr>
          <w:lang w:val="en-US"/>
        </w:rPr>
        <w:instrText xml:space="preserve"> REF _Ref876821 \h </w:instrText>
      </w:r>
      <w:r>
        <w:rPr>
          <w:lang w:val="en-US"/>
        </w:rPr>
      </w:r>
      <w:r>
        <w:rPr>
          <w:lang w:val="en-US"/>
        </w:rPr>
        <w:fldChar w:fldCharType="separate"/>
      </w:r>
      <w:r w:rsidR="003C13F6">
        <w:t xml:space="preserve">Figure </w:t>
      </w:r>
      <w:r w:rsidR="003C13F6">
        <w:rPr>
          <w:noProof/>
        </w:rPr>
        <w:t>61</w:t>
      </w:r>
      <w:r>
        <w:rPr>
          <w:lang w:val="en-US"/>
        </w:rPr>
        <w:fldChar w:fldCharType="end"/>
      </w:r>
      <w:r>
        <w:rPr>
          <w:lang w:val="en-US"/>
        </w:rPr>
        <w:t xml:space="preserve">a). </w:t>
      </w:r>
      <w:r w:rsidRPr="002D3F67">
        <w:rPr>
          <w:lang w:val="en-US"/>
        </w:rPr>
        <w:t xml:space="preserve">PERMANOVA indicated that large-bodied fish assemblages were significantly different </w:t>
      </w:r>
      <w:r w:rsidR="007C2D10">
        <w:rPr>
          <w:lang w:val="en-US"/>
        </w:rPr>
        <w:t>among</w:t>
      </w:r>
      <w:r w:rsidRPr="002D3F67">
        <w:rPr>
          <w:lang w:val="en-US"/>
        </w:rPr>
        <w:t xml:space="preserve"> years (</w:t>
      </w:r>
      <w:r w:rsidRPr="002D3F67">
        <w:rPr>
          <w:i/>
          <w:lang w:val="en-US"/>
        </w:rPr>
        <w:t>Pseudo</w:t>
      </w:r>
      <w:r w:rsidRPr="002D3F67">
        <w:rPr>
          <w:i/>
          <w:lang w:val="en-US"/>
        </w:rPr>
        <w:noBreakHyphen/>
        <w:t>F</w:t>
      </w:r>
      <w:r w:rsidR="00301D26" w:rsidRPr="00E147C8">
        <w:rPr>
          <w:i/>
          <w:vertAlign w:val="subscript"/>
          <w:lang w:val="en-US"/>
        </w:rPr>
        <w:t>6</w:t>
      </w:r>
      <w:r w:rsidRPr="002D3F67">
        <w:rPr>
          <w:vertAlign w:val="subscript"/>
          <w:lang w:val="en-US"/>
        </w:rPr>
        <w:t>,</w:t>
      </w:r>
      <w:r w:rsidR="00301D26">
        <w:rPr>
          <w:vertAlign w:val="subscript"/>
          <w:lang w:val="en-US"/>
        </w:rPr>
        <w:t>65</w:t>
      </w:r>
      <w:r w:rsidRPr="002D3F67">
        <w:rPr>
          <w:lang w:val="en-US"/>
        </w:rPr>
        <w:t xml:space="preserve"> =</w:t>
      </w:r>
      <w:r w:rsidR="00365C16">
        <w:rPr>
          <w:lang w:val="en-US"/>
        </w:rPr>
        <w:t xml:space="preserve"> </w:t>
      </w:r>
      <w:r w:rsidR="00301D26">
        <w:rPr>
          <w:lang w:val="en-US"/>
        </w:rPr>
        <w:t>5.7663</w:t>
      </w:r>
      <w:r w:rsidRPr="002D3F67">
        <w:rPr>
          <w:lang w:val="en-US"/>
        </w:rPr>
        <w:t xml:space="preserve">, </w:t>
      </w:r>
      <w:r w:rsidR="00AB425D">
        <w:rPr>
          <w:i/>
          <w:lang w:val="en-US"/>
        </w:rPr>
        <w:t>P</w:t>
      </w:r>
      <w:r w:rsidRPr="002D3F67">
        <w:rPr>
          <w:lang w:val="en-US"/>
        </w:rPr>
        <w:t xml:space="preserve"> </w:t>
      </w:r>
      <w:r w:rsidR="00AB425D">
        <w:t>≤0.001</w:t>
      </w:r>
      <w:r w:rsidRPr="002D3F67">
        <w:rPr>
          <w:lang w:val="en-US"/>
        </w:rPr>
        <w:t xml:space="preserve">). </w:t>
      </w:r>
      <w:r>
        <w:rPr>
          <w:lang w:val="en-US"/>
        </w:rPr>
        <w:t xml:space="preserve">Pairwise comparisons revealed significant differences between </w:t>
      </w:r>
      <w:r w:rsidR="00B8120D">
        <w:rPr>
          <w:lang w:val="en-US"/>
        </w:rPr>
        <w:t xml:space="preserve">2017 and </w:t>
      </w:r>
      <w:r w:rsidR="00390AC6">
        <w:rPr>
          <w:lang w:val="en-US"/>
        </w:rPr>
        <w:t xml:space="preserve">most other years (i.e. </w:t>
      </w:r>
      <w:r w:rsidR="00885C44">
        <w:rPr>
          <w:lang w:val="en-US"/>
        </w:rPr>
        <w:t>2015, 2018, 2019 and 2020</w:t>
      </w:r>
      <w:r w:rsidR="00390AC6">
        <w:rPr>
          <w:lang w:val="en-US"/>
        </w:rPr>
        <w:t xml:space="preserve">), </w:t>
      </w:r>
      <w:r w:rsidR="005318F2">
        <w:rPr>
          <w:lang w:val="en-US"/>
        </w:rPr>
        <w:t xml:space="preserve">and between </w:t>
      </w:r>
      <w:r w:rsidR="00390AC6">
        <w:rPr>
          <w:lang w:val="en-US"/>
        </w:rPr>
        <w:t>2015 and 2021, 2016 and 2020, and 2020 and 2021</w:t>
      </w:r>
      <w:r>
        <w:rPr>
          <w:lang w:val="en-US"/>
        </w:rPr>
        <w:t xml:space="preserve">, </w:t>
      </w:r>
      <w:r w:rsidR="00B8120D">
        <w:rPr>
          <w:lang w:val="en-US"/>
        </w:rPr>
        <w:t>but no</w:t>
      </w:r>
      <w:r w:rsidR="000D3BE9">
        <w:rPr>
          <w:lang w:val="en-US"/>
        </w:rPr>
        <w:t>t</w:t>
      </w:r>
      <w:r w:rsidR="00B8120D">
        <w:rPr>
          <w:lang w:val="en-US"/>
        </w:rPr>
        <w:t xml:space="preserve"> </w:t>
      </w:r>
      <w:r w:rsidR="0083426E">
        <w:rPr>
          <w:lang w:val="en-US"/>
        </w:rPr>
        <w:t xml:space="preserve">for </w:t>
      </w:r>
      <w:r w:rsidR="00B8120D">
        <w:rPr>
          <w:lang w:val="en-US"/>
        </w:rPr>
        <w:t xml:space="preserve">any other </w:t>
      </w:r>
      <w:r w:rsidR="007C2D10">
        <w:rPr>
          <w:lang w:val="en-US"/>
        </w:rPr>
        <w:t>pairs of years</w:t>
      </w:r>
      <w:r>
        <w:rPr>
          <w:lang w:val="en-US"/>
        </w:rPr>
        <w:t xml:space="preserve"> (</w:t>
      </w:r>
      <w:r w:rsidR="00002263">
        <w:rPr>
          <w:lang w:val="en-US"/>
        </w:rPr>
        <w:fldChar w:fldCharType="begin"/>
      </w:r>
      <w:r w:rsidR="00002263">
        <w:rPr>
          <w:lang w:val="en-US"/>
        </w:rPr>
        <w:instrText xml:space="preserve"> REF _Ref876821 \h </w:instrText>
      </w:r>
      <w:r w:rsidR="00002263">
        <w:rPr>
          <w:lang w:val="en-US"/>
        </w:rPr>
      </w:r>
      <w:r w:rsidR="00002263">
        <w:rPr>
          <w:lang w:val="en-US"/>
        </w:rPr>
        <w:fldChar w:fldCharType="separate"/>
      </w:r>
      <w:r w:rsidR="003C13F6">
        <w:t xml:space="preserve">Figure </w:t>
      </w:r>
      <w:r w:rsidR="003C13F6">
        <w:rPr>
          <w:noProof/>
        </w:rPr>
        <w:t>61</w:t>
      </w:r>
      <w:r w:rsidR="00002263">
        <w:rPr>
          <w:lang w:val="en-US"/>
        </w:rPr>
        <w:fldChar w:fldCharType="end"/>
      </w:r>
      <w:r w:rsidR="00002263">
        <w:rPr>
          <w:lang w:val="en-US"/>
        </w:rPr>
        <w:t>a</w:t>
      </w:r>
      <w:r>
        <w:rPr>
          <w:lang w:val="en-US"/>
        </w:rPr>
        <w:t>).</w:t>
      </w:r>
      <w:r w:rsidR="008B2466" w:rsidRPr="008B2466">
        <w:rPr>
          <w:lang w:val="en-US"/>
        </w:rPr>
        <w:t xml:space="preserve"> </w:t>
      </w:r>
    </w:p>
    <w:p w14:paraId="58D1F78D" w14:textId="29B3DED9" w:rsidR="00FA168A" w:rsidRDefault="008B2466" w:rsidP="00FA168A">
      <w:pPr>
        <w:rPr>
          <w:lang w:val="en-US"/>
        </w:rPr>
      </w:pPr>
      <w:r>
        <w:rPr>
          <w:lang w:val="en-US"/>
        </w:rPr>
        <w:t xml:space="preserve">For </w:t>
      </w:r>
      <w:r w:rsidRPr="00157A32">
        <w:rPr>
          <w:lang w:val="en-US"/>
        </w:rPr>
        <w:t>small-bodied fish assemblages</w:t>
      </w:r>
      <w:r>
        <w:rPr>
          <w:lang w:val="en-US"/>
        </w:rPr>
        <w:t>,</w:t>
      </w:r>
      <w:r w:rsidRPr="00157A32">
        <w:rPr>
          <w:lang w:val="en-US"/>
        </w:rPr>
        <w:t xml:space="preserve"> </w:t>
      </w:r>
      <w:r>
        <w:rPr>
          <w:lang w:val="en-US"/>
        </w:rPr>
        <w:t>t</w:t>
      </w:r>
      <w:r w:rsidRPr="00157A32">
        <w:rPr>
          <w:lang w:val="en-US"/>
        </w:rPr>
        <w:t>here were significant differences</w:t>
      </w:r>
      <w:r w:rsidRPr="00E62FAB">
        <w:rPr>
          <w:lang w:val="en-US"/>
        </w:rPr>
        <w:t xml:space="preserve"> </w:t>
      </w:r>
      <w:r w:rsidR="007C2D10">
        <w:rPr>
          <w:lang w:val="en-US"/>
        </w:rPr>
        <w:t>among</w:t>
      </w:r>
      <w:r w:rsidRPr="00157A32">
        <w:rPr>
          <w:lang w:val="en-US"/>
        </w:rPr>
        <w:t xml:space="preserve"> years (</w:t>
      </w:r>
      <w:r w:rsidRPr="00157A32">
        <w:rPr>
          <w:i/>
          <w:lang w:val="en-US"/>
        </w:rPr>
        <w:t>Pseudo</w:t>
      </w:r>
      <w:r w:rsidRPr="00157A32">
        <w:rPr>
          <w:i/>
          <w:lang w:val="en-US"/>
        </w:rPr>
        <w:noBreakHyphen/>
        <w:t>F</w:t>
      </w:r>
      <w:r w:rsidR="00301D26" w:rsidRPr="00E147C8">
        <w:rPr>
          <w:i/>
          <w:vertAlign w:val="subscript"/>
          <w:lang w:val="en-US"/>
        </w:rPr>
        <w:t>6</w:t>
      </w:r>
      <w:r w:rsidRPr="00157A32">
        <w:rPr>
          <w:vertAlign w:val="subscript"/>
          <w:lang w:val="en-US"/>
        </w:rPr>
        <w:t>,</w:t>
      </w:r>
      <w:r w:rsidR="00301D26">
        <w:rPr>
          <w:vertAlign w:val="subscript"/>
          <w:lang w:val="en-US"/>
        </w:rPr>
        <w:t>69</w:t>
      </w:r>
      <w:r w:rsidRPr="00157A32">
        <w:rPr>
          <w:lang w:val="en-US"/>
        </w:rPr>
        <w:t xml:space="preserve"> =</w:t>
      </w:r>
      <w:r w:rsidR="00365C16">
        <w:rPr>
          <w:lang w:val="en-US"/>
        </w:rPr>
        <w:t xml:space="preserve"> </w:t>
      </w:r>
      <w:r>
        <w:rPr>
          <w:lang w:val="en-US"/>
        </w:rPr>
        <w:t>4.</w:t>
      </w:r>
      <w:r w:rsidR="00301D26">
        <w:rPr>
          <w:lang w:val="en-US"/>
        </w:rPr>
        <w:t>0111</w:t>
      </w:r>
      <w:r w:rsidRPr="00157A32">
        <w:rPr>
          <w:lang w:val="en-US"/>
        </w:rPr>
        <w:t xml:space="preserve">, </w:t>
      </w:r>
      <w:r>
        <w:rPr>
          <w:i/>
          <w:lang w:val="en-US"/>
        </w:rPr>
        <w:t>P</w:t>
      </w:r>
      <w:r>
        <w:t>≤0.001</w:t>
      </w:r>
      <w:r w:rsidRPr="00157A32">
        <w:rPr>
          <w:lang w:val="en-US"/>
        </w:rPr>
        <w:t>). PERMANOVA pair-</w:t>
      </w:r>
      <w:r>
        <w:rPr>
          <w:lang w:val="en-US"/>
        </w:rPr>
        <w:t xml:space="preserve">wise comparisons revealed significant differences in small-bodied fish assemblages between 2017 and </w:t>
      </w:r>
      <w:r w:rsidR="00390AC6">
        <w:rPr>
          <w:lang w:val="en-US"/>
        </w:rPr>
        <w:t xml:space="preserve">most other years (i.e. </w:t>
      </w:r>
      <w:r>
        <w:rPr>
          <w:lang w:val="en-US"/>
        </w:rPr>
        <w:t>2016, 2018, 20</w:t>
      </w:r>
      <w:r w:rsidR="0083426E">
        <w:rPr>
          <w:lang w:val="en-US"/>
        </w:rPr>
        <w:t>2</w:t>
      </w:r>
      <w:r>
        <w:rPr>
          <w:lang w:val="en-US"/>
        </w:rPr>
        <w:t>0</w:t>
      </w:r>
      <w:r w:rsidR="00390AC6">
        <w:rPr>
          <w:lang w:val="en-US"/>
        </w:rPr>
        <w:t xml:space="preserve"> and 2021)</w:t>
      </w:r>
      <w:r>
        <w:rPr>
          <w:lang w:val="en-US"/>
        </w:rPr>
        <w:t>,</w:t>
      </w:r>
      <w:r w:rsidR="00390AC6">
        <w:rPr>
          <w:lang w:val="en-US"/>
        </w:rPr>
        <w:t xml:space="preserve"> and between 2020 and 2021,</w:t>
      </w:r>
      <w:r>
        <w:rPr>
          <w:lang w:val="en-US"/>
        </w:rPr>
        <w:t xml:space="preserve"> but not </w:t>
      </w:r>
      <w:r w:rsidR="0083426E">
        <w:rPr>
          <w:lang w:val="en-US"/>
        </w:rPr>
        <w:t xml:space="preserve">for </w:t>
      </w:r>
      <w:r>
        <w:rPr>
          <w:lang w:val="en-US"/>
        </w:rPr>
        <w:t xml:space="preserve">any other </w:t>
      </w:r>
      <w:r w:rsidR="007C2D10">
        <w:rPr>
          <w:lang w:val="en-US"/>
        </w:rPr>
        <w:t>pairs of years</w:t>
      </w:r>
      <w:r>
        <w:rPr>
          <w:lang w:val="en-US"/>
        </w:rPr>
        <w:t xml:space="preserve"> (</w:t>
      </w:r>
      <w:r w:rsidR="00002263">
        <w:rPr>
          <w:lang w:val="en-US"/>
        </w:rPr>
        <w:fldChar w:fldCharType="begin"/>
      </w:r>
      <w:r w:rsidR="00002263">
        <w:rPr>
          <w:lang w:val="en-US"/>
        </w:rPr>
        <w:instrText xml:space="preserve"> REF _Ref876821 \h </w:instrText>
      </w:r>
      <w:r w:rsidR="00002263">
        <w:rPr>
          <w:lang w:val="en-US"/>
        </w:rPr>
      </w:r>
      <w:r w:rsidR="00002263">
        <w:rPr>
          <w:lang w:val="en-US"/>
        </w:rPr>
        <w:fldChar w:fldCharType="separate"/>
      </w:r>
      <w:r w:rsidR="003C13F6">
        <w:t xml:space="preserve">Figure </w:t>
      </w:r>
      <w:r w:rsidR="003C13F6">
        <w:rPr>
          <w:noProof/>
        </w:rPr>
        <w:t>61</w:t>
      </w:r>
      <w:r w:rsidR="00002263">
        <w:rPr>
          <w:lang w:val="en-US"/>
        </w:rPr>
        <w:fldChar w:fldCharType="end"/>
      </w:r>
      <w:r w:rsidR="00002263">
        <w:rPr>
          <w:lang w:val="en-US"/>
        </w:rPr>
        <w:t>b</w:t>
      </w:r>
      <w:r>
        <w:rPr>
          <w:lang w:val="en-US"/>
        </w:rPr>
        <w:t>).</w:t>
      </w:r>
    </w:p>
    <w:p w14:paraId="6D67C4DC" w14:textId="165C4CC1" w:rsidR="00490062" w:rsidRDefault="00E81416" w:rsidP="00490062">
      <w:pPr>
        <w:jc w:val="center"/>
        <w:rPr>
          <w:lang w:val="en-US"/>
        </w:rPr>
      </w:pPr>
      <w:r w:rsidRPr="00E81416">
        <w:rPr>
          <w:noProof/>
        </w:rPr>
        <w:drawing>
          <wp:inline distT="0" distB="0" distL="0" distR="0" wp14:anchorId="7EE3EA80" wp14:editId="2C2B802A">
            <wp:extent cx="5268394" cy="7570381"/>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5180" r="2055" b="2304"/>
                    <a:stretch/>
                  </pic:blipFill>
                  <pic:spPr bwMode="auto">
                    <a:xfrm>
                      <a:off x="0" y="0"/>
                      <a:ext cx="5280168" cy="7587300"/>
                    </a:xfrm>
                    <a:prstGeom prst="rect">
                      <a:avLst/>
                    </a:prstGeom>
                    <a:noFill/>
                    <a:ln>
                      <a:noFill/>
                    </a:ln>
                    <a:extLst>
                      <a:ext uri="{53640926-AAD7-44D8-BBD7-CCE9431645EC}">
                        <a14:shadowObscured xmlns:a14="http://schemas.microsoft.com/office/drawing/2010/main"/>
                      </a:ext>
                    </a:extLst>
                  </pic:spPr>
                </pic:pic>
              </a:graphicData>
            </a:graphic>
          </wp:inline>
        </w:drawing>
      </w:r>
    </w:p>
    <w:p w14:paraId="40F81F16" w14:textId="3744434F" w:rsidR="00490062" w:rsidRDefault="00490062" w:rsidP="00490062">
      <w:pPr>
        <w:pStyle w:val="Caption"/>
      </w:pPr>
      <w:bookmarkStart w:id="348" w:name="_Ref876802"/>
      <w:bookmarkStart w:id="349" w:name="_Toc442173730"/>
      <w:bookmarkStart w:id="350" w:name="_Toc3558384"/>
      <w:bookmarkStart w:id="351" w:name="_Toc101963852"/>
      <w:r>
        <w:t xml:space="preserve">Figure </w:t>
      </w:r>
      <w:fldSimple w:instr=" SEQ Figure \* ARABIC ">
        <w:r w:rsidR="003C13F6">
          <w:rPr>
            <w:noProof/>
          </w:rPr>
          <w:t>60</w:t>
        </w:r>
      </w:fldSimple>
      <w:bookmarkEnd w:id="348"/>
      <w:r>
        <w:t xml:space="preserve">. </w:t>
      </w:r>
      <w:bookmarkEnd w:id="349"/>
      <w:r w:rsidRPr="00641F42">
        <w:t xml:space="preserve">Mean catch-per-unit-effort (CPUE) </w:t>
      </w:r>
      <w:r w:rsidRPr="00641F42">
        <w:rPr>
          <w:rFonts w:cstheme="minorHAnsi"/>
        </w:rPr>
        <w:t>±</w:t>
      </w:r>
      <w:r w:rsidRPr="00641F42">
        <w:t xml:space="preserve"> standard error of </w:t>
      </w:r>
      <w:r>
        <w:t>(</w:t>
      </w:r>
      <w:r w:rsidRPr="00641F42">
        <w:t xml:space="preserve">a) large-bodied fish species captured using electrofishing (individuals per 90 second shot) and </w:t>
      </w:r>
      <w:r>
        <w:t>(</w:t>
      </w:r>
      <w:r w:rsidRPr="00641F42">
        <w:t xml:space="preserve">b) small-bodied fish species captured using fine-mesh fyke nets (individuals per net per hour) in the gorge geomorphic zone (10 sites) of the </w:t>
      </w:r>
      <w:r w:rsidR="008C22A9" w:rsidRPr="00607412">
        <w:t>L</w:t>
      </w:r>
      <w:r w:rsidR="008C22A9">
        <w:t xml:space="preserve">ower </w:t>
      </w:r>
      <w:r w:rsidR="008C22A9" w:rsidRPr="00607412">
        <w:t>M</w:t>
      </w:r>
      <w:r w:rsidR="008C22A9">
        <w:t xml:space="preserve">urray </w:t>
      </w:r>
      <w:r w:rsidR="008C22A9" w:rsidRPr="00607412">
        <w:t>R</w:t>
      </w:r>
      <w:r w:rsidR="008C22A9">
        <w:t>iver</w:t>
      </w:r>
      <w:r w:rsidRPr="00641F42">
        <w:t xml:space="preserve"> </w:t>
      </w:r>
      <w:r>
        <w:t>in autumn from 2015–202</w:t>
      </w:r>
      <w:r w:rsidR="00E81416">
        <w:t>1</w:t>
      </w:r>
      <w:r>
        <w:t>. Electrofishing CPUE data from five sites are presented for 2017 as other sites were sampled during winter 2017.</w:t>
      </w:r>
      <w:bookmarkEnd w:id="350"/>
      <w:r w:rsidR="00002263">
        <w:t xml:space="preserve"> See Table D1</w:t>
      </w:r>
      <w:r w:rsidR="00DD27F8">
        <w:t>8</w:t>
      </w:r>
      <w:r w:rsidR="00002263">
        <w:t xml:space="preserve"> in Appendix for statistics.</w:t>
      </w:r>
      <w:bookmarkEnd w:id="351"/>
    </w:p>
    <w:p w14:paraId="3C3E555A" w14:textId="542FFD83" w:rsidR="00FA168A" w:rsidRDefault="002C4CB4" w:rsidP="00FA168A">
      <w:pPr>
        <w:jc w:val="center"/>
      </w:pPr>
      <w:r w:rsidRPr="002C4CB4">
        <w:rPr>
          <w:noProof/>
        </w:rPr>
        <w:drawing>
          <wp:inline distT="0" distB="0" distL="0" distR="0" wp14:anchorId="609D203F" wp14:editId="2197A69E">
            <wp:extent cx="4410075" cy="5104860"/>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24444" cy="5121492"/>
                    </a:xfrm>
                    <a:prstGeom prst="rect">
                      <a:avLst/>
                    </a:prstGeom>
                    <a:noFill/>
                    <a:ln>
                      <a:noFill/>
                    </a:ln>
                  </pic:spPr>
                </pic:pic>
              </a:graphicData>
            </a:graphic>
          </wp:inline>
        </w:drawing>
      </w:r>
    </w:p>
    <w:p w14:paraId="3E5D2E9E" w14:textId="23B4D593" w:rsidR="00FA168A" w:rsidRDefault="00FA168A" w:rsidP="00FA168A">
      <w:pPr>
        <w:pStyle w:val="Caption"/>
      </w:pPr>
      <w:bookmarkStart w:id="352" w:name="_Ref876821"/>
      <w:bookmarkStart w:id="353" w:name="_Toc3558385"/>
      <w:bookmarkStart w:id="354" w:name="_Toc101963853"/>
      <w:r>
        <w:t xml:space="preserve">Figure </w:t>
      </w:r>
      <w:fldSimple w:instr=" SEQ Figure \* ARABIC ">
        <w:r w:rsidR="003C13F6">
          <w:rPr>
            <w:noProof/>
          </w:rPr>
          <w:t>61</w:t>
        </w:r>
      </w:fldSimple>
      <w:bookmarkEnd w:id="352"/>
      <w:r>
        <w:t>. Non-metric multi-dimensional scaling (MDS)</w:t>
      </w:r>
      <w:r w:rsidRPr="00962FA5">
        <w:t xml:space="preserve"> </w:t>
      </w:r>
      <w:r>
        <w:t xml:space="preserve">plot of (a) large-bodied fish assemblages sampled by electrofishing and (b) small-bodied fish assemblages sampled by fyke netting in the gorge geomorphic zone of the </w:t>
      </w:r>
      <w:r w:rsidR="008C22A9" w:rsidRPr="00607412">
        <w:t>L</w:t>
      </w:r>
      <w:r w:rsidR="008C22A9">
        <w:t xml:space="preserve">ower </w:t>
      </w:r>
      <w:r w:rsidR="008C22A9" w:rsidRPr="00607412">
        <w:t>M</w:t>
      </w:r>
      <w:r w:rsidR="008C22A9">
        <w:t xml:space="preserve">urray </w:t>
      </w:r>
      <w:r w:rsidR="008C22A9" w:rsidRPr="00607412">
        <w:t>R</w:t>
      </w:r>
      <w:r w:rsidR="008C22A9">
        <w:t>iver</w:t>
      </w:r>
      <w:r>
        <w:t xml:space="preserve"> from 2015–20</w:t>
      </w:r>
      <w:r w:rsidR="00C17882">
        <w:t>2</w:t>
      </w:r>
      <w:r w:rsidR="0098654A">
        <w:t>1</w:t>
      </w:r>
      <w:r>
        <w:t>. Sites (</w:t>
      </w:r>
      <w:r w:rsidRPr="00F531CD">
        <w:rPr>
          <w:i/>
        </w:rPr>
        <w:t>n</w:t>
      </w:r>
      <w:r>
        <w:t xml:space="preserve"> = 5) sampled in winter 2017 were removed from the ordination.</w:t>
      </w:r>
      <w:bookmarkEnd w:id="353"/>
      <w:bookmarkEnd w:id="354"/>
    </w:p>
    <w:p w14:paraId="675DBEEB" w14:textId="24DDAD6C" w:rsidR="00FA168A" w:rsidRPr="00FA168A" w:rsidRDefault="00FA168A" w:rsidP="00FA168A">
      <w:pPr>
        <w:rPr>
          <w:lang w:val="en-US"/>
        </w:rPr>
      </w:pPr>
      <w:r>
        <w:rPr>
          <w:lang w:val="en-US"/>
        </w:rPr>
        <w:t>SIMPER indicated that differences between years for large-bodied fish assemblages were primarily driven by higher abundance</w:t>
      </w:r>
      <w:r w:rsidR="00E20DAD">
        <w:rPr>
          <w:lang w:val="en-US"/>
        </w:rPr>
        <w:t>s</w:t>
      </w:r>
      <w:r>
        <w:rPr>
          <w:lang w:val="en-US"/>
        </w:rPr>
        <w:t xml:space="preserve"> of common carp</w:t>
      </w:r>
      <w:r w:rsidR="00B54204">
        <w:rPr>
          <w:lang w:val="en-US"/>
        </w:rPr>
        <w:t xml:space="preserve"> and goldfish</w:t>
      </w:r>
      <w:r>
        <w:rPr>
          <w:lang w:val="en-US"/>
        </w:rPr>
        <w:t xml:space="preserve"> in 2017</w:t>
      </w:r>
      <w:r w:rsidR="00E20DAD">
        <w:rPr>
          <w:lang w:val="en-US"/>
        </w:rPr>
        <w:t xml:space="preserve"> and 2021, and lower abundance of bony herring in 2021</w:t>
      </w:r>
      <w:r>
        <w:rPr>
          <w:lang w:val="en-US"/>
        </w:rPr>
        <w:t xml:space="preserve"> (</w:t>
      </w:r>
      <w:r>
        <w:rPr>
          <w:lang w:val="en-US"/>
        </w:rPr>
        <w:fldChar w:fldCharType="begin"/>
      </w:r>
      <w:r>
        <w:rPr>
          <w:lang w:val="en-US"/>
        </w:rPr>
        <w:instrText xml:space="preserve"> REF _Ref876802 \h </w:instrText>
      </w:r>
      <w:r>
        <w:rPr>
          <w:lang w:val="en-US"/>
        </w:rPr>
      </w:r>
      <w:r>
        <w:rPr>
          <w:lang w:val="en-US"/>
        </w:rPr>
        <w:fldChar w:fldCharType="separate"/>
      </w:r>
      <w:r w:rsidR="003C13F6">
        <w:t xml:space="preserve">Figure </w:t>
      </w:r>
      <w:r w:rsidR="003C13F6">
        <w:rPr>
          <w:noProof/>
        </w:rPr>
        <w:t>60</w:t>
      </w:r>
      <w:r>
        <w:rPr>
          <w:lang w:val="en-US"/>
        </w:rPr>
        <w:fldChar w:fldCharType="end"/>
      </w:r>
      <w:r>
        <w:rPr>
          <w:lang w:val="en-US"/>
        </w:rPr>
        <w:t xml:space="preserve">). SIMPER indicated that differences between </w:t>
      </w:r>
      <w:r w:rsidR="00E20DAD">
        <w:rPr>
          <w:lang w:val="en-US"/>
        </w:rPr>
        <w:t>years</w:t>
      </w:r>
      <w:r>
        <w:rPr>
          <w:lang w:val="en-US"/>
        </w:rPr>
        <w:t xml:space="preserve"> for small-bodied fish assemblages were driven by lower relative abundance</w:t>
      </w:r>
      <w:r w:rsidR="00E20DAD">
        <w:rPr>
          <w:lang w:val="en-US"/>
        </w:rPr>
        <w:t>s</w:t>
      </w:r>
      <w:r>
        <w:rPr>
          <w:lang w:val="en-US"/>
        </w:rPr>
        <w:t xml:space="preserve"> of carp gudgeon in 2017</w:t>
      </w:r>
      <w:r w:rsidR="00E20DAD">
        <w:rPr>
          <w:lang w:val="en-US"/>
        </w:rPr>
        <w:t xml:space="preserve"> and 2020</w:t>
      </w:r>
      <w:r>
        <w:rPr>
          <w:lang w:val="en-US"/>
        </w:rPr>
        <w:t xml:space="preserve"> (</w:t>
      </w:r>
      <w:r>
        <w:rPr>
          <w:lang w:val="en-US"/>
        </w:rPr>
        <w:fldChar w:fldCharType="begin"/>
      </w:r>
      <w:r>
        <w:rPr>
          <w:lang w:val="en-US"/>
        </w:rPr>
        <w:instrText xml:space="preserve"> REF _Ref876802 \h </w:instrText>
      </w:r>
      <w:r>
        <w:rPr>
          <w:lang w:val="en-US"/>
        </w:rPr>
      </w:r>
      <w:r>
        <w:rPr>
          <w:lang w:val="en-US"/>
        </w:rPr>
        <w:fldChar w:fldCharType="separate"/>
      </w:r>
      <w:r w:rsidR="003C13F6">
        <w:t xml:space="preserve">Figure </w:t>
      </w:r>
      <w:r w:rsidR="003C13F6">
        <w:rPr>
          <w:noProof/>
        </w:rPr>
        <w:t>60</w:t>
      </w:r>
      <w:r>
        <w:rPr>
          <w:lang w:val="en-US"/>
        </w:rPr>
        <w:fldChar w:fldCharType="end"/>
      </w:r>
      <w:r>
        <w:rPr>
          <w:lang w:val="en-US"/>
        </w:rPr>
        <w:t>).</w:t>
      </w:r>
    </w:p>
    <w:p w14:paraId="5A2263C8" w14:textId="77777777" w:rsidR="00914280" w:rsidRPr="00DC60AE" w:rsidRDefault="00914280" w:rsidP="00914280">
      <w:pPr>
        <w:rPr>
          <w:i/>
          <w:u w:val="single"/>
          <w:lang w:val="en-US"/>
        </w:rPr>
      </w:pPr>
      <w:r w:rsidRPr="00DC60AE">
        <w:rPr>
          <w:i/>
          <w:u w:val="single"/>
        </w:rPr>
        <w:t xml:space="preserve">Temporal variation in </w:t>
      </w:r>
      <w:r>
        <w:rPr>
          <w:i/>
          <w:u w:val="single"/>
        </w:rPr>
        <w:t>length</w:t>
      </w:r>
      <w:r w:rsidRPr="00DC60AE">
        <w:rPr>
          <w:i/>
          <w:u w:val="single"/>
        </w:rPr>
        <w:t>/age structure</w:t>
      </w:r>
      <w:r>
        <w:rPr>
          <w:i/>
          <w:u w:val="single"/>
        </w:rPr>
        <w:t xml:space="preserve"> of large-bodied species</w:t>
      </w:r>
    </w:p>
    <w:p w14:paraId="4C78010E" w14:textId="62D5537D" w:rsidR="00FA168A" w:rsidRPr="004E2DFF" w:rsidRDefault="00FA168A" w:rsidP="002A7BEF">
      <w:pPr>
        <w:rPr>
          <w:lang w:val="en-US"/>
        </w:rPr>
      </w:pPr>
      <w:r w:rsidRPr="000A136E">
        <w:rPr>
          <w:lang w:val="en-US"/>
        </w:rPr>
        <w:t xml:space="preserve">In </w:t>
      </w:r>
      <w:r w:rsidR="00FC6270" w:rsidRPr="000A136E">
        <w:rPr>
          <w:lang w:val="en-US"/>
        </w:rPr>
        <w:t>20</w:t>
      </w:r>
      <w:r w:rsidR="00E76C77" w:rsidRPr="000A136E">
        <w:rPr>
          <w:lang w:val="en-US"/>
        </w:rPr>
        <w:t>21</w:t>
      </w:r>
      <w:r w:rsidRPr="00957D88">
        <w:rPr>
          <w:lang w:val="en-US"/>
        </w:rPr>
        <w:t>, the sampled golden perch population</w:t>
      </w:r>
      <w:r w:rsidR="004E2DFF">
        <w:rPr>
          <w:lang w:val="en-US"/>
        </w:rPr>
        <w:t xml:space="preserve"> in the LMR</w:t>
      </w:r>
      <w:r w:rsidRPr="00957D88">
        <w:rPr>
          <w:lang w:val="en-US"/>
        </w:rPr>
        <w:t xml:space="preserve"> </w:t>
      </w:r>
      <w:r w:rsidR="00E76C77" w:rsidRPr="00957D88">
        <w:rPr>
          <w:lang w:val="en-US"/>
        </w:rPr>
        <w:t xml:space="preserve">ranged in age from 2+ to 24+ years and </w:t>
      </w:r>
      <w:r w:rsidRPr="00957D88">
        <w:rPr>
          <w:lang w:val="en-US"/>
        </w:rPr>
        <w:t xml:space="preserve">was mostly comprised of age </w:t>
      </w:r>
      <w:r w:rsidR="00E76C77" w:rsidRPr="00957D88">
        <w:rPr>
          <w:lang w:val="en-US"/>
        </w:rPr>
        <w:t>9</w:t>
      </w:r>
      <w:r w:rsidR="00FC6270" w:rsidRPr="00957D88">
        <w:rPr>
          <w:lang w:val="en-US"/>
        </w:rPr>
        <w:t>+ (</w:t>
      </w:r>
      <w:r w:rsidR="00E76C77" w:rsidRPr="00957D88">
        <w:rPr>
          <w:lang w:val="en-US"/>
        </w:rPr>
        <w:t>16</w:t>
      </w:r>
      <w:r w:rsidR="00FC6270" w:rsidRPr="00957D88">
        <w:rPr>
          <w:lang w:val="en-US"/>
        </w:rPr>
        <w:t>%)</w:t>
      </w:r>
      <w:r w:rsidRPr="00957D88">
        <w:rPr>
          <w:lang w:val="en-US"/>
        </w:rPr>
        <w:t xml:space="preserve"> and </w:t>
      </w:r>
      <w:r w:rsidR="00E76C77" w:rsidRPr="00957D88">
        <w:rPr>
          <w:lang w:val="en-US"/>
        </w:rPr>
        <w:t>10</w:t>
      </w:r>
      <w:r w:rsidRPr="00957D88">
        <w:rPr>
          <w:lang w:val="en-US"/>
        </w:rPr>
        <w:t>+ (</w:t>
      </w:r>
      <w:r w:rsidR="00E76C77" w:rsidRPr="00957D88">
        <w:rPr>
          <w:lang w:val="en-US"/>
        </w:rPr>
        <w:t>33</w:t>
      </w:r>
      <w:r w:rsidRPr="00957D88">
        <w:rPr>
          <w:lang w:val="en-US"/>
        </w:rPr>
        <w:t>%) fish</w:t>
      </w:r>
      <w:r w:rsidR="00A95592" w:rsidRPr="00957D88">
        <w:rPr>
          <w:lang w:val="en-US"/>
        </w:rPr>
        <w:t xml:space="preserve"> (</w:t>
      </w:r>
      <w:r w:rsidR="00A95592" w:rsidRPr="00957D88">
        <w:rPr>
          <w:lang w:val="en-US"/>
        </w:rPr>
        <w:fldChar w:fldCharType="begin"/>
      </w:r>
      <w:r w:rsidR="00A95592" w:rsidRPr="00957D88">
        <w:rPr>
          <w:lang w:val="en-US"/>
        </w:rPr>
        <w:instrText xml:space="preserve"> REF _Ref81229309 \h </w:instrText>
      </w:r>
      <w:r w:rsidR="000A136E" w:rsidRPr="00957D88">
        <w:rPr>
          <w:lang w:val="en-US"/>
        </w:rPr>
        <w:instrText xml:space="preserve"> \* MERGEFORMAT </w:instrText>
      </w:r>
      <w:r w:rsidR="00A95592" w:rsidRPr="00957D88">
        <w:rPr>
          <w:lang w:val="en-US"/>
        </w:rPr>
      </w:r>
      <w:r w:rsidR="00A95592" w:rsidRPr="00957D88">
        <w:rPr>
          <w:lang w:val="en-US"/>
        </w:rPr>
        <w:fldChar w:fldCharType="separate"/>
      </w:r>
      <w:r w:rsidR="003C13F6" w:rsidRPr="00D62357">
        <w:t xml:space="preserve">Figure </w:t>
      </w:r>
      <w:r w:rsidR="003C13F6">
        <w:rPr>
          <w:noProof/>
        </w:rPr>
        <w:t>49</w:t>
      </w:r>
      <w:r w:rsidR="00A95592" w:rsidRPr="00957D88">
        <w:rPr>
          <w:lang w:val="en-US"/>
        </w:rPr>
        <w:fldChar w:fldCharType="end"/>
      </w:r>
      <w:r w:rsidR="00C73C05">
        <w:rPr>
          <w:lang w:val="en-US"/>
        </w:rPr>
        <w:t>a</w:t>
      </w:r>
      <w:r w:rsidR="00A95592" w:rsidRPr="00957D88">
        <w:rPr>
          <w:lang w:val="en-US"/>
        </w:rPr>
        <w:t>)</w:t>
      </w:r>
      <w:r w:rsidRPr="00957D88">
        <w:rPr>
          <w:lang w:val="en-US"/>
        </w:rPr>
        <w:t>.</w:t>
      </w:r>
      <w:r w:rsidR="009906A4" w:rsidRPr="00957D88">
        <w:rPr>
          <w:lang w:val="en-US"/>
        </w:rPr>
        <w:t xml:space="preserve"> </w:t>
      </w:r>
      <w:r w:rsidR="00390FA5" w:rsidRPr="00957D88">
        <w:rPr>
          <w:lang w:val="en-US"/>
        </w:rPr>
        <w:t>In 20</w:t>
      </w:r>
      <w:r w:rsidR="000A136E" w:rsidRPr="00957D88">
        <w:rPr>
          <w:lang w:val="en-US"/>
        </w:rPr>
        <w:t>20</w:t>
      </w:r>
      <w:r w:rsidR="00390FA5" w:rsidRPr="00957D88">
        <w:rPr>
          <w:lang w:val="en-US"/>
        </w:rPr>
        <w:t>, silver perch (</w:t>
      </w:r>
      <w:r w:rsidR="00390FA5" w:rsidRPr="00957D88">
        <w:rPr>
          <w:i/>
          <w:lang w:val="en-US"/>
        </w:rPr>
        <w:t>Bidyanus bidyanus</w:t>
      </w:r>
      <w:r w:rsidR="00390FA5" w:rsidRPr="00957D88">
        <w:rPr>
          <w:lang w:val="en-US"/>
        </w:rPr>
        <w:t xml:space="preserve">) </w:t>
      </w:r>
      <w:r w:rsidR="000A136E" w:rsidRPr="00957D88">
        <w:rPr>
          <w:lang w:val="en-US"/>
        </w:rPr>
        <w:t xml:space="preserve">in the LMR ranged in </w:t>
      </w:r>
      <w:r w:rsidR="00390FA5" w:rsidRPr="00957D88">
        <w:rPr>
          <w:lang w:val="en-US"/>
        </w:rPr>
        <w:t xml:space="preserve">age </w:t>
      </w:r>
      <w:r w:rsidR="00AA0DA4" w:rsidRPr="00957D88">
        <w:rPr>
          <w:lang w:val="en-US"/>
        </w:rPr>
        <w:t>from 2+ to 4+ years</w:t>
      </w:r>
      <w:r w:rsidR="00C73C05">
        <w:rPr>
          <w:lang w:val="en-US"/>
        </w:rPr>
        <w:t xml:space="preserve"> (</w:t>
      </w:r>
      <w:r w:rsidR="00C73C05">
        <w:rPr>
          <w:lang w:val="en-US"/>
        </w:rPr>
        <w:fldChar w:fldCharType="begin"/>
      </w:r>
      <w:r w:rsidR="00C73C05">
        <w:rPr>
          <w:lang w:val="en-US"/>
        </w:rPr>
        <w:instrText xml:space="preserve"> REF _Ref81229309 \h </w:instrText>
      </w:r>
      <w:r w:rsidR="00C73C05">
        <w:rPr>
          <w:lang w:val="en-US"/>
        </w:rPr>
      </w:r>
      <w:r w:rsidR="00C73C05">
        <w:rPr>
          <w:lang w:val="en-US"/>
        </w:rPr>
        <w:fldChar w:fldCharType="separate"/>
      </w:r>
      <w:r w:rsidR="003C13F6" w:rsidRPr="00D62357">
        <w:t xml:space="preserve">Figure </w:t>
      </w:r>
      <w:r w:rsidR="003C13F6">
        <w:rPr>
          <w:noProof/>
        </w:rPr>
        <w:t>49</w:t>
      </w:r>
      <w:r w:rsidR="00C73C05">
        <w:rPr>
          <w:lang w:val="en-US"/>
        </w:rPr>
        <w:fldChar w:fldCharType="end"/>
      </w:r>
      <w:r w:rsidR="00C73C05">
        <w:rPr>
          <w:lang w:val="en-US"/>
        </w:rPr>
        <w:t>b)</w:t>
      </w:r>
      <w:r w:rsidR="00390FA5" w:rsidRPr="00957D88">
        <w:rPr>
          <w:lang w:val="en-US"/>
        </w:rPr>
        <w:t xml:space="preserve">. </w:t>
      </w:r>
      <w:r w:rsidR="00957D88" w:rsidRPr="00957D88">
        <w:rPr>
          <w:lang w:val="en-US"/>
        </w:rPr>
        <w:t xml:space="preserve"> </w:t>
      </w:r>
      <w:r w:rsidR="004E2DFF">
        <w:rPr>
          <w:lang w:val="en-US"/>
        </w:rPr>
        <w:t>In 2021, t</w:t>
      </w:r>
      <w:r w:rsidR="00957D88" w:rsidRPr="00957D88">
        <w:rPr>
          <w:lang w:val="en-US"/>
        </w:rPr>
        <w:t xml:space="preserve">he length distribution of golden perch (217–500 mm, </w:t>
      </w:r>
      <w:r w:rsidR="00957D88" w:rsidRPr="00957D88">
        <w:rPr>
          <w:lang w:val="en-US"/>
        </w:rPr>
        <w:fldChar w:fldCharType="begin"/>
      </w:r>
      <w:r w:rsidR="00957D88" w:rsidRPr="00957D88">
        <w:rPr>
          <w:lang w:val="en-US"/>
        </w:rPr>
        <w:instrText xml:space="preserve"> REF _Ref81229507 \h  \* MERGEFORMAT </w:instrText>
      </w:r>
      <w:r w:rsidR="00957D88" w:rsidRPr="00957D88">
        <w:rPr>
          <w:lang w:val="en-US"/>
        </w:rPr>
      </w:r>
      <w:r w:rsidR="00957D88" w:rsidRPr="00957D88">
        <w:rPr>
          <w:lang w:val="en-US"/>
        </w:rPr>
        <w:fldChar w:fldCharType="separate"/>
      </w:r>
      <w:r w:rsidR="003C13F6" w:rsidRPr="00E04480">
        <w:t xml:space="preserve">Figure </w:t>
      </w:r>
      <w:r w:rsidR="003C13F6">
        <w:rPr>
          <w:noProof/>
        </w:rPr>
        <w:t>62</w:t>
      </w:r>
      <w:r w:rsidR="00957D88" w:rsidRPr="00957D88">
        <w:rPr>
          <w:lang w:val="en-US"/>
        </w:rPr>
        <w:fldChar w:fldCharType="end"/>
      </w:r>
      <w:r w:rsidR="00957D88" w:rsidRPr="00957D88">
        <w:rPr>
          <w:lang w:val="en-US"/>
        </w:rPr>
        <w:t>)</w:t>
      </w:r>
      <w:r w:rsidR="00957D88">
        <w:rPr>
          <w:lang w:val="en-US"/>
        </w:rPr>
        <w:t xml:space="preserve">, silver perch (236–347 </w:t>
      </w:r>
      <w:r w:rsidR="00957D88" w:rsidRPr="004E2DFF">
        <w:rPr>
          <w:lang w:val="en-US"/>
        </w:rPr>
        <w:t xml:space="preserve">mm, </w:t>
      </w:r>
      <w:r w:rsidR="00957D88" w:rsidRPr="004E2DFF">
        <w:rPr>
          <w:lang w:val="en-US"/>
        </w:rPr>
        <w:fldChar w:fldCharType="begin"/>
      </w:r>
      <w:r w:rsidR="00957D88" w:rsidRPr="004E2DFF">
        <w:rPr>
          <w:lang w:val="en-US"/>
        </w:rPr>
        <w:instrText xml:space="preserve"> REF _Ref81229967 \h </w:instrText>
      </w:r>
      <w:r w:rsidR="004E2DFF">
        <w:rPr>
          <w:lang w:val="en-US"/>
        </w:rPr>
        <w:instrText xml:space="preserve"> \* MERGEFORMAT </w:instrText>
      </w:r>
      <w:r w:rsidR="00957D88" w:rsidRPr="004E2DFF">
        <w:rPr>
          <w:lang w:val="en-US"/>
        </w:rPr>
      </w:r>
      <w:r w:rsidR="00957D88" w:rsidRPr="004E2DFF">
        <w:rPr>
          <w:lang w:val="en-US"/>
        </w:rPr>
        <w:fldChar w:fldCharType="separate"/>
      </w:r>
      <w:r w:rsidR="003C13F6" w:rsidRPr="00E04480">
        <w:t xml:space="preserve">Figure </w:t>
      </w:r>
      <w:r w:rsidR="003C13F6">
        <w:rPr>
          <w:noProof/>
        </w:rPr>
        <w:t>63</w:t>
      </w:r>
      <w:r w:rsidR="00957D88" w:rsidRPr="004E2DFF">
        <w:rPr>
          <w:lang w:val="en-US"/>
        </w:rPr>
        <w:fldChar w:fldCharType="end"/>
      </w:r>
      <w:r w:rsidR="00957D88" w:rsidRPr="004E2DFF">
        <w:rPr>
          <w:lang w:val="en-US"/>
        </w:rPr>
        <w:t xml:space="preserve">) and freshwater catfish (425–465 mm, </w:t>
      </w:r>
      <w:r w:rsidR="00957D88" w:rsidRPr="004E2DFF">
        <w:rPr>
          <w:lang w:val="en-US"/>
        </w:rPr>
        <w:fldChar w:fldCharType="begin"/>
      </w:r>
      <w:r w:rsidR="00957D88" w:rsidRPr="004E2DFF">
        <w:rPr>
          <w:lang w:val="en-US"/>
        </w:rPr>
        <w:instrText xml:space="preserve"> REF _Ref81229515 \h  \* MERGEFORMAT </w:instrText>
      </w:r>
      <w:r w:rsidR="00957D88" w:rsidRPr="004E2DFF">
        <w:rPr>
          <w:lang w:val="en-US"/>
        </w:rPr>
      </w:r>
      <w:r w:rsidR="00957D88" w:rsidRPr="004E2DFF">
        <w:rPr>
          <w:lang w:val="en-US"/>
        </w:rPr>
        <w:fldChar w:fldCharType="separate"/>
      </w:r>
      <w:r w:rsidR="003C13F6" w:rsidRPr="00823275">
        <w:t xml:space="preserve">Figure </w:t>
      </w:r>
      <w:r w:rsidR="003C13F6">
        <w:rPr>
          <w:noProof/>
        </w:rPr>
        <w:t>64</w:t>
      </w:r>
      <w:r w:rsidR="00957D88" w:rsidRPr="004E2DFF">
        <w:rPr>
          <w:lang w:val="en-US"/>
        </w:rPr>
        <w:fldChar w:fldCharType="end"/>
      </w:r>
      <w:r w:rsidR="00957D88" w:rsidRPr="004E2DFF">
        <w:rPr>
          <w:lang w:val="en-US"/>
        </w:rPr>
        <w:t xml:space="preserve">) in </w:t>
      </w:r>
      <w:r w:rsidR="004E2DFF">
        <w:rPr>
          <w:lang w:val="en-US"/>
        </w:rPr>
        <w:t>the gorge geomorphic zone of the LMR</w:t>
      </w:r>
      <w:r w:rsidR="00957D88" w:rsidRPr="004E2DFF">
        <w:rPr>
          <w:lang w:val="en-US"/>
        </w:rPr>
        <w:t xml:space="preserve"> indicate</w:t>
      </w:r>
      <w:r w:rsidR="004E2DFF">
        <w:rPr>
          <w:lang w:val="en-US"/>
        </w:rPr>
        <w:t>d</w:t>
      </w:r>
      <w:r w:rsidR="00957D88" w:rsidRPr="004E2DFF">
        <w:rPr>
          <w:lang w:val="en-US"/>
        </w:rPr>
        <w:t xml:space="preserve"> </w:t>
      </w:r>
      <w:r w:rsidR="004E2DFF">
        <w:rPr>
          <w:lang w:val="en-US"/>
        </w:rPr>
        <w:t>an</w:t>
      </w:r>
      <w:r w:rsidR="00957D88" w:rsidRPr="004E2DFF">
        <w:rPr>
          <w:lang w:val="en-US"/>
        </w:rPr>
        <w:t xml:space="preserve"> absence of new recruits and an ageing population.</w:t>
      </w:r>
    </w:p>
    <w:p w14:paraId="0C8545FC" w14:textId="244F6BA0" w:rsidR="00FA168A" w:rsidRDefault="007476CB" w:rsidP="00FA168A">
      <w:bookmarkStart w:id="355" w:name="_Hlk67398764"/>
      <w:r w:rsidRPr="004E2DFF">
        <w:rPr>
          <w:lang w:val="en-US"/>
        </w:rPr>
        <w:t>In 20</w:t>
      </w:r>
      <w:r w:rsidR="003F2C78" w:rsidRPr="004E2DFF">
        <w:rPr>
          <w:lang w:val="en-US"/>
        </w:rPr>
        <w:t>21</w:t>
      </w:r>
      <w:r w:rsidRPr="004E2DFF">
        <w:rPr>
          <w:lang w:val="en-US"/>
        </w:rPr>
        <w:t xml:space="preserve">, the sampled Murray cod population consisted of individuals </w:t>
      </w:r>
      <w:r w:rsidR="003F2C78" w:rsidRPr="004E2DFF">
        <w:rPr>
          <w:lang w:val="en-US"/>
        </w:rPr>
        <w:t>97</w:t>
      </w:r>
      <w:r w:rsidRPr="004E2DFF">
        <w:rPr>
          <w:lang w:val="en-US"/>
        </w:rPr>
        <w:t>–1</w:t>
      </w:r>
      <w:r w:rsidR="003F2C78" w:rsidRPr="004E2DFF">
        <w:rPr>
          <w:lang w:val="en-US"/>
        </w:rPr>
        <w:t>1</w:t>
      </w:r>
      <w:r w:rsidRPr="004E2DFF">
        <w:rPr>
          <w:lang w:val="en-US"/>
        </w:rPr>
        <w:t>40 mm (</w:t>
      </w:r>
      <w:r w:rsidR="003F2C78" w:rsidRPr="004E2DFF">
        <w:rPr>
          <w:lang w:val="en-US"/>
        </w:rPr>
        <w:fldChar w:fldCharType="begin"/>
      </w:r>
      <w:r w:rsidR="003F2C78" w:rsidRPr="004E2DFF">
        <w:rPr>
          <w:lang w:val="en-US"/>
        </w:rPr>
        <w:instrText xml:space="preserve"> REF _Ref81230116 \h </w:instrText>
      </w:r>
      <w:r w:rsidR="004E2DFF">
        <w:rPr>
          <w:lang w:val="en-US"/>
        </w:rPr>
        <w:instrText xml:space="preserve"> \* MERGEFORMAT </w:instrText>
      </w:r>
      <w:r w:rsidR="003F2C78" w:rsidRPr="004E2DFF">
        <w:rPr>
          <w:lang w:val="en-US"/>
        </w:rPr>
      </w:r>
      <w:r w:rsidR="003F2C78" w:rsidRPr="004E2DFF">
        <w:rPr>
          <w:lang w:val="en-US"/>
        </w:rPr>
        <w:fldChar w:fldCharType="separate"/>
      </w:r>
      <w:r w:rsidR="003C13F6" w:rsidRPr="00560189">
        <w:t xml:space="preserve">Figure </w:t>
      </w:r>
      <w:r w:rsidR="003C13F6">
        <w:rPr>
          <w:noProof/>
        </w:rPr>
        <w:t>57</w:t>
      </w:r>
      <w:r w:rsidR="003F2C78" w:rsidRPr="004E2DFF">
        <w:rPr>
          <w:lang w:val="en-US"/>
        </w:rPr>
        <w:fldChar w:fldCharType="end"/>
      </w:r>
      <w:r w:rsidRPr="004E2DFF">
        <w:rPr>
          <w:lang w:val="en-US"/>
        </w:rPr>
        <w:t>).</w:t>
      </w:r>
      <w:r w:rsidR="003F2C78" w:rsidRPr="004E2DFF">
        <w:rPr>
          <w:lang w:val="en-US"/>
        </w:rPr>
        <w:t xml:space="preserve"> </w:t>
      </w:r>
      <w:bookmarkEnd w:id="355"/>
      <w:r w:rsidR="00834526" w:rsidRPr="004E2DFF">
        <w:rPr>
          <w:lang w:val="en-US"/>
        </w:rPr>
        <w:t xml:space="preserve">Unlike other years, individuals 150–300 mm (suspected age 1+) dominated (49%) the length distribution of Murray cod. </w:t>
      </w:r>
      <w:r w:rsidR="00834526" w:rsidRPr="003F2C78">
        <w:rPr>
          <w:lang w:val="en-US"/>
        </w:rPr>
        <w:t>In 2021, the sampled bony herring population ranged in age from 0+ to 7+ years</w:t>
      </w:r>
      <w:r w:rsidR="00834526">
        <w:rPr>
          <w:lang w:val="en-US"/>
        </w:rPr>
        <w:t>,</w:t>
      </w:r>
      <w:r w:rsidR="00834526" w:rsidRPr="003F2C78">
        <w:rPr>
          <w:lang w:val="en-US"/>
        </w:rPr>
        <w:t xml:space="preserve"> </w:t>
      </w:r>
      <w:r w:rsidR="00834526">
        <w:rPr>
          <w:lang w:val="en-US"/>
        </w:rPr>
        <w:t xml:space="preserve">but </w:t>
      </w:r>
      <w:r w:rsidR="00834526" w:rsidRPr="003F2C78">
        <w:rPr>
          <w:lang w:val="en-US"/>
        </w:rPr>
        <w:t>was dominated by age 0+ fish (83%)(</w:t>
      </w:r>
      <w:r w:rsidR="00834526" w:rsidRPr="003F2C78">
        <w:rPr>
          <w:lang w:val="en-US"/>
        </w:rPr>
        <w:fldChar w:fldCharType="begin"/>
      </w:r>
      <w:r w:rsidR="00834526" w:rsidRPr="003F2C78">
        <w:rPr>
          <w:lang w:val="en-US"/>
        </w:rPr>
        <w:instrText xml:space="preserve"> REF _Ref12448143 \h  \* MERGEFORMAT </w:instrText>
      </w:r>
      <w:r w:rsidR="00834526" w:rsidRPr="003F2C78">
        <w:rPr>
          <w:lang w:val="en-US"/>
        </w:rPr>
      </w:r>
      <w:r w:rsidR="00834526" w:rsidRPr="003F2C78">
        <w:rPr>
          <w:lang w:val="en-US"/>
        </w:rPr>
        <w:fldChar w:fldCharType="separate"/>
      </w:r>
      <w:r w:rsidR="003C13F6" w:rsidRPr="00365C16">
        <w:t xml:space="preserve">Figure </w:t>
      </w:r>
      <w:r w:rsidR="003C13F6">
        <w:rPr>
          <w:noProof/>
        </w:rPr>
        <w:t>65</w:t>
      </w:r>
      <w:r w:rsidR="00834526" w:rsidRPr="003F2C78">
        <w:rPr>
          <w:lang w:val="en-US"/>
        </w:rPr>
        <w:fldChar w:fldCharType="end"/>
      </w:r>
      <w:r w:rsidR="00834526" w:rsidRPr="003F2C78">
        <w:rPr>
          <w:lang w:val="en-US"/>
        </w:rPr>
        <w:t>).</w:t>
      </w:r>
    </w:p>
    <w:p w14:paraId="6227C710" w14:textId="7843AC4D" w:rsidR="00FA168A" w:rsidRPr="00595FFD" w:rsidRDefault="003F12E6" w:rsidP="00FA168A">
      <w:pPr>
        <w:spacing w:before="0" w:after="0" w:line="240" w:lineRule="auto"/>
        <w:jc w:val="center"/>
        <w:rPr>
          <w:highlight w:val="yellow"/>
        </w:rPr>
      </w:pPr>
      <w:r w:rsidRPr="00E759DB">
        <w:rPr>
          <w:noProof/>
        </w:rPr>
        <w:drawing>
          <wp:inline distT="0" distB="0" distL="0" distR="0" wp14:anchorId="2A4425F7" wp14:editId="0B77242F">
            <wp:extent cx="4048125" cy="8119745"/>
            <wp:effectExtent l="0" t="0" r="9525"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5627" r="2003" b="-8"/>
                    <a:stretch/>
                  </pic:blipFill>
                  <pic:spPr bwMode="auto">
                    <a:xfrm>
                      <a:off x="0" y="0"/>
                      <a:ext cx="4048495" cy="8120488"/>
                    </a:xfrm>
                    <a:prstGeom prst="rect">
                      <a:avLst/>
                    </a:prstGeom>
                    <a:noFill/>
                    <a:ln>
                      <a:noFill/>
                    </a:ln>
                    <a:extLst>
                      <a:ext uri="{53640926-AAD7-44D8-BBD7-CCE9431645EC}">
                        <a14:shadowObscured xmlns:a14="http://schemas.microsoft.com/office/drawing/2010/main"/>
                      </a:ext>
                    </a:extLst>
                  </pic:spPr>
                </pic:pic>
              </a:graphicData>
            </a:graphic>
          </wp:inline>
        </w:drawing>
      </w:r>
    </w:p>
    <w:p w14:paraId="2B0CA806" w14:textId="06C596E4" w:rsidR="00FA168A" w:rsidRPr="00E04480" w:rsidRDefault="00FA168A" w:rsidP="00FA168A">
      <w:pPr>
        <w:pStyle w:val="Caption"/>
      </w:pPr>
      <w:bookmarkStart w:id="356" w:name="_Ref81229507"/>
      <w:bookmarkStart w:id="357" w:name="_Ref876851"/>
      <w:bookmarkStart w:id="358" w:name="_Toc3558386"/>
      <w:bookmarkStart w:id="359" w:name="_Toc101963854"/>
      <w:r w:rsidRPr="00E04480">
        <w:t xml:space="preserve">Figure </w:t>
      </w:r>
      <w:fldSimple w:instr=" SEQ Figure \* ARABIC ">
        <w:r w:rsidR="003C13F6">
          <w:rPr>
            <w:noProof/>
          </w:rPr>
          <w:t>62</w:t>
        </w:r>
      </w:fldSimple>
      <w:bookmarkEnd w:id="356"/>
      <w:bookmarkEnd w:id="357"/>
      <w:r w:rsidRPr="00E04480">
        <w:t xml:space="preserve">. Length frequency distributions of golden perch collected from the gorge geomorphic zone of the </w:t>
      </w:r>
      <w:r w:rsidR="008C22A9" w:rsidRPr="00E04480">
        <w:t>Lower Murray River</w:t>
      </w:r>
      <w:r w:rsidRPr="00E04480">
        <w:t xml:space="preserve"> from 2015–20</w:t>
      </w:r>
      <w:r w:rsidR="006E42C2" w:rsidRPr="00E04480">
        <w:t>2</w:t>
      </w:r>
      <w:r w:rsidR="00E04480" w:rsidRPr="00E04480">
        <w:t>1</w:t>
      </w:r>
      <w:r w:rsidRPr="00E04480">
        <w:t>.</w:t>
      </w:r>
      <w:bookmarkEnd w:id="358"/>
      <w:bookmarkEnd w:id="359"/>
    </w:p>
    <w:p w14:paraId="1F96C7A5" w14:textId="60F53054" w:rsidR="00FA168A" w:rsidRPr="00595FFD" w:rsidRDefault="00566C7C" w:rsidP="00566C7C">
      <w:pPr>
        <w:jc w:val="center"/>
        <w:rPr>
          <w:highlight w:val="yellow"/>
        </w:rPr>
      </w:pPr>
      <w:r w:rsidRPr="00E759DB">
        <w:rPr>
          <w:noProof/>
        </w:rPr>
        <w:drawing>
          <wp:inline distT="0" distB="0" distL="0" distR="0" wp14:anchorId="1B710A68" wp14:editId="3302115C">
            <wp:extent cx="3988800" cy="7883041"/>
            <wp:effectExtent l="0" t="0" r="0" b="381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5870" r="803"/>
                    <a:stretch/>
                  </pic:blipFill>
                  <pic:spPr bwMode="auto">
                    <a:xfrm>
                      <a:off x="0" y="0"/>
                      <a:ext cx="3988800" cy="7883041"/>
                    </a:xfrm>
                    <a:prstGeom prst="rect">
                      <a:avLst/>
                    </a:prstGeom>
                    <a:noFill/>
                    <a:ln>
                      <a:noFill/>
                    </a:ln>
                    <a:extLst>
                      <a:ext uri="{53640926-AAD7-44D8-BBD7-CCE9431645EC}">
                        <a14:shadowObscured xmlns:a14="http://schemas.microsoft.com/office/drawing/2010/main"/>
                      </a:ext>
                    </a:extLst>
                  </pic:spPr>
                </pic:pic>
              </a:graphicData>
            </a:graphic>
          </wp:inline>
        </w:drawing>
      </w:r>
    </w:p>
    <w:p w14:paraId="7675DA22" w14:textId="1214ADFD" w:rsidR="00FA168A" w:rsidRPr="00E04480" w:rsidRDefault="00FA168A" w:rsidP="00FA168A">
      <w:pPr>
        <w:pStyle w:val="Caption"/>
      </w:pPr>
      <w:bookmarkStart w:id="360" w:name="_Ref81229967"/>
      <w:bookmarkStart w:id="361" w:name="_Ref12447874"/>
      <w:bookmarkStart w:id="362" w:name="_Toc101963855"/>
      <w:r w:rsidRPr="00E04480">
        <w:t xml:space="preserve">Figure </w:t>
      </w:r>
      <w:fldSimple w:instr=" SEQ Figure \* ARABIC ">
        <w:r w:rsidR="003C13F6">
          <w:rPr>
            <w:noProof/>
          </w:rPr>
          <w:t>63</w:t>
        </w:r>
      </w:fldSimple>
      <w:bookmarkEnd w:id="360"/>
      <w:bookmarkEnd w:id="361"/>
      <w:r w:rsidRPr="00E04480">
        <w:t xml:space="preserve">. Length frequency distributions of silver perch collected from the gorge geomorphic zone of the </w:t>
      </w:r>
      <w:r w:rsidR="008C22A9" w:rsidRPr="00E04480">
        <w:t>Lower Murray River</w:t>
      </w:r>
      <w:r w:rsidRPr="00E04480">
        <w:t xml:space="preserve"> from 2015–20</w:t>
      </w:r>
      <w:r w:rsidR="006E42C2" w:rsidRPr="00E04480">
        <w:t>2</w:t>
      </w:r>
      <w:r w:rsidR="00E04480" w:rsidRPr="00E04480">
        <w:t>1</w:t>
      </w:r>
      <w:r w:rsidRPr="00E04480">
        <w:t>.</w:t>
      </w:r>
      <w:bookmarkEnd w:id="362"/>
    </w:p>
    <w:p w14:paraId="223E3859" w14:textId="70C9CC2D" w:rsidR="00FA168A" w:rsidRPr="00823275" w:rsidRDefault="00FA168A" w:rsidP="00FA168A">
      <w:pPr>
        <w:jc w:val="center"/>
        <w:rPr>
          <w:lang w:val="en-US"/>
        </w:rPr>
      </w:pPr>
      <w:r w:rsidRPr="00823275">
        <w:rPr>
          <w:lang w:val="en-US"/>
        </w:rPr>
        <w:t xml:space="preserve"> </w:t>
      </w:r>
      <w:r w:rsidR="00AE3C13" w:rsidRPr="00AE3C13">
        <w:rPr>
          <w:noProof/>
        </w:rPr>
        <w:drawing>
          <wp:inline distT="0" distB="0" distL="0" distR="0" wp14:anchorId="2C20B3E1" wp14:editId="12C00375">
            <wp:extent cx="3990665" cy="8038214"/>
            <wp:effectExtent l="0" t="0" r="0" b="127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5278" r="2149"/>
                    <a:stretch/>
                  </pic:blipFill>
                  <pic:spPr bwMode="auto">
                    <a:xfrm>
                      <a:off x="0" y="0"/>
                      <a:ext cx="3995716" cy="8048389"/>
                    </a:xfrm>
                    <a:prstGeom prst="rect">
                      <a:avLst/>
                    </a:prstGeom>
                    <a:noFill/>
                    <a:ln>
                      <a:noFill/>
                    </a:ln>
                    <a:extLst>
                      <a:ext uri="{53640926-AAD7-44D8-BBD7-CCE9431645EC}">
                        <a14:shadowObscured xmlns:a14="http://schemas.microsoft.com/office/drawing/2010/main"/>
                      </a:ext>
                    </a:extLst>
                  </pic:spPr>
                </pic:pic>
              </a:graphicData>
            </a:graphic>
          </wp:inline>
        </w:drawing>
      </w:r>
    </w:p>
    <w:p w14:paraId="48047AAF" w14:textId="2CAFC66B" w:rsidR="00FA168A" w:rsidRPr="00823275" w:rsidRDefault="00FA168A" w:rsidP="00FA168A">
      <w:pPr>
        <w:pStyle w:val="Caption"/>
      </w:pPr>
      <w:bookmarkStart w:id="363" w:name="_Ref81229515"/>
      <w:bookmarkStart w:id="364" w:name="_Ref876860"/>
      <w:bookmarkStart w:id="365" w:name="_Toc3558387"/>
      <w:bookmarkStart w:id="366" w:name="_Toc101963856"/>
      <w:r w:rsidRPr="00823275">
        <w:t xml:space="preserve">Figure </w:t>
      </w:r>
      <w:fldSimple w:instr=" SEQ Figure \* ARABIC ">
        <w:r w:rsidR="003C13F6">
          <w:rPr>
            <w:noProof/>
          </w:rPr>
          <w:t>64</w:t>
        </w:r>
      </w:fldSimple>
      <w:bookmarkEnd w:id="363"/>
      <w:bookmarkEnd w:id="364"/>
      <w:r w:rsidRPr="00823275">
        <w:t>. Length frequency distributions of freshwater catfish collected from the gorge geomorphic zone of the L</w:t>
      </w:r>
      <w:r w:rsidR="004A44FA" w:rsidRPr="00823275">
        <w:t xml:space="preserve">ower </w:t>
      </w:r>
      <w:r w:rsidRPr="00823275">
        <w:t>M</w:t>
      </w:r>
      <w:r w:rsidR="004A44FA" w:rsidRPr="00823275">
        <w:t xml:space="preserve">urray </w:t>
      </w:r>
      <w:r w:rsidRPr="00823275">
        <w:t>R</w:t>
      </w:r>
      <w:r w:rsidR="004A44FA" w:rsidRPr="00823275">
        <w:t>iver</w:t>
      </w:r>
      <w:r w:rsidRPr="00823275">
        <w:t xml:space="preserve"> from 2015–20</w:t>
      </w:r>
      <w:r w:rsidR="006E42C2" w:rsidRPr="00823275">
        <w:t>2</w:t>
      </w:r>
      <w:r w:rsidR="00823275" w:rsidRPr="00823275">
        <w:t>1</w:t>
      </w:r>
      <w:r w:rsidRPr="00823275">
        <w:t>.</w:t>
      </w:r>
      <w:bookmarkEnd w:id="365"/>
      <w:bookmarkEnd w:id="366"/>
    </w:p>
    <w:p w14:paraId="4341E009" w14:textId="378E33FB" w:rsidR="00FA168A" w:rsidRPr="00595FFD" w:rsidRDefault="00FA168A" w:rsidP="001F30EA">
      <w:pPr>
        <w:pStyle w:val="Caption"/>
        <w:rPr>
          <w:b w:val="0"/>
          <w:bCs w:val="0"/>
          <w:highlight w:val="yellow"/>
        </w:rPr>
      </w:pPr>
      <w:r w:rsidRPr="00595FFD">
        <w:rPr>
          <w:highlight w:val="yellow"/>
        </w:rPr>
        <w:br w:type="page"/>
      </w:r>
    </w:p>
    <w:p w14:paraId="513CA012" w14:textId="330006D1" w:rsidR="00FA168A" w:rsidRPr="00365C16" w:rsidRDefault="006E770F" w:rsidP="00003505">
      <w:pPr>
        <w:pStyle w:val="Caption"/>
        <w:jc w:val="center"/>
      </w:pPr>
      <w:r w:rsidRPr="00365C16">
        <w:rPr>
          <w:noProof/>
        </w:rPr>
        <w:drawing>
          <wp:inline distT="0" distB="0" distL="0" distR="0" wp14:anchorId="764ADDBB" wp14:editId="3F068AA7">
            <wp:extent cx="5645888" cy="76663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351" r="1491"/>
                    <a:stretch/>
                  </pic:blipFill>
                  <pic:spPr bwMode="auto">
                    <a:xfrm>
                      <a:off x="0" y="0"/>
                      <a:ext cx="5646073" cy="7666606"/>
                    </a:xfrm>
                    <a:prstGeom prst="rect">
                      <a:avLst/>
                    </a:prstGeom>
                    <a:noFill/>
                    <a:ln>
                      <a:noFill/>
                    </a:ln>
                    <a:extLst>
                      <a:ext uri="{53640926-AAD7-44D8-BBD7-CCE9431645EC}">
                        <a14:shadowObscured xmlns:a14="http://schemas.microsoft.com/office/drawing/2010/main"/>
                      </a:ext>
                    </a:extLst>
                  </pic:spPr>
                </pic:pic>
              </a:graphicData>
            </a:graphic>
          </wp:inline>
        </w:drawing>
      </w:r>
    </w:p>
    <w:p w14:paraId="7C1F055D" w14:textId="6ACBB799" w:rsidR="000759E9" w:rsidRDefault="00FA168A" w:rsidP="00FA168A">
      <w:pPr>
        <w:pStyle w:val="Caption"/>
        <w:rPr>
          <w:lang w:val="en-US"/>
        </w:rPr>
      </w:pPr>
      <w:bookmarkStart w:id="367" w:name="_Ref12448143"/>
      <w:bookmarkStart w:id="368" w:name="_Toc101963857"/>
      <w:r w:rsidRPr="00365C16">
        <w:t xml:space="preserve">Figure </w:t>
      </w:r>
      <w:fldSimple w:instr=" SEQ Figure \* ARABIC ">
        <w:r w:rsidR="003C13F6">
          <w:rPr>
            <w:noProof/>
          </w:rPr>
          <w:t>65</w:t>
        </w:r>
      </w:fldSimple>
      <w:bookmarkEnd w:id="367"/>
      <w:r w:rsidRPr="006E770F">
        <w:t xml:space="preserve">. Length frequency distributions and age structures of bony herring collected from the gorge geomorphic zone of the </w:t>
      </w:r>
      <w:r w:rsidR="008C22A9" w:rsidRPr="006E770F">
        <w:t>Lower Murray River</w:t>
      </w:r>
      <w:r w:rsidRPr="006E770F">
        <w:t xml:space="preserve"> from 2016–20</w:t>
      </w:r>
      <w:r w:rsidR="00A218B5" w:rsidRPr="006E770F">
        <w:t>2</w:t>
      </w:r>
      <w:r w:rsidR="006E770F">
        <w:t>1</w:t>
      </w:r>
      <w:r w:rsidRPr="006E770F">
        <w:t>.</w:t>
      </w:r>
      <w:bookmarkEnd w:id="368"/>
      <w:r w:rsidRPr="006F3F4D">
        <w:rPr>
          <w:lang w:val="en-US"/>
        </w:rPr>
        <w:t xml:space="preserve"> </w:t>
      </w:r>
    </w:p>
    <w:p w14:paraId="635938BE" w14:textId="1E0D555A" w:rsidR="001F30EA" w:rsidRDefault="001F30EA" w:rsidP="001F30EA">
      <w:pPr>
        <w:rPr>
          <w:lang w:val="en-US"/>
        </w:rPr>
      </w:pPr>
    </w:p>
    <w:p w14:paraId="00902D20" w14:textId="77777777" w:rsidR="001F30EA" w:rsidRDefault="001F30EA">
      <w:pPr>
        <w:spacing w:before="0" w:after="160" w:line="259" w:lineRule="auto"/>
        <w:jc w:val="left"/>
        <w:rPr>
          <w:lang w:val="en-US"/>
        </w:rPr>
      </w:pPr>
      <w:r>
        <w:rPr>
          <w:lang w:val="en-US"/>
        </w:rPr>
        <w:br w:type="page"/>
      </w:r>
    </w:p>
    <w:p w14:paraId="324F0F5E" w14:textId="3B35A2F6" w:rsidR="001F30EA" w:rsidRDefault="001F30EA" w:rsidP="001F30EA">
      <w:pPr>
        <w:jc w:val="center"/>
        <w:rPr>
          <w:lang w:val="en-US"/>
        </w:rPr>
      </w:pPr>
      <w:r w:rsidRPr="001F30EA">
        <w:rPr>
          <w:noProof/>
        </w:rPr>
        <w:drawing>
          <wp:inline distT="0" distB="0" distL="0" distR="0" wp14:anchorId="25DFBA8E" wp14:editId="330BD558">
            <wp:extent cx="3990379" cy="8007637"/>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5895" r="2335"/>
                    <a:stretch/>
                  </pic:blipFill>
                  <pic:spPr bwMode="auto">
                    <a:xfrm>
                      <a:off x="0" y="0"/>
                      <a:ext cx="3993233" cy="8013365"/>
                    </a:xfrm>
                    <a:prstGeom prst="rect">
                      <a:avLst/>
                    </a:prstGeom>
                    <a:noFill/>
                    <a:ln>
                      <a:noFill/>
                    </a:ln>
                    <a:extLst>
                      <a:ext uri="{53640926-AAD7-44D8-BBD7-CCE9431645EC}">
                        <a14:shadowObscured xmlns:a14="http://schemas.microsoft.com/office/drawing/2010/main"/>
                      </a:ext>
                    </a:extLst>
                  </pic:spPr>
                </pic:pic>
              </a:graphicData>
            </a:graphic>
          </wp:inline>
        </w:drawing>
      </w:r>
    </w:p>
    <w:p w14:paraId="7C0BCDA3" w14:textId="5E144B70" w:rsidR="001F30EA" w:rsidRPr="00E759DB" w:rsidRDefault="001F30EA" w:rsidP="004C3BA1">
      <w:pPr>
        <w:pStyle w:val="Captions"/>
      </w:pPr>
      <w:bookmarkStart w:id="369" w:name="_Ref95491924"/>
      <w:bookmarkStart w:id="370" w:name="_Toc101963858"/>
      <w:r>
        <w:t xml:space="preserve">Figure </w:t>
      </w:r>
      <w:r>
        <w:fldChar w:fldCharType="begin"/>
      </w:r>
      <w:r>
        <w:instrText xml:space="preserve"> SEQ Figure \* ARABIC </w:instrText>
      </w:r>
      <w:r>
        <w:fldChar w:fldCharType="separate"/>
      </w:r>
      <w:r w:rsidR="003C13F6">
        <w:rPr>
          <w:noProof/>
        </w:rPr>
        <w:t>66</w:t>
      </w:r>
      <w:r>
        <w:fldChar w:fldCharType="end"/>
      </w:r>
      <w:bookmarkEnd w:id="369"/>
      <w:r>
        <w:t xml:space="preserve">. </w:t>
      </w:r>
      <w:r w:rsidRPr="001F30EA">
        <w:t xml:space="preserve">Length frequency distributions of </w:t>
      </w:r>
      <w:r>
        <w:t>common carp</w:t>
      </w:r>
      <w:r w:rsidRPr="001F30EA">
        <w:t xml:space="preserve"> collected from the gorge geomorphic zone of the Lower Murray River from 201</w:t>
      </w:r>
      <w:r>
        <w:t>5</w:t>
      </w:r>
      <w:r w:rsidRPr="001F30EA">
        <w:t>–2021</w:t>
      </w:r>
      <w:r>
        <w:t>.</w:t>
      </w:r>
      <w:bookmarkEnd w:id="370"/>
    </w:p>
    <w:p w14:paraId="4C32B916" w14:textId="77777777" w:rsidR="00DC5D1B" w:rsidRPr="00E35C12" w:rsidRDefault="00DC5D1B" w:rsidP="00DC5D1B">
      <w:pPr>
        <w:pStyle w:val="Heading3"/>
      </w:pPr>
      <w:r>
        <w:rPr>
          <w:lang w:val="en-US"/>
        </w:rPr>
        <w:t>Evaluation</w:t>
      </w:r>
    </w:p>
    <w:p w14:paraId="47E91C2C" w14:textId="41209CDC" w:rsidR="00DC5D1B" w:rsidRDefault="00F50472" w:rsidP="00DC5D1B">
      <w:r>
        <w:t>T</w:t>
      </w:r>
      <w:r w:rsidRPr="00F50472">
        <w:t>here are no CEWO evaluation questions for this indicator for the L</w:t>
      </w:r>
      <w:r w:rsidR="008660CC">
        <w:t>ower Murray</w:t>
      </w:r>
      <w:r w:rsidRPr="00F50472">
        <w:t xml:space="preserve"> Selected Area.</w:t>
      </w:r>
      <w:r w:rsidR="00BA1974">
        <w:t xml:space="preserve"> </w:t>
      </w:r>
      <w:r w:rsidRPr="00F50472">
        <w:t xml:space="preserve">For this report, fish monitoring data </w:t>
      </w:r>
      <w:r w:rsidR="008660CC">
        <w:t xml:space="preserve">from this standardised sampling, and additional targeted sampling for </w:t>
      </w:r>
      <w:r w:rsidR="00834526">
        <w:t>‘</w:t>
      </w:r>
      <w:r w:rsidR="00B44ACE">
        <w:t>F</w:t>
      </w:r>
      <w:r w:rsidR="008660CC">
        <w:t xml:space="preserve">low-cued </w:t>
      </w:r>
      <w:r w:rsidR="00B44ACE">
        <w:t>S</w:t>
      </w:r>
      <w:r w:rsidR="008660CC">
        <w:t>pawn</w:t>
      </w:r>
      <w:r w:rsidR="00B44ACE">
        <w:t>ing Fishes Reproduction</w:t>
      </w:r>
      <w:r w:rsidR="00834526">
        <w:t>’</w:t>
      </w:r>
      <w:r w:rsidR="008660CC">
        <w:t xml:space="preserve"> (Section </w:t>
      </w:r>
      <w:r w:rsidR="008660CC">
        <w:fldChar w:fldCharType="begin"/>
      </w:r>
      <w:r w:rsidR="008660CC">
        <w:instrText xml:space="preserve"> REF _Ref53046930 \r \h </w:instrText>
      </w:r>
      <w:r w:rsidR="008660CC">
        <w:fldChar w:fldCharType="separate"/>
      </w:r>
      <w:r w:rsidR="003C13F6">
        <w:t>2.6</w:t>
      </w:r>
      <w:r w:rsidR="008660CC">
        <w:fldChar w:fldCharType="end"/>
      </w:r>
      <w:r w:rsidR="008660CC">
        <w:t xml:space="preserve">) and Murray </w:t>
      </w:r>
      <w:r w:rsidR="00B44ACE">
        <w:t>C</w:t>
      </w:r>
      <w:r w:rsidR="008660CC">
        <w:t>od</w:t>
      </w:r>
      <w:r w:rsidR="00B44ACE">
        <w:t xml:space="preserve"> Recruitment</w:t>
      </w:r>
      <w:r w:rsidR="008660CC">
        <w:t xml:space="preserve"> (Section </w:t>
      </w:r>
      <w:r w:rsidR="008660CC">
        <w:fldChar w:fldCharType="begin"/>
      </w:r>
      <w:r w:rsidR="008660CC">
        <w:instrText xml:space="preserve"> REF _Ref50027079 \r \h </w:instrText>
      </w:r>
      <w:r w:rsidR="008660CC">
        <w:fldChar w:fldCharType="separate"/>
      </w:r>
      <w:r w:rsidR="003C13F6">
        <w:t>2.7</w:t>
      </w:r>
      <w:r w:rsidR="008660CC">
        <w:fldChar w:fldCharType="end"/>
      </w:r>
      <w:r w:rsidR="008660CC">
        <w:t xml:space="preserve">), </w:t>
      </w:r>
      <w:r w:rsidRPr="00F50472">
        <w:t xml:space="preserve">were consolidated to evaluate a number of fish targets of </w:t>
      </w:r>
      <w:r w:rsidR="00EB02CE">
        <w:t xml:space="preserve">the </w:t>
      </w:r>
      <w:r w:rsidR="00C9054B" w:rsidRPr="00C9054B">
        <w:t xml:space="preserve">Long-Term Environmental Watering Plan (LTWP) for the South Australian Murray River </w:t>
      </w:r>
      <w:r w:rsidR="00C9054B">
        <w:t xml:space="preserve">(DEWNR 2015) </w:t>
      </w:r>
      <w:r w:rsidR="00C9054B" w:rsidRPr="00C9054B">
        <w:t xml:space="preserve">and </w:t>
      </w:r>
      <w:r w:rsidR="00C9054B">
        <w:t xml:space="preserve">the </w:t>
      </w:r>
      <w:r w:rsidR="00EB02CE">
        <w:t>Basin Plan Matter 8 Report</w:t>
      </w:r>
      <w:r w:rsidR="0055328E">
        <w:t xml:space="preserve"> (</w:t>
      </w:r>
      <w:r w:rsidR="003714B0">
        <w:t xml:space="preserve">DEW 2020) in </w:t>
      </w:r>
      <w:r w:rsidR="0055328E">
        <w:t>Appendix C</w:t>
      </w:r>
      <w:r w:rsidRPr="00F50472">
        <w:t>.</w:t>
      </w:r>
    </w:p>
    <w:p w14:paraId="30A576CA" w14:textId="76E84698" w:rsidR="000759E9" w:rsidRDefault="00914280" w:rsidP="000759E9">
      <w:pPr>
        <w:pStyle w:val="Heading3"/>
      </w:pPr>
      <w:r w:rsidRPr="0000477E">
        <w:t>Discussion</w:t>
      </w:r>
      <w:r w:rsidR="000759E9" w:rsidRPr="000759E9">
        <w:t xml:space="preserve"> </w:t>
      </w:r>
    </w:p>
    <w:p w14:paraId="68553B9E" w14:textId="10545D0A" w:rsidR="00FA168A" w:rsidRPr="00F679D0" w:rsidRDefault="00FA168A" w:rsidP="00FA168A">
      <w:r w:rsidRPr="00F679D0">
        <w:t xml:space="preserve">During 2014-15 and 2015-16, relatively low (&lt;15,000 ML/d), stable flows predominated in the LMR. In these years, small-bodied fish abundance and diversity were high. Abundances of flow-cued spawning species (i.e. golden perch and silver perch) remained similar in both years and overall, fish assemblage structure was characteristic of low flows in the LMR and similar to that during drought in 2007–2010 (Bice </w:t>
      </w:r>
      <w:r w:rsidRPr="00F679D0">
        <w:rPr>
          <w:i/>
        </w:rPr>
        <w:t>et al.</w:t>
      </w:r>
      <w:r w:rsidRPr="00F679D0">
        <w:t xml:space="preserve"> 2014).</w:t>
      </w:r>
    </w:p>
    <w:p w14:paraId="0A23739F" w14:textId="61B47A66" w:rsidR="00762590" w:rsidRPr="00F679D0" w:rsidRDefault="00FA168A" w:rsidP="00FA168A">
      <w:r w:rsidRPr="00F679D0">
        <w:t xml:space="preserve">In 2017, following flooding in spring–summer 2016 (peak flow ~94,600 ML/d), there was a significant change to the small- and large-bodied fish assemblages, with an overall decrease in the abundances of small-bodied species and an increase in the abundance of common carp. A reduction in submerged vegetation in the main channel of the LMR during 2016-17, due to a combination of increased water depth/decreased light penetration and physical scour, likely resulted in a decrease in habitat availability and decreased abundance of small-bodied fishes (Bice </w:t>
      </w:r>
      <w:r w:rsidRPr="00F679D0">
        <w:rPr>
          <w:i/>
        </w:rPr>
        <w:t>et al.</w:t>
      </w:r>
      <w:r w:rsidRPr="00F679D0">
        <w:t xml:space="preserve"> 2014). In 2017, increased abundance of </w:t>
      </w:r>
      <w:r w:rsidR="00762590" w:rsidRPr="00F679D0">
        <w:t xml:space="preserve">common carp was driven by a large recruitment event associated with flooding in 2016-17. </w:t>
      </w:r>
      <w:r w:rsidR="00040DA3" w:rsidRPr="00F679D0">
        <w:t xml:space="preserve">Following a recession in water levels in summer 2017, large numbers of </w:t>
      </w:r>
      <w:r w:rsidR="0067026B" w:rsidRPr="00F679D0">
        <w:t>YOY (</w:t>
      </w:r>
      <w:r w:rsidR="00040DA3" w:rsidRPr="00F679D0">
        <w:t>age 0+</w:t>
      </w:r>
      <w:r w:rsidR="0067026B" w:rsidRPr="00F679D0">
        <w:t>)</w:t>
      </w:r>
      <w:r w:rsidR="00040DA3" w:rsidRPr="00F679D0">
        <w:t xml:space="preserve"> common carp likely entered the main channel from off-channel floodplain and wetland habitats (their typical spawning and nursery habitat) and were captured during sampling in autumn and winter 2017. </w:t>
      </w:r>
    </w:p>
    <w:p w14:paraId="451517D3" w14:textId="6105FA3C" w:rsidR="00FA168A" w:rsidRPr="00F1440C" w:rsidRDefault="00040DA3" w:rsidP="00FA168A">
      <w:r w:rsidRPr="00F679D0">
        <w:t xml:space="preserve">In general, the fish assemblage in 2017 was typical of high flow conditions and similar to assemblages </w:t>
      </w:r>
      <w:r w:rsidR="00762590" w:rsidRPr="00F679D0">
        <w:t>in high flow years from 2010–2012</w:t>
      </w:r>
      <w:r w:rsidRPr="00F679D0">
        <w:t xml:space="preserve">, with the exception of low abundances of golden perch (Bice </w:t>
      </w:r>
      <w:r w:rsidRPr="00F679D0">
        <w:rPr>
          <w:i/>
        </w:rPr>
        <w:t>et al.</w:t>
      </w:r>
      <w:r w:rsidRPr="00F679D0">
        <w:t xml:space="preserve"> 2014). In 2016-17, recruitment of native, large-bodied flow-cued spawners (e.g. golden perch) was negligible, despite a flow regime that was potentially conducive to spawning of these species (</w:t>
      </w:r>
      <w:r w:rsidRPr="00F679D0">
        <w:rPr>
          <w:bCs/>
        </w:rPr>
        <w:t>Mallen-Cooper and Stuart 2003; Zampatti and Leigh 2013a; 2013b</w:t>
      </w:r>
      <w:r w:rsidRPr="00F679D0">
        <w:t xml:space="preserve">) </w:t>
      </w:r>
      <w:r w:rsidR="00FA168A" w:rsidRPr="00F679D0">
        <w:t>(also see Section</w:t>
      </w:r>
      <w:r w:rsidR="003D3924" w:rsidRPr="00F679D0">
        <w:t xml:space="preserve"> </w:t>
      </w:r>
      <w:r w:rsidR="003D3924" w:rsidRPr="00F679D0">
        <w:fldChar w:fldCharType="begin"/>
      </w:r>
      <w:r w:rsidR="003D3924" w:rsidRPr="00F679D0">
        <w:instrText xml:space="preserve"> REF _Ref53046930 \r \h </w:instrText>
      </w:r>
      <w:r w:rsidR="00595FFD" w:rsidRPr="00F679D0">
        <w:instrText xml:space="preserve"> \* MERGEFORMAT </w:instrText>
      </w:r>
      <w:r w:rsidR="003D3924" w:rsidRPr="00F679D0">
        <w:fldChar w:fldCharType="separate"/>
      </w:r>
      <w:r w:rsidR="003C13F6">
        <w:t>2.6</w:t>
      </w:r>
      <w:r w:rsidR="003D3924" w:rsidRPr="00F679D0">
        <w:fldChar w:fldCharType="end"/>
      </w:r>
      <w:r w:rsidR="00FA168A" w:rsidRPr="00F679D0">
        <w:t xml:space="preserve">). </w:t>
      </w:r>
      <w:r w:rsidR="00762590" w:rsidRPr="00F679D0">
        <w:t>It is possible that recruitment in 2016-17 was compromised by hypoxia associated with blackwater during the spring–early summer spawning season (</w:t>
      </w:r>
      <w:r w:rsidR="00762590" w:rsidRPr="00F1440C">
        <w:t xml:space="preserve">Ye </w:t>
      </w:r>
      <w:r w:rsidR="00762590" w:rsidRPr="00F1440C">
        <w:rPr>
          <w:i/>
        </w:rPr>
        <w:t>et al.</w:t>
      </w:r>
      <w:r w:rsidR="00762590" w:rsidRPr="00F1440C">
        <w:t xml:space="preserve"> 2018)</w:t>
      </w:r>
      <w:r w:rsidR="0067026B" w:rsidRPr="00F1440C">
        <w:t>,</w:t>
      </w:r>
      <w:r w:rsidR="00762590" w:rsidRPr="00F1440C">
        <w:t xml:space="preserve"> impacting the survival of eggs and larvae.</w:t>
      </w:r>
    </w:p>
    <w:p w14:paraId="18B75BBA" w14:textId="45B32BDB" w:rsidR="00040DA3" w:rsidRPr="00F1440C" w:rsidRDefault="00040DA3" w:rsidP="00040DA3">
      <w:r w:rsidRPr="00F1440C">
        <w:t>Following in-channel flows (up to 17,800 ML/d) in spring–early summer 2017-18, small-bodied fish species composition and abundance in 2018 reverted back to that of pre-flood conditions (i.e. 2016 and 2015)</w:t>
      </w:r>
      <w:r w:rsidR="00F679D0" w:rsidRPr="00F1440C">
        <w:t xml:space="preserve">, </w:t>
      </w:r>
      <w:r w:rsidR="00762590" w:rsidRPr="00F1440C">
        <w:t xml:space="preserve">likely </w:t>
      </w:r>
      <w:r w:rsidRPr="00F1440C">
        <w:t>due to structural and hydraulic habitats (i.e. submerged vegetation and stable water levels) conducive to small-bodied fish recruitment in the main river channel.</w:t>
      </w:r>
      <w:r w:rsidR="00F679D0" w:rsidRPr="00F1440C">
        <w:t xml:space="preserve"> Abundances of small-bodied fish have been variable from 2018–2021</w:t>
      </w:r>
      <w:r w:rsidRPr="00F1440C">
        <w:t>, following comparable hydrological conditions (i.e. low, in</w:t>
      </w:r>
      <w:r w:rsidR="00F426B8" w:rsidRPr="00F1440C">
        <w:t>-</w:t>
      </w:r>
      <w:r w:rsidRPr="00F1440C">
        <w:t xml:space="preserve">channel flows &lt;18,000 ML/d) in 2018-19 and 2019-20. From 2017 to 2020, the large-bodied fish assemblage trended back towards one typical of ‘low flows’ (e.g. 2016, 2015 and 2008, </w:t>
      </w:r>
      <w:r w:rsidR="00883C44" w:rsidRPr="00F1440C">
        <w:t xml:space="preserve">Bice </w:t>
      </w:r>
      <w:r w:rsidR="00883C44" w:rsidRPr="00F1440C">
        <w:rPr>
          <w:i/>
        </w:rPr>
        <w:t>et al.</w:t>
      </w:r>
      <w:r w:rsidR="00883C44" w:rsidRPr="00F1440C">
        <w:t xml:space="preserve"> 2014</w:t>
      </w:r>
      <w:r w:rsidR="00762590" w:rsidRPr="00F1440C">
        <w:t xml:space="preserve">) due to a reduction of common carp and goldfish abundance in 2019 and 2020 to levels similar to 2015 and 2016. </w:t>
      </w:r>
      <w:r w:rsidR="00F1440C" w:rsidRPr="00F1440C">
        <w:t xml:space="preserve">Abundance of </w:t>
      </w:r>
      <w:r w:rsidR="00834526">
        <w:t>common carp and gold fish</w:t>
      </w:r>
      <w:r w:rsidR="00F1440C" w:rsidRPr="00F1440C">
        <w:t>, however, increased in 2021</w:t>
      </w:r>
      <w:r w:rsidR="00E6232C">
        <w:t>. This was in part driven by</w:t>
      </w:r>
      <w:r w:rsidR="00F1440C" w:rsidRPr="00F1440C">
        <w:t xml:space="preserve"> recruitment </w:t>
      </w:r>
      <w:r w:rsidR="00BE18CB">
        <w:t xml:space="preserve">in 2020-21 </w:t>
      </w:r>
      <w:r w:rsidR="00F1440C" w:rsidRPr="00F1440C">
        <w:t>(</w:t>
      </w:r>
      <w:r w:rsidR="00F1440C" w:rsidRPr="00F1440C">
        <w:fldChar w:fldCharType="begin"/>
      </w:r>
      <w:r w:rsidR="00F1440C" w:rsidRPr="00F1440C">
        <w:instrText xml:space="preserve"> REF _Ref95491924 \h </w:instrText>
      </w:r>
      <w:r w:rsidR="00F1440C">
        <w:instrText xml:space="preserve"> \* MERGEFORMAT </w:instrText>
      </w:r>
      <w:r w:rsidR="00F1440C" w:rsidRPr="00F1440C">
        <w:fldChar w:fldCharType="separate"/>
      </w:r>
      <w:r w:rsidR="003C13F6">
        <w:t xml:space="preserve">Figure </w:t>
      </w:r>
      <w:r w:rsidR="003C13F6">
        <w:rPr>
          <w:noProof/>
        </w:rPr>
        <w:t>66</w:t>
      </w:r>
      <w:r w:rsidR="00F1440C" w:rsidRPr="00F1440C">
        <w:fldChar w:fldCharType="end"/>
      </w:r>
      <w:r w:rsidR="00F1440C" w:rsidRPr="00F1440C">
        <w:t xml:space="preserve">) </w:t>
      </w:r>
      <w:r w:rsidR="00BE18CB">
        <w:t>which</w:t>
      </w:r>
      <w:r w:rsidR="00F1440C">
        <w:t xml:space="preserve"> </w:t>
      </w:r>
      <w:r w:rsidR="00F1440C" w:rsidRPr="00F1440C">
        <w:t>coincid</w:t>
      </w:r>
      <w:r w:rsidR="00F1440C">
        <w:t>ed</w:t>
      </w:r>
      <w:r w:rsidR="00F1440C" w:rsidRPr="00F1440C">
        <w:t xml:space="preserve"> with </w:t>
      </w:r>
      <w:r w:rsidR="00F1440C">
        <w:t xml:space="preserve">the </w:t>
      </w:r>
      <w:r w:rsidR="00F1440C" w:rsidRPr="00F1440C">
        <w:t xml:space="preserve">operation of Pike and Katarapko regulators and </w:t>
      </w:r>
      <w:r w:rsidR="00834526">
        <w:t xml:space="preserve">associated </w:t>
      </w:r>
      <w:r w:rsidR="00F1440C" w:rsidRPr="00F1440C">
        <w:t>floodplain inundation (Appendix B).</w:t>
      </w:r>
    </w:p>
    <w:p w14:paraId="3C7ADF54" w14:textId="77777777" w:rsidR="00834526" w:rsidRPr="00530EA9" w:rsidRDefault="00834526" w:rsidP="00834526">
      <w:bookmarkStart w:id="371" w:name="_Hlk97120144"/>
      <w:r w:rsidRPr="00F1440C">
        <w:t xml:space="preserve">Based on electrofishing length frequency data, no recruitment (to YOY) was observed for freshwater </w:t>
      </w:r>
      <w:r w:rsidRPr="00530EA9">
        <w:t>catfish in the LMR from 2014–20</w:t>
      </w:r>
      <w:r w:rsidRPr="00530EA9">
        <w:softHyphen/>
        <w:t xml:space="preserve">21. In the LMR, the spawning biomass of freshwater catfish </w:t>
      </w:r>
      <w:r>
        <w:t>is</w:t>
      </w:r>
      <w:r w:rsidRPr="00530EA9">
        <w:t xml:space="preserve"> low (Ye </w:t>
      </w:r>
      <w:r w:rsidRPr="00530EA9">
        <w:rPr>
          <w:i/>
        </w:rPr>
        <w:t>et al.</w:t>
      </w:r>
      <w:r w:rsidRPr="00530EA9">
        <w:t xml:space="preserve"> 2015) and their recruitment dynamics are poorly understood.</w:t>
      </w:r>
    </w:p>
    <w:p w14:paraId="50D66A4A" w14:textId="58BF660F" w:rsidR="00834526" w:rsidRPr="00980D6A" w:rsidRDefault="00834526" w:rsidP="00834526">
      <w:r w:rsidRPr="00530EA9">
        <w:t>From 2015–2019, regular recruitment and similar inter-annual abundances of Murray cod (i.e. fish &lt;1</w:t>
      </w:r>
      <w:r>
        <w:t>6</w:t>
      </w:r>
      <w:r w:rsidRPr="00530EA9">
        <w:t xml:space="preserve">0 mm TL) were observed in the LMR, during years </w:t>
      </w:r>
      <w:r>
        <w:t>characterised by an</w:t>
      </w:r>
      <w:r w:rsidRPr="00530EA9">
        <w:t xml:space="preserve"> in-channel flow pulse (15,000–18,000 ML/d) and a high, overbank flow (&gt;90,000 ML/d), but also during three years of low, stable, in-channel flows (&lt;12,000 ML/d). Furthermore, based on length frequencies, there was evidence of some cohorts from 2015–2019 persisting in the population. In 2020, </w:t>
      </w:r>
      <w:r>
        <w:t>in association with an in-channel flow pulse (</w:t>
      </w:r>
      <w:r w:rsidRPr="00530EA9">
        <w:t>&lt;18,000 ML/d</w:t>
      </w:r>
      <w:r>
        <w:t>)</w:t>
      </w:r>
      <w:r w:rsidRPr="00530EA9">
        <w:t xml:space="preserve">, Murray cod abundance increased significantly, driven by the increased abundance of new recruits. In 2021, however, poor recruitment was observed </w:t>
      </w:r>
      <w:r>
        <w:t>following</w:t>
      </w:r>
      <w:r w:rsidRPr="00530EA9">
        <w:t xml:space="preserve"> an in-channel spring pulse of similar magnitude</w:t>
      </w:r>
      <w:r>
        <w:t xml:space="preserve"> to 2020</w:t>
      </w:r>
      <w:r w:rsidRPr="00530EA9">
        <w:t xml:space="preserve">, </w:t>
      </w:r>
      <w:r>
        <w:t>but</w:t>
      </w:r>
      <w:r w:rsidRPr="00530EA9">
        <w:t xml:space="preserve"> later timing</w:t>
      </w:r>
      <w:r>
        <w:t xml:space="preserve"> (late November/early December)</w:t>
      </w:r>
      <w:r w:rsidRPr="00530EA9">
        <w:t xml:space="preserve">. The mechanisms that facilitate recruitment of Murray cod (to YOY) in the LMR are being explored as part of the Murray Cod </w:t>
      </w:r>
      <w:r w:rsidRPr="00980D6A">
        <w:t xml:space="preserve">Recruitment indicator (Section </w:t>
      </w:r>
      <w:r w:rsidRPr="00980D6A">
        <w:fldChar w:fldCharType="begin"/>
      </w:r>
      <w:r w:rsidRPr="00980D6A">
        <w:instrText xml:space="preserve"> REF _Ref50027079 \r \h  \* MERGEFORMAT </w:instrText>
      </w:r>
      <w:r w:rsidRPr="00980D6A">
        <w:fldChar w:fldCharType="separate"/>
      </w:r>
      <w:r w:rsidR="003C13F6">
        <w:t>2.7</w:t>
      </w:r>
      <w:r w:rsidRPr="00980D6A">
        <w:fldChar w:fldCharType="end"/>
      </w:r>
      <w:r w:rsidRPr="00980D6A">
        <w:t>) and associated research project (not presented in this report).</w:t>
      </w:r>
    </w:p>
    <w:bookmarkEnd w:id="371"/>
    <w:p w14:paraId="1AC5BA31" w14:textId="004FAD6C" w:rsidR="006B1102" w:rsidRPr="00980D6A" w:rsidRDefault="006B1102" w:rsidP="006B1102">
      <w:pPr>
        <w:pStyle w:val="Heading3"/>
      </w:pPr>
      <w:r w:rsidRPr="00980D6A">
        <w:t xml:space="preserve">Management implications </w:t>
      </w:r>
    </w:p>
    <w:p w14:paraId="217C0BD0" w14:textId="0028DE1D" w:rsidR="006B1102" w:rsidRPr="00980D6A" w:rsidRDefault="00040DA3" w:rsidP="006B1102">
      <w:r w:rsidRPr="00980D6A">
        <w:t xml:space="preserve">Prolonged </w:t>
      </w:r>
      <w:r w:rsidR="00762590" w:rsidRPr="00980D6A">
        <w:t>low, in-channel flows (&lt;</w:t>
      </w:r>
      <w:r w:rsidR="00195076" w:rsidRPr="00980D6A">
        <w:t>20</w:t>
      </w:r>
      <w:r w:rsidR="00762590" w:rsidRPr="00980D6A">
        <w:t>,000 ML/d) promote hydraulic (e.g. lentic) and structural (submerged plant) habitat conditions suitable for low flow generalist fishes</w:t>
      </w:r>
      <w:r w:rsidR="0067026B" w:rsidRPr="00980D6A">
        <w:t xml:space="preserve"> such as </w:t>
      </w:r>
      <w:r w:rsidR="00762590" w:rsidRPr="00980D6A">
        <w:t>small-bodied</w:t>
      </w:r>
      <w:r w:rsidR="0067026B" w:rsidRPr="00980D6A">
        <w:t xml:space="preserve"> carp gudgeon and </w:t>
      </w:r>
      <w:r w:rsidR="0067026B" w:rsidRPr="00980D6A">
        <w:rPr>
          <w:lang w:val="en-US"/>
        </w:rPr>
        <w:t>unspecked hardyhead</w:t>
      </w:r>
      <w:r w:rsidR="00762590" w:rsidRPr="00980D6A">
        <w:t>.</w:t>
      </w:r>
      <w:r w:rsidR="00A67EA5" w:rsidRPr="00980D6A">
        <w:t xml:space="preserve"> Conversely, in-channel flows &gt;20,000 ML/d facilitate a shift towards more natural riverine hydraulic characteristics that benefit flow-dependant species such as golden perch and Murray cod.</w:t>
      </w:r>
      <w:r w:rsidR="00762590" w:rsidRPr="00980D6A">
        <w:t xml:space="preserve"> Increased variability in the annual flow regime that includes large, overbank (&gt;45,000 ML/d) flows will lead to increased recruitment of a range of species with different life histories (e.g. flow-dependant), promoting diverse fish assemblages and resilience </w:t>
      </w:r>
      <w:r w:rsidR="00D41565" w:rsidRPr="00980D6A">
        <w:t>in populations.</w:t>
      </w:r>
    </w:p>
    <w:p w14:paraId="65457538" w14:textId="4DC53481" w:rsidR="00FA168A" w:rsidRPr="00980D6A" w:rsidRDefault="003C0EBB" w:rsidP="00622990">
      <w:pPr>
        <w:pStyle w:val="Heading3"/>
      </w:pPr>
      <w:r w:rsidRPr="00980D6A">
        <w:t>Conclusion</w:t>
      </w:r>
    </w:p>
    <w:p w14:paraId="0EB78AB2" w14:textId="7193EAB4" w:rsidR="00FA168A" w:rsidRDefault="00980D6A" w:rsidP="00980D6A">
      <w:r>
        <w:t xml:space="preserve">Since </w:t>
      </w:r>
      <w:r w:rsidR="00FA168A" w:rsidRPr="00980D6A">
        <w:t xml:space="preserve">high flows in 2016-17, low, in-channel flows (&lt;18,000 ML/d) </w:t>
      </w:r>
      <w:r w:rsidRPr="00980D6A">
        <w:t xml:space="preserve">have </w:t>
      </w:r>
      <w:r>
        <w:t xml:space="preserve">predominated in the LMR. Small-bodied fish abundances were variable from 2018–2021 but have returned </w:t>
      </w:r>
      <w:r w:rsidRPr="00980D6A">
        <w:t>to that of 2015 and 2016</w:t>
      </w:r>
      <w:r>
        <w:t xml:space="preserve">. While there has been </w:t>
      </w:r>
      <w:r w:rsidRPr="00980D6A">
        <w:t>a lack of recruitment from native, flow-cued spawners</w:t>
      </w:r>
      <w:r>
        <w:t xml:space="preserve">, strong recruitment of Murray cod in 2020 and the survival of these fish as age 1+ in 2021 has led to an increase in abundance of this species, relative to 2015 and 2016. </w:t>
      </w:r>
    </w:p>
    <w:p w14:paraId="40ED3433" w14:textId="1D732454" w:rsidR="00914280" w:rsidRDefault="003C0EBB" w:rsidP="00FA168A">
      <w:pPr>
        <w:rPr>
          <w:rFonts w:eastAsiaTheme="majorEastAsia"/>
        </w:rPr>
      </w:pPr>
      <w:r w:rsidRPr="003C0EBB">
        <w:rPr>
          <w:rFonts w:eastAsiaTheme="majorEastAsia"/>
        </w:rPr>
        <w:t xml:space="preserve"> </w:t>
      </w:r>
      <w:r w:rsidR="00914280">
        <w:br w:type="page"/>
      </w:r>
    </w:p>
    <w:p w14:paraId="7EC82C72" w14:textId="10D97E73" w:rsidR="00883C44" w:rsidRDefault="00883C44" w:rsidP="00883C44">
      <w:pPr>
        <w:pStyle w:val="Heading1"/>
      </w:pPr>
      <w:bookmarkStart w:id="372" w:name="_Toc64646552"/>
      <w:bookmarkStart w:id="373" w:name="_Ref95923306"/>
      <w:bookmarkStart w:id="374" w:name="_Toc101963782"/>
      <w:bookmarkEnd w:id="267"/>
      <w:r w:rsidRPr="00A32F9D">
        <w:t xml:space="preserve">Synthesis and </w:t>
      </w:r>
      <w:r>
        <w:t>E</w:t>
      </w:r>
      <w:r w:rsidRPr="00A32F9D">
        <w:t>valuation</w:t>
      </w:r>
      <w:bookmarkEnd w:id="372"/>
      <w:bookmarkEnd w:id="373"/>
      <w:bookmarkEnd w:id="374"/>
    </w:p>
    <w:p w14:paraId="6C54EB4A" w14:textId="5C5F2638" w:rsidR="008B2D8A" w:rsidRPr="00706288" w:rsidRDefault="008B2D8A" w:rsidP="008B2D8A">
      <w:pPr>
        <w:rPr>
          <w:rStyle w:val="CharChar7"/>
          <w:rFonts w:eastAsiaTheme="majorEastAsia"/>
          <w:szCs w:val="21"/>
        </w:rPr>
      </w:pPr>
      <w:r w:rsidRPr="00706288">
        <w:rPr>
          <w:szCs w:val="21"/>
        </w:rPr>
        <w:t>To assess ecological response</w:t>
      </w:r>
      <w:r w:rsidR="00606184">
        <w:rPr>
          <w:szCs w:val="21"/>
        </w:rPr>
        <w:t>s</w:t>
      </w:r>
      <w:r w:rsidRPr="00706288">
        <w:rPr>
          <w:szCs w:val="21"/>
        </w:rPr>
        <w:t xml:space="preserve"> to Commonwealth environmental water in the Lower Murray, a series of evaluation questions were investigated (</w:t>
      </w:r>
      <w:r w:rsidRPr="00706288">
        <w:rPr>
          <w:rFonts w:cs="Frutiger LT Std 45 Light"/>
          <w:spacing w:val="5"/>
          <w:szCs w:val="21"/>
        </w:rPr>
        <w:t xml:space="preserve">SARDI </w:t>
      </w:r>
      <w:r w:rsidRPr="00706288">
        <w:rPr>
          <w:rFonts w:cs="Frutiger LT Std 45 Light"/>
          <w:i/>
          <w:spacing w:val="5"/>
          <w:szCs w:val="21"/>
        </w:rPr>
        <w:t>et al.</w:t>
      </w:r>
      <w:r w:rsidRPr="00706288">
        <w:rPr>
          <w:rFonts w:cs="Frutiger LT Std 45 Light"/>
          <w:spacing w:val="5"/>
          <w:szCs w:val="21"/>
        </w:rPr>
        <w:t xml:space="preserve"> 2019</w:t>
      </w:r>
      <w:r w:rsidRPr="00706288">
        <w:rPr>
          <w:szCs w:val="21"/>
        </w:rPr>
        <w:t>). The contribution of environmental water to Hydraulic Regime, Matter Transport and Coorong Habitat was assessed throughout the year using a modelling approach, whereas indicators of specific ecological responses (Stream Metabolism and Water Quality, Littoral Vegetation, Microinvertebrates, Flow-cued Spawning Fish Reproduction</w:t>
      </w:r>
      <w:r w:rsidR="00606184">
        <w:rPr>
          <w:szCs w:val="21"/>
        </w:rPr>
        <w:t>,</w:t>
      </w:r>
      <w:r>
        <w:rPr>
          <w:szCs w:val="21"/>
        </w:rPr>
        <w:t xml:space="preserve"> and</w:t>
      </w:r>
      <w:r w:rsidRPr="00706288">
        <w:rPr>
          <w:szCs w:val="21"/>
        </w:rPr>
        <w:t xml:space="preserve"> Murray Cod Recruitment) were assessed through empirical monitoring during targeted seasons. This annual report for the MER Project focuses on the evaluation of Commonwealth environmental water delivery during 2020-21, with ecological outcomes for all years (2014-15 to 2020-21) presented, building on the findings from the LTIM Project (</w:t>
      </w:r>
      <w:r w:rsidRPr="00706288">
        <w:rPr>
          <w:szCs w:val="21"/>
        </w:rPr>
        <w:fldChar w:fldCharType="begin"/>
      </w:r>
      <w:r w:rsidRPr="00706288">
        <w:rPr>
          <w:szCs w:val="21"/>
        </w:rPr>
        <w:instrText xml:space="preserve"> REF _Ref506912378 \h </w:instrText>
      </w:r>
      <w:r>
        <w:rPr>
          <w:szCs w:val="21"/>
        </w:rPr>
        <w:instrText xml:space="preserve"> \* MERGEFORMAT </w:instrText>
      </w:r>
      <w:r w:rsidRPr="00706288">
        <w:rPr>
          <w:szCs w:val="21"/>
        </w:rPr>
      </w:r>
      <w:r w:rsidRPr="00706288">
        <w:rPr>
          <w:szCs w:val="21"/>
        </w:rPr>
        <w:fldChar w:fldCharType="separate"/>
      </w:r>
      <w:r w:rsidR="003C13F6" w:rsidRPr="00F55DF6">
        <w:t xml:space="preserve">Table </w:t>
      </w:r>
      <w:r w:rsidR="003C13F6">
        <w:rPr>
          <w:noProof/>
        </w:rPr>
        <w:t>24</w:t>
      </w:r>
      <w:r w:rsidRPr="00706288">
        <w:rPr>
          <w:szCs w:val="21"/>
        </w:rPr>
        <w:fldChar w:fldCharType="end"/>
      </w:r>
      <w:r w:rsidRPr="00706288">
        <w:rPr>
          <w:szCs w:val="21"/>
        </w:rPr>
        <w:t xml:space="preserve">). </w:t>
      </w:r>
    </w:p>
    <w:p w14:paraId="10D357F8" w14:textId="0AF0E89B" w:rsidR="008B2D8A" w:rsidRDefault="008B2D8A" w:rsidP="008B2D8A">
      <w:r>
        <w:t>In 2020-21, a</w:t>
      </w:r>
      <w:r w:rsidRPr="00BF79CB">
        <w:t xml:space="preserve"> total of 687 GL of Commonwealth environmental water was delivered to the LMR</w:t>
      </w:r>
      <w:r w:rsidRPr="00C11F9F">
        <w:rPr>
          <w:szCs w:val="21"/>
          <w:lang w:eastAsia="en-AU"/>
        </w:rPr>
        <w:t xml:space="preserve"> </w:t>
      </w:r>
      <w:r w:rsidRPr="00BF79CB">
        <w:t xml:space="preserve">in conjunction with other sources of environmental water (~247 </w:t>
      </w:r>
      <w:r w:rsidRPr="0098531B">
        <w:t xml:space="preserve">GL; i.e. TLM, VEWH and RMIF). </w:t>
      </w:r>
      <w:bookmarkStart w:id="375" w:name="_Hlk96458548"/>
      <w:r>
        <w:t>Environmental flow delivery during spring</w:t>
      </w:r>
      <w:r>
        <w:rPr>
          <w:rFonts w:ascii="Calibri" w:hAnsi="Calibri" w:cs="Calibri"/>
        </w:rPr>
        <w:t>–</w:t>
      </w:r>
      <w:r>
        <w:t>early summer was supported via multi-site watering events, with</w:t>
      </w:r>
      <w:r w:rsidRPr="0041289F">
        <w:t xml:space="preserve"> return flows from the Murray, Goulburn and Murrumbidgee rivers</w:t>
      </w:r>
      <w:r>
        <w:t>, whereas flows during summer</w:t>
      </w:r>
      <w:r>
        <w:rPr>
          <w:rFonts w:ascii="Calibri" w:hAnsi="Calibri" w:cs="Calibri"/>
        </w:rPr>
        <w:t>–</w:t>
      </w:r>
      <w:r>
        <w:t xml:space="preserve">late autumn were largely via direct trades. </w:t>
      </w:r>
      <w:r w:rsidRPr="0098531B">
        <w:t xml:space="preserve">Commonwealth environmental water contributed to a </w:t>
      </w:r>
      <w:r>
        <w:t xml:space="preserve">substantial </w:t>
      </w:r>
      <w:r w:rsidRPr="0098531B">
        <w:t>increase in the total flow volume in the LMR</w:t>
      </w:r>
      <w:r>
        <w:t xml:space="preserve"> (22% at South Australia border and 34% at Lock</w:t>
      </w:r>
      <w:r w:rsidR="009E7449">
        <w:t xml:space="preserve"> </w:t>
      </w:r>
      <w:r>
        <w:t>1)</w:t>
      </w:r>
      <w:r w:rsidRPr="0098531B">
        <w:t xml:space="preserve">, and improved longitudinal hydrological connectivity, providing additional </w:t>
      </w:r>
      <w:r w:rsidR="00F52CCC">
        <w:t>10,392</w:t>
      </w:r>
      <w:r w:rsidRPr="0098531B">
        <w:t xml:space="preserve"> km</w:t>
      </w:r>
      <w:r>
        <w:t xml:space="preserve"> </w:t>
      </w:r>
      <w:r w:rsidRPr="0098531B">
        <w:t xml:space="preserve">d </w:t>
      </w:r>
      <w:r>
        <w:t>(</w:t>
      </w:r>
      <w:r w:rsidR="00214B39">
        <w:t xml:space="preserve">modelled </w:t>
      </w:r>
      <w:r>
        <w:t xml:space="preserve">length x duration) </w:t>
      </w:r>
      <w:r w:rsidRPr="0098531B">
        <w:t>of flowing river (velocity &gt;0.2 m/s).</w:t>
      </w:r>
      <w:bookmarkEnd w:id="375"/>
      <w:r w:rsidRPr="0098531B">
        <w:t xml:space="preserve"> Such </w:t>
      </w:r>
      <w:r>
        <w:t xml:space="preserve">flow </w:t>
      </w:r>
      <w:r w:rsidRPr="0098531B">
        <w:t>condition</w:t>
      </w:r>
      <w:r>
        <w:t>s are</w:t>
      </w:r>
      <w:r w:rsidRPr="0098531B">
        <w:t xml:space="preserve"> critical for key ecological processes including supporting entrainment and downstream drift/transportation of plankton, invertebrates and fish larvae. </w:t>
      </w:r>
    </w:p>
    <w:p w14:paraId="16E26FBB" w14:textId="3DB0911C" w:rsidR="008B2D8A" w:rsidRDefault="008B2D8A" w:rsidP="008B2D8A">
      <w:pPr>
        <w:rPr>
          <w:szCs w:val="21"/>
        </w:rPr>
      </w:pPr>
      <w:r w:rsidRPr="00706288">
        <w:rPr>
          <w:szCs w:val="21"/>
          <w:lang w:eastAsia="en-AU"/>
        </w:rPr>
        <w:t>F</w:t>
      </w:r>
      <w:r>
        <w:rPr>
          <w:szCs w:val="21"/>
          <w:lang w:eastAsia="en-AU"/>
        </w:rPr>
        <w:t xml:space="preserve">ollowing winter unregulated flows, environmental water delivered to the LMR from late September–mid December 2020 increased flow variability and supported a distinct </w:t>
      </w:r>
      <w:r w:rsidRPr="00706288">
        <w:rPr>
          <w:szCs w:val="21"/>
          <w:lang w:eastAsia="en-AU"/>
        </w:rPr>
        <w:t>spring</w:t>
      </w:r>
      <w:r>
        <w:rPr>
          <w:rFonts w:ascii="Calibri" w:hAnsi="Calibri" w:cs="Calibri"/>
          <w:szCs w:val="21"/>
          <w:lang w:eastAsia="en-AU"/>
        </w:rPr>
        <w:t>–</w:t>
      </w:r>
      <w:r>
        <w:rPr>
          <w:szCs w:val="21"/>
          <w:lang w:eastAsia="en-AU"/>
        </w:rPr>
        <w:t xml:space="preserve">early summer flow pulse, peaking at </w:t>
      </w:r>
      <w:r w:rsidRPr="00CC2BDC">
        <w:rPr>
          <w:bCs/>
          <w:szCs w:val="21"/>
          <w:lang w:eastAsia="en-AU"/>
        </w:rPr>
        <w:t>17,900 ML/d</w:t>
      </w:r>
      <w:r>
        <w:rPr>
          <w:bCs/>
          <w:szCs w:val="21"/>
          <w:lang w:eastAsia="en-AU"/>
        </w:rPr>
        <w:t xml:space="preserve"> </w:t>
      </w:r>
      <w:r w:rsidRPr="00CC2BDC">
        <w:rPr>
          <w:bCs/>
          <w:szCs w:val="21"/>
          <w:lang w:eastAsia="en-AU"/>
        </w:rPr>
        <w:t>in late November 2020</w:t>
      </w:r>
      <w:r>
        <w:rPr>
          <w:bCs/>
          <w:szCs w:val="21"/>
          <w:lang w:eastAsia="en-AU"/>
        </w:rPr>
        <w:t xml:space="preserve"> and maintaining flow at</w:t>
      </w:r>
      <w:r w:rsidRPr="00CC2BDC">
        <w:rPr>
          <w:bCs/>
          <w:szCs w:val="21"/>
          <w:lang w:eastAsia="en-AU"/>
        </w:rPr>
        <w:t xml:space="preserve"> &gt;15,000 ML/d for a period of 18 days.</w:t>
      </w:r>
      <w:r>
        <w:rPr>
          <w:bCs/>
          <w:szCs w:val="21"/>
          <w:lang w:eastAsia="en-AU"/>
        </w:rPr>
        <w:t xml:space="preserve"> </w:t>
      </w:r>
      <w:r>
        <w:rPr>
          <w:szCs w:val="21"/>
          <w:lang w:eastAsia="en-AU"/>
        </w:rPr>
        <w:t xml:space="preserve">The increased flow </w:t>
      </w:r>
      <w:r w:rsidRPr="00706288">
        <w:rPr>
          <w:szCs w:val="21"/>
          <w:lang w:eastAsia="en-AU"/>
        </w:rPr>
        <w:t xml:space="preserve">improved </w:t>
      </w:r>
      <w:r w:rsidR="00214B39">
        <w:rPr>
          <w:szCs w:val="21"/>
          <w:lang w:eastAsia="en-AU"/>
        </w:rPr>
        <w:t xml:space="preserve">(modelled) </w:t>
      </w:r>
      <w:r w:rsidRPr="00706288">
        <w:rPr>
          <w:szCs w:val="21"/>
          <w:lang w:eastAsia="en-AU"/>
        </w:rPr>
        <w:t>hydraulic diversity</w:t>
      </w:r>
      <w:r>
        <w:rPr>
          <w:szCs w:val="21"/>
          <w:lang w:eastAsia="en-AU"/>
        </w:rPr>
        <w:t xml:space="preserve"> in the LMR</w:t>
      </w:r>
      <w:r w:rsidRPr="00706288">
        <w:rPr>
          <w:szCs w:val="21"/>
          <w:lang w:eastAsia="en-AU"/>
        </w:rPr>
        <w:t xml:space="preserve">, with an extra </w:t>
      </w:r>
      <w:r>
        <w:rPr>
          <w:szCs w:val="21"/>
          <w:lang w:eastAsia="en-AU"/>
        </w:rPr>
        <w:t>34</w:t>
      </w:r>
      <w:r w:rsidRPr="00706288">
        <w:rPr>
          <w:szCs w:val="21"/>
          <w:lang w:eastAsia="en-AU"/>
        </w:rPr>
        <w:t xml:space="preserve"> km (</w:t>
      </w:r>
      <w:r>
        <w:rPr>
          <w:szCs w:val="21"/>
          <w:lang w:eastAsia="en-AU"/>
        </w:rPr>
        <w:t>10</w:t>
      </w:r>
      <w:r w:rsidRPr="00706288">
        <w:rPr>
          <w:szCs w:val="21"/>
          <w:lang w:eastAsia="en-AU"/>
        </w:rPr>
        <w:t xml:space="preserve">%) of river characterised as lotic (mean water velocity &gt;0.3 m/s) for at least </w:t>
      </w:r>
      <w:r>
        <w:rPr>
          <w:szCs w:val="21"/>
          <w:lang w:eastAsia="en-AU"/>
        </w:rPr>
        <w:t>30</w:t>
      </w:r>
      <w:r w:rsidRPr="00706288">
        <w:rPr>
          <w:szCs w:val="21"/>
          <w:lang w:eastAsia="en-AU"/>
        </w:rPr>
        <w:t xml:space="preserve"> days due to environmental water</w:t>
      </w:r>
      <w:r>
        <w:rPr>
          <w:szCs w:val="21"/>
          <w:lang w:eastAsia="en-AU"/>
        </w:rPr>
        <w:t xml:space="preserve"> delivery</w:t>
      </w:r>
      <w:r w:rsidRPr="00706288">
        <w:rPr>
          <w:szCs w:val="21"/>
          <w:lang w:eastAsia="en-AU"/>
        </w:rPr>
        <w:t>.</w:t>
      </w:r>
      <w:r w:rsidRPr="00706288">
        <w:rPr>
          <w:szCs w:val="21"/>
        </w:rPr>
        <w:t xml:space="preserve"> </w:t>
      </w:r>
      <w:r w:rsidRPr="00B438E0">
        <w:rPr>
          <w:color w:val="auto"/>
          <w:szCs w:val="21"/>
        </w:rPr>
        <w:t xml:space="preserve">Greater extent and duration of lotic habitat may benefit </w:t>
      </w:r>
      <w:r>
        <w:rPr>
          <w:color w:val="auto"/>
          <w:szCs w:val="21"/>
        </w:rPr>
        <w:t xml:space="preserve">Murray cod </w:t>
      </w:r>
      <w:r w:rsidRPr="00B438E0">
        <w:rPr>
          <w:color w:val="auto"/>
          <w:szCs w:val="21"/>
        </w:rPr>
        <w:t>during the</w:t>
      </w:r>
      <w:r>
        <w:rPr>
          <w:color w:val="auto"/>
          <w:szCs w:val="21"/>
        </w:rPr>
        <w:t>ir</w:t>
      </w:r>
      <w:r w:rsidRPr="00B438E0">
        <w:rPr>
          <w:color w:val="auto"/>
          <w:szCs w:val="21"/>
        </w:rPr>
        <w:t xml:space="preserve"> reproductive season (spring</w:t>
      </w:r>
      <w:r w:rsidRPr="00B438E0">
        <w:rPr>
          <w:color w:val="auto"/>
          <w:szCs w:val="21"/>
          <w:lang w:eastAsia="en-AU"/>
        </w:rPr>
        <w:t>–early summer)</w:t>
      </w:r>
      <w:r>
        <w:rPr>
          <w:color w:val="auto"/>
          <w:szCs w:val="21"/>
        </w:rPr>
        <w:t xml:space="preserve"> by increasing</w:t>
      </w:r>
      <w:r w:rsidRPr="00B438E0">
        <w:rPr>
          <w:color w:val="auto"/>
          <w:szCs w:val="21"/>
        </w:rPr>
        <w:t xml:space="preserve"> spawning habitat area and survival of early life stages. This was evidenced by strong recruitment of Murray cod in the LMR in 2019-20, </w:t>
      </w:r>
      <w:r>
        <w:rPr>
          <w:color w:val="auto"/>
          <w:szCs w:val="21"/>
        </w:rPr>
        <w:t xml:space="preserve">when </w:t>
      </w:r>
      <w:r w:rsidRPr="00B438E0">
        <w:rPr>
          <w:color w:val="auto"/>
          <w:szCs w:val="21"/>
        </w:rPr>
        <w:t xml:space="preserve">a spring flow pulse (peaking </w:t>
      </w:r>
      <w:r>
        <w:rPr>
          <w:color w:val="auto"/>
          <w:szCs w:val="21"/>
        </w:rPr>
        <w:t xml:space="preserve">at 15,600 ML/d </w:t>
      </w:r>
      <w:r w:rsidRPr="00B438E0">
        <w:rPr>
          <w:color w:val="auto"/>
          <w:szCs w:val="21"/>
        </w:rPr>
        <w:t>in mid-October)</w:t>
      </w:r>
      <w:r>
        <w:rPr>
          <w:color w:val="auto"/>
          <w:szCs w:val="21"/>
        </w:rPr>
        <w:t xml:space="preserve"> was </w:t>
      </w:r>
      <w:r w:rsidRPr="00B438E0">
        <w:rPr>
          <w:color w:val="auto"/>
          <w:szCs w:val="21"/>
        </w:rPr>
        <w:t xml:space="preserve">delivered immediately prior to and during spawning. </w:t>
      </w:r>
      <w:r>
        <w:rPr>
          <w:color w:val="auto"/>
          <w:szCs w:val="21"/>
        </w:rPr>
        <w:t xml:space="preserve">In contrast, </w:t>
      </w:r>
      <w:bookmarkStart w:id="376" w:name="_Hlk96974749"/>
      <w:r w:rsidRPr="00B438E0">
        <w:rPr>
          <w:color w:val="auto"/>
          <w:szCs w:val="21"/>
        </w:rPr>
        <w:t xml:space="preserve">poor recruitment of Murray cod </w:t>
      </w:r>
      <w:r>
        <w:rPr>
          <w:color w:val="auto"/>
          <w:szCs w:val="21"/>
        </w:rPr>
        <w:t>(</w:t>
      </w:r>
      <w:r w:rsidRPr="00E005A7">
        <w:rPr>
          <w:szCs w:val="21"/>
        </w:rPr>
        <w:t>to YOY</w:t>
      </w:r>
      <w:r>
        <w:rPr>
          <w:szCs w:val="21"/>
        </w:rPr>
        <w:t>, age 0+)</w:t>
      </w:r>
      <w:r w:rsidRPr="00E005A7">
        <w:rPr>
          <w:szCs w:val="21"/>
        </w:rPr>
        <w:t xml:space="preserve"> was observed</w:t>
      </w:r>
      <w:r>
        <w:rPr>
          <w:szCs w:val="21"/>
        </w:rPr>
        <w:t xml:space="preserve"> in 2020-21, associated with variable spring flows (generally &lt;10,000 ML/d). During this year,</w:t>
      </w:r>
      <w:r w:rsidRPr="00E005A7">
        <w:rPr>
          <w:szCs w:val="21"/>
        </w:rPr>
        <w:t xml:space="preserve"> </w:t>
      </w:r>
      <w:r>
        <w:rPr>
          <w:szCs w:val="21"/>
        </w:rPr>
        <w:t xml:space="preserve">enhanced </w:t>
      </w:r>
      <w:r w:rsidRPr="00E005A7">
        <w:rPr>
          <w:szCs w:val="21"/>
        </w:rPr>
        <w:t>lotic conditions occurr</w:t>
      </w:r>
      <w:r>
        <w:rPr>
          <w:szCs w:val="21"/>
        </w:rPr>
        <w:t>ed</w:t>
      </w:r>
      <w:r w:rsidRPr="00E005A7">
        <w:rPr>
          <w:szCs w:val="21"/>
        </w:rPr>
        <w:t xml:space="preserve"> </w:t>
      </w:r>
      <w:r>
        <w:rPr>
          <w:szCs w:val="21"/>
        </w:rPr>
        <w:t xml:space="preserve">from late November to mid-December, </w:t>
      </w:r>
      <w:r w:rsidRPr="00E005A7">
        <w:rPr>
          <w:szCs w:val="21"/>
        </w:rPr>
        <w:t>after the key spawning period</w:t>
      </w:r>
      <w:r>
        <w:rPr>
          <w:szCs w:val="21"/>
        </w:rPr>
        <w:t>. While these lotic conditions were unlikely to benefit spawning as indicated by low numbers of larvae collected in November 202</w:t>
      </w:r>
      <w:r w:rsidR="00C61481">
        <w:rPr>
          <w:szCs w:val="21"/>
        </w:rPr>
        <w:t>0</w:t>
      </w:r>
      <w:r w:rsidRPr="00E005A7">
        <w:rPr>
          <w:szCs w:val="21"/>
        </w:rPr>
        <w:t xml:space="preserve">, </w:t>
      </w:r>
      <w:r>
        <w:rPr>
          <w:szCs w:val="21"/>
        </w:rPr>
        <w:t>the increase in</w:t>
      </w:r>
      <w:r w:rsidRPr="00E005A7">
        <w:rPr>
          <w:szCs w:val="21"/>
        </w:rPr>
        <w:t xml:space="preserve"> favourable (lotic) habitat during the larval/juvenile period</w:t>
      </w:r>
      <w:r>
        <w:rPr>
          <w:szCs w:val="21"/>
        </w:rPr>
        <w:t xml:space="preserve"> </w:t>
      </w:r>
      <w:r w:rsidRPr="00E005A7">
        <w:rPr>
          <w:szCs w:val="21"/>
        </w:rPr>
        <w:t xml:space="preserve">may have </w:t>
      </w:r>
      <w:r>
        <w:rPr>
          <w:szCs w:val="21"/>
        </w:rPr>
        <w:t xml:space="preserve">helped </w:t>
      </w:r>
      <w:r w:rsidRPr="00E005A7">
        <w:rPr>
          <w:szCs w:val="21"/>
        </w:rPr>
        <w:t>support</w:t>
      </w:r>
      <w:r>
        <w:rPr>
          <w:szCs w:val="21"/>
        </w:rPr>
        <w:t xml:space="preserve"> </w:t>
      </w:r>
      <w:r w:rsidRPr="00E005A7">
        <w:rPr>
          <w:szCs w:val="21"/>
        </w:rPr>
        <w:t xml:space="preserve">the survival </w:t>
      </w:r>
      <w:r>
        <w:rPr>
          <w:szCs w:val="21"/>
        </w:rPr>
        <w:t xml:space="preserve">and body condition </w:t>
      </w:r>
      <w:r w:rsidRPr="00E005A7">
        <w:rPr>
          <w:szCs w:val="21"/>
        </w:rPr>
        <w:t>of new recruits</w:t>
      </w:r>
      <w:r>
        <w:rPr>
          <w:szCs w:val="21"/>
        </w:rPr>
        <w:t xml:space="preserve">, although in low numbers. </w:t>
      </w:r>
      <w:bookmarkEnd w:id="376"/>
      <w:r w:rsidRPr="00C43465">
        <w:rPr>
          <w:szCs w:val="21"/>
        </w:rPr>
        <w:t>The mechanisms that influence Murray cod recruitment in the LMR need further investigation and are currently being explored via the Selected Area research.</w:t>
      </w:r>
    </w:p>
    <w:p w14:paraId="07E519FA" w14:textId="0E82F5FD" w:rsidR="008B2D8A" w:rsidRDefault="008B2D8A" w:rsidP="008B2D8A">
      <w:pPr>
        <w:rPr>
          <w:szCs w:val="21"/>
          <w:lang w:eastAsia="en-AU"/>
        </w:rPr>
      </w:pPr>
      <w:bookmarkStart w:id="377" w:name="_Hlk64632810"/>
      <w:r w:rsidRPr="00706288">
        <w:rPr>
          <w:szCs w:val="21"/>
          <w:lang w:eastAsia="en-AU"/>
        </w:rPr>
        <w:t xml:space="preserve">Environmental flows, in combination with weir pool </w:t>
      </w:r>
      <w:r>
        <w:rPr>
          <w:szCs w:val="21"/>
          <w:lang w:eastAsia="en-AU"/>
        </w:rPr>
        <w:t>manipulations</w:t>
      </w:r>
      <w:r w:rsidRPr="00706288">
        <w:rPr>
          <w:szCs w:val="21"/>
          <w:lang w:eastAsia="en-AU"/>
        </w:rPr>
        <w:t xml:space="preserve">, also increased </w:t>
      </w:r>
      <w:r w:rsidR="00214B39">
        <w:rPr>
          <w:szCs w:val="21"/>
          <w:lang w:eastAsia="en-AU"/>
        </w:rPr>
        <w:t xml:space="preserve">(modelled) </w:t>
      </w:r>
      <w:r w:rsidRPr="00706288">
        <w:rPr>
          <w:szCs w:val="21"/>
          <w:lang w:eastAsia="en-AU"/>
        </w:rPr>
        <w:t>water level variability (IQR) by 0.1</w:t>
      </w:r>
      <w:r w:rsidR="008A03A8">
        <w:rPr>
          <w:szCs w:val="21"/>
          <w:lang w:eastAsia="en-AU"/>
        </w:rPr>
        <w:t>2</w:t>
      </w:r>
      <w:r w:rsidRPr="00706288">
        <w:rPr>
          <w:szCs w:val="21"/>
          <w:lang w:eastAsia="en-AU"/>
        </w:rPr>
        <w:t xml:space="preserve"> m in the tailwaters across Weir Pools 1–5.</w:t>
      </w:r>
      <w:r w:rsidRPr="00706288">
        <w:rPr>
          <w:szCs w:val="21"/>
        </w:rPr>
        <w:t xml:space="preserve"> Periodic increases in water levels could increase biofilm diversity (Steinman and McIntire 1990), which is a key component of riverine food webs</w:t>
      </w:r>
      <w:r>
        <w:rPr>
          <w:szCs w:val="21"/>
        </w:rPr>
        <w:t>, and</w:t>
      </w:r>
      <w:r w:rsidRPr="0031209E">
        <w:rPr>
          <w:szCs w:val="21"/>
        </w:rPr>
        <w:t xml:space="preserve"> </w:t>
      </w:r>
      <w:r w:rsidRPr="00706288">
        <w:rPr>
          <w:szCs w:val="21"/>
        </w:rPr>
        <w:t xml:space="preserve">improve the condition of littoral vegetation (Gehrig </w:t>
      </w:r>
      <w:r w:rsidRPr="00706288">
        <w:rPr>
          <w:i/>
          <w:iCs/>
          <w:szCs w:val="21"/>
        </w:rPr>
        <w:t>et al.</w:t>
      </w:r>
      <w:r w:rsidRPr="00706288">
        <w:rPr>
          <w:szCs w:val="21"/>
        </w:rPr>
        <w:t xml:space="preserve"> 2016). Vegetation monitoring in </w:t>
      </w:r>
      <w:r>
        <w:rPr>
          <w:szCs w:val="21"/>
        </w:rPr>
        <w:t xml:space="preserve">February </w:t>
      </w:r>
      <w:r w:rsidRPr="00706288">
        <w:rPr>
          <w:szCs w:val="21"/>
        </w:rPr>
        <w:t>20</w:t>
      </w:r>
      <w:r>
        <w:rPr>
          <w:szCs w:val="21"/>
        </w:rPr>
        <w:t>21</w:t>
      </w:r>
      <w:r w:rsidRPr="00706288">
        <w:rPr>
          <w:szCs w:val="21"/>
        </w:rPr>
        <w:t xml:space="preserve"> demonstrated </w:t>
      </w:r>
      <w:r w:rsidRPr="00706288">
        <w:rPr>
          <w:szCs w:val="21"/>
          <w:lang w:eastAsia="en-AU"/>
        </w:rPr>
        <w:t>increased native plant species diversity at multiple spatial scales following the inundation of littoral zones by spring</w:t>
      </w:r>
      <w:r>
        <w:rPr>
          <w:rFonts w:ascii="Calibri" w:hAnsi="Calibri" w:cs="Calibri"/>
          <w:szCs w:val="21"/>
          <w:lang w:eastAsia="en-AU"/>
        </w:rPr>
        <w:t>–</w:t>
      </w:r>
      <w:r>
        <w:rPr>
          <w:szCs w:val="21"/>
          <w:lang w:eastAsia="en-AU"/>
        </w:rPr>
        <w:t>early summer</w:t>
      </w:r>
      <w:r w:rsidRPr="00706288">
        <w:rPr>
          <w:szCs w:val="21"/>
          <w:lang w:eastAsia="en-AU"/>
        </w:rPr>
        <w:t xml:space="preserve"> flows in the LMR, supported by environmental water. </w:t>
      </w:r>
      <w:r>
        <w:rPr>
          <w:szCs w:val="21"/>
          <w:lang w:eastAsia="en-AU"/>
        </w:rPr>
        <w:t xml:space="preserve">The </w:t>
      </w:r>
      <w:r w:rsidRPr="002A483B">
        <w:rPr>
          <w:szCs w:val="21"/>
          <w:lang w:eastAsia="en-AU"/>
        </w:rPr>
        <w:t>above-ground biomass</w:t>
      </w:r>
      <w:r>
        <w:rPr>
          <w:szCs w:val="21"/>
          <w:lang w:eastAsia="en-AU"/>
        </w:rPr>
        <w:t xml:space="preserve"> of understory vegetation also increased due to increased soil moisture, indicating increased littoral vegetation productivity. Furthermore, environmental water</w:t>
      </w:r>
      <w:r w:rsidRPr="000C21F4">
        <w:rPr>
          <w:szCs w:val="21"/>
          <w:lang w:eastAsia="en-AU"/>
        </w:rPr>
        <w:t xml:space="preserve"> delivery also provided hydrological conditions to support</w:t>
      </w:r>
      <w:r w:rsidR="00214B39">
        <w:rPr>
          <w:szCs w:val="21"/>
          <w:lang w:eastAsia="en-AU"/>
        </w:rPr>
        <w:t xml:space="preserve"> river red gum</w:t>
      </w:r>
      <w:r>
        <w:rPr>
          <w:szCs w:val="21"/>
          <w:lang w:eastAsia="en-AU"/>
        </w:rPr>
        <w:t xml:space="preserve"> </w:t>
      </w:r>
      <w:r w:rsidR="00214B39">
        <w:rPr>
          <w:szCs w:val="21"/>
          <w:lang w:eastAsia="en-AU"/>
        </w:rPr>
        <w:t>(</w:t>
      </w:r>
      <w:r w:rsidRPr="000C21F4">
        <w:rPr>
          <w:i/>
          <w:iCs/>
          <w:szCs w:val="21"/>
          <w:lang w:eastAsia="en-AU"/>
        </w:rPr>
        <w:t>Eucalyptus camaldulensis</w:t>
      </w:r>
      <w:r w:rsidR="00214B39">
        <w:rPr>
          <w:szCs w:val="21"/>
          <w:lang w:eastAsia="en-AU"/>
        </w:rPr>
        <w:t xml:space="preserve">) </w:t>
      </w:r>
      <w:r>
        <w:rPr>
          <w:szCs w:val="21"/>
          <w:lang w:eastAsia="en-AU"/>
        </w:rPr>
        <w:t xml:space="preserve">survival, </w:t>
      </w:r>
      <w:r w:rsidRPr="000C21F4">
        <w:rPr>
          <w:szCs w:val="21"/>
          <w:lang w:eastAsia="en-AU"/>
        </w:rPr>
        <w:t>with many seedlings</w:t>
      </w:r>
      <w:r>
        <w:rPr>
          <w:szCs w:val="21"/>
          <w:lang w:eastAsia="en-AU"/>
        </w:rPr>
        <w:t xml:space="preserve"> geminated in 2019-20, developing </w:t>
      </w:r>
      <w:r w:rsidRPr="000C21F4">
        <w:rPr>
          <w:szCs w:val="21"/>
          <w:lang w:eastAsia="en-AU"/>
        </w:rPr>
        <w:t>into saplings</w:t>
      </w:r>
      <w:r>
        <w:rPr>
          <w:szCs w:val="21"/>
          <w:lang w:eastAsia="en-AU"/>
        </w:rPr>
        <w:t xml:space="preserve"> in 2020-21</w:t>
      </w:r>
      <w:r w:rsidRPr="000C21F4">
        <w:rPr>
          <w:szCs w:val="21"/>
          <w:lang w:eastAsia="en-AU"/>
        </w:rPr>
        <w:t xml:space="preserve">. </w:t>
      </w:r>
    </w:p>
    <w:bookmarkEnd w:id="377"/>
    <w:p w14:paraId="7B223268" w14:textId="5123AB7F" w:rsidR="008B2D8A" w:rsidRPr="00706288" w:rsidRDefault="008B2D8A" w:rsidP="008B2D8A">
      <w:pPr>
        <w:rPr>
          <w:szCs w:val="21"/>
        </w:rPr>
      </w:pPr>
      <w:r w:rsidRPr="00706288">
        <w:rPr>
          <w:szCs w:val="21"/>
        </w:rPr>
        <w:t>Increased flows supported by environmental water promoted water mixing (velocities &gt;0.2 m/s) and oxygen exchange at the surface, which</w:t>
      </w:r>
      <w:r>
        <w:rPr>
          <w:szCs w:val="21"/>
        </w:rPr>
        <w:t xml:space="preserve"> was considered to</w:t>
      </w:r>
      <w:r w:rsidRPr="00706288">
        <w:rPr>
          <w:szCs w:val="21"/>
        </w:rPr>
        <w:t xml:space="preserve"> </w:t>
      </w:r>
      <w:r>
        <w:rPr>
          <w:szCs w:val="21"/>
        </w:rPr>
        <w:t xml:space="preserve">have </w:t>
      </w:r>
      <w:r w:rsidRPr="00706288">
        <w:rPr>
          <w:szCs w:val="21"/>
        </w:rPr>
        <w:t xml:space="preserve">made a significant contribution to reducing the risk of low dissolved oxygen (DO) in the LMR. </w:t>
      </w:r>
      <w:r>
        <w:rPr>
          <w:szCs w:val="21"/>
        </w:rPr>
        <w:t>During 2020-21, t</w:t>
      </w:r>
      <w:r w:rsidRPr="00706288">
        <w:rPr>
          <w:szCs w:val="21"/>
        </w:rPr>
        <w:t xml:space="preserve">he potential low </w:t>
      </w:r>
      <w:r w:rsidR="005C57BC">
        <w:rPr>
          <w:szCs w:val="21"/>
        </w:rPr>
        <w:t>DO</w:t>
      </w:r>
      <w:r w:rsidRPr="00706288">
        <w:rPr>
          <w:szCs w:val="21"/>
        </w:rPr>
        <w:t xml:space="preserve"> period in the main channel was reduced </w:t>
      </w:r>
      <w:r>
        <w:rPr>
          <w:szCs w:val="21"/>
        </w:rPr>
        <w:t>by</w:t>
      </w:r>
      <w:r w:rsidRPr="00706288">
        <w:rPr>
          <w:szCs w:val="21"/>
        </w:rPr>
        <w:t xml:space="preserve"> </w:t>
      </w:r>
      <w:r>
        <w:rPr>
          <w:szCs w:val="21"/>
        </w:rPr>
        <w:t>55</w:t>
      </w:r>
      <w:r>
        <w:rPr>
          <w:rFonts w:ascii="Calibri" w:hAnsi="Calibri" w:cs="Calibri"/>
          <w:szCs w:val="21"/>
        </w:rPr>
        <w:t>–</w:t>
      </w:r>
      <w:r>
        <w:rPr>
          <w:szCs w:val="21"/>
        </w:rPr>
        <w:t>100</w:t>
      </w:r>
      <w:r w:rsidRPr="00706288">
        <w:rPr>
          <w:szCs w:val="21"/>
        </w:rPr>
        <w:t xml:space="preserve"> days</w:t>
      </w:r>
      <w:r>
        <w:rPr>
          <w:szCs w:val="21"/>
        </w:rPr>
        <w:t xml:space="preserve"> (varied between reaches)</w:t>
      </w:r>
      <w:r w:rsidRPr="00706288">
        <w:rPr>
          <w:szCs w:val="21"/>
        </w:rPr>
        <w:t xml:space="preserve"> </w:t>
      </w:r>
      <w:r>
        <w:rPr>
          <w:szCs w:val="21"/>
        </w:rPr>
        <w:t xml:space="preserve">due to </w:t>
      </w:r>
      <w:r w:rsidRPr="00706288">
        <w:rPr>
          <w:szCs w:val="21"/>
        </w:rPr>
        <w:t>environmental water, primarily associated with the spring</w:t>
      </w:r>
      <w:r>
        <w:rPr>
          <w:rFonts w:ascii="Calibri" w:hAnsi="Calibri" w:cs="Calibri"/>
          <w:szCs w:val="21"/>
        </w:rPr>
        <w:t>–</w:t>
      </w:r>
      <w:r>
        <w:rPr>
          <w:szCs w:val="21"/>
        </w:rPr>
        <w:t>early summer</w:t>
      </w:r>
      <w:r w:rsidRPr="00706288">
        <w:rPr>
          <w:szCs w:val="21"/>
        </w:rPr>
        <w:t xml:space="preserve"> flow pulse. </w:t>
      </w:r>
      <w:r w:rsidRPr="00EB035E">
        <w:rPr>
          <w:szCs w:val="21"/>
        </w:rPr>
        <w:t xml:space="preserve">Without environmental water, the period </w:t>
      </w:r>
      <w:r w:rsidR="00EB035E" w:rsidRPr="00EB035E">
        <w:rPr>
          <w:szCs w:val="21"/>
        </w:rPr>
        <w:t xml:space="preserve">of </w:t>
      </w:r>
      <w:r w:rsidRPr="00EB035E">
        <w:rPr>
          <w:szCs w:val="21"/>
        </w:rPr>
        <w:t xml:space="preserve">low risk </w:t>
      </w:r>
      <w:r w:rsidR="00EB035E" w:rsidRPr="00EB035E">
        <w:rPr>
          <w:szCs w:val="21"/>
        </w:rPr>
        <w:t>was short</w:t>
      </w:r>
      <w:r w:rsidRPr="00EB035E">
        <w:rPr>
          <w:szCs w:val="21"/>
        </w:rPr>
        <w:t xml:space="preserve">, for example, </w:t>
      </w:r>
      <w:r w:rsidR="00EB035E" w:rsidRPr="00EB035E">
        <w:rPr>
          <w:szCs w:val="21"/>
        </w:rPr>
        <w:t>only</w:t>
      </w:r>
      <w:r w:rsidRPr="00EB035E">
        <w:rPr>
          <w:szCs w:val="21"/>
        </w:rPr>
        <w:t xml:space="preserve"> 7 and 10 days at downstream of Locks 1 and 4, respectively.</w:t>
      </w:r>
      <w:r>
        <w:rPr>
          <w:szCs w:val="21"/>
        </w:rPr>
        <w:t xml:space="preserve"> </w:t>
      </w:r>
      <w:r w:rsidRPr="00706288">
        <w:rPr>
          <w:szCs w:val="21"/>
        </w:rPr>
        <w:t>Maintaining DO is particularly important during spring</w:t>
      </w:r>
      <w:r w:rsidRPr="00706288">
        <w:rPr>
          <w:szCs w:val="21"/>
          <w:lang w:eastAsia="en-AU"/>
        </w:rPr>
        <w:t>–</w:t>
      </w:r>
      <w:r w:rsidRPr="00706288">
        <w:rPr>
          <w:szCs w:val="21"/>
        </w:rPr>
        <w:t>summer as this period corresponds with high ecosystem respiration rates and is the primary reproductive season of many species that generally favour DO &gt;5 mg/L</w:t>
      </w:r>
      <w:r w:rsidR="00F53458">
        <w:rPr>
          <w:szCs w:val="21"/>
        </w:rPr>
        <w:t>, noting w</w:t>
      </w:r>
      <w:r w:rsidR="00F53458" w:rsidRPr="00F53458">
        <w:rPr>
          <w:szCs w:val="21"/>
        </w:rPr>
        <w:t>armer water also has a lower saturation concentration</w:t>
      </w:r>
      <w:r w:rsidR="00F53458">
        <w:rPr>
          <w:szCs w:val="21"/>
        </w:rPr>
        <w:t xml:space="preserve"> of DO.</w:t>
      </w:r>
      <w:r w:rsidR="00F53458" w:rsidRPr="00706288">
        <w:rPr>
          <w:szCs w:val="21"/>
        </w:rPr>
        <w:t xml:space="preserve"> </w:t>
      </w:r>
      <w:r w:rsidRPr="00706288">
        <w:rPr>
          <w:szCs w:val="21"/>
        </w:rPr>
        <w:t xml:space="preserve">The consequences of low DO on survival of aquatic biota are evident by extensive fish kills during the 2016-17 hypoxic black water </w:t>
      </w:r>
      <w:r w:rsidRPr="002D309D">
        <w:rPr>
          <w:szCs w:val="21"/>
        </w:rPr>
        <w:t>event in the Murray River, and more recent fish kills in the Darling River during 2018–2020.</w:t>
      </w:r>
    </w:p>
    <w:p w14:paraId="69F4AE86" w14:textId="3304D383" w:rsidR="008B2D8A" w:rsidRDefault="008B2D8A" w:rsidP="008B2D8A">
      <w:pPr>
        <w:rPr>
          <w:szCs w:val="21"/>
          <w:lang w:eastAsia="en-AU"/>
        </w:rPr>
      </w:pPr>
      <w:r>
        <w:rPr>
          <w:szCs w:val="21"/>
          <w:lang w:eastAsia="en-AU"/>
        </w:rPr>
        <w:t>As in the previous six years</w:t>
      </w:r>
      <w:r w:rsidRPr="00706288">
        <w:rPr>
          <w:szCs w:val="21"/>
          <w:lang w:eastAsia="en-AU"/>
        </w:rPr>
        <w:t xml:space="preserve">, the estimated increase in primary production </w:t>
      </w:r>
      <w:r>
        <w:rPr>
          <w:szCs w:val="21"/>
          <w:lang w:eastAsia="en-AU"/>
        </w:rPr>
        <w:t xml:space="preserve">(average over the monitoring period) </w:t>
      </w:r>
      <w:r w:rsidRPr="00706288">
        <w:rPr>
          <w:szCs w:val="21"/>
          <w:lang w:eastAsia="en-AU"/>
        </w:rPr>
        <w:t xml:space="preserve">by environmental water </w:t>
      </w:r>
      <w:r>
        <w:rPr>
          <w:szCs w:val="21"/>
          <w:lang w:eastAsia="en-AU"/>
        </w:rPr>
        <w:t xml:space="preserve">remained low (e.g. </w:t>
      </w:r>
      <w:r w:rsidRPr="00706288">
        <w:rPr>
          <w:szCs w:val="21"/>
          <w:lang w:eastAsia="en-AU"/>
        </w:rPr>
        <w:t>1%</w:t>
      </w:r>
      <w:r>
        <w:rPr>
          <w:szCs w:val="21"/>
          <w:lang w:eastAsia="en-AU"/>
        </w:rPr>
        <w:t xml:space="preserve"> and 3% at downstream of Locks 1 and 6, respectively) in 2020-21</w:t>
      </w:r>
      <w:r w:rsidRPr="00706288">
        <w:rPr>
          <w:szCs w:val="21"/>
          <w:lang w:eastAsia="en-AU"/>
        </w:rPr>
        <w:t xml:space="preserve">, </w:t>
      </w:r>
      <w:r>
        <w:rPr>
          <w:szCs w:val="21"/>
          <w:lang w:eastAsia="en-AU"/>
        </w:rPr>
        <w:t>thus indicating n</w:t>
      </w:r>
      <w:r w:rsidRPr="00706288">
        <w:rPr>
          <w:szCs w:val="21"/>
          <w:lang w:eastAsia="en-AU"/>
        </w:rPr>
        <w:t xml:space="preserve">egligible effect on </w:t>
      </w:r>
      <w:r>
        <w:rPr>
          <w:szCs w:val="21"/>
          <w:lang w:eastAsia="en-AU"/>
        </w:rPr>
        <w:t xml:space="preserve">the </w:t>
      </w:r>
      <w:r w:rsidRPr="00706288">
        <w:rPr>
          <w:szCs w:val="21"/>
          <w:lang w:eastAsia="en-AU"/>
        </w:rPr>
        <w:t xml:space="preserve">carrying capacity </w:t>
      </w:r>
      <w:r>
        <w:rPr>
          <w:szCs w:val="21"/>
          <w:lang w:eastAsia="en-AU"/>
        </w:rPr>
        <w:t xml:space="preserve">of organisms </w:t>
      </w:r>
      <w:r w:rsidRPr="00706288">
        <w:rPr>
          <w:szCs w:val="21"/>
          <w:lang w:eastAsia="en-AU"/>
        </w:rPr>
        <w:t>in the LMR.</w:t>
      </w:r>
      <w:r>
        <w:rPr>
          <w:szCs w:val="21"/>
          <w:lang w:eastAsia="en-AU"/>
        </w:rPr>
        <w:t xml:space="preserve"> T</w:t>
      </w:r>
      <w:r w:rsidRPr="00706288">
        <w:rPr>
          <w:szCs w:val="21"/>
          <w:lang w:eastAsia="en-AU"/>
        </w:rPr>
        <w:t>he influence of environmental water delivery on riverine production</w:t>
      </w:r>
      <w:r>
        <w:rPr>
          <w:szCs w:val="21"/>
          <w:lang w:eastAsia="en-AU"/>
        </w:rPr>
        <w:t xml:space="preserve"> in the heavily regulated LMR</w:t>
      </w:r>
      <w:r w:rsidRPr="00706288">
        <w:rPr>
          <w:szCs w:val="21"/>
          <w:lang w:eastAsia="en-AU"/>
        </w:rPr>
        <w:t xml:space="preserve"> </w:t>
      </w:r>
      <w:r>
        <w:rPr>
          <w:szCs w:val="21"/>
          <w:lang w:eastAsia="en-AU"/>
        </w:rPr>
        <w:t xml:space="preserve">is likely </w:t>
      </w:r>
      <w:r w:rsidRPr="00706288">
        <w:rPr>
          <w:szCs w:val="21"/>
          <w:lang w:eastAsia="en-AU"/>
        </w:rPr>
        <w:t>restricted by the stable water levels that characterise weir pool environments during in-channel flows</w:t>
      </w:r>
      <w:r>
        <w:rPr>
          <w:szCs w:val="21"/>
          <w:lang w:eastAsia="en-AU"/>
        </w:rPr>
        <w:t>.</w:t>
      </w:r>
      <w:r w:rsidRPr="00706288">
        <w:rPr>
          <w:szCs w:val="21"/>
          <w:lang w:eastAsia="en-AU"/>
        </w:rPr>
        <w:t xml:space="preserve"> </w:t>
      </w:r>
      <w:r>
        <w:rPr>
          <w:szCs w:val="21"/>
          <w:lang w:eastAsia="en-AU"/>
        </w:rPr>
        <w:t xml:space="preserve">In contrast, </w:t>
      </w:r>
      <w:r w:rsidRPr="00706288">
        <w:rPr>
          <w:szCs w:val="21"/>
          <w:lang w:eastAsia="en-AU"/>
        </w:rPr>
        <w:t>in ‘</w:t>
      </w:r>
      <w:r>
        <w:rPr>
          <w:szCs w:val="21"/>
          <w:lang w:eastAsia="en-AU"/>
        </w:rPr>
        <w:t xml:space="preserve">less </w:t>
      </w:r>
      <w:r w:rsidRPr="00706288">
        <w:rPr>
          <w:szCs w:val="21"/>
          <w:lang w:eastAsia="en-AU"/>
        </w:rPr>
        <w:t xml:space="preserve">regulated’ river reaches of the Murray River (e.g. adjacent to the Hattah Lakes), environmental water could lead to substantial increases in riverine production (e.g. 31% in cross-sectional GPP, during 2017-18) (Ye </w:t>
      </w:r>
      <w:r w:rsidRPr="00706288">
        <w:rPr>
          <w:i/>
          <w:iCs/>
          <w:szCs w:val="21"/>
          <w:lang w:eastAsia="en-AU"/>
        </w:rPr>
        <w:t>et al.</w:t>
      </w:r>
      <w:r w:rsidRPr="00706288">
        <w:rPr>
          <w:szCs w:val="21"/>
          <w:lang w:eastAsia="en-AU"/>
        </w:rPr>
        <w:t xml:space="preserve"> 2020</w:t>
      </w:r>
      <w:r w:rsidR="0036505B">
        <w:rPr>
          <w:szCs w:val="21"/>
          <w:lang w:eastAsia="en-AU"/>
        </w:rPr>
        <w:t>a</w:t>
      </w:r>
      <w:r w:rsidRPr="00706288">
        <w:rPr>
          <w:szCs w:val="21"/>
          <w:lang w:eastAsia="en-AU"/>
        </w:rPr>
        <w:t xml:space="preserve">). </w:t>
      </w:r>
      <w:r>
        <w:rPr>
          <w:szCs w:val="21"/>
          <w:lang w:eastAsia="en-AU"/>
        </w:rPr>
        <w:t>Furthermore, the relatively short duration of the flow pulse (i.e. 18 days &gt;15,000 ML/d) would have mitigated seasonal (six months) average of the production response. In fact, larger producti</w:t>
      </w:r>
      <w:r w:rsidR="003B67ED">
        <w:rPr>
          <w:szCs w:val="21"/>
          <w:lang w:eastAsia="en-AU"/>
        </w:rPr>
        <w:t>vity</w:t>
      </w:r>
      <w:r>
        <w:rPr>
          <w:szCs w:val="21"/>
          <w:lang w:eastAsia="en-AU"/>
        </w:rPr>
        <w:t xml:space="preserve"> increases occurred during </w:t>
      </w:r>
      <w:r w:rsidRPr="00566533">
        <w:rPr>
          <w:szCs w:val="21"/>
          <w:lang w:eastAsia="en-AU"/>
        </w:rPr>
        <w:t>the flow pulses</w:t>
      </w:r>
      <w:r w:rsidR="003B67ED">
        <w:rPr>
          <w:szCs w:val="21"/>
          <w:lang w:eastAsia="en-AU"/>
        </w:rPr>
        <w:t xml:space="preserve"> than the seasonal average</w:t>
      </w:r>
      <w:r>
        <w:rPr>
          <w:szCs w:val="21"/>
          <w:lang w:eastAsia="en-AU"/>
        </w:rPr>
        <w:t xml:space="preserve">, and their implication on riverine </w:t>
      </w:r>
      <w:r w:rsidRPr="00566533">
        <w:rPr>
          <w:szCs w:val="21"/>
          <w:lang w:eastAsia="en-AU"/>
        </w:rPr>
        <w:t>food web</w:t>
      </w:r>
      <w:r>
        <w:rPr>
          <w:szCs w:val="21"/>
          <w:lang w:eastAsia="en-AU"/>
        </w:rPr>
        <w:t xml:space="preserve"> warrants further investigation</w:t>
      </w:r>
      <w:r w:rsidRPr="00566533">
        <w:rPr>
          <w:szCs w:val="21"/>
          <w:lang w:eastAsia="en-AU"/>
        </w:rPr>
        <w:t>.</w:t>
      </w:r>
      <w:r>
        <w:rPr>
          <w:szCs w:val="21"/>
          <w:lang w:eastAsia="en-AU"/>
        </w:rPr>
        <w:t xml:space="preserve"> Similarly, the effect of environmental flows on seasonal decomposition rates, estimated as b</w:t>
      </w:r>
      <w:r w:rsidRPr="003D157C">
        <w:rPr>
          <w:szCs w:val="21"/>
          <w:lang w:eastAsia="en-AU"/>
        </w:rPr>
        <w:t>acterial respiration (BCR),</w:t>
      </w:r>
      <w:r>
        <w:rPr>
          <w:szCs w:val="21"/>
          <w:lang w:eastAsia="en-AU"/>
        </w:rPr>
        <w:t xml:space="preserve"> has generally been small in the LMR. However,</w:t>
      </w:r>
      <w:r w:rsidRPr="00D55B27">
        <w:rPr>
          <w:szCs w:val="21"/>
          <w:lang w:eastAsia="en-AU"/>
        </w:rPr>
        <w:t xml:space="preserve"> </w:t>
      </w:r>
      <w:r>
        <w:rPr>
          <w:szCs w:val="21"/>
          <w:lang w:eastAsia="en-AU"/>
        </w:rPr>
        <w:t xml:space="preserve">in 2020-21, there were </w:t>
      </w:r>
      <w:r w:rsidRPr="00D55B27">
        <w:rPr>
          <w:szCs w:val="21"/>
          <w:lang w:eastAsia="en-AU"/>
        </w:rPr>
        <w:t xml:space="preserve">moderate increases </w:t>
      </w:r>
      <w:r>
        <w:rPr>
          <w:szCs w:val="21"/>
          <w:lang w:eastAsia="en-AU"/>
        </w:rPr>
        <w:t>in BCR</w:t>
      </w:r>
      <w:r w:rsidR="00B86DF7">
        <w:rPr>
          <w:szCs w:val="21"/>
          <w:lang w:eastAsia="en-AU"/>
        </w:rPr>
        <w:t xml:space="preserve"> by</w:t>
      </w:r>
      <w:r>
        <w:rPr>
          <w:szCs w:val="21"/>
          <w:lang w:eastAsia="en-AU"/>
        </w:rPr>
        <w:t xml:space="preserve"> </w:t>
      </w:r>
      <w:r w:rsidR="00B86DF7">
        <w:rPr>
          <w:szCs w:val="21"/>
          <w:lang w:eastAsia="en-AU"/>
        </w:rPr>
        <w:t xml:space="preserve">12% and 15 % downstream of Locks 4 and 6, respectively, </w:t>
      </w:r>
      <w:r>
        <w:rPr>
          <w:szCs w:val="21"/>
          <w:lang w:eastAsia="en-AU"/>
        </w:rPr>
        <w:t>due to environmental water in</w:t>
      </w:r>
      <w:r w:rsidR="00B86DF7">
        <w:rPr>
          <w:szCs w:val="21"/>
          <w:lang w:eastAsia="en-AU"/>
        </w:rPr>
        <w:t>undating</w:t>
      </w:r>
      <w:r>
        <w:rPr>
          <w:szCs w:val="21"/>
          <w:lang w:eastAsia="en-AU"/>
        </w:rPr>
        <w:t xml:space="preserve"> the</w:t>
      </w:r>
      <w:r w:rsidR="00B86DF7">
        <w:rPr>
          <w:szCs w:val="21"/>
          <w:lang w:eastAsia="en-AU"/>
        </w:rPr>
        <w:t xml:space="preserve"> littoral zone </w:t>
      </w:r>
      <w:r>
        <w:rPr>
          <w:szCs w:val="21"/>
          <w:lang w:eastAsia="en-AU"/>
        </w:rPr>
        <w:t xml:space="preserve">of the LMR, suggesting increased basal food resources to the river. </w:t>
      </w:r>
    </w:p>
    <w:p w14:paraId="6AD83680" w14:textId="0FEF09C5" w:rsidR="008B2D8A" w:rsidRDefault="008B2D8A" w:rsidP="008B2D8A">
      <w:pPr>
        <w:rPr>
          <w:szCs w:val="21"/>
          <w:lang w:eastAsia="en-AU"/>
        </w:rPr>
      </w:pPr>
      <w:bookmarkStart w:id="378" w:name="_Hlk66718179"/>
      <w:r>
        <w:rPr>
          <w:szCs w:val="21"/>
          <w:lang w:eastAsia="en-AU"/>
        </w:rPr>
        <w:t>D</w:t>
      </w:r>
      <w:r w:rsidRPr="00706288">
        <w:rPr>
          <w:szCs w:val="21"/>
          <w:lang w:eastAsia="en-AU"/>
        </w:rPr>
        <w:t>uring spring–summer 20</w:t>
      </w:r>
      <w:r>
        <w:rPr>
          <w:szCs w:val="21"/>
          <w:lang w:eastAsia="en-AU"/>
        </w:rPr>
        <w:t>20-21</w:t>
      </w:r>
      <w:r w:rsidRPr="00706288">
        <w:rPr>
          <w:szCs w:val="21"/>
          <w:lang w:eastAsia="en-AU"/>
        </w:rPr>
        <w:t xml:space="preserve">, environmental flows were estimated (through modelling) to </w:t>
      </w:r>
      <w:r>
        <w:rPr>
          <w:szCs w:val="21"/>
          <w:lang w:eastAsia="en-AU"/>
        </w:rPr>
        <w:t>contribute</w:t>
      </w:r>
      <w:r w:rsidRPr="004B0298">
        <w:rPr>
          <w:szCs w:val="21"/>
          <w:lang w:eastAsia="en-AU"/>
        </w:rPr>
        <w:t xml:space="preserve"> to</w:t>
      </w:r>
      <w:r>
        <w:rPr>
          <w:szCs w:val="21"/>
          <w:lang w:eastAsia="en-AU"/>
        </w:rPr>
        <w:t xml:space="preserve"> a</w:t>
      </w:r>
      <w:r w:rsidRPr="004B0298">
        <w:rPr>
          <w:szCs w:val="21"/>
          <w:lang w:eastAsia="en-AU"/>
        </w:rPr>
        <w:t xml:space="preserve"> </w:t>
      </w:r>
      <w:r>
        <w:rPr>
          <w:szCs w:val="21"/>
          <w:lang w:eastAsia="en-AU"/>
        </w:rPr>
        <w:t xml:space="preserve">33% increase in </w:t>
      </w:r>
      <w:r w:rsidRPr="004B0298">
        <w:rPr>
          <w:szCs w:val="21"/>
          <w:lang w:eastAsia="en-AU"/>
        </w:rPr>
        <w:t>microinvert</w:t>
      </w:r>
      <w:r>
        <w:rPr>
          <w:szCs w:val="21"/>
          <w:lang w:eastAsia="en-AU"/>
        </w:rPr>
        <w:t>ebrate</w:t>
      </w:r>
      <w:r w:rsidRPr="004B0298">
        <w:rPr>
          <w:szCs w:val="21"/>
          <w:lang w:eastAsia="en-AU"/>
        </w:rPr>
        <w:t xml:space="preserve"> </w:t>
      </w:r>
      <w:r>
        <w:rPr>
          <w:szCs w:val="21"/>
          <w:lang w:eastAsia="en-AU"/>
        </w:rPr>
        <w:t>density</w:t>
      </w:r>
      <w:r w:rsidRPr="004B0298">
        <w:rPr>
          <w:szCs w:val="21"/>
          <w:lang w:eastAsia="en-AU"/>
        </w:rPr>
        <w:t>, dominated by larger</w:t>
      </w:r>
      <w:r>
        <w:rPr>
          <w:szCs w:val="21"/>
          <w:lang w:eastAsia="en-AU"/>
        </w:rPr>
        <w:t>-</w:t>
      </w:r>
      <w:r w:rsidRPr="004B0298">
        <w:rPr>
          <w:szCs w:val="21"/>
          <w:lang w:eastAsia="en-AU"/>
        </w:rPr>
        <w:t xml:space="preserve">bodied rotifers, </w:t>
      </w:r>
      <w:r>
        <w:rPr>
          <w:szCs w:val="21"/>
          <w:lang w:eastAsia="en-AU"/>
        </w:rPr>
        <w:t>and 16</w:t>
      </w:r>
      <w:r w:rsidRPr="004B0298">
        <w:rPr>
          <w:szCs w:val="21"/>
          <w:lang w:eastAsia="en-AU"/>
        </w:rPr>
        <w:t>% increase in taxa richness</w:t>
      </w:r>
      <w:r>
        <w:rPr>
          <w:szCs w:val="21"/>
          <w:lang w:eastAsia="en-AU"/>
        </w:rPr>
        <w:t>. T</w:t>
      </w:r>
      <w:r w:rsidRPr="00706288">
        <w:rPr>
          <w:szCs w:val="21"/>
          <w:lang w:eastAsia="en-AU"/>
        </w:rPr>
        <w:t>h</w:t>
      </w:r>
      <w:r>
        <w:rPr>
          <w:szCs w:val="21"/>
          <w:lang w:eastAsia="en-AU"/>
        </w:rPr>
        <w:t>is</w:t>
      </w:r>
      <w:r w:rsidRPr="00706288">
        <w:rPr>
          <w:szCs w:val="21"/>
          <w:lang w:eastAsia="en-AU"/>
        </w:rPr>
        <w:t xml:space="preserve"> included a </w:t>
      </w:r>
      <w:r>
        <w:rPr>
          <w:szCs w:val="21"/>
          <w:lang w:eastAsia="en-AU"/>
        </w:rPr>
        <w:t xml:space="preserve">substantial </w:t>
      </w:r>
      <w:r w:rsidRPr="00706288">
        <w:rPr>
          <w:szCs w:val="21"/>
          <w:lang w:eastAsia="en-AU"/>
        </w:rPr>
        <w:t>increase</w:t>
      </w:r>
      <w:r>
        <w:rPr>
          <w:szCs w:val="21"/>
          <w:lang w:eastAsia="en-AU"/>
        </w:rPr>
        <w:t xml:space="preserve"> (54%)</w:t>
      </w:r>
      <w:r w:rsidRPr="00706288">
        <w:rPr>
          <w:szCs w:val="21"/>
          <w:lang w:eastAsia="en-AU"/>
        </w:rPr>
        <w:t xml:space="preserve"> in the density of taxa transported downstream</w:t>
      </w:r>
      <w:r>
        <w:rPr>
          <w:szCs w:val="21"/>
          <w:lang w:eastAsia="en-AU"/>
        </w:rPr>
        <w:t xml:space="preserve"> to the LMR </w:t>
      </w:r>
      <w:r w:rsidR="00DA1E52">
        <w:rPr>
          <w:szCs w:val="21"/>
          <w:lang w:eastAsia="en-AU"/>
        </w:rPr>
        <w:t xml:space="preserve">through </w:t>
      </w:r>
      <w:r>
        <w:rPr>
          <w:szCs w:val="21"/>
          <w:lang w:eastAsia="en-AU"/>
        </w:rPr>
        <w:t xml:space="preserve">improved </w:t>
      </w:r>
      <w:r w:rsidRPr="00706288">
        <w:rPr>
          <w:szCs w:val="21"/>
          <w:lang w:eastAsia="en-AU"/>
        </w:rPr>
        <w:t>longitudinal connectivity</w:t>
      </w:r>
      <w:r>
        <w:rPr>
          <w:szCs w:val="21"/>
          <w:lang w:eastAsia="en-AU"/>
        </w:rPr>
        <w:t xml:space="preserve"> (i.e. increased river length </w:t>
      </w:r>
      <w:r w:rsidR="00DA1E52">
        <w:rPr>
          <w:szCs w:val="21"/>
          <w:lang w:eastAsia="en-AU"/>
        </w:rPr>
        <w:t xml:space="preserve">with flow </w:t>
      </w:r>
      <w:r w:rsidR="00DA1E52" w:rsidRPr="00405AA8">
        <w:rPr>
          <w:szCs w:val="21"/>
          <w:lang w:eastAsia="en-AU"/>
        </w:rPr>
        <w:t>velocity</w:t>
      </w:r>
      <w:r w:rsidR="00DA1E52">
        <w:rPr>
          <w:szCs w:val="21"/>
          <w:lang w:eastAsia="en-AU"/>
        </w:rPr>
        <w:t xml:space="preserve"> </w:t>
      </w:r>
      <w:r w:rsidR="00DA1E52" w:rsidRPr="00405AA8">
        <w:rPr>
          <w:szCs w:val="21"/>
          <w:lang w:eastAsia="en-AU"/>
        </w:rPr>
        <w:t>&gt;0.2 m/s</w:t>
      </w:r>
      <w:r w:rsidR="00DA1E52">
        <w:rPr>
          <w:szCs w:val="21"/>
          <w:lang w:eastAsia="en-AU"/>
        </w:rPr>
        <w:t xml:space="preserve"> </w:t>
      </w:r>
      <w:r>
        <w:rPr>
          <w:szCs w:val="21"/>
          <w:lang w:eastAsia="en-AU"/>
        </w:rPr>
        <w:t>x days</w:t>
      </w:r>
      <w:bookmarkStart w:id="379" w:name="_Hlk67609663"/>
      <w:r w:rsidR="00DA1E52">
        <w:rPr>
          <w:szCs w:val="21"/>
          <w:lang w:eastAsia="en-AU"/>
        </w:rPr>
        <w:t>)</w:t>
      </w:r>
      <w:r>
        <w:rPr>
          <w:szCs w:val="21"/>
          <w:lang w:eastAsia="en-AU"/>
        </w:rPr>
        <w:t xml:space="preserve"> of 4,019</w:t>
      </w:r>
      <w:r w:rsidRPr="00405AA8">
        <w:rPr>
          <w:szCs w:val="21"/>
          <w:lang w:eastAsia="en-AU"/>
        </w:rPr>
        <w:t xml:space="preserve"> km </w:t>
      </w:r>
      <w:r>
        <w:rPr>
          <w:szCs w:val="21"/>
          <w:lang w:eastAsia="en-AU"/>
        </w:rPr>
        <w:t>d. The longitudinal dispersal is a vital process in maintaining microinvertebrae genetic and species diversity in downstream communities. Further, as microinvertebrates are important prey items for a range of higher trophic organisms, i</w:t>
      </w:r>
      <w:r w:rsidRPr="00145B77">
        <w:rPr>
          <w:szCs w:val="21"/>
          <w:lang w:eastAsia="en-AU"/>
        </w:rPr>
        <w:t xml:space="preserve">ncreases in </w:t>
      </w:r>
      <w:r>
        <w:rPr>
          <w:szCs w:val="21"/>
          <w:lang w:eastAsia="en-AU"/>
        </w:rPr>
        <w:t xml:space="preserve">their </w:t>
      </w:r>
      <w:r w:rsidRPr="00145B77">
        <w:rPr>
          <w:szCs w:val="21"/>
          <w:lang w:eastAsia="en-AU"/>
        </w:rPr>
        <w:t>density</w:t>
      </w:r>
      <w:r>
        <w:rPr>
          <w:szCs w:val="21"/>
          <w:lang w:eastAsia="en-AU"/>
        </w:rPr>
        <w:t xml:space="preserve"> and diversity </w:t>
      </w:r>
      <w:r w:rsidRPr="00752940">
        <w:rPr>
          <w:szCs w:val="21"/>
          <w:lang w:eastAsia="en-AU"/>
        </w:rPr>
        <w:t xml:space="preserve">are likely to have positive impacts on food webs (Cooper and Goldman 1980; Vinyard 1980). </w:t>
      </w:r>
      <w:r w:rsidR="0014455D" w:rsidRPr="00752940">
        <w:rPr>
          <w:szCs w:val="21"/>
          <w:lang w:eastAsia="en-AU"/>
        </w:rPr>
        <w:t xml:space="preserve">In 2020-21, however, modelling estimated density decreases of 20% for floodplain/littoral habitat associated taxa and 41% for preferred prey </w:t>
      </w:r>
      <w:r w:rsidR="0014455D" w:rsidRPr="00DA1E52">
        <w:rPr>
          <w:szCs w:val="21"/>
          <w:lang w:eastAsia="en-AU"/>
        </w:rPr>
        <w:t>species of large-bodied native fish larvae (including Murray cod) due to environmental water, although the decreases were mainly driven by a single microcrustacean species (</w:t>
      </w:r>
      <w:r w:rsidR="0014455D" w:rsidRPr="00DA1E52">
        <w:rPr>
          <w:i/>
          <w:iCs/>
          <w:szCs w:val="21"/>
          <w:lang w:eastAsia="en-AU"/>
        </w:rPr>
        <w:t>Bosmina meridionalis</w:t>
      </w:r>
      <w:r w:rsidR="0014455D" w:rsidRPr="00DA1E52">
        <w:rPr>
          <w:szCs w:val="21"/>
          <w:lang w:eastAsia="en-AU"/>
        </w:rPr>
        <w:t xml:space="preserve">). </w:t>
      </w:r>
      <w:r w:rsidR="0014455D">
        <w:rPr>
          <w:szCs w:val="21"/>
          <w:lang w:eastAsia="en-AU"/>
        </w:rPr>
        <w:t xml:space="preserve">Such </w:t>
      </w:r>
      <w:r w:rsidR="0014455D" w:rsidRPr="00DA1E52">
        <w:rPr>
          <w:szCs w:val="21"/>
          <w:lang w:eastAsia="en-AU"/>
        </w:rPr>
        <w:t>impact by environmental water on the microinvert</w:t>
      </w:r>
      <w:r w:rsidR="0014455D">
        <w:rPr>
          <w:szCs w:val="21"/>
          <w:lang w:eastAsia="en-AU"/>
        </w:rPr>
        <w:t>e</w:t>
      </w:r>
      <w:r w:rsidR="0014455D" w:rsidRPr="00DA1E52">
        <w:rPr>
          <w:szCs w:val="21"/>
          <w:lang w:eastAsia="en-AU"/>
        </w:rPr>
        <w:t>brate prey was the first recorded since 2014-15. Microcrustaceans, as the preferred prey for large-bodied fish larvae, generally require slackwater to reproduce, with many species preferring spring</w:t>
      </w:r>
      <w:r w:rsidR="0014455D" w:rsidRPr="00DA1E52">
        <w:rPr>
          <w:rFonts w:ascii="Calibri" w:hAnsi="Calibri" w:cs="Calibri"/>
          <w:szCs w:val="21"/>
          <w:lang w:eastAsia="en-AU"/>
        </w:rPr>
        <w:t>–</w:t>
      </w:r>
      <w:r w:rsidR="0014455D" w:rsidRPr="00DA1E52">
        <w:rPr>
          <w:rFonts w:cs="Calibri"/>
          <w:szCs w:val="21"/>
          <w:lang w:eastAsia="en-AU"/>
        </w:rPr>
        <w:t xml:space="preserve">early summer conditions (Shiel </w:t>
      </w:r>
      <w:r w:rsidR="0014455D" w:rsidRPr="00DA1E52">
        <w:rPr>
          <w:rFonts w:cs="Calibri"/>
          <w:i/>
          <w:iCs/>
          <w:szCs w:val="21"/>
          <w:lang w:eastAsia="en-AU"/>
        </w:rPr>
        <w:t>et al.</w:t>
      </w:r>
      <w:r w:rsidR="0014455D" w:rsidRPr="00DA1E52">
        <w:rPr>
          <w:rFonts w:cs="Calibri"/>
          <w:szCs w:val="21"/>
          <w:lang w:eastAsia="en-AU"/>
        </w:rPr>
        <w:t xml:space="preserve"> 1982). </w:t>
      </w:r>
      <w:r w:rsidR="0014455D">
        <w:rPr>
          <w:rFonts w:cs="Calibri"/>
          <w:szCs w:val="21"/>
          <w:lang w:eastAsia="en-AU"/>
        </w:rPr>
        <w:t>Large areas of slackwater are present during low flow periods due to lack of flow in the main channel, or during higher flow periods when large areas of ephemeral habitat become inundated. However, during t</w:t>
      </w:r>
      <w:r w:rsidR="0014455D" w:rsidRPr="00DA1E52">
        <w:rPr>
          <w:rFonts w:cs="Calibri"/>
          <w:szCs w:val="21"/>
          <w:lang w:eastAsia="en-AU"/>
        </w:rPr>
        <w:t>he</w:t>
      </w:r>
      <w:r w:rsidR="0014455D" w:rsidRPr="00DA1E52">
        <w:rPr>
          <w:szCs w:val="21"/>
          <w:lang w:eastAsia="en-AU"/>
        </w:rPr>
        <w:t xml:space="preserve"> flow pulse </w:t>
      </w:r>
      <w:r w:rsidR="0014455D">
        <w:rPr>
          <w:szCs w:val="21"/>
          <w:lang w:eastAsia="en-AU"/>
        </w:rPr>
        <w:t xml:space="preserve">(moderate flow) </w:t>
      </w:r>
      <w:r w:rsidR="0014455D" w:rsidRPr="00DA1E52">
        <w:rPr>
          <w:szCs w:val="21"/>
          <w:lang w:eastAsia="en-AU"/>
        </w:rPr>
        <w:t>in late spring–early summer 2020</w:t>
      </w:r>
      <w:r w:rsidR="0014455D">
        <w:rPr>
          <w:szCs w:val="21"/>
          <w:lang w:eastAsia="en-AU"/>
        </w:rPr>
        <w:t>,</w:t>
      </w:r>
      <w:r w:rsidR="0014455D" w:rsidRPr="00DA1E52">
        <w:rPr>
          <w:szCs w:val="21"/>
          <w:lang w:eastAsia="en-AU"/>
        </w:rPr>
        <w:t xml:space="preserve"> much of the slackwater habitat</w:t>
      </w:r>
      <w:r w:rsidR="0014455D">
        <w:rPr>
          <w:szCs w:val="21"/>
          <w:lang w:eastAsia="en-AU"/>
        </w:rPr>
        <w:t xml:space="preserve"> that was likely present prior may have been </w:t>
      </w:r>
      <w:r w:rsidR="0099473D" w:rsidRPr="00DA1E52">
        <w:rPr>
          <w:szCs w:val="21"/>
          <w:lang w:eastAsia="en-AU"/>
        </w:rPr>
        <w:t>flushed/eliminated,</w:t>
      </w:r>
      <w:r w:rsidR="0099473D">
        <w:rPr>
          <w:szCs w:val="21"/>
          <w:lang w:eastAsia="en-AU"/>
        </w:rPr>
        <w:t xml:space="preserve"> </w:t>
      </w:r>
      <w:r w:rsidR="0014455D">
        <w:rPr>
          <w:szCs w:val="21"/>
          <w:lang w:eastAsia="en-AU"/>
        </w:rPr>
        <w:t>while little additional ephemeral habitat was inundated,</w:t>
      </w:r>
      <w:r w:rsidR="0014455D" w:rsidRPr="00DA1E52">
        <w:rPr>
          <w:szCs w:val="21"/>
          <w:lang w:eastAsia="en-AU"/>
        </w:rPr>
        <w:t xml:space="preserve"> leading to a reduction in microcrustacean prey species. Notably, the mean larval prey density during spring</w:t>
      </w:r>
      <w:r w:rsidR="0014455D" w:rsidRPr="00DA1E52">
        <w:rPr>
          <w:rFonts w:ascii="Calibri" w:hAnsi="Calibri" w:cs="Calibri"/>
          <w:szCs w:val="21"/>
          <w:lang w:eastAsia="en-AU"/>
        </w:rPr>
        <w:t>–</w:t>
      </w:r>
      <w:r w:rsidR="0014455D" w:rsidRPr="00DA1E52">
        <w:rPr>
          <w:szCs w:val="21"/>
          <w:lang w:eastAsia="en-AU"/>
        </w:rPr>
        <w:t>early summer 2020 has been among the lowest since 2014-15 (except 2016-17), which suggests that reduced food resources during early life stages could be a contributing factor to poor recruitment of Murray cod in 2020-21, relative to other years.</w:t>
      </w:r>
      <w:r w:rsidR="0014455D">
        <w:rPr>
          <w:szCs w:val="21"/>
          <w:lang w:eastAsia="en-AU"/>
        </w:rPr>
        <w:t xml:space="preserve"> </w:t>
      </w:r>
      <w:r>
        <w:rPr>
          <w:szCs w:val="21"/>
          <w:lang w:eastAsia="en-AU"/>
        </w:rPr>
        <w:t xml:space="preserve"> </w:t>
      </w:r>
    </w:p>
    <w:p w14:paraId="03AFB4F4" w14:textId="7F53ABEE" w:rsidR="008B2D8A" w:rsidRDefault="008B2D8A" w:rsidP="008B2D8A">
      <w:pPr>
        <w:rPr>
          <w:szCs w:val="21"/>
          <w:lang w:eastAsia="en-AU"/>
        </w:rPr>
      </w:pPr>
      <w:bookmarkStart w:id="380" w:name="_Hlk96972367"/>
      <w:bookmarkEnd w:id="378"/>
      <w:bookmarkEnd w:id="379"/>
      <w:r>
        <w:rPr>
          <w:szCs w:val="21"/>
          <w:lang w:eastAsia="en-AU"/>
        </w:rPr>
        <w:t>Spawning of silver perch and golden perch</w:t>
      </w:r>
      <w:r w:rsidRPr="00D51B25">
        <w:rPr>
          <w:szCs w:val="21"/>
          <w:lang w:eastAsia="en-AU"/>
        </w:rPr>
        <w:t xml:space="preserve"> </w:t>
      </w:r>
      <w:r>
        <w:rPr>
          <w:szCs w:val="21"/>
          <w:lang w:eastAsia="en-AU"/>
        </w:rPr>
        <w:t xml:space="preserve">coincided with environmental water delivery in the </w:t>
      </w:r>
      <w:r w:rsidR="005C1F4F">
        <w:rPr>
          <w:szCs w:val="21"/>
          <w:lang w:eastAsia="en-AU"/>
        </w:rPr>
        <w:t>mid-</w:t>
      </w:r>
      <w:r>
        <w:rPr>
          <w:szCs w:val="21"/>
          <w:lang w:eastAsia="en-AU"/>
        </w:rPr>
        <w:t>Murray</w:t>
      </w:r>
      <w:r w:rsidR="0070500C">
        <w:rPr>
          <w:szCs w:val="21"/>
          <w:lang w:eastAsia="en-AU"/>
        </w:rPr>
        <w:t xml:space="preserve"> River</w:t>
      </w:r>
      <w:r>
        <w:rPr>
          <w:szCs w:val="21"/>
          <w:lang w:eastAsia="en-AU"/>
        </w:rPr>
        <w:t xml:space="preserve"> </w:t>
      </w:r>
      <w:r w:rsidR="005C1F4F">
        <w:rPr>
          <w:szCs w:val="21"/>
          <w:lang w:eastAsia="en-AU"/>
        </w:rPr>
        <w:t>to LMR</w:t>
      </w:r>
      <w:r w:rsidR="009F0B5D">
        <w:rPr>
          <w:szCs w:val="21"/>
          <w:lang w:eastAsia="en-AU"/>
        </w:rPr>
        <w:t xml:space="preserve"> </w:t>
      </w:r>
      <w:r>
        <w:rPr>
          <w:szCs w:val="21"/>
          <w:lang w:eastAsia="en-AU"/>
        </w:rPr>
        <w:t>during late spring</w:t>
      </w:r>
      <w:r>
        <w:rPr>
          <w:rFonts w:ascii="Calibri" w:hAnsi="Calibri" w:cs="Calibri"/>
          <w:szCs w:val="21"/>
          <w:lang w:eastAsia="en-AU"/>
        </w:rPr>
        <w:t>–</w:t>
      </w:r>
      <w:r>
        <w:rPr>
          <w:szCs w:val="21"/>
          <w:lang w:eastAsia="en-AU"/>
        </w:rPr>
        <w:t>early summer in 2020-21. S</w:t>
      </w:r>
      <w:r w:rsidRPr="00D51B25">
        <w:rPr>
          <w:szCs w:val="21"/>
          <w:lang w:eastAsia="en-AU"/>
        </w:rPr>
        <w:t>ubstantial numbers of silver perch larvae</w:t>
      </w:r>
      <w:r>
        <w:rPr>
          <w:szCs w:val="21"/>
          <w:lang w:eastAsia="en-AU"/>
        </w:rPr>
        <w:t xml:space="preserve"> were</w:t>
      </w:r>
      <w:r w:rsidRPr="00D51B25">
        <w:rPr>
          <w:szCs w:val="21"/>
          <w:lang w:eastAsia="en-AU"/>
        </w:rPr>
        <w:t xml:space="preserve"> </w:t>
      </w:r>
      <w:r>
        <w:rPr>
          <w:szCs w:val="21"/>
          <w:lang w:eastAsia="en-AU"/>
        </w:rPr>
        <w:t xml:space="preserve">collected in the LMR, most of which had </w:t>
      </w:r>
      <w:r w:rsidRPr="003500D4">
        <w:rPr>
          <w:szCs w:val="21"/>
          <w:lang w:eastAsia="en-AU"/>
        </w:rPr>
        <w:t xml:space="preserve">a </w:t>
      </w:r>
      <w:r>
        <w:rPr>
          <w:szCs w:val="21"/>
          <w:lang w:eastAsia="en-AU"/>
        </w:rPr>
        <w:t xml:space="preserve">natal </w:t>
      </w:r>
      <w:r w:rsidRPr="003500D4">
        <w:rPr>
          <w:szCs w:val="21"/>
          <w:lang w:eastAsia="en-AU"/>
        </w:rPr>
        <w:t xml:space="preserve">origin </w:t>
      </w:r>
      <w:r>
        <w:rPr>
          <w:szCs w:val="21"/>
          <w:lang w:eastAsia="en-AU"/>
        </w:rPr>
        <w:t>from</w:t>
      </w:r>
      <w:r w:rsidRPr="003500D4">
        <w:rPr>
          <w:szCs w:val="21"/>
          <w:lang w:eastAsia="en-AU"/>
        </w:rPr>
        <w:t xml:space="preserve"> the lower reaches of the mid</w:t>
      </w:r>
      <w:r>
        <w:rPr>
          <w:szCs w:val="21"/>
          <w:lang w:eastAsia="en-AU"/>
        </w:rPr>
        <w:t>-</w:t>
      </w:r>
      <w:r w:rsidRPr="003500D4">
        <w:rPr>
          <w:szCs w:val="21"/>
          <w:lang w:eastAsia="en-AU"/>
        </w:rPr>
        <w:t>Murray (i.e. upstream of the Darling River junction)</w:t>
      </w:r>
      <w:r>
        <w:rPr>
          <w:szCs w:val="21"/>
          <w:lang w:eastAsia="en-AU"/>
        </w:rPr>
        <w:t>, while a small proportion were from the</w:t>
      </w:r>
      <w:r w:rsidRPr="00D33698">
        <w:rPr>
          <w:szCs w:val="21"/>
          <w:lang w:eastAsia="en-AU"/>
        </w:rPr>
        <w:t xml:space="preserve"> Murray</w:t>
      </w:r>
      <w:r w:rsidR="00086886">
        <w:rPr>
          <w:szCs w:val="21"/>
          <w:lang w:eastAsia="en-AU"/>
        </w:rPr>
        <w:t xml:space="preserve"> River</w:t>
      </w:r>
      <w:r>
        <w:rPr>
          <w:szCs w:val="21"/>
          <w:lang w:eastAsia="en-AU"/>
        </w:rPr>
        <w:t xml:space="preserve"> </w:t>
      </w:r>
      <w:r w:rsidRPr="00D33698">
        <w:rPr>
          <w:szCs w:val="21"/>
          <w:lang w:eastAsia="en-AU"/>
        </w:rPr>
        <w:t>between Lock 6 and Lock 10</w:t>
      </w:r>
      <w:r>
        <w:rPr>
          <w:szCs w:val="21"/>
          <w:lang w:eastAsia="en-AU"/>
        </w:rPr>
        <w:t>.</w:t>
      </w:r>
      <w:r w:rsidRPr="00D33698">
        <w:rPr>
          <w:szCs w:val="21"/>
          <w:lang w:eastAsia="en-AU"/>
        </w:rPr>
        <w:t xml:space="preserve"> </w:t>
      </w:r>
      <w:r>
        <w:rPr>
          <w:szCs w:val="21"/>
          <w:lang w:eastAsia="en-AU"/>
        </w:rPr>
        <w:t>This suggested that the flow regimes during spring</w:t>
      </w:r>
      <w:r>
        <w:rPr>
          <w:rFonts w:ascii="Calibri" w:hAnsi="Calibri" w:cs="Calibri"/>
          <w:szCs w:val="21"/>
          <w:lang w:eastAsia="en-AU"/>
        </w:rPr>
        <w:t>–</w:t>
      </w:r>
      <w:r>
        <w:rPr>
          <w:szCs w:val="21"/>
          <w:lang w:eastAsia="en-AU"/>
        </w:rPr>
        <w:t xml:space="preserve">summer in the </w:t>
      </w:r>
      <w:r w:rsidR="004319B2">
        <w:rPr>
          <w:szCs w:val="21"/>
          <w:lang w:eastAsia="en-AU"/>
        </w:rPr>
        <w:t>mid-Murray River to LMR</w:t>
      </w:r>
      <w:r w:rsidR="00086886">
        <w:rPr>
          <w:szCs w:val="21"/>
          <w:lang w:eastAsia="en-AU"/>
        </w:rPr>
        <w:t xml:space="preserve"> </w:t>
      </w:r>
      <w:r>
        <w:rPr>
          <w:szCs w:val="21"/>
          <w:lang w:eastAsia="en-AU"/>
        </w:rPr>
        <w:t xml:space="preserve">were conducive to promote silver perch spawning and downstream larval drift. Golden perch eggs and a limited number of larvae were also collected in the LMR during this year, with spawning occurring </w:t>
      </w:r>
      <w:r w:rsidR="004319B2">
        <w:rPr>
          <w:szCs w:val="21"/>
          <w:lang w:eastAsia="en-AU"/>
        </w:rPr>
        <w:t xml:space="preserve">from the mid-Murray River to </w:t>
      </w:r>
      <w:r>
        <w:rPr>
          <w:szCs w:val="21"/>
          <w:lang w:eastAsia="en-AU"/>
        </w:rPr>
        <w:t>the LMR. Nevertheless, in autumn 2020-21, no</w:t>
      </w:r>
      <w:r w:rsidRPr="00706288">
        <w:rPr>
          <w:szCs w:val="21"/>
          <w:lang w:eastAsia="en-AU"/>
        </w:rPr>
        <w:t xml:space="preserve"> YOY </w:t>
      </w:r>
      <w:r>
        <w:rPr>
          <w:szCs w:val="21"/>
          <w:lang w:eastAsia="en-AU"/>
        </w:rPr>
        <w:t xml:space="preserve">silver perch or </w:t>
      </w:r>
      <w:r w:rsidRPr="00706288">
        <w:rPr>
          <w:szCs w:val="21"/>
          <w:lang w:eastAsia="en-AU"/>
        </w:rPr>
        <w:t xml:space="preserve">golden perch were detected in the LMR, suggesting </w:t>
      </w:r>
      <w:r w:rsidR="00752940">
        <w:rPr>
          <w:szCs w:val="21"/>
          <w:lang w:eastAsia="en-AU"/>
        </w:rPr>
        <w:t xml:space="preserve">negligible </w:t>
      </w:r>
      <w:r w:rsidRPr="00706288">
        <w:rPr>
          <w:szCs w:val="21"/>
          <w:lang w:eastAsia="en-AU"/>
        </w:rPr>
        <w:t>localised recruitment</w:t>
      </w:r>
      <w:r>
        <w:rPr>
          <w:szCs w:val="21"/>
          <w:lang w:eastAsia="en-AU"/>
        </w:rPr>
        <w:t xml:space="preserve">. </w:t>
      </w:r>
      <w:r w:rsidRPr="00C62B68">
        <w:rPr>
          <w:szCs w:val="21"/>
          <w:lang w:eastAsia="en-AU"/>
        </w:rPr>
        <w:t xml:space="preserve">Future sampling </w:t>
      </w:r>
      <w:r>
        <w:rPr>
          <w:szCs w:val="21"/>
          <w:lang w:eastAsia="en-AU"/>
        </w:rPr>
        <w:t xml:space="preserve">will help </w:t>
      </w:r>
      <w:r w:rsidRPr="00C62B68">
        <w:rPr>
          <w:szCs w:val="21"/>
          <w:lang w:eastAsia="en-AU"/>
        </w:rPr>
        <w:t xml:space="preserve">detect the presence and </w:t>
      </w:r>
      <w:r>
        <w:rPr>
          <w:szCs w:val="21"/>
          <w:lang w:eastAsia="en-AU"/>
        </w:rPr>
        <w:t xml:space="preserve">assess </w:t>
      </w:r>
      <w:r w:rsidRPr="00C62B68">
        <w:rPr>
          <w:szCs w:val="21"/>
          <w:lang w:eastAsia="en-AU"/>
        </w:rPr>
        <w:t>relative strength of recruitment from th</w:t>
      </w:r>
      <w:r>
        <w:rPr>
          <w:szCs w:val="21"/>
          <w:lang w:eastAsia="en-AU"/>
        </w:rPr>
        <w:t>is</w:t>
      </w:r>
      <w:r w:rsidRPr="00C62B68">
        <w:rPr>
          <w:szCs w:val="21"/>
          <w:lang w:eastAsia="en-AU"/>
        </w:rPr>
        <w:t xml:space="preserve"> year</w:t>
      </w:r>
      <w:r>
        <w:rPr>
          <w:szCs w:val="21"/>
          <w:lang w:eastAsia="en-AU"/>
        </w:rPr>
        <w:t>.</w:t>
      </w:r>
      <w:r w:rsidRPr="00C62B68">
        <w:rPr>
          <w:szCs w:val="21"/>
          <w:lang w:eastAsia="en-AU"/>
        </w:rPr>
        <w:t xml:space="preserve"> </w:t>
      </w:r>
      <w:r w:rsidRPr="00706288">
        <w:rPr>
          <w:szCs w:val="21"/>
          <w:lang w:eastAsia="en-AU"/>
        </w:rPr>
        <w:t>With low in-channel flows (&lt;18,000 ML/d) prevailing since the 2016-17 flood, the current (202</w:t>
      </w:r>
      <w:r>
        <w:rPr>
          <w:szCs w:val="21"/>
          <w:lang w:eastAsia="en-AU"/>
        </w:rPr>
        <w:t>1</w:t>
      </w:r>
      <w:r w:rsidRPr="00706288">
        <w:rPr>
          <w:szCs w:val="21"/>
          <w:lang w:eastAsia="en-AU"/>
        </w:rPr>
        <w:t xml:space="preserve">) fish assemblage in the main channel of the LMR </w:t>
      </w:r>
      <w:r>
        <w:rPr>
          <w:szCs w:val="21"/>
          <w:lang w:eastAsia="en-AU"/>
        </w:rPr>
        <w:t xml:space="preserve">continued to </w:t>
      </w:r>
      <w:r w:rsidRPr="00706288">
        <w:rPr>
          <w:szCs w:val="21"/>
          <w:lang w:eastAsia="en-AU"/>
        </w:rPr>
        <w:t>represent one typical of low flows, with high abundances of small-bodied species, and a lack of recruitment of native, large-bodied flow-cued spawners.</w:t>
      </w:r>
      <w:r w:rsidRPr="00B10818">
        <w:t xml:space="preserve"> </w:t>
      </w:r>
      <w:bookmarkStart w:id="381" w:name="_Hlk96977470"/>
      <w:r>
        <w:t xml:space="preserve">However, there was an increase in abundance of Murray cod in 2020-21 </w:t>
      </w:r>
      <w:bookmarkEnd w:id="381"/>
      <w:r w:rsidRPr="000B29BF">
        <w:rPr>
          <w:szCs w:val="21"/>
          <w:lang w:eastAsia="en-AU"/>
        </w:rPr>
        <w:t xml:space="preserve">mainly driven by the survival of fish, now age 1+, from the 2019-20 cohort.  </w:t>
      </w:r>
    </w:p>
    <w:bookmarkEnd w:id="380"/>
    <w:p w14:paraId="06BDB036" w14:textId="4B274B76" w:rsidR="008B2D8A" w:rsidRDefault="008B2D8A" w:rsidP="008B2D8A">
      <w:r>
        <w:rPr>
          <w:szCs w:val="21"/>
        </w:rPr>
        <w:t>Similar to other</w:t>
      </w:r>
      <w:r w:rsidRPr="00706288">
        <w:rPr>
          <w:szCs w:val="21"/>
        </w:rPr>
        <w:t xml:space="preserve"> dry years, in 20</w:t>
      </w:r>
      <w:r>
        <w:rPr>
          <w:szCs w:val="21"/>
        </w:rPr>
        <w:t>20-21</w:t>
      </w:r>
      <w:r w:rsidRPr="00706288">
        <w:rPr>
          <w:szCs w:val="21"/>
        </w:rPr>
        <w:t xml:space="preserve">, Commonwealth environmental water </w:t>
      </w:r>
      <w:r>
        <w:rPr>
          <w:szCs w:val="21"/>
        </w:rPr>
        <w:t>continued to play an important role in supporting barrage flow</w:t>
      </w:r>
      <w:r w:rsidRPr="00706288">
        <w:rPr>
          <w:szCs w:val="21"/>
        </w:rPr>
        <w:t xml:space="preserve"> and maintain</w:t>
      </w:r>
      <w:r>
        <w:rPr>
          <w:szCs w:val="21"/>
        </w:rPr>
        <w:t>ing</w:t>
      </w:r>
      <w:r w:rsidRPr="00706288">
        <w:rPr>
          <w:szCs w:val="21"/>
        </w:rPr>
        <w:t xml:space="preserve"> connectivity </w:t>
      </w:r>
      <w:r>
        <w:rPr>
          <w:szCs w:val="21"/>
        </w:rPr>
        <w:t xml:space="preserve">between the river and estuary. </w:t>
      </w:r>
      <w:r w:rsidRPr="00706288">
        <w:rPr>
          <w:szCs w:val="21"/>
        </w:rPr>
        <w:t xml:space="preserve">The </w:t>
      </w:r>
      <w:r>
        <w:rPr>
          <w:szCs w:val="21"/>
        </w:rPr>
        <w:t>increased end-of-system flow by environmental water (91% Commonwealth)</w:t>
      </w:r>
      <w:r w:rsidRPr="00706288">
        <w:rPr>
          <w:szCs w:val="21"/>
        </w:rPr>
        <w:t xml:space="preserve"> increased </w:t>
      </w:r>
      <w:r>
        <w:rPr>
          <w:szCs w:val="21"/>
        </w:rPr>
        <w:t xml:space="preserve">(modelled) </w:t>
      </w:r>
      <w:r w:rsidRPr="00706288">
        <w:rPr>
          <w:szCs w:val="21"/>
        </w:rPr>
        <w:t xml:space="preserve">salt export </w:t>
      </w:r>
      <w:r>
        <w:rPr>
          <w:szCs w:val="21"/>
        </w:rPr>
        <w:t>by</w:t>
      </w:r>
      <w:r w:rsidRPr="00706288">
        <w:rPr>
          <w:szCs w:val="21"/>
        </w:rPr>
        <w:t xml:space="preserve"> ~</w:t>
      </w:r>
      <w:r>
        <w:rPr>
          <w:szCs w:val="21"/>
        </w:rPr>
        <w:t xml:space="preserve">1.2 million </w:t>
      </w:r>
      <w:r w:rsidRPr="00706288">
        <w:rPr>
          <w:szCs w:val="21"/>
        </w:rPr>
        <w:t>tonnes out of the Basin</w:t>
      </w:r>
      <w:r>
        <w:rPr>
          <w:szCs w:val="21"/>
        </w:rPr>
        <w:t xml:space="preserve"> and </w:t>
      </w:r>
      <w:r w:rsidRPr="00706288">
        <w:rPr>
          <w:szCs w:val="21"/>
        </w:rPr>
        <w:t xml:space="preserve">reduced salt import </w:t>
      </w:r>
      <w:r>
        <w:rPr>
          <w:szCs w:val="21"/>
        </w:rPr>
        <w:t>by</w:t>
      </w:r>
      <w:r w:rsidRPr="00706288">
        <w:rPr>
          <w:szCs w:val="21"/>
        </w:rPr>
        <w:t xml:space="preserve"> ~</w:t>
      </w:r>
      <w:r>
        <w:rPr>
          <w:szCs w:val="21"/>
        </w:rPr>
        <w:t>4.8</w:t>
      </w:r>
      <w:r w:rsidRPr="00706288">
        <w:rPr>
          <w:szCs w:val="21"/>
        </w:rPr>
        <w:t xml:space="preserve"> million tonnes into the Coorong</w:t>
      </w:r>
      <w:r>
        <w:rPr>
          <w:szCs w:val="21"/>
        </w:rPr>
        <w:t xml:space="preserve"> estuary. </w:t>
      </w:r>
      <w:bookmarkStart w:id="382" w:name="_Hlk96980072"/>
      <w:r>
        <w:rPr>
          <w:szCs w:val="21"/>
        </w:rPr>
        <w:t>Environmental water also reduced salt flux into the North and South lagoons by ~4.2 million tonnes (modelled)</w:t>
      </w:r>
      <w:r w:rsidRPr="00706288">
        <w:rPr>
          <w:szCs w:val="21"/>
        </w:rPr>
        <w:t xml:space="preserve">. </w:t>
      </w:r>
      <w:bookmarkStart w:id="383" w:name="_Hlk66713749"/>
      <w:r>
        <w:rPr>
          <w:szCs w:val="21"/>
        </w:rPr>
        <w:t>This resulted in substantially reduced salinity levels and helped maintain f</w:t>
      </w:r>
      <w:r w:rsidRPr="00706288">
        <w:rPr>
          <w:szCs w:val="21"/>
        </w:rPr>
        <w:t>ish habitat</w:t>
      </w:r>
      <w:r>
        <w:rPr>
          <w:szCs w:val="21"/>
        </w:rPr>
        <w:t xml:space="preserve"> for estuarine-dependent species in the Coorong</w:t>
      </w:r>
      <w:r w:rsidRPr="00706288">
        <w:rPr>
          <w:szCs w:val="21"/>
        </w:rPr>
        <w:t>.</w:t>
      </w:r>
      <w:bookmarkEnd w:id="382"/>
      <w:r>
        <w:rPr>
          <w:szCs w:val="21"/>
        </w:rPr>
        <w:t xml:space="preserve"> </w:t>
      </w:r>
      <w:bookmarkStart w:id="384" w:name="_Hlk96980432"/>
      <w:r>
        <w:rPr>
          <w:szCs w:val="21"/>
        </w:rPr>
        <w:t xml:space="preserve">Without environmental water delivered to this region from 2017-18 to 2020-21, the area of suitable habitat for mulloway, congolli and smallmouth hardyhead would have declined by 39%, 42% and 45% (modelled) respectively, in 2020-21. </w:t>
      </w:r>
      <w:bookmarkStart w:id="385" w:name="_Hlk96464534"/>
      <w:r w:rsidRPr="00706288">
        <w:rPr>
          <w:szCs w:val="21"/>
        </w:rPr>
        <w:t xml:space="preserve">Over the </w:t>
      </w:r>
      <w:r>
        <w:rPr>
          <w:szCs w:val="21"/>
        </w:rPr>
        <w:t>four</w:t>
      </w:r>
      <w:r w:rsidRPr="00706288">
        <w:rPr>
          <w:szCs w:val="21"/>
        </w:rPr>
        <w:t xml:space="preserve"> years, environmental flows also led to </w:t>
      </w:r>
      <w:r>
        <w:rPr>
          <w:szCs w:val="21"/>
        </w:rPr>
        <w:t>a substantial increase (modelled 78%) i</w:t>
      </w:r>
      <w:r w:rsidRPr="00706288">
        <w:rPr>
          <w:szCs w:val="21"/>
        </w:rPr>
        <w:t>n</w:t>
      </w:r>
      <w:r>
        <w:rPr>
          <w:szCs w:val="21"/>
        </w:rPr>
        <w:t xml:space="preserve"> the area of suitable habitat for </w:t>
      </w:r>
      <w:r w:rsidRPr="00706288">
        <w:rPr>
          <w:i/>
          <w:iCs/>
          <w:szCs w:val="21"/>
        </w:rPr>
        <w:t>Ruppia</w:t>
      </w:r>
      <w:r w:rsidRPr="00706288">
        <w:rPr>
          <w:szCs w:val="21"/>
        </w:rPr>
        <w:t xml:space="preserve"> s</w:t>
      </w:r>
      <w:r>
        <w:rPr>
          <w:szCs w:val="21"/>
        </w:rPr>
        <w:t xml:space="preserve">exual reproduction and </w:t>
      </w:r>
      <w:r w:rsidRPr="00706288">
        <w:rPr>
          <w:szCs w:val="21"/>
        </w:rPr>
        <w:t>life-cycle completion in the Coorong.</w:t>
      </w:r>
      <w:bookmarkEnd w:id="385"/>
      <w:r>
        <w:rPr>
          <w:szCs w:val="21"/>
        </w:rPr>
        <w:t xml:space="preserve"> </w:t>
      </w:r>
      <w:r w:rsidRPr="00A94234">
        <w:rPr>
          <w:szCs w:val="21"/>
        </w:rPr>
        <w:t>Th</w:t>
      </w:r>
      <w:r>
        <w:rPr>
          <w:szCs w:val="21"/>
        </w:rPr>
        <w:t>ese outcomes</w:t>
      </w:r>
      <w:r w:rsidRPr="00A94234">
        <w:rPr>
          <w:szCs w:val="21"/>
        </w:rPr>
        <w:t xml:space="preserve"> highlight the importance of </w:t>
      </w:r>
      <w:r>
        <w:rPr>
          <w:szCs w:val="21"/>
        </w:rPr>
        <w:t>environmental water</w:t>
      </w:r>
      <w:r w:rsidRPr="00A94234">
        <w:rPr>
          <w:szCs w:val="21"/>
        </w:rPr>
        <w:t xml:space="preserve"> to the ecological restoration of the Coorong.</w:t>
      </w:r>
      <w:bookmarkEnd w:id="383"/>
      <w:bookmarkEnd w:id="384"/>
    </w:p>
    <w:p w14:paraId="6789E646" w14:textId="3587C77F" w:rsidR="008B2D8A" w:rsidRDefault="008B2D8A">
      <w:pPr>
        <w:spacing w:before="0" w:after="160" w:line="259" w:lineRule="auto"/>
        <w:jc w:val="left"/>
        <w:sectPr w:rsidR="008B2D8A">
          <w:pgSz w:w="11906" w:h="16838"/>
          <w:pgMar w:top="1440" w:right="1440" w:bottom="1440" w:left="1440" w:header="708" w:footer="708" w:gutter="0"/>
          <w:cols w:space="708"/>
          <w:docGrid w:linePitch="360"/>
        </w:sectPr>
      </w:pPr>
    </w:p>
    <w:p w14:paraId="24DEAAD3" w14:textId="39B0CE03" w:rsidR="002241AB" w:rsidRDefault="002241AB" w:rsidP="004C3BA1">
      <w:pPr>
        <w:pStyle w:val="Captions"/>
      </w:pPr>
      <w:bookmarkStart w:id="386" w:name="_Ref506912378"/>
      <w:bookmarkStart w:id="387" w:name="_Toc3558399"/>
      <w:bookmarkStart w:id="388" w:name="_Toc101963882"/>
      <w:r w:rsidRPr="00F55DF6">
        <w:t xml:space="preserve">Table </w:t>
      </w:r>
      <w:r>
        <w:rPr>
          <w:noProof/>
        </w:rPr>
        <w:fldChar w:fldCharType="begin"/>
      </w:r>
      <w:r>
        <w:rPr>
          <w:noProof/>
        </w:rPr>
        <w:instrText xml:space="preserve"> SEQ Table \* ARABIC </w:instrText>
      </w:r>
      <w:r>
        <w:rPr>
          <w:noProof/>
        </w:rPr>
        <w:fldChar w:fldCharType="separate"/>
      </w:r>
      <w:r w:rsidR="003C13F6">
        <w:rPr>
          <w:noProof/>
        </w:rPr>
        <w:t>24</w:t>
      </w:r>
      <w:r>
        <w:rPr>
          <w:noProof/>
        </w:rPr>
        <w:fldChar w:fldCharType="end"/>
      </w:r>
      <w:bookmarkEnd w:id="386"/>
      <w:r w:rsidRPr="00F55DF6">
        <w:t>.</w:t>
      </w:r>
      <w:r w:rsidR="007A4951" w:rsidRPr="00F55DF6">
        <w:t xml:space="preserve"> </w:t>
      </w:r>
      <w:r w:rsidRPr="00F55DF6">
        <w:t>CEWO evaluation questions by indicators</w:t>
      </w:r>
      <w:r>
        <w:t xml:space="preserve"> for the Lower Murray</w:t>
      </w:r>
      <w:r w:rsidR="002B0A25">
        <w:t>, which includes the Lower Murray</w:t>
      </w:r>
      <w:r>
        <w:t xml:space="preserve"> River (LMR)</w:t>
      </w:r>
      <w:r w:rsidR="00B560F6" w:rsidRPr="00B560F6">
        <w:t xml:space="preserve"> </w:t>
      </w:r>
      <w:r w:rsidR="00B560F6">
        <w:t>and the Coorong, Lower Lakes and Murray Mouth (CLLMM)</w:t>
      </w:r>
      <w:r w:rsidRPr="00F55DF6">
        <w:t xml:space="preserve">. Evaluation questions are sourced or adapted from Gawne </w:t>
      </w:r>
      <w:r w:rsidRPr="00F55DF6">
        <w:rPr>
          <w:i/>
        </w:rPr>
        <w:t>et al.</w:t>
      </w:r>
      <w:r w:rsidRPr="00F55DF6">
        <w:t xml:space="preserve"> (2014). </w:t>
      </w:r>
      <w:r>
        <w:t>Evaluation</w:t>
      </w:r>
      <w:r w:rsidRPr="00123FD2">
        <w:t xml:space="preserve"> of CEW for </w:t>
      </w:r>
      <w:r w:rsidR="00C8143A">
        <w:t>hydraulic and matter t</w:t>
      </w:r>
      <w:r w:rsidRPr="00123FD2">
        <w:t xml:space="preserve">ransport </w:t>
      </w:r>
      <w:r w:rsidR="00C8143A">
        <w:t xml:space="preserve">questions </w:t>
      </w:r>
      <w:r w:rsidRPr="00123FD2">
        <w:t>is based on modelled data.</w:t>
      </w:r>
      <w:r>
        <w:t xml:space="preserve"> </w:t>
      </w:r>
      <w:r w:rsidRPr="00F55DF6">
        <w:t>CEW</w:t>
      </w:r>
      <w:r w:rsidRPr="00D7271F">
        <w:t xml:space="preserve"> = C</w:t>
      </w:r>
      <w:r w:rsidR="00C8143A">
        <w:t>ommonwealth environmental water</w:t>
      </w:r>
      <w:r w:rsidRPr="00D7271F">
        <w:t>.</w:t>
      </w:r>
      <w:bookmarkEnd w:id="387"/>
      <w:r w:rsidR="00C8143A">
        <w:t xml:space="preserve"> </w:t>
      </w:r>
      <w:r w:rsidR="00D9522E">
        <w:t xml:space="preserve">Refer to the evaluation in respective indicator sections (Section </w:t>
      </w:r>
      <w:r w:rsidR="00D9522E">
        <w:fldChar w:fldCharType="begin"/>
      </w:r>
      <w:r w:rsidR="00D9522E">
        <w:instrText xml:space="preserve"> REF _Ref15904940 \r \h </w:instrText>
      </w:r>
      <w:r w:rsidR="00D9522E">
        <w:fldChar w:fldCharType="separate"/>
      </w:r>
      <w:r w:rsidR="003C13F6">
        <w:t>2</w:t>
      </w:r>
      <w:r w:rsidR="00D9522E">
        <w:fldChar w:fldCharType="end"/>
      </w:r>
      <w:r w:rsidR="00D9522E">
        <w:t>) for more detail.</w:t>
      </w:r>
      <w:bookmarkEnd w:id="3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26"/>
        <w:gridCol w:w="708"/>
        <w:gridCol w:w="708"/>
        <w:gridCol w:w="709"/>
        <w:gridCol w:w="709"/>
        <w:gridCol w:w="709"/>
        <w:gridCol w:w="709"/>
        <w:gridCol w:w="770"/>
      </w:tblGrid>
      <w:tr w:rsidR="00D204AB" w:rsidRPr="0033194D" w14:paraId="2D79617B" w14:textId="290F1044" w:rsidTr="00EA30AD">
        <w:trPr>
          <w:cantSplit/>
          <w:trHeight w:val="255"/>
          <w:tblHeader/>
        </w:trPr>
        <w:tc>
          <w:tcPr>
            <w:tcW w:w="3200" w:type="pct"/>
            <w:vMerge w:val="restart"/>
            <w:tcBorders>
              <w:top w:val="single" w:sz="4" w:space="0" w:color="auto"/>
              <w:left w:val="single" w:sz="4" w:space="0" w:color="auto"/>
              <w:right w:val="single" w:sz="4" w:space="0" w:color="auto"/>
            </w:tcBorders>
            <w:vAlign w:val="center"/>
          </w:tcPr>
          <w:p w14:paraId="3089B52E" w14:textId="77777777"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 xml:space="preserve">CEWO evaluation questions </w:t>
            </w:r>
          </w:p>
        </w:tc>
        <w:tc>
          <w:tcPr>
            <w:tcW w:w="1800" w:type="pct"/>
            <w:gridSpan w:val="7"/>
            <w:tcBorders>
              <w:top w:val="single" w:sz="4" w:space="0" w:color="auto"/>
              <w:left w:val="single" w:sz="4" w:space="0" w:color="auto"/>
              <w:right w:val="single" w:sz="4" w:space="0" w:color="auto"/>
            </w:tcBorders>
          </w:tcPr>
          <w:p w14:paraId="41EFBB4C" w14:textId="0785301E"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Outcomes of CEW delivery</w:t>
            </w:r>
          </w:p>
        </w:tc>
      </w:tr>
      <w:tr w:rsidR="00EA30AD" w:rsidRPr="0033194D" w14:paraId="01A72850" w14:textId="24F12E19" w:rsidTr="00EA30AD">
        <w:trPr>
          <w:cantSplit/>
          <w:trHeight w:val="255"/>
          <w:tblHeader/>
        </w:trPr>
        <w:tc>
          <w:tcPr>
            <w:tcW w:w="3200" w:type="pct"/>
            <w:vMerge/>
            <w:tcBorders>
              <w:left w:val="single" w:sz="4" w:space="0" w:color="auto"/>
              <w:bottom w:val="single" w:sz="4" w:space="0" w:color="auto"/>
              <w:right w:val="single" w:sz="4" w:space="0" w:color="auto"/>
            </w:tcBorders>
          </w:tcPr>
          <w:p w14:paraId="249D666E" w14:textId="77777777" w:rsidR="00D204AB" w:rsidRPr="0033194D" w:rsidRDefault="00D204AB" w:rsidP="00876D62">
            <w:pPr>
              <w:spacing w:line="240" w:lineRule="auto"/>
              <w:contextualSpacing/>
              <w:jc w:val="center"/>
              <w:rPr>
                <w:rFonts w:cs="Arial"/>
                <w:b/>
                <w:sz w:val="18"/>
                <w:szCs w:val="18"/>
              </w:rPr>
            </w:pPr>
          </w:p>
        </w:tc>
        <w:tc>
          <w:tcPr>
            <w:tcW w:w="254" w:type="pct"/>
            <w:tcBorders>
              <w:left w:val="single" w:sz="4" w:space="0" w:color="auto"/>
              <w:bottom w:val="single" w:sz="4" w:space="0" w:color="auto"/>
              <w:right w:val="single" w:sz="4" w:space="0" w:color="auto"/>
            </w:tcBorders>
          </w:tcPr>
          <w:p w14:paraId="456F4D06" w14:textId="3C78147A"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14-15</w:t>
            </w:r>
          </w:p>
        </w:tc>
        <w:tc>
          <w:tcPr>
            <w:tcW w:w="254" w:type="pct"/>
            <w:tcBorders>
              <w:top w:val="single" w:sz="4" w:space="0" w:color="auto"/>
              <w:left w:val="single" w:sz="4" w:space="0" w:color="auto"/>
              <w:bottom w:val="single" w:sz="4" w:space="0" w:color="auto"/>
            </w:tcBorders>
          </w:tcPr>
          <w:p w14:paraId="59EAA875" w14:textId="1DFC0CCA"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15-16</w:t>
            </w:r>
          </w:p>
        </w:tc>
        <w:tc>
          <w:tcPr>
            <w:tcW w:w="254" w:type="pct"/>
            <w:tcBorders>
              <w:top w:val="single" w:sz="4" w:space="0" w:color="auto"/>
              <w:bottom w:val="single" w:sz="4" w:space="0" w:color="auto"/>
            </w:tcBorders>
          </w:tcPr>
          <w:p w14:paraId="1A4D8312" w14:textId="70A2D357"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16-17</w:t>
            </w:r>
          </w:p>
        </w:tc>
        <w:tc>
          <w:tcPr>
            <w:tcW w:w="254" w:type="pct"/>
            <w:tcBorders>
              <w:top w:val="single" w:sz="4" w:space="0" w:color="auto"/>
              <w:bottom w:val="single" w:sz="4" w:space="0" w:color="auto"/>
            </w:tcBorders>
          </w:tcPr>
          <w:p w14:paraId="2AAA18F7" w14:textId="5EE15D0F"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17-18</w:t>
            </w:r>
          </w:p>
        </w:tc>
        <w:tc>
          <w:tcPr>
            <w:tcW w:w="254" w:type="pct"/>
            <w:tcBorders>
              <w:top w:val="single" w:sz="4" w:space="0" w:color="auto"/>
              <w:bottom w:val="single" w:sz="4" w:space="0" w:color="auto"/>
            </w:tcBorders>
          </w:tcPr>
          <w:p w14:paraId="5A8C83E3" w14:textId="70E222AE" w:rsidR="00D204AB" w:rsidRPr="0033194D" w:rsidRDefault="00D204AB" w:rsidP="00876D62">
            <w:pPr>
              <w:spacing w:before="60" w:after="60" w:line="240" w:lineRule="auto"/>
              <w:contextualSpacing/>
              <w:jc w:val="center"/>
              <w:rPr>
                <w:rFonts w:cs="Arial"/>
                <w:b/>
                <w:sz w:val="18"/>
                <w:szCs w:val="18"/>
              </w:rPr>
            </w:pPr>
            <w:r w:rsidRPr="0033194D">
              <w:rPr>
                <w:rFonts w:cs="Arial"/>
                <w:b/>
                <w:sz w:val="18"/>
                <w:szCs w:val="18"/>
              </w:rPr>
              <w:t>18-19</w:t>
            </w:r>
          </w:p>
        </w:tc>
        <w:tc>
          <w:tcPr>
            <w:tcW w:w="254" w:type="pct"/>
            <w:tcBorders>
              <w:top w:val="single" w:sz="4" w:space="0" w:color="auto"/>
              <w:bottom w:val="single" w:sz="4" w:space="0" w:color="auto"/>
            </w:tcBorders>
          </w:tcPr>
          <w:p w14:paraId="5BAC723B" w14:textId="385426D8" w:rsidR="00D204AB" w:rsidRPr="0033194D" w:rsidRDefault="00D204AB" w:rsidP="00876D62">
            <w:pPr>
              <w:spacing w:before="60" w:after="60" w:line="240" w:lineRule="auto"/>
              <w:contextualSpacing/>
              <w:jc w:val="center"/>
              <w:rPr>
                <w:rFonts w:cs="Arial"/>
                <w:b/>
                <w:sz w:val="18"/>
                <w:szCs w:val="18"/>
              </w:rPr>
            </w:pPr>
            <w:r>
              <w:rPr>
                <w:rFonts w:cs="Arial"/>
                <w:b/>
                <w:sz w:val="18"/>
                <w:szCs w:val="18"/>
              </w:rPr>
              <w:t>19-20</w:t>
            </w:r>
          </w:p>
        </w:tc>
        <w:tc>
          <w:tcPr>
            <w:tcW w:w="276" w:type="pct"/>
            <w:tcBorders>
              <w:top w:val="single" w:sz="4" w:space="0" w:color="auto"/>
              <w:bottom w:val="single" w:sz="4" w:space="0" w:color="auto"/>
            </w:tcBorders>
          </w:tcPr>
          <w:p w14:paraId="5382469A" w14:textId="6360889B" w:rsidR="00D204AB" w:rsidRDefault="00D204AB" w:rsidP="00876D62">
            <w:pPr>
              <w:spacing w:before="60" w:after="60" w:line="240" w:lineRule="auto"/>
              <w:contextualSpacing/>
              <w:jc w:val="center"/>
              <w:rPr>
                <w:rFonts w:cs="Arial"/>
                <w:b/>
                <w:sz w:val="18"/>
                <w:szCs w:val="18"/>
              </w:rPr>
            </w:pPr>
            <w:r>
              <w:rPr>
                <w:rFonts w:cs="Arial"/>
                <w:b/>
                <w:sz w:val="18"/>
                <w:szCs w:val="18"/>
              </w:rPr>
              <w:t>20-21</w:t>
            </w:r>
          </w:p>
        </w:tc>
      </w:tr>
      <w:tr w:rsidR="00EA30AD" w:rsidRPr="0033194D" w14:paraId="441F3639" w14:textId="47DB73C3" w:rsidTr="00EA30AD">
        <w:trPr>
          <w:cantSplit/>
          <w:trHeight w:val="255"/>
        </w:trPr>
        <w:tc>
          <w:tcPr>
            <w:tcW w:w="3200" w:type="pct"/>
            <w:tcBorders>
              <w:top w:val="single" w:sz="4" w:space="0" w:color="auto"/>
              <w:left w:val="single" w:sz="4" w:space="0" w:color="auto"/>
              <w:right w:val="single" w:sz="4" w:space="0" w:color="auto"/>
            </w:tcBorders>
            <w:vAlign w:val="center"/>
          </w:tcPr>
          <w:p w14:paraId="04C2479A" w14:textId="77777777" w:rsidR="00D204AB" w:rsidRPr="0033194D" w:rsidRDefault="00D204AB" w:rsidP="00876D62">
            <w:pPr>
              <w:spacing w:before="60" w:after="60" w:line="240" w:lineRule="auto"/>
              <w:contextualSpacing/>
              <w:jc w:val="left"/>
              <w:rPr>
                <w:rFonts w:cs="Arial"/>
                <w:sz w:val="18"/>
                <w:szCs w:val="18"/>
              </w:rPr>
            </w:pPr>
            <w:r w:rsidRPr="0033194D">
              <w:rPr>
                <w:rFonts w:cs="Arial"/>
                <w:sz w:val="18"/>
                <w:szCs w:val="18"/>
              </w:rPr>
              <w:t>What did CEW contribute to hydraulic diversity within weir pools? (LMR)</w:t>
            </w: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C419DD0" w14:textId="77777777" w:rsidR="00D204AB" w:rsidRPr="0033194D" w:rsidRDefault="00D204AB" w:rsidP="00876D62">
            <w:pPr>
              <w:spacing w:before="60" w:after="60" w:line="240" w:lineRule="auto"/>
              <w:contextualSpacing/>
              <w:jc w:val="left"/>
              <w:rPr>
                <w:rFonts w:cs="Arial"/>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C5002BE" w14:textId="77777777" w:rsidR="00D204AB" w:rsidRPr="0033194D" w:rsidRDefault="00D204AB" w:rsidP="00876D62">
            <w:pPr>
              <w:spacing w:before="60" w:after="60" w:line="240" w:lineRule="auto"/>
              <w:contextualSpacing/>
              <w:jc w:val="left"/>
              <w:rPr>
                <w:rFonts w:cs="Arial"/>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4862D31" w14:textId="77777777" w:rsidR="00D204AB" w:rsidRPr="0033194D" w:rsidRDefault="00D204AB" w:rsidP="00876D62">
            <w:pPr>
              <w:spacing w:before="60" w:after="60" w:line="240" w:lineRule="auto"/>
              <w:contextualSpacing/>
              <w:jc w:val="left"/>
              <w:rPr>
                <w:rFonts w:cs="Arial"/>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A80A444" w14:textId="77777777" w:rsidR="00D204AB" w:rsidRPr="0033194D" w:rsidRDefault="00D204AB" w:rsidP="00876D62">
            <w:pPr>
              <w:spacing w:before="60" w:after="60" w:line="240" w:lineRule="auto"/>
              <w:contextualSpacing/>
              <w:jc w:val="left"/>
              <w:rPr>
                <w:rFonts w:cs="Arial"/>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42A9B05" w14:textId="77777777" w:rsidR="00D204AB" w:rsidRPr="0033194D" w:rsidRDefault="00D204AB" w:rsidP="00876D62">
            <w:pPr>
              <w:spacing w:before="60" w:after="60" w:line="240" w:lineRule="auto"/>
              <w:contextualSpacing/>
              <w:jc w:val="left"/>
              <w:rPr>
                <w:rFonts w:cs="Arial"/>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2189F240" w14:textId="77777777" w:rsidR="00D204AB" w:rsidRPr="0033194D" w:rsidRDefault="00D204AB" w:rsidP="00876D62">
            <w:pPr>
              <w:spacing w:before="60" w:after="60" w:line="240" w:lineRule="auto"/>
              <w:contextualSpacing/>
              <w:jc w:val="left"/>
              <w:rPr>
                <w:rFonts w:cs="Arial"/>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48F4D64F" w14:textId="77777777" w:rsidR="00D204AB" w:rsidRPr="0033194D" w:rsidRDefault="00D204AB" w:rsidP="00876D62">
            <w:pPr>
              <w:spacing w:before="60" w:after="60" w:line="240" w:lineRule="auto"/>
              <w:contextualSpacing/>
              <w:jc w:val="left"/>
              <w:rPr>
                <w:rFonts w:cs="Arial"/>
                <w:sz w:val="18"/>
                <w:szCs w:val="18"/>
              </w:rPr>
            </w:pPr>
          </w:p>
        </w:tc>
      </w:tr>
      <w:tr w:rsidR="00511864" w:rsidRPr="0033194D" w14:paraId="2E673BD6" w14:textId="73CE5FB3" w:rsidTr="00EA30AD">
        <w:trPr>
          <w:cantSplit/>
          <w:trHeight w:val="255"/>
        </w:trPr>
        <w:tc>
          <w:tcPr>
            <w:tcW w:w="3200" w:type="pct"/>
            <w:tcBorders>
              <w:top w:val="single" w:sz="4" w:space="0" w:color="auto"/>
              <w:left w:val="single" w:sz="4" w:space="0" w:color="auto"/>
              <w:right w:val="single" w:sz="4" w:space="0" w:color="auto"/>
            </w:tcBorders>
            <w:vAlign w:val="center"/>
          </w:tcPr>
          <w:p w14:paraId="7C7012A7" w14:textId="77777777" w:rsidR="00D204AB" w:rsidRPr="0033194D" w:rsidRDefault="00D204AB" w:rsidP="00876D62">
            <w:pPr>
              <w:spacing w:before="60" w:after="60" w:line="240" w:lineRule="auto"/>
              <w:contextualSpacing/>
              <w:jc w:val="left"/>
              <w:rPr>
                <w:sz w:val="18"/>
                <w:szCs w:val="18"/>
              </w:rPr>
            </w:pPr>
            <w:r w:rsidRPr="0033194D">
              <w:rPr>
                <w:sz w:val="18"/>
                <w:szCs w:val="18"/>
              </w:rPr>
              <w:t>What did CEW contribute to variability in water levels within weir pools? (LMR)</w:t>
            </w:r>
          </w:p>
        </w:tc>
        <w:tc>
          <w:tcPr>
            <w:tcW w:w="254" w:type="pct"/>
            <w:tcBorders>
              <w:top w:val="single" w:sz="4" w:space="0" w:color="auto"/>
              <w:left w:val="single" w:sz="4" w:space="0" w:color="auto"/>
              <w:right w:val="single" w:sz="4" w:space="0" w:color="auto"/>
            </w:tcBorders>
            <w:shd w:val="clear" w:color="auto" w:fill="A8D08D" w:themeFill="accent6" w:themeFillTint="99"/>
            <w:vAlign w:val="center"/>
          </w:tcPr>
          <w:p w14:paraId="72888AB9"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B3ED75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4D8E3E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FAAE129"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98CEB76"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E31FA97"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4F3A4F69" w14:textId="77777777" w:rsidR="00D204AB" w:rsidRPr="0033194D" w:rsidRDefault="00D204AB" w:rsidP="00876D62">
            <w:pPr>
              <w:spacing w:before="60" w:after="60" w:line="240" w:lineRule="auto"/>
              <w:contextualSpacing/>
              <w:jc w:val="left"/>
              <w:rPr>
                <w:sz w:val="18"/>
                <w:szCs w:val="18"/>
              </w:rPr>
            </w:pPr>
          </w:p>
        </w:tc>
      </w:tr>
      <w:tr w:rsidR="00EA30AD" w:rsidRPr="0033194D" w14:paraId="13F437DC" w14:textId="0B0552E1" w:rsidTr="00EA30AD">
        <w:trPr>
          <w:cantSplit/>
          <w:trHeight w:val="255"/>
        </w:trPr>
        <w:tc>
          <w:tcPr>
            <w:tcW w:w="3200" w:type="pct"/>
            <w:tcBorders>
              <w:top w:val="single" w:sz="4" w:space="0" w:color="auto"/>
              <w:left w:val="single" w:sz="4" w:space="0" w:color="auto"/>
              <w:right w:val="single" w:sz="4" w:space="0" w:color="auto"/>
            </w:tcBorders>
            <w:vAlign w:val="center"/>
          </w:tcPr>
          <w:p w14:paraId="496F576F" w14:textId="77777777" w:rsidR="00D204AB" w:rsidRPr="0033194D" w:rsidRDefault="00D204AB" w:rsidP="00876D62">
            <w:pPr>
              <w:spacing w:before="60" w:after="60" w:line="240" w:lineRule="auto"/>
              <w:contextualSpacing/>
              <w:jc w:val="left"/>
              <w:rPr>
                <w:sz w:val="18"/>
                <w:szCs w:val="18"/>
              </w:rPr>
            </w:pPr>
            <w:r w:rsidRPr="0033194D">
              <w:rPr>
                <w:sz w:val="18"/>
                <w:szCs w:val="18"/>
              </w:rPr>
              <w:t>What did CEW contribute to hydrological connectivity (lateral and longitudinal)? (LMR)</w:t>
            </w: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F7A1D3B"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AC04D7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683FFE"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606BDFD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57742E1"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6B4D6A4F"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66492C25" w14:textId="77777777" w:rsidR="00D204AB" w:rsidRPr="0033194D" w:rsidRDefault="00D204AB" w:rsidP="00876D62">
            <w:pPr>
              <w:spacing w:before="60" w:after="60" w:line="240" w:lineRule="auto"/>
              <w:contextualSpacing/>
              <w:jc w:val="left"/>
              <w:rPr>
                <w:sz w:val="18"/>
                <w:szCs w:val="18"/>
              </w:rPr>
            </w:pPr>
          </w:p>
        </w:tc>
      </w:tr>
      <w:tr w:rsidR="00EA30AD" w:rsidRPr="0033194D" w14:paraId="252012C8" w14:textId="202F804E"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1B0FC0C6" w14:textId="3AEF2C91" w:rsidR="00D204AB" w:rsidRPr="0033194D" w:rsidRDefault="00D204AB" w:rsidP="00876D62">
            <w:pPr>
              <w:spacing w:before="60" w:after="60" w:line="240" w:lineRule="auto"/>
              <w:contextualSpacing/>
              <w:jc w:val="left"/>
              <w:rPr>
                <w:sz w:val="18"/>
                <w:szCs w:val="18"/>
              </w:rPr>
            </w:pPr>
            <w:r w:rsidRPr="0033194D">
              <w:rPr>
                <w:sz w:val="18"/>
                <w:szCs w:val="18"/>
              </w:rPr>
              <w:t>What did CEW contribute to dissolved oxygen levels? (LMR</w:t>
            </w:r>
            <w:r w:rsidR="00A17BEF" w:rsidRPr="00B63163">
              <w:rPr>
                <w:rFonts w:cs="Arial"/>
                <w:color w:val="auto"/>
                <w:sz w:val="18"/>
                <w:szCs w:val="18"/>
                <w:vertAlign w:val="superscript"/>
              </w:rPr>
              <w:t>#</w:t>
            </w:r>
            <w:r w:rsidRPr="0033194D">
              <w:rPr>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6633B34"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67E31A79"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E7B72F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30F653D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4FBE88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7F135E92"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5B9BD5" w:themeFill="accent1"/>
          </w:tcPr>
          <w:p w14:paraId="5959E349" w14:textId="77777777" w:rsidR="00D204AB" w:rsidRPr="0033194D" w:rsidRDefault="00D204AB" w:rsidP="00876D62">
            <w:pPr>
              <w:spacing w:before="60" w:after="60" w:line="240" w:lineRule="auto"/>
              <w:contextualSpacing/>
              <w:jc w:val="left"/>
              <w:rPr>
                <w:sz w:val="18"/>
                <w:szCs w:val="18"/>
              </w:rPr>
            </w:pPr>
          </w:p>
        </w:tc>
      </w:tr>
      <w:tr w:rsidR="00EA30AD" w:rsidRPr="0033194D" w14:paraId="46CB8C35" w14:textId="68715523"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5A7D535A" w14:textId="048D9BAF" w:rsidR="00D204AB" w:rsidRPr="0033194D" w:rsidRDefault="00D204AB" w:rsidP="00876D62">
            <w:pPr>
              <w:spacing w:before="60" w:after="60" w:line="240" w:lineRule="auto"/>
              <w:contextualSpacing/>
              <w:jc w:val="left"/>
              <w:rPr>
                <w:sz w:val="18"/>
                <w:szCs w:val="18"/>
              </w:rPr>
            </w:pPr>
            <w:r w:rsidRPr="0033194D">
              <w:rPr>
                <w:sz w:val="18"/>
                <w:szCs w:val="18"/>
              </w:rPr>
              <w:t>What did CEW contribute to patterns and rates of primary productivity?</w:t>
            </w:r>
            <w:r w:rsidRPr="0033194D">
              <w:rPr>
                <w:rFonts w:cs="Arial"/>
                <w:sz w:val="18"/>
                <w:szCs w:val="18"/>
              </w:rPr>
              <w:t xml:space="preserve"> (</w:t>
            </w:r>
            <w:r w:rsidRPr="0033194D">
              <w:rPr>
                <w:rFonts w:cs="Arial"/>
                <w:color w:val="auto"/>
                <w:sz w:val="18"/>
                <w:szCs w:val="18"/>
              </w:rPr>
              <w:t>LMR</w:t>
            </w:r>
            <w:r w:rsidR="00A17BEF" w:rsidRPr="00B63163">
              <w:rPr>
                <w:rFonts w:cs="Arial"/>
                <w:color w:val="auto"/>
                <w:sz w:val="18"/>
                <w:szCs w:val="18"/>
                <w:vertAlign w:val="superscript"/>
              </w:rPr>
              <w:t>#</w:t>
            </w:r>
            <w:r w:rsidRPr="0033194D">
              <w:rPr>
                <w:rFonts w:cs="Arial"/>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4F39597"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FBE78ED"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32095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F9D485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FEDF7FE"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74FADCD"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EDC15F3" w14:textId="77777777" w:rsidR="00D204AB" w:rsidRPr="0033194D" w:rsidRDefault="00D204AB" w:rsidP="00876D62">
            <w:pPr>
              <w:spacing w:before="60" w:after="60" w:line="240" w:lineRule="auto"/>
              <w:contextualSpacing/>
              <w:jc w:val="left"/>
              <w:rPr>
                <w:sz w:val="18"/>
                <w:szCs w:val="18"/>
              </w:rPr>
            </w:pPr>
          </w:p>
        </w:tc>
      </w:tr>
      <w:tr w:rsidR="00EA30AD" w:rsidRPr="0033194D" w14:paraId="72C22CE7" w14:textId="3C42FD3E" w:rsidTr="00EA30AD">
        <w:trPr>
          <w:cantSplit/>
          <w:trHeight w:val="255"/>
        </w:trPr>
        <w:tc>
          <w:tcPr>
            <w:tcW w:w="3200" w:type="pct"/>
            <w:tcBorders>
              <w:top w:val="single" w:sz="4" w:space="0" w:color="auto"/>
              <w:left w:val="single" w:sz="4" w:space="0" w:color="auto"/>
              <w:right w:val="single" w:sz="4" w:space="0" w:color="auto"/>
            </w:tcBorders>
            <w:vAlign w:val="center"/>
          </w:tcPr>
          <w:p w14:paraId="09CE951D" w14:textId="13C6D93D" w:rsidR="00D204AB" w:rsidRPr="0033194D" w:rsidRDefault="00D204AB" w:rsidP="00876D62">
            <w:pPr>
              <w:spacing w:before="60" w:after="60" w:line="240" w:lineRule="auto"/>
              <w:contextualSpacing/>
              <w:jc w:val="left"/>
              <w:rPr>
                <w:sz w:val="18"/>
                <w:szCs w:val="18"/>
              </w:rPr>
            </w:pPr>
            <w:r w:rsidRPr="0033194D">
              <w:rPr>
                <w:sz w:val="18"/>
                <w:szCs w:val="18"/>
              </w:rPr>
              <w:t xml:space="preserve">What did CEW contribute to patterns and rates of decomposition? </w:t>
            </w:r>
            <w:r w:rsidRPr="0033194D">
              <w:rPr>
                <w:rFonts w:cs="Arial"/>
                <w:sz w:val="18"/>
                <w:szCs w:val="18"/>
              </w:rPr>
              <w:t>(</w:t>
            </w:r>
            <w:r w:rsidRPr="0033194D">
              <w:rPr>
                <w:rFonts w:cs="Arial"/>
                <w:color w:val="auto"/>
                <w:sz w:val="18"/>
                <w:szCs w:val="18"/>
              </w:rPr>
              <w:t>LMR</w:t>
            </w:r>
            <w:r w:rsidR="00B63163" w:rsidRPr="00B63163">
              <w:rPr>
                <w:rFonts w:cs="Arial"/>
                <w:color w:val="auto"/>
                <w:sz w:val="18"/>
                <w:szCs w:val="18"/>
                <w:vertAlign w:val="superscript"/>
              </w:rPr>
              <w:t>#</w:t>
            </w:r>
            <w:r w:rsidRPr="0033194D">
              <w:rPr>
                <w:rFonts w:cs="Arial"/>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53B346E"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B5730F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AFE0E6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F7B78B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D38CAD"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4C8B486"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70FA17ED" w14:textId="77777777" w:rsidR="00D204AB" w:rsidRPr="0033194D" w:rsidRDefault="00D204AB" w:rsidP="00876D62">
            <w:pPr>
              <w:spacing w:before="60" w:after="60" w:line="240" w:lineRule="auto"/>
              <w:contextualSpacing/>
              <w:jc w:val="left"/>
              <w:rPr>
                <w:sz w:val="18"/>
                <w:szCs w:val="18"/>
              </w:rPr>
            </w:pPr>
          </w:p>
        </w:tc>
      </w:tr>
      <w:tr w:rsidR="00511864" w:rsidRPr="0033194D" w14:paraId="14F34390" w14:textId="4574C839" w:rsidTr="00A17BEF">
        <w:trPr>
          <w:cantSplit/>
          <w:trHeight w:val="255"/>
        </w:trPr>
        <w:tc>
          <w:tcPr>
            <w:tcW w:w="3200" w:type="pct"/>
            <w:tcBorders>
              <w:top w:val="single" w:sz="4" w:space="0" w:color="auto"/>
              <w:left w:val="single" w:sz="4" w:space="0" w:color="auto"/>
              <w:right w:val="single" w:sz="4" w:space="0" w:color="auto"/>
            </w:tcBorders>
            <w:vAlign w:val="center"/>
          </w:tcPr>
          <w:p w14:paraId="1E418AEA" w14:textId="31CEF823" w:rsidR="00D204AB" w:rsidRPr="0033194D" w:rsidRDefault="00D204AB" w:rsidP="00876D62">
            <w:pPr>
              <w:spacing w:before="60" w:after="60" w:line="240" w:lineRule="auto"/>
              <w:contextualSpacing/>
              <w:jc w:val="left"/>
              <w:rPr>
                <w:sz w:val="18"/>
                <w:szCs w:val="18"/>
              </w:rPr>
            </w:pPr>
            <w:r w:rsidRPr="0033194D">
              <w:rPr>
                <w:sz w:val="18"/>
                <w:szCs w:val="18"/>
              </w:rPr>
              <w:t>What did CEW contribute to salinity levels</w:t>
            </w:r>
            <w:r w:rsidR="00511864">
              <w:rPr>
                <w:sz w:val="18"/>
                <w:szCs w:val="18"/>
              </w:rPr>
              <w:t xml:space="preserve"> at the Murray Mout</w:t>
            </w:r>
            <w:r w:rsidR="00A17BEF">
              <w:rPr>
                <w:sz w:val="18"/>
                <w:szCs w:val="18"/>
              </w:rPr>
              <w:t>h</w:t>
            </w:r>
            <w:r w:rsidRPr="0033194D">
              <w:rPr>
                <w:sz w:val="18"/>
                <w:szCs w:val="18"/>
              </w:rPr>
              <w:t>? (CLLMM)</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37AE33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C6A7A69"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BE6DD0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2BAD31A"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444159B2"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1A1AE5EC"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000000"/>
              <w:right w:val="single" w:sz="4" w:space="0" w:color="auto"/>
            </w:tcBorders>
            <w:shd w:val="clear" w:color="auto" w:fill="5B9BD5" w:themeFill="accent1"/>
          </w:tcPr>
          <w:p w14:paraId="2C32068E" w14:textId="77777777" w:rsidR="00D204AB" w:rsidRPr="0033194D" w:rsidRDefault="00D204AB" w:rsidP="00876D62">
            <w:pPr>
              <w:spacing w:before="60" w:after="60" w:line="240" w:lineRule="auto"/>
              <w:contextualSpacing/>
              <w:jc w:val="left"/>
              <w:rPr>
                <w:sz w:val="18"/>
                <w:szCs w:val="18"/>
              </w:rPr>
            </w:pPr>
          </w:p>
        </w:tc>
      </w:tr>
      <w:tr w:rsidR="00A17BEF" w:rsidRPr="0033194D" w14:paraId="009167B7" w14:textId="77777777" w:rsidTr="00A17BEF">
        <w:trPr>
          <w:cantSplit/>
          <w:trHeight w:val="255"/>
        </w:trPr>
        <w:tc>
          <w:tcPr>
            <w:tcW w:w="3200" w:type="pct"/>
            <w:tcBorders>
              <w:top w:val="single" w:sz="4" w:space="0" w:color="auto"/>
              <w:left w:val="single" w:sz="4" w:space="0" w:color="auto"/>
              <w:right w:val="single" w:sz="4" w:space="0" w:color="auto"/>
            </w:tcBorders>
            <w:vAlign w:val="center"/>
          </w:tcPr>
          <w:p w14:paraId="06D19AE8" w14:textId="30B6632A" w:rsidR="00A17BEF" w:rsidRPr="0033194D" w:rsidRDefault="00A17BEF" w:rsidP="00876D62">
            <w:pPr>
              <w:spacing w:before="60" w:after="60" w:line="240" w:lineRule="auto"/>
              <w:contextualSpacing/>
              <w:jc w:val="left"/>
              <w:rPr>
                <w:sz w:val="18"/>
                <w:szCs w:val="18"/>
              </w:rPr>
            </w:pPr>
            <w:r w:rsidRPr="0033194D">
              <w:rPr>
                <w:sz w:val="18"/>
                <w:szCs w:val="18"/>
              </w:rPr>
              <w:t xml:space="preserve">What did CEW contribute to the </w:t>
            </w:r>
            <w:r>
              <w:rPr>
                <w:sz w:val="18"/>
                <w:szCs w:val="18"/>
              </w:rPr>
              <w:t>salt transport</w:t>
            </w:r>
            <w:r w:rsidRPr="0033194D">
              <w:rPr>
                <w:sz w:val="18"/>
                <w:szCs w:val="18"/>
              </w:rPr>
              <w:t>? (CLLMM)</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2307AEB" w14:textId="77777777" w:rsidR="00A17BEF" w:rsidRPr="0033194D" w:rsidRDefault="00A17BEF"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8E84B89" w14:textId="77777777" w:rsidR="00A17BEF" w:rsidRPr="0033194D" w:rsidRDefault="00A17BEF"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2A68928" w14:textId="77777777" w:rsidR="00A17BEF" w:rsidRPr="0033194D" w:rsidRDefault="00A17BEF"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9E89AD2" w14:textId="77777777" w:rsidR="00A17BEF" w:rsidRPr="0033194D" w:rsidRDefault="00A17BEF"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4B885B95" w14:textId="77777777" w:rsidR="00A17BEF" w:rsidRPr="0033194D" w:rsidRDefault="00A17BEF"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492E2F2E" w14:textId="77777777" w:rsidR="00A17BEF" w:rsidRPr="0033194D" w:rsidRDefault="00A17BEF"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000000"/>
              <w:right w:val="single" w:sz="4" w:space="0" w:color="auto"/>
            </w:tcBorders>
            <w:shd w:val="clear" w:color="auto" w:fill="5B9BD5" w:themeFill="accent1"/>
          </w:tcPr>
          <w:p w14:paraId="0BD4DF91" w14:textId="77777777" w:rsidR="00A17BEF" w:rsidRPr="0033194D" w:rsidRDefault="00A17BEF" w:rsidP="00876D62">
            <w:pPr>
              <w:spacing w:before="60" w:after="60" w:line="240" w:lineRule="auto"/>
              <w:contextualSpacing/>
              <w:jc w:val="left"/>
              <w:rPr>
                <w:sz w:val="18"/>
                <w:szCs w:val="18"/>
              </w:rPr>
            </w:pPr>
          </w:p>
        </w:tc>
      </w:tr>
      <w:tr w:rsidR="00EA30AD" w:rsidRPr="0033194D" w14:paraId="7C4B949A" w14:textId="529C18E4"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75F57A19" w14:textId="77777777" w:rsidR="00D204AB" w:rsidRPr="0033194D" w:rsidRDefault="00D204AB" w:rsidP="00876D62">
            <w:pPr>
              <w:spacing w:before="60" w:after="60" w:line="240" w:lineRule="auto"/>
              <w:contextualSpacing/>
              <w:jc w:val="left"/>
              <w:rPr>
                <w:sz w:val="18"/>
                <w:szCs w:val="18"/>
              </w:rPr>
            </w:pPr>
            <w:r w:rsidRPr="00500410">
              <w:rPr>
                <w:sz w:val="18"/>
                <w:szCs w:val="18"/>
              </w:rPr>
              <w:t xml:space="preserve">What did CEW contribute to improving </w:t>
            </w:r>
            <w:r w:rsidRPr="00500410">
              <w:rPr>
                <w:i/>
                <w:iCs/>
                <w:sz w:val="18"/>
                <w:szCs w:val="18"/>
              </w:rPr>
              <w:t>Ruppia tuberosa</w:t>
            </w:r>
            <w:r w:rsidRPr="00500410">
              <w:rPr>
                <w:sz w:val="18"/>
                <w:szCs w:val="18"/>
              </w:rPr>
              <w:t xml:space="preserve"> habitat?</w:t>
            </w:r>
            <w:r>
              <w:rPr>
                <w:sz w:val="18"/>
                <w:szCs w:val="18"/>
              </w:rPr>
              <w:t xml:space="preserve"> (CLLMM)</w:t>
            </w: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559F6C2"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75C5D0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D6A76C4"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nil"/>
            </w:tcBorders>
            <w:shd w:val="clear" w:color="auto" w:fill="70AD47" w:themeFill="accent6"/>
            <w:vAlign w:val="center"/>
          </w:tcPr>
          <w:p w14:paraId="385B1C23"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70AD47" w:themeFill="accent6"/>
            <w:vAlign w:val="center"/>
          </w:tcPr>
          <w:p w14:paraId="1A5349E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70AD47" w:themeFill="accent6"/>
          </w:tcPr>
          <w:p w14:paraId="0845E414"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000000"/>
              <w:left w:val="nil"/>
              <w:bottom w:val="single" w:sz="4" w:space="0" w:color="000000"/>
              <w:right w:val="single" w:sz="4" w:space="0" w:color="000000"/>
            </w:tcBorders>
            <w:shd w:val="clear" w:color="auto" w:fill="70AD47" w:themeFill="accent6"/>
          </w:tcPr>
          <w:p w14:paraId="4973D3F8" w14:textId="77777777" w:rsidR="00D204AB" w:rsidRPr="0033194D" w:rsidRDefault="00D204AB" w:rsidP="00876D62">
            <w:pPr>
              <w:spacing w:before="60" w:after="60" w:line="240" w:lineRule="auto"/>
              <w:contextualSpacing/>
              <w:jc w:val="left"/>
              <w:rPr>
                <w:sz w:val="18"/>
                <w:szCs w:val="18"/>
              </w:rPr>
            </w:pPr>
          </w:p>
        </w:tc>
      </w:tr>
      <w:tr w:rsidR="00EA30AD" w:rsidRPr="0033194D" w14:paraId="0BE5E594" w14:textId="7B97B592"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7A90C0C4" w14:textId="77777777" w:rsidR="00D204AB" w:rsidRPr="0033194D" w:rsidRDefault="00D204AB" w:rsidP="00876D62">
            <w:pPr>
              <w:spacing w:before="60" w:after="60" w:line="240" w:lineRule="auto"/>
              <w:contextualSpacing/>
              <w:jc w:val="left"/>
              <w:rPr>
                <w:sz w:val="18"/>
                <w:szCs w:val="18"/>
              </w:rPr>
            </w:pPr>
            <w:r w:rsidRPr="00500410">
              <w:rPr>
                <w:sz w:val="18"/>
                <w:szCs w:val="18"/>
              </w:rPr>
              <w:t>What did CEW contribute to improving fish habitat?</w:t>
            </w:r>
            <w:r>
              <w:rPr>
                <w:sz w:val="18"/>
                <w:szCs w:val="18"/>
              </w:rPr>
              <w:t xml:space="preserve"> (CLLMM)</w:t>
            </w: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E4023E7"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DAE22C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C78AED7"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nil"/>
            </w:tcBorders>
            <w:shd w:val="clear" w:color="auto" w:fill="5B9BD5" w:themeFill="accent1"/>
            <w:vAlign w:val="center"/>
          </w:tcPr>
          <w:p w14:paraId="7CD84EAF"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5B9BD5" w:themeFill="accent1"/>
            <w:vAlign w:val="center"/>
          </w:tcPr>
          <w:p w14:paraId="114F94F3"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5B9BD5" w:themeFill="accent1"/>
          </w:tcPr>
          <w:p w14:paraId="3511EE0B"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000000"/>
              <w:left w:val="nil"/>
              <w:bottom w:val="single" w:sz="4" w:space="0" w:color="000000"/>
              <w:right w:val="single" w:sz="4" w:space="0" w:color="000000"/>
            </w:tcBorders>
            <w:shd w:val="clear" w:color="auto" w:fill="5B9BD5" w:themeFill="accent1"/>
          </w:tcPr>
          <w:p w14:paraId="061D9223" w14:textId="77777777" w:rsidR="00D204AB" w:rsidRPr="0033194D" w:rsidRDefault="00D204AB" w:rsidP="00876D62">
            <w:pPr>
              <w:spacing w:before="60" w:after="60" w:line="240" w:lineRule="auto"/>
              <w:contextualSpacing/>
              <w:jc w:val="left"/>
              <w:rPr>
                <w:sz w:val="18"/>
                <w:szCs w:val="18"/>
              </w:rPr>
            </w:pPr>
          </w:p>
        </w:tc>
      </w:tr>
      <w:tr w:rsidR="00511864" w:rsidRPr="0033194D" w14:paraId="1A048FC6" w14:textId="377BF200"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0DA5207B" w14:textId="61E0BCA5" w:rsidR="00D204AB" w:rsidRPr="00500410" w:rsidRDefault="00D204AB" w:rsidP="00876D62">
            <w:pPr>
              <w:spacing w:before="60" w:after="60" w:line="240" w:lineRule="auto"/>
              <w:contextualSpacing/>
              <w:jc w:val="left"/>
              <w:rPr>
                <w:sz w:val="18"/>
                <w:szCs w:val="18"/>
              </w:rPr>
            </w:pPr>
            <w:r w:rsidRPr="00B93045">
              <w:rPr>
                <w:sz w:val="18"/>
                <w:szCs w:val="18"/>
              </w:rPr>
              <w:t>What did CEW contribute to littoral understorey vegetation diversity and productivity?</w:t>
            </w:r>
            <w:r>
              <w:rPr>
                <w:sz w:val="18"/>
                <w:szCs w:val="18"/>
              </w:rPr>
              <w:t xml:space="preserve"> (LMR)</w:t>
            </w: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2DBCDA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56C3CC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74648D5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508EFD6C"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89D08B4"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5B63AD84"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000000"/>
              <w:left w:val="single" w:sz="4" w:space="0" w:color="auto"/>
              <w:bottom w:val="single" w:sz="4" w:space="0" w:color="auto"/>
              <w:right w:val="single" w:sz="4" w:space="0" w:color="auto"/>
            </w:tcBorders>
            <w:shd w:val="clear" w:color="auto" w:fill="70AD47" w:themeFill="accent6"/>
          </w:tcPr>
          <w:p w14:paraId="28FFC710" w14:textId="77777777" w:rsidR="00D204AB" w:rsidRPr="0033194D" w:rsidRDefault="00D204AB" w:rsidP="00876D62">
            <w:pPr>
              <w:spacing w:before="60" w:after="60" w:line="240" w:lineRule="auto"/>
              <w:contextualSpacing/>
              <w:jc w:val="left"/>
              <w:rPr>
                <w:sz w:val="18"/>
                <w:szCs w:val="18"/>
              </w:rPr>
            </w:pPr>
          </w:p>
        </w:tc>
      </w:tr>
      <w:tr w:rsidR="002A686F" w:rsidRPr="0033194D" w14:paraId="1278D39B" w14:textId="77777777"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6C5AD8EB" w14:textId="244ACCC1" w:rsidR="008A065A" w:rsidRPr="00B93045" w:rsidRDefault="008A065A" w:rsidP="00876D62">
            <w:pPr>
              <w:spacing w:before="60" w:after="60" w:line="240" w:lineRule="auto"/>
              <w:contextualSpacing/>
              <w:jc w:val="left"/>
              <w:rPr>
                <w:sz w:val="18"/>
                <w:szCs w:val="18"/>
              </w:rPr>
            </w:pPr>
            <w:r w:rsidRPr="008A065A">
              <w:rPr>
                <w:sz w:val="18"/>
                <w:szCs w:val="18"/>
              </w:rPr>
              <w:t>What did CEW contribute to above-ground biomass produced by understorey littoral vegetation?</w:t>
            </w:r>
            <w:r>
              <w:rPr>
                <w:sz w:val="18"/>
                <w:szCs w:val="18"/>
              </w:rPr>
              <w:t xml:space="preserve"> (LMR)</w:t>
            </w: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74409545"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CAB7977"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95FBEBF"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9256A3F"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B69C9F3"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4757207" w14:textId="77777777" w:rsidR="008A065A" w:rsidRPr="0033194D" w:rsidRDefault="008A065A"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38A44F09" w14:textId="77777777" w:rsidR="008A065A" w:rsidRPr="0033194D" w:rsidRDefault="008A065A" w:rsidP="00876D62">
            <w:pPr>
              <w:spacing w:before="60" w:after="60" w:line="240" w:lineRule="auto"/>
              <w:contextualSpacing/>
              <w:jc w:val="left"/>
              <w:rPr>
                <w:sz w:val="18"/>
                <w:szCs w:val="18"/>
              </w:rPr>
            </w:pPr>
          </w:p>
        </w:tc>
      </w:tr>
      <w:tr w:rsidR="002A686F" w:rsidRPr="0033194D" w14:paraId="3900D4A8" w14:textId="77847B37"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43DDE0CD" w14:textId="77777777" w:rsidR="00D204AB" w:rsidRPr="0033194D" w:rsidRDefault="00D204AB" w:rsidP="00876D62">
            <w:pPr>
              <w:spacing w:before="60" w:after="60" w:line="240" w:lineRule="auto"/>
              <w:contextualSpacing/>
              <w:jc w:val="left"/>
              <w:rPr>
                <w:sz w:val="18"/>
                <w:szCs w:val="18"/>
              </w:rPr>
            </w:pPr>
            <w:r w:rsidRPr="0033194D">
              <w:rPr>
                <w:sz w:val="18"/>
                <w:szCs w:val="18"/>
              </w:rPr>
              <w:t xml:space="preserve">What did CEW contribute to microinvertebrate </w:t>
            </w:r>
            <w:r>
              <w:rPr>
                <w:sz w:val="18"/>
                <w:szCs w:val="18"/>
              </w:rPr>
              <w:t>density</w:t>
            </w:r>
            <w:r w:rsidRPr="0033194D">
              <w:rPr>
                <w:sz w:val="18"/>
                <w:szCs w:val="18"/>
              </w:rPr>
              <w:t>? (LMR)</w:t>
            </w:r>
            <w:r>
              <w:rPr>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060319"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B19BC4"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B18532"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04FA49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A69C4AB"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66AA941C"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70AD47" w:themeFill="accent6"/>
          </w:tcPr>
          <w:p w14:paraId="3077D4FB" w14:textId="77777777" w:rsidR="00D204AB" w:rsidRPr="0033194D" w:rsidRDefault="00D204AB" w:rsidP="00876D62">
            <w:pPr>
              <w:spacing w:before="60" w:after="60" w:line="240" w:lineRule="auto"/>
              <w:contextualSpacing/>
              <w:jc w:val="left"/>
              <w:rPr>
                <w:sz w:val="18"/>
                <w:szCs w:val="18"/>
              </w:rPr>
            </w:pPr>
          </w:p>
        </w:tc>
      </w:tr>
      <w:tr w:rsidR="00EA30AD" w:rsidRPr="0033194D" w14:paraId="5A99A916" w14:textId="00327F86"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6FEB0CBE" w14:textId="77777777" w:rsidR="00D204AB" w:rsidRPr="0033194D" w:rsidRDefault="00D204AB" w:rsidP="00876D62">
            <w:pPr>
              <w:spacing w:before="60" w:after="60" w:line="240" w:lineRule="auto"/>
              <w:contextualSpacing/>
              <w:jc w:val="left"/>
              <w:rPr>
                <w:sz w:val="18"/>
                <w:szCs w:val="18"/>
              </w:rPr>
            </w:pPr>
            <w:r w:rsidRPr="0033194D">
              <w:rPr>
                <w:sz w:val="18"/>
                <w:szCs w:val="18"/>
              </w:rPr>
              <w:t xml:space="preserve">What did CEW contribute to microinvertebrate </w:t>
            </w:r>
            <w:r>
              <w:rPr>
                <w:sz w:val="18"/>
                <w:szCs w:val="18"/>
              </w:rPr>
              <w:t>diversity</w:t>
            </w:r>
            <w:r w:rsidRPr="0033194D">
              <w:rPr>
                <w:sz w:val="18"/>
                <w:szCs w:val="18"/>
              </w:rPr>
              <w:t>? (LMR)</w:t>
            </w:r>
            <w:r>
              <w:rPr>
                <w:sz w:val="18"/>
                <w:szCs w:val="18"/>
              </w:rPr>
              <w:t>*</w:t>
            </w: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754BB74"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8A8104D"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2865EE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7F35A05"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DD1620F"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4ABB709"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C52DF18" w14:textId="77777777" w:rsidR="00D204AB" w:rsidRPr="0033194D" w:rsidRDefault="00D204AB" w:rsidP="00876D62">
            <w:pPr>
              <w:spacing w:before="60" w:after="60" w:line="240" w:lineRule="auto"/>
              <w:contextualSpacing/>
              <w:jc w:val="left"/>
              <w:rPr>
                <w:sz w:val="18"/>
                <w:szCs w:val="18"/>
              </w:rPr>
            </w:pPr>
          </w:p>
        </w:tc>
      </w:tr>
      <w:tr w:rsidR="00EA30AD" w:rsidRPr="0033194D" w14:paraId="6B811443" w14:textId="77777777" w:rsidTr="00EA30AD">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590052E8" w14:textId="172948F1" w:rsidR="008A065A" w:rsidRPr="0033194D" w:rsidRDefault="008A065A" w:rsidP="00876D62">
            <w:pPr>
              <w:spacing w:before="60" w:after="60" w:line="240" w:lineRule="auto"/>
              <w:contextualSpacing/>
              <w:jc w:val="left"/>
              <w:rPr>
                <w:sz w:val="18"/>
                <w:szCs w:val="18"/>
              </w:rPr>
            </w:pPr>
            <w:r w:rsidRPr="008A065A">
              <w:rPr>
                <w:sz w:val="18"/>
                <w:szCs w:val="18"/>
              </w:rPr>
              <w:t>What did CEW contribute to spring microinvertebrate fish prey species density</w:t>
            </w:r>
            <w:r>
              <w:rPr>
                <w:sz w:val="18"/>
                <w:szCs w:val="18"/>
              </w:rPr>
              <w:t>? (LMR)*</w:t>
            </w:r>
          </w:p>
        </w:tc>
        <w:tc>
          <w:tcPr>
            <w:tcW w:w="254" w:type="pct"/>
            <w:tcBorders>
              <w:top w:val="single" w:sz="4" w:space="0" w:color="auto"/>
              <w:left w:val="single" w:sz="4" w:space="0" w:color="auto"/>
              <w:bottom w:val="single" w:sz="4" w:space="0" w:color="auto"/>
              <w:right w:val="single" w:sz="4" w:space="0" w:color="auto"/>
            </w:tcBorders>
            <w:shd w:val="clear" w:color="auto" w:fill="FF0000"/>
            <w:vAlign w:val="center"/>
          </w:tcPr>
          <w:p w14:paraId="7C796CFD"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59571687"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D08132E"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4472C4" w:themeFill="accent5"/>
            <w:vAlign w:val="center"/>
          </w:tcPr>
          <w:p w14:paraId="39D4B942"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0D3E208" w14:textId="77777777" w:rsidR="008A065A" w:rsidRPr="0033194D" w:rsidRDefault="008A065A"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tcPr>
          <w:p w14:paraId="4B932A91" w14:textId="77777777" w:rsidR="008A065A" w:rsidRPr="0033194D" w:rsidRDefault="008A065A"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FF0000"/>
          </w:tcPr>
          <w:p w14:paraId="67D4D876" w14:textId="77777777" w:rsidR="008A065A" w:rsidRPr="0033194D" w:rsidRDefault="008A065A" w:rsidP="00876D62">
            <w:pPr>
              <w:spacing w:before="60" w:after="60" w:line="240" w:lineRule="auto"/>
              <w:contextualSpacing/>
              <w:jc w:val="left"/>
              <w:rPr>
                <w:sz w:val="18"/>
                <w:szCs w:val="18"/>
              </w:rPr>
            </w:pPr>
          </w:p>
        </w:tc>
      </w:tr>
      <w:tr w:rsidR="00EA30AD" w:rsidRPr="0033194D" w14:paraId="5F53C516" w14:textId="77777777" w:rsidTr="00D823F0">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529845EA" w14:textId="1938EAF4" w:rsidR="00D06C48" w:rsidRPr="0033194D" w:rsidRDefault="00D06C48" w:rsidP="00876D62">
            <w:pPr>
              <w:spacing w:before="60" w:after="60" w:line="240" w:lineRule="auto"/>
              <w:contextualSpacing/>
              <w:jc w:val="left"/>
              <w:rPr>
                <w:sz w:val="18"/>
                <w:szCs w:val="18"/>
              </w:rPr>
            </w:pPr>
            <w:r w:rsidRPr="00D06C48">
              <w:rPr>
                <w:sz w:val="18"/>
                <w:szCs w:val="18"/>
              </w:rPr>
              <w:t>What did</w:t>
            </w:r>
            <w:r w:rsidR="008A065A">
              <w:rPr>
                <w:sz w:val="18"/>
                <w:szCs w:val="18"/>
              </w:rPr>
              <w:t xml:space="preserve"> the flow regime (including</w:t>
            </w:r>
            <w:r w:rsidRPr="00D06C48">
              <w:rPr>
                <w:sz w:val="18"/>
                <w:szCs w:val="18"/>
              </w:rPr>
              <w:t xml:space="preserve"> </w:t>
            </w:r>
            <w:r>
              <w:rPr>
                <w:sz w:val="18"/>
                <w:szCs w:val="18"/>
              </w:rPr>
              <w:t>CEW</w:t>
            </w:r>
            <w:r w:rsidR="008A065A">
              <w:rPr>
                <w:sz w:val="18"/>
                <w:szCs w:val="18"/>
              </w:rPr>
              <w:t>)</w:t>
            </w:r>
            <w:r w:rsidRPr="00D06C48">
              <w:rPr>
                <w:sz w:val="18"/>
                <w:szCs w:val="18"/>
              </w:rPr>
              <w:t xml:space="preserve"> contribute to the </w:t>
            </w:r>
            <w:r w:rsidR="00B33B32">
              <w:rPr>
                <w:sz w:val="18"/>
                <w:szCs w:val="18"/>
              </w:rPr>
              <w:t>spawning</w:t>
            </w:r>
            <w:r w:rsidR="00D823F0">
              <w:rPr>
                <w:sz w:val="18"/>
                <w:szCs w:val="18"/>
              </w:rPr>
              <w:t xml:space="preserve"> and recruitment</w:t>
            </w:r>
            <w:r w:rsidRPr="00D06C48">
              <w:rPr>
                <w:sz w:val="18"/>
                <w:szCs w:val="18"/>
              </w:rPr>
              <w:t xml:space="preserve"> of golden perch and silver perch?</w:t>
            </w:r>
            <w:r>
              <w:rPr>
                <w:sz w:val="18"/>
                <w:szCs w:val="18"/>
              </w:rPr>
              <w:t xml:space="preserve"> (LMR)</w:t>
            </w: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6BF1626" w14:textId="77777777" w:rsidR="00D06C48" w:rsidRPr="0033194D" w:rsidRDefault="00D06C48"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BC1781C" w14:textId="77777777" w:rsidR="00D06C48" w:rsidRPr="0033194D" w:rsidRDefault="00D06C48"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829AEE1" w14:textId="77777777" w:rsidR="00D06C48" w:rsidRPr="0033194D" w:rsidRDefault="00D06C48"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226A602" w14:textId="77777777" w:rsidR="00D06C48" w:rsidRPr="0033194D" w:rsidRDefault="00D06C48"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FBB845F" w14:textId="77777777" w:rsidR="00D06C48" w:rsidRPr="0033194D" w:rsidRDefault="00D06C48"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7D2350F" w14:textId="77777777" w:rsidR="00D06C48" w:rsidRPr="0033194D" w:rsidRDefault="00D06C48"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64A66BA" w14:textId="77777777" w:rsidR="00D06C48" w:rsidRPr="0033194D" w:rsidRDefault="00D06C48" w:rsidP="00876D62">
            <w:pPr>
              <w:spacing w:before="60" w:after="60" w:line="240" w:lineRule="auto"/>
              <w:contextualSpacing/>
              <w:jc w:val="left"/>
              <w:rPr>
                <w:sz w:val="18"/>
                <w:szCs w:val="18"/>
              </w:rPr>
            </w:pPr>
          </w:p>
        </w:tc>
      </w:tr>
      <w:tr w:rsidR="00EA30AD" w:rsidRPr="0033194D" w14:paraId="1F04BFA8" w14:textId="02456408" w:rsidTr="00D823F0">
        <w:trPr>
          <w:cantSplit/>
          <w:trHeight w:val="255"/>
        </w:trPr>
        <w:tc>
          <w:tcPr>
            <w:tcW w:w="3200" w:type="pct"/>
            <w:tcBorders>
              <w:top w:val="single" w:sz="4" w:space="0" w:color="auto"/>
              <w:left w:val="single" w:sz="4" w:space="0" w:color="auto"/>
              <w:right w:val="single" w:sz="4" w:space="0" w:color="auto"/>
            </w:tcBorders>
            <w:shd w:val="clear" w:color="auto" w:fill="auto"/>
            <w:vAlign w:val="center"/>
          </w:tcPr>
          <w:p w14:paraId="53F8A282" w14:textId="7F337EE7" w:rsidR="00D204AB" w:rsidRPr="0033194D" w:rsidRDefault="00D204AB" w:rsidP="00876D62">
            <w:pPr>
              <w:spacing w:before="60" w:after="60" w:line="240" w:lineRule="auto"/>
              <w:contextualSpacing/>
              <w:jc w:val="left"/>
              <w:rPr>
                <w:sz w:val="18"/>
                <w:szCs w:val="18"/>
              </w:rPr>
            </w:pPr>
            <w:r w:rsidRPr="00B93045">
              <w:rPr>
                <w:sz w:val="18"/>
                <w:szCs w:val="18"/>
              </w:rPr>
              <w:t xml:space="preserve">Did the flow regime (including </w:t>
            </w:r>
            <w:r>
              <w:rPr>
                <w:sz w:val="18"/>
                <w:szCs w:val="18"/>
              </w:rPr>
              <w:t>CEW</w:t>
            </w:r>
            <w:r w:rsidRPr="00B93045">
              <w:rPr>
                <w:sz w:val="18"/>
                <w:szCs w:val="18"/>
              </w:rPr>
              <w:t xml:space="preserve">) contribute to </w:t>
            </w:r>
            <w:r w:rsidR="00D823F0">
              <w:rPr>
                <w:sz w:val="18"/>
                <w:szCs w:val="18"/>
              </w:rPr>
              <w:t>the</w:t>
            </w:r>
            <w:r>
              <w:rPr>
                <w:sz w:val="18"/>
                <w:szCs w:val="18"/>
              </w:rPr>
              <w:t xml:space="preserve"> resilience </w:t>
            </w:r>
            <w:r w:rsidRPr="00B93045">
              <w:rPr>
                <w:sz w:val="18"/>
                <w:szCs w:val="18"/>
              </w:rPr>
              <w:t>of golden perch and silver perch</w:t>
            </w:r>
            <w:r>
              <w:rPr>
                <w:sz w:val="18"/>
                <w:szCs w:val="18"/>
              </w:rPr>
              <w:t xml:space="preserve"> populations</w:t>
            </w:r>
            <w:r w:rsidRPr="00B93045">
              <w:rPr>
                <w:sz w:val="18"/>
                <w:szCs w:val="18"/>
              </w:rPr>
              <w:t xml:space="preserve">? </w:t>
            </w:r>
            <w:r w:rsidRPr="0033194D">
              <w:rPr>
                <w:sz w:val="18"/>
                <w:szCs w:val="18"/>
              </w:rPr>
              <w:t>(LMR)</w:t>
            </w:r>
          </w:p>
        </w:tc>
        <w:tc>
          <w:tcPr>
            <w:tcW w:w="254" w:type="pct"/>
            <w:tcBorders>
              <w:top w:val="single" w:sz="4" w:space="0" w:color="auto"/>
              <w:left w:val="single" w:sz="4" w:space="0" w:color="auto"/>
              <w:bottom w:val="single" w:sz="4" w:space="0" w:color="auto"/>
              <w:right w:val="nil"/>
            </w:tcBorders>
            <w:shd w:val="clear" w:color="auto" w:fill="A8D08D" w:themeFill="accent6" w:themeFillTint="99"/>
            <w:vAlign w:val="center"/>
          </w:tcPr>
          <w:p w14:paraId="047F363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A8D08D" w:themeFill="accent6" w:themeFillTint="99"/>
            <w:vAlign w:val="center"/>
          </w:tcPr>
          <w:p w14:paraId="1F4E8490"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A8D08D" w:themeFill="accent6" w:themeFillTint="99"/>
            <w:vAlign w:val="center"/>
          </w:tcPr>
          <w:p w14:paraId="224059D6"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A8D08D" w:themeFill="accent6" w:themeFillTint="99"/>
            <w:vAlign w:val="center"/>
          </w:tcPr>
          <w:p w14:paraId="19C33233"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A8D08D" w:themeFill="accent6" w:themeFillTint="99"/>
            <w:vAlign w:val="center"/>
          </w:tcPr>
          <w:p w14:paraId="70697EA1"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nil"/>
              <w:bottom w:val="single" w:sz="4" w:space="0" w:color="auto"/>
              <w:right w:val="nil"/>
            </w:tcBorders>
            <w:shd w:val="clear" w:color="auto" w:fill="A8D08D" w:themeFill="accent6" w:themeFillTint="99"/>
          </w:tcPr>
          <w:p w14:paraId="1A2BD7DC"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nil"/>
              <w:bottom w:val="single" w:sz="4" w:space="0" w:color="auto"/>
              <w:right w:val="single" w:sz="4" w:space="0" w:color="auto"/>
            </w:tcBorders>
            <w:shd w:val="clear" w:color="auto" w:fill="A8D08D" w:themeFill="accent6" w:themeFillTint="99"/>
          </w:tcPr>
          <w:p w14:paraId="3B1B2D45" w14:textId="77777777" w:rsidR="00D204AB" w:rsidRPr="0033194D" w:rsidRDefault="00D204AB" w:rsidP="00876D62">
            <w:pPr>
              <w:spacing w:before="60" w:after="60" w:line="240" w:lineRule="auto"/>
              <w:contextualSpacing/>
              <w:jc w:val="left"/>
              <w:rPr>
                <w:sz w:val="18"/>
                <w:szCs w:val="18"/>
              </w:rPr>
            </w:pPr>
          </w:p>
        </w:tc>
      </w:tr>
      <w:tr w:rsidR="002A686F" w:rsidRPr="0033194D" w14:paraId="10A4F563" w14:textId="1CA489E9" w:rsidTr="00D823F0">
        <w:trPr>
          <w:cantSplit/>
          <w:trHeight w:val="255"/>
        </w:trPr>
        <w:tc>
          <w:tcPr>
            <w:tcW w:w="3200" w:type="pct"/>
            <w:tcBorders>
              <w:top w:val="single" w:sz="4" w:space="0" w:color="auto"/>
              <w:left w:val="single" w:sz="4" w:space="0" w:color="auto"/>
              <w:bottom w:val="single" w:sz="4" w:space="0" w:color="auto"/>
              <w:right w:val="single" w:sz="4" w:space="0" w:color="auto"/>
            </w:tcBorders>
            <w:shd w:val="clear" w:color="auto" w:fill="auto"/>
            <w:vAlign w:val="center"/>
          </w:tcPr>
          <w:p w14:paraId="1A419AEA" w14:textId="5E956A85" w:rsidR="00D204AB" w:rsidRPr="0033194D" w:rsidRDefault="00D204AB" w:rsidP="00876D62">
            <w:pPr>
              <w:spacing w:before="60" w:after="60" w:line="240" w:lineRule="auto"/>
              <w:contextualSpacing/>
              <w:jc w:val="left"/>
              <w:rPr>
                <w:sz w:val="18"/>
                <w:szCs w:val="18"/>
              </w:rPr>
            </w:pPr>
            <w:r w:rsidRPr="002D49A1">
              <w:rPr>
                <w:sz w:val="18"/>
                <w:szCs w:val="18"/>
              </w:rPr>
              <w:t>What did CEW contribute to growth</w:t>
            </w:r>
            <w:r>
              <w:rPr>
                <w:sz w:val="18"/>
                <w:szCs w:val="18"/>
              </w:rPr>
              <w:t>,</w:t>
            </w:r>
            <w:r w:rsidRPr="002D49A1">
              <w:rPr>
                <w:sz w:val="18"/>
                <w:szCs w:val="18"/>
              </w:rPr>
              <w:t xml:space="preserve"> morphometric condition</w:t>
            </w:r>
            <w:r>
              <w:rPr>
                <w:sz w:val="18"/>
                <w:szCs w:val="18"/>
              </w:rPr>
              <w:t xml:space="preserve"> and recruitment</w:t>
            </w:r>
            <w:r w:rsidRPr="002D49A1">
              <w:rPr>
                <w:sz w:val="18"/>
                <w:szCs w:val="18"/>
              </w:rPr>
              <w:t xml:space="preserve"> of Murray cod?</w:t>
            </w:r>
            <w:r>
              <w:rPr>
                <w:sz w:val="18"/>
                <w:szCs w:val="18"/>
              </w:rPr>
              <w:t xml:space="preserve"> (LMR)*</w:t>
            </w: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1E0C398"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6BC8E17"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AA3C31A"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7807F82"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7A86782" w14:textId="77777777" w:rsidR="00D204AB" w:rsidRPr="0033194D" w:rsidRDefault="00D204AB" w:rsidP="00876D62">
            <w:pPr>
              <w:spacing w:before="60" w:after="60" w:line="240" w:lineRule="auto"/>
              <w:contextualSpacing/>
              <w:jc w:val="left"/>
              <w:rPr>
                <w:sz w:val="18"/>
                <w:szCs w:val="18"/>
              </w:rPr>
            </w:pPr>
          </w:p>
        </w:tc>
        <w:tc>
          <w:tcPr>
            <w:tcW w:w="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297B26F" w14:textId="77777777" w:rsidR="00D204AB" w:rsidRPr="0033194D" w:rsidRDefault="00D204AB" w:rsidP="00876D62">
            <w:pPr>
              <w:spacing w:before="60" w:after="60" w:line="240" w:lineRule="auto"/>
              <w:contextualSpacing/>
              <w:jc w:val="left"/>
              <w:rPr>
                <w:sz w:val="18"/>
                <w:szCs w:val="18"/>
              </w:rPr>
            </w:pPr>
          </w:p>
        </w:tc>
        <w:tc>
          <w:tcPr>
            <w:tcW w:w="276"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F4B71F4" w14:textId="77777777" w:rsidR="00D204AB" w:rsidRPr="0033194D" w:rsidRDefault="00D204AB" w:rsidP="00876D62">
            <w:pPr>
              <w:spacing w:before="60" w:after="60" w:line="240" w:lineRule="auto"/>
              <w:contextualSpacing/>
              <w:jc w:val="left"/>
              <w:rPr>
                <w:sz w:val="18"/>
                <w:szCs w:val="18"/>
              </w:rPr>
            </w:pPr>
          </w:p>
        </w:tc>
      </w:tr>
    </w:tbl>
    <w:p w14:paraId="5E520A7F" w14:textId="735ED40B" w:rsidR="00B63163" w:rsidRDefault="00B63163" w:rsidP="00D9522E">
      <w:pPr>
        <w:spacing w:before="80" w:after="80" w:line="240" w:lineRule="auto"/>
        <w:jc w:val="left"/>
        <w:rPr>
          <w:color w:val="auto"/>
          <w:kern w:val="0"/>
          <w:sz w:val="19"/>
          <w:szCs w:val="19"/>
          <w:lang w:val="en-US" w:bidi="en-US"/>
        </w:rPr>
      </w:pPr>
      <w:r w:rsidRPr="00B63163">
        <w:rPr>
          <w:color w:val="auto"/>
          <w:kern w:val="0"/>
          <w:sz w:val="19"/>
          <w:szCs w:val="19"/>
          <w:lang w:val="en-US" w:bidi="en-US"/>
        </w:rPr>
        <w:t>* = not all evaluation questions are presented here for this indicator.</w:t>
      </w:r>
      <w:r>
        <w:rPr>
          <w:color w:val="auto"/>
          <w:kern w:val="0"/>
          <w:sz w:val="19"/>
          <w:szCs w:val="19"/>
          <w:lang w:val="en-US" w:bidi="en-US"/>
        </w:rPr>
        <w:t xml:space="preserve"> # = evaluation results presented for downstream of Lock 6 in the LMR.</w:t>
      </w:r>
    </w:p>
    <w:p w14:paraId="504C194C" w14:textId="1D7E3146" w:rsidR="00D9522E" w:rsidRPr="0033194D" w:rsidRDefault="00D9522E" w:rsidP="00D9522E">
      <w:pPr>
        <w:spacing w:before="80" w:after="80" w:line="240" w:lineRule="auto"/>
        <w:jc w:val="left"/>
        <w:rPr>
          <w:color w:val="auto"/>
          <w:kern w:val="0"/>
          <w:sz w:val="19"/>
          <w:szCs w:val="19"/>
          <w:lang w:val="en-US" w:bidi="en-US"/>
        </w:rPr>
      </w:pPr>
      <w:r w:rsidRPr="0033194D">
        <w:rPr>
          <w:color w:val="auto"/>
          <w:kern w:val="0"/>
          <w:sz w:val="19"/>
          <w:szCs w:val="19"/>
          <w:lang w:val="en-US" w:bidi="en-US"/>
        </w:rPr>
        <w:t xml:space="preserve">Contribution (to what extent CEW contributed towards the outcome, with the significance of the outcome considered). See respective indicator evaluation sections (Section </w:t>
      </w:r>
      <w:r w:rsidRPr="0033194D">
        <w:rPr>
          <w:color w:val="auto"/>
          <w:kern w:val="0"/>
          <w:sz w:val="19"/>
          <w:szCs w:val="19"/>
          <w:lang w:val="en-US" w:bidi="en-US"/>
        </w:rPr>
        <w:fldChar w:fldCharType="begin"/>
      </w:r>
      <w:r w:rsidRPr="0033194D">
        <w:rPr>
          <w:color w:val="auto"/>
          <w:kern w:val="0"/>
          <w:sz w:val="19"/>
          <w:szCs w:val="19"/>
          <w:lang w:val="en-US" w:bidi="en-US"/>
        </w:rPr>
        <w:instrText xml:space="preserve"> REF _Ref15904940 \r \h </w:instrText>
      </w:r>
      <w:r w:rsidRPr="0033194D">
        <w:rPr>
          <w:color w:val="auto"/>
          <w:kern w:val="0"/>
          <w:sz w:val="19"/>
          <w:szCs w:val="19"/>
          <w:lang w:val="en-US" w:bidi="en-US"/>
        </w:rPr>
      </w:r>
      <w:r w:rsidRPr="0033194D">
        <w:rPr>
          <w:color w:val="auto"/>
          <w:kern w:val="0"/>
          <w:sz w:val="19"/>
          <w:szCs w:val="19"/>
          <w:lang w:val="en-US" w:bidi="en-US"/>
        </w:rPr>
        <w:fldChar w:fldCharType="separate"/>
      </w:r>
      <w:r w:rsidR="003C13F6">
        <w:rPr>
          <w:color w:val="auto"/>
          <w:kern w:val="0"/>
          <w:sz w:val="19"/>
          <w:szCs w:val="19"/>
          <w:lang w:val="en-US" w:bidi="en-US"/>
        </w:rPr>
        <w:t>2</w:t>
      </w:r>
      <w:r w:rsidRPr="0033194D">
        <w:rPr>
          <w:color w:val="auto"/>
          <w:kern w:val="0"/>
          <w:sz w:val="19"/>
          <w:szCs w:val="19"/>
          <w:lang w:val="en-US" w:bidi="en-US"/>
        </w:rPr>
        <w:fldChar w:fldCharType="end"/>
      </w:r>
      <w:r w:rsidRPr="0033194D">
        <w:rPr>
          <w:color w:val="auto"/>
          <w:kern w:val="0"/>
          <w:sz w:val="19"/>
          <w:szCs w:val="19"/>
          <w:lang w:val="en-US" w:bidi="en-US"/>
        </w:rPr>
        <w:t>) for selection criteria.</w:t>
      </w:r>
    </w:p>
    <w:tbl>
      <w:tblPr>
        <w:tblW w:w="10421" w:type="dxa"/>
        <w:tblLook w:val="04A0" w:firstRow="1" w:lastRow="0" w:firstColumn="1" w:lastColumn="0" w:noHBand="0" w:noVBand="1"/>
      </w:tblPr>
      <w:tblGrid>
        <w:gridCol w:w="283"/>
        <w:gridCol w:w="1408"/>
        <w:gridCol w:w="284"/>
        <w:gridCol w:w="1134"/>
        <w:gridCol w:w="283"/>
        <w:gridCol w:w="1069"/>
        <w:gridCol w:w="351"/>
        <w:gridCol w:w="1707"/>
        <w:gridCol w:w="277"/>
        <w:gridCol w:w="729"/>
        <w:gridCol w:w="264"/>
        <w:gridCol w:w="1144"/>
        <w:gridCol w:w="278"/>
        <w:gridCol w:w="1210"/>
      </w:tblGrid>
      <w:tr w:rsidR="00E047D3" w:rsidRPr="0033194D" w14:paraId="1C8D5522" w14:textId="77777777" w:rsidTr="00E047D3">
        <w:tc>
          <w:tcPr>
            <w:tcW w:w="284" w:type="dxa"/>
            <w:shd w:val="clear" w:color="auto" w:fill="595959" w:themeFill="text1" w:themeFillTint="A6"/>
          </w:tcPr>
          <w:p w14:paraId="12735646" w14:textId="77777777" w:rsidR="00D13C8F" w:rsidRPr="0033194D" w:rsidRDefault="00D13C8F" w:rsidP="00876D62">
            <w:pPr>
              <w:contextualSpacing/>
              <w:rPr>
                <w:sz w:val="19"/>
                <w:szCs w:val="19"/>
              </w:rPr>
            </w:pPr>
          </w:p>
        </w:tc>
        <w:tc>
          <w:tcPr>
            <w:tcW w:w="1410" w:type="dxa"/>
          </w:tcPr>
          <w:p w14:paraId="5389FBDD" w14:textId="77CA745E" w:rsidR="00D13C8F" w:rsidRPr="0033194D" w:rsidRDefault="00D13C8F" w:rsidP="00876D62">
            <w:pPr>
              <w:contextualSpacing/>
              <w:rPr>
                <w:sz w:val="19"/>
                <w:szCs w:val="19"/>
              </w:rPr>
            </w:pPr>
            <w:r>
              <w:rPr>
                <w:sz w:val="19"/>
                <w:szCs w:val="19"/>
              </w:rPr>
              <w:t>Not assessed</w:t>
            </w:r>
          </w:p>
        </w:tc>
        <w:tc>
          <w:tcPr>
            <w:tcW w:w="284" w:type="dxa"/>
            <w:shd w:val="clear" w:color="auto" w:fill="D9D9D9" w:themeFill="background1" w:themeFillShade="D9"/>
          </w:tcPr>
          <w:p w14:paraId="0181EDE2" w14:textId="198662D3" w:rsidR="00D13C8F" w:rsidRPr="0033194D" w:rsidRDefault="00D13C8F" w:rsidP="00876D62">
            <w:pPr>
              <w:contextualSpacing/>
              <w:rPr>
                <w:sz w:val="19"/>
                <w:szCs w:val="19"/>
              </w:rPr>
            </w:pPr>
          </w:p>
        </w:tc>
        <w:tc>
          <w:tcPr>
            <w:tcW w:w="1134" w:type="dxa"/>
            <w:vAlign w:val="center"/>
          </w:tcPr>
          <w:p w14:paraId="6DC170DA" w14:textId="6A52B1F5" w:rsidR="00D13C8F" w:rsidRPr="0033194D" w:rsidRDefault="00D13C8F" w:rsidP="00876D62">
            <w:pPr>
              <w:contextualSpacing/>
              <w:rPr>
                <w:sz w:val="19"/>
                <w:szCs w:val="19"/>
              </w:rPr>
            </w:pPr>
            <w:r w:rsidRPr="0033194D">
              <w:rPr>
                <w:sz w:val="19"/>
                <w:szCs w:val="19"/>
              </w:rPr>
              <w:t>Unknown</w:t>
            </w:r>
          </w:p>
        </w:tc>
        <w:tc>
          <w:tcPr>
            <w:tcW w:w="283" w:type="dxa"/>
            <w:shd w:val="clear" w:color="auto" w:fill="FF0000"/>
            <w:vAlign w:val="center"/>
          </w:tcPr>
          <w:p w14:paraId="31134898" w14:textId="77777777" w:rsidR="00D13C8F" w:rsidRPr="0033194D" w:rsidRDefault="00D13C8F" w:rsidP="00876D62">
            <w:pPr>
              <w:contextualSpacing/>
              <w:rPr>
                <w:sz w:val="19"/>
                <w:szCs w:val="19"/>
              </w:rPr>
            </w:pPr>
          </w:p>
        </w:tc>
        <w:tc>
          <w:tcPr>
            <w:tcW w:w="1069" w:type="dxa"/>
            <w:vAlign w:val="center"/>
          </w:tcPr>
          <w:p w14:paraId="4BD4AA30" w14:textId="77777777" w:rsidR="00D13C8F" w:rsidRPr="0033194D" w:rsidRDefault="00D13C8F" w:rsidP="00876D62">
            <w:pPr>
              <w:contextualSpacing/>
              <w:rPr>
                <w:sz w:val="19"/>
                <w:szCs w:val="19"/>
              </w:rPr>
            </w:pPr>
            <w:r w:rsidRPr="0033194D">
              <w:rPr>
                <w:sz w:val="19"/>
                <w:szCs w:val="19"/>
              </w:rPr>
              <w:t>Negative</w:t>
            </w:r>
          </w:p>
        </w:tc>
        <w:tc>
          <w:tcPr>
            <w:tcW w:w="351" w:type="dxa"/>
            <w:shd w:val="clear" w:color="auto" w:fill="E2EFD9" w:themeFill="accent6" w:themeFillTint="33"/>
            <w:vAlign w:val="center"/>
          </w:tcPr>
          <w:p w14:paraId="3891CB67" w14:textId="77777777" w:rsidR="00D13C8F" w:rsidRPr="0033194D" w:rsidRDefault="00D13C8F" w:rsidP="00876D62">
            <w:pPr>
              <w:contextualSpacing/>
              <w:rPr>
                <w:sz w:val="19"/>
                <w:szCs w:val="19"/>
              </w:rPr>
            </w:pPr>
          </w:p>
        </w:tc>
        <w:tc>
          <w:tcPr>
            <w:tcW w:w="1707" w:type="dxa"/>
            <w:vAlign w:val="center"/>
          </w:tcPr>
          <w:p w14:paraId="4C3511B3" w14:textId="77777777" w:rsidR="00D13C8F" w:rsidRPr="0033194D" w:rsidRDefault="00D13C8F" w:rsidP="00876D62">
            <w:pPr>
              <w:contextualSpacing/>
              <w:rPr>
                <w:sz w:val="19"/>
                <w:szCs w:val="19"/>
              </w:rPr>
            </w:pPr>
            <w:r w:rsidRPr="0033194D">
              <w:rPr>
                <w:sz w:val="19"/>
                <w:szCs w:val="19"/>
              </w:rPr>
              <w:t>None/negligible</w:t>
            </w:r>
          </w:p>
        </w:tc>
        <w:tc>
          <w:tcPr>
            <w:tcW w:w="277" w:type="dxa"/>
            <w:shd w:val="clear" w:color="auto" w:fill="A8D08D" w:themeFill="accent6" w:themeFillTint="99"/>
            <w:vAlign w:val="center"/>
          </w:tcPr>
          <w:p w14:paraId="2AF4CD5B" w14:textId="77777777" w:rsidR="00D13C8F" w:rsidRPr="0033194D" w:rsidRDefault="00D13C8F" w:rsidP="00876D62">
            <w:pPr>
              <w:contextualSpacing/>
              <w:rPr>
                <w:sz w:val="19"/>
                <w:szCs w:val="19"/>
              </w:rPr>
            </w:pPr>
          </w:p>
        </w:tc>
        <w:tc>
          <w:tcPr>
            <w:tcW w:w="729" w:type="dxa"/>
            <w:vAlign w:val="center"/>
          </w:tcPr>
          <w:p w14:paraId="0C76E0EC" w14:textId="77777777" w:rsidR="00D13C8F" w:rsidRPr="0033194D" w:rsidRDefault="00D13C8F" w:rsidP="00876D62">
            <w:pPr>
              <w:contextualSpacing/>
              <w:rPr>
                <w:sz w:val="19"/>
                <w:szCs w:val="19"/>
              </w:rPr>
            </w:pPr>
            <w:r w:rsidRPr="0033194D">
              <w:rPr>
                <w:sz w:val="19"/>
                <w:szCs w:val="19"/>
              </w:rPr>
              <w:t>Minor</w:t>
            </w:r>
          </w:p>
        </w:tc>
        <w:tc>
          <w:tcPr>
            <w:tcW w:w="264" w:type="dxa"/>
            <w:shd w:val="clear" w:color="auto" w:fill="70AD47" w:themeFill="accent6"/>
            <w:vAlign w:val="center"/>
          </w:tcPr>
          <w:p w14:paraId="479F6E70" w14:textId="77777777" w:rsidR="00D13C8F" w:rsidRPr="0033194D" w:rsidRDefault="00D13C8F" w:rsidP="00876D62">
            <w:pPr>
              <w:contextualSpacing/>
              <w:rPr>
                <w:sz w:val="19"/>
                <w:szCs w:val="19"/>
              </w:rPr>
            </w:pPr>
          </w:p>
        </w:tc>
        <w:tc>
          <w:tcPr>
            <w:tcW w:w="1144" w:type="dxa"/>
            <w:vAlign w:val="center"/>
          </w:tcPr>
          <w:p w14:paraId="4A5C9B13" w14:textId="77777777" w:rsidR="00D13C8F" w:rsidRPr="0033194D" w:rsidRDefault="00D13C8F" w:rsidP="00876D62">
            <w:pPr>
              <w:contextualSpacing/>
              <w:rPr>
                <w:sz w:val="19"/>
                <w:szCs w:val="19"/>
              </w:rPr>
            </w:pPr>
            <w:r w:rsidRPr="0033194D">
              <w:rPr>
                <w:sz w:val="19"/>
                <w:szCs w:val="19"/>
              </w:rPr>
              <w:t>Moderate</w:t>
            </w:r>
          </w:p>
        </w:tc>
        <w:tc>
          <w:tcPr>
            <w:tcW w:w="278" w:type="dxa"/>
            <w:shd w:val="clear" w:color="auto" w:fill="5B9BD5" w:themeFill="accent1"/>
          </w:tcPr>
          <w:p w14:paraId="5DB60051" w14:textId="77777777" w:rsidR="00D13C8F" w:rsidRPr="0033194D" w:rsidRDefault="00D13C8F" w:rsidP="00876D62">
            <w:pPr>
              <w:contextualSpacing/>
              <w:rPr>
                <w:sz w:val="19"/>
                <w:szCs w:val="19"/>
              </w:rPr>
            </w:pPr>
          </w:p>
        </w:tc>
        <w:tc>
          <w:tcPr>
            <w:tcW w:w="1207" w:type="dxa"/>
            <w:vAlign w:val="center"/>
          </w:tcPr>
          <w:p w14:paraId="2A370A27" w14:textId="77777777" w:rsidR="00D13C8F" w:rsidRPr="0033194D" w:rsidRDefault="00D13C8F" w:rsidP="00876D62">
            <w:pPr>
              <w:contextualSpacing/>
              <w:jc w:val="left"/>
              <w:rPr>
                <w:sz w:val="19"/>
                <w:szCs w:val="19"/>
              </w:rPr>
            </w:pPr>
            <w:r w:rsidRPr="0033194D">
              <w:rPr>
                <w:sz w:val="19"/>
                <w:szCs w:val="19"/>
              </w:rPr>
              <w:t>Substantial</w:t>
            </w:r>
          </w:p>
        </w:tc>
      </w:tr>
    </w:tbl>
    <w:p w14:paraId="51FB4274" w14:textId="77777777" w:rsidR="0033194D" w:rsidRDefault="0033194D">
      <w:pPr>
        <w:spacing w:before="0" w:after="160" w:line="259" w:lineRule="auto"/>
        <w:jc w:val="left"/>
        <w:sectPr w:rsidR="0033194D" w:rsidSect="00BA21B3">
          <w:pgSz w:w="16838" w:h="11906" w:orient="landscape"/>
          <w:pgMar w:top="1440" w:right="1440" w:bottom="1440" w:left="1440" w:header="709" w:footer="709" w:gutter="0"/>
          <w:cols w:space="708"/>
          <w:docGrid w:linePitch="360"/>
        </w:sectPr>
      </w:pPr>
    </w:p>
    <w:p w14:paraId="6B9391F5" w14:textId="35702F06" w:rsidR="002241AB" w:rsidRDefault="00833257" w:rsidP="00432CFC">
      <w:pPr>
        <w:pStyle w:val="Heading1"/>
      </w:pPr>
      <w:bookmarkStart w:id="389" w:name="_Ref472332586"/>
      <w:bookmarkStart w:id="390" w:name="_Ref472590168"/>
      <w:bookmarkStart w:id="391" w:name="_Toc3558343"/>
      <w:bookmarkStart w:id="392" w:name="_Ref30588787"/>
      <w:bookmarkStart w:id="393" w:name="_Toc101963783"/>
      <w:r>
        <w:t xml:space="preserve">General </w:t>
      </w:r>
      <w:r w:rsidR="002241AB" w:rsidRPr="00076C40">
        <w:t xml:space="preserve">Management </w:t>
      </w:r>
      <w:bookmarkEnd w:id="389"/>
      <w:bookmarkEnd w:id="390"/>
      <w:bookmarkEnd w:id="391"/>
      <w:bookmarkEnd w:id="392"/>
      <w:r w:rsidR="003C1531">
        <w:t>Recommendations</w:t>
      </w:r>
      <w:bookmarkEnd w:id="393"/>
    </w:p>
    <w:p w14:paraId="4DBBA7C1" w14:textId="4618A237" w:rsidR="008B2D8A" w:rsidRDefault="008B2D8A" w:rsidP="008B2D8A">
      <w:pPr>
        <w:rPr>
          <w:rFonts w:eastAsiaTheme="majorEastAsia"/>
        </w:rPr>
      </w:pPr>
      <w:bookmarkStart w:id="394" w:name="_Toc3558345"/>
      <w:r>
        <w:t>During dry years, environmental water delivery to the Lower Murray has</w:t>
      </w:r>
      <w:r w:rsidRPr="004F0D3E">
        <w:t xml:space="preserve"> typically involved contributing to base flows (~South Australian entitlement flows)</w:t>
      </w:r>
      <w:r>
        <w:t>,</w:t>
      </w:r>
      <w:r w:rsidRPr="004F0D3E">
        <w:t xml:space="preserve"> promoting </w:t>
      </w:r>
      <w:r>
        <w:t>in-channel flow pulses (i.e. increasing</w:t>
      </w:r>
      <w:r w:rsidRPr="004F0D3E">
        <w:rPr>
          <w:rFonts w:eastAsiaTheme="majorEastAsia"/>
        </w:rPr>
        <w:t xml:space="preserve"> magnitude, duration and/or frequency of freshes</w:t>
      </w:r>
      <w:r>
        <w:rPr>
          <w:rFonts w:eastAsiaTheme="majorEastAsia"/>
        </w:rPr>
        <w:t>), and supporting barrage flows</w:t>
      </w:r>
      <w:r w:rsidRPr="004F0D3E">
        <w:rPr>
          <w:rFonts w:eastAsiaTheme="majorEastAsia"/>
        </w:rPr>
        <w:t xml:space="preserve">. </w:t>
      </w:r>
      <w:r>
        <w:rPr>
          <w:rFonts w:eastAsiaTheme="majorEastAsia"/>
        </w:rPr>
        <w:t xml:space="preserve">The overall aims of the water delivery are maintaining/improving habitat and populations and restoring ecosystem health in the LMR and CLLMM region.  </w:t>
      </w:r>
      <w:r w:rsidRPr="004F0D3E">
        <w:t xml:space="preserve">General recommendations for flow management in the LMR are provided below, based on monitoring outcomes from the LTIM and MER projects, in conjunction with our contemporary understanding of flow-related ecology in the LMR. More specific management considerations are provided in Section </w:t>
      </w:r>
      <w:r w:rsidRPr="004F0D3E">
        <w:fldChar w:fldCharType="begin"/>
      </w:r>
      <w:r w:rsidRPr="004F0D3E">
        <w:instrText xml:space="preserve"> REF _Ref15904940 \r \h  \* MERGEFORMAT </w:instrText>
      </w:r>
      <w:r w:rsidRPr="004F0D3E">
        <w:fldChar w:fldCharType="separate"/>
      </w:r>
      <w:r w:rsidR="003C13F6">
        <w:t>2</w:t>
      </w:r>
      <w:r w:rsidRPr="004F0D3E">
        <w:fldChar w:fldCharType="end"/>
      </w:r>
      <w:r w:rsidRPr="004F0D3E">
        <w:t>, based on ecological outcomes and findings from indicators. Our findings and recommendations on flow management are most relevant to the spring–summer period as this is the primary period driving biological response of selected indicators in the LMR.</w:t>
      </w:r>
      <w:r>
        <w:t xml:space="preserve"> </w:t>
      </w:r>
    </w:p>
    <w:p w14:paraId="331F796C" w14:textId="77777777" w:rsidR="008B2D8A" w:rsidRPr="00734693" w:rsidRDefault="008B2D8A" w:rsidP="008B2D8A">
      <w:pPr>
        <w:rPr>
          <w:b/>
          <w:bCs/>
          <w:i/>
          <w:iCs/>
        </w:rPr>
      </w:pPr>
      <w:bookmarkStart w:id="395" w:name="_Hlk96520716"/>
      <w:r w:rsidRPr="00734693">
        <w:rPr>
          <w:b/>
          <w:bCs/>
          <w:i/>
          <w:iCs/>
        </w:rPr>
        <w:t>Spring–early summer in-channel flow pulses</w:t>
      </w:r>
    </w:p>
    <w:p w14:paraId="5981E3B3" w14:textId="77777777" w:rsidR="008B2D8A" w:rsidRDefault="008B2D8A" w:rsidP="008B2D8A">
      <w:r>
        <w:t>S</w:t>
      </w:r>
      <w:r w:rsidRPr="004F0D3E">
        <w:t xml:space="preserve">pring–early summer </w:t>
      </w:r>
      <w:bookmarkEnd w:id="395"/>
      <w:r w:rsidRPr="004F0D3E">
        <w:t>in-channel flow pulses were key features of the natural hydrograph in the LMR but are conspicuously absent</w:t>
      </w:r>
      <w:r>
        <w:t xml:space="preserve"> or reduced </w:t>
      </w:r>
      <w:r w:rsidRPr="004F0D3E">
        <w:t>from the contemporary flow regime. These flow pulses</w:t>
      </w:r>
      <w:r>
        <w:t xml:space="preserve"> improve hydrological </w:t>
      </w:r>
      <w:r w:rsidRPr="004F0D3E">
        <w:t>connectivity</w:t>
      </w:r>
      <w:r>
        <w:t>, increase</w:t>
      </w:r>
      <w:r w:rsidRPr="004F0D3E">
        <w:t xml:space="preserve"> hydraulic diversity</w:t>
      </w:r>
      <w:r>
        <w:t>, and support</w:t>
      </w:r>
      <w:r w:rsidRPr="004F0D3E">
        <w:t xml:space="preserve"> a broad range of ecological </w:t>
      </w:r>
      <w:r>
        <w:t xml:space="preserve">processes and </w:t>
      </w:r>
      <w:r w:rsidRPr="004F0D3E">
        <w:t>outcomes in riverine and estuarine ecosystems</w:t>
      </w:r>
      <w:r>
        <w:t xml:space="preserve"> </w:t>
      </w:r>
      <w:r w:rsidRPr="004F0D3E">
        <w:t xml:space="preserve">(e.g. lotic habitat, </w:t>
      </w:r>
      <w:r>
        <w:t xml:space="preserve">matter transport, food webs, </w:t>
      </w:r>
      <w:r w:rsidRPr="004F0D3E">
        <w:t xml:space="preserve">spawning cues for riverine fishes, </w:t>
      </w:r>
      <w:r>
        <w:t xml:space="preserve">zooplankton/fish larvae drift, </w:t>
      </w:r>
      <w:r w:rsidRPr="004F0D3E">
        <w:t>littoral vegetation</w:t>
      </w:r>
      <w:r>
        <w:t xml:space="preserve"> diversity and productivity, fish recruitment</w:t>
      </w:r>
      <w:r w:rsidRPr="004F0D3E">
        <w:t xml:space="preserve">). </w:t>
      </w:r>
      <w:r w:rsidRPr="00955A37">
        <w:t>Such outcomes have been demonstrated to different levels via the ecological indicators in the Lower Murray over the last seven monitoring years.</w:t>
      </w:r>
      <w:r>
        <w:t xml:space="preserve"> </w:t>
      </w:r>
    </w:p>
    <w:p w14:paraId="67091E18" w14:textId="1C2B913B" w:rsidR="008B2D8A" w:rsidRDefault="008B2D8A" w:rsidP="008B2D8A">
      <w:pPr>
        <w:rPr>
          <w:szCs w:val="21"/>
        </w:rPr>
      </w:pPr>
      <w:r>
        <w:t xml:space="preserve">Under the predominantly dry conditions from 2014-15 to 2020-21 (except 2016-17), environmental water </w:t>
      </w:r>
      <w:r w:rsidRPr="00955A37">
        <w:t>represented 25</w:t>
      </w:r>
      <w:r w:rsidRPr="00955A37">
        <w:rPr>
          <w:rFonts w:ascii="Calibri" w:hAnsi="Calibri" w:cs="Calibri"/>
        </w:rPr>
        <w:t>–</w:t>
      </w:r>
      <w:r w:rsidRPr="00955A37">
        <w:t>43% (3</w:t>
      </w:r>
      <w:r w:rsidR="008D02BF">
        <w:t>1</w:t>
      </w:r>
      <w:r w:rsidRPr="00955A37">
        <w:t>% in 2020-21) of the annual total volumes (mean ~2,700 GL</w:t>
      </w:r>
      <w:r w:rsidR="009E7449">
        <w:t>/y</w:t>
      </w:r>
      <w:r w:rsidRPr="00955A37">
        <w:t>) in the LMR, noting the total volume would have been 89% (modelled) greater prior to river regulation. In these</w:t>
      </w:r>
      <w:r>
        <w:t xml:space="preserve"> years, environmental flows, typically delivered via return flows from upstream watering events, have supported multiple in-channel flow pulses (10,000</w:t>
      </w:r>
      <w:r>
        <w:rPr>
          <w:rFonts w:ascii="Calibri" w:hAnsi="Calibri" w:cs="Calibri"/>
        </w:rPr>
        <w:t>–</w:t>
      </w:r>
      <w:r>
        <w:t xml:space="preserve">18,000 ML/d) in the LMR </w:t>
      </w:r>
      <w:r w:rsidRPr="004C5934">
        <w:t xml:space="preserve">during spring–early </w:t>
      </w:r>
      <w:r w:rsidRPr="00961E09">
        <w:t xml:space="preserve">summer (Figure 10). These small freshes </w:t>
      </w:r>
      <w:bookmarkStart w:id="396" w:name="_Hlk96530909"/>
      <w:r w:rsidRPr="00961E09">
        <w:t>elicited minor to moderate improvement in hydraulic conditions in the</w:t>
      </w:r>
      <w:r>
        <w:t xml:space="preserve"> LMR. F</w:t>
      </w:r>
      <w:r w:rsidRPr="004C5934">
        <w:t>or example, increasing lotic habitat (velocity &gt;0.3 m/s) by 35 km</w:t>
      </w:r>
      <w:r>
        <w:t xml:space="preserve"> (11%</w:t>
      </w:r>
      <w:r w:rsidRPr="004C5934">
        <w:t xml:space="preserve">) and </w:t>
      </w:r>
      <w:r>
        <w:t>34 km (1</w:t>
      </w:r>
      <w:r w:rsidRPr="004C5934">
        <w:t>0%</w:t>
      </w:r>
      <w:r>
        <w:t>)</w:t>
      </w:r>
      <w:r w:rsidRPr="004C5934">
        <w:t xml:space="preserve"> for at least 30 days in 2019-20 and 2020-21, respectively.</w:t>
      </w:r>
      <w:r>
        <w:t xml:space="preserve">  </w:t>
      </w:r>
      <w:bookmarkEnd w:id="396"/>
      <w:r>
        <w:t xml:space="preserve">Due to the </w:t>
      </w:r>
      <w:r w:rsidRPr="004F0D3E">
        <w:t xml:space="preserve">limited magnitude and/or duration of the </w:t>
      </w:r>
      <w:r w:rsidRPr="00961E09">
        <w:t>flow pulses</w:t>
      </w:r>
      <w:r w:rsidR="0012543C">
        <w:t>,</w:t>
      </w:r>
      <w:r w:rsidRPr="00961E09">
        <w:t xml:space="preserve"> </w:t>
      </w:r>
      <w:r w:rsidR="0012543C" w:rsidRPr="00961E09">
        <w:t xml:space="preserve">even under the best case in 2020-21 </w:t>
      </w:r>
      <w:r w:rsidRPr="00961E09">
        <w:t xml:space="preserve">(see </w:t>
      </w:r>
      <w:r w:rsidR="00E219F1">
        <w:fldChar w:fldCharType="begin"/>
      </w:r>
      <w:r w:rsidR="00E219F1">
        <w:instrText xml:space="preserve"> REF _Ref97501188 \h </w:instrText>
      </w:r>
      <w:r w:rsidR="00E219F1">
        <w:fldChar w:fldCharType="separate"/>
      </w:r>
      <w:r w:rsidR="003C13F6">
        <w:t xml:space="preserve">Table </w:t>
      </w:r>
      <w:r w:rsidR="003C13F6">
        <w:rPr>
          <w:noProof/>
        </w:rPr>
        <w:t>25</w:t>
      </w:r>
      <w:r w:rsidR="00E219F1">
        <w:fldChar w:fldCharType="end"/>
      </w:r>
      <w:r w:rsidRPr="00961E09">
        <w:t>), compounded by the impact of weirs, the spatiotemporal</w:t>
      </w:r>
      <w:r w:rsidRPr="004F0D3E">
        <w:t xml:space="preserve"> scale of hydraulic improvement</w:t>
      </w:r>
      <w:r>
        <w:t>s</w:t>
      </w:r>
      <w:r w:rsidRPr="004F0D3E">
        <w:t xml:space="preserve"> and overall riverine ecosystem responses were </w:t>
      </w:r>
      <w:r w:rsidR="0012543C" w:rsidRPr="004F0D3E">
        <w:t>restricted</w:t>
      </w:r>
      <w:r>
        <w:t xml:space="preserve"> in the LMR</w:t>
      </w:r>
      <w:r w:rsidRPr="004F0D3E">
        <w:t xml:space="preserve">. This </w:t>
      </w:r>
      <w:r>
        <w:t xml:space="preserve">has been </w:t>
      </w:r>
      <w:r w:rsidRPr="004F0D3E">
        <w:t xml:space="preserve">exemplified by </w:t>
      </w:r>
      <w:r>
        <w:t>poor</w:t>
      </w:r>
      <w:r w:rsidRPr="004F0D3E">
        <w:t xml:space="preserve"> recruitment</w:t>
      </w:r>
      <w:r>
        <w:t xml:space="preserve"> of golden perch from local spawning and small increases in riverine primary productivity in the LMR since 2014-15</w:t>
      </w:r>
      <w:r w:rsidRPr="004F0D3E">
        <w:t xml:space="preserve">. Higher flow rates (&gt;20,000 ML/d) and/or greater durations </w:t>
      </w:r>
      <w:r>
        <w:t xml:space="preserve">are likely </w:t>
      </w:r>
      <w:r w:rsidRPr="004F0D3E">
        <w:t xml:space="preserve">required to substantially reinstate flowing river characteristics to achieve greater ecological outcomes (e.g. riverine production and recruitment of flow-cued spawning fishes) in the LMR. </w:t>
      </w:r>
      <w:r w:rsidRPr="004F0D3E">
        <w:rPr>
          <w:szCs w:val="21"/>
        </w:rPr>
        <w:t>With existing volumes of environmental water and delivery constraints, reaching and sustaining flows &gt;20,000 ML/d in the LMR during dry years is largely reliant on coordinating flow deliveries across much of the southern MDB, including flows from the Murray</w:t>
      </w:r>
      <w:r>
        <w:rPr>
          <w:szCs w:val="21"/>
        </w:rPr>
        <w:t>,</w:t>
      </w:r>
      <w:r w:rsidRPr="004F0D3E">
        <w:rPr>
          <w:szCs w:val="21"/>
        </w:rPr>
        <w:t xml:space="preserve"> Goulburn, Murrumbidgee</w:t>
      </w:r>
      <w:r>
        <w:rPr>
          <w:szCs w:val="21"/>
        </w:rPr>
        <w:t xml:space="preserve"> and</w:t>
      </w:r>
      <w:r w:rsidRPr="004F0D3E">
        <w:rPr>
          <w:szCs w:val="21"/>
        </w:rPr>
        <w:t xml:space="preserve"> Darling rivers.</w:t>
      </w:r>
      <w:r>
        <w:rPr>
          <w:szCs w:val="21"/>
        </w:rPr>
        <w:t xml:space="preserve"> Such concerted effort has been increasing in recent years. </w:t>
      </w:r>
      <w:r w:rsidRPr="004F0D3E">
        <w:rPr>
          <w:szCs w:val="21"/>
        </w:rPr>
        <w:t xml:space="preserve">Under wetter scenarios, flows &gt;20,000 ML/d may be achieved by delivering environmental water in conjunction with unregulated flows. </w:t>
      </w:r>
    </w:p>
    <w:p w14:paraId="63D47747" w14:textId="1E3F3130" w:rsidR="008B2D8A" w:rsidRDefault="008B2D8A" w:rsidP="008B2D8A">
      <w:r w:rsidRPr="00A9451D">
        <w:t xml:space="preserve">Nevertheless, in recent years, </w:t>
      </w:r>
      <w:r>
        <w:t>spring</w:t>
      </w:r>
      <w:r>
        <w:rPr>
          <w:rFonts w:ascii="Calibri" w:hAnsi="Calibri" w:cs="Calibri"/>
        </w:rPr>
        <w:t>–</w:t>
      </w:r>
      <w:r>
        <w:t xml:space="preserve">early summer </w:t>
      </w:r>
      <w:r w:rsidRPr="00A9451D">
        <w:t>flow pulses up to 18,000 ML/d</w:t>
      </w:r>
      <w:r>
        <w:t xml:space="preserve"> in the LMR </w:t>
      </w:r>
      <w:r w:rsidRPr="00A9451D">
        <w:t>have led to positive ecological responses at ‘reach scale’</w:t>
      </w:r>
      <w:r>
        <w:t xml:space="preserve">. For example, </w:t>
      </w:r>
      <w:r w:rsidRPr="00A9451D">
        <w:t xml:space="preserve">increased </w:t>
      </w:r>
      <w:r>
        <w:t xml:space="preserve">water level </w:t>
      </w:r>
      <w:r w:rsidRPr="00A9451D">
        <w:t>variability by environmental flow</w:t>
      </w:r>
      <w:r>
        <w:t xml:space="preserve"> supported the </w:t>
      </w:r>
      <w:r w:rsidRPr="00A9451D">
        <w:t xml:space="preserve">recruitment of native littoral understorey vegetation and the germination </w:t>
      </w:r>
      <w:r>
        <w:t xml:space="preserve">(2019-20) </w:t>
      </w:r>
      <w:r w:rsidRPr="00A9451D">
        <w:t xml:space="preserve">and survival </w:t>
      </w:r>
      <w:r>
        <w:t xml:space="preserve">(2020-21) </w:t>
      </w:r>
      <w:r w:rsidRPr="00A9451D">
        <w:t>of river red gums in river reaches downstream of weirs</w:t>
      </w:r>
      <w:r>
        <w:t xml:space="preserve">; improved hydrological connectivity, indicated by increased river length and duration with flowing velocity &gt;0.2 m/s, promoted microinvertebrate downstream transport and facilitated larval drift of flow-cued spawners (e.g. silver perch larvae from the lower mid-Murray to the LMR in 2020-21). Furthermore, spring </w:t>
      </w:r>
      <w:r w:rsidRPr="004F0D3E">
        <w:t>flows of 10,000–18,000 ML/d have been associated with recruitment of Murray cod</w:t>
      </w:r>
      <w:r>
        <w:t xml:space="preserve"> in most years since 2014-15</w:t>
      </w:r>
      <w:r w:rsidRPr="004F0D3E">
        <w:t xml:space="preserve">. Flows of this volume result in </w:t>
      </w:r>
      <w:r>
        <w:t>an increased</w:t>
      </w:r>
      <w:r w:rsidRPr="004F0D3E">
        <w:t xml:space="preserve"> extent of lotic habitat</w:t>
      </w:r>
      <w:r w:rsidR="00115A90">
        <w:t xml:space="preserve"> and may promote prey abundance</w:t>
      </w:r>
      <w:r w:rsidRPr="004F0D3E">
        <w:t xml:space="preserve"> in individual weir pools. </w:t>
      </w:r>
      <w:r>
        <w:t xml:space="preserve">The </w:t>
      </w:r>
      <w:r w:rsidRPr="004F0D3E">
        <w:t xml:space="preserve">life history </w:t>
      </w:r>
      <w:r>
        <w:t xml:space="preserve">of </w:t>
      </w:r>
      <w:r w:rsidRPr="004F0D3E">
        <w:t xml:space="preserve">Murray cod operates over these smaller spatial scales (10s of km), and as such, </w:t>
      </w:r>
      <w:r>
        <w:t xml:space="preserve">their recruitment may have been benefited by </w:t>
      </w:r>
      <w:r w:rsidRPr="00A9451D">
        <w:t xml:space="preserve">improved lotic </w:t>
      </w:r>
      <w:r w:rsidR="001747FE">
        <w:t>h</w:t>
      </w:r>
      <w:r w:rsidRPr="00A9451D">
        <w:t xml:space="preserve">abitat </w:t>
      </w:r>
      <w:r>
        <w:t>at ‘reach scale’</w:t>
      </w:r>
      <w:r w:rsidR="00DF6836">
        <w:t>, along with appropriate food supplies,</w:t>
      </w:r>
      <w:r>
        <w:t xml:space="preserve"> </w:t>
      </w:r>
      <w:r w:rsidRPr="00A9451D">
        <w:t>resulting from environmental water delivery.</w:t>
      </w:r>
      <w:r>
        <w:t xml:space="preserve"> </w:t>
      </w:r>
    </w:p>
    <w:p w14:paraId="68F0C298" w14:textId="03DD3FB1" w:rsidR="008B2D8A" w:rsidRPr="00734693" w:rsidRDefault="008B2D8A" w:rsidP="008B2D8A">
      <w:pPr>
        <w:rPr>
          <w:b/>
          <w:bCs/>
          <w:i/>
          <w:iCs/>
        </w:rPr>
      </w:pPr>
      <w:r>
        <w:rPr>
          <w:b/>
          <w:bCs/>
          <w:i/>
          <w:iCs/>
        </w:rPr>
        <w:t>T</w:t>
      </w:r>
      <w:r w:rsidRPr="00734693">
        <w:rPr>
          <w:b/>
          <w:bCs/>
          <w:i/>
          <w:iCs/>
        </w:rPr>
        <w:t>iming of flow delivery</w:t>
      </w:r>
      <w:r w:rsidR="00DD199B">
        <w:rPr>
          <w:b/>
          <w:bCs/>
          <w:i/>
          <w:iCs/>
        </w:rPr>
        <w:t xml:space="preserve"> </w:t>
      </w:r>
    </w:p>
    <w:p w14:paraId="77663F52" w14:textId="03B47F14" w:rsidR="008B2D8A" w:rsidRDefault="008B2D8A" w:rsidP="008B2D8A">
      <w:r w:rsidRPr="00EF4BE0">
        <w:t>The timing of flow delivery is important and should continue to</w:t>
      </w:r>
      <w:r w:rsidR="002D35EA" w:rsidRPr="00EF4BE0">
        <w:t xml:space="preserve"> </w:t>
      </w:r>
      <w:r w:rsidR="00DD199B">
        <w:t xml:space="preserve">be considered </w:t>
      </w:r>
      <w:r w:rsidR="002D35EA" w:rsidRPr="00EF4BE0">
        <w:t>with</w:t>
      </w:r>
      <w:r w:rsidR="00DD199B">
        <w:t xml:space="preserve"> regard to </w:t>
      </w:r>
      <w:r w:rsidR="0014761A">
        <w:t>its</w:t>
      </w:r>
      <w:r w:rsidR="00DD199B">
        <w:t xml:space="preserve"> effect on achieving</w:t>
      </w:r>
      <w:r w:rsidR="002D35EA" w:rsidRPr="00EF4BE0">
        <w:t xml:space="preserve"> ecological objectives</w:t>
      </w:r>
      <w:r w:rsidRPr="00EF4BE0">
        <w:t xml:space="preserve"> and </w:t>
      </w:r>
      <w:r w:rsidR="00DD199B">
        <w:t xml:space="preserve">meeting </w:t>
      </w:r>
      <w:r w:rsidRPr="00EF4BE0">
        <w:rPr>
          <w:bCs/>
          <w:szCs w:val="21"/>
        </w:rPr>
        <w:t xml:space="preserve">biological processes and species’ life history </w:t>
      </w:r>
      <w:r w:rsidRPr="00EF4BE0">
        <w:t>requirements.</w:t>
      </w:r>
      <w:r>
        <w:t xml:space="preserve"> For example, in recent years (2017-18, 2019-20 and 2020-21), the spring</w:t>
      </w:r>
      <w:r>
        <w:rPr>
          <w:rFonts w:ascii="Calibri" w:hAnsi="Calibri" w:cs="Calibri"/>
        </w:rPr>
        <w:t>–</w:t>
      </w:r>
      <w:r>
        <w:t xml:space="preserve">early summer flow pulses were of a similar magnitude in </w:t>
      </w:r>
      <w:r w:rsidRPr="00961E09">
        <w:t>the LMR, but the flow pulse in 2019-20 occurred earlier in the season (peak in mid-October) (</w:t>
      </w:r>
      <w:r w:rsidR="00E219F1">
        <w:fldChar w:fldCharType="begin"/>
      </w:r>
      <w:r w:rsidR="00E219F1">
        <w:instrText xml:space="preserve"> REF _Ref97501188 \h </w:instrText>
      </w:r>
      <w:r w:rsidR="00E219F1">
        <w:fldChar w:fldCharType="separate"/>
      </w:r>
      <w:r w:rsidR="003C13F6">
        <w:t xml:space="preserve">Table </w:t>
      </w:r>
      <w:r w:rsidR="003C13F6">
        <w:rPr>
          <w:noProof/>
        </w:rPr>
        <w:t>25</w:t>
      </w:r>
      <w:r w:rsidR="00E219F1">
        <w:fldChar w:fldCharType="end"/>
      </w:r>
      <w:r w:rsidRPr="00961E09">
        <w:t xml:space="preserve">), coinciding with the spawning period of Murray cod (i.e. October to November). Stronger recruitment of Murray cod was </w:t>
      </w:r>
      <w:r w:rsidR="00AA6894">
        <w:t xml:space="preserve">evident </w:t>
      </w:r>
      <w:r w:rsidRPr="00961E09">
        <w:t xml:space="preserve">in 2019-20, compared to 2017-18 and 2020-21, suggesting that </w:t>
      </w:r>
      <w:r w:rsidR="00E05DB5" w:rsidRPr="00961E09">
        <w:t>elevated flow</w:t>
      </w:r>
      <w:r w:rsidRPr="00961E09">
        <w:t xml:space="preserve"> in early spring, immediately prior to and during spawning, may be beneficial to Murray</w:t>
      </w:r>
      <w:r>
        <w:t xml:space="preserve"> cod reproduction, potentially by improving the extent/quality of spawning habitat</w:t>
      </w:r>
      <w:r w:rsidR="00AA6894">
        <w:t xml:space="preserve"> and providing </w:t>
      </w:r>
      <w:r w:rsidR="008E3C22">
        <w:t xml:space="preserve">favoured </w:t>
      </w:r>
      <w:r w:rsidR="00AA6894">
        <w:t>food resources</w:t>
      </w:r>
      <w:r w:rsidR="00855450">
        <w:t xml:space="preserve"> for early life stages</w:t>
      </w:r>
      <w:r>
        <w:t>. Alternatively, f</w:t>
      </w:r>
      <w:r w:rsidRPr="00FE1BB6">
        <w:t>low</w:t>
      </w:r>
      <w:r>
        <w:t xml:space="preserve"> pulses</w:t>
      </w:r>
      <w:r w:rsidRPr="00FE1BB6">
        <w:t xml:space="preserve"> delivered </w:t>
      </w:r>
      <w:r>
        <w:t xml:space="preserve">mostly </w:t>
      </w:r>
      <w:r w:rsidRPr="00FE1BB6">
        <w:t>after the spawning season may not elicit the same response</w:t>
      </w:r>
      <w:r>
        <w:t xml:space="preserve"> by Murray cod</w:t>
      </w:r>
      <w:r w:rsidRPr="00FE1BB6">
        <w:t xml:space="preserve">. Nonetheless, </w:t>
      </w:r>
      <w:r>
        <w:t xml:space="preserve">further research and modelling using </w:t>
      </w:r>
      <w:r w:rsidRPr="008E3C22">
        <w:t xml:space="preserve">multiple years of data is required to identify key drivers of Murray cod recruitment in the LMR. Furthermore, later flow pulses generally coincide with higher water temperatures (&gt;20°C) and, if of sufficient magnitude, may promote spawning of golden perch. While the spawning and recruitment of this species has been poor in the LMR since 2014-15, peak </w:t>
      </w:r>
      <w:r w:rsidR="008E3C22">
        <w:t>spawning</w:t>
      </w:r>
      <w:r w:rsidR="008E3C22" w:rsidRPr="008E3C22">
        <w:t xml:space="preserve"> </w:t>
      </w:r>
      <w:r w:rsidRPr="008E3C22">
        <w:t>of golden perch typically occurs between November and January (based on data from 2010–2013 wet years). To achieve multiple species outcomes, a holistic approach</w:t>
      </w:r>
      <w:r>
        <w:t xml:space="preserve"> in flow regime design will be required. This can be informed by </w:t>
      </w:r>
      <w:r w:rsidRPr="00305230">
        <w:t>better understand</w:t>
      </w:r>
      <w:r>
        <w:t>ing of</w:t>
      </w:r>
      <w:r w:rsidRPr="00305230">
        <w:t xml:space="preserve"> the effect of specific aspects of flow (e.g. timing, magnitude and duration) on </w:t>
      </w:r>
      <w:r>
        <w:t xml:space="preserve">life-history </w:t>
      </w:r>
      <w:r w:rsidRPr="00305230">
        <w:t>processes</w:t>
      </w:r>
      <w:r w:rsidR="00ED2D9D">
        <w:t>,</w:t>
      </w:r>
      <w:r w:rsidRPr="00305230">
        <w:t xml:space="preserve"> the hydraulic requirements of flow-dependant species</w:t>
      </w:r>
      <w:r w:rsidR="00ED2D9D">
        <w:t>, and the availability of food resources</w:t>
      </w:r>
      <w:r w:rsidRPr="00305230">
        <w:t>.</w:t>
      </w:r>
      <w:r>
        <w:t xml:space="preserve"> </w:t>
      </w:r>
      <w:r w:rsidRPr="00E23DFF">
        <w:t xml:space="preserve">Whilst the timing of flow is important, a large proportion of environmental water is delivered to the LMR as return flows (e.g. in winter/spring/early summer). </w:t>
      </w:r>
      <w:r>
        <w:t>This reinforces that a</w:t>
      </w:r>
      <w:r w:rsidRPr="00E23DFF">
        <w:t xml:space="preserve"> collaborative and coordinated approach to environmental water planning and </w:t>
      </w:r>
      <w:r>
        <w:t>delivery</w:t>
      </w:r>
      <w:r w:rsidRPr="00E23DFF">
        <w:t xml:space="preserve"> across the southern Basin is essential. </w:t>
      </w:r>
      <w:r w:rsidR="002D35EA" w:rsidRPr="00E23DFF">
        <w:t>This includes aligning the timing</w:t>
      </w:r>
      <w:r w:rsidR="00841A1A">
        <w:t xml:space="preserve"> </w:t>
      </w:r>
      <w:r w:rsidR="00553023" w:rsidRPr="00553023">
        <w:t>and delivery</w:t>
      </w:r>
      <w:r w:rsidR="00841A1A">
        <w:t xml:space="preserve"> of water,</w:t>
      </w:r>
      <w:r w:rsidR="00553023" w:rsidRPr="00553023">
        <w:t xml:space="preserve"> that is responsive and flexible to rain events</w:t>
      </w:r>
      <w:r w:rsidR="00841A1A">
        <w:t>,</w:t>
      </w:r>
      <w:r w:rsidR="00D868BF">
        <w:t xml:space="preserve"> </w:t>
      </w:r>
      <w:r w:rsidR="002D35EA" w:rsidRPr="00E23DFF">
        <w:t>to achieve multi-site ecological outcomes.</w:t>
      </w:r>
      <w:r w:rsidR="002D35EA">
        <w:t xml:space="preserve">  </w:t>
      </w:r>
      <w:r w:rsidR="002D35EA" w:rsidRPr="00570070">
        <w:t xml:space="preserve"> </w:t>
      </w:r>
    </w:p>
    <w:p w14:paraId="28982187" w14:textId="77777777" w:rsidR="008B2D8A" w:rsidRDefault="008B2D8A" w:rsidP="008B2D8A">
      <w:pPr>
        <w:spacing w:before="0" w:after="160" w:line="259" w:lineRule="auto"/>
        <w:jc w:val="left"/>
        <w:rPr>
          <w:b/>
          <w:bCs/>
          <w:sz w:val="20"/>
        </w:rPr>
      </w:pPr>
      <w:r>
        <w:rPr>
          <w:b/>
          <w:bCs/>
          <w:sz w:val="20"/>
        </w:rPr>
        <w:br w:type="page"/>
      </w:r>
    </w:p>
    <w:p w14:paraId="33917BC3" w14:textId="21C6EE21" w:rsidR="00D52FA4" w:rsidRDefault="00E219F1" w:rsidP="00E219F1">
      <w:pPr>
        <w:pStyle w:val="Caption"/>
      </w:pPr>
      <w:bookmarkStart w:id="397" w:name="_Ref97501188"/>
      <w:bookmarkStart w:id="398" w:name="_Toc101963883"/>
      <w:r>
        <w:t xml:space="preserve">Table </w:t>
      </w:r>
      <w:fldSimple w:instr=" SEQ Table \* ARABIC ">
        <w:r w:rsidR="003C13F6">
          <w:rPr>
            <w:noProof/>
          </w:rPr>
          <w:t>25</w:t>
        </w:r>
      </w:fldSimple>
      <w:bookmarkEnd w:id="397"/>
      <w:r>
        <w:rPr>
          <w:lang w:val="en-US"/>
        </w:rPr>
        <w:t>. The magnitude, timing and duration of the main spring</w:t>
      </w:r>
      <w:r w:rsidR="00D52FA4" w:rsidRPr="006B3857">
        <w:rPr>
          <w:rFonts w:cs="Calibri"/>
        </w:rPr>
        <w:t>–</w:t>
      </w:r>
      <w:r w:rsidR="00D52FA4" w:rsidRPr="006B3857">
        <w:t xml:space="preserve">summer flow pulses </w:t>
      </w:r>
      <w:r w:rsidR="00D52FA4">
        <w:t xml:space="preserve">from </w:t>
      </w:r>
      <w:r w:rsidR="00D52FA4" w:rsidRPr="006B3857">
        <w:t>2014-15</w:t>
      </w:r>
      <w:r w:rsidR="00D52FA4">
        <w:t xml:space="preserve"> to 2020-21</w:t>
      </w:r>
      <w:r w:rsidR="00D52FA4" w:rsidRPr="006B3857">
        <w:t>.</w:t>
      </w:r>
      <w:bookmarkEnd w:id="398"/>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
        <w:gridCol w:w="1094"/>
        <w:gridCol w:w="1233"/>
        <w:gridCol w:w="1959"/>
        <w:gridCol w:w="2269"/>
        <w:gridCol w:w="1513"/>
      </w:tblGrid>
      <w:tr w:rsidR="003F62BC" w:rsidRPr="00C01019" w14:paraId="60C67560" w14:textId="77777777" w:rsidTr="00AD7867">
        <w:trPr>
          <w:trHeight w:val="340"/>
          <w:tblHeader/>
          <w:jc w:val="center"/>
        </w:trPr>
        <w:tc>
          <w:tcPr>
            <w:tcW w:w="531" w:type="pct"/>
            <w:tcBorders>
              <w:top w:val="single" w:sz="4" w:space="0" w:color="auto"/>
              <w:bottom w:val="single" w:sz="4" w:space="0" w:color="auto"/>
            </w:tcBorders>
          </w:tcPr>
          <w:p w14:paraId="586A56A4" w14:textId="17553704" w:rsidR="003F62BC" w:rsidRPr="00C01019" w:rsidRDefault="003F62BC" w:rsidP="00026105">
            <w:pPr>
              <w:spacing w:before="0" w:after="0"/>
              <w:contextualSpacing/>
              <w:jc w:val="center"/>
              <w:rPr>
                <w:b/>
                <w:sz w:val="19"/>
                <w:szCs w:val="19"/>
              </w:rPr>
            </w:pPr>
            <w:r>
              <w:rPr>
                <w:b/>
                <w:sz w:val="19"/>
                <w:szCs w:val="19"/>
              </w:rPr>
              <w:t>Water year</w:t>
            </w:r>
          </w:p>
        </w:tc>
        <w:tc>
          <w:tcPr>
            <w:tcW w:w="606" w:type="pct"/>
            <w:tcBorders>
              <w:top w:val="single" w:sz="4" w:space="0" w:color="auto"/>
              <w:bottom w:val="single" w:sz="4" w:space="0" w:color="auto"/>
            </w:tcBorders>
          </w:tcPr>
          <w:p w14:paraId="028ABE9A" w14:textId="59DCF6FD" w:rsidR="003F62BC" w:rsidRPr="00C01019" w:rsidRDefault="003F62BC" w:rsidP="00026105">
            <w:pPr>
              <w:spacing w:before="0" w:after="0"/>
              <w:contextualSpacing/>
              <w:jc w:val="center"/>
              <w:rPr>
                <w:b/>
                <w:sz w:val="19"/>
                <w:szCs w:val="19"/>
              </w:rPr>
            </w:pPr>
            <w:r>
              <w:rPr>
                <w:b/>
                <w:sz w:val="19"/>
                <w:szCs w:val="19"/>
              </w:rPr>
              <w:t>Peak (ML/d)</w:t>
            </w:r>
          </w:p>
        </w:tc>
        <w:tc>
          <w:tcPr>
            <w:tcW w:w="683" w:type="pct"/>
            <w:tcBorders>
              <w:top w:val="single" w:sz="4" w:space="0" w:color="auto"/>
              <w:bottom w:val="single" w:sz="4" w:space="0" w:color="auto"/>
            </w:tcBorders>
          </w:tcPr>
          <w:p w14:paraId="1FBED870" w14:textId="1C9B1EAF" w:rsidR="003F62BC" w:rsidRDefault="003F62BC" w:rsidP="00026105">
            <w:pPr>
              <w:spacing w:before="0" w:after="0"/>
              <w:contextualSpacing/>
              <w:jc w:val="center"/>
              <w:rPr>
                <w:b/>
                <w:sz w:val="19"/>
                <w:szCs w:val="19"/>
              </w:rPr>
            </w:pPr>
            <w:r>
              <w:rPr>
                <w:b/>
                <w:sz w:val="19"/>
                <w:szCs w:val="19"/>
              </w:rPr>
              <w:t>Peak date</w:t>
            </w:r>
          </w:p>
        </w:tc>
        <w:tc>
          <w:tcPr>
            <w:tcW w:w="2342" w:type="pct"/>
            <w:gridSpan w:val="2"/>
            <w:tcBorders>
              <w:top w:val="single" w:sz="4" w:space="0" w:color="auto"/>
              <w:bottom w:val="single" w:sz="4" w:space="0" w:color="auto"/>
            </w:tcBorders>
          </w:tcPr>
          <w:p w14:paraId="4DAC24E3" w14:textId="5AC4B3F2" w:rsidR="003F62BC" w:rsidRPr="00EB44AE" w:rsidRDefault="003F62BC" w:rsidP="00026105">
            <w:pPr>
              <w:spacing w:before="0" w:after="0"/>
              <w:contextualSpacing/>
              <w:jc w:val="center"/>
              <w:rPr>
                <w:b/>
                <w:sz w:val="19"/>
                <w:szCs w:val="19"/>
                <w:vertAlign w:val="superscript"/>
              </w:rPr>
            </w:pPr>
            <w:r>
              <w:rPr>
                <w:b/>
                <w:sz w:val="19"/>
                <w:szCs w:val="19"/>
              </w:rPr>
              <w:t>Duration</w:t>
            </w:r>
          </w:p>
        </w:tc>
        <w:tc>
          <w:tcPr>
            <w:tcW w:w="838" w:type="pct"/>
            <w:tcBorders>
              <w:top w:val="single" w:sz="4" w:space="0" w:color="auto"/>
              <w:bottom w:val="single" w:sz="4" w:space="0" w:color="auto"/>
            </w:tcBorders>
          </w:tcPr>
          <w:p w14:paraId="600FFF6A" w14:textId="06B18009" w:rsidR="003F62BC" w:rsidRPr="00EB44AE" w:rsidRDefault="00631273" w:rsidP="00026105">
            <w:pPr>
              <w:spacing w:before="0" w:after="0"/>
              <w:contextualSpacing/>
              <w:jc w:val="center"/>
              <w:rPr>
                <w:b/>
                <w:sz w:val="19"/>
                <w:szCs w:val="19"/>
                <w:vertAlign w:val="superscript"/>
              </w:rPr>
            </w:pPr>
            <w:r>
              <w:rPr>
                <w:b/>
                <w:sz w:val="19"/>
                <w:szCs w:val="19"/>
              </w:rPr>
              <w:t>Season</w:t>
            </w:r>
          </w:p>
        </w:tc>
      </w:tr>
      <w:tr w:rsidR="003F62BC" w:rsidRPr="00C01019" w14:paraId="12E0BBF6" w14:textId="77777777" w:rsidTr="00AD7867">
        <w:trPr>
          <w:trHeight w:val="340"/>
          <w:jc w:val="center"/>
        </w:trPr>
        <w:tc>
          <w:tcPr>
            <w:tcW w:w="531" w:type="pct"/>
            <w:tcBorders>
              <w:top w:val="nil"/>
              <w:left w:val="nil"/>
              <w:bottom w:val="nil"/>
              <w:right w:val="nil"/>
            </w:tcBorders>
            <w:shd w:val="clear" w:color="auto" w:fill="auto"/>
            <w:vAlign w:val="bottom"/>
          </w:tcPr>
          <w:p w14:paraId="3891C4FC" w14:textId="125A01EA" w:rsidR="003F62BC" w:rsidRPr="003F62BC" w:rsidRDefault="003F62BC" w:rsidP="003F62BC">
            <w:pPr>
              <w:spacing w:before="0" w:after="0"/>
              <w:contextualSpacing/>
              <w:jc w:val="center"/>
              <w:rPr>
                <w:sz w:val="18"/>
                <w:szCs w:val="18"/>
              </w:rPr>
            </w:pPr>
            <w:r w:rsidRPr="003F62BC">
              <w:rPr>
                <w:rFonts w:cs="Calibri"/>
                <w:sz w:val="18"/>
                <w:szCs w:val="18"/>
              </w:rPr>
              <w:t>2014-15</w:t>
            </w:r>
          </w:p>
        </w:tc>
        <w:tc>
          <w:tcPr>
            <w:tcW w:w="606" w:type="pct"/>
            <w:tcBorders>
              <w:top w:val="nil"/>
              <w:left w:val="nil"/>
              <w:bottom w:val="nil"/>
              <w:right w:val="nil"/>
            </w:tcBorders>
            <w:shd w:val="clear" w:color="auto" w:fill="auto"/>
            <w:vAlign w:val="bottom"/>
          </w:tcPr>
          <w:p w14:paraId="4B3EBA9B" w14:textId="37F542FE" w:rsidR="003F62BC" w:rsidRPr="003F62BC" w:rsidRDefault="003F62BC" w:rsidP="003F62BC">
            <w:pPr>
              <w:spacing w:before="0" w:after="0"/>
              <w:contextualSpacing/>
              <w:jc w:val="center"/>
              <w:rPr>
                <w:sz w:val="18"/>
                <w:szCs w:val="18"/>
              </w:rPr>
            </w:pPr>
            <w:r w:rsidRPr="003F62BC">
              <w:rPr>
                <w:rFonts w:cs="Calibri"/>
                <w:sz w:val="18"/>
                <w:szCs w:val="18"/>
              </w:rPr>
              <w:t>10,200</w:t>
            </w:r>
          </w:p>
        </w:tc>
        <w:tc>
          <w:tcPr>
            <w:tcW w:w="683" w:type="pct"/>
            <w:tcBorders>
              <w:top w:val="nil"/>
              <w:left w:val="nil"/>
              <w:bottom w:val="nil"/>
              <w:right w:val="nil"/>
            </w:tcBorders>
            <w:shd w:val="clear" w:color="auto" w:fill="auto"/>
            <w:vAlign w:val="bottom"/>
          </w:tcPr>
          <w:p w14:paraId="4089BBF4" w14:textId="7E7EC4AF" w:rsidR="003F62BC" w:rsidRPr="003F62BC" w:rsidRDefault="003F62BC" w:rsidP="003F62BC">
            <w:pPr>
              <w:spacing w:before="0" w:after="0"/>
              <w:contextualSpacing/>
              <w:jc w:val="center"/>
              <w:rPr>
                <w:sz w:val="18"/>
                <w:szCs w:val="18"/>
              </w:rPr>
            </w:pPr>
            <w:r w:rsidRPr="003F62BC">
              <w:rPr>
                <w:rFonts w:cs="Calibri"/>
                <w:sz w:val="18"/>
                <w:szCs w:val="18"/>
              </w:rPr>
              <w:t>23/11/2014</w:t>
            </w:r>
          </w:p>
        </w:tc>
        <w:tc>
          <w:tcPr>
            <w:tcW w:w="1085" w:type="pct"/>
            <w:tcBorders>
              <w:top w:val="nil"/>
              <w:left w:val="nil"/>
              <w:bottom w:val="nil"/>
              <w:right w:val="nil"/>
            </w:tcBorders>
            <w:shd w:val="clear" w:color="auto" w:fill="auto"/>
            <w:vAlign w:val="bottom"/>
          </w:tcPr>
          <w:p w14:paraId="2FF66CE5" w14:textId="74516213" w:rsidR="003F62BC" w:rsidRPr="003F62BC" w:rsidRDefault="003F62BC" w:rsidP="003F62BC">
            <w:pPr>
              <w:spacing w:before="0" w:after="0"/>
              <w:contextualSpacing/>
              <w:jc w:val="center"/>
              <w:rPr>
                <w:sz w:val="18"/>
                <w:szCs w:val="18"/>
              </w:rPr>
            </w:pPr>
            <w:r w:rsidRPr="003F62BC">
              <w:rPr>
                <w:rFonts w:cs="Calibri"/>
                <w:sz w:val="18"/>
                <w:szCs w:val="18"/>
              </w:rPr>
              <w:t>&gt;10,000 ML/d: 16 days</w:t>
            </w:r>
          </w:p>
        </w:tc>
        <w:tc>
          <w:tcPr>
            <w:tcW w:w="1256" w:type="pct"/>
            <w:tcBorders>
              <w:top w:val="nil"/>
              <w:left w:val="nil"/>
              <w:bottom w:val="nil"/>
              <w:right w:val="nil"/>
            </w:tcBorders>
            <w:shd w:val="clear" w:color="auto" w:fill="auto"/>
            <w:vAlign w:val="bottom"/>
          </w:tcPr>
          <w:p w14:paraId="1BBC555A" w14:textId="26C261F4" w:rsidR="003F62BC" w:rsidRPr="003F62BC" w:rsidRDefault="003F62BC" w:rsidP="003F62BC">
            <w:pPr>
              <w:spacing w:before="0" w:after="0"/>
              <w:contextualSpacing/>
              <w:jc w:val="center"/>
              <w:rPr>
                <w:color w:val="auto"/>
                <w:sz w:val="18"/>
                <w:szCs w:val="18"/>
              </w:rPr>
            </w:pPr>
            <w:r w:rsidRPr="003F62BC">
              <w:rPr>
                <w:rFonts w:cs="Calibri"/>
                <w:sz w:val="18"/>
                <w:szCs w:val="18"/>
              </w:rPr>
              <w:t>05/11–26/11/2014 (except 6 days)</w:t>
            </w:r>
          </w:p>
        </w:tc>
        <w:tc>
          <w:tcPr>
            <w:tcW w:w="838" w:type="pct"/>
            <w:tcBorders>
              <w:top w:val="nil"/>
              <w:left w:val="nil"/>
              <w:bottom w:val="nil"/>
              <w:right w:val="nil"/>
            </w:tcBorders>
            <w:shd w:val="clear" w:color="auto" w:fill="auto"/>
            <w:vAlign w:val="bottom"/>
          </w:tcPr>
          <w:p w14:paraId="23230E1A" w14:textId="0349905F" w:rsidR="003F62BC" w:rsidRPr="003F62BC" w:rsidRDefault="003F62BC" w:rsidP="003F62BC">
            <w:pPr>
              <w:spacing w:before="0" w:after="0"/>
              <w:contextualSpacing/>
              <w:jc w:val="center"/>
              <w:rPr>
                <w:sz w:val="18"/>
                <w:szCs w:val="18"/>
              </w:rPr>
            </w:pPr>
            <w:r w:rsidRPr="003F62BC">
              <w:rPr>
                <w:rFonts w:cs="Calibri"/>
                <w:sz w:val="18"/>
                <w:szCs w:val="18"/>
              </w:rPr>
              <w:t>Mid-–late spring</w:t>
            </w:r>
          </w:p>
        </w:tc>
      </w:tr>
      <w:tr w:rsidR="003F62BC" w:rsidRPr="00C01019" w14:paraId="542017AB" w14:textId="77777777" w:rsidTr="00AD7867">
        <w:trPr>
          <w:trHeight w:val="340"/>
          <w:jc w:val="center"/>
        </w:trPr>
        <w:tc>
          <w:tcPr>
            <w:tcW w:w="531" w:type="pct"/>
            <w:tcBorders>
              <w:top w:val="nil"/>
              <w:left w:val="nil"/>
              <w:bottom w:val="nil"/>
              <w:right w:val="nil"/>
            </w:tcBorders>
            <w:shd w:val="clear" w:color="auto" w:fill="auto"/>
            <w:vAlign w:val="bottom"/>
          </w:tcPr>
          <w:p w14:paraId="52978EE7" w14:textId="30E49696" w:rsidR="003F62BC" w:rsidRPr="003F62BC" w:rsidRDefault="003F62BC" w:rsidP="003F62BC">
            <w:pPr>
              <w:spacing w:before="0" w:after="0"/>
              <w:contextualSpacing/>
              <w:jc w:val="center"/>
              <w:rPr>
                <w:sz w:val="18"/>
                <w:szCs w:val="18"/>
              </w:rPr>
            </w:pPr>
            <w:r w:rsidRPr="003F62BC">
              <w:rPr>
                <w:rFonts w:cs="Calibri"/>
                <w:sz w:val="18"/>
                <w:szCs w:val="18"/>
              </w:rPr>
              <w:t>2015-16</w:t>
            </w:r>
          </w:p>
        </w:tc>
        <w:tc>
          <w:tcPr>
            <w:tcW w:w="606" w:type="pct"/>
            <w:tcBorders>
              <w:top w:val="nil"/>
              <w:left w:val="nil"/>
              <w:bottom w:val="nil"/>
              <w:right w:val="nil"/>
            </w:tcBorders>
            <w:shd w:val="clear" w:color="auto" w:fill="auto"/>
            <w:vAlign w:val="bottom"/>
          </w:tcPr>
          <w:p w14:paraId="1B521926" w14:textId="5717D739" w:rsidR="003F62BC" w:rsidRPr="003F62BC" w:rsidRDefault="003F62BC" w:rsidP="003F62BC">
            <w:pPr>
              <w:spacing w:before="0" w:after="0"/>
              <w:contextualSpacing/>
              <w:jc w:val="center"/>
              <w:rPr>
                <w:sz w:val="18"/>
                <w:szCs w:val="18"/>
              </w:rPr>
            </w:pPr>
            <w:r w:rsidRPr="003F62BC">
              <w:rPr>
                <w:rFonts w:cs="Calibri"/>
                <w:sz w:val="18"/>
                <w:szCs w:val="18"/>
              </w:rPr>
              <w:t>11,600</w:t>
            </w:r>
          </w:p>
        </w:tc>
        <w:tc>
          <w:tcPr>
            <w:tcW w:w="683" w:type="pct"/>
            <w:tcBorders>
              <w:top w:val="nil"/>
              <w:left w:val="nil"/>
              <w:bottom w:val="nil"/>
              <w:right w:val="nil"/>
            </w:tcBorders>
            <w:shd w:val="clear" w:color="auto" w:fill="auto"/>
            <w:vAlign w:val="bottom"/>
          </w:tcPr>
          <w:p w14:paraId="379B897E" w14:textId="604C6FDF" w:rsidR="003F62BC" w:rsidRPr="003F62BC" w:rsidRDefault="003F62BC" w:rsidP="003F62BC">
            <w:pPr>
              <w:spacing w:before="0" w:after="0"/>
              <w:contextualSpacing/>
              <w:jc w:val="center"/>
              <w:rPr>
                <w:sz w:val="18"/>
                <w:szCs w:val="18"/>
              </w:rPr>
            </w:pPr>
            <w:r w:rsidRPr="003F62BC">
              <w:rPr>
                <w:rFonts w:cs="Calibri"/>
                <w:sz w:val="18"/>
                <w:szCs w:val="18"/>
              </w:rPr>
              <w:t>28/10/2015</w:t>
            </w:r>
          </w:p>
        </w:tc>
        <w:tc>
          <w:tcPr>
            <w:tcW w:w="1085" w:type="pct"/>
            <w:tcBorders>
              <w:top w:val="nil"/>
              <w:left w:val="nil"/>
              <w:bottom w:val="nil"/>
              <w:right w:val="nil"/>
            </w:tcBorders>
            <w:shd w:val="clear" w:color="auto" w:fill="auto"/>
            <w:vAlign w:val="bottom"/>
          </w:tcPr>
          <w:p w14:paraId="5DBCAF35" w14:textId="507C8DA9" w:rsidR="003F62BC" w:rsidRPr="003F62BC" w:rsidRDefault="003F62BC" w:rsidP="003F62BC">
            <w:pPr>
              <w:spacing w:before="0" w:after="0"/>
              <w:contextualSpacing/>
              <w:jc w:val="center"/>
              <w:rPr>
                <w:sz w:val="18"/>
                <w:szCs w:val="18"/>
              </w:rPr>
            </w:pPr>
            <w:r w:rsidRPr="003F62BC">
              <w:rPr>
                <w:rFonts w:cs="Calibri"/>
                <w:sz w:val="18"/>
                <w:szCs w:val="18"/>
              </w:rPr>
              <w:t>&gt;10,000 ML/d: 36 days</w:t>
            </w:r>
          </w:p>
        </w:tc>
        <w:tc>
          <w:tcPr>
            <w:tcW w:w="1256" w:type="pct"/>
            <w:tcBorders>
              <w:top w:val="nil"/>
              <w:left w:val="nil"/>
              <w:bottom w:val="nil"/>
              <w:right w:val="nil"/>
            </w:tcBorders>
            <w:shd w:val="clear" w:color="auto" w:fill="auto"/>
            <w:vAlign w:val="bottom"/>
          </w:tcPr>
          <w:p w14:paraId="2A9A782B" w14:textId="1E69499F" w:rsidR="003F62BC" w:rsidRPr="003F62BC" w:rsidRDefault="003F62BC" w:rsidP="003F62BC">
            <w:pPr>
              <w:spacing w:before="0" w:after="0"/>
              <w:contextualSpacing/>
              <w:jc w:val="center"/>
              <w:rPr>
                <w:color w:val="auto"/>
                <w:sz w:val="18"/>
                <w:szCs w:val="18"/>
              </w:rPr>
            </w:pPr>
            <w:r w:rsidRPr="003F62BC">
              <w:rPr>
                <w:rFonts w:cs="Calibri"/>
                <w:sz w:val="18"/>
                <w:szCs w:val="18"/>
              </w:rPr>
              <w:t>18/09–29/10/2015 (except 6 days)</w:t>
            </w:r>
          </w:p>
        </w:tc>
        <w:tc>
          <w:tcPr>
            <w:tcW w:w="838" w:type="pct"/>
            <w:tcBorders>
              <w:top w:val="nil"/>
              <w:left w:val="nil"/>
              <w:bottom w:val="nil"/>
              <w:right w:val="nil"/>
            </w:tcBorders>
            <w:shd w:val="clear" w:color="auto" w:fill="auto"/>
            <w:vAlign w:val="bottom"/>
          </w:tcPr>
          <w:p w14:paraId="0300E364" w14:textId="38343EA4" w:rsidR="003F62BC" w:rsidRPr="003F62BC" w:rsidRDefault="003F62BC" w:rsidP="003F62BC">
            <w:pPr>
              <w:spacing w:before="0" w:after="0"/>
              <w:contextualSpacing/>
              <w:jc w:val="center"/>
              <w:rPr>
                <w:color w:val="FF0000"/>
                <w:sz w:val="18"/>
                <w:szCs w:val="18"/>
              </w:rPr>
            </w:pPr>
            <w:r w:rsidRPr="003F62BC">
              <w:rPr>
                <w:rFonts w:cs="Calibri"/>
                <w:sz w:val="18"/>
                <w:szCs w:val="18"/>
              </w:rPr>
              <w:t>Early</w:t>
            </w:r>
            <w:r w:rsidRPr="003F62BC">
              <w:rPr>
                <w:rFonts w:ascii="Calibri" w:hAnsi="Calibri" w:cs="Calibri"/>
                <w:sz w:val="18"/>
                <w:szCs w:val="18"/>
              </w:rPr>
              <w:t>–</w:t>
            </w:r>
            <w:r w:rsidRPr="003F62BC">
              <w:rPr>
                <w:rFonts w:cs="Calibri"/>
                <w:sz w:val="18"/>
                <w:szCs w:val="18"/>
              </w:rPr>
              <w:t>mid-Spring</w:t>
            </w:r>
          </w:p>
        </w:tc>
      </w:tr>
      <w:tr w:rsidR="003F62BC" w:rsidRPr="00C01019" w14:paraId="58009E0C" w14:textId="77777777" w:rsidTr="00AD7867">
        <w:trPr>
          <w:trHeight w:val="340"/>
          <w:jc w:val="center"/>
        </w:trPr>
        <w:tc>
          <w:tcPr>
            <w:tcW w:w="531" w:type="pct"/>
            <w:tcBorders>
              <w:top w:val="nil"/>
              <w:left w:val="nil"/>
              <w:bottom w:val="nil"/>
              <w:right w:val="nil"/>
            </w:tcBorders>
            <w:shd w:val="clear" w:color="auto" w:fill="auto"/>
            <w:vAlign w:val="bottom"/>
          </w:tcPr>
          <w:p w14:paraId="6E38D8A2" w14:textId="42BC19CA" w:rsidR="003F62BC" w:rsidRPr="003F62BC" w:rsidRDefault="003F62BC" w:rsidP="003F62BC">
            <w:pPr>
              <w:spacing w:before="0" w:after="0"/>
              <w:contextualSpacing/>
              <w:jc w:val="center"/>
              <w:rPr>
                <w:sz w:val="18"/>
                <w:szCs w:val="18"/>
              </w:rPr>
            </w:pPr>
            <w:r w:rsidRPr="003F62BC">
              <w:rPr>
                <w:rFonts w:cs="Calibri"/>
                <w:sz w:val="18"/>
                <w:szCs w:val="18"/>
              </w:rPr>
              <w:t>2016-17</w:t>
            </w:r>
          </w:p>
        </w:tc>
        <w:tc>
          <w:tcPr>
            <w:tcW w:w="606" w:type="pct"/>
            <w:tcBorders>
              <w:top w:val="nil"/>
              <w:left w:val="nil"/>
              <w:bottom w:val="nil"/>
              <w:right w:val="nil"/>
            </w:tcBorders>
            <w:shd w:val="clear" w:color="auto" w:fill="auto"/>
            <w:vAlign w:val="bottom"/>
          </w:tcPr>
          <w:p w14:paraId="15DBA3B5" w14:textId="48A89473" w:rsidR="003F62BC" w:rsidRPr="003F62BC" w:rsidRDefault="003F62BC" w:rsidP="003F62BC">
            <w:pPr>
              <w:spacing w:before="0" w:after="0"/>
              <w:contextualSpacing/>
              <w:jc w:val="center"/>
              <w:rPr>
                <w:sz w:val="18"/>
                <w:szCs w:val="18"/>
              </w:rPr>
            </w:pPr>
            <w:r w:rsidRPr="003F62BC">
              <w:rPr>
                <w:rFonts w:cs="Calibri"/>
                <w:sz w:val="18"/>
                <w:szCs w:val="18"/>
              </w:rPr>
              <w:t>94,600</w:t>
            </w:r>
          </w:p>
        </w:tc>
        <w:tc>
          <w:tcPr>
            <w:tcW w:w="683" w:type="pct"/>
            <w:tcBorders>
              <w:top w:val="nil"/>
              <w:left w:val="nil"/>
              <w:bottom w:val="nil"/>
              <w:right w:val="nil"/>
            </w:tcBorders>
            <w:shd w:val="clear" w:color="auto" w:fill="auto"/>
            <w:vAlign w:val="bottom"/>
          </w:tcPr>
          <w:p w14:paraId="26241D1D" w14:textId="6F6CB96B" w:rsidR="003F62BC" w:rsidRPr="003F62BC" w:rsidRDefault="003F62BC" w:rsidP="003F62BC">
            <w:pPr>
              <w:spacing w:before="0" w:after="0"/>
              <w:contextualSpacing/>
              <w:jc w:val="center"/>
              <w:rPr>
                <w:sz w:val="18"/>
                <w:szCs w:val="18"/>
              </w:rPr>
            </w:pPr>
            <w:r w:rsidRPr="003F62BC">
              <w:rPr>
                <w:rFonts w:cs="Calibri"/>
                <w:sz w:val="18"/>
                <w:szCs w:val="18"/>
              </w:rPr>
              <w:t>29/11/2016</w:t>
            </w:r>
          </w:p>
        </w:tc>
        <w:tc>
          <w:tcPr>
            <w:tcW w:w="1085" w:type="pct"/>
            <w:tcBorders>
              <w:top w:val="nil"/>
              <w:left w:val="nil"/>
              <w:bottom w:val="nil"/>
              <w:right w:val="nil"/>
            </w:tcBorders>
            <w:shd w:val="clear" w:color="auto" w:fill="auto"/>
            <w:vAlign w:val="bottom"/>
          </w:tcPr>
          <w:p w14:paraId="3A0360A5" w14:textId="7F123499" w:rsidR="003F62BC" w:rsidRPr="003F62BC" w:rsidRDefault="003F62BC" w:rsidP="003F62BC">
            <w:pPr>
              <w:spacing w:before="0" w:after="0"/>
              <w:contextualSpacing/>
              <w:jc w:val="center"/>
              <w:rPr>
                <w:sz w:val="18"/>
                <w:szCs w:val="18"/>
              </w:rPr>
            </w:pPr>
            <w:r w:rsidRPr="003F62BC">
              <w:rPr>
                <w:rFonts w:cs="Calibri"/>
                <w:sz w:val="18"/>
                <w:szCs w:val="18"/>
              </w:rPr>
              <w:t>&gt;45,000 ML/d: 66 days</w:t>
            </w:r>
          </w:p>
        </w:tc>
        <w:tc>
          <w:tcPr>
            <w:tcW w:w="1256" w:type="pct"/>
            <w:tcBorders>
              <w:top w:val="nil"/>
              <w:left w:val="nil"/>
              <w:bottom w:val="nil"/>
              <w:right w:val="nil"/>
            </w:tcBorders>
            <w:shd w:val="clear" w:color="auto" w:fill="auto"/>
            <w:vAlign w:val="bottom"/>
          </w:tcPr>
          <w:p w14:paraId="2E9F79DA" w14:textId="76AC498D" w:rsidR="003F62BC" w:rsidRPr="003F62BC" w:rsidRDefault="003F62BC" w:rsidP="003F62BC">
            <w:pPr>
              <w:spacing w:before="0" w:after="0"/>
              <w:contextualSpacing/>
              <w:jc w:val="center"/>
              <w:rPr>
                <w:color w:val="auto"/>
                <w:sz w:val="18"/>
                <w:szCs w:val="18"/>
              </w:rPr>
            </w:pPr>
            <w:r w:rsidRPr="003F62BC">
              <w:rPr>
                <w:rFonts w:cs="Calibri"/>
                <w:sz w:val="18"/>
                <w:szCs w:val="18"/>
              </w:rPr>
              <w:t>12/10–19/12/2016 (except 3 days)</w:t>
            </w:r>
          </w:p>
        </w:tc>
        <w:tc>
          <w:tcPr>
            <w:tcW w:w="838" w:type="pct"/>
            <w:tcBorders>
              <w:top w:val="nil"/>
              <w:left w:val="nil"/>
              <w:bottom w:val="nil"/>
              <w:right w:val="nil"/>
            </w:tcBorders>
            <w:shd w:val="clear" w:color="auto" w:fill="auto"/>
            <w:vAlign w:val="bottom"/>
          </w:tcPr>
          <w:p w14:paraId="371266DB" w14:textId="4753E0E9" w:rsidR="003F62BC" w:rsidRPr="003F62BC" w:rsidRDefault="003F62BC" w:rsidP="003F62BC">
            <w:pPr>
              <w:spacing w:before="0" w:after="0"/>
              <w:contextualSpacing/>
              <w:jc w:val="center"/>
              <w:rPr>
                <w:sz w:val="18"/>
                <w:szCs w:val="18"/>
              </w:rPr>
            </w:pPr>
            <w:r w:rsidRPr="003F62BC">
              <w:rPr>
                <w:rFonts w:cs="Calibri"/>
                <w:sz w:val="18"/>
                <w:szCs w:val="18"/>
              </w:rPr>
              <w:t>Mid-spring–early summer</w:t>
            </w:r>
          </w:p>
        </w:tc>
      </w:tr>
      <w:tr w:rsidR="003F62BC" w:rsidRPr="00C01019" w14:paraId="5DDA4F2C" w14:textId="77777777" w:rsidTr="00AD7867">
        <w:trPr>
          <w:trHeight w:val="340"/>
          <w:jc w:val="center"/>
        </w:trPr>
        <w:tc>
          <w:tcPr>
            <w:tcW w:w="531" w:type="pct"/>
            <w:tcBorders>
              <w:top w:val="nil"/>
              <w:left w:val="nil"/>
              <w:bottom w:val="nil"/>
              <w:right w:val="nil"/>
            </w:tcBorders>
            <w:shd w:val="clear" w:color="auto" w:fill="auto"/>
            <w:vAlign w:val="bottom"/>
          </w:tcPr>
          <w:p w14:paraId="2296CFF3" w14:textId="3AA5D113" w:rsidR="003F62BC" w:rsidRPr="003F62BC" w:rsidRDefault="00434E6E" w:rsidP="003F62BC">
            <w:pPr>
              <w:spacing w:before="0" w:after="0"/>
              <w:contextualSpacing/>
              <w:jc w:val="center"/>
              <w:rPr>
                <w:sz w:val="18"/>
                <w:szCs w:val="18"/>
              </w:rPr>
            </w:pPr>
            <w:r w:rsidRPr="003F62BC">
              <w:rPr>
                <w:rFonts w:cs="Calibri"/>
                <w:sz w:val="18"/>
                <w:szCs w:val="18"/>
              </w:rPr>
              <w:t>2017-18</w:t>
            </w:r>
          </w:p>
        </w:tc>
        <w:tc>
          <w:tcPr>
            <w:tcW w:w="606" w:type="pct"/>
            <w:tcBorders>
              <w:top w:val="nil"/>
              <w:left w:val="nil"/>
              <w:bottom w:val="nil"/>
              <w:right w:val="nil"/>
            </w:tcBorders>
            <w:shd w:val="clear" w:color="auto" w:fill="auto"/>
            <w:vAlign w:val="bottom"/>
          </w:tcPr>
          <w:p w14:paraId="0EB45A7F" w14:textId="5C7C754A" w:rsidR="003F62BC" w:rsidRPr="003F62BC" w:rsidRDefault="003F62BC" w:rsidP="003F62BC">
            <w:pPr>
              <w:spacing w:before="0" w:after="0"/>
              <w:contextualSpacing/>
              <w:jc w:val="center"/>
              <w:rPr>
                <w:sz w:val="18"/>
                <w:szCs w:val="18"/>
              </w:rPr>
            </w:pPr>
            <w:r w:rsidRPr="003F62BC">
              <w:rPr>
                <w:rFonts w:cs="Calibri"/>
                <w:sz w:val="18"/>
                <w:szCs w:val="18"/>
              </w:rPr>
              <w:t>17,800</w:t>
            </w:r>
          </w:p>
        </w:tc>
        <w:tc>
          <w:tcPr>
            <w:tcW w:w="683" w:type="pct"/>
            <w:tcBorders>
              <w:top w:val="nil"/>
              <w:left w:val="nil"/>
              <w:bottom w:val="nil"/>
              <w:right w:val="nil"/>
            </w:tcBorders>
            <w:shd w:val="clear" w:color="auto" w:fill="auto"/>
            <w:vAlign w:val="bottom"/>
          </w:tcPr>
          <w:p w14:paraId="38007CF9" w14:textId="07130835" w:rsidR="003F62BC" w:rsidRPr="003F62BC" w:rsidRDefault="003F62BC" w:rsidP="003F62BC">
            <w:pPr>
              <w:spacing w:before="0" w:after="0"/>
              <w:contextualSpacing/>
              <w:jc w:val="center"/>
              <w:rPr>
                <w:sz w:val="18"/>
                <w:szCs w:val="18"/>
              </w:rPr>
            </w:pPr>
            <w:r w:rsidRPr="003F62BC">
              <w:rPr>
                <w:rFonts w:cs="Calibri"/>
                <w:sz w:val="18"/>
                <w:szCs w:val="18"/>
              </w:rPr>
              <w:t>08/12/2017</w:t>
            </w:r>
          </w:p>
        </w:tc>
        <w:tc>
          <w:tcPr>
            <w:tcW w:w="1085" w:type="pct"/>
            <w:tcBorders>
              <w:top w:val="nil"/>
              <w:left w:val="nil"/>
              <w:bottom w:val="nil"/>
              <w:right w:val="nil"/>
            </w:tcBorders>
            <w:shd w:val="clear" w:color="auto" w:fill="auto"/>
            <w:vAlign w:val="bottom"/>
          </w:tcPr>
          <w:p w14:paraId="469D51BB" w14:textId="1FF18AC0" w:rsidR="003F62BC" w:rsidRPr="003F62BC" w:rsidRDefault="003F62BC" w:rsidP="003F62BC">
            <w:pPr>
              <w:spacing w:before="0" w:after="0"/>
              <w:contextualSpacing/>
              <w:jc w:val="center"/>
              <w:rPr>
                <w:sz w:val="18"/>
                <w:szCs w:val="18"/>
              </w:rPr>
            </w:pPr>
            <w:r w:rsidRPr="003F62BC">
              <w:rPr>
                <w:rFonts w:cs="Calibri"/>
                <w:sz w:val="18"/>
                <w:szCs w:val="18"/>
              </w:rPr>
              <w:t>&gt;15,000 ML/d: 11 days</w:t>
            </w:r>
          </w:p>
        </w:tc>
        <w:tc>
          <w:tcPr>
            <w:tcW w:w="1256" w:type="pct"/>
            <w:tcBorders>
              <w:top w:val="nil"/>
              <w:left w:val="nil"/>
              <w:bottom w:val="nil"/>
              <w:right w:val="nil"/>
            </w:tcBorders>
            <w:shd w:val="clear" w:color="auto" w:fill="auto"/>
            <w:vAlign w:val="bottom"/>
          </w:tcPr>
          <w:p w14:paraId="1C55413C" w14:textId="32633962" w:rsidR="003F62BC" w:rsidRPr="003F62BC" w:rsidRDefault="003F62BC" w:rsidP="003F62BC">
            <w:pPr>
              <w:spacing w:before="0" w:after="0"/>
              <w:contextualSpacing/>
              <w:jc w:val="center"/>
              <w:rPr>
                <w:color w:val="auto"/>
                <w:sz w:val="18"/>
                <w:szCs w:val="18"/>
              </w:rPr>
            </w:pPr>
            <w:r w:rsidRPr="003F62BC">
              <w:rPr>
                <w:rFonts w:cs="Calibri"/>
                <w:sz w:val="18"/>
                <w:szCs w:val="18"/>
              </w:rPr>
              <w:t>06/12–25/12/2017 (except 9 days)</w:t>
            </w:r>
          </w:p>
        </w:tc>
        <w:tc>
          <w:tcPr>
            <w:tcW w:w="838" w:type="pct"/>
            <w:tcBorders>
              <w:top w:val="nil"/>
              <w:left w:val="nil"/>
              <w:bottom w:val="nil"/>
              <w:right w:val="nil"/>
            </w:tcBorders>
            <w:shd w:val="clear" w:color="auto" w:fill="auto"/>
            <w:vAlign w:val="bottom"/>
          </w:tcPr>
          <w:p w14:paraId="0DB46D85" w14:textId="22CBF831" w:rsidR="003F62BC" w:rsidRPr="003F62BC" w:rsidRDefault="003F62BC" w:rsidP="003F62BC">
            <w:pPr>
              <w:spacing w:before="0" w:after="0"/>
              <w:contextualSpacing/>
              <w:jc w:val="center"/>
              <w:rPr>
                <w:sz w:val="18"/>
                <w:szCs w:val="18"/>
              </w:rPr>
            </w:pPr>
            <w:r w:rsidRPr="003F62BC">
              <w:rPr>
                <w:rFonts w:cs="Calibri"/>
                <w:sz w:val="18"/>
                <w:szCs w:val="18"/>
              </w:rPr>
              <w:t>Early summer</w:t>
            </w:r>
          </w:p>
        </w:tc>
      </w:tr>
      <w:tr w:rsidR="003F62BC" w:rsidRPr="00C01019" w14:paraId="2C4C3216" w14:textId="77777777" w:rsidTr="00AD7867">
        <w:trPr>
          <w:trHeight w:val="340"/>
          <w:jc w:val="center"/>
        </w:trPr>
        <w:tc>
          <w:tcPr>
            <w:tcW w:w="531" w:type="pct"/>
            <w:tcBorders>
              <w:top w:val="nil"/>
              <w:left w:val="nil"/>
              <w:bottom w:val="nil"/>
              <w:right w:val="nil"/>
            </w:tcBorders>
            <w:shd w:val="clear" w:color="auto" w:fill="auto"/>
            <w:vAlign w:val="bottom"/>
          </w:tcPr>
          <w:p w14:paraId="6E5E3CFF" w14:textId="33F3EF49" w:rsidR="003F62BC" w:rsidRPr="003F62BC" w:rsidRDefault="00434E6E" w:rsidP="003F62BC">
            <w:pPr>
              <w:spacing w:before="0" w:after="0"/>
              <w:contextualSpacing/>
              <w:jc w:val="center"/>
              <w:rPr>
                <w:sz w:val="18"/>
                <w:szCs w:val="18"/>
              </w:rPr>
            </w:pPr>
            <w:r w:rsidRPr="003F62BC">
              <w:rPr>
                <w:rFonts w:cs="Calibri"/>
                <w:sz w:val="18"/>
                <w:szCs w:val="18"/>
              </w:rPr>
              <w:t>2018-19</w:t>
            </w:r>
          </w:p>
        </w:tc>
        <w:tc>
          <w:tcPr>
            <w:tcW w:w="606" w:type="pct"/>
            <w:tcBorders>
              <w:top w:val="nil"/>
              <w:left w:val="nil"/>
              <w:bottom w:val="nil"/>
              <w:right w:val="nil"/>
            </w:tcBorders>
            <w:shd w:val="clear" w:color="auto" w:fill="auto"/>
            <w:vAlign w:val="bottom"/>
          </w:tcPr>
          <w:p w14:paraId="3056FB0C" w14:textId="4E007BF2" w:rsidR="003F62BC" w:rsidRPr="003F62BC" w:rsidRDefault="003F62BC" w:rsidP="003F62BC">
            <w:pPr>
              <w:spacing w:before="0" w:after="0"/>
              <w:contextualSpacing/>
              <w:jc w:val="center"/>
              <w:rPr>
                <w:sz w:val="18"/>
                <w:szCs w:val="18"/>
              </w:rPr>
            </w:pPr>
            <w:r w:rsidRPr="003F62BC">
              <w:rPr>
                <w:rFonts w:cs="Calibri"/>
                <w:sz w:val="18"/>
                <w:szCs w:val="18"/>
              </w:rPr>
              <w:t>12,101</w:t>
            </w:r>
          </w:p>
        </w:tc>
        <w:tc>
          <w:tcPr>
            <w:tcW w:w="683" w:type="pct"/>
            <w:tcBorders>
              <w:top w:val="nil"/>
              <w:left w:val="nil"/>
              <w:bottom w:val="nil"/>
              <w:right w:val="nil"/>
            </w:tcBorders>
            <w:shd w:val="clear" w:color="auto" w:fill="auto"/>
            <w:vAlign w:val="bottom"/>
          </w:tcPr>
          <w:p w14:paraId="13E9D14E" w14:textId="175AB6C5" w:rsidR="003F62BC" w:rsidRPr="003F62BC" w:rsidRDefault="003F62BC" w:rsidP="003F62BC">
            <w:pPr>
              <w:spacing w:before="0" w:after="0"/>
              <w:contextualSpacing/>
              <w:jc w:val="center"/>
              <w:rPr>
                <w:sz w:val="18"/>
                <w:szCs w:val="18"/>
              </w:rPr>
            </w:pPr>
            <w:r w:rsidRPr="003F62BC">
              <w:rPr>
                <w:rFonts w:cs="Calibri"/>
                <w:sz w:val="18"/>
                <w:szCs w:val="18"/>
              </w:rPr>
              <w:t>1/1/2019</w:t>
            </w:r>
          </w:p>
        </w:tc>
        <w:tc>
          <w:tcPr>
            <w:tcW w:w="1085" w:type="pct"/>
            <w:tcBorders>
              <w:top w:val="nil"/>
              <w:left w:val="nil"/>
              <w:bottom w:val="nil"/>
              <w:right w:val="nil"/>
            </w:tcBorders>
            <w:shd w:val="clear" w:color="auto" w:fill="auto"/>
            <w:vAlign w:val="bottom"/>
          </w:tcPr>
          <w:p w14:paraId="4493169A" w14:textId="50EA4944" w:rsidR="003F62BC" w:rsidRPr="003F62BC" w:rsidRDefault="003F62BC" w:rsidP="003F62BC">
            <w:pPr>
              <w:spacing w:before="0" w:after="0"/>
              <w:contextualSpacing/>
              <w:jc w:val="center"/>
              <w:rPr>
                <w:sz w:val="18"/>
                <w:szCs w:val="18"/>
              </w:rPr>
            </w:pPr>
            <w:r w:rsidRPr="003F62BC">
              <w:rPr>
                <w:rFonts w:cs="Calibri"/>
                <w:sz w:val="18"/>
                <w:szCs w:val="18"/>
              </w:rPr>
              <w:t>&gt;10,000 ML/d: 17 days</w:t>
            </w:r>
          </w:p>
        </w:tc>
        <w:tc>
          <w:tcPr>
            <w:tcW w:w="1256" w:type="pct"/>
            <w:tcBorders>
              <w:top w:val="nil"/>
              <w:left w:val="nil"/>
              <w:bottom w:val="nil"/>
              <w:right w:val="nil"/>
            </w:tcBorders>
            <w:shd w:val="clear" w:color="auto" w:fill="auto"/>
            <w:vAlign w:val="bottom"/>
          </w:tcPr>
          <w:p w14:paraId="59D6F30D" w14:textId="286DB53F" w:rsidR="003F62BC" w:rsidRPr="003F62BC" w:rsidRDefault="003F62BC" w:rsidP="003F62BC">
            <w:pPr>
              <w:spacing w:before="0" w:after="0"/>
              <w:contextualSpacing/>
              <w:jc w:val="center"/>
              <w:rPr>
                <w:sz w:val="18"/>
                <w:szCs w:val="18"/>
              </w:rPr>
            </w:pPr>
            <w:r w:rsidRPr="003F62BC">
              <w:rPr>
                <w:rFonts w:cs="Calibri"/>
                <w:sz w:val="18"/>
                <w:szCs w:val="18"/>
              </w:rPr>
              <w:t>22/12/2018–07/01/2019 (continuous)</w:t>
            </w:r>
          </w:p>
        </w:tc>
        <w:tc>
          <w:tcPr>
            <w:tcW w:w="838" w:type="pct"/>
            <w:tcBorders>
              <w:top w:val="nil"/>
              <w:left w:val="nil"/>
              <w:bottom w:val="nil"/>
              <w:right w:val="nil"/>
            </w:tcBorders>
            <w:shd w:val="clear" w:color="auto" w:fill="auto"/>
            <w:vAlign w:val="bottom"/>
          </w:tcPr>
          <w:p w14:paraId="26372326" w14:textId="5D055808" w:rsidR="003F62BC" w:rsidRPr="003F62BC" w:rsidRDefault="003F62BC" w:rsidP="003F62BC">
            <w:pPr>
              <w:spacing w:before="0" w:after="0"/>
              <w:contextualSpacing/>
              <w:jc w:val="center"/>
              <w:rPr>
                <w:sz w:val="18"/>
                <w:szCs w:val="18"/>
              </w:rPr>
            </w:pPr>
            <w:r w:rsidRPr="003F62BC">
              <w:rPr>
                <w:rFonts w:cs="Calibri"/>
                <w:sz w:val="18"/>
                <w:szCs w:val="18"/>
              </w:rPr>
              <w:t>Mid-summer</w:t>
            </w:r>
          </w:p>
        </w:tc>
      </w:tr>
      <w:tr w:rsidR="003F62BC" w:rsidRPr="00C01019" w14:paraId="3348CB28" w14:textId="77777777" w:rsidTr="00AD7867">
        <w:trPr>
          <w:trHeight w:val="66"/>
          <w:jc w:val="center"/>
        </w:trPr>
        <w:tc>
          <w:tcPr>
            <w:tcW w:w="531" w:type="pct"/>
            <w:tcBorders>
              <w:top w:val="nil"/>
              <w:left w:val="nil"/>
              <w:bottom w:val="nil"/>
              <w:right w:val="nil"/>
            </w:tcBorders>
            <w:shd w:val="clear" w:color="auto" w:fill="auto"/>
            <w:vAlign w:val="bottom"/>
          </w:tcPr>
          <w:p w14:paraId="022A4233" w14:textId="2BF21024" w:rsidR="003F62BC" w:rsidRPr="003F62BC" w:rsidRDefault="003F62BC" w:rsidP="003F62BC">
            <w:pPr>
              <w:spacing w:before="0" w:after="0"/>
              <w:contextualSpacing/>
              <w:jc w:val="center"/>
              <w:rPr>
                <w:sz w:val="18"/>
                <w:szCs w:val="18"/>
              </w:rPr>
            </w:pPr>
            <w:r w:rsidRPr="003F62BC">
              <w:rPr>
                <w:rFonts w:cs="Calibri"/>
                <w:sz w:val="18"/>
                <w:szCs w:val="18"/>
              </w:rPr>
              <w:t>2019-20</w:t>
            </w:r>
          </w:p>
        </w:tc>
        <w:tc>
          <w:tcPr>
            <w:tcW w:w="606" w:type="pct"/>
            <w:tcBorders>
              <w:top w:val="nil"/>
              <w:left w:val="nil"/>
              <w:bottom w:val="nil"/>
              <w:right w:val="nil"/>
            </w:tcBorders>
            <w:shd w:val="clear" w:color="auto" w:fill="auto"/>
            <w:vAlign w:val="bottom"/>
          </w:tcPr>
          <w:p w14:paraId="2A3A4797" w14:textId="039FC484" w:rsidR="003F62BC" w:rsidRPr="003F62BC" w:rsidRDefault="003F62BC" w:rsidP="003F62BC">
            <w:pPr>
              <w:spacing w:before="0" w:after="0"/>
              <w:contextualSpacing/>
              <w:jc w:val="center"/>
              <w:rPr>
                <w:sz w:val="18"/>
                <w:szCs w:val="18"/>
              </w:rPr>
            </w:pPr>
            <w:r w:rsidRPr="003F62BC">
              <w:rPr>
                <w:rFonts w:cs="Calibri"/>
                <w:sz w:val="18"/>
                <w:szCs w:val="18"/>
              </w:rPr>
              <w:t>15,600</w:t>
            </w:r>
          </w:p>
        </w:tc>
        <w:tc>
          <w:tcPr>
            <w:tcW w:w="683" w:type="pct"/>
            <w:tcBorders>
              <w:top w:val="nil"/>
              <w:left w:val="nil"/>
              <w:bottom w:val="nil"/>
              <w:right w:val="nil"/>
            </w:tcBorders>
            <w:shd w:val="clear" w:color="auto" w:fill="auto"/>
            <w:vAlign w:val="bottom"/>
          </w:tcPr>
          <w:p w14:paraId="18D93404" w14:textId="0E225852" w:rsidR="003F62BC" w:rsidRPr="003F62BC" w:rsidRDefault="003F62BC" w:rsidP="003F62BC">
            <w:pPr>
              <w:spacing w:before="0" w:after="0"/>
              <w:contextualSpacing/>
              <w:jc w:val="center"/>
              <w:rPr>
                <w:sz w:val="18"/>
                <w:szCs w:val="18"/>
              </w:rPr>
            </w:pPr>
            <w:r w:rsidRPr="003F62BC">
              <w:rPr>
                <w:rFonts w:cs="Calibri"/>
                <w:sz w:val="18"/>
                <w:szCs w:val="18"/>
              </w:rPr>
              <w:t>19/10/2019</w:t>
            </w:r>
          </w:p>
        </w:tc>
        <w:tc>
          <w:tcPr>
            <w:tcW w:w="1085" w:type="pct"/>
            <w:tcBorders>
              <w:top w:val="nil"/>
              <w:left w:val="nil"/>
              <w:bottom w:val="nil"/>
              <w:right w:val="nil"/>
            </w:tcBorders>
            <w:shd w:val="clear" w:color="auto" w:fill="auto"/>
            <w:vAlign w:val="bottom"/>
          </w:tcPr>
          <w:p w14:paraId="153789BC" w14:textId="53187D2F" w:rsidR="003F62BC" w:rsidRPr="003F62BC" w:rsidRDefault="003F62BC" w:rsidP="003F62BC">
            <w:pPr>
              <w:spacing w:before="0" w:after="0"/>
              <w:contextualSpacing/>
              <w:jc w:val="center"/>
              <w:rPr>
                <w:sz w:val="18"/>
                <w:szCs w:val="18"/>
              </w:rPr>
            </w:pPr>
            <w:r w:rsidRPr="003F62BC">
              <w:rPr>
                <w:rFonts w:cs="Calibri"/>
                <w:sz w:val="18"/>
                <w:szCs w:val="18"/>
              </w:rPr>
              <w:t>&gt;15,000 ML/d: 11 days</w:t>
            </w:r>
          </w:p>
        </w:tc>
        <w:tc>
          <w:tcPr>
            <w:tcW w:w="1256" w:type="pct"/>
            <w:tcBorders>
              <w:top w:val="nil"/>
              <w:left w:val="nil"/>
              <w:bottom w:val="nil"/>
              <w:right w:val="nil"/>
            </w:tcBorders>
            <w:shd w:val="clear" w:color="auto" w:fill="auto"/>
            <w:vAlign w:val="bottom"/>
          </w:tcPr>
          <w:p w14:paraId="0EABB4A9" w14:textId="0694CC2E" w:rsidR="003F62BC" w:rsidRPr="003F62BC" w:rsidRDefault="003F62BC" w:rsidP="003F62BC">
            <w:pPr>
              <w:spacing w:before="0" w:after="0"/>
              <w:contextualSpacing/>
              <w:jc w:val="center"/>
              <w:rPr>
                <w:sz w:val="18"/>
                <w:szCs w:val="18"/>
              </w:rPr>
            </w:pPr>
            <w:r w:rsidRPr="003F62BC">
              <w:rPr>
                <w:rFonts w:cs="Calibri"/>
                <w:sz w:val="18"/>
                <w:szCs w:val="18"/>
              </w:rPr>
              <w:t>12/10–22/10/2019 (continuous)</w:t>
            </w:r>
          </w:p>
        </w:tc>
        <w:tc>
          <w:tcPr>
            <w:tcW w:w="838" w:type="pct"/>
            <w:tcBorders>
              <w:top w:val="nil"/>
              <w:left w:val="nil"/>
              <w:bottom w:val="nil"/>
              <w:right w:val="nil"/>
            </w:tcBorders>
            <w:shd w:val="clear" w:color="auto" w:fill="auto"/>
            <w:vAlign w:val="bottom"/>
          </w:tcPr>
          <w:p w14:paraId="6C3E762F" w14:textId="310F0559" w:rsidR="003F62BC" w:rsidRPr="003F62BC" w:rsidRDefault="003F62BC" w:rsidP="003F62BC">
            <w:pPr>
              <w:spacing w:before="0" w:after="0"/>
              <w:contextualSpacing/>
              <w:jc w:val="center"/>
              <w:rPr>
                <w:sz w:val="18"/>
                <w:szCs w:val="18"/>
              </w:rPr>
            </w:pPr>
            <w:r w:rsidRPr="003F62BC">
              <w:rPr>
                <w:rFonts w:cs="Calibri"/>
                <w:sz w:val="18"/>
                <w:szCs w:val="18"/>
              </w:rPr>
              <w:t>Mid-spring</w:t>
            </w:r>
          </w:p>
        </w:tc>
      </w:tr>
      <w:tr w:rsidR="003F62BC" w:rsidRPr="00C01019" w14:paraId="6F973445" w14:textId="77777777" w:rsidTr="00AD7867">
        <w:trPr>
          <w:trHeight w:val="340"/>
          <w:jc w:val="center"/>
        </w:trPr>
        <w:tc>
          <w:tcPr>
            <w:tcW w:w="531" w:type="pct"/>
            <w:tcBorders>
              <w:top w:val="nil"/>
              <w:left w:val="nil"/>
              <w:bottom w:val="single" w:sz="4" w:space="0" w:color="auto"/>
              <w:right w:val="nil"/>
            </w:tcBorders>
            <w:shd w:val="clear" w:color="auto" w:fill="auto"/>
            <w:vAlign w:val="bottom"/>
          </w:tcPr>
          <w:p w14:paraId="0AA68E88" w14:textId="4ADE8436" w:rsidR="003F62BC" w:rsidRPr="003F62BC" w:rsidRDefault="003F62BC" w:rsidP="003F62BC">
            <w:pPr>
              <w:spacing w:before="0" w:after="0"/>
              <w:contextualSpacing/>
              <w:jc w:val="center"/>
              <w:rPr>
                <w:color w:val="auto"/>
                <w:sz w:val="18"/>
                <w:szCs w:val="18"/>
              </w:rPr>
            </w:pPr>
            <w:r w:rsidRPr="003F62BC">
              <w:rPr>
                <w:rFonts w:cs="Calibri"/>
                <w:sz w:val="18"/>
                <w:szCs w:val="18"/>
              </w:rPr>
              <w:t>2020-2</w:t>
            </w:r>
            <w:r w:rsidR="00584DD3">
              <w:rPr>
                <w:rFonts w:cs="Calibri"/>
                <w:sz w:val="18"/>
                <w:szCs w:val="18"/>
              </w:rPr>
              <w:t>1</w:t>
            </w:r>
          </w:p>
        </w:tc>
        <w:tc>
          <w:tcPr>
            <w:tcW w:w="606" w:type="pct"/>
            <w:tcBorders>
              <w:top w:val="nil"/>
              <w:left w:val="nil"/>
              <w:bottom w:val="single" w:sz="4" w:space="0" w:color="auto"/>
              <w:right w:val="nil"/>
            </w:tcBorders>
            <w:shd w:val="clear" w:color="auto" w:fill="auto"/>
            <w:vAlign w:val="bottom"/>
          </w:tcPr>
          <w:p w14:paraId="32B6B872" w14:textId="2342A803" w:rsidR="003F62BC" w:rsidRPr="003F62BC" w:rsidRDefault="003F62BC" w:rsidP="003F62BC">
            <w:pPr>
              <w:spacing w:before="0" w:after="0"/>
              <w:contextualSpacing/>
              <w:jc w:val="center"/>
              <w:rPr>
                <w:color w:val="auto"/>
                <w:sz w:val="18"/>
                <w:szCs w:val="18"/>
              </w:rPr>
            </w:pPr>
            <w:r w:rsidRPr="003F62BC">
              <w:rPr>
                <w:rFonts w:cs="Calibri"/>
                <w:sz w:val="18"/>
                <w:szCs w:val="18"/>
              </w:rPr>
              <w:t>17,900</w:t>
            </w:r>
          </w:p>
        </w:tc>
        <w:tc>
          <w:tcPr>
            <w:tcW w:w="683" w:type="pct"/>
            <w:tcBorders>
              <w:top w:val="nil"/>
              <w:left w:val="nil"/>
              <w:bottom w:val="single" w:sz="4" w:space="0" w:color="auto"/>
              <w:right w:val="nil"/>
            </w:tcBorders>
            <w:shd w:val="clear" w:color="auto" w:fill="auto"/>
            <w:vAlign w:val="bottom"/>
          </w:tcPr>
          <w:p w14:paraId="26CEBA5E" w14:textId="56A2FED6" w:rsidR="003F62BC" w:rsidRPr="003F62BC" w:rsidRDefault="003F62BC" w:rsidP="003F62BC">
            <w:pPr>
              <w:spacing w:before="0" w:after="0"/>
              <w:contextualSpacing/>
              <w:jc w:val="center"/>
              <w:rPr>
                <w:color w:val="auto"/>
                <w:sz w:val="18"/>
                <w:szCs w:val="18"/>
              </w:rPr>
            </w:pPr>
            <w:r w:rsidRPr="003F62BC">
              <w:rPr>
                <w:rFonts w:cs="Calibri"/>
                <w:sz w:val="18"/>
                <w:szCs w:val="18"/>
              </w:rPr>
              <w:t>25/11/2020</w:t>
            </w:r>
          </w:p>
        </w:tc>
        <w:tc>
          <w:tcPr>
            <w:tcW w:w="1085" w:type="pct"/>
            <w:tcBorders>
              <w:top w:val="nil"/>
              <w:left w:val="nil"/>
              <w:bottom w:val="single" w:sz="4" w:space="0" w:color="auto"/>
              <w:right w:val="nil"/>
            </w:tcBorders>
            <w:shd w:val="clear" w:color="auto" w:fill="auto"/>
            <w:vAlign w:val="bottom"/>
          </w:tcPr>
          <w:p w14:paraId="4E79D6B7" w14:textId="7EA76EEE" w:rsidR="003F62BC" w:rsidRPr="003F62BC" w:rsidRDefault="003F62BC" w:rsidP="003F62BC">
            <w:pPr>
              <w:spacing w:before="0" w:after="0"/>
              <w:contextualSpacing/>
              <w:jc w:val="center"/>
              <w:rPr>
                <w:color w:val="auto"/>
                <w:sz w:val="18"/>
                <w:szCs w:val="18"/>
              </w:rPr>
            </w:pPr>
            <w:r w:rsidRPr="003F62BC">
              <w:rPr>
                <w:rFonts w:cs="Calibri"/>
                <w:sz w:val="18"/>
                <w:szCs w:val="18"/>
              </w:rPr>
              <w:t>&gt;15,000 ML/d: 18 days</w:t>
            </w:r>
          </w:p>
        </w:tc>
        <w:tc>
          <w:tcPr>
            <w:tcW w:w="1256" w:type="pct"/>
            <w:tcBorders>
              <w:top w:val="nil"/>
              <w:left w:val="nil"/>
              <w:bottom w:val="single" w:sz="4" w:space="0" w:color="auto"/>
              <w:right w:val="nil"/>
            </w:tcBorders>
            <w:shd w:val="clear" w:color="auto" w:fill="auto"/>
            <w:vAlign w:val="bottom"/>
          </w:tcPr>
          <w:p w14:paraId="332F04FF" w14:textId="144C1A70" w:rsidR="003F62BC" w:rsidRPr="003F62BC" w:rsidRDefault="003F62BC" w:rsidP="003F62BC">
            <w:pPr>
              <w:spacing w:before="0" w:after="0"/>
              <w:contextualSpacing/>
              <w:jc w:val="center"/>
              <w:rPr>
                <w:color w:val="auto"/>
                <w:sz w:val="18"/>
                <w:szCs w:val="18"/>
              </w:rPr>
            </w:pPr>
            <w:r w:rsidRPr="003F62BC">
              <w:rPr>
                <w:rFonts w:cs="Calibri"/>
                <w:sz w:val="18"/>
                <w:szCs w:val="18"/>
              </w:rPr>
              <w:t>21/11–08/12/2020 (continuous)</w:t>
            </w:r>
          </w:p>
        </w:tc>
        <w:tc>
          <w:tcPr>
            <w:tcW w:w="838" w:type="pct"/>
            <w:tcBorders>
              <w:top w:val="nil"/>
              <w:left w:val="nil"/>
              <w:bottom w:val="single" w:sz="4" w:space="0" w:color="auto"/>
              <w:right w:val="nil"/>
            </w:tcBorders>
            <w:shd w:val="clear" w:color="auto" w:fill="auto"/>
            <w:vAlign w:val="bottom"/>
          </w:tcPr>
          <w:p w14:paraId="2DDF6E4C" w14:textId="284CE407" w:rsidR="003F62BC" w:rsidRPr="003F62BC" w:rsidRDefault="003F62BC" w:rsidP="003F62BC">
            <w:pPr>
              <w:spacing w:before="0" w:after="0"/>
              <w:contextualSpacing/>
              <w:jc w:val="center"/>
              <w:rPr>
                <w:color w:val="auto"/>
                <w:sz w:val="18"/>
                <w:szCs w:val="18"/>
              </w:rPr>
            </w:pPr>
            <w:r w:rsidRPr="003F62BC">
              <w:rPr>
                <w:rFonts w:cs="Calibri"/>
                <w:sz w:val="18"/>
                <w:szCs w:val="18"/>
              </w:rPr>
              <w:t>Late spring–early summer</w:t>
            </w:r>
          </w:p>
        </w:tc>
      </w:tr>
    </w:tbl>
    <w:p w14:paraId="1A3D5F97" w14:textId="77777777" w:rsidR="008B2D8A" w:rsidRPr="008A5338" w:rsidRDefault="008B2D8A" w:rsidP="008B2D8A"/>
    <w:p w14:paraId="3F88D11D" w14:textId="77777777" w:rsidR="008B2D8A" w:rsidRPr="00734693" w:rsidRDefault="008B2D8A" w:rsidP="008B2D8A">
      <w:pPr>
        <w:rPr>
          <w:b/>
          <w:bCs/>
          <w:i/>
          <w:iCs/>
        </w:rPr>
      </w:pPr>
      <w:r w:rsidRPr="00734693">
        <w:rPr>
          <w:b/>
          <w:bCs/>
          <w:i/>
          <w:iCs/>
        </w:rPr>
        <w:t>Restoring riverine hydraulics</w:t>
      </w:r>
    </w:p>
    <w:p w14:paraId="7ECB1448" w14:textId="3C5E4BD2" w:rsidR="008B2D8A" w:rsidRPr="00EF4BE0" w:rsidRDefault="008B2D8A" w:rsidP="008B2D8A">
      <w:r w:rsidRPr="004F0D3E">
        <w:t xml:space="preserve">Improving riverine hydraulics (e.g. water velocity and turbulence) is fundamental for ecological restoration in the LMR. Flows of </w:t>
      </w:r>
      <w:r w:rsidR="00841A1A">
        <w:t>&gt;</w:t>
      </w:r>
      <w:r w:rsidRPr="004F0D3E">
        <w:t xml:space="preserve">20,000 ML/d can significantly improve hydraulic conditions, by </w:t>
      </w:r>
      <w:r w:rsidR="00E0142F">
        <w:t>transforming &gt;50% of a weir pool from lentic (slower flowing water, median velocities ≤0.3 m/s) to</w:t>
      </w:r>
      <w:r w:rsidRPr="004F0D3E">
        <w:t xml:space="preserve"> lotic habitat (faster flowing water, &gt;0.3 m/s) (Ye </w:t>
      </w:r>
      <w:r w:rsidRPr="004F0D3E">
        <w:rPr>
          <w:i/>
        </w:rPr>
        <w:t>et al.</w:t>
      </w:r>
      <w:r w:rsidRPr="004F0D3E">
        <w:t xml:space="preserve"> 2018). Restoring such hydrodynamic conditions will </w:t>
      </w:r>
      <w:r>
        <w:t>promote</w:t>
      </w:r>
      <w:r w:rsidRPr="004F0D3E">
        <w:t xml:space="preserve"> riverine ecological processes and support the rehabilitation of many declining biota that are adapted to a flowing environment in the LMR (Mallen-Cooper and Zampatti 2017). Pre-regulation, the LMR was characterised by lotic, riverine habitats, with water velocities ranging ~0.2–0.5 m/s, even at flows &lt;10,000 ML/d (Bice </w:t>
      </w:r>
      <w:r w:rsidRPr="004F0D3E">
        <w:rPr>
          <w:i/>
          <w:iCs/>
        </w:rPr>
        <w:t>et al.</w:t>
      </w:r>
      <w:r w:rsidRPr="004F0D3E">
        <w:t xml:space="preserve"> 2017).</w:t>
      </w:r>
      <w:r>
        <w:t xml:space="preserve"> </w:t>
      </w:r>
      <w:r w:rsidRPr="004F0D3E">
        <w:t>With limited volumes of environmental water, infrastructure management such as weir pool lowering could be considered to complement flows to achieve hydraulic restoration in this region</w:t>
      </w:r>
      <w:r>
        <w:t>. Modelling</w:t>
      </w:r>
      <w:r w:rsidRPr="004F0D3E">
        <w:t xml:space="preserve"> </w:t>
      </w:r>
      <w:r>
        <w:t xml:space="preserve">indicates a substantial hydrodynamic impact by weirs in the LMR (Figures 7 and 12), and even a small lowering (~0.1 m) at multiple weir pools can elicit commensurate benefit in lotic habitat improvements (Figure </w:t>
      </w:r>
      <w:r w:rsidRPr="00EF4BE0">
        <w:t xml:space="preserve">12). </w:t>
      </w:r>
      <w:r>
        <w:t xml:space="preserve">A Weir Pool Operations Plan has been developed for Lock 1 to 6 (Muller and Creeper 2021) and small weir </w:t>
      </w:r>
      <w:r w:rsidR="001E7B23">
        <w:t xml:space="preserve">pool </w:t>
      </w:r>
      <w:r>
        <w:t xml:space="preserve">lowerings within the operational range have been undertaken in recent years including 2020-21.  </w:t>
      </w:r>
    </w:p>
    <w:p w14:paraId="4FD60AB0" w14:textId="77777777" w:rsidR="008B2D8A" w:rsidRPr="00734693" w:rsidRDefault="008B2D8A" w:rsidP="008B2D8A">
      <w:pPr>
        <w:rPr>
          <w:b/>
          <w:bCs/>
          <w:i/>
          <w:iCs/>
        </w:rPr>
      </w:pPr>
      <w:r w:rsidRPr="00734693">
        <w:rPr>
          <w:b/>
          <w:bCs/>
          <w:i/>
          <w:iCs/>
        </w:rPr>
        <w:t>Longitudinal and lateral connectivity</w:t>
      </w:r>
    </w:p>
    <w:p w14:paraId="6164D794" w14:textId="61588E16" w:rsidR="008B2D8A" w:rsidRPr="00E23984" w:rsidRDefault="008B2D8A" w:rsidP="008B2D8A">
      <w:pPr>
        <w:rPr>
          <w:szCs w:val="21"/>
          <w:lang w:eastAsia="en-AU"/>
        </w:rPr>
      </w:pPr>
      <w:r w:rsidRPr="004F0D3E">
        <w:t>Overall, environmental water delivery that promotes longitudinal and lateral connectivity will enhance the productivity in the LMR through increased carbon and nutrient inputs</w:t>
      </w:r>
      <w:r>
        <w:t xml:space="preserve"> and </w:t>
      </w:r>
      <w:r w:rsidRPr="004F0D3E">
        <w:t xml:space="preserve">matter transport. Water delivery, in conjunction with weir pool manipulation, to promote more natural water level </w:t>
      </w:r>
      <w:r>
        <w:t xml:space="preserve">variability </w:t>
      </w:r>
      <w:r w:rsidRPr="004F0D3E">
        <w:t xml:space="preserve">are desirable to </w:t>
      </w:r>
      <w:r>
        <w:t>promote</w:t>
      </w:r>
      <w:r w:rsidRPr="004F0D3E">
        <w:t xml:space="preserve"> in-channel productivity, although the</w:t>
      </w:r>
      <w:r w:rsidRPr="004F0D3E">
        <w:rPr>
          <w:szCs w:val="21"/>
          <w:lang w:eastAsia="en-AU"/>
        </w:rPr>
        <w:t xml:space="preserve"> capacity of </w:t>
      </w:r>
      <w:r w:rsidR="00FE65F7">
        <w:rPr>
          <w:szCs w:val="21"/>
          <w:lang w:eastAsia="en-AU"/>
        </w:rPr>
        <w:t xml:space="preserve">productivity </w:t>
      </w:r>
      <w:r w:rsidRPr="004F0D3E">
        <w:rPr>
          <w:szCs w:val="21"/>
          <w:lang w:eastAsia="en-AU"/>
        </w:rPr>
        <w:t xml:space="preserve">influence </w:t>
      </w:r>
      <w:r>
        <w:rPr>
          <w:szCs w:val="21"/>
          <w:lang w:eastAsia="en-AU"/>
        </w:rPr>
        <w:t xml:space="preserve">has </w:t>
      </w:r>
      <w:r w:rsidRPr="00BB1659">
        <w:rPr>
          <w:szCs w:val="21"/>
          <w:lang w:eastAsia="en-AU"/>
        </w:rPr>
        <w:t xml:space="preserve">been limited with current infrastructure and operational arrangements in the LMR. </w:t>
      </w:r>
      <w:bookmarkStart w:id="399" w:name="_Hlk97111842"/>
      <w:r w:rsidR="00E23984">
        <w:rPr>
          <w:szCs w:val="21"/>
          <w:lang w:eastAsia="en-AU"/>
        </w:rPr>
        <w:t>I</w:t>
      </w:r>
      <w:r w:rsidR="00FE65F7">
        <w:rPr>
          <w:szCs w:val="21"/>
          <w:lang w:eastAsia="en-AU"/>
        </w:rPr>
        <w:t>ncreasing water level variability may</w:t>
      </w:r>
      <w:r w:rsidR="00E23984">
        <w:rPr>
          <w:szCs w:val="21"/>
          <w:lang w:eastAsia="en-AU"/>
        </w:rPr>
        <w:t xml:space="preserve"> also</w:t>
      </w:r>
      <w:r w:rsidR="00FE65F7">
        <w:rPr>
          <w:szCs w:val="21"/>
          <w:lang w:eastAsia="en-AU"/>
        </w:rPr>
        <w:t xml:space="preserve"> improve seed banks </w:t>
      </w:r>
      <w:r w:rsidR="00E23984">
        <w:rPr>
          <w:szCs w:val="21"/>
          <w:lang w:eastAsia="en-AU"/>
        </w:rPr>
        <w:t xml:space="preserve">and thus the resilience </w:t>
      </w:r>
      <w:r w:rsidR="00FE65F7">
        <w:rPr>
          <w:szCs w:val="21"/>
          <w:lang w:eastAsia="en-AU"/>
        </w:rPr>
        <w:t>of littoral vegetation,</w:t>
      </w:r>
      <w:r w:rsidR="00E23984">
        <w:rPr>
          <w:szCs w:val="21"/>
          <w:lang w:eastAsia="en-AU"/>
        </w:rPr>
        <w:t xml:space="preserve"> noting the seed bank </w:t>
      </w:r>
      <w:r w:rsidR="00FE65F7">
        <w:rPr>
          <w:szCs w:val="21"/>
          <w:lang w:eastAsia="en-AU"/>
        </w:rPr>
        <w:t>is currently depauperate</w:t>
      </w:r>
      <w:r w:rsidR="00E23984">
        <w:rPr>
          <w:szCs w:val="21"/>
          <w:lang w:eastAsia="en-AU"/>
        </w:rPr>
        <w:t xml:space="preserve"> in the LMR</w:t>
      </w:r>
      <w:r w:rsidR="00067FEB">
        <w:rPr>
          <w:szCs w:val="21"/>
          <w:lang w:eastAsia="en-AU"/>
        </w:rPr>
        <w:t xml:space="preserve"> (Appendix E)</w:t>
      </w:r>
      <w:r w:rsidR="00E23984">
        <w:rPr>
          <w:szCs w:val="21"/>
          <w:lang w:eastAsia="en-AU"/>
        </w:rPr>
        <w:t>.</w:t>
      </w:r>
      <w:bookmarkEnd w:id="399"/>
      <w:r w:rsidR="00E23984">
        <w:rPr>
          <w:szCs w:val="21"/>
          <w:lang w:eastAsia="en-AU"/>
        </w:rPr>
        <w:t xml:space="preserve"> Furthermore, f</w:t>
      </w:r>
      <w:r w:rsidRPr="00BB1659">
        <w:rPr>
          <w:szCs w:val="21"/>
          <w:lang w:eastAsia="en-AU"/>
        </w:rPr>
        <w:t xml:space="preserve">low management to increase connection and inundation of littoral habitats, wetlands and floodplain, and provide return flows to the main channel, may enhance food subsidy for riverine species via mobilising microinvertebrates. In particular, slow flowing slackwaters in littoral and off-channel habitats provide conducive environment for the reproduction of microcrustaceans, which have been reported as the main prey for large-bodied native fish larvae (e.g. Murray cod, golden perch). </w:t>
      </w:r>
      <w:r w:rsidR="003C1531">
        <w:rPr>
          <w:szCs w:val="21"/>
          <w:lang w:eastAsia="en-AU"/>
        </w:rPr>
        <w:t xml:space="preserve">A </w:t>
      </w:r>
      <w:r w:rsidR="00631273">
        <w:rPr>
          <w:szCs w:val="21"/>
          <w:lang w:eastAsia="en-AU"/>
        </w:rPr>
        <w:t>f</w:t>
      </w:r>
      <w:r w:rsidR="003C1531" w:rsidRPr="00BB1659">
        <w:rPr>
          <w:szCs w:val="21"/>
          <w:lang w:eastAsia="en-AU"/>
        </w:rPr>
        <w:t>low regime that promotes the delivery of abundant prey during and following the reproductive season of these fish species, along with favourable hydraulic conditions, are important for their recruitment.</w:t>
      </w:r>
      <w:r w:rsidR="003C1531">
        <w:rPr>
          <w:szCs w:val="21"/>
          <w:lang w:eastAsia="en-AU"/>
        </w:rPr>
        <w:t xml:space="preserve"> </w:t>
      </w:r>
      <w:r w:rsidRPr="004F0D3E">
        <w:rPr>
          <w:szCs w:val="21"/>
          <w:lang w:eastAsia="en-AU"/>
        </w:rPr>
        <w:t>Furthermore, l</w:t>
      </w:r>
      <w:r w:rsidRPr="004F0D3E">
        <w:t>ongitudinal connectivity of river flow is important for the transport and dispersal of aquatic biota (e.g. microinvertebrates, larvae</w:t>
      </w:r>
      <w:r>
        <w:t xml:space="preserve"> of flow-cued spawning fish</w:t>
      </w:r>
      <w:r w:rsidRPr="004F0D3E">
        <w:t>) to and throughout the LMR</w:t>
      </w:r>
      <w:r>
        <w:t>, which can be supported by environmental water delivery. As demonstrated by LTIM and MER, downstream transport of microinvertebrates i</w:t>
      </w:r>
      <w:r w:rsidRPr="004F0D3E">
        <w:t>ncreased</w:t>
      </w:r>
      <w:r>
        <w:t xml:space="preserve"> species diversity and/or abundance in the LMR. These increases likely contributed to </w:t>
      </w:r>
      <w:r w:rsidRPr="004F0D3E">
        <w:t>improv</w:t>
      </w:r>
      <w:r>
        <w:t>ed</w:t>
      </w:r>
      <w:r w:rsidRPr="004F0D3E">
        <w:t xml:space="preserve"> productivity and community resilience</w:t>
      </w:r>
      <w:r>
        <w:t xml:space="preserve"> in the LMR, which </w:t>
      </w:r>
      <w:r w:rsidRPr="004F0D3E">
        <w:t>is important for aquatic food webs.</w:t>
      </w:r>
      <w:r>
        <w:t xml:space="preserve"> However, f</w:t>
      </w:r>
      <w:r w:rsidRPr="00AC410E">
        <w:t xml:space="preserve">urther </w:t>
      </w:r>
      <w:r>
        <w:t>research is required to: (1) confirm specific taxa group(s) that provide important food resources for higher trophic organisms; and (2) determine how flow regime, including antecedent conditions, may influence food abundance and quality in the LMR. Some of these questions are currently being explored via Lower Murray MER research.</w:t>
      </w:r>
    </w:p>
    <w:p w14:paraId="74AF3A34" w14:textId="77777777" w:rsidR="008B2D8A" w:rsidRPr="00734693" w:rsidRDefault="008B2D8A" w:rsidP="008B2D8A">
      <w:pPr>
        <w:rPr>
          <w:b/>
          <w:bCs/>
          <w:i/>
          <w:iCs/>
        </w:rPr>
      </w:pPr>
      <w:r w:rsidRPr="00734693">
        <w:rPr>
          <w:b/>
          <w:bCs/>
          <w:i/>
          <w:iCs/>
        </w:rPr>
        <w:t>Flow integrity</w:t>
      </w:r>
    </w:p>
    <w:p w14:paraId="0158DD3F" w14:textId="77777777" w:rsidR="008B2D8A" w:rsidRPr="004F0D3E" w:rsidRDefault="008B2D8A" w:rsidP="008B2D8A">
      <w:r w:rsidRPr="004F0D3E">
        <w:t>Managing environmental water releases across broad ‘riverscape’ scales is critical not only to achiev</w:t>
      </w:r>
      <w:r>
        <w:t>ing</w:t>
      </w:r>
      <w:r w:rsidRPr="004F0D3E">
        <w:t xml:space="preserve"> desired flow volumes in the LMR, but also </w:t>
      </w:r>
      <w:r>
        <w:t>considering the effects on</w:t>
      </w:r>
      <w:r w:rsidRPr="004F0D3E">
        <w:t xml:space="preserve"> water quality and the transport of biota. Indeed, water quality (e.g. turbidity, DOC, the amount and form of nutrients) and entrained biota (e.g. plankton, fish larvae/juveniles) may vary </w:t>
      </w:r>
      <w:r>
        <w:t xml:space="preserve">from </w:t>
      </w:r>
      <w:r w:rsidRPr="004F0D3E">
        <w:t xml:space="preserve">different sources of water (dependent on ecological processes occurring at those sources), </w:t>
      </w:r>
      <w:r>
        <w:t xml:space="preserve">therefore, </w:t>
      </w:r>
      <w:r w:rsidRPr="004F0D3E">
        <w:t>influenc</w:t>
      </w:r>
      <w:r>
        <w:t>ing</w:t>
      </w:r>
      <w:r w:rsidRPr="004F0D3E">
        <w:t xml:space="preserve"> ecological outcome</w:t>
      </w:r>
      <w:r>
        <w:t xml:space="preserve">s </w:t>
      </w:r>
      <w:r w:rsidRPr="004F0D3E">
        <w:t xml:space="preserve">(e.g. </w:t>
      </w:r>
      <w:r>
        <w:t xml:space="preserve">microinvertebrate assemblage composition, </w:t>
      </w:r>
      <w:r w:rsidRPr="004F0D3E">
        <w:t xml:space="preserve">recruitment of golden perch or silver perch) </w:t>
      </w:r>
      <w:r>
        <w:t>in downstream ecosystems</w:t>
      </w:r>
      <w:r w:rsidRPr="004F0D3E">
        <w:t xml:space="preserve"> in the LMR. Consequently, </w:t>
      </w:r>
      <w:r w:rsidRPr="004F0D3E">
        <w:rPr>
          <w:rFonts w:cs="Arial"/>
          <w:szCs w:val="22"/>
        </w:rPr>
        <w:t>m</w:t>
      </w:r>
      <w:r w:rsidRPr="004F0D3E">
        <w:t xml:space="preserve">aintaining flow integrity from upstream (e.g. Darling River or mid-Murray) to the LMR is important to support broad-scale ecological processes and promote </w:t>
      </w:r>
      <w:r w:rsidRPr="004F0D3E">
        <w:rPr>
          <w:bCs/>
        </w:rPr>
        <w:t>positive outcomes (e.g. improv</w:t>
      </w:r>
      <w:r>
        <w:rPr>
          <w:bCs/>
        </w:rPr>
        <w:t>ing</w:t>
      </w:r>
      <w:r w:rsidRPr="004F0D3E">
        <w:rPr>
          <w:bCs/>
        </w:rPr>
        <w:t xml:space="preserve"> productivity, </w:t>
      </w:r>
      <w:r>
        <w:rPr>
          <w:bCs/>
        </w:rPr>
        <w:t xml:space="preserve">supporting </w:t>
      </w:r>
      <w:r w:rsidRPr="004F0D3E">
        <w:rPr>
          <w:bCs/>
        </w:rPr>
        <w:t>spawning and recruitment of flow-dependent fishes). In this regard, consideration</w:t>
      </w:r>
      <w:r>
        <w:rPr>
          <w:bCs/>
        </w:rPr>
        <w:t xml:space="preserve"> for environmental flow management</w:t>
      </w:r>
      <w:r w:rsidRPr="004F0D3E">
        <w:rPr>
          <w:bCs/>
        </w:rPr>
        <w:t xml:space="preserve"> needs to include: (1) maintaining </w:t>
      </w:r>
      <w:r w:rsidRPr="004F0D3E">
        <w:t xml:space="preserve">hydrological integrity (i.e. magnitude, variability and source) of flow from upstream; and (2) the potential effects on water quality and biological attributes by river operations that re-route (e.g. through floodplains or wetlands) or fragment the flow (e.g. by diversions or water storages), which could lead to changes in ecological response and the structure and function of aquatic food webs. </w:t>
      </w:r>
    </w:p>
    <w:p w14:paraId="492C7335" w14:textId="77777777" w:rsidR="008B2D8A" w:rsidRPr="00734693" w:rsidRDefault="008B2D8A" w:rsidP="008B2D8A">
      <w:pPr>
        <w:rPr>
          <w:b/>
          <w:bCs/>
          <w:i/>
          <w:iCs/>
        </w:rPr>
      </w:pPr>
      <w:r w:rsidRPr="00734693">
        <w:rPr>
          <w:b/>
          <w:bCs/>
          <w:i/>
          <w:iCs/>
        </w:rPr>
        <w:t>Barrage flows</w:t>
      </w:r>
    </w:p>
    <w:p w14:paraId="49A0D468" w14:textId="20061D7E" w:rsidR="0017553E" w:rsidRPr="003C1531" w:rsidRDefault="008B2D8A" w:rsidP="003C1531">
      <w:pPr>
        <w:rPr>
          <w:szCs w:val="21"/>
        </w:rPr>
      </w:pPr>
      <w:r w:rsidRPr="003C1531">
        <w:rPr>
          <w:szCs w:val="21"/>
        </w:rPr>
        <w:t>During dry years, Commonwealth environmental water is pivotal in maintaining barrage flows and end-of-system connectivity to support a functioning river system and species’ life history processes (e.g. migration/recruitment of diadromous and estuarine</w:t>
      </w:r>
      <w:r w:rsidR="00613116" w:rsidRPr="003C1531">
        <w:rPr>
          <w:szCs w:val="21"/>
        </w:rPr>
        <w:t>-dependent</w:t>
      </w:r>
      <w:r w:rsidRPr="003C1531">
        <w:rPr>
          <w:szCs w:val="21"/>
        </w:rPr>
        <w:t xml:space="preserve"> fishes). Barrage flows increase salt export out of the Basin, contributing to the Basin Plan salt export objective/target. They also play an important role in reducing salt import from </w:t>
      </w:r>
      <w:r w:rsidR="003C1531">
        <w:rPr>
          <w:szCs w:val="21"/>
        </w:rPr>
        <w:t xml:space="preserve">the </w:t>
      </w:r>
      <w:r w:rsidRPr="003C1531">
        <w:rPr>
          <w:szCs w:val="21"/>
        </w:rPr>
        <w:t xml:space="preserve">ocean into the Coorong and reducing salt flux into the North and South lagoons. </w:t>
      </w:r>
      <w:r w:rsidR="008428A0" w:rsidRPr="003C1531">
        <w:rPr>
          <w:szCs w:val="21"/>
        </w:rPr>
        <w:t xml:space="preserve">Environmental flow </w:t>
      </w:r>
      <w:r w:rsidR="00B73207" w:rsidRPr="003C1531">
        <w:rPr>
          <w:szCs w:val="21"/>
        </w:rPr>
        <w:t xml:space="preserve">through </w:t>
      </w:r>
      <w:r w:rsidR="008428A0" w:rsidRPr="003C1531">
        <w:rPr>
          <w:szCs w:val="21"/>
        </w:rPr>
        <w:t xml:space="preserve">the barrages is required </w:t>
      </w:r>
      <w:r w:rsidR="008A2533" w:rsidRPr="003C1531">
        <w:rPr>
          <w:szCs w:val="21"/>
        </w:rPr>
        <w:t xml:space="preserve">every year </w:t>
      </w:r>
      <w:r w:rsidR="008428A0" w:rsidRPr="003C1531">
        <w:rPr>
          <w:szCs w:val="21"/>
        </w:rPr>
        <w:t xml:space="preserve">for salt reduction in the Coorong and for maintenance of fish habitat. </w:t>
      </w:r>
      <w:r w:rsidR="008C2914" w:rsidRPr="003C1531">
        <w:rPr>
          <w:szCs w:val="21"/>
        </w:rPr>
        <w:t xml:space="preserve">Even one year without flow </w:t>
      </w:r>
      <w:r w:rsidR="003C63F3" w:rsidRPr="003C1531">
        <w:rPr>
          <w:szCs w:val="21"/>
        </w:rPr>
        <w:t>through the</w:t>
      </w:r>
      <w:r w:rsidR="008C2914" w:rsidRPr="003C1531">
        <w:rPr>
          <w:szCs w:val="21"/>
        </w:rPr>
        <w:t xml:space="preserve"> barrages results in millions of tonnes of salt entering the Coorong and a contraction of fish habitat (predicted to be 11% reduction of mulloway habitat in 2020-21)</w:t>
      </w:r>
      <w:r w:rsidR="008428A0" w:rsidRPr="003C1531">
        <w:rPr>
          <w:szCs w:val="21"/>
        </w:rPr>
        <w:t xml:space="preserve">. </w:t>
      </w:r>
      <w:r w:rsidR="002D35EA" w:rsidRPr="003C1531">
        <w:rPr>
          <w:szCs w:val="21"/>
        </w:rPr>
        <w:t xml:space="preserve">Consecutive years of environmental water delivery to this region is essential to support </w:t>
      </w:r>
      <w:r w:rsidR="002D35EA" w:rsidRPr="003C1531">
        <w:rPr>
          <w:i/>
          <w:iCs/>
          <w:szCs w:val="21"/>
        </w:rPr>
        <w:t>Ruppia</w:t>
      </w:r>
      <w:r w:rsidR="002D35EA" w:rsidRPr="003C1531">
        <w:rPr>
          <w:szCs w:val="21"/>
        </w:rPr>
        <w:t xml:space="preserve"> recruitment and maintain ecosystem health. Without environmental water, extensive </w:t>
      </w:r>
      <w:r w:rsidR="003C1531" w:rsidRPr="003C1531">
        <w:rPr>
          <w:szCs w:val="21"/>
        </w:rPr>
        <w:t xml:space="preserve">reductions of estuarine habitat (44% for </w:t>
      </w:r>
      <w:r w:rsidR="003C1531" w:rsidRPr="003C1531">
        <w:rPr>
          <w:i/>
          <w:iCs/>
          <w:szCs w:val="21"/>
        </w:rPr>
        <w:t>Ruppia</w:t>
      </w:r>
      <w:r w:rsidR="003C1531" w:rsidRPr="003C1531">
        <w:rPr>
          <w:szCs w:val="21"/>
        </w:rPr>
        <w:t xml:space="preserve"> and up to 45% for fish) would have occurred within four years, leading to a detrimental </w:t>
      </w:r>
      <w:r w:rsidR="002D35EA" w:rsidRPr="003C1531">
        <w:rPr>
          <w:szCs w:val="21"/>
        </w:rPr>
        <w:t xml:space="preserve">impact on the ecological functions and biodiversity in the Coorong. Barrage flows also reduce the risk of Murray Mouth closure. Our work highlights the critical role </w:t>
      </w:r>
      <w:r w:rsidR="003C1531" w:rsidRPr="003C1531">
        <w:rPr>
          <w:szCs w:val="21"/>
        </w:rPr>
        <w:t>of water for the environment to the restoration of the Coorong ecosystem.</w:t>
      </w:r>
      <w:r w:rsidR="003C1531">
        <w:t xml:space="preserve"> </w:t>
      </w:r>
      <w:r w:rsidR="0017553E" w:rsidRPr="003C1531">
        <w:rPr>
          <w:szCs w:val="21"/>
        </w:rPr>
        <w:br w:type="page"/>
      </w:r>
    </w:p>
    <w:p w14:paraId="3588A677" w14:textId="5000CC0C" w:rsidR="000A65FC" w:rsidRDefault="000A65FC" w:rsidP="00106CC0">
      <w:pPr>
        <w:pStyle w:val="Heading1"/>
      </w:pPr>
      <w:bookmarkStart w:id="400" w:name="_Toc101963784"/>
      <w:r w:rsidRPr="00C757C7">
        <w:t>References</w:t>
      </w:r>
      <w:bookmarkEnd w:id="394"/>
      <w:bookmarkEnd w:id="400"/>
    </w:p>
    <w:p w14:paraId="6ADFD246" w14:textId="66E88983" w:rsidR="00A92FD6" w:rsidRDefault="00A92FD6" w:rsidP="00530E59">
      <w:pPr>
        <w:rPr>
          <w:lang w:val="en-US"/>
        </w:rPr>
      </w:pPr>
      <w:r w:rsidRPr="00A92FD6">
        <w:rPr>
          <w:lang w:val="en-US"/>
        </w:rPr>
        <w:t>Aavik, T</w:t>
      </w:r>
      <w:r>
        <w:rPr>
          <w:lang w:val="en-US"/>
        </w:rPr>
        <w:t>.</w:t>
      </w:r>
      <w:r w:rsidRPr="00A92FD6">
        <w:rPr>
          <w:lang w:val="en-US"/>
        </w:rPr>
        <w:t xml:space="preserve"> and Helm</w:t>
      </w:r>
      <w:r>
        <w:rPr>
          <w:lang w:val="en-US"/>
        </w:rPr>
        <w:t>, A</w:t>
      </w:r>
      <w:r w:rsidRPr="00A92FD6">
        <w:rPr>
          <w:lang w:val="en-US"/>
        </w:rPr>
        <w:t xml:space="preserve">. </w:t>
      </w:r>
      <w:r>
        <w:rPr>
          <w:lang w:val="en-US"/>
        </w:rPr>
        <w:t>(</w:t>
      </w:r>
      <w:r w:rsidRPr="00A92FD6">
        <w:rPr>
          <w:lang w:val="en-US"/>
        </w:rPr>
        <w:t>2018</w:t>
      </w:r>
      <w:r>
        <w:rPr>
          <w:lang w:val="en-US"/>
        </w:rPr>
        <w:t>)</w:t>
      </w:r>
      <w:r w:rsidRPr="00A92FD6">
        <w:rPr>
          <w:lang w:val="en-US"/>
        </w:rPr>
        <w:t>. Restoration of plant species and genetic diversity depends on landscape-scale dispersal</w:t>
      </w:r>
      <w:r>
        <w:rPr>
          <w:lang w:val="en-US"/>
        </w:rPr>
        <w:t>.</w:t>
      </w:r>
      <w:r w:rsidRPr="00A92FD6">
        <w:rPr>
          <w:lang w:val="en-US"/>
        </w:rPr>
        <w:t xml:space="preserve"> </w:t>
      </w:r>
      <w:r w:rsidRPr="00A92FD6">
        <w:rPr>
          <w:i/>
          <w:iCs/>
          <w:lang w:val="en-US"/>
        </w:rPr>
        <w:t>Restoration Ecology</w:t>
      </w:r>
      <w:r w:rsidRPr="00A92FD6">
        <w:rPr>
          <w:lang w:val="en-US"/>
        </w:rPr>
        <w:t xml:space="preserve"> </w:t>
      </w:r>
      <w:r w:rsidRPr="00A92FD6">
        <w:rPr>
          <w:b/>
          <w:bCs/>
          <w:lang w:val="en-US"/>
        </w:rPr>
        <w:t>26</w:t>
      </w:r>
      <w:r>
        <w:rPr>
          <w:lang w:val="en-US"/>
        </w:rPr>
        <w:t>,</w:t>
      </w:r>
      <w:r w:rsidRPr="00A92FD6">
        <w:rPr>
          <w:lang w:val="en-US"/>
        </w:rPr>
        <w:t xml:space="preserve"> S92-S102.</w:t>
      </w:r>
    </w:p>
    <w:p w14:paraId="32C38514" w14:textId="0CBDDD4F" w:rsidR="00530E59" w:rsidRPr="003F2FD1" w:rsidRDefault="00530E59" w:rsidP="00530E59">
      <w:pPr>
        <w:rPr>
          <w:lang w:val="en-US"/>
        </w:rPr>
      </w:pPr>
      <w:r w:rsidRPr="003F2FD1">
        <w:rPr>
          <w:lang w:val="en-US"/>
        </w:rPr>
        <w:t xml:space="preserve">Abernethy, B. and Rutherfurd, I.D. (1998). Where along a river's length will vegetation most effectively stabilise stream banks? </w:t>
      </w:r>
      <w:r w:rsidRPr="003F2FD1">
        <w:rPr>
          <w:i/>
          <w:iCs/>
          <w:lang w:val="en-US"/>
        </w:rPr>
        <w:t>Geomorphology</w:t>
      </w:r>
      <w:r w:rsidRPr="003F2FD1">
        <w:rPr>
          <w:lang w:val="en-US"/>
        </w:rPr>
        <w:t xml:space="preserve"> </w:t>
      </w:r>
      <w:r w:rsidRPr="003F2FD1">
        <w:rPr>
          <w:b/>
          <w:bCs/>
          <w:lang w:val="en-US"/>
        </w:rPr>
        <w:t>23</w:t>
      </w:r>
      <w:r w:rsidRPr="003F2FD1">
        <w:rPr>
          <w:lang w:val="en-US"/>
        </w:rPr>
        <w:t>, 55</w:t>
      </w:r>
      <w:r>
        <w:rPr>
          <w:lang w:val="en-US"/>
        </w:rPr>
        <w:t>–</w:t>
      </w:r>
      <w:r w:rsidRPr="003F2FD1">
        <w:rPr>
          <w:lang w:val="en-US"/>
        </w:rPr>
        <w:t>75.</w:t>
      </w:r>
    </w:p>
    <w:p w14:paraId="11D52BAE" w14:textId="77777777" w:rsidR="00530E59" w:rsidRPr="003F2FD1" w:rsidRDefault="00530E59" w:rsidP="00530E59">
      <w:pPr>
        <w:rPr>
          <w:lang w:val="en-US"/>
        </w:rPr>
      </w:pPr>
      <w:r w:rsidRPr="00346B75">
        <w:rPr>
          <w:lang w:val="en-US"/>
        </w:rPr>
        <w:t xml:space="preserve">Aldridge, K.T., Busch, B.D. and Hipsey, M.R. (2013). An assessment of the contribution of environmental water provisions to salt and nutrient dynamics in the lower Murray, November 2011–July 2012. The University of Adelaide, </w:t>
      </w:r>
      <w:r w:rsidRPr="003F2FD1">
        <w:rPr>
          <w:lang w:val="en-US"/>
        </w:rPr>
        <w:t>Adelaide.</w:t>
      </w:r>
    </w:p>
    <w:p w14:paraId="39F97CC4" w14:textId="236937A8" w:rsidR="00530E59" w:rsidRDefault="00530E59" w:rsidP="00530E59">
      <w:pPr>
        <w:rPr>
          <w:lang w:val="en-US"/>
        </w:rPr>
      </w:pPr>
      <w:r w:rsidRPr="003F2FD1">
        <w:rPr>
          <w:lang w:val="en-US"/>
        </w:rPr>
        <w:t>Anderson, M.J., Gorley, R.N. and Clarke, K.R. (2008). PERMANOVA+ for PRIMER: guide to software and statistical methods. PRIMER-E, Plymouth, UK.</w:t>
      </w:r>
    </w:p>
    <w:p w14:paraId="1688E507" w14:textId="1BECB613" w:rsidR="00046551" w:rsidRPr="003F2FD1" w:rsidRDefault="00046551" w:rsidP="00530E59">
      <w:pPr>
        <w:rPr>
          <w:lang w:val="en-US"/>
        </w:rPr>
      </w:pPr>
      <w:r w:rsidRPr="00046551">
        <w:rPr>
          <w:lang w:val="en-US"/>
        </w:rPr>
        <w:t xml:space="preserve">Anderson, M.J. and Ter Braak, C.J.F. (2003). Permutation tests for multi-factorial analysis of variance. </w:t>
      </w:r>
      <w:r w:rsidRPr="00046551">
        <w:rPr>
          <w:i/>
          <w:iCs/>
          <w:lang w:val="en-US"/>
        </w:rPr>
        <w:t>Journal of Statistical Computation and Simulation</w:t>
      </w:r>
      <w:r w:rsidRPr="00046551">
        <w:rPr>
          <w:lang w:val="en-US"/>
        </w:rPr>
        <w:t xml:space="preserve"> </w:t>
      </w:r>
      <w:r w:rsidRPr="00046551">
        <w:rPr>
          <w:b/>
          <w:bCs/>
          <w:lang w:val="en-US"/>
        </w:rPr>
        <w:t>73</w:t>
      </w:r>
      <w:r>
        <w:rPr>
          <w:lang w:val="en-US"/>
        </w:rPr>
        <w:t>,</w:t>
      </w:r>
      <w:r w:rsidRPr="00046551">
        <w:rPr>
          <w:lang w:val="en-US"/>
        </w:rPr>
        <w:t xml:space="preserve"> 85</w:t>
      </w:r>
      <w:r>
        <w:rPr>
          <w:lang w:val="en-US"/>
        </w:rPr>
        <w:t>–</w:t>
      </w:r>
      <w:r w:rsidRPr="00046551">
        <w:rPr>
          <w:lang w:val="en-US"/>
        </w:rPr>
        <w:t>113.</w:t>
      </w:r>
    </w:p>
    <w:p w14:paraId="33343AC7" w14:textId="77777777" w:rsidR="00530E59" w:rsidRPr="003F2FD1" w:rsidRDefault="00530E59" w:rsidP="00530E59">
      <w:pPr>
        <w:rPr>
          <w:lang w:val="en-US"/>
        </w:rPr>
      </w:pPr>
      <w:r w:rsidRPr="003F2FD1">
        <w:rPr>
          <w:lang w:val="en-US"/>
        </w:rPr>
        <w:t xml:space="preserve">Bagstad, K.J., Stromberg, J.C. and Lite, S.J. (2005). Response of herbaceous riparian plants to rain and flooding on the San Pedro River, Arizona, USA. </w:t>
      </w:r>
      <w:r w:rsidRPr="003F2FD1">
        <w:rPr>
          <w:i/>
          <w:iCs/>
          <w:lang w:val="en-US"/>
        </w:rPr>
        <w:t>Wetlands</w:t>
      </w:r>
      <w:r w:rsidRPr="003F2FD1">
        <w:rPr>
          <w:lang w:val="en-US"/>
        </w:rPr>
        <w:t xml:space="preserve"> </w:t>
      </w:r>
      <w:r w:rsidRPr="003F2FD1">
        <w:rPr>
          <w:b/>
          <w:bCs/>
          <w:lang w:val="en-US"/>
        </w:rPr>
        <w:t>25</w:t>
      </w:r>
      <w:r w:rsidRPr="003F2FD1">
        <w:rPr>
          <w:lang w:val="en-US"/>
        </w:rPr>
        <w:t>, 210</w:t>
      </w:r>
      <w:r>
        <w:rPr>
          <w:lang w:val="en-US"/>
        </w:rPr>
        <w:t>–</w:t>
      </w:r>
      <w:r w:rsidRPr="003F2FD1">
        <w:rPr>
          <w:lang w:val="en-US"/>
        </w:rPr>
        <w:t>223.</w:t>
      </w:r>
    </w:p>
    <w:p w14:paraId="75BFBA62" w14:textId="77777777" w:rsidR="00530E59" w:rsidRPr="000F3386" w:rsidRDefault="00530E59" w:rsidP="00530E59">
      <w:r w:rsidRPr="0059173F">
        <w:t xml:space="preserve">Baldwin, D.S., Colloff, M.J., Mitrovic, S.M., Bond, N.R. and Wolfenden, B. (2016). Restoring dissolved organic </w:t>
      </w:r>
      <w:r w:rsidRPr="000F3386">
        <w:t xml:space="preserve">carbon subsidies from floodplains to lowland river food webs: a role for environmental flows? </w:t>
      </w:r>
      <w:r w:rsidRPr="000F3386">
        <w:rPr>
          <w:i/>
        </w:rPr>
        <w:t>Marine and Freshwater Research</w:t>
      </w:r>
      <w:r w:rsidRPr="000F3386">
        <w:t xml:space="preserve"> </w:t>
      </w:r>
      <w:r w:rsidRPr="000F3386">
        <w:rPr>
          <w:b/>
        </w:rPr>
        <w:t>67</w:t>
      </w:r>
      <w:r w:rsidRPr="000F3386">
        <w:t>, 1387–1399.</w:t>
      </w:r>
    </w:p>
    <w:p w14:paraId="575E367D" w14:textId="77777777" w:rsidR="00530E59" w:rsidRPr="000F3386" w:rsidRDefault="00530E59" w:rsidP="00530E59">
      <w:r w:rsidRPr="000F3386">
        <w:t xml:space="preserve">Baranyi, C., Hein, T., Holarek, C., Keckeis, S. and Schiemer, F. (2002). Zooplankton biomass and community structure in a Danube River floodplain system: effects of hydrology. </w:t>
      </w:r>
      <w:r w:rsidRPr="000F3386">
        <w:rPr>
          <w:i/>
        </w:rPr>
        <w:t>Freshwater Biology</w:t>
      </w:r>
      <w:r w:rsidRPr="000F3386">
        <w:t xml:space="preserve"> </w:t>
      </w:r>
      <w:r w:rsidRPr="000F3386">
        <w:rPr>
          <w:b/>
        </w:rPr>
        <w:t>47</w:t>
      </w:r>
      <w:r w:rsidRPr="000F3386">
        <w:t>, 473–482.</w:t>
      </w:r>
    </w:p>
    <w:p w14:paraId="545D4109" w14:textId="6311CA98" w:rsidR="00530E59" w:rsidRDefault="00530E59" w:rsidP="00530E59">
      <w:r w:rsidRPr="00075CA5">
        <w:t>Barker, W.R., Barker, R.M. Jessop, J.P. and Vonow, H.P. (2005). Census of South Australian Vascular Plants. 5.00 edition. Botanic Gardens of Adelaide and State Herbarium, Adelaide.</w:t>
      </w:r>
    </w:p>
    <w:p w14:paraId="3C96254D" w14:textId="1565A9DD" w:rsidR="00046551" w:rsidRPr="002159BD" w:rsidRDefault="00046551" w:rsidP="00530E59">
      <w:r w:rsidRPr="00046551">
        <w:t>Baskin, C.C. and Baskin, J.M. (1998). Seeds: Ecology, Biogeography and Evolution of Dormancy and Germination. p. 666, Academic Press Inc., San Diego, California.</w:t>
      </w:r>
    </w:p>
    <w:p w14:paraId="1894D821" w14:textId="77777777" w:rsidR="00530E59" w:rsidRDefault="00530E59" w:rsidP="00530E59">
      <w:r w:rsidRPr="001850B4">
        <w:t xml:space="preserve">Basu, B.K. and Pick, F.R. (1996). Factors regulating phytoplankton and zooplankton biomass in temperate rivers. </w:t>
      </w:r>
      <w:r w:rsidRPr="006A170D">
        <w:rPr>
          <w:i/>
          <w:iCs/>
        </w:rPr>
        <w:t>Limnology and Oceanography</w:t>
      </w:r>
      <w:r w:rsidRPr="001850B4">
        <w:t xml:space="preserve"> </w:t>
      </w:r>
      <w:r w:rsidRPr="006A170D">
        <w:rPr>
          <w:b/>
          <w:bCs/>
        </w:rPr>
        <w:t>41</w:t>
      </w:r>
      <w:r w:rsidRPr="001850B4">
        <w:t>, 1572–1577.</w:t>
      </w:r>
    </w:p>
    <w:p w14:paraId="21342602" w14:textId="77777777" w:rsidR="00530E59" w:rsidRPr="00C70D04" w:rsidRDefault="00530E59" w:rsidP="00530E59">
      <w:r w:rsidRPr="00C70D04">
        <w:t xml:space="preserve">Baumgartner, L.J., Conallin, J., Wooden, I., Campbell, B., Gee, R., Robinson, W.A. and Mallen-Cooper, M. (2014). Using flow guilds of freshwater fish in an adaptive management framework to simplify environmental flow delivery for semi-arid riverine systems. </w:t>
      </w:r>
      <w:r w:rsidRPr="00C70D04">
        <w:rPr>
          <w:i/>
          <w:iCs/>
        </w:rPr>
        <w:t>Fish and Fisheries</w:t>
      </w:r>
      <w:r w:rsidRPr="00C70D04">
        <w:t xml:space="preserve"> </w:t>
      </w:r>
      <w:r w:rsidRPr="00C70D04">
        <w:rPr>
          <w:b/>
          <w:bCs/>
        </w:rPr>
        <w:t>15</w:t>
      </w:r>
      <w:r w:rsidRPr="00C70D04">
        <w:t>, 410–427.</w:t>
      </w:r>
    </w:p>
    <w:p w14:paraId="68A2E128" w14:textId="77777777" w:rsidR="00530E59" w:rsidRPr="003F2FD1" w:rsidRDefault="00530E59" w:rsidP="00530E59">
      <w:r w:rsidRPr="00346B75">
        <w:t xml:space="preserve">Beardall, J. and Raven, J.A. (1990). Pathways and mechanisms of respiration in microalgae. </w:t>
      </w:r>
      <w:r w:rsidRPr="00346B75">
        <w:rPr>
          <w:i/>
        </w:rPr>
        <w:t xml:space="preserve">Marine Microbial Food </w:t>
      </w:r>
      <w:r w:rsidRPr="003F2FD1">
        <w:rPr>
          <w:i/>
        </w:rPr>
        <w:t>Webs</w:t>
      </w:r>
      <w:r w:rsidRPr="003F2FD1">
        <w:t xml:space="preserve"> </w:t>
      </w:r>
      <w:r w:rsidRPr="003F2FD1">
        <w:rPr>
          <w:b/>
        </w:rPr>
        <w:t>4</w:t>
      </w:r>
      <w:r w:rsidRPr="003F2FD1">
        <w:t>, 7–30.</w:t>
      </w:r>
    </w:p>
    <w:p w14:paraId="4BA4B1D8" w14:textId="77777777" w:rsidR="00530E59" w:rsidRPr="003F2FD1" w:rsidRDefault="00530E59" w:rsidP="00530E59">
      <w:pPr>
        <w:rPr>
          <w:lang w:val="en-US"/>
        </w:rPr>
      </w:pPr>
      <w:r w:rsidRPr="003F2FD1">
        <w:rPr>
          <w:lang w:val="en-US"/>
        </w:rPr>
        <w:t xml:space="preserve">Beauchamp, V.B. and Stromberg, J.C. (2008). Changes to herbaceous plant communities on a regulated desert river. </w:t>
      </w:r>
      <w:r w:rsidRPr="003F2FD1">
        <w:rPr>
          <w:i/>
          <w:iCs/>
          <w:lang w:val="en-US"/>
        </w:rPr>
        <w:t>River Research and Applications</w:t>
      </w:r>
      <w:r w:rsidRPr="003F2FD1">
        <w:rPr>
          <w:lang w:val="en-US"/>
        </w:rPr>
        <w:t xml:space="preserve"> </w:t>
      </w:r>
      <w:r w:rsidRPr="003F2FD1">
        <w:rPr>
          <w:b/>
          <w:bCs/>
          <w:lang w:val="en-US"/>
        </w:rPr>
        <w:t>24</w:t>
      </w:r>
      <w:r w:rsidRPr="003F2FD1">
        <w:rPr>
          <w:lang w:val="en-US"/>
        </w:rPr>
        <w:t>, 754</w:t>
      </w:r>
      <w:r>
        <w:rPr>
          <w:lang w:val="en-US"/>
        </w:rPr>
        <w:t>–</w:t>
      </w:r>
      <w:r w:rsidRPr="003F2FD1">
        <w:rPr>
          <w:lang w:val="en-US"/>
        </w:rPr>
        <w:t>770.</w:t>
      </w:r>
    </w:p>
    <w:p w14:paraId="08477E0B" w14:textId="77777777" w:rsidR="00530E59" w:rsidRPr="00346B75" w:rsidRDefault="00530E59" w:rsidP="00530E59">
      <w:r w:rsidRPr="00346B75">
        <w:t xml:space="preserve">Berggren, M. and del Giorgio, P.A. (2015). Distinct patterns of microbial metabolism associated to riverine dissolved organic carbon of different source and quality. </w:t>
      </w:r>
      <w:r w:rsidRPr="00346B75">
        <w:rPr>
          <w:i/>
        </w:rPr>
        <w:t>Journal of Geophysical Research: Biogeosciences</w:t>
      </w:r>
      <w:r w:rsidRPr="00346B75">
        <w:t xml:space="preserve"> </w:t>
      </w:r>
      <w:r w:rsidRPr="00346B75">
        <w:rPr>
          <w:b/>
        </w:rPr>
        <w:t>120</w:t>
      </w:r>
      <w:r w:rsidRPr="00346B75">
        <w:t>, 989–999.</w:t>
      </w:r>
    </w:p>
    <w:p w14:paraId="5BAA6B81" w14:textId="77777777" w:rsidR="00530E59" w:rsidRPr="00C70D04" w:rsidRDefault="00530E59" w:rsidP="00530E59">
      <w:r w:rsidRPr="00C70D04">
        <w:t xml:space="preserve">Bice, C.M., Gehrig, S.L., Zampatti, B.P., Nicol, J.M., Wilson, P., Leigh, S.L. and Marsland, K. (2014). Flow-induced alterations to fish assemblages, habitat and fish-habitat associations in a regulated lowland river. </w:t>
      </w:r>
      <w:r w:rsidRPr="00C70D04">
        <w:rPr>
          <w:i/>
        </w:rPr>
        <w:t xml:space="preserve">Hydrobiologia </w:t>
      </w:r>
      <w:r w:rsidRPr="00C70D04">
        <w:rPr>
          <w:b/>
        </w:rPr>
        <w:t>722</w:t>
      </w:r>
      <w:r w:rsidRPr="00C70D04">
        <w:t>, 205–222.</w:t>
      </w:r>
    </w:p>
    <w:p w14:paraId="33EB2A7A" w14:textId="77777777" w:rsidR="00530E59" w:rsidRPr="00D813A6" w:rsidRDefault="00530E59" w:rsidP="00530E59">
      <w:r w:rsidRPr="00C70D04">
        <w:t xml:space="preserve">Bice, C.M., Gibbs, M.S., Kilsby, N.N., Mallen-Cooper, M. and Zampatti, B.P. (2017). Putting the “river” back into the lower River Murray: quantifying the hydraulic impact of river regulation to </w:t>
      </w:r>
      <w:r w:rsidRPr="00D813A6">
        <w:t xml:space="preserve">guide ecological restoration. </w:t>
      </w:r>
      <w:r w:rsidRPr="00D813A6">
        <w:rPr>
          <w:i/>
        </w:rPr>
        <w:t>Transactions of the Royal Society of South Australia</w:t>
      </w:r>
      <w:r w:rsidRPr="00D813A6">
        <w:t>, DOI: 10.1080/03721426.2017.1374909.</w:t>
      </w:r>
    </w:p>
    <w:p w14:paraId="5FC95266" w14:textId="5631BBE9" w:rsidR="00530E59" w:rsidRDefault="00530E59" w:rsidP="00530E59">
      <w:r w:rsidRPr="00346B75">
        <w:t xml:space="preserve">Bice, C.M., Wedderburn, S.D., Hammer, M.P., Ye, Q. and Zampatti, B.P. (2018). Fishes of the Lower Lakes and Coorong: A Summary of Life-History, Population Dynamics and Management. In: Natural History of The Coorong, </w:t>
      </w:r>
      <w:r w:rsidRPr="00C70D04">
        <w:t>Lower Lakes, and Murray Mouth Region (Yarluwar-Ruwe). Eds. Mosley, L., Ye, Q., Shepherd, S., Hemming, S. &amp; Fitzpatrick, R. Royal Society of South Australia, University of Adelaide Press. Adelaide. pp 371–399.</w:t>
      </w:r>
    </w:p>
    <w:p w14:paraId="4D02CE15" w14:textId="62ABDC9A" w:rsidR="00DB4B43" w:rsidRPr="00C70D04" w:rsidRDefault="00DB4B43" w:rsidP="00530E59">
      <w:r w:rsidRPr="00F93C39">
        <w:t>Bice, C.M., Zampatti, B.P. and Tonkin, Z. (2016). The influence of weir pool raising in the South Australian lower River Murray on condition and growth of Australian Smelt (</w:t>
      </w:r>
      <w:r w:rsidRPr="00B61F40">
        <w:rPr>
          <w:i/>
          <w:iCs/>
        </w:rPr>
        <w:t>Retropinna semoni</w:t>
      </w:r>
      <w:r w:rsidRPr="00F93C39">
        <w:t>). South Australian Research and Development Institute (Aquatic Sciences), Adelaide. SARDI Publication No. F2016/000336-1. SARDI Research Report Series No. 907. 37pp.</w:t>
      </w:r>
    </w:p>
    <w:p w14:paraId="496B0937" w14:textId="77777777" w:rsidR="00530E59" w:rsidRPr="00C70D04" w:rsidRDefault="00530E59" w:rsidP="00530E59">
      <w:r w:rsidRPr="00C70D04">
        <w:t xml:space="preserve">Bice, C.M., Zampatti, B.P., Ye, Q. and Giatas, G.C. (2020). Lamprey migration in the lower River Murray in association with Commonwealth environmental water delivery in 2019. South Australian Research and Development Institute (Aquatic Sciences), Adelaide. </w:t>
      </w:r>
      <w:r w:rsidRPr="00F77C2D">
        <w:t>SARDI Publication No. F2020/000203-01. SARDI Research Report Series No. 1061, 25 pp.</w:t>
      </w:r>
    </w:p>
    <w:p w14:paraId="2A4D6DFB" w14:textId="77777777" w:rsidR="00530E59" w:rsidRPr="00C70D04" w:rsidRDefault="00530E59" w:rsidP="00530E59">
      <w:r w:rsidRPr="00C70D04">
        <w:t xml:space="preserve">Biggs, B.J.F., Nikora, V.I. and Snelder, T.H. (2005). Linking scales of flow variability to lotic ecosystem structure and function. </w:t>
      </w:r>
      <w:r w:rsidRPr="00C70D04">
        <w:rPr>
          <w:i/>
        </w:rPr>
        <w:t>Regulated Rivers: Research &amp; Mangement</w:t>
      </w:r>
      <w:r w:rsidRPr="00C70D04">
        <w:t xml:space="preserve"> </w:t>
      </w:r>
      <w:r w:rsidRPr="00C70D04">
        <w:rPr>
          <w:b/>
        </w:rPr>
        <w:t>21</w:t>
      </w:r>
      <w:r w:rsidRPr="00C70D04">
        <w:t>, 283–298.</w:t>
      </w:r>
    </w:p>
    <w:p w14:paraId="7780F858" w14:textId="77777777" w:rsidR="00530E59" w:rsidRPr="00C70D04" w:rsidRDefault="00530E59" w:rsidP="00530E59">
      <w:pPr>
        <w:rPr>
          <w:lang w:val="en-US"/>
        </w:rPr>
      </w:pPr>
      <w:r w:rsidRPr="00C70D04">
        <w:rPr>
          <w:lang w:val="en-US"/>
        </w:rPr>
        <w:t xml:space="preserve">Blanch, S.J., Ganf, G.G. and Walker, K.F. (1999). Tolerance of riverine plants to flooding and exposure by water regime. </w:t>
      </w:r>
      <w:r w:rsidRPr="00C70D04">
        <w:rPr>
          <w:i/>
          <w:iCs/>
          <w:lang w:val="en-US"/>
        </w:rPr>
        <w:t>Regulated Rivers: Research and Management</w:t>
      </w:r>
      <w:r w:rsidRPr="00C70D04">
        <w:rPr>
          <w:lang w:val="en-US"/>
        </w:rPr>
        <w:t xml:space="preserve"> </w:t>
      </w:r>
      <w:r w:rsidRPr="00C70D04">
        <w:rPr>
          <w:b/>
          <w:bCs/>
          <w:lang w:val="en-US"/>
        </w:rPr>
        <w:t>15</w:t>
      </w:r>
      <w:r w:rsidRPr="00C70D04">
        <w:rPr>
          <w:lang w:val="en-US"/>
        </w:rPr>
        <w:t>, 43</w:t>
      </w:r>
      <w:r>
        <w:rPr>
          <w:lang w:val="en-US"/>
        </w:rPr>
        <w:t>–</w:t>
      </w:r>
      <w:r w:rsidRPr="00C70D04">
        <w:rPr>
          <w:lang w:val="en-US"/>
        </w:rPr>
        <w:t>62.</w:t>
      </w:r>
    </w:p>
    <w:p w14:paraId="29C430B8" w14:textId="77777777" w:rsidR="00530E59" w:rsidRPr="003F2FD1" w:rsidRDefault="00530E59" w:rsidP="00530E59">
      <w:pPr>
        <w:rPr>
          <w:lang w:val="en-US"/>
        </w:rPr>
      </w:pPr>
      <w:r w:rsidRPr="00C70D04">
        <w:rPr>
          <w:lang w:val="en-US"/>
        </w:rPr>
        <w:t xml:space="preserve">Blanch, S.J., Walker, K.F. and Ganf, G.G. (2000). Water regimes and littoral plants in four weir pools of the River Murray, Australia. </w:t>
      </w:r>
      <w:r w:rsidRPr="00C70D04">
        <w:rPr>
          <w:i/>
          <w:iCs/>
          <w:lang w:val="en-US"/>
        </w:rPr>
        <w:t xml:space="preserve">Regulated Rivers </w:t>
      </w:r>
      <w:r w:rsidRPr="003F2FD1">
        <w:rPr>
          <w:i/>
          <w:iCs/>
          <w:lang w:val="en-US"/>
        </w:rPr>
        <w:t>Research and Management</w:t>
      </w:r>
      <w:r w:rsidRPr="003F2FD1">
        <w:rPr>
          <w:lang w:val="en-US"/>
        </w:rPr>
        <w:t xml:space="preserve"> </w:t>
      </w:r>
      <w:r w:rsidRPr="003F2FD1">
        <w:rPr>
          <w:b/>
          <w:bCs/>
          <w:lang w:val="en-US"/>
        </w:rPr>
        <w:t>16</w:t>
      </w:r>
      <w:r w:rsidRPr="003F2FD1">
        <w:rPr>
          <w:lang w:val="en-US"/>
        </w:rPr>
        <w:t>, 445</w:t>
      </w:r>
      <w:r>
        <w:rPr>
          <w:lang w:val="en-US"/>
        </w:rPr>
        <w:t>–</w:t>
      </w:r>
      <w:r w:rsidRPr="003F2FD1">
        <w:rPr>
          <w:lang w:val="en-US"/>
        </w:rPr>
        <w:t>456.</w:t>
      </w:r>
    </w:p>
    <w:p w14:paraId="668DDA48" w14:textId="77777777" w:rsidR="00530E59" w:rsidRPr="00346B75" w:rsidRDefault="00530E59" w:rsidP="00530E59">
      <w:pPr>
        <w:rPr>
          <w:lang w:val="en-US"/>
        </w:rPr>
      </w:pPr>
      <w:r w:rsidRPr="00346B75">
        <w:rPr>
          <w:lang w:val="en-US"/>
        </w:rPr>
        <w:t xml:space="preserve">Blom, C.W.P.M., Bogemann, G.M., Laan, P., Van Der Sman, A.J.M., Van De Steeg, H.M. and Voesenek, L.A.C.J. (1990). Adaptations to flooding in plants from river areas. </w:t>
      </w:r>
      <w:r w:rsidRPr="00346B75">
        <w:rPr>
          <w:i/>
          <w:iCs/>
          <w:lang w:val="en-US"/>
        </w:rPr>
        <w:t>Aquatic Botany</w:t>
      </w:r>
      <w:r w:rsidRPr="00346B75">
        <w:rPr>
          <w:lang w:val="en-US"/>
        </w:rPr>
        <w:t xml:space="preserve"> </w:t>
      </w:r>
      <w:r w:rsidRPr="00346B75">
        <w:rPr>
          <w:b/>
          <w:bCs/>
          <w:lang w:val="en-US"/>
        </w:rPr>
        <w:t>38</w:t>
      </w:r>
      <w:r w:rsidRPr="00346B75">
        <w:rPr>
          <w:lang w:val="en-US"/>
        </w:rPr>
        <w:t>, 29</w:t>
      </w:r>
      <w:r>
        <w:rPr>
          <w:lang w:val="en-US"/>
        </w:rPr>
        <w:t>–</w:t>
      </w:r>
      <w:r w:rsidRPr="00346B75">
        <w:rPr>
          <w:lang w:val="en-US"/>
        </w:rPr>
        <w:t>48.</w:t>
      </w:r>
    </w:p>
    <w:p w14:paraId="6AFBFB62" w14:textId="77777777" w:rsidR="00530E59" w:rsidRPr="000F3386" w:rsidRDefault="00530E59" w:rsidP="00530E59">
      <w:pPr>
        <w:rPr>
          <w:lang w:val="en-US"/>
        </w:rPr>
      </w:pPr>
      <w:r w:rsidRPr="00346B75">
        <w:rPr>
          <w:lang w:val="en-US"/>
        </w:rPr>
        <w:t>Borin, M. and Salvato, M. (2012). Effects of five macrophytes on nitrogen remediation and mass balance in wetla</w:t>
      </w:r>
      <w:r w:rsidRPr="000F3386">
        <w:rPr>
          <w:lang w:val="en-US"/>
        </w:rPr>
        <w:t xml:space="preserve">nd mesocosms. </w:t>
      </w:r>
      <w:r w:rsidRPr="000F3386">
        <w:rPr>
          <w:i/>
          <w:iCs/>
          <w:lang w:val="en-US"/>
        </w:rPr>
        <w:t xml:space="preserve">Ecological Engineering </w:t>
      </w:r>
      <w:r w:rsidRPr="000F3386">
        <w:rPr>
          <w:b/>
          <w:bCs/>
          <w:lang w:val="en-US"/>
        </w:rPr>
        <w:t>46</w:t>
      </w:r>
      <w:r w:rsidRPr="000F3386">
        <w:rPr>
          <w:lang w:val="en-US"/>
        </w:rPr>
        <w:t>, 34</w:t>
      </w:r>
      <w:r>
        <w:rPr>
          <w:lang w:val="en-US"/>
        </w:rPr>
        <w:t>–</w:t>
      </w:r>
      <w:r w:rsidRPr="000F3386">
        <w:rPr>
          <w:lang w:val="en-US"/>
        </w:rPr>
        <w:t>42.</w:t>
      </w:r>
    </w:p>
    <w:p w14:paraId="5FE7C8C6" w14:textId="77777777" w:rsidR="00530E59" w:rsidRPr="000F3386" w:rsidRDefault="00530E59" w:rsidP="00530E59">
      <w:pPr>
        <w:rPr>
          <w:lang w:val="en-US"/>
        </w:rPr>
      </w:pPr>
      <w:r w:rsidRPr="000F3386">
        <w:rPr>
          <w:lang w:val="en-US"/>
        </w:rPr>
        <w:t xml:space="preserve">Boulton, A.J. and Lloyd L.N. (1992). Flooding frequency and invertebrate emergence from dry floodplain sediments of the River Murray, Australia. </w:t>
      </w:r>
      <w:r w:rsidRPr="000F3386">
        <w:rPr>
          <w:i/>
          <w:lang w:val="en-US"/>
        </w:rPr>
        <w:t>Regulated Rivers: Research &amp; Management</w:t>
      </w:r>
      <w:r w:rsidRPr="000F3386">
        <w:rPr>
          <w:lang w:val="en-US"/>
        </w:rPr>
        <w:t xml:space="preserve"> </w:t>
      </w:r>
      <w:r w:rsidRPr="000F3386">
        <w:rPr>
          <w:b/>
          <w:lang w:val="en-US"/>
        </w:rPr>
        <w:t>7</w:t>
      </w:r>
      <w:r w:rsidRPr="000F3386">
        <w:rPr>
          <w:lang w:val="en-US"/>
        </w:rPr>
        <w:t>, 137–151.</w:t>
      </w:r>
    </w:p>
    <w:p w14:paraId="5A0E3C9A" w14:textId="77777777" w:rsidR="00530E59" w:rsidRPr="003F2FD1" w:rsidRDefault="00530E59" w:rsidP="00530E59">
      <w:pPr>
        <w:rPr>
          <w:lang w:val="en-US"/>
        </w:rPr>
      </w:pPr>
      <w:r w:rsidRPr="003F2FD1">
        <w:rPr>
          <w:lang w:val="en-US"/>
        </w:rPr>
        <w:t xml:space="preserve">Bray, J.R. and Curtis, J.T. (1957). An ordination of the upland forest communities of southern Wisconsin. </w:t>
      </w:r>
      <w:r w:rsidRPr="003F2FD1">
        <w:rPr>
          <w:i/>
          <w:iCs/>
          <w:lang w:val="en-US"/>
        </w:rPr>
        <w:t>Ecological Monographs</w:t>
      </w:r>
      <w:r w:rsidRPr="003F2FD1">
        <w:rPr>
          <w:lang w:val="en-US"/>
        </w:rPr>
        <w:t xml:space="preserve"> </w:t>
      </w:r>
      <w:r w:rsidRPr="003F2FD1">
        <w:rPr>
          <w:b/>
          <w:bCs/>
          <w:lang w:val="en-US"/>
        </w:rPr>
        <w:t>27</w:t>
      </w:r>
      <w:r w:rsidRPr="003F2FD1">
        <w:rPr>
          <w:lang w:val="en-US"/>
        </w:rPr>
        <w:t>, 325</w:t>
      </w:r>
      <w:r>
        <w:rPr>
          <w:lang w:val="en-US"/>
        </w:rPr>
        <w:t>–</w:t>
      </w:r>
      <w:r w:rsidRPr="003F2FD1">
        <w:rPr>
          <w:lang w:val="en-US"/>
        </w:rPr>
        <w:t>349.</w:t>
      </w:r>
    </w:p>
    <w:p w14:paraId="6F37D6A1" w14:textId="277C2DD3" w:rsidR="00530E59" w:rsidRDefault="00530E59" w:rsidP="00530E59">
      <w:pPr>
        <w:rPr>
          <w:lang w:val="en-US"/>
        </w:rPr>
      </w:pPr>
      <w:r w:rsidRPr="000F3386">
        <w:rPr>
          <w:lang w:val="en-US"/>
        </w:rPr>
        <w:t xml:space="preserve">Brendonck, L. and De Meester, L. (2003). Egg banks in freshwater zooplankton: evolutionary and ecological archives in the sediment. </w:t>
      </w:r>
      <w:r w:rsidRPr="000F3386">
        <w:rPr>
          <w:i/>
          <w:lang w:val="en-US"/>
        </w:rPr>
        <w:t>Hydrobiologia</w:t>
      </w:r>
      <w:r w:rsidRPr="000F3386">
        <w:rPr>
          <w:lang w:val="en-US"/>
        </w:rPr>
        <w:t xml:space="preserve"> </w:t>
      </w:r>
      <w:r w:rsidRPr="000F3386">
        <w:rPr>
          <w:b/>
          <w:lang w:val="en-US"/>
        </w:rPr>
        <w:t>491</w:t>
      </w:r>
      <w:r w:rsidRPr="000F3386">
        <w:rPr>
          <w:lang w:val="en-US"/>
        </w:rPr>
        <w:t>, 65–84.</w:t>
      </w:r>
    </w:p>
    <w:p w14:paraId="61F6CF9E" w14:textId="0AD5B377" w:rsidR="00070DFF" w:rsidRPr="000F3386" w:rsidRDefault="00070DFF" w:rsidP="00530E59">
      <w:pPr>
        <w:rPr>
          <w:lang w:val="en-US"/>
        </w:rPr>
      </w:pPr>
      <w:r w:rsidRPr="00070DFF">
        <w:rPr>
          <w:lang w:val="en-US"/>
        </w:rPr>
        <w:t xml:space="preserve">Brett, M.T., Müller-Navarra, D.C., Ballantyne, A.P., Ravet, J.L. and Goldman, C.R. (2006). </w:t>
      </w:r>
      <w:r w:rsidRPr="00070DFF">
        <w:rPr>
          <w:i/>
          <w:iCs/>
          <w:lang w:val="en-US"/>
        </w:rPr>
        <w:t xml:space="preserve">Daphnia </w:t>
      </w:r>
      <w:r w:rsidRPr="00070DFF">
        <w:rPr>
          <w:lang w:val="en-US"/>
        </w:rPr>
        <w:t xml:space="preserve">fatty acid composition reflects that of their diet. </w:t>
      </w:r>
      <w:r w:rsidRPr="00070DFF">
        <w:rPr>
          <w:i/>
          <w:iCs/>
          <w:lang w:val="en-US"/>
        </w:rPr>
        <w:t>Limnology and Oceanography</w:t>
      </w:r>
      <w:r w:rsidRPr="00070DFF">
        <w:rPr>
          <w:lang w:val="en-US"/>
        </w:rPr>
        <w:t xml:space="preserve"> </w:t>
      </w:r>
      <w:r w:rsidRPr="00070DFF">
        <w:rPr>
          <w:b/>
          <w:bCs/>
          <w:lang w:val="en-US"/>
        </w:rPr>
        <w:t>51</w:t>
      </w:r>
      <w:r w:rsidRPr="00070DFF">
        <w:rPr>
          <w:lang w:val="en-US"/>
        </w:rPr>
        <w:t>, 2428–2437.</w:t>
      </w:r>
    </w:p>
    <w:p w14:paraId="4C31D3E7" w14:textId="243DC95F" w:rsidR="00530E59" w:rsidRDefault="00530E59" w:rsidP="00530E59">
      <w:pPr>
        <w:rPr>
          <w:lang w:val="en-US"/>
        </w:rPr>
      </w:pPr>
      <w:r w:rsidRPr="000F3386">
        <w:rPr>
          <w:lang w:val="en-US"/>
        </w:rPr>
        <w:t xml:space="preserve">Brock, M.A. and Casanova, M.T. (1997). </w:t>
      </w:r>
      <w:r w:rsidR="00046551" w:rsidRPr="00046551">
        <w:rPr>
          <w:lang w:val="en-US"/>
        </w:rPr>
        <w:t>Plant life at the edge of wetlands: ecological responses to wetting and drying patterns. In Klomp, N. and Lunt, I. (eds), Frontiers in Ecology: Building the Links. pp. 181</w:t>
      </w:r>
      <w:r w:rsidR="00046551">
        <w:rPr>
          <w:lang w:val="en-US"/>
        </w:rPr>
        <w:t>–</w:t>
      </w:r>
      <w:r w:rsidR="00046551" w:rsidRPr="00046551">
        <w:rPr>
          <w:lang w:val="en-US"/>
        </w:rPr>
        <w:t>192. Elsevier Science, Oxford.</w:t>
      </w:r>
    </w:p>
    <w:p w14:paraId="16AEE43B" w14:textId="521A82FA" w:rsidR="00046551" w:rsidRDefault="00046551" w:rsidP="00530E59">
      <w:pPr>
        <w:rPr>
          <w:lang w:val="en-US"/>
        </w:rPr>
      </w:pPr>
      <w:r w:rsidRPr="00046551">
        <w:rPr>
          <w:lang w:val="en-US"/>
        </w:rPr>
        <w:t>Brock, M.A., Casanova, M.T. and Berridge, S.M. (2000). Does your wetland flood and dry? Water regime and wetland plants. Land and Water Resources Research and Development Corporation, University of New England, New South Wales Department of Land and Water Conservation and Environment Australia, Canberra.</w:t>
      </w:r>
    </w:p>
    <w:p w14:paraId="5E1F8F3A" w14:textId="266EA09E" w:rsidR="00046551" w:rsidRPr="000F3386" w:rsidRDefault="00046551" w:rsidP="00530E59">
      <w:pPr>
        <w:rPr>
          <w:lang w:val="en-US"/>
        </w:rPr>
      </w:pPr>
      <w:r w:rsidRPr="00046551">
        <w:rPr>
          <w:lang w:val="en-US"/>
        </w:rPr>
        <w:t xml:space="preserve">Brock, M.A., Nielsen, D.L., Shiel, R.J., Green, J.D. and Langley, J.D. (2003). Drought and aquatic community resilience: the role of eggs and seeds in sediments of temporary wetlands. </w:t>
      </w:r>
      <w:r w:rsidRPr="00046551">
        <w:rPr>
          <w:i/>
          <w:iCs/>
          <w:lang w:val="en-US"/>
        </w:rPr>
        <w:t>Freshwater Biology</w:t>
      </w:r>
      <w:r w:rsidRPr="00046551">
        <w:rPr>
          <w:lang w:val="en-US"/>
        </w:rPr>
        <w:t xml:space="preserve"> </w:t>
      </w:r>
      <w:r w:rsidRPr="00046551">
        <w:rPr>
          <w:b/>
          <w:bCs/>
          <w:lang w:val="en-US"/>
        </w:rPr>
        <w:t>48</w:t>
      </w:r>
      <w:r>
        <w:rPr>
          <w:lang w:val="en-US"/>
        </w:rPr>
        <w:t>,</w:t>
      </w:r>
      <w:r w:rsidRPr="00046551">
        <w:rPr>
          <w:lang w:val="en-US"/>
        </w:rPr>
        <w:t xml:space="preserve"> 1207</w:t>
      </w:r>
      <w:r>
        <w:rPr>
          <w:lang w:val="en-US"/>
        </w:rPr>
        <w:t>–</w:t>
      </w:r>
      <w:r w:rsidRPr="00046551">
        <w:rPr>
          <w:lang w:val="en-US"/>
        </w:rPr>
        <w:t>1218.</w:t>
      </w:r>
    </w:p>
    <w:p w14:paraId="2E9B10AC" w14:textId="7D148298" w:rsidR="00530E59" w:rsidRDefault="00530E59" w:rsidP="00530E59">
      <w:pPr>
        <w:rPr>
          <w:lang w:val="en-US"/>
        </w:rPr>
      </w:pPr>
      <w:r w:rsidRPr="000F3386">
        <w:rPr>
          <w:lang w:val="en-US"/>
        </w:rPr>
        <w:t>Brookes, J.D., Lamontagne, S., Aldridge, K.T., Benger, S., Bissett, A., Bucater, L., Cheshire, A., Cook, P.L.</w:t>
      </w:r>
      <w:r w:rsidRPr="003F2FD1">
        <w:rPr>
          <w:lang w:val="en-US"/>
        </w:rPr>
        <w:t>M., Deegan</w:t>
      </w:r>
      <w:r w:rsidRPr="00346B75">
        <w:rPr>
          <w:lang w:val="en-US"/>
        </w:rPr>
        <w:t>, B.M., Dittmann, S., Fairweather, P.G., Fernandes, M.B., Ford, P.W., Geddes, M.C., Gillanders, B.M., Grigg, N.J., Haese, R.R., Krull, E., Langley, R.A., Lester, R.F., Loo, M., Munro, A.R., Noell, C.J., Nayar, S., Paton, D.C., Revill, A.T., Rogers, D.J., Rolston, A.N., Sharma, S.K., Short, D.A., Tanner, J.E., Webster, I.T., Wellmann, N.R. and Ye, Q. (2009). An Ecosystem Assessment Framework to Guide Management of the Coorong. Final Report of the CLLAMMecology Research Cluster. CSIRO: Water for a Healthy Country National Research Flagship, Canberra.</w:t>
      </w:r>
    </w:p>
    <w:p w14:paraId="16E30013" w14:textId="5AD9F374" w:rsidR="00046551" w:rsidRPr="00346B75" w:rsidRDefault="00046551" w:rsidP="00530E59">
      <w:pPr>
        <w:rPr>
          <w:lang w:val="en-US"/>
        </w:rPr>
      </w:pPr>
      <w:r w:rsidRPr="00046551">
        <w:rPr>
          <w:lang w:val="en-US"/>
        </w:rPr>
        <w:t>Brown, D. (1992). Estimating the composition of a forest seed bank:</w:t>
      </w:r>
      <w:r>
        <w:rPr>
          <w:lang w:val="en-US"/>
        </w:rPr>
        <w:t xml:space="preserve"> </w:t>
      </w:r>
      <w:r w:rsidRPr="00046551">
        <w:rPr>
          <w:lang w:val="en-US"/>
        </w:rPr>
        <w:t xml:space="preserve">a comparison of the seed extraction and emergence methods. </w:t>
      </w:r>
      <w:r w:rsidRPr="00046551">
        <w:rPr>
          <w:i/>
          <w:iCs/>
          <w:lang w:val="en-US"/>
        </w:rPr>
        <w:t>Canadian Journal of Botany</w:t>
      </w:r>
      <w:r w:rsidRPr="00046551">
        <w:rPr>
          <w:lang w:val="en-US"/>
        </w:rPr>
        <w:t xml:space="preserve"> </w:t>
      </w:r>
      <w:r w:rsidRPr="00046551">
        <w:rPr>
          <w:b/>
          <w:bCs/>
          <w:lang w:val="en-US"/>
        </w:rPr>
        <w:t>70</w:t>
      </w:r>
      <w:r>
        <w:rPr>
          <w:lang w:val="en-US"/>
        </w:rPr>
        <w:t>,</w:t>
      </w:r>
      <w:r w:rsidRPr="00046551">
        <w:rPr>
          <w:lang w:val="en-US"/>
        </w:rPr>
        <w:t xml:space="preserve"> 1603</w:t>
      </w:r>
      <w:r>
        <w:rPr>
          <w:lang w:val="en-US"/>
        </w:rPr>
        <w:t>–</w:t>
      </w:r>
      <w:r w:rsidRPr="00046551">
        <w:rPr>
          <w:lang w:val="en-US"/>
        </w:rPr>
        <w:t>1612.</w:t>
      </w:r>
    </w:p>
    <w:p w14:paraId="0DDB6277" w14:textId="77777777" w:rsidR="00530E59" w:rsidRDefault="00530E59" w:rsidP="00530E59">
      <w:pPr>
        <w:rPr>
          <w:lang w:val="en-US"/>
        </w:rPr>
      </w:pPr>
      <w:r w:rsidRPr="0088031C">
        <w:rPr>
          <w:lang w:val="en-US"/>
        </w:rPr>
        <w:t xml:space="preserve">Bunn, S. and Arthington, A.H. (2002). Basic principles and ecological consequences of altered flow regimes for aquatic biodiversity. </w:t>
      </w:r>
      <w:r w:rsidRPr="0088031C">
        <w:rPr>
          <w:i/>
          <w:lang w:val="en-US"/>
        </w:rPr>
        <w:t>Environmental Management</w:t>
      </w:r>
      <w:r w:rsidRPr="0088031C">
        <w:rPr>
          <w:lang w:val="en-US"/>
        </w:rPr>
        <w:t xml:space="preserve"> </w:t>
      </w:r>
      <w:r w:rsidRPr="0088031C">
        <w:rPr>
          <w:b/>
          <w:lang w:val="en-US"/>
        </w:rPr>
        <w:t>30</w:t>
      </w:r>
      <w:r w:rsidRPr="0088031C">
        <w:rPr>
          <w:lang w:val="en-US"/>
        </w:rPr>
        <w:t>, 492–507.</w:t>
      </w:r>
    </w:p>
    <w:p w14:paraId="7318F30E" w14:textId="4226A441" w:rsidR="00F8184E" w:rsidRDefault="00F8184E" w:rsidP="00530E59">
      <w:pPr>
        <w:rPr>
          <w:lang w:val="en-US"/>
        </w:rPr>
      </w:pPr>
      <w:r w:rsidRPr="00F8184E">
        <w:rPr>
          <w:lang w:val="en-US"/>
        </w:rPr>
        <w:t>Burnham, K</w:t>
      </w:r>
      <w:r w:rsidR="0001666B">
        <w:rPr>
          <w:lang w:val="en-US"/>
        </w:rPr>
        <w:t>.</w:t>
      </w:r>
      <w:r w:rsidRPr="00F8184E">
        <w:rPr>
          <w:lang w:val="en-US"/>
        </w:rPr>
        <w:t>P</w:t>
      </w:r>
      <w:r w:rsidR="0001666B">
        <w:rPr>
          <w:lang w:val="en-US"/>
        </w:rPr>
        <w:t>. and</w:t>
      </w:r>
      <w:r w:rsidRPr="00F8184E">
        <w:rPr>
          <w:lang w:val="en-US"/>
        </w:rPr>
        <w:t xml:space="preserve"> Anderson</w:t>
      </w:r>
      <w:r w:rsidR="0001666B">
        <w:rPr>
          <w:lang w:val="en-US"/>
        </w:rPr>
        <w:t>, D.R.</w:t>
      </w:r>
      <w:r w:rsidRPr="00F8184E">
        <w:rPr>
          <w:lang w:val="en-US"/>
        </w:rPr>
        <w:t xml:space="preserve"> </w:t>
      </w:r>
      <w:r>
        <w:rPr>
          <w:lang w:val="en-US"/>
        </w:rPr>
        <w:t>(</w:t>
      </w:r>
      <w:r w:rsidRPr="00F8184E">
        <w:rPr>
          <w:lang w:val="en-US"/>
        </w:rPr>
        <w:t>2002</w:t>
      </w:r>
      <w:r>
        <w:rPr>
          <w:lang w:val="en-US"/>
        </w:rPr>
        <w:t>)</w:t>
      </w:r>
      <w:r w:rsidRPr="00F8184E">
        <w:rPr>
          <w:lang w:val="en-US"/>
        </w:rPr>
        <w:t>. Model selection and multimodel inference: a practical information-theoretic approach. Springer-Verlag.</w:t>
      </w:r>
    </w:p>
    <w:p w14:paraId="217A4FB6" w14:textId="40F167C8" w:rsidR="00530E59" w:rsidRDefault="00530E59" w:rsidP="00530E59">
      <w:pPr>
        <w:rPr>
          <w:lang w:val="en-US"/>
        </w:rPr>
      </w:pPr>
      <w:r w:rsidRPr="001850B4">
        <w:rPr>
          <w:lang w:val="en-US"/>
        </w:rPr>
        <w:t xml:space="preserve">Capon, S.J. (2007). Effects of flooding on seedling emergence from the soil seed bank of a large desert floodplain. </w:t>
      </w:r>
      <w:r w:rsidRPr="006A170D">
        <w:rPr>
          <w:i/>
          <w:iCs/>
          <w:lang w:val="en-US"/>
        </w:rPr>
        <w:t xml:space="preserve">Wetlands </w:t>
      </w:r>
      <w:r w:rsidRPr="006A170D">
        <w:rPr>
          <w:b/>
          <w:bCs/>
          <w:lang w:val="en-US"/>
        </w:rPr>
        <w:t>27</w:t>
      </w:r>
      <w:r w:rsidRPr="001850B4">
        <w:rPr>
          <w:lang w:val="en-US"/>
        </w:rPr>
        <w:t>, 904–914.</w:t>
      </w:r>
    </w:p>
    <w:p w14:paraId="08274CA2" w14:textId="207B3D7C" w:rsidR="00E750D4" w:rsidRDefault="00E750D4" w:rsidP="00530E59">
      <w:pPr>
        <w:rPr>
          <w:lang w:val="en-US"/>
        </w:rPr>
      </w:pPr>
      <w:r w:rsidRPr="00E750D4">
        <w:rPr>
          <w:lang w:val="en-US"/>
        </w:rPr>
        <w:t xml:space="preserve">Capon, S.J. and Brock, M.A. (2006). Flooding, soil seed bank dynamics and vegetation resilience of a hydrologically variable desert floodplain. </w:t>
      </w:r>
      <w:r w:rsidRPr="00E750D4">
        <w:rPr>
          <w:i/>
          <w:iCs/>
          <w:lang w:val="en-US"/>
        </w:rPr>
        <w:t>Freshwater Biology</w:t>
      </w:r>
      <w:r w:rsidRPr="00E750D4">
        <w:rPr>
          <w:lang w:val="en-US"/>
        </w:rPr>
        <w:t xml:space="preserve"> </w:t>
      </w:r>
      <w:r w:rsidRPr="00E750D4">
        <w:rPr>
          <w:b/>
          <w:bCs/>
          <w:lang w:val="en-US"/>
        </w:rPr>
        <w:t>51</w:t>
      </w:r>
      <w:r>
        <w:rPr>
          <w:lang w:val="en-US"/>
        </w:rPr>
        <w:t>,</w:t>
      </w:r>
      <w:r w:rsidRPr="00E750D4">
        <w:rPr>
          <w:lang w:val="en-US"/>
        </w:rPr>
        <w:t xml:space="preserve"> 206</w:t>
      </w:r>
      <w:r>
        <w:rPr>
          <w:lang w:val="en-US"/>
        </w:rPr>
        <w:t>–</w:t>
      </w:r>
      <w:r w:rsidRPr="00E750D4">
        <w:rPr>
          <w:lang w:val="en-US"/>
        </w:rPr>
        <w:t>223.</w:t>
      </w:r>
    </w:p>
    <w:p w14:paraId="06969168" w14:textId="77777777" w:rsidR="00604BD0" w:rsidRDefault="00604BD0" w:rsidP="00604BD0">
      <w:pPr>
        <w:rPr>
          <w:lang w:val="en-US"/>
        </w:rPr>
      </w:pPr>
      <w:r w:rsidRPr="003F2FD1">
        <w:rPr>
          <w:lang w:val="en-US"/>
        </w:rPr>
        <w:t xml:space="preserve">Casanova, M.T. (2011). Using water plant functional groups to investigate environmental water requirements. </w:t>
      </w:r>
      <w:r w:rsidRPr="003F2FD1">
        <w:rPr>
          <w:i/>
          <w:iCs/>
          <w:lang w:val="en-US"/>
        </w:rPr>
        <w:t>Freshwater Biology</w:t>
      </w:r>
      <w:r w:rsidRPr="003F2FD1">
        <w:rPr>
          <w:lang w:val="en-US"/>
        </w:rPr>
        <w:t xml:space="preserve"> </w:t>
      </w:r>
      <w:r w:rsidRPr="003F2FD1">
        <w:rPr>
          <w:b/>
          <w:bCs/>
          <w:lang w:val="en-US"/>
        </w:rPr>
        <w:t>56</w:t>
      </w:r>
      <w:r w:rsidRPr="003F2FD1">
        <w:rPr>
          <w:lang w:val="en-US"/>
        </w:rPr>
        <w:t>, 2637</w:t>
      </w:r>
      <w:r>
        <w:rPr>
          <w:lang w:val="en-US"/>
        </w:rPr>
        <w:t>–</w:t>
      </w:r>
      <w:r w:rsidRPr="003F2FD1">
        <w:rPr>
          <w:lang w:val="en-US"/>
        </w:rPr>
        <w:t>2652.</w:t>
      </w:r>
    </w:p>
    <w:p w14:paraId="59550624" w14:textId="5045093A" w:rsidR="00604BD0" w:rsidRDefault="00604BD0" w:rsidP="00604BD0">
      <w:pPr>
        <w:rPr>
          <w:lang w:val="en-US"/>
        </w:rPr>
      </w:pPr>
      <w:r w:rsidRPr="00604BD0">
        <w:rPr>
          <w:lang w:val="en-US"/>
        </w:rPr>
        <w:t xml:space="preserve">Casanova, M.T. (2015). The seed bank as a mechanism for resilience and connectivity in a seasonal unregulated river. </w:t>
      </w:r>
      <w:r w:rsidRPr="00604BD0">
        <w:rPr>
          <w:i/>
          <w:iCs/>
          <w:lang w:val="en-US"/>
        </w:rPr>
        <w:t>Aquatic Botany</w:t>
      </w:r>
      <w:r w:rsidRPr="00604BD0">
        <w:rPr>
          <w:lang w:val="en-US"/>
        </w:rPr>
        <w:t xml:space="preserve"> </w:t>
      </w:r>
      <w:r w:rsidRPr="00604BD0">
        <w:rPr>
          <w:b/>
          <w:bCs/>
          <w:lang w:val="en-US"/>
        </w:rPr>
        <w:t>124</w:t>
      </w:r>
      <w:r>
        <w:rPr>
          <w:lang w:val="en-US"/>
        </w:rPr>
        <w:t>,</w:t>
      </w:r>
      <w:r w:rsidRPr="00604BD0">
        <w:rPr>
          <w:lang w:val="en-US"/>
        </w:rPr>
        <w:t xml:space="preserve"> 63</w:t>
      </w:r>
      <w:r>
        <w:rPr>
          <w:lang w:val="en-US"/>
        </w:rPr>
        <w:t>–</w:t>
      </w:r>
      <w:r w:rsidRPr="00604BD0">
        <w:rPr>
          <w:lang w:val="en-US"/>
        </w:rPr>
        <w:t>69.</w:t>
      </w:r>
    </w:p>
    <w:p w14:paraId="037FC460" w14:textId="603E3593" w:rsidR="00604BD0" w:rsidRPr="003F2FD1" w:rsidRDefault="00604BD0" w:rsidP="00604BD0">
      <w:pPr>
        <w:rPr>
          <w:lang w:val="en-US"/>
        </w:rPr>
      </w:pPr>
      <w:r w:rsidRPr="00604BD0">
        <w:rPr>
          <w:lang w:val="en-US"/>
        </w:rPr>
        <w:t xml:space="preserve">Casanova, M.T. and Brock, M.A. (1999). Life histories of charophytes from permanent and temporary wetlands in eastern Australia. </w:t>
      </w:r>
      <w:r w:rsidRPr="00604BD0">
        <w:rPr>
          <w:i/>
          <w:iCs/>
          <w:lang w:val="en-US"/>
        </w:rPr>
        <w:t>Australian Journal of Botany</w:t>
      </w:r>
      <w:r w:rsidRPr="00604BD0">
        <w:rPr>
          <w:lang w:val="en-US"/>
        </w:rPr>
        <w:t xml:space="preserve"> </w:t>
      </w:r>
      <w:r w:rsidRPr="00604BD0">
        <w:rPr>
          <w:b/>
          <w:bCs/>
          <w:lang w:val="en-US"/>
        </w:rPr>
        <w:t>47</w:t>
      </w:r>
      <w:r>
        <w:rPr>
          <w:lang w:val="en-US"/>
        </w:rPr>
        <w:t>,</w:t>
      </w:r>
      <w:r w:rsidRPr="00604BD0">
        <w:rPr>
          <w:lang w:val="en-US"/>
        </w:rPr>
        <w:t xml:space="preserve"> 383</w:t>
      </w:r>
      <w:r>
        <w:rPr>
          <w:lang w:val="en-US"/>
        </w:rPr>
        <w:t>–</w:t>
      </w:r>
      <w:r w:rsidRPr="00604BD0">
        <w:rPr>
          <w:lang w:val="en-US"/>
        </w:rPr>
        <w:t>397.</w:t>
      </w:r>
    </w:p>
    <w:p w14:paraId="6C50C445" w14:textId="77777777" w:rsidR="00530E59" w:rsidRPr="002826E4" w:rsidRDefault="00530E59" w:rsidP="00530E59">
      <w:pPr>
        <w:rPr>
          <w:lang w:val="en-US"/>
        </w:rPr>
      </w:pPr>
      <w:r w:rsidRPr="002826E4">
        <w:rPr>
          <w:lang w:val="en-US"/>
        </w:rPr>
        <w:t>Centre for Australian National Biodiversity Research and Council of Heads of Australasian Herbaria (2020). Australian Plant Census, IBIS database, http://www.chah.gov.au/apc/index.html.</w:t>
      </w:r>
    </w:p>
    <w:p w14:paraId="679E56E2" w14:textId="66FAA53C" w:rsidR="00604BD0" w:rsidRDefault="00604BD0" w:rsidP="00530E59">
      <w:pPr>
        <w:rPr>
          <w:lang w:val="en-US"/>
        </w:rPr>
      </w:pPr>
      <w:r w:rsidRPr="00604BD0">
        <w:rPr>
          <w:lang w:val="en-US"/>
        </w:rPr>
        <w:t xml:space="preserve">Chambert, S. and James, C.S. (2009). Sorting of seeds by hydrochory. </w:t>
      </w:r>
      <w:r w:rsidRPr="00604BD0">
        <w:rPr>
          <w:i/>
          <w:iCs/>
          <w:lang w:val="en-US"/>
        </w:rPr>
        <w:t>River Research and Applications</w:t>
      </w:r>
      <w:r w:rsidRPr="00604BD0">
        <w:rPr>
          <w:lang w:val="en-US"/>
        </w:rPr>
        <w:t xml:space="preserve"> </w:t>
      </w:r>
      <w:r w:rsidRPr="00604BD0">
        <w:rPr>
          <w:b/>
          <w:bCs/>
          <w:lang w:val="en-US"/>
        </w:rPr>
        <w:t>25</w:t>
      </w:r>
      <w:r>
        <w:rPr>
          <w:lang w:val="en-US"/>
        </w:rPr>
        <w:t>,</w:t>
      </w:r>
      <w:r w:rsidRPr="00604BD0">
        <w:rPr>
          <w:lang w:val="en-US"/>
        </w:rPr>
        <w:t xml:space="preserve"> 48</w:t>
      </w:r>
      <w:r>
        <w:rPr>
          <w:lang w:val="en-US"/>
        </w:rPr>
        <w:t>–</w:t>
      </w:r>
      <w:r w:rsidRPr="00604BD0">
        <w:rPr>
          <w:lang w:val="en-US"/>
        </w:rPr>
        <w:t>61.</w:t>
      </w:r>
    </w:p>
    <w:p w14:paraId="71866C05" w14:textId="2AA3C3E1" w:rsidR="00530E59" w:rsidRPr="00127E7F" w:rsidRDefault="00F3534A" w:rsidP="00530E59">
      <w:pPr>
        <w:rPr>
          <w:lang w:val="en-US"/>
        </w:rPr>
      </w:pPr>
      <w:r w:rsidRPr="00F3534A">
        <w:rPr>
          <w:lang w:val="en-US"/>
        </w:rPr>
        <w:t>Chengalath</w:t>
      </w:r>
      <w:r>
        <w:rPr>
          <w:lang w:val="en-US"/>
        </w:rPr>
        <w:t>,</w:t>
      </w:r>
      <w:r w:rsidRPr="00F3534A">
        <w:rPr>
          <w:lang w:val="en-US"/>
        </w:rPr>
        <w:t xml:space="preserve"> R</w:t>
      </w:r>
      <w:r>
        <w:rPr>
          <w:lang w:val="en-US"/>
        </w:rPr>
        <w:t>. and</w:t>
      </w:r>
      <w:r w:rsidRPr="00F3534A">
        <w:rPr>
          <w:lang w:val="en-US"/>
        </w:rPr>
        <w:t xml:space="preserve"> Mulamoottil</w:t>
      </w:r>
      <w:r>
        <w:rPr>
          <w:lang w:val="en-US"/>
        </w:rPr>
        <w:t>,</w:t>
      </w:r>
      <w:r w:rsidRPr="00F3534A">
        <w:rPr>
          <w:lang w:val="en-US"/>
        </w:rPr>
        <w:t xml:space="preserve"> G</w:t>
      </w:r>
      <w:r>
        <w:rPr>
          <w:lang w:val="en-US"/>
        </w:rPr>
        <w:t>.</w:t>
      </w:r>
      <w:r w:rsidRPr="00F3534A">
        <w:rPr>
          <w:lang w:val="en-US"/>
        </w:rPr>
        <w:t xml:space="preserve"> (1975)</w:t>
      </w:r>
      <w:r>
        <w:rPr>
          <w:lang w:val="en-US"/>
        </w:rPr>
        <w:t>.</w:t>
      </w:r>
      <w:r w:rsidRPr="00F3534A">
        <w:rPr>
          <w:lang w:val="en-US"/>
        </w:rPr>
        <w:t xml:space="preserve"> Littoral rotifera of Ontario—genus </w:t>
      </w:r>
      <w:r w:rsidRPr="00F3534A">
        <w:rPr>
          <w:i/>
          <w:iCs/>
          <w:lang w:val="en-US"/>
        </w:rPr>
        <w:t>Trichocerca</w:t>
      </w:r>
      <w:r w:rsidRPr="00F3534A">
        <w:rPr>
          <w:lang w:val="en-US"/>
        </w:rPr>
        <w:t xml:space="preserve">. </w:t>
      </w:r>
      <w:r w:rsidRPr="00F3534A">
        <w:rPr>
          <w:i/>
          <w:iCs/>
          <w:lang w:val="en-US"/>
        </w:rPr>
        <w:t>Canadian Journal of Zoology</w:t>
      </w:r>
      <w:r w:rsidRPr="00F3534A">
        <w:rPr>
          <w:lang w:val="en-US"/>
        </w:rPr>
        <w:t xml:space="preserve"> </w:t>
      </w:r>
      <w:r w:rsidRPr="00F3534A">
        <w:rPr>
          <w:b/>
          <w:bCs/>
          <w:lang w:val="en-US"/>
        </w:rPr>
        <w:t>53</w:t>
      </w:r>
      <w:r>
        <w:rPr>
          <w:lang w:val="en-US"/>
        </w:rPr>
        <w:t xml:space="preserve">, </w:t>
      </w:r>
      <w:r w:rsidRPr="00F3534A">
        <w:rPr>
          <w:lang w:val="en-US"/>
        </w:rPr>
        <w:t>1403</w:t>
      </w:r>
      <w:r>
        <w:rPr>
          <w:lang w:val="en-US"/>
        </w:rPr>
        <w:t>–</w:t>
      </w:r>
      <w:r w:rsidRPr="00F3534A">
        <w:rPr>
          <w:lang w:val="en-US"/>
        </w:rPr>
        <w:t>1411</w:t>
      </w:r>
      <w:r>
        <w:rPr>
          <w:lang w:val="en-US"/>
        </w:rPr>
        <w:t>.</w:t>
      </w:r>
    </w:p>
    <w:p w14:paraId="4CEAFDD1" w14:textId="77777777" w:rsidR="00530E59" w:rsidRPr="003F2FD1" w:rsidRDefault="00530E59" w:rsidP="00530E59">
      <w:pPr>
        <w:rPr>
          <w:lang w:val="en-US"/>
        </w:rPr>
      </w:pPr>
      <w:r w:rsidRPr="0059173F">
        <w:rPr>
          <w:lang w:val="en-US"/>
        </w:rPr>
        <w:t xml:space="preserve">Chow, V.T., Maidment, D.R. and Mays, L.W. (1988). Applied Hydrology. McGraw Hill </w:t>
      </w:r>
      <w:r w:rsidRPr="003F2FD1">
        <w:rPr>
          <w:lang w:val="en-US"/>
        </w:rPr>
        <w:t>International Editions: Singapore.</w:t>
      </w:r>
    </w:p>
    <w:p w14:paraId="6E181A75" w14:textId="77777777" w:rsidR="00530E59" w:rsidRPr="003F2FD1" w:rsidRDefault="00530E59" w:rsidP="00530E59">
      <w:pPr>
        <w:rPr>
          <w:lang w:val="en-US"/>
        </w:rPr>
      </w:pPr>
      <w:r w:rsidRPr="003F2FD1">
        <w:rPr>
          <w:lang w:val="en-US"/>
        </w:rPr>
        <w:t>Clarke, K.R. and Gorley, R.N. (2015). PRIMER Version 7.0.12: User Manual/Tutorial, p. 296, PRIMER-E, Plymouth.</w:t>
      </w:r>
    </w:p>
    <w:p w14:paraId="2DBBEB0C" w14:textId="38A1D560" w:rsidR="00530E59" w:rsidRDefault="00530E59" w:rsidP="00530E59">
      <w:pPr>
        <w:rPr>
          <w:lang w:val="en-US"/>
        </w:rPr>
      </w:pPr>
      <w:r w:rsidRPr="00346B75">
        <w:rPr>
          <w:lang w:val="en-US"/>
        </w:rPr>
        <w:t xml:space="preserve">Collier, C., van Dijk, K.-J., Erftemeijer, P., Foster, N., Hipsey, M., O'Loughlin, E., Ticli, K. and Waycott, M. (2017). Optimising Coorong </w:t>
      </w:r>
      <w:r w:rsidRPr="00B61F40">
        <w:rPr>
          <w:i/>
          <w:iCs/>
          <w:lang w:val="en-US"/>
        </w:rPr>
        <w:t>Ruppia</w:t>
      </w:r>
      <w:r w:rsidRPr="00346B75">
        <w:rPr>
          <w:lang w:val="en-US"/>
        </w:rPr>
        <w:t xml:space="preserve"> habitat: Strategies to improve habitat conditions for </w:t>
      </w:r>
      <w:r w:rsidRPr="00F8184E">
        <w:rPr>
          <w:i/>
          <w:iCs/>
          <w:lang w:val="en-US"/>
        </w:rPr>
        <w:t>Ruppia tuberosa</w:t>
      </w:r>
      <w:r w:rsidRPr="00346B75">
        <w:rPr>
          <w:lang w:val="en-US"/>
        </w:rPr>
        <w:t xml:space="preserve"> in the Coorong (South Australia) based on literature review, manipulative experiments and predictive modelling. In: Waycott, M. (Ed.), Reports to Department of Environment and Natural Resources (DEWNR). The University of Adelaide, School of Biological Sciences, </w:t>
      </w:r>
      <w:r w:rsidRPr="0093711B">
        <w:rPr>
          <w:lang w:val="en-US"/>
        </w:rPr>
        <w:t>Adelaide, South Australia, p. 169 pp.</w:t>
      </w:r>
    </w:p>
    <w:p w14:paraId="338390E7" w14:textId="5D11323C" w:rsidR="00604BD0" w:rsidRPr="0093711B" w:rsidRDefault="00604BD0" w:rsidP="00530E59">
      <w:pPr>
        <w:rPr>
          <w:lang w:val="en-US"/>
        </w:rPr>
      </w:pPr>
      <w:r w:rsidRPr="00604BD0">
        <w:rPr>
          <w:lang w:val="en-US"/>
        </w:rPr>
        <w:t>Colloff, M.J. (2014). Flooded forest and desert creek: ecology and history of the river red gum, CSIRO Publishing, Collingwood.</w:t>
      </w:r>
    </w:p>
    <w:p w14:paraId="1D34FE9B" w14:textId="77777777" w:rsidR="00530E59" w:rsidRPr="0093711B" w:rsidRDefault="00530E59" w:rsidP="00530E59">
      <w:r w:rsidRPr="0093711B">
        <w:t>Conde-Porcuna</w:t>
      </w:r>
      <w:r>
        <w:t>,</w:t>
      </w:r>
      <w:r w:rsidRPr="0093711B">
        <w:t xml:space="preserve"> J</w:t>
      </w:r>
      <w:r>
        <w:t>.</w:t>
      </w:r>
      <w:r w:rsidRPr="0093711B">
        <w:t>M</w:t>
      </w:r>
      <w:r>
        <w:t>. and</w:t>
      </w:r>
      <w:r w:rsidRPr="0093711B">
        <w:t xml:space="preserve"> Sarma</w:t>
      </w:r>
      <w:r>
        <w:t>,</w:t>
      </w:r>
      <w:r w:rsidRPr="0093711B">
        <w:t xml:space="preserve"> S</w:t>
      </w:r>
      <w:r>
        <w:t>.</w:t>
      </w:r>
      <w:r w:rsidRPr="0093711B">
        <w:t>S</w:t>
      </w:r>
      <w:r>
        <w:t>.</w:t>
      </w:r>
      <w:r w:rsidRPr="0093711B">
        <w:t>S</w:t>
      </w:r>
      <w:r>
        <w:t>.</w:t>
      </w:r>
      <w:r w:rsidRPr="0093711B">
        <w:t xml:space="preserve"> (1995) Prey selection by </w:t>
      </w:r>
      <w:r w:rsidRPr="00B61F40">
        <w:rPr>
          <w:i/>
          <w:iCs/>
        </w:rPr>
        <w:t>Asplanchna girodi</w:t>
      </w:r>
      <w:r w:rsidRPr="0093711B">
        <w:t xml:space="preserve"> (Rotifera): the importance of prey defence mechanisms. </w:t>
      </w:r>
      <w:r w:rsidRPr="0093711B">
        <w:rPr>
          <w:i/>
          <w:iCs/>
        </w:rPr>
        <w:t>Freshwater Biology</w:t>
      </w:r>
      <w:r w:rsidRPr="0093711B">
        <w:t xml:space="preserve"> </w:t>
      </w:r>
      <w:r w:rsidRPr="0093711B">
        <w:rPr>
          <w:b/>
          <w:bCs/>
        </w:rPr>
        <w:t>33</w:t>
      </w:r>
      <w:r w:rsidRPr="0093711B">
        <w:t>, 341–348.</w:t>
      </w:r>
    </w:p>
    <w:p w14:paraId="15185295" w14:textId="77777777" w:rsidR="00530E59" w:rsidRPr="00346B75" w:rsidRDefault="00530E59" w:rsidP="00530E59">
      <w:r w:rsidRPr="0093711B">
        <w:t>Cook, P.L.M., Aldridge, K.T., Lamontagne</w:t>
      </w:r>
      <w:r w:rsidRPr="00346B75">
        <w:t xml:space="preserve">, S. and Brookes, J.D. (2010). Retention of nitrogen, phosphorus and silicon in a large semi-arid riverine lake system. </w:t>
      </w:r>
      <w:r w:rsidRPr="00346B75">
        <w:rPr>
          <w:i/>
        </w:rPr>
        <w:t xml:space="preserve">Biogeochemistry </w:t>
      </w:r>
      <w:r w:rsidRPr="00346B75">
        <w:rPr>
          <w:b/>
        </w:rPr>
        <w:t>99</w:t>
      </w:r>
      <w:r w:rsidRPr="00346B75">
        <w:t>, 49–63.</w:t>
      </w:r>
    </w:p>
    <w:p w14:paraId="6124E289" w14:textId="77777777" w:rsidR="00530E59" w:rsidRPr="002826E4" w:rsidRDefault="00530E59" w:rsidP="00530E59">
      <w:r w:rsidRPr="002826E4">
        <w:t>Cooling, M.P., Lloyd, L.N. and Walker, K.F. (2010). SA River Murray Weir Operating Strategy. Lloyd Environmental report to the SA Murray-Darling Basin NRM Board, Syndal, Victoria.</w:t>
      </w:r>
    </w:p>
    <w:p w14:paraId="5F139BC0" w14:textId="77C10FA5" w:rsidR="00530E59" w:rsidRDefault="00530E59" w:rsidP="00530E59">
      <w:r w:rsidRPr="000F3386">
        <w:t>Cooper, S.D. and Goldman C.R. (1980). Opossum Shrimp (</w:t>
      </w:r>
      <w:r w:rsidRPr="000F3386">
        <w:rPr>
          <w:i/>
        </w:rPr>
        <w:t>Mysis relicta</w:t>
      </w:r>
      <w:r w:rsidRPr="000F3386">
        <w:t xml:space="preserve">) Predation on Zooplankton. </w:t>
      </w:r>
      <w:r w:rsidRPr="000F3386">
        <w:rPr>
          <w:i/>
        </w:rPr>
        <w:t>Canadian Journal of Fisheries and Aquatic Sciences</w:t>
      </w:r>
      <w:r w:rsidRPr="000F3386">
        <w:t xml:space="preserve"> </w:t>
      </w:r>
      <w:r w:rsidRPr="000F3386">
        <w:rPr>
          <w:b/>
        </w:rPr>
        <w:t>37</w:t>
      </w:r>
      <w:r w:rsidRPr="000F3386">
        <w:t>, 909–919.</w:t>
      </w:r>
    </w:p>
    <w:p w14:paraId="448223B4" w14:textId="180F0390" w:rsidR="00604BD0" w:rsidRPr="000F3386" w:rsidRDefault="00604BD0" w:rsidP="00530E59">
      <w:r w:rsidRPr="00604BD0">
        <w:t xml:space="preserve">Cruz, O., García-Duro, J., Casal, M. and Reyes, O. (2019). Role of serotiny on </w:t>
      </w:r>
      <w:r w:rsidRPr="00604BD0">
        <w:rPr>
          <w:i/>
          <w:iCs/>
        </w:rPr>
        <w:t>Pinus pinaster</w:t>
      </w:r>
      <w:r w:rsidRPr="00604BD0">
        <w:t xml:space="preserve"> Aiton germination and its relation to mother plant age and fire severity. </w:t>
      </w:r>
      <w:r w:rsidRPr="00604BD0">
        <w:rPr>
          <w:i/>
          <w:iCs/>
        </w:rPr>
        <w:t>iForest</w:t>
      </w:r>
      <w:r w:rsidRPr="00604BD0">
        <w:t xml:space="preserve"> </w:t>
      </w:r>
      <w:r w:rsidRPr="00604BD0">
        <w:rPr>
          <w:b/>
          <w:bCs/>
        </w:rPr>
        <w:t>12</w:t>
      </w:r>
      <w:r>
        <w:t>,</w:t>
      </w:r>
      <w:r w:rsidRPr="00604BD0">
        <w:t xml:space="preserve"> 491</w:t>
      </w:r>
      <w:r>
        <w:t>–</w:t>
      </w:r>
      <w:r w:rsidRPr="00604BD0">
        <w:t>497.</w:t>
      </w:r>
    </w:p>
    <w:p w14:paraId="0E4B09DE" w14:textId="518B7560" w:rsidR="00530E59" w:rsidRPr="003F2FD1" w:rsidRDefault="00530E59" w:rsidP="00530E59">
      <w:pPr>
        <w:rPr>
          <w:lang w:val="en-US"/>
        </w:rPr>
      </w:pPr>
      <w:r w:rsidRPr="003F2FD1">
        <w:rPr>
          <w:lang w:val="en-US"/>
        </w:rPr>
        <w:t xml:space="preserve">Cunningham, G.M., Mulham, W.E., Milthorpe, P.L. and Leigh, J.H. (1992). </w:t>
      </w:r>
      <w:r w:rsidR="00604BD0" w:rsidRPr="00604BD0">
        <w:rPr>
          <w:lang w:val="en-US"/>
        </w:rPr>
        <w:t>Plants of Western New South Wales. 1 edn. CSIRO Publishing, Collingwood.</w:t>
      </w:r>
    </w:p>
    <w:p w14:paraId="6FC63973" w14:textId="77777777" w:rsidR="00530E59" w:rsidRPr="00BC2A5A" w:rsidRDefault="00530E59" w:rsidP="00530E59">
      <w:pPr>
        <w:rPr>
          <w:highlight w:val="yellow"/>
        </w:rPr>
      </w:pPr>
      <w:r w:rsidRPr="00102309">
        <w:t xml:space="preserve">Davis, T.L.O. (1977). Reproductive biology of the freshwater catfish, </w:t>
      </w:r>
      <w:r w:rsidRPr="00102309">
        <w:rPr>
          <w:i/>
        </w:rPr>
        <w:t>Tandanus tandanus</w:t>
      </w:r>
      <w:r w:rsidRPr="00102309">
        <w:t xml:space="preserve"> Mitchell, in the Gwydir River, Australia. II. Gonadal cycle and fecundity. </w:t>
      </w:r>
      <w:r w:rsidRPr="00102309">
        <w:rPr>
          <w:i/>
        </w:rPr>
        <w:t xml:space="preserve">Australian Journal of Marine and Freshwater Research </w:t>
      </w:r>
      <w:r w:rsidRPr="00102309">
        <w:rPr>
          <w:b/>
        </w:rPr>
        <w:t>28</w:t>
      </w:r>
      <w:r w:rsidRPr="00102309">
        <w:t>, 159–169.</w:t>
      </w:r>
    </w:p>
    <w:p w14:paraId="2296ECA3" w14:textId="77777777" w:rsidR="00530E59" w:rsidRPr="00C70D04" w:rsidRDefault="00530E59" w:rsidP="00530E59">
      <w:pPr>
        <w:rPr>
          <w:lang w:val="en-US"/>
        </w:rPr>
      </w:pPr>
      <w:r w:rsidRPr="00C70D04">
        <w:rPr>
          <w:lang w:val="en-US"/>
        </w:rPr>
        <w:t>Department for Environment and Water (2020). South Australian River Murray Basin Plan Environmental Outcome Evaluation: SA Channel and Floodplain Priority Environmental Assets, DEW Technical report 2020/19, Government of South Australia, Department for Environment and Water, Adelaide.</w:t>
      </w:r>
    </w:p>
    <w:p w14:paraId="1300E66F" w14:textId="77777777" w:rsidR="00530E59" w:rsidRPr="0059173F" w:rsidRDefault="00530E59" w:rsidP="00530E59">
      <w:r w:rsidRPr="0059173F">
        <w:t xml:space="preserve">Department of Environment, Water and Natural Resources (2015). South Australian River Murray Long-Term Environmental Watering Plan. November 2015. </w:t>
      </w:r>
      <w:hyperlink r:id="rId133" w:history="1">
        <w:r w:rsidRPr="006A170D">
          <w:rPr>
            <w:rStyle w:val="Hyperlink"/>
            <w:color w:val="auto"/>
            <w:u w:val="none"/>
          </w:rPr>
          <w:t>https://www</w:t>
        </w:r>
      </w:hyperlink>
      <w:r w:rsidRPr="0059173F">
        <w:t>.mdba.gov.au/sites/default/files/pubs/long-term-e-water-plan-sa-river-murray-nov-15.PDF.</w:t>
      </w:r>
    </w:p>
    <w:p w14:paraId="2494F32A" w14:textId="77777777" w:rsidR="00530E59" w:rsidRPr="00127E7F" w:rsidRDefault="00530E59" w:rsidP="00530E59">
      <w:pPr>
        <w:rPr>
          <w:lang w:val="en-US"/>
        </w:rPr>
      </w:pPr>
      <w:r w:rsidRPr="00127E7F">
        <w:rPr>
          <w:lang w:val="en-US"/>
        </w:rPr>
        <w:t>Dev</w:t>
      </w:r>
      <w:r>
        <w:rPr>
          <w:lang w:val="en-US"/>
        </w:rPr>
        <w:t>,</w:t>
      </w:r>
      <w:r w:rsidRPr="00127E7F">
        <w:rPr>
          <w:lang w:val="en-US"/>
        </w:rPr>
        <w:t xml:space="preserve"> B</w:t>
      </w:r>
      <w:r>
        <w:rPr>
          <w:lang w:val="en-US"/>
        </w:rPr>
        <w:t>.</w:t>
      </w:r>
      <w:r w:rsidRPr="00127E7F">
        <w:rPr>
          <w:lang w:val="en-US"/>
        </w:rPr>
        <w:t>, Rahmatullah</w:t>
      </w:r>
      <w:r>
        <w:rPr>
          <w:lang w:val="en-US"/>
        </w:rPr>
        <w:t>,</w:t>
      </w:r>
      <w:r w:rsidRPr="00127E7F">
        <w:rPr>
          <w:lang w:val="en-US"/>
        </w:rPr>
        <w:t xml:space="preserve"> S</w:t>
      </w:r>
      <w:r>
        <w:rPr>
          <w:lang w:val="en-US"/>
        </w:rPr>
        <w:t>.</w:t>
      </w:r>
      <w:r w:rsidRPr="00127E7F">
        <w:rPr>
          <w:lang w:val="en-US"/>
        </w:rPr>
        <w:t xml:space="preserve"> (1998)</w:t>
      </w:r>
      <w:r>
        <w:rPr>
          <w:lang w:val="en-US"/>
        </w:rPr>
        <w:t>.</w:t>
      </w:r>
      <w:r w:rsidRPr="00127E7F">
        <w:rPr>
          <w:lang w:val="en-US"/>
        </w:rPr>
        <w:t xml:space="preserve"> Food Selection and Electivity Indices of the Thai Barb </w:t>
      </w:r>
      <w:r w:rsidRPr="006A170D">
        <w:rPr>
          <w:i/>
          <w:iCs/>
          <w:lang w:val="en-US"/>
        </w:rPr>
        <w:t xml:space="preserve">Puntius </w:t>
      </w:r>
      <w:r w:rsidRPr="00127E7F">
        <w:rPr>
          <w:lang w:val="en-US"/>
        </w:rPr>
        <w:t xml:space="preserve">(= </w:t>
      </w:r>
      <w:r w:rsidRPr="006A170D">
        <w:rPr>
          <w:i/>
          <w:iCs/>
          <w:lang w:val="en-US"/>
        </w:rPr>
        <w:t>Barbodes</w:t>
      </w:r>
      <w:r w:rsidRPr="00127E7F">
        <w:rPr>
          <w:lang w:val="en-US"/>
        </w:rPr>
        <w:t xml:space="preserve">) </w:t>
      </w:r>
      <w:r w:rsidRPr="006A170D">
        <w:rPr>
          <w:i/>
          <w:iCs/>
          <w:lang w:val="en-US"/>
        </w:rPr>
        <w:t>gonionotus</w:t>
      </w:r>
      <w:r w:rsidRPr="00127E7F">
        <w:rPr>
          <w:lang w:val="en-US"/>
        </w:rPr>
        <w:t xml:space="preserve"> in Extensively Managed, Rain-fed Ponds in Bangladesh. </w:t>
      </w:r>
      <w:r w:rsidRPr="006A170D">
        <w:rPr>
          <w:i/>
          <w:iCs/>
          <w:lang w:val="en-US"/>
        </w:rPr>
        <w:t>Asian Fisheries Science</w:t>
      </w:r>
      <w:r w:rsidRPr="00127E7F">
        <w:rPr>
          <w:lang w:val="en-US"/>
        </w:rPr>
        <w:t xml:space="preserve"> </w:t>
      </w:r>
      <w:r w:rsidRPr="006A170D">
        <w:rPr>
          <w:b/>
          <w:bCs/>
          <w:lang w:val="en-US"/>
        </w:rPr>
        <w:t>11</w:t>
      </w:r>
      <w:r>
        <w:rPr>
          <w:lang w:val="en-US"/>
        </w:rPr>
        <w:t xml:space="preserve">, </w:t>
      </w:r>
      <w:r w:rsidRPr="00127E7F">
        <w:rPr>
          <w:lang w:val="en-US"/>
        </w:rPr>
        <w:t>111</w:t>
      </w:r>
      <w:r>
        <w:rPr>
          <w:lang w:val="en-US"/>
        </w:rPr>
        <w:t>–</w:t>
      </w:r>
      <w:r w:rsidRPr="00127E7F">
        <w:rPr>
          <w:lang w:val="en-US"/>
        </w:rPr>
        <w:t>120</w:t>
      </w:r>
      <w:r>
        <w:rPr>
          <w:lang w:val="en-US"/>
        </w:rPr>
        <w:t>.</w:t>
      </w:r>
    </w:p>
    <w:p w14:paraId="014146A3" w14:textId="526578A8" w:rsidR="00530E59" w:rsidRDefault="00530E59" w:rsidP="00530E59">
      <w:pPr>
        <w:rPr>
          <w:lang w:val="en-US"/>
        </w:rPr>
      </w:pPr>
      <w:r w:rsidRPr="00346B75">
        <w:rPr>
          <w:lang w:val="en-US"/>
        </w:rPr>
        <w:t xml:space="preserve">Dickopp, J., Kazda, M. and Cizkova, H. (2011). Differences in rhizome aeration of </w:t>
      </w:r>
      <w:r w:rsidRPr="00346B75">
        <w:rPr>
          <w:i/>
          <w:iCs/>
          <w:lang w:val="en-US"/>
        </w:rPr>
        <w:t>Phragmites australis</w:t>
      </w:r>
      <w:r w:rsidRPr="00346B75">
        <w:rPr>
          <w:lang w:val="en-US"/>
        </w:rPr>
        <w:t xml:space="preserve"> in a constructed wetland. </w:t>
      </w:r>
      <w:r w:rsidRPr="00346B75">
        <w:rPr>
          <w:i/>
          <w:iCs/>
          <w:lang w:val="en-US"/>
        </w:rPr>
        <w:t>Ecological Engineering</w:t>
      </w:r>
      <w:r w:rsidRPr="00346B75">
        <w:rPr>
          <w:lang w:val="en-US"/>
        </w:rPr>
        <w:t xml:space="preserve"> </w:t>
      </w:r>
      <w:r w:rsidRPr="00346B75">
        <w:rPr>
          <w:b/>
          <w:bCs/>
          <w:lang w:val="en-US"/>
        </w:rPr>
        <w:t>37</w:t>
      </w:r>
      <w:r w:rsidRPr="00346B75">
        <w:rPr>
          <w:lang w:val="en-US"/>
        </w:rPr>
        <w:t>, 1647</w:t>
      </w:r>
      <w:r>
        <w:rPr>
          <w:lang w:val="en-US"/>
        </w:rPr>
        <w:t>–</w:t>
      </w:r>
      <w:r w:rsidRPr="00346B75">
        <w:rPr>
          <w:lang w:val="en-US"/>
        </w:rPr>
        <w:t>1653.</w:t>
      </w:r>
    </w:p>
    <w:p w14:paraId="19D2A70A" w14:textId="3833702F" w:rsidR="00070DFF" w:rsidRPr="00346B75" w:rsidRDefault="00070DFF" w:rsidP="00530E59">
      <w:pPr>
        <w:rPr>
          <w:lang w:val="en-US"/>
        </w:rPr>
      </w:pPr>
      <w:r w:rsidRPr="00070DFF">
        <w:rPr>
          <w:lang w:val="en-US"/>
        </w:rPr>
        <w:t>Dornan, T., Mills, J., Shiel, R., Keneally, C., Dorji, T., Deane, D., Ye, Q. and Brookes, J. (2021). Monitoring microinvertebrate response to environmental watering events in the SA River Murray in 2020. A report prepared for the Department for Environment and Water. The University of Adelaide, Adelaide.</w:t>
      </w:r>
    </w:p>
    <w:p w14:paraId="403F8D6B" w14:textId="77777777" w:rsidR="00530E59" w:rsidRPr="003F2FD1" w:rsidRDefault="00530E59" w:rsidP="00530E59">
      <w:pPr>
        <w:rPr>
          <w:lang w:val="en-US"/>
        </w:rPr>
      </w:pPr>
      <w:r w:rsidRPr="003F2FD1">
        <w:rPr>
          <w:lang w:val="en-US"/>
        </w:rPr>
        <w:t xml:space="preserve">Dufrene, M. and Legendre, P. (1997). Species assemblages and indicator species: the need for a flexible asymmetrical approach. </w:t>
      </w:r>
      <w:r w:rsidRPr="003F2FD1">
        <w:rPr>
          <w:i/>
          <w:iCs/>
          <w:lang w:val="en-US"/>
        </w:rPr>
        <w:t>Ecological Monographs</w:t>
      </w:r>
      <w:r w:rsidRPr="003F2FD1">
        <w:rPr>
          <w:lang w:val="en-US"/>
        </w:rPr>
        <w:t xml:space="preserve"> </w:t>
      </w:r>
      <w:r w:rsidRPr="003F2FD1">
        <w:rPr>
          <w:b/>
          <w:bCs/>
          <w:lang w:val="en-US"/>
        </w:rPr>
        <w:t>67</w:t>
      </w:r>
      <w:r w:rsidRPr="003F2FD1">
        <w:rPr>
          <w:lang w:val="en-US"/>
        </w:rPr>
        <w:t>, 345</w:t>
      </w:r>
      <w:r>
        <w:rPr>
          <w:lang w:val="en-US"/>
        </w:rPr>
        <w:t>–</w:t>
      </w:r>
      <w:r w:rsidRPr="003F2FD1">
        <w:rPr>
          <w:lang w:val="en-US"/>
        </w:rPr>
        <w:t>366.</w:t>
      </w:r>
    </w:p>
    <w:p w14:paraId="6121102C" w14:textId="5F72D597" w:rsidR="00530E59" w:rsidRDefault="00530E59" w:rsidP="00530E59">
      <w:pPr>
        <w:rPr>
          <w:noProof/>
        </w:rPr>
      </w:pPr>
      <w:r w:rsidRPr="00C70D04">
        <w:rPr>
          <w:noProof/>
        </w:rPr>
        <w:t>Dyer, F., Broadhurst, B., Tschierschke, A., Thiem, J., Thompson, R., Bowen, S., Asmus, M., Brandis, K., Lyons, M., Spencer, J., Callaghan, D., Driver, P. and Lenehan, J. (2017). Commonwealth Environmental Water Office Long Term Intervention Monitoring Project: Lower Lachlan river system Selected Area 2016-17 Monitoring and Evaluation Report. Commonwealth of Australia, 2017.</w:t>
      </w:r>
    </w:p>
    <w:p w14:paraId="0B6E7C36" w14:textId="18BB0F7A" w:rsidR="00581AEA" w:rsidRDefault="00581AEA" w:rsidP="00581AEA">
      <w:pPr>
        <w:rPr>
          <w:noProof/>
        </w:rPr>
      </w:pPr>
      <w:r>
        <w:rPr>
          <w:noProof/>
        </w:rPr>
        <w:t xml:space="preserve">Favre-Bac, L., Lamberti-Raverot, B., Puijalon, S., Ernoult, A., Burel, F., Guillard, L. and Mony, C. (2017). Plant dispersal traits determine hydrochorous species tolerance to connectivity loss at the landscape scale. </w:t>
      </w:r>
      <w:r w:rsidRPr="00581AEA">
        <w:rPr>
          <w:i/>
          <w:iCs/>
          <w:noProof/>
        </w:rPr>
        <w:t>Journal of Vegetation Science</w:t>
      </w:r>
      <w:r>
        <w:rPr>
          <w:noProof/>
        </w:rPr>
        <w:t xml:space="preserve"> </w:t>
      </w:r>
      <w:r w:rsidRPr="00581AEA">
        <w:rPr>
          <w:b/>
          <w:bCs/>
          <w:noProof/>
        </w:rPr>
        <w:t>28</w:t>
      </w:r>
      <w:r>
        <w:rPr>
          <w:noProof/>
        </w:rPr>
        <w:t>, 605–615.</w:t>
      </w:r>
    </w:p>
    <w:p w14:paraId="289FCEC7" w14:textId="1056FEEA" w:rsidR="00581AEA" w:rsidRDefault="00581AEA" w:rsidP="00581AEA">
      <w:pPr>
        <w:rPr>
          <w:noProof/>
        </w:rPr>
      </w:pPr>
      <w:r>
        <w:rPr>
          <w:noProof/>
        </w:rPr>
        <w:t xml:space="preserve">Finlayson, C.M., Roberts, J., Chick, A.J. and Sale, P.J.M. (1983). The biology of Australian weeds 11. </w:t>
      </w:r>
      <w:r w:rsidRPr="00581AEA">
        <w:rPr>
          <w:i/>
          <w:iCs/>
          <w:noProof/>
        </w:rPr>
        <w:t>Typha domingensis</w:t>
      </w:r>
      <w:r>
        <w:rPr>
          <w:noProof/>
        </w:rPr>
        <w:t xml:space="preserve"> Pers. and </w:t>
      </w:r>
      <w:r w:rsidRPr="00581AEA">
        <w:rPr>
          <w:i/>
          <w:iCs/>
          <w:noProof/>
        </w:rPr>
        <w:t>Typha orientalis</w:t>
      </w:r>
      <w:r>
        <w:rPr>
          <w:noProof/>
        </w:rPr>
        <w:t xml:space="preserve"> Presl. </w:t>
      </w:r>
      <w:r w:rsidRPr="00581AEA">
        <w:rPr>
          <w:i/>
          <w:iCs/>
          <w:noProof/>
        </w:rPr>
        <w:t>Journal of the Australian Institute of Agricultural Science</w:t>
      </w:r>
      <w:r>
        <w:rPr>
          <w:noProof/>
        </w:rPr>
        <w:t xml:space="preserve"> </w:t>
      </w:r>
      <w:r w:rsidRPr="00581AEA">
        <w:rPr>
          <w:b/>
          <w:bCs/>
          <w:noProof/>
        </w:rPr>
        <w:t>41</w:t>
      </w:r>
      <w:r>
        <w:rPr>
          <w:noProof/>
        </w:rPr>
        <w:t>, 3–10.</w:t>
      </w:r>
    </w:p>
    <w:p w14:paraId="5378ED4D" w14:textId="24D7AC87" w:rsidR="00581AEA" w:rsidRPr="00C70D04" w:rsidRDefault="00581AEA" w:rsidP="00581AEA">
      <w:pPr>
        <w:rPr>
          <w:noProof/>
        </w:rPr>
      </w:pPr>
      <w:r>
        <w:rPr>
          <w:noProof/>
        </w:rPr>
        <w:t xml:space="preserve">Flaherty, K.L., Rentch, J.S. and Anderson, J.T. (2018). Wetland seed dispersal by white-tailed deer in a large freshwater wetland complex. </w:t>
      </w:r>
      <w:r w:rsidRPr="00581AEA">
        <w:rPr>
          <w:i/>
          <w:iCs/>
          <w:noProof/>
        </w:rPr>
        <w:t>AoB Plants</w:t>
      </w:r>
      <w:r>
        <w:rPr>
          <w:noProof/>
        </w:rPr>
        <w:t xml:space="preserve"> </w:t>
      </w:r>
      <w:r w:rsidRPr="00581AEA">
        <w:rPr>
          <w:b/>
          <w:bCs/>
          <w:noProof/>
        </w:rPr>
        <w:t>10</w:t>
      </w:r>
      <w:r>
        <w:rPr>
          <w:noProof/>
        </w:rPr>
        <w:t>, plx074.</w:t>
      </w:r>
    </w:p>
    <w:p w14:paraId="4C76462B" w14:textId="77777777" w:rsidR="00530E59" w:rsidRPr="00FB4859" w:rsidRDefault="00530E59" w:rsidP="00530E59">
      <w:r w:rsidRPr="00FB4859">
        <w:t xml:space="preserve">Fredberg, J., Zampatti, B.P. and Bice, C.M. (2019). </w:t>
      </w:r>
      <w:bookmarkStart w:id="401" w:name="OLE_LINK1"/>
      <w:bookmarkStart w:id="402" w:name="OLE_LINK2"/>
      <w:bookmarkStart w:id="403" w:name="OLE_LINK3"/>
      <w:bookmarkStart w:id="404" w:name="OLE_LINK4"/>
      <w:r w:rsidRPr="00FB4859">
        <w:t>Chowilla Icon Site Fish Assemblage Condition Monitoring 201</w:t>
      </w:r>
      <w:bookmarkEnd w:id="401"/>
      <w:bookmarkEnd w:id="402"/>
      <w:bookmarkEnd w:id="403"/>
      <w:bookmarkEnd w:id="404"/>
      <w:r w:rsidRPr="00FB4859">
        <w:t>9. South Australian Research and Development Institute (Aquatic Sciences), Adelaide. SARDI Publication No. F2008/000907-10. SARDI Research Report Series No. 1005. 62pp.</w:t>
      </w:r>
    </w:p>
    <w:p w14:paraId="706EC5D2" w14:textId="77777777" w:rsidR="00530E59" w:rsidRPr="000F3386" w:rsidRDefault="00530E59" w:rsidP="00530E59">
      <w:pPr>
        <w:rPr>
          <w:lang w:val="en-US"/>
        </w:rPr>
      </w:pPr>
      <w:r w:rsidRPr="00FB4859">
        <w:rPr>
          <w:lang w:val="en-US"/>
        </w:rPr>
        <w:t xml:space="preserve">Froend, R.H. and McComb, A.J. (1994). Distribution, productivity and reproductive phenology of emergent macrophytes in relation to water regimes at wetlands of south-western Australia. </w:t>
      </w:r>
      <w:r w:rsidRPr="00FB4859">
        <w:rPr>
          <w:i/>
          <w:iCs/>
          <w:lang w:val="en-US"/>
        </w:rPr>
        <w:t xml:space="preserve">Australian </w:t>
      </w:r>
      <w:r w:rsidRPr="000F3386">
        <w:rPr>
          <w:i/>
          <w:iCs/>
          <w:lang w:val="en-US"/>
        </w:rPr>
        <w:t xml:space="preserve">Journal of Marine and Freshwater Research </w:t>
      </w:r>
      <w:r w:rsidRPr="000F3386">
        <w:rPr>
          <w:b/>
          <w:bCs/>
          <w:lang w:val="en-US"/>
        </w:rPr>
        <w:t>45</w:t>
      </w:r>
      <w:r w:rsidRPr="000F3386">
        <w:rPr>
          <w:lang w:val="en-US"/>
        </w:rPr>
        <w:t>, 1491</w:t>
      </w:r>
      <w:r>
        <w:rPr>
          <w:lang w:val="en-US"/>
        </w:rPr>
        <w:t>–</w:t>
      </w:r>
      <w:r w:rsidRPr="000F3386">
        <w:rPr>
          <w:lang w:val="en-US"/>
        </w:rPr>
        <w:t>1508.</w:t>
      </w:r>
    </w:p>
    <w:p w14:paraId="3E75ED0A" w14:textId="2001F115" w:rsidR="00070DFF" w:rsidRDefault="00070DFF" w:rsidP="00530E59">
      <w:pPr>
        <w:rPr>
          <w:lang w:val="en-US"/>
        </w:rPr>
      </w:pPr>
      <w:r w:rsidRPr="00070DFF">
        <w:rPr>
          <w:lang w:val="en-US"/>
        </w:rPr>
        <w:t>Furst, D.J. (2019). The influence of weir pool raising on microinvertebrate communities in the lower Murray River at Lock 2 in spring 2019. A report to the Department for Environment and Water. University of Adelaide, Adelaide.</w:t>
      </w:r>
    </w:p>
    <w:p w14:paraId="64A80033" w14:textId="4831EDA0"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Aldridge</w:t>
      </w:r>
      <w:r>
        <w:rPr>
          <w:lang w:val="en-US"/>
        </w:rPr>
        <w:t>,</w:t>
      </w:r>
      <w:r w:rsidRPr="000F3386">
        <w:rPr>
          <w:lang w:val="en-US"/>
        </w:rPr>
        <w:t xml:space="preserve"> K</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Zampatti</w:t>
      </w:r>
      <w:r>
        <w:rPr>
          <w:lang w:val="en-US"/>
        </w:rPr>
        <w:t>,</w:t>
      </w:r>
      <w:r w:rsidRPr="000F3386">
        <w:rPr>
          <w:lang w:val="en-US"/>
        </w:rPr>
        <w:t xml:space="preserve"> B</w:t>
      </w:r>
      <w:r>
        <w:rPr>
          <w:lang w:val="en-US"/>
        </w:rPr>
        <w:t>. and</w:t>
      </w:r>
      <w:r w:rsidRPr="000F3386">
        <w:rPr>
          <w:lang w:val="en-US"/>
        </w:rPr>
        <w:t xml:space="preserve"> Ye</w:t>
      </w:r>
      <w:r>
        <w:rPr>
          <w:lang w:val="en-US"/>
        </w:rPr>
        <w:t>,</w:t>
      </w:r>
      <w:r w:rsidRPr="000F3386">
        <w:rPr>
          <w:lang w:val="en-US"/>
        </w:rPr>
        <w:t xml:space="preserve"> Q</w:t>
      </w:r>
      <w:r>
        <w:rPr>
          <w:lang w:val="en-US"/>
        </w:rPr>
        <w:t>.</w:t>
      </w:r>
      <w:r w:rsidRPr="000F3386">
        <w:rPr>
          <w:lang w:val="en-US"/>
        </w:rPr>
        <w:t xml:space="preserve"> (2017)</w:t>
      </w:r>
      <w:r>
        <w:rPr>
          <w:lang w:val="en-US"/>
        </w:rPr>
        <w:t>.</w:t>
      </w:r>
      <w:r w:rsidRPr="000F3386">
        <w:rPr>
          <w:lang w:val="en-US"/>
        </w:rPr>
        <w:t xml:space="preserve"> The influence of longitudinal hydrological connectivity on resource availability and lower order food web structure in the Murray River. Report to the Commonwealth Environmental Water Office and Murray-Darling Basin Authority, Canberra.</w:t>
      </w:r>
    </w:p>
    <w:p w14:paraId="1C1C888F" w14:textId="77777777"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Aldridge</w:t>
      </w:r>
      <w:r>
        <w:rPr>
          <w:lang w:val="en-US"/>
        </w:rPr>
        <w:t>,</w:t>
      </w:r>
      <w:r w:rsidRPr="000F3386">
        <w:rPr>
          <w:lang w:val="en-US"/>
        </w:rPr>
        <w:t xml:space="preserve"> K</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Zampatti</w:t>
      </w:r>
      <w:r>
        <w:rPr>
          <w:lang w:val="en-US"/>
        </w:rPr>
        <w:t>,</w:t>
      </w:r>
      <w:r w:rsidRPr="000F3386">
        <w:rPr>
          <w:lang w:val="en-US"/>
        </w:rPr>
        <w:t xml:space="preserve"> B</w:t>
      </w:r>
      <w:r>
        <w:rPr>
          <w:lang w:val="en-US"/>
        </w:rPr>
        <w:t>. and</w:t>
      </w:r>
      <w:r w:rsidRPr="000F3386">
        <w:rPr>
          <w:lang w:val="en-US"/>
        </w:rPr>
        <w:t xml:space="preserve"> Ye</w:t>
      </w:r>
      <w:r>
        <w:rPr>
          <w:lang w:val="en-US"/>
        </w:rPr>
        <w:t>,</w:t>
      </w:r>
      <w:r w:rsidRPr="000F3386">
        <w:rPr>
          <w:lang w:val="en-US"/>
        </w:rPr>
        <w:t xml:space="preserve"> Q</w:t>
      </w:r>
      <w:r>
        <w:rPr>
          <w:lang w:val="en-US"/>
        </w:rPr>
        <w:t>.</w:t>
      </w:r>
      <w:r w:rsidRPr="000F3386">
        <w:rPr>
          <w:lang w:val="en-US"/>
        </w:rPr>
        <w:t xml:space="preserve"> (2018)</w:t>
      </w:r>
      <w:r>
        <w:rPr>
          <w:lang w:val="en-US"/>
        </w:rPr>
        <w:t>.</w:t>
      </w:r>
      <w:r w:rsidRPr="000F3386">
        <w:rPr>
          <w:lang w:val="en-US"/>
        </w:rPr>
        <w:t xml:space="preserve"> Ecological response to the Lake Victoria bypass trial 2015–2017. Report to the Commonwealth Environmental Water Office, Canberra. </w:t>
      </w:r>
    </w:p>
    <w:p w14:paraId="0DAF9C3C" w14:textId="77777777" w:rsidR="00530E59" w:rsidRPr="000F3386" w:rsidRDefault="00530E59" w:rsidP="00530E59">
      <w:pPr>
        <w:rPr>
          <w:lang w:val="en-US"/>
        </w:rPr>
      </w:pPr>
      <w:r w:rsidRPr="000F3386">
        <w:rPr>
          <w:lang w:val="en-US"/>
        </w:rPr>
        <w:t>Furst</w:t>
      </w:r>
      <w:r>
        <w:rPr>
          <w:lang w:val="en-US"/>
        </w:rPr>
        <w:t>,</w:t>
      </w:r>
      <w:r w:rsidRPr="000F3386">
        <w:rPr>
          <w:lang w:val="en-US"/>
        </w:rPr>
        <w:t xml:space="preserve"> D</w:t>
      </w:r>
      <w:r>
        <w:rPr>
          <w:lang w:val="en-US"/>
        </w:rPr>
        <w:t>.</w:t>
      </w:r>
      <w:r w:rsidRPr="000F3386">
        <w:rPr>
          <w:lang w:val="en-US"/>
        </w:rPr>
        <w:t>, Ye</w:t>
      </w:r>
      <w:r>
        <w:rPr>
          <w:lang w:val="en-US"/>
        </w:rPr>
        <w:t>,</w:t>
      </w:r>
      <w:r w:rsidRPr="000F3386">
        <w:rPr>
          <w:lang w:val="en-US"/>
        </w:rPr>
        <w:t xml:space="preserve"> Q</w:t>
      </w:r>
      <w:r>
        <w:rPr>
          <w:lang w:val="en-US"/>
        </w:rPr>
        <w:t>.</w:t>
      </w:r>
      <w:r w:rsidRPr="000F3386">
        <w:rPr>
          <w:lang w:val="en-US"/>
        </w:rPr>
        <w:t>, Bice</w:t>
      </w:r>
      <w:r>
        <w:rPr>
          <w:lang w:val="en-US"/>
        </w:rPr>
        <w:t>,</w:t>
      </w:r>
      <w:r w:rsidRPr="000F3386">
        <w:rPr>
          <w:lang w:val="en-US"/>
        </w:rPr>
        <w:t xml:space="preserve"> C</w:t>
      </w:r>
      <w:r>
        <w:rPr>
          <w:lang w:val="en-US"/>
        </w:rPr>
        <w:t>.,</w:t>
      </w:r>
      <w:r w:rsidRPr="000F3386">
        <w:rPr>
          <w:lang w:val="en-US"/>
        </w:rPr>
        <w:t xml:space="preserve"> </w:t>
      </w:r>
      <w:r>
        <w:rPr>
          <w:lang w:val="en-US"/>
        </w:rPr>
        <w:t>McInerny, P., Biswas, T., Rees, G. and Watts, R.</w:t>
      </w:r>
      <w:r w:rsidRPr="000F3386">
        <w:rPr>
          <w:lang w:val="en-US"/>
        </w:rPr>
        <w:t xml:space="preserve"> (2020)</w:t>
      </w:r>
      <w:r>
        <w:rPr>
          <w:lang w:val="en-US"/>
        </w:rPr>
        <w:t>.</w:t>
      </w:r>
      <w:r w:rsidRPr="000F3386">
        <w:rPr>
          <w:lang w:val="en-US"/>
        </w:rPr>
        <w:t xml:space="preserve"> Zooplankton response to a multi-site environmental watering event during spring 2019 in the River Murray. A report to the Commonwealth Environmental Water Office, Canberra. Project number: CEWO- 2000007157.</w:t>
      </w:r>
    </w:p>
    <w:p w14:paraId="25096BD0" w14:textId="77777777" w:rsidR="00530E59" w:rsidRPr="00346B75" w:rsidRDefault="00530E59" w:rsidP="00530E59">
      <w:pPr>
        <w:rPr>
          <w:lang w:val="en-US"/>
        </w:rPr>
      </w:pPr>
      <w:r w:rsidRPr="00346B75">
        <w:rPr>
          <w:lang w:val="en-US"/>
        </w:rPr>
        <w:t xml:space="preserve">Gawne, B., Merrick, C., Williams, D.G., Rees, G., Oliver, R., Bowen, P.M., Treadwell, S., Beattie, G., Ellis, I., Frankenberg, J. and Lorenz, Z. (2007). Patterns of primary and heterotrophic productivity in an arid lowland river. </w:t>
      </w:r>
      <w:r w:rsidRPr="00346B75">
        <w:rPr>
          <w:i/>
          <w:lang w:val="en-US"/>
        </w:rPr>
        <w:t>River Research and Applications</w:t>
      </w:r>
      <w:r w:rsidRPr="00346B75">
        <w:rPr>
          <w:lang w:val="en-US"/>
        </w:rPr>
        <w:t xml:space="preserve"> </w:t>
      </w:r>
      <w:r w:rsidRPr="00346B75">
        <w:rPr>
          <w:b/>
          <w:lang w:val="en-US"/>
        </w:rPr>
        <w:t>23</w:t>
      </w:r>
      <w:r w:rsidRPr="00346B75">
        <w:rPr>
          <w:lang w:val="en-US"/>
        </w:rPr>
        <w:t>, 1070–1087.</w:t>
      </w:r>
    </w:p>
    <w:p w14:paraId="5AA1B59F" w14:textId="77777777" w:rsidR="00530E59" w:rsidRPr="00C70D04" w:rsidRDefault="00530E59" w:rsidP="00530E59">
      <w:pPr>
        <w:rPr>
          <w:lang w:val="en-US"/>
        </w:rPr>
      </w:pPr>
      <w:r w:rsidRPr="00C70D04">
        <w:rPr>
          <w:lang w:val="en-US"/>
        </w:rPr>
        <w:t>Gawne, B., Hale, J., Butcher, R., Brooks, S., Roots, J., Cottingham, P., Stewardson, M. and Everingham, P. (2014). Commonwealth Environmental Water Office Long Term Intervention Monitoring Project: Evaluation Plan. Final Report prepared for the Commonwealth Environmental Water Office by The Murray–Darling Freshwater Research Centre. MDFRC Publication 29/2014.</w:t>
      </w:r>
    </w:p>
    <w:p w14:paraId="08C18562" w14:textId="77777777" w:rsidR="00530E59" w:rsidRPr="00F15181" w:rsidRDefault="00530E59" w:rsidP="00530E59">
      <w:pPr>
        <w:rPr>
          <w:lang w:val="en-US"/>
        </w:rPr>
      </w:pPr>
      <w:r w:rsidRPr="00F15181">
        <w:rPr>
          <w:lang w:val="en-US"/>
        </w:rPr>
        <w:t>Gehrig, S.L., Frahn, K. and Nicol, J.M. (2015). Monitoring the response of littoral and floodplain vegetation to weir pool raising, p. 74, South Australian Research and Development Institute (Aquatic Sciences), Adelaide.</w:t>
      </w:r>
    </w:p>
    <w:p w14:paraId="0326B44E" w14:textId="77777777" w:rsidR="00530E59" w:rsidRPr="00F15181" w:rsidRDefault="00530E59" w:rsidP="00530E59">
      <w:pPr>
        <w:rPr>
          <w:lang w:val="en-US"/>
        </w:rPr>
      </w:pPr>
      <w:r w:rsidRPr="00F15181">
        <w:rPr>
          <w:lang w:val="en-US"/>
        </w:rPr>
        <w:t>Gehrig, S.L., Frahn, K.A. and Nicol, J.M. (2016). Monitoring the response of littoral and floodplain vegetation and soil moisture flux to weir pool raising – 2015. South Australian Research and Development Institute (Aquatic Sciences), Adelaide. SARDI Publication No. F2015/000390-2.</w:t>
      </w:r>
    </w:p>
    <w:p w14:paraId="7EDFD48C" w14:textId="77777777" w:rsidR="00530E59" w:rsidRPr="002826E4" w:rsidRDefault="00530E59" w:rsidP="00530E59">
      <w:pPr>
        <w:rPr>
          <w:lang w:val="en-US"/>
        </w:rPr>
      </w:pPr>
      <w:r w:rsidRPr="002826E4">
        <w:rPr>
          <w:lang w:val="en-US"/>
        </w:rPr>
        <w:t>Giatas, G., Lamontagne, S., Bice, C. and Paton, D. (2018). Food webs of the Coorong. In: Natural History of the Coorong, Lower Lakes and Murray Mouth. Eds. Mosley, L., Ye, Q., Shepherd, S.A., Hemming, S., Fitzpatrick, R. Royal Society of South Australia, Adelaide, pp 422–441.</w:t>
      </w:r>
    </w:p>
    <w:p w14:paraId="6BE9F240" w14:textId="77777777" w:rsidR="00530E59" w:rsidRPr="0059173F" w:rsidRDefault="00530E59" w:rsidP="00530E59">
      <w:pPr>
        <w:rPr>
          <w:lang w:val="en-US"/>
        </w:rPr>
      </w:pPr>
      <w:r w:rsidRPr="0059173F">
        <w:rPr>
          <w:lang w:val="en-US"/>
        </w:rPr>
        <w:t>Gibbs, M.S., Bice, C., Brookes, J., Furst, D., Gao, L., Joehnk, K. Marklund, M. Nicol, J. Zampatti, B. and Wallace, T. (2020). Ecological connectivity of the River Murray: Managing ecological outcomes and water quality risks through integrated river management. Goyder Institute for Water Research Technical Report Series No. 20/03.</w:t>
      </w:r>
    </w:p>
    <w:p w14:paraId="08FF67AE" w14:textId="15B51E54" w:rsidR="00530E59" w:rsidRPr="00127EA7" w:rsidRDefault="00E7089B" w:rsidP="00530E59">
      <w:pPr>
        <w:rPr>
          <w:lang w:val="en-US"/>
        </w:rPr>
      </w:pPr>
      <w:r w:rsidRPr="00E7089B">
        <w:rPr>
          <w:lang w:val="en-US"/>
        </w:rPr>
        <w:t>Gigney</w:t>
      </w:r>
      <w:r>
        <w:rPr>
          <w:lang w:val="en-US"/>
        </w:rPr>
        <w:t>,</w:t>
      </w:r>
      <w:r w:rsidRPr="00E7089B">
        <w:rPr>
          <w:lang w:val="en-US"/>
        </w:rPr>
        <w:t xml:space="preserve"> H</w:t>
      </w:r>
      <w:r>
        <w:rPr>
          <w:lang w:val="en-US"/>
        </w:rPr>
        <w:t>.</w:t>
      </w:r>
      <w:r w:rsidRPr="00E7089B">
        <w:rPr>
          <w:lang w:val="en-US"/>
        </w:rPr>
        <w:t>, Petrie</w:t>
      </w:r>
      <w:r>
        <w:rPr>
          <w:lang w:val="en-US"/>
        </w:rPr>
        <w:t>,</w:t>
      </w:r>
      <w:r w:rsidRPr="00E7089B">
        <w:rPr>
          <w:lang w:val="en-US"/>
        </w:rPr>
        <w:t xml:space="preserve"> R</w:t>
      </w:r>
      <w:r>
        <w:rPr>
          <w:lang w:val="en-US"/>
        </w:rPr>
        <w:t>.</w:t>
      </w:r>
      <w:r w:rsidRPr="00E7089B">
        <w:rPr>
          <w:lang w:val="en-US"/>
        </w:rPr>
        <w:t>, Gawne</w:t>
      </w:r>
      <w:r>
        <w:rPr>
          <w:lang w:val="en-US"/>
        </w:rPr>
        <w:t>,</w:t>
      </w:r>
      <w:r w:rsidRPr="00E7089B">
        <w:rPr>
          <w:lang w:val="en-US"/>
        </w:rPr>
        <w:t xml:space="preserve"> B</w:t>
      </w:r>
      <w:r>
        <w:rPr>
          <w:lang w:val="en-US"/>
        </w:rPr>
        <w:t>.</w:t>
      </w:r>
      <w:r w:rsidRPr="00E7089B">
        <w:rPr>
          <w:lang w:val="en-US"/>
        </w:rPr>
        <w:t>, Nielsen</w:t>
      </w:r>
      <w:r>
        <w:rPr>
          <w:lang w:val="en-US"/>
        </w:rPr>
        <w:t>,</w:t>
      </w:r>
      <w:r w:rsidRPr="00E7089B">
        <w:rPr>
          <w:lang w:val="en-US"/>
        </w:rPr>
        <w:t xml:space="preserve"> D</w:t>
      </w:r>
      <w:r>
        <w:rPr>
          <w:lang w:val="en-US"/>
        </w:rPr>
        <w:t>.</w:t>
      </w:r>
      <w:r w:rsidRPr="00E7089B">
        <w:rPr>
          <w:lang w:val="en-US"/>
        </w:rPr>
        <w:t>L</w:t>
      </w:r>
      <w:r>
        <w:rPr>
          <w:lang w:val="en-US"/>
        </w:rPr>
        <w:t>.</w:t>
      </w:r>
      <w:r w:rsidRPr="00E7089B">
        <w:rPr>
          <w:lang w:val="en-US"/>
        </w:rPr>
        <w:t>, Howitt</w:t>
      </w:r>
      <w:r>
        <w:rPr>
          <w:lang w:val="en-US"/>
        </w:rPr>
        <w:t>,</w:t>
      </w:r>
      <w:r w:rsidRPr="00E7089B">
        <w:rPr>
          <w:lang w:val="en-US"/>
        </w:rPr>
        <w:t xml:space="preserve"> J</w:t>
      </w:r>
      <w:r>
        <w:rPr>
          <w:lang w:val="en-US"/>
        </w:rPr>
        <w:t>.</w:t>
      </w:r>
      <w:r w:rsidRPr="00E7089B">
        <w:rPr>
          <w:lang w:val="en-US"/>
        </w:rPr>
        <w:t>A</w:t>
      </w:r>
      <w:r>
        <w:rPr>
          <w:lang w:val="en-US"/>
        </w:rPr>
        <w:t>.</w:t>
      </w:r>
      <w:r w:rsidRPr="00E7089B">
        <w:rPr>
          <w:lang w:val="en-US"/>
        </w:rPr>
        <w:t xml:space="preserve"> (2006)</w:t>
      </w:r>
      <w:r>
        <w:rPr>
          <w:lang w:val="en-US"/>
        </w:rPr>
        <w:t>.</w:t>
      </w:r>
      <w:r w:rsidRPr="00E7089B">
        <w:rPr>
          <w:lang w:val="en-US"/>
        </w:rPr>
        <w:t xml:space="preserve"> The Exchange of Material between the Murray River Channel and Barmah-Millewa Forest during the 2005/2006 Floodplain Watering.</w:t>
      </w:r>
    </w:p>
    <w:p w14:paraId="49393D60" w14:textId="01028067" w:rsidR="00530E59" w:rsidRDefault="00530E59" w:rsidP="00530E59">
      <w:pPr>
        <w:rPr>
          <w:lang w:val="en-US"/>
        </w:rPr>
      </w:pPr>
      <w:r w:rsidRPr="0093711B">
        <w:rPr>
          <w:lang w:val="en-US"/>
        </w:rPr>
        <w:t>Gilbert</w:t>
      </w:r>
      <w:r>
        <w:rPr>
          <w:lang w:val="en-US"/>
        </w:rPr>
        <w:t>,</w:t>
      </w:r>
      <w:r w:rsidRPr="0093711B">
        <w:rPr>
          <w:lang w:val="en-US"/>
        </w:rPr>
        <w:t xml:space="preserve"> J</w:t>
      </w:r>
      <w:r>
        <w:rPr>
          <w:lang w:val="en-US"/>
        </w:rPr>
        <w:t>.</w:t>
      </w:r>
      <w:r w:rsidRPr="0093711B">
        <w:rPr>
          <w:lang w:val="en-US"/>
        </w:rPr>
        <w:t>J</w:t>
      </w:r>
      <w:r>
        <w:rPr>
          <w:lang w:val="en-US"/>
        </w:rPr>
        <w:t>.</w:t>
      </w:r>
      <w:r w:rsidRPr="0093711B">
        <w:rPr>
          <w:lang w:val="en-US"/>
        </w:rPr>
        <w:t>, Williamson</w:t>
      </w:r>
      <w:r>
        <w:rPr>
          <w:lang w:val="en-US"/>
        </w:rPr>
        <w:t>,</w:t>
      </w:r>
      <w:r w:rsidRPr="0093711B">
        <w:rPr>
          <w:lang w:val="en-US"/>
        </w:rPr>
        <w:t xml:space="preserve"> C</w:t>
      </w:r>
      <w:r>
        <w:rPr>
          <w:lang w:val="en-US"/>
        </w:rPr>
        <w:t>.</w:t>
      </w:r>
      <w:r w:rsidRPr="0093711B">
        <w:rPr>
          <w:lang w:val="en-US"/>
        </w:rPr>
        <w:t>E</w:t>
      </w:r>
      <w:r>
        <w:rPr>
          <w:lang w:val="en-US"/>
        </w:rPr>
        <w:t>.</w:t>
      </w:r>
      <w:r w:rsidRPr="0093711B">
        <w:rPr>
          <w:lang w:val="en-US"/>
        </w:rPr>
        <w:t xml:space="preserve"> (1978)</w:t>
      </w:r>
      <w:r>
        <w:rPr>
          <w:lang w:val="en-US"/>
        </w:rPr>
        <w:t>.</w:t>
      </w:r>
      <w:r w:rsidRPr="0093711B">
        <w:rPr>
          <w:lang w:val="en-US"/>
        </w:rPr>
        <w:t xml:space="preserve"> Predator-prey behavior and its effect on rotifer survival in associations of </w:t>
      </w:r>
      <w:r w:rsidRPr="006A170D">
        <w:rPr>
          <w:i/>
          <w:iCs/>
          <w:lang w:val="en-US"/>
        </w:rPr>
        <w:t>Mesocyclops edax</w:t>
      </w:r>
      <w:r w:rsidRPr="0093711B">
        <w:rPr>
          <w:lang w:val="en-US"/>
        </w:rPr>
        <w:t xml:space="preserve">, </w:t>
      </w:r>
      <w:r w:rsidRPr="006A170D">
        <w:rPr>
          <w:i/>
          <w:iCs/>
          <w:lang w:val="en-US"/>
        </w:rPr>
        <w:t>Asplanchna girodi</w:t>
      </w:r>
      <w:r w:rsidRPr="0093711B">
        <w:rPr>
          <w:lang w:val="en-US"/>
        </w:rPr>
        <w:t xml:space="preserve">, </w:t>
      </w:r>
      <w:r w:rsidRPr="006A170D">
        <w:rPr>
          <w:i/>
          <w:iCs/>
          <w:lang w:val="en-US"/>
        </w:rPr>
        <w:t>Polyarthra vulgaris</w:t>
      </w:r>
      <w:r w:rsidRPr="0093711B">
        <w:rPr>
          <w:lang w:val="en-US"/>
        </w:rPr>
        <w:t xml:space="preserve">, and </w:t>
      </w:r>
      <w:r w:rsidRPr="006A170D">
        <w:rPr>
          <w:i/>
          <w:iCs/>
          <w:lang w:val="en-US"/>
        </w:rPr>
        <w:t>Keratella cochlearis</w:t>
      </w:r>
      <w:r w:rsidRPr="0093711B">
        <w:rPr>
          <w:lang w:val="en-US"/>
        </w:rPr>
        <w:t xml:space="preserve">. </w:t>
      </w:r>
      <w:r w:rsidRPr="006A170D">
        <w:rPr>
          <w:i/>
          <w:iCs/>
          <w:lang w:val="en-US"/>
        </w:rPr>
        <w:t>Oecologia</w:t>
      </w:r>
      <w:r w:rsidRPr="0093711B">
        <w:rPr>
          <w:lang w:val="en-US"/>
        </w:rPr>
        <w:t xml:space="preserve"> </w:t>
      </w:r>
      <w:r w:rsidRPr="006A170D">
        <w:rPr>
          <w:b/>
          <w:bCs/>
          <w:lang w:val="en-US"/>
        </w:rPr>
        <w:t>37</w:t>
      </w:r>
      <w:r>
        <w:rPr>
          <w:lang w:val="en-US"/>
        </w:rPr>
        <w:t xml:space="preserve">, </w:t>
      </w:r>
      <w:r w:rsidRPr="0093711B">
        <w:rPr>
          <w:lang w:val="en-US"/>
        </w:rPr>
        <w:t>13</w:t>
      </w:r>
      <w:r>
        <w:rPr>
          <w:lang w:val="en-US"/>
        </w:rPr>
        <w:t>–</w:t>
      </w:r>
      <w:r w:rsidRPr="0093711B">
        <w:rPr>
          <w:lang w:val="en-US"/>
        </w:rPr>
        <w:t>22</w:t>
      </w:r>
      <w:r>
        <w:rPr>
          <w:lang w:val="en-US"/>
        </w:rPr>
        <w:t>.</w:t>
      </w:r>
    </w:p>
    <w:p w14:paraId="5A3D1CC8" w14:textId="77777777" w:rsidR="00581AEA" w:rsidRPr="00581AEA" w:rsidRDefault="00581AEA" w:rsidP="00581AEA">
      <w:pPr>
        <w:rPr>
          <w:lang w:val="en-US"/>
        </w:rPr>
      </w:pPr>
      <w:r w:rsidRPr="00581AEA">
        <w:rPr>
          <w:lang w:val="en-US"/>
        </w:rPr>
        <w:t>Gippel, C.J. and Blackham, D. (2002). Review of environmental impacts of flow regulation and other water resource developments in the River Murray and Lower Darling River system. Final Report by Fluvial Systems Pty Ltd, Stockton, Murray-Darling Basin Commission, Canberra, ACT.</w:t>
      </w:r>
    </w:p>
    <w:p w14:paraId="58049C39" w14:textId="5839B685" w:rsidR="00581AEA" w:rsidRPr="0093711B" w:rsidRDefault="00581AEA" w:rsidP="00581AEA">
      <w:pPr>
        <w:rPr>
          <w:lang w:val="en-US"/>
        </w:rPr>
      </w:pPr>
      <w:r w:rsidRPr="00581AEA">
        <w:rPr>
          <w:lang w:val="en-US"/>
        </w:rPr>
        <w:t xml:space="preserve">Grace, J.B. (1993). The adaptive significance of clonal reproduction in angiosperms: an aquatic perspective. </w:t>
      </w:r>
      <w:r w:rsidRPr="00581AEA">
        <w:rPr>
          <w:i/>
          <w:iCs/>
          <w:lang w:val="en-US"/>
        </w:rPr>
        <w:t>Aquatic Botany</w:t>
      </w:r>
      <w:r w:rsidRPr="00581AEA">
        <w:rPr>
          <w:lang w:val="en-US"/>
        </w:rPr>
        <w:t xml:space="preserve"> </w:t>
      </w:r>
      <w:r w:rsidRPr="00581AEA">
        <w:rPr>
          <w:b/>
          <w:bCs/>
          <w:lang w:val="en-US"/>
        </w:rPr>
        <w:t>44</w:t>
      </w:r>
      <w:r>
        <w:rPr>
          <w:lang w:val="en-US"/>
        </w:rPr>
        <w:t>,</w:t>
      </w:r>
      <w:r w:rsidRPr="00581AEA">
        <w:rPr>
          <w:lang w:val="en-US"/>
        </w:rPr>
        <w:t xml:space="preserve"> 159</w:t>
      </w:r>
      <w:r>
        <w:rPr>
          <w:lang w:val="en-US"/>
        </w:rPr>
        <w:t>–</w:t>
      </w:r>
      <w:r w:rsidRPr="00581AEA">
        <w:rPr>
          <w:lang w:val="en-US"/>
        </w:rPr>
        <w:t>180</w:t>
      </w:r>
      <w:r>
        <w:rPr>
          <w:lang w:val="en-US"/>
        </w:rPr>
        <w:t>.</w:t>
      </w:r>
    </w:p>
    <w:p w14:paraId="33F46A70" w14:textId="77777777" w:rsidR="00530E59" w:rsidRPr="00346B75" w:rsidRDefault="00530E59" w:rsidP="00530E59">
      <w:pPr>
        <w:rPr>
          <w:lang w:val="en-US"/>
        </w:rPr>
      </w:pPr>
      <w:r w:rsidRPr="00346B75">
        <w:rPr>
          <w:lang w:val="en-US"/>
        </w:rPr>
        <w:t xml:space="preserve">Grace, M.R., Giling, D.P., Hladyz, S., Caron, V., Thompson, R.M. and Mac Nally, R. (2015). Fast processing of diel oxygen curves: estimating stream metabolism with BASE (Bayesian Single-station Estimation). </w:t>
      </w:r>
      <w:r w:rsidRPr="00346B75">
        <w:rPr>
          <w:i/>
          <w:lang w:val="en-US"/>
        </w:rPr>
        <w:t>Limnology &amp; Oceanography: Methods</w:t>
      </w:r>
      <w:r w:rsidRPr="00346B75">
        <w:rPr>
          <w:lang w:val="en-US"/>
        </w:rPr>
        <w:t xml:space="preserve"> </w:t>
      </w:r>
      <w:r w:rsidRPr="00346B75">
        <w:rPr>
          <w:b/>
          <w:lang w:val="en-US"/>
        </w:rPr>
        <w:t>13</w:t>
      </w:r>
      <w:r w:rsidRPr="00346B75">
        <w:rPr>
          <w:lang w:val="en-US"/>
        </w:rPr>
        <w:t>, 103–114.</w:t>
      </w:r>
    </w:p>
    <w:p w14:paraId="42A40701" w14:textId="77777777" w:rsidR="00530E59" w:rsidRPr="00346B75" w:rsidRDefault="00530E59" w:rsidP="00530E59">
      <w:pPr>
        <w:rPr>
          <w:lang w:val="en-US"/>
        </w:rPr>
      </w:pPr>
      <w:r w:rsidRPr="00346B75">
        <w:rPr>
          <w:lang w:val="en-US"/>
        </w:rPr>
        <w:t xml:space="preserve">Graeber, D., Poulsen, J.R., Heinz, M., Rasmussen, J.J., Zak, D., Gücker, B., Kronvang, B. and Kamjunke, N. (2018). “Going with the flow: Planktonic processing of dissolved organic carbon in streams.” </w:t>
      </w:r>
      <w:r w:rsidRPr="00346B75">
        <w:rPr>
          <w:i/>
          <w:lang w:val="en-US"/>
        </w:rPr>
        <w:t>Science of The Total Environment</w:t>
      </w:r>
      <w:r w:rsidRPr="00346B75">
        <w:rPr>
          <w:lang w:val="en-US"/>
        </w:rPr>
        <w:t xml:space="preserve"> </w:t>
      </w:r>
      <w:r w:rsidRPr="00346B75">
        <w:rPr>
          <w:b/>
          <w:lang w:val="en-US"/>
        </w:rPr>
        <w:t>625</w:t>
      </w:r>
      <w:r w:rsidRPr="00346B75">
        <w:rPr>
          <w:lang w:val="en-US"/>
        </w:rPr>
        <w:t>, 519–530.</w:t>
      </w:r>
    </w:p>
    <w:p w14:paraId="29AD93AC" w14:textId="77777777" w:rsidR="00530E59" w:rsidRPr="003F2FD1" w:rsidRDefault="00530E59" w:rsidP="00530E59">
      <w:pPr>
        <w:rPr>
          <w:lang w:val="en-US"/>
        </w:rPr>
      </w:pPr>
      <w:r w:rsidRPr="00D813A6">
        <w:rPr>
          <w:lang w:val="en-US"/>
        </w:rPr>
        <w:t xml:space="preserve">Grill, G., Lehner, B., Thieme, M., Geenen, B., Tickner, D., Antonelli, F., Babu, S., Borrelli, P., Cheng, L., Crochetiere, H., Ehalt Macedo, H., Filgueiras, R., Goichot, M., Higgins, J., Hogan, Z., Lip, B., McClain, M. E., Meng, J., Mulligan, M., Nilsson, C., Olden, J. D., Opperman, J. J., Petry, P., Liermann, C. R., Sa´enz, L., Salinas-Rodrı´guez, S., Schelle, P., Schmitt, R. J. P., Snider, J., Tan, </w:t>
      </w:r>
      <w:r w:rsidRPr="003F2FD1">
        <w:rPr>
          <w:lang w:val="en-US"/>
        </w:rPr>
        <w:t xml:space="preserve">F., Tockner, K., Valdujo, P. H., van Soesbergen, A. and Zarfl, S. C. (2019). Mapping the world’s freeflowing rivers. </w:t>
      </w:r>
      <w:r w:rsidRPr="003F2FD1">
        <w:rPr>
          <w:i/>
          <w:iCs/>
          <w:lang w:val="en-US"/>
        </w:rPr>
        <w:t>Nature</w:t>
      </w:r>
      <w:r w:rsidRPr="003F2FD1">
        <w:rPr>
          <w:lang w:val="en-US"/>
        </w:rPr>
        <w:t xml:space="preserve"> </w:t>
      </w:r>
      <w:r w:rsidRPr="003F2FD1">
        <w:rPr>
          <w:b/>
          <w:bCs/>
          <w:lang w:val="en-US"/>
        </w:rPr>
        <w:t>569</w:t>
      </w:r>
      <w:r w:rsidRPr="003F2FD1">
        <w:rPr>
          <w:lang w:val="en-US"/>
        </w:rPr>
        <w:t>, 215–221.</w:t>
      </w:r>
    </w:p>
    <w:p w14:paraId="0306ECF4" w14:textId="391BEA81" w:rsidR="00530E59" w:rsidRDefault="00530E59" w:rsidP="00530E59">
      <w:pPr>
        <w:rPr>
          <w:lang w:val="en-US"/>
        </w:rPr>
      </w:pPr>
      <w:r w:rsidRPr="003F2FD1">
        <w:rPr>
          <w:lang w:val="en-US"/>
        </w:rPr>
        <w:t xml:space="preserve">Grime, J.P. (1979). Plant </w:t>
      </w:r>
      <w:r w:rsidRPr="00127E7F">
        <w:rPr>
          <w:lang w:val="en-US"/>
        </w:rPr>
        <w:t>Strategies and Vegetation Processes, John Wiley and Sons Ltd, Chichester.</w:t>
      </w:r>
    </w:p>
    <w:p w14:paraId="7F0016B3" w14:textId="400EAFF2" w:rsidR="00581AEA" w:rsidRPr="00127E7F" w:rsidRDefault="00581AEA" w:rsidP="00530E59">
      <w:pPr>
        <w:rPr>
          <w:lang w:val="en-US"/>
        </w:rPr>
      </w:pPr>
      <w:r w:rsidRPr="00581AEA">
        <w:rPr>
          <w:lang w:val="en-US"/>
        </w:rPr>
        <w:t xml:space="preserve">Gross, K.L. (1990). A comparison of methods for estimating seed numbers in the soil. </w:t>
      </w:r>
      <w:r w:rsidRPr="00581AEA">
        <w:rPr>
          <w:i/>
          <w:iCs/>
          <w:lang w:val="en-US"/>
        </w:rPr>
        <w:t>Journal of Ecology</w:t>
      </w:r>
      <w:r w:rsidRPr="00581AEA">
        <w:rPr>
          <w:lang w:val="en-US"/>
        </w:rPr>
        <w:t xml:space="preserve"> </w:t>
      </w:r>
      <w:r w:rsidRPr="00581AEA">
        <w:rPr>
          <w:b/>
          <w:bCs/>
          <w:lang w:val="en-US"/>
        </w:rPr>
        <w:t>78</w:t>
      </w:r>
      <w:r>
        <w:rPr>
          <w:lang w:val="en-US"/>
        </w:rPr>
        <w:t>,</w:t>
      </w:r>
      <w:r w:rsidRPr="00581AEA">
        <w:rPr>
          <w:lang w:val="en-US"/>
        </w:rPr>
        <w:t xml:space="preserve"> 1079</w:t>
      </w:r>
      <w:r>
        <w:rPr>
          <w:lang w:val="en-US"/>
        </w:rPr>
        <w:t>–</w:t>
      </w:r>
      <w:r w:rsidRPr="00581AEA">
        <w:rPr>
          <w:lang w:val="en-US"/>
        </w:rPr>
        <w:t>1093.</w:t>
      </w:r>
    </w:p>
    <w:p w14:paraId="3BBCFA59" w14:textId="77777777" w:rsidR="00530E59" w:rsidRPr="00127E7F" w:rsidRDefault="00530E59" w:rsidP="00530E59">
      <w:pPr>
        <w:rPr>
          <w:lang w:val="en-US"/>
        </w:rPr>
      </w:pPr>
      <w:r w:rsidRPr="00127E7F">
        <w:rPr>
          <w:lang w:val="en-US"/>
        </w:rPr>
        <w:t>Grossnickle</w:t>
      </w:r>
      <w:r>
        <w:rPr>
          <w:lang w:val="en-US"/>
        </w:rPr>
        <w:t>,</w:t>
      </w:r>
      <w:r w:rsidRPr="00127E7F">
        <w:rPr>
          <w:lang w:val="en-US"/>
        </w:rPr>
        <w:t xml:space="preserve"> N</w:t>
      </w:r>
      <w:r>
        <w:rPr>
          <w:lang w:val="en-US"/>
        </w:rPr>
        <w:t>.</w:t>
      </w:r>
      <w:r w:rsidRPr="00127E7F">
        <w:rPr>
          <w:lang w:val="en-US"/>
        </w:rPr>
        <w:t xml:space="preserve"> (2001)</w:t>
      </w:r>
      <w:r>
        <w:rPr>
          <w:lang w:val="en-US"/>
        </w:rPr>
        <w:t>.</w:t>
      </w:r>
      <w:r w:rsidRPr="00127E7F">
        <w:rPr>
          <w:lang w:val="en-US"/>
        </w:rPr>
        <w:t xml:space="preserve"> Predation and herbivory in the opossum shrimp, </w:t>
      </w:r>
      <w:r w:rsidRPr="00B61F40">
        <w:rPr>
          <w:i/>
          <w:iCs/>
          <w:lang w:val="en-US"/>
        </w:rPr>
        <w:t>Mysis relicta</w:t>
      </w:r>
      <w:r w:rsidRPr="00127E7F">
        <w:rPr>
          <w:lang w:val="en-US"/>
        </w:rPr>
        <w:t xml:space="preserve"> Loven (Crustacea: Mysidacea). Internationale Vereinigung für theoretische und angewandte </w:t>
      </w:r>
      <w:r w:rsidRPr="00771B14">
        <w:rPr>
          <w:i/>
          <w:iCs/>
          <w:lang w:val="en-US"/>
        </w:rPr>
        <w:t>Limnologie: Verhandlungen</w:t>
      </w:r>
      <w:r w:rsidRPr="00127E7F">
        <w:rPr>
          <w:lang w:val="en-US"/>
        </w:rPr>
        <w:t xml:space="preserve"> </w:t>
      </w:r>
      <w:r w:rsidRPr="00771B14">
        <w:rPr>
          <w:b/>
          <w:bCs/>
          <w:lang w:val="en-US"/>
        </w:rPr>
        <w:t>27</w:t>
      </w:r>
      <w:r>
        <w:rPr>
          <w:lang w:val="en-US"/>
        </w:rPr>
        <w:t xml:space="preserve">, </w:t>
      </w:r>
      <w:r w:rsidRPr="00127E7F">
        <w:rPr>
          <w:lang w:val="en-US"/>
        </w:rPr>
        <w:t>3694</w:t>
      </w:r>
      <w:r>
        <w:rPr>
          <w:lang w:val="en-US"/>
        </w:rPr>
        <w:t>–</w:t>
      </w:r>
      <w:r w:rsidRPr="00127E7F">
        <w:rPr>
          <w:lang w:val="en-US"/>
        </w:rPr>
        <w:t>3700.</w:t>
      </w:r>
    </w:p>
    <w:p w14:paraId="5BDCFA88" w14:textId="77777777" w:rsidR="00530E59" w:rsidRPr="00127E7F" w:rsidRDefault="00530E59" w:rsidP="00530E59">
      <w:pPr>
        <w:rPr>
          <w:lang w:val="en-US"/>
        </w:rPr>
      </w:pPr>
      <w:r w:rsidRPr="00127E7F">
        <w:rPr>
          <w:lang w:val="en-US"/>
        </w:rPr>
        <w:t>Gutierrez</w:t>
      </w:r>
      <w:r>
        <w:rPr>
          <w:lang w:val="en-US"/>
        </w:rPr>
        <w:t>,</w:t>
      </w:r>
      <w:r w:rsidRPr="00127E7F">
        <w:rPr>
          <w:lang w:val="en-US"/>
        </w:rPr>
        <w:t xml:space="preserve"> M</w:t>
      </w:r>
      <w:r>
        <w:rPr>
          <w:lang w:val="en-US"/>
        </w:rPr>
        <w:t>.</w:t>
      </w:r>
      <w:r w:rsidRPr="00127E7F">
        <w:rPr>
          <w:lang w:val="en-US"/>
        </w:rPr>
        <w:t>F</w:t>
      </w:r>
      <w:r>
        <w:rPr>
          <w:lang w:val="en-US"/>
        </w:rPr>
        <w:t>.</w:t>
      </w:r>
      <w:r w:rsidRPr="00127E7F">
        <w:rPr>
          <w:lang w:val="en-US"/>
        </w:rPr>
        <w:t>, Tavşanoğlu</w:t>
      </w:r>
      <w:r>
        <w:rPr>
          <w:lang w:val="en-US"/>
        </w:rPr>
        <w:t>,</w:t>
      </w:r>
      <w:r w:rsidRPr="00127E7F">
        <w:rPr>
          <w:lang w:val="en-US"/>
        </w:rPr>
        <w:t xml:space="preserve"> Ü</w:t>
      </w:r>
      <w:r>
        <w:rPr>
          <w:lang w:val="en-US"/>
        </w:rPr>
        <w:t>.</w:t>
      </w:r>
      <w:r w:rsidRPr="00127E7F">
        <w:rPr>
          <w:lang w:val="en-US"/>
        </w:rPr>
        <w:t>N</w:t>
      </w:r>
      <w:r>
        <w:rPr>
          <w:lang w:val="en-US"/>
        </w:rPr>
        <w:t>.</w:t>
      </w:r>
      <w:r w:rsidRPr="00127E7F">
        <w:rPr>
          <w:lang w:val="en-US"/>
        </w:rPr>
        <w:t>, Vidal</w:t>
      </w:r>
      <w:r>
        <w:rPr>
          <w:lang w:val="en-US"/>
        </w:rPr>
        <w:t>,</w:t>
      </w:r>
      <w:r w:rsidRPr="00127E7F">
        <w:rPr>
          <w:lang w:val="en-US"/>
        </w:rPr>
        <w:t xml:space="preserve"> N</w:t>
      </w:r>
      <w:r>
        <w:rPr>
          <w:lang w:val="en-US"/>
        </w:rPr>
        <w:t>.,</w:t>
      </w:r>
      <w:r w:rsidRPr="00127E7F">
        <w:rPr>
          <w:lang w:val="en-US"/>
        </w:rPr>
        <w:t xml:space="preserve"> </w:t>
      </w:r>
      <w:r w:rsidRPr="00771B14">
        <w:rPr>
          <w:lang w:val="en-US"/>
        </w:rPr>
        <w:t>Yu,</w:t>
      </w:r>
      <w:r>
        <w:rPr>
          <w:lang w:val="en-US"/>
        </w:rPr>
        <w:t xml:space="preserve"> J.,</w:t>
      </w:r>
      <w:r w:rsidRPr="00771B14">
        <w:rPr>
          <w:lang w:val="en-US"/>
        </w:rPr>
        <w:t xml:space="preserve"> Teixeira-de Mello,</w:t>
      </w:r>
      <w:r>
        <w:rPr>
          <w:lang w:val="en-US"/>
        </w:rPr>
        <w:t xml:space="preserve"> F.,</w:t>
      </w:r>
      <w:r w:rsidRPr="00771B14">
        <w:rPr>
          <w:lang w:val="en-US"/>
        </w:rPr>
        <w:t xml:space="preserve"> Çakiroglu,</w:t>
      </w:r>
      <w:r>
        <w:rPr>
          <w:lang w:val="en-US"/>
        </w:rPr>
        <w:t xml:space="preserve"> A.I.,</w:t>
      </w:r>
      <w:r w:rsidRPr="00771B14">
        <w:rPr>
          <w:lang w:val="en-US"/>
        </w:rPr>
        <w:t xml:space="preserve"> He,</w:t>
      </w:r>
      <w:r>
        <w:rPr>
          <w:lang w:val="en-US"/>
        </w:rPr>
        <w:t xml:space="preserve"> H.,</w:t>
      </w:r>
      <w:r w:rsidRPr="00771B14">
        <w:rPr>
          <w:lang w:val="en-US"/>
        </w:rPr>
        <w:t xml:space="preserve"> Liu,</w:t>
      </w:r>
      <w:r>
        <w:rPr>
          <w:lang w:val="en-US"/>
        </w:rPr>
        <w:t xml:space="preserve"> Z.,</w:t>
      </w:r>
      <w:r w:rsidRPr="00771B14">
        <w:rPr>
          <w:lang w:val="en-US"/>
        </w:rPr>
        <w:t xml:space="preserve"> Jeppesen</w:t>
      </w:r>
      <w:r>
        <w:rPr>
          <w:lang w:val="en-US"/>
        </w:rPr>
        <w:t>, E.</w:t>
      </w:r>
      <w:r w:rsidRPr="00127E7F">
        <w:rPr>
          <w:lang w:val="en-US"/>
        </w:rPr>
        <w:t xml:space="preserve"> (2018) Salinity shapes zooplankton communities and functional diversity and has complex effects on size structure in lakes. </w:t>
      </w:r>
      <w:r w:rsidRPr="00771B14">
        <w:rPr>
          <w:i/>
          <w:iCs/>
          <w:lang w:val="en-US"/>
        </w:rPr>
        <w:t>Hydrobiologia</w:t>
      </w:r>
      <w:r w:rsidRPr="00127E7F">
        <w:rPr>
          <w:lang w:val="en-US"/>
        </w:rPr>
        <w:t xml:space="preserve"> </w:t>
      </w:r>
      <w:r w:rsidRPr="00771B14">
        <w:rPr>
          <w:b/>
          <w:bCs/>
          <w:lang w:val="en-US"/>
        </w:rPr>
        <w:t>813</w:t>
      </w:r>
      <w:r>
        <w:rPr>
          <w:lang w:val="en-US"/>
        </w:rPr>
        <w:t xml:space="preserve">, </w:t>
      </w:r>
      <w:r w:rsidRPr="00127E7F">
        <w:rPr>
          <w:lang w:val="en-US"/>
        </w:rPr>
        <w:t>237</w:t>
      </w:r>
      <w:r>
        <w:rPr>
          <w:lang w:val="en-US"/>
        </w:rPr>
        <w:t>–</w:t>
      </w:r>
      <w:r w:rsidRPr="00127E7F">
        <w:rPr>
          <w:lang w:val="en-US"/>
        </w:rPr>
        <w:t>255.</w:t>
      </w:r>
    </w:p>
    <w:p w14:paraId="478407DA" w14:textId="0E80AD4F" w:rsidR="00530E59" w:rsidRDefault="00530E59" w:rsidP="00530E59">
      <w:pPr>
        <w:rPr>
          <w:lang w:val="en-US"/>
        </w:rPr>
      </w:pPr>
      <w:r w:rsidRPr="0059173F">
        <w:rPr>
          <w:lang w:val="en-US"/>
        </w:rPr>
        <w:t>Hale, J., Stoffels, R., Butcher, R., Shackleton, M., Brooks, S. and Gawne, B. (2014). Commonwealth Environmental Water Office Long Term Intervention Monitoring Project – Standard Methods. Final Report prepared for the Commonwealth Environmental Water Office by The Murray-Darling Freshwater Research Centre. Murray-Darling Freshwater Research Centre, MDFRC Publication 29.2/2014.</w:t>
      </w:r>
    </w:p>
    <w:p w14:paraId="798573BB" w14:textId="09A4FBD2" w:rsidR="00581AEA" w:rsidRPr="0059173F" w:rsidRDefault="00581AEA" w:rsidP="00530E59">
      <w:pPr>
        <w:rPr>
          <w:lang w:val="en-US"/>
        </w:rPr>
      </w:pPr>
      <w:r w:rsidRPr="00581AEA">
        <w:rPr>
          <w:lang w:val="en-US"/>
        </w:rPr>
        <w:t xml:space="preserve">Hamilton-Brown, S., Boon, P.I., Raulings, E., Morris, K. and Robinson, R. (2009). Aerial seed storage in </w:t>
      </w:r>
      <w:r w:rsidRPr="00581AEA">
        <w:rPr>
          <w:i/>
          <w:iCs/>
          <w:lang w:val="en-US"/>
        </w:rPr>
        <w:t>Melaleuca ericifolia</w:t>
      </w:r>
      <w:r w:rsidRPr="00581AEA">
        <w:rPr>
          <w:lang w:val="en-US"/>
        </w:rPr>
        <w:t xml:space="preserve"> Sm. (Swamp Paperbark): environmental triggers for seed release. </w:t>
      </w:r>
      <w:r w:rsidRPr="00581AEA">
        <w:rPr>
          <w:i/>
          <w:iCs/>
          <w:lang w:val="en-US"/>
        </w:rPr>
        <w:t>Hydrobiologia</w:t>
      </w:r>
      <w:r w:rsidRPr="00581AEA">
        <w:rPr>
          <w:lang w:val="en-US"/>
        </w:rPr>
        <w:t xml:space="preserve"> </w:t>
      </w:r>
      <w:r w:rsidRPr="00581AEA">
        <w:rPr>
          <w:b/>
          <w:bCs/>
          <w:lang w:val="en-US"/>
        </w:rPr>
        <w:t>620</w:t>
      </w:r>
      <w:r>
        <w:rPr>
          <w:lang w:val="en-US"/>
        </w:rPr>
        <w:t>,</w:t>
      </w:r>
      <w:r w:rsidRPr="00581AEA">
        <w:rPr>
          <w:lang w:val="en-US"/>
        </w:rPr>
        <w:t xml:space="preserve"> 121</w:t>
      </w:r>
      <w:r>
        <w:rPr>
          <w:lang w:val="en-US"/>
        </w:rPr>
        <w:t>–</w:t>
      </w:r>
      <w:r w:rsidRPr="00581AEA">
        <w:rPr>
          <w:lang w:val="en-US"/>
        </w:rPr>
        <w:t>133.</w:t>
      </w:r>
    </w:p>
    <w:p w14:paraId="2F2E04DF" w14:textId="77777777" w:rsidR="00530E59" w:rsidRPr="00127E7F" w:rsidRDefault="00530E59" w:rsidP="00530E59">
      <w:r w:rsidRPr="00127E7F">
        <w:t>Haskell</w:t>
      </w:r>
      <w:r>
        <w:t>,</w:t>
      </w:r>
      <w:r w:rsidRPr="00127E7F">
        <w:t xml:space="preserve"> C</w:t>
      </w:r>
      <w:r>
        <w:t>.</w:t>
      </w:r>
      <w:r w:rsidRPr="00127E7F">
        <w:t>A</w:t>
      </w:r>
      <w:r>
        <w:t>. and</w:t>
      </w:r>
      <w:r w:rsidRPr="00127E7F">
        <w:t xml:space="preserve"> Stanford</w:t>
      </w:r>
      <w:r>
        <w:t>,</w:t>
      </w:r>
      <w:r w:rsidRPr="00127E7F">
        <w:t xml:space="preserve"> J</w:t>
      </w:r>
      <w:r>
        <w:t>.</w:t>
      </w:r>
      <w:r w:rsidRPr="00127E7F">
        <w:t>A</w:t>
      </w:r>
      <w:r>
        <w:t>.</w:t>
      </w:r>
      <w:r w:rsidRPr="00127E7F">
        <w:t xml:space="preserve"> (2006)</w:t>
      </w:r>
      <w:r>
        <w:t>.</w:t>
      </w:r>
      <w:r w:rsidRPr="00127E7F">
        <w:t xml:space="preserve"> Ecology of an estuarine mysid shrimp in the Columbia River (USA). </w:t>
      </w:r>
      <w:r w:rsidRPr="00771B14">
        <w:rPr>
          <w:i/>
          <w:iCs/>
        </w:rPr>
        <w:t>River Research and Applications</w:t>
      </w:r>
      <w:r w:rsidRPr="00127E7F">
        <w:t xml:space="preserve"> </w:t>
      </w:r>
      <w:r w:rsidRPr="00771B14">
        <w:rPr>
          <w:b/>
          <w:bCs/>
        </w:rPr>
        <w:t>22</w:t>
      </w:r>
      <w:r>
        <w:t xml:space="preserve">, </w:t>
      </w:r>
      <w:r w:rsidRPr="00127E7F">
        <w:t>739</w:t>
      </w:r>
      <w:r>
        <w:t>–</w:t>
      </w:r>
      <w:r w:rsidRPr="00127E7F">
        <w:t>753.</w:t>
      </w:r>
    </w:p>
    <w:p w14:paraId="285A8E40" w14:textId="4490D6B2" w:rsidR="009A207D" w:rsidRDefault="009A207D" w:rsidP="007F119D">
      <w:r w:rsidRPr="009A207D">
        <w:t>Hladyz</w:t>
      </w:r>
      <w:r>
        <w:t>,</w:t>
      </w:r>
      <w:r w:rsidRPr="009A207D">
        <w:t xml:space="preserve"> S</w:t>
      </w:r>
      <w:r>
        <w:t>.</w:t>
      </w:r>
      <w:r w:rsidRPr="009A207D">
        <w:t>, Baumgartner</w:t>
      </w:r>
      <w:r>
        <w:t>,</w:t>
      </w:r>
      <w:r w:rsidRPr="009A207D">
        <w:t xml:space="preserve"> L</w:t>
      </w:r>
      <w:r>
        <w:t>.</w:t>
      </w:r>
      <w:r w:rsidRPr="009A207D">
        <w:t>, Bice</w:t>
      </w:r>
      <w:r>
        <w:t>,</w:t>
      </w:r>
      <w:r w:rsidRPr="009A207D">
        <w:t xml:space="preserve"> C</w:t>
      </w:r>
      <w:r>
        <w:t>.</w:t>
      </w:r>
      <w:r w:rsidRPr="009A207D">
        <w:t>, Butler</w:t>
      </w:r>
      <w:r>
        <w:t>,</w:t>
      </w:r>
      <w:r w:rsidRPr="009A207D">
        <w:t xml:space="preserve"> G</w:t>
      </w:r>
      <w:r>
        <w:t>.</w:t>
      </w:r>
      <w:r w:rsidRPr="009A207D">
        <w:t>, Fanson</w:t>
      </w:r>
      <w:r>
        <w:t>,</w:t>
      </w:r>
      <w:r w:rsidRPr="009A207D">
        <w:t xml:space="preserve"> B</w:t>
      </w:r>
      <w:r>
        <w:t>.</w:t>
      </w:r>
      <w:r w:rsidRPr="009A207D">
        <w:t>, Giatas</w:t>
      </w:r>
      <w:r>
        <w:t>,</w:t>
      </w:r>
      <w:r w:rsidRPr="009A207D">
        <w:t xml:space="preserve"> G</w:t>
      </w:r>
      <w:r>
        <w:t>.</w:t>
      </w:r>
      <w:r w:rsidRPr="009A207D">
        <w:t>, Koster</w:t>
      </w:r>
      <w:r>
        <w:t>,</w:t>
      </w:r>
      <w:r w:rsidRPr="009A207D">
        <w:t xml:space="preserve"> W</w:t>
      </w:r>
      <w:r>
        <w:t>.</w:t>
      </w:r>
      <w:r w:rsidRPr="009A207D">
        <w:t>, Lyon</w:t>
      </w:r>
      <w:r>
        <w:t>,</w:t>
      </w:r>
      <w:r w:rsidRPr="009A207D">
        <w:t xml:space="preserve"> J</w:t>
      </w:r>
      <w:r>
        <w:t>.</w:t>
      </w:r>
      <w:r w:rsidRPr="009A207D">
        <w:t>, Stuart</w:t>
      </w:r>
      <w:r>
        <w:t>,</w:t>
      </w:r>
      <w:r w:rsidRPr="009A207D">
        <w:t xml:space="preserve"> I</w:t>
      </w:r>
      <w:r>
        <w:t>.</w:t>
      </w:r>
      <w:r w:rsidRPr="009A207D">
        <w:t>, Thiem</w:t>
      </w:r>
      <w:r>
        <w:t>,</w:t>
      </w:r>
      <w:r w:rsidRPr="009A207D">
        <w:t xml:space="preserve"> J</w:t>
      </w:r>
      <w:r>
        <w:t>.</w:t>
      </w:r>
      <w:r w:rsidRPr="009A207D">
        <w:t>, Tonkin, Z</w:t>
      </w:r>
      <w:r>
        <w:t>.</w:t>
      </w:r>
      <w:r w:rsidRPr="009A207D">
        <w:t>, Ye</w:t>
      </w:r>
      <w:r>
        <w:t>,</w:t>
      </w:r>
      <w:r w:rsidRPr="009A207D">
        <w:t xml:space="preserve"> Q</w:t>
      </w:r>
      <w:r>
        <w:t>.</w:t>
      </w:r>
      <w:r w:rsidRPr="009A207D">
        <w:t>, Yen</w:t>
      </w:r>
      <w:r>
        <w:t>,</w:t>
      </w:r>
      <w:r w:rsidRPr="009A207D">
        <w:t xml:space="preserve"> J</w:t>
      </w:r>
      <w:r>
        <w:t>.</w:t>
      </w:r>
      <w:r w:rsidRPr="009A207D">
        <w:t xml:space="preserve"> and Zampatti</w:t>
      </w:r>
      <w:r>
        <w:t>,</w:t>
      </w:r>
      <w:r w:rsidRPr="009A207D">
        <w:t xml:space="preserve"> B</w:t>
      </w:r>
      <w:r>
        <w:t>.</w:t>
      </w:r>
      <w:r w:rsidRPr="009A207D">
        <w:t xml:space="preserve"> (2021)</w:t>
      </w:r>
      <w:r>
        <w:t>.</w:t>
      </w:r>
      <w:r w:rsidRPr="009A207D">
        <w:t xml:space="preserve"> </w:t>
      </w:r>
      <w:r w:rsidR="007F119D">
        <w:t>Basin-scale evaluation of 2019-20 Commonwealth environmental water: Fish. Flow-MER Program. Commonwealth Environmental Water Office (CEWO): Monitoring, Evaluation and Research Program, Department of Agriculture, Water and the Environment, Australia. 106pp.</w:t>
      </w:r>
    </w:p>
    <w:p w14:paraId="0389494D" w14:textId="0128AAF5" w:rsidR="00070DFF" w:rsidRDefault="00070DFF" w:rsidP="007F119D">
      <w:r w:rsidRPr="00070DFF">
        <w:t xml:space="preserve">Heinle, D.R. (1969). Temperature and zooplankton. </w:t>
      </w:r>
      <w:r w:rsidRPr="00070DFF">
        <w:rPr>
          <w:i/>
          <w:iCs/>
        </w:rPr>
        <w:t>Chesapeake Science</w:t>
      </w:r>
      <w:r w:rsidRPr="00070DFF">
        <w:t xml:space="preserve"> </w:t>
      </w:r>
      <w:r w:rsidRPr="00070DFF">
        <w:rPr>
          <w:b/>
          <w:bCs/>
        </w:rPr>
        <w:t>10</w:t>
      </w:r>
      <w:r w:rsidRPr="00070DFF">
        <w:t>, 186–209.</w:t>
      </w:r>
    </w:p>
    <w:p w14:paraId="137DAE37" w14:textId="49C51244" w:rsidR="00530E59" w:rsidRDefault="00530E59" w:rsidP="00530E59">
      <w:r w:rsidRPr="00346B75">
        <w:t xml:space="preserve">Herczeg, A.L., Dogramaci, S.S. and Leaney, F.W.J. (2001). Origin of dissolved salts in a large, semi-arid groundwater system: Murray Basin, Australia. </w:t>
      </w:r>
      <w:r w:rsidRPr="00346B75">
        <w:rPr>
          <w:i/>
        </w:rPr>
        <w:t xml:space="preserve">Marine and </w:t>
      </w:r>
      <w:r w:rsidR="00DB4B43">
        <w:rPr>
          <w:i/>
        </w:rPr>
        <w:t>F</w:t>
      </w:r>
      <w:r w:rsidRPr="00346B75">
        <w:rPr>
          <w:i/>
        </w:rPr>
        <w:t>reshwater Research</w:t>
      </w:r>
      <w:r w:rsidRPr="00346B75">
        <w:t xml:space="preserve"> </w:t>
      </w:r>
      <w:r w:rsidRPr="00346B75">
        <w:rPr>
          <w:b/>
        </w:rPr>
        <w:t>52</w:t>
      </w:r>
      <w:r w:rsidRPr="00346B75">
        <w:t>, 41–51.</w:t>
      </w:r>
    </w:p>
    <w:p w14:paraId="5791273B" w14:textId="2D3D5E86" w:rsidR="00530E59" w:rsidRPr="00346B75" w:rsidRDefault="00E7089B" w:rsidP="00530E59">
      <w:r w:rsidRPr="00E7089B">
        <w:t>Hillebrand</w:t>
      </w:r>
      <w:r>
        <w:t>,</w:t>
      </w:r>
      <w:r w:rsidRPr="00E7089B">
        <w:t xml:space="preserve"> H</w:t>
      </w:r>
      <w:r>
        <w:t>.</w:t>
      </w:r>
      <w:r w:rsidRPr="00E7089B">
        <w:t>, Bennett</w:t>
      </w:r>
      <w:r>
        <w:t>,</w:t>
      </w:r>
      <w:r w:rsidRPr="00E7089B">
        <w:t xml:space="preserve"> D</w:t>
      </w:r>
      <w:r>
        <w:t>.</w:t>
      </w:r>
      <w:r w:rsidRPr="00E7089B">
        <w:t>M</w:t>
      </w:r>
      <w:r>
        <w:t>. and</w:t>
      </w:r>
      <w:r w:rsidRPr="00E7089B">
        <w:t xml:space="preserve"> Cadotte</w:t>
      </w:r>
      <w:r>
        <w:t>,</w:t>
      </w:r>
      <w:r w:rsidRPr="00E7089B">
        <w:t xml:space="preserve"> M</w:t>
      </w:r>
      <w:r>
        <w:t>.</w:t>
      </w:r>
      <w:r w:rsidRPr="00E7089B">
        <w:t>W</w:t>
      </w:r>
      <w:r>
        <w:t>.</w:t>
      </w:r>
      <w:r w:rsidRPr="00E7089B">
        <w:t xml:space="preserve"> (2008)</w:t>
      </w:r>
      <w:r>
        <w:t>.</w:t>
      </w:r>
      <w:r w:rsidRPr="00E7089B">
        <w:t xml:space="preserve"> Consequences of dominance: a review of evenness effects on local and regional ecosystem processes. </w:t>
      </w:r>
      <w:r w:rsidRPr="00E7089B">
        <w:rPr>
          <w:i/>
          <w:iCs/>
        </w:rPr>
        <w:t>Ecology</w:t>
      </w:r>
      <w:r w:rsidRPr="00E7089B">
        <w:t xml:space="preserve"> </w:t>
      </w:r>
      <w:r w:rsidRPr="00E7089B">
        <w:rPr>
          <w:b/>
          <w:bCs/>
        </w:rPr>
        <w:t>89</w:t>
      </w:r>
      <w:r>
        <w:t xml:space="preserve">, </w:t>
      </w:r>
      <w:r w:rsidRPr="00E7089B">
        <w:t>1510</w:t>
      </w:r>
      <w:r>
        <w:t>–</w:t>
      </w:r>
      <w:r w:rsidRPr="00E7089B">
        <w:t>1520</w:t>
      </w:r>
      <w:r>
        <w:t>.</w:t>
      </w:r>
    </w:p>
    <w:p w14:paraId="769AE590" w14:textId="195D58E5" w:rsidR="00530E59" w:rsidRDefault="00530E59" w:rsidP="00530E59">
      <w:pPr>
        <w:rPr>
          <w:lang w:val="en-US"/>
        </w:rPr>
      </w:pPr>
      <w:r w:rsidRPr="003F6FA6">
        <w:rPr>
          <w:lang w:val="en-US"/>
        </w:rPr>
        <w:t>Hocking, P.J. (1983). Features of the growth and mineral nutrition of Noogoora burr (</w:t>
      </w:r>
      <w:r w:rsidRPr="003F6FA6">
        <w:rPr>
          <w:i/>
          <w:iCs/>
          <w:lang w:val="en-US"/>
        </w:rPr>
        <w:t>Xanthium occidentale</w:t>
      </w:r>
      <w:r w:rsidRPr="003F6FA6">
        <w:rPr>
          <w:lang w:val="en-US"/>
        </w:rPr>
        <w:t xml:space="preserve"> Bertol.), a noxious weed in central New South Wales. </w:t>
      </w:r>
      <w:r w:rsidRPr="003F6FA6">
        <w:rPr>
          <w:i/>
          <w:iCs/>
          <w:lang w:val="en-US"/>
        </w:rPr>
        <w:t>Australian Journal of Agricultural Research</w:t>
      </w:r>
      <w:r w:rsidRPr="003F6FA6">
        <w:rPr>
          <w:lang w:val="en-US"/>
        </w:rPr>
        <w:t xml:space="preserve"> </w:t>
      </w:r>
      <w:r w:rsidRPr="003F6FA6">
        <w:rPr>
          <w:b/>
          <w:bCs/>
          <w:lang w:val="en-US"/>
        </w:rPr>
        <w:t>34</w:t>
      </w:r>
      <w:r w:rsidRPr="003F6FA6">
        <w:rPr>
          <w:lang w:val="en-US"/>
        </w:rPr>
        <w:t>, 155</w:t>
      </w:r>
      <w:r>
        <w:rPr>
          <w:lang w:val="en-US"/>
        </w:rPr>
        <w:t>–</w:t>
      </w:r>
      <w:r w:rsidRPr="003F6FA6">
        <w:rPr>
          <w:lang w:val="en-US"/>
        </w:rPr>
        <w:t>166.</w:t>
      </w:r>
    </w:p>
    <w:p w14:paraId="2D28061C" w14:textId="4B3A73B9" w:rsidR="00581AEA" w:rsidRDefault="00581AEA" w:rsidP="00530E59">
      <w:pPr>
        <w:rPr>
          <w:lang w:val="en-US"/>
        </w:rPr>
      </w:pPr>
      <w:r w:rsidRPr="00581AEA">
        <w:rPr>
          <w:lang w:val="en-US"/>
        </w:rPr>
        <w:t xml:space="preserve">Hocking, P.J., Finlayson, C.M. and Chick, A.J. (1983). The biology of Australian weeds. 12. </w:t>
      </w:r>
      <w:r w:rsidRPr="00581AEA">
        <w:rPr>
          <w:i/>
          <w:iCs/>
          <w:lang w:val="en-US"/>
        </w:rPr>
        <w:t>Phragmites australis</w:t>
      </w:r>
      <w:r w:rsidRPr="00581AEA">
        <w:rPr>
          <w:lang w:val="en-US"/>
        </w:rPr>
        <w:t xml:space="preserve"> (Cav.) Trin. ex Steud. </w:t>
      </w:r>
      <w:r w:rsidRPr="00581AEA">
        <w:rPr>
          <w:i/>
          <w:iCs/>
          <w:lang w:val="en-US"/>
        </w:rPr>
        <w:t>The Journal of the Australian Institute of Agricultural Science</w:t>
      </w:r>
      <w:r w:rsidRPr="00581AEA">
        <w:rPr>
          <w:lang w:val="en-US"/>
        </w:rPr>
        <w:t xml:space="preserve"> </w:t>
      </w:r>
      <w:r w:rsidRPr="00581AEA">
        <w:rPr>
          <w:b/>
          <w:bCs/>
          <w:lang w:val="en-US"/>
        </w:rPr>
        <w:t>40</w:t>
      </w:r>
      <w:r>
        <w:rPr>
          <w:lang w:val="en-US"/>
        </w:rPr>
        <w:t>,</w:t>
      </w:r>
      <w:r w:rsidRPr="00581AEA">
        <w:rPr>
          <w:lang w:val="en-US"/>
        </w:rPr>
        <w:t xml:space="preserve"> 123</w:t>
      </w:r>
      <w:r>
        <w:rPr>
          <w:lang w:val="en-US"/>
        </w:rPr>
        <w:t>–</w:t>
      </w:r>
      <w:r w:rsidRPr="00581AEA">
        <w:rPr>
          <w:lang w:val="en-US"/>
        </w:rPr>
        <w:t>132.</w:t>
      </w:r>
    </w:p>
    <w:p w14:paraId="1C7664D7" w14:textId="0B68B748" w:rsidR="00581AEA" w:rsidRPr="003F6FA6" w:rsidRDefault="00581AEA" w:rsidP="00530E59">
      <w:pPr>
        <w:rPr>
          <w:lang w:val="en-US"/>
        </w:rPr>
      </w:pPr>
      <w:r w:rsidRPr="00581AEA">
        <w:rPr>
          <w:lang w:val="en-US"/>
        </w:rPr>
        <w:t>Holliday, I. (2004). Melaleucas: a field and garden guide. Reed New Holland, Sydney, New South Wales.</w:t>
      </w:r>
    </w:p>
    <w:p w14:paraId="2F65AB11" w14:textId="77777777" w:rsidR="00530E59" w:rsidRDefault="00530E59" w:rsidP="00530E59">
      <w:pPr>
        <w:rPr>
          <w:lang w:val="en-US"/>
        </w:rPr>
      </w:pPr>
      <w:r w:rsidRPr="00127EA7">
        <w:rPr>
          <w:lang w:val="en-US"/>
        </w:rPr>
        <w:t>Humphries</w:t>
      </w:r>
      <w:r>
        <w:rPr>
          <w:lang w:val="en-US"/>
        </w:rPr>
        <w:t>,</w:t>
      </w:r>
      <w:r w:rsidRPr="00127EA7">
        <w:rPr>
          <w:lang w:val="en-US"/>
        </w:rPr>
        <w:t xml:space="preserve"> P</w:t>
      </w:r>
      <w:r>
        <w:rPr>
          <w:lang w:val="en-US"/>
        </w:rPr>
        <w:t>.</w:t>
      </w:r>
      <w:r w:rsidRPr="00127EA7">
        <w:rPr>
          <w:lang w:val="en-US"/>
        </w:rPr>
        <w:t xml:space="preserve"> (2005)</w:t>
      </w:r>
      <w:r>
        <w:rPr>
          <w:lang w:val="en-US"/>
        </w:rPr>
        <w:t>.</w:t>
      </w:r>
      <w:r w:rsidRPr="00127EA7">
        <w:rPr>
          <w:lang w:val="en-US"/>
        </w:rPr>
        <w:t xml:space="preserve"> Spawning time and early life history of Murray cod, </w:t>
      </w:r>
      <w:r w:rsidRPr="00771B14">
        <w:rPr>
          <w:i/>
          <w:iCs/>
          <w:lang w:val="en-US"/>
        </w:rPr>
        <w:t>Maccullochella peelii</w:t>
      </w:r>
      <w:r w:rsidRPr="00127EA7">
        <w:rPr>
          <w:lang w:val="en-US"/>
        </w:rPr>
        <w:t xml:space="preserve"> (Mitchell) in an Australian river. </w:t>
      </w:r>
      <w:r w:rsidRPr="00771B14">
        <w:rPr>
          <w:i/>
          <w:iCs/>
          <w:lang w:val="en-US"/>
        </w:rPr>
        <w:t>Environmental Biology of Fishes</w:t>
      </w:r>
      <w:r w:rsidRPr="00127EA7">
        <w:rPr>
          <w:lang w:val="en-US"/>
        </w:rPr>
        <w:t xml:space="preserve"> </w:t>
      </w:r>
      <w:r w:rsidRPr="00771B14">
        <w:rPr>
          <w:b/>
          <w:bCs/>
          <w:lang w:val="en-US"/>
        </w:rPr>
        <w:t>72</w:t>
      </w:r>
      <w:r>
        <w:rPr>
          <w:lang w:val="en-US"/>
        </w:rPr>
        <w:t xml:space="preserve">, </w:t>
      </w:r>
      <w:r w:rsidRPr="00127EA7">
        <w:rPr>
          <w:lang w:val="en-US"/>
        </w:rPr>
        <w:t>393</w:t>
      </w:r>
      <w:r>
        <w:rPr>
          <w:lang w:val="en-US"/>
        </w:rPr>
        <w:t>–</w:t>
      </w:r>
      <w:r w:rsidRPr="00127EA7">
        <w:rPr>
          <w:lang w:val="en-US"/>
        </w:rPr>
        <w:t>407.</w:t>
      </w:r>
    </w:p>
    <w:p w14:paraId="6A60786D" w14:textId="529FCC1B" w:rsidR="00530E59" w:rsidRPr="0001666B" w:rsidRDefault="00E7089B" w:rsidP="00530E59">
      <w:pPr>
        <w:rPr>
          <w:lang w:val="en-US"/>
        </w:rPr>
      </w:pPr>
      <w:r w:rsidRPr="00E7089B">
        <w:rPr>
          <w:lang w:val="en-US"/>
        </w:rPr>
        <w:t>Hynes</w:t>
      </w:r>
      <w:r>
        <w:rPr>
          <w:lang w:val="en-US"/>
        </w:rPr>
        <w:t>,</w:t>
      </w:r>
      <w:r w:rsidRPr="00E7089B">
        <w:rPr>
          <w:lang w:val="en-US"/>
        </w:rPr>
        <w:t xml:space="preserve"> H</w:t>
      </w:r>
      <w:r>
        <w:rPr>
          <w:lang w:val="en-US"/>
        </w:rPr>
        <w:t>.</w:t>
      </w:r>
      <w:r w:rsidRPr="00E7089B">
        <w:rPr>
          <w:lang w:val="en-US"/>
        </w:rPr>
        <w:t>B</w:t>
      </w:r>
      <w:r>
        <w:rPr>
          <w:lang w:val="en-US"/>
        </w:rPr>
        <w:t>.</w:t>
      </w:r>
      <w:r w:rsidRPr="00E7089B">
        <w:rPr>
          <w:lang w:val="en-US"/>
        </w:rPr>
        <w:t>N</w:t>
      </w:r>
      <w:r>
        <w:rPr>
          <w:lang w:val="en-US"/>
        </w:rPr>
        <w:t>. and</w:t>
      </w:r>
      <w:r w:rsidRPr="00E7089B">
        <w:rPr>
          <w:lang w:val="en-US"/>
        </w:rPr>
        <w:t xml:space="preserve"> Hynes</w:t>
      </w:r>
      <w:r>
        <w:rPr>
          <w:lang w:val="en-US"/>
        </w:rPr>
        <w:t>,</w:t>
      </w:r>
      <w:r w:rsidRPr="00E7089B">
        <w:rPr>
          <w:lang w:val="en-US"/>
        </w:rPr>
        <w:t xml:space="preserve"> H</w:t>
      </w:r>
      <w:r>
        <w:rPr>
          <w:lang w:val="en-US"/>
        </w:rPr>
        <w:t>.</w:t>
      </w:r>
      <w:r w:rsidRPr="00E7089B">
        <w:rPr>
          <w:lang w:val="en-US"/>
        </w:rPr>
        <w:t xml:space="preserve"> (1970)</w:t>
      </w:r>
      <w:r>
        <w:rPr>
          <w:lang w:val="en-US"/>
        </w:rPr>
        <w:t>.</w:t>
      </w:r>
      <w:r w:rsidRPr="00E7089B">
        <w:rPr>
          <w:lang w:val="en-US"/>
        </w:rPr>
        <w:t xml:space="preserve"> </w:t>
      </w:r>
      <w:r w:rsidRPr="0001666B">
        <w:rPr>
          <w:lang w:val="en-US"/>
        </w:rPr>
        <w:t>The ecology of running waters. Liverpool University Press Liverpool.</w:t>
      </w:r>
    </w:p>
    <w:p w14:paraId="11F8D1DB" w14:textId="48D0160A" w:rsidR="00530E59" w:rsidRPr="00B615B4" w:rsidRDefault="00530E59" w:rsidP="0001666B">
      <w:r w:rsidRPr="0001666B">
        <w:t>Ingram</w:t>
      </w:r>
      <w:r w:rsidR="0001666B" w:rsidRPr="0001666B">
        <w:t>, B.A., ho, H.H., Turchini, G.M. and Holland, M.</w:t>
      </w:r>
      <w:r w:rsidRPr="0001666B">
        <w:t xml:space="preserve"> </w:t>
      </w:r>
      <w:r w:rsidR="0001666B" w:rsidRPr="0001666B">
        <w:t>(</w:t>
      </w:r>
      <w:r w:rsidRPr="0001666B">
        <w:t>2012</w:t>
      </w:r>
      <w:r w:rsidR="0001666B" w:rsidRPr="0001666B">
        <w:t>). Gamete quality and spawning in captive Murray cod broodstock. Fisheries Victoria Research Report Series No. 58.</w:t>
      </w:r>
    </w:p>
    <w:p w14:paraId="11977363" w14:textId="5DA8B40D" w:rsidR="00530E59" w:rsidRDefault="00530E59" w:rsidP="00530E59">
      <w:pPr>
        <w:rPr>
          <w:lang w:val="en-US"/>
        </w:rPr>
      </w:pPr>
      <w:r w:rsidRPr="00346B75">
        <w:rPr>
          <w:lang w:val="en-US"/>
        </w:rPr>
        <w:t xml:space="preserve">Jansen, A. and Robertson, A.I. (2001). Riparian bird communities in relation to land management practices in floodplain woodlands of south-eastern Australia. </w:t>
      </w:r>
      <w:r w:rsidRPr="00346B75">
        <w:rPr>
          <w:i/>
          <w:iCs/>
          <w:lang w:val="en-US"/>
        </w:rPr>
        <w:t>Biological Conservation</w:t>
      </w:r>
      <w:r w:rsidRPr="00346B75">
        <w:rPr>
          <w:lang w:val="en-US"/>
        </w:rPr>
        <w:t xml:space="preserve"> </w:t>
      </w:r>
      <w:r w:rsidRPr="00346B75">
        <w:rPr>
          <w:b/>
          <w:bCs/>
          <w:lang w:val="en-US"/>
        </w:rPr>
        <w:t>100</w:t>
      </w:r>
      <w:r w:rsidRPr="00346B75">
        <w:rPr>
          <w:lang w:val="en-US"/>
        </w:rPr>
        <w:t>, 173</w:t>
      </w:r>
      <w:r>
        <w:rPr>
          <w:lang w:val="en-US"/>
        </w:rPr>
        <w:t>–</w:t>
      </w:r>
      <w:r w:rsidRPr="00346B75">
        <w:rPr>
          <w:lang w:val="en-US"/>
        </w:rPr>
        <w:t>185.</w:t>
      </w:r>
    </w:p>
    <w:p w14:paraId="2C1036A2" w14:textId="72B627CF" w:rsidR="00BB2F1E" w:rsidRPr="00346B75" w:rsidRDefault="00BB2F1E" w:rsidP="00530E59">
      <w:pPr>
        <w:rPr>
          <w:lang w:val="en-US"/>
        </w:rPr>
      </w:pPr>
      <w:r w:rsidRPr="00BB2F1E">
        <w:rPr>
          <w:lang w:val="en-US"/>
        </w:rPr>
        <w:t xml:space="preserve">James, C., Capon, S.J., White, M., Rayburg, S. and Thoms, M.C. (2007). Spatial variability of the soil seed bank in a heterogeneous ephemeral wetland system in semi-arid Australia. </w:t>
      </w:r>
      <w:r w:rsidRPr="00BB2F1E">
        <w:rPr>
          <w:i/>
          <w:iCs/>
          <w:lang w:val="en-US"/>
        </w:rPr>
        <w:t>Plant Ecology</w:t>
      </w:r>
      <w:r w:rsidRPr="00BB2F1E">
        <w:rPr>
          <w:lang w:val="en-US"/>
        </w:rPr>
        <w:t xml:space="preserve"> </w:t>
      </w:r>
      <w:r w:rsidRPr="00BB2F1E">
        <w:rPr>
          <w:b/>
          <w:bCs/>
          <w:lang w:val="en-US"/>
        </w:rPr>
        <w:t>190</w:t>
      </w:r>
      <w:r>
        <w:rPr>
          <w:lang w:val="en-US"/>
        </w:rPr>
        <w:t>,</w:t>
      </w:r>
      <w:r w:rsidRPr="00BB2F1E">
        <w:rPr>
          <w:lang w:val="en-US"/>
        </w:rPr>
        <w:t xml:space="preserve"> 205</w:t>
      </w:r>
      <w:r>
        <w:rPr>
          <w:lang w:val="en-US"/>
        </w:rPr>
        <w:t>–</w:t>
      </w:r>
      <w:r w:rsidRPr="00BB2F1E">
        <w:rPr>
          <w:lang w:val="en-US"/>
        </w:rPr>
        <w:t>217.</w:t>
      </w:r>
    </w:p>
    <w:p w14:paraId="7A32529C" w14:textId="51222D2E" w:rsidR="00530E59" w:rsidRDefault="00530E59" w:rsidP="00530E59">
      <w:r w:rsidRPr="000F3386">
        <w:t xml:space="preserve">Jenkins, K. and Boulton, A. (2003). Connectivity in a dryland river: short-term aquatic microinvertebrate recruitment following floodplain inundation. </w:t>
      </w:r>
      <w:r w:rsidRPr="000F3386">
        <w:rPr>
          <w:i/>
        </w:rPr>
        <w:t>Ecology</w:t>
      </w:r>
      <w:r w:rsidRPr="000F3386">
        <w:t xml:space="preserve"> </w:t>
      </w:r>
      <w:r w:rsidRPr="000F3386">
        <w:rPr>
          <w:b/>
        </w:rPr>
        <w:t>84</w:t>
      </w:r>
      <w:r w:rsidRPr="000F3386">
        <w:t>, 2708–2723.</w:t>
      </w:r>
    </w:p>
    <w:p w14:paraId="272C16A7" w14:textId="70A4AC97" w:rsidR="00BB2F1E" w:rsidRPr="000F3386" w:rsidRDefault="00BB2F1E" w:rsidP="00530E59">
      <w:r w:rsidRPr="00BB2F1E">
        <w:t xml:space="preserve">Jensen, A.E., Walker, K.F. and Paton, D.C. (2008). The role of seedbanks in restoration of floodplain woodlands. </w:t>
      </w:r>
      <w:r w:rsidRPr="00BB2F1E">
        <w:rPr>
          <w:i/>
          <w:iCs/>
        </w:rPr>
        <w:t>River Research and Applications</w:t>
      </w:r>
      <w:r w:rsidRPr="00BB2F1E">
        <w:t xml:space="preserve"> </w:t>
      </w:r>
      <w:r w:rsidRPr="00BB2F1E">
        <w:rPr>
          <w:b/>
          <w:bCs/>
        </w:rPr>
        <w:t>24</w:t>
      </w:r>
      <w:r>
        <w:t>,</w:t>
      </w:r>
      <w:r w:rsidRPr="00BB2F1E">
        <w:t xml:space="preserve"> 632</w:t>
      </w:r>
      <w:r>
        <w:t>–</w:t>
      </w:r>
      <w:r w:rsidRPr="00BB2F1E">
        <w:t>649.</w:t>
      </w:r>
    </w:p>
    <w:p w14:paraId="77982CF8" w14:textId="77777777" w:rsidR="00530E59" w:rsidRPr="002826E4" w:rsidRDefault="00530E59" w:rsidP="00530E59">
      <w:pPr>
        <w:rPr>
          <w:lang w:val="en-US"/>
        </w:rPr>
      </w:pPr>
      <w:r w:rsidRPr="002826E4">
        <w:rPr>
          <w:lang w:val="en-US"/>
        </w:rPr>
        <w:t>Jessop, J., Dashorst, G.R.M. and James, F.R. (2006). Grasses of South Australia. An illustrated guide to the native and naturalised species, Wakefield Press, Adelaide.</w:t>
      </w:r>
    </w:p>
    <w:p w14:paraId="24022181" w14:textId="77777777" w:rsidR="00530E59" w:rsidRPr="003F2FD1" w:rsidRDefault="00530E59" w:rsidP="00530E59">
      <w:pPr>
        <w:rPr>
          <w:lang w:val="en-US"/>
        </w:rPr>
      </w:pPr>
      <w:r w:rsidRPr="003F2FD1">
        <w:rPr>
          <w:lang w:val="en-US"/>
        </w:rPr>
        <w:t>Jessop, J.P. and To</w:t>
      </w:r>
      <w:r>
        <w:rPr>
          <w:lang w:val="en-US"/>
        </w:rPr>
        <w:t>e</w:t>
      </w:r>
      <w:r w:rsidRPr="003F2FD1">
        <w:rPr>
          <w:lang w:val="en-US"/>
        </w:rPr>
        <w:t>lken, H.R. (1986). The Flora of South Australia, Government of South Australia Printer, Adelaide.</w:t>
      </w:r>
    </w:p>
    <w:p w14:paraId="00CC0BA3" w14:textId="77777777" w:rsidR="00530E59" w:rsidRPr="00346B75" w:rsidRDefault="00530E59" w:rsidP="00530E59">
      <w:r w:rsidRPr="0088031C">
        <w:t xml:space="preserve">Junk, W.J., Bayley, P.B. and Sparks, R.E. (1989). The flood pulse concept in river-floodplain systems. </w:t>
      </w:r>
      <w:r w:rsidRPr="0088031C">
        <w:rPr>
          <w:i/>
        </w:rPr>
        <w:t>Canadian Special Publication of Fisheries a</w:t>
      </w:r>
      <w:r w:rsidRPr="00346B75">
        <w:rPr>
          <w:i/>
        </w:rPr>
        <w:t>nd Aquatic Sciences</w:t>
      </w:r>
      <w:r w:rsidRPr="00346B75">
        <w:t xml:space="preserve"> </w:t>
      </w:r>
      <w:r w:rsidRPr="00346B75">
        <w:rPr>
          <w:b/>
        </w:rPr>
        <w:t>106</w:t>
      </w:r>
      <w:r w:rsidRPr="00346B75">
        <w:t>, 110–127.</w:t>
      </w:r>
    </w:p>
    <w:p w14:paraId="2EE7216A" w14:textId="77777777" w:rsidR="00530E59" w:rsidRPr="00127EA7" w:rsidRDefault="00530E59" w:rsidP="00530E59">
      <w:pPr>
        <w:rPr>
          <w:lang w:val="en-US"/>
        </w:rPr>
      </w:pPr>
      <w:r w:rsidRPr="00346B75">
        <w:rPr>
          <w:lang w:val="en-US"/>
        </w:rPr>
        <w:t xml:space="preserve">Kadlec, R.H. </w:t>
      </w:r>
      <w:r w:rsidRPr="00127EA7">
        <w:rPr>
          <w:lang w:val="en-US"/>
        </w:rPr>
        <w:t>and Wallace, S. (2009). Treatment wetlands, CRC Press.</w:t>
      </w:r>
    </w:p>
    <w:p w14:paraId="73F9B7FF" w14:textId="77777777" w:rsidR="00530E59" w:rsidRPr="00127EA7" w:rsidRDefault="00530E59" w:rsidP="00530E59">
      <w:r w:rsidRPr="00127EA7">
        <w:t>Kaminskas, S. and Humphries, P. (2009). Diet of Murray cod (</w:t>
      </w:r>
      <w:r w:rsidRPr="00127EA7">
        <w:rPr>
          <w:i/>
        </w:rPr>
        <w:t>Maccullochella peelii peelii</w:t>
      </w:r>
      <w:r w:rsidRPr="00127EA7">
        <w:t xml:space="preserve">)(Mitchell) larvae in an Australian lowland river in low flow and high flow years. </w:t>
      </w:r>
      <w:r w:rsidRPr="00127EA7">
        <w:rPr>
          <w:i/>
        </w:rPr>
        <w:t>Hydrobiologia</w:t>
      </w:r>
      <w:r w:rsidRPr="00127EA7">
        <w:t xml:space="preserve"> </w:t>
      </w:r>
      <w:r w:rsidRPr="00127EA7">
        <w:rPr>
          <w:b/>
        </w:rPr>
        <w:t>636</w:t>
      </w:r>
      <w:r w:rsidRPr="00127EA7">
        <w:t>, 449</w:t>
      </w:r>
      <w:r>
        <w:t>–461</w:t>
      </w:r>
      <w:r w:rsidRPr="00127EA7">
        <w:t>.</w:t>
      </w:r>
    </w:p>
    <w:p w14:paraId="4E14AAD5" w14:textId="787E1EB4" w:rsidR="00530E59" w:rsidRDefault="00530E59" w:rsidP="00530E59">
      <w:pPr>
        <w:rPr>
          <w:lang w:val="en-US"/>
        </w:rPr>
      </w:pPr>
      <w:r w:rsidRPr="003F2FD1">
        <w:rPr>
          <w:lang w:val="en-US"/>
        </w:rPr>
        <w:t xml:space="preserve">Kapa, M.M. and Clarkson, B.D. (2009). Biological flora of New Zealand 11. </w:t>
      </w:r>
      <w:r w:rsidRPr="003F2FD1">
        <w:rPr>
          <w:i/>
          <w:iCs/>
          <w:lang w:val="en-US"/>
        </w:rPr>
        <w:t>Eleocharis sphacelata</w:t>
      </w:r>
      <w:r w:rsidRPr="003F2FD1">
        <w:rPr>
          <w:lang w:val="en-US"/>
        </w:rPr>
        <w:t xml:space="preserve">, kuta, paopao, bamboo spike sedge. </w:t>
      </w:r>
      <w:r w:rsidRPr="003F2FD1">
        <w:rPr>
          <w:i/>
          <w:iCs/>
          <w:lang w:val="en-US"/>
        </w:rPr>
        <w:t>New Zealand Journal of Botany</w:t>
      </w:r>
      <w:r w:rsidRPr="003F2FD1">
        <w:rPr>
          <w:lang w:val="en-US"/>
        </w:rPr>
        <w:t xml:space="preserve"> </w:t>
      </w:r>
      <w:r w:rsidRPr="003F2FD1">
        <w:rPr>
          <w:b/>
          <w:bCs/>
          <w:lang w:val="en-US"/>
        </w:rPr>
        <w:t>47</w:t>
      </w:r>
      <w:r w:rsidRPr="003F2FD1">
        <w:rPr>
          <w:lang w:val="en-US"/>
        </w:rPr>
        <w:t>, 43–52.</w:t>
      </w:r>
    </w:p>
    <w:p w14:paraId="196CD75A" w14:textId="127CCB66" w:rsidR="00BB2F1E" w:rsidRPr="003F2FD1" w:rsidRDefault="00BB2F1E" w:rsidP="00530E59">
      <w:pPr>
        <w:rPr>
          <w:lang w:val="en-US"/>
        </w:rPr>
      </w:pPr>
      <w:r w:rsidRPr="00BB2F1E">
        <w:rPr>
          <w:lang w:val="en-US"/>
        </w:rPr>
        <w:t>Kelly, D. (2017). Seed bank responses to flow bands in an arid wetland. Honours Thesis, Flinders University.</w:t>
      </w:r>
    </w:p>
    <w:p w14:paraId="09EA92E9" w14:textId="77777777" w:rsidR="00530E59" w:rsidRPr="0093711B" w:rsidRDefault="00530E59" w:rsidP="00530E59">
      <w:r w:rsidRPr="00346B75">
        <w:t xml:space="preserve">Kim, D.H., Aldridge, K.T., Brookes, J.D. and Ganf, G. (2013). The effect of salinity on the germination of </w:t>
      </w:r>
      <w:r w:rsidRPr="00B61F40">
        <w:rPr>
          <w:i/>
          <w:iCs/>
        </w:rPr>
        <w:t>Ruppia tuberosa</w:t>
      </w:r>
      <w:r w:rsidRPr="00346B75">
        <w:t xml:space="preserve"> and </w:t>
      </w:r>
      <w:r w:rsidRPr="00B61F40">
        <w:rPr>
          <w:i/>
          <w:iCs/>
        </w:rPr>
        <w:t>Ruppia megacarpa</w:t>
      </w:r>
      <w:r w:rsidRPr="00346B75">
        <w:t xml:space="preserve"> and implications for the Coorong: A </w:t>
      </w:r>
      <w:r w:rsidRPr="0093711B">
        <w:t xml:space="preserve">coastal lagoon of southern Australia. </w:t>
      </w:r>
      <w:r w:rsidRPr="00771B14">
        <w:rPr>
          <w:i/>
          <w:iCs/>
        </w:rPr>
        <w:t>Aquatic Botany</w:t>
      </w:r>
      <w:r w:rsidRPr="0093711B">
        <w:t xml:space="preserve"> </w:t>
      </w:r>
      <w:r w:rsidRPr="00771B14">
        <w:rPr>
          <w:b/>
          <w:bCs/>
        </w:rPr>
        <w:t>111</w:t>
      </w:r>
      <w:r w:rsidRPr="0093711B">
        <w:t>, 81–88.</w:t>
      </w:r>
    </w:p>
    <w:p w14:paraId="570E7F53" w14:textId="5E683EB9" w:rsidR="00530E59" w:rsidRDefault="00530E59" w:rsidP="00530E59">
      <w:r w:rsidRPr="0093711B">
        <w:t>King</w:t>
      </w:r>
      <w:r>
        <w:t>,</w:t>
      </w:r>
      <w:r w:rsidRPr="0093711B">
        <w:t xml:space="preserve"> A</w:t>
      </w:r>
      <w:r>
        <w:t>.</w:t>
      </w:r>
      <w:r w:rsidRPr="0093711B">
        <w:t>J</w:t>
      </w:r>
      <w:r>
        <w:t>.</w:t>
      </w:r>
      <w:r w:rsidRPr="0093711B">
        <w:t xml:space="preserve"> (2005)</w:t>
      </w:r>
      <w:r>
        <w:t>.</w:t>
      </w:r>
      <w:r w:rsidRPr="0093711B">
        <w:t xml:space="preserve"> Ontogenetic dietary shifts of fishes in an Australian floodplain river. </w:t>
      </w:r>
      <w:r w:rsidRPr="00771B14">
        <w:rPr>
          <w:i/>
          <w:iCs/>
        </w:rPr>
        <w:t>Marine and Freshwater Research</w:t>
      </w:r>
      <w:r w:rsidRPr="0093711B">
        <w:t xml:space="preserve"> </w:t>
      </w:r>
      <w:r w:rsidRPr="00771B14">
        <w:rPr>
          <w:b/>
          <w:bCs/>
        </w:rPr>
        <w:t>56</w:t>
      </w:r>
      <w:r>
        <w:t xml:space="preserve">, </w:t>
      </w:r>
      <w:r w:rsidRPr="0093711B">
        <w:t>215</w:t>
      </w:r>
      <w:r>
        <w:t>–</w:t>
      </w:r>
      <w:r w:rsidRPr="0093711B">
        <w:t>225.</w:t>
      </w:r>
      <w:r w:rsidRPr="00127EA7">
        <w:t>King</w:t>
      </w:r>
      <w:r>
        <w:t>,</w:t>
      </w:r>
      <w:r w:rsidRPr="00127EA7">
        <w:t xml:space="preserve"> A</w:t>
      </w:r>
      <w:r>
        <w:t>.</w:t>
      </w:r>
      <w:r w:rsidRPr="00127EA7">
        <w:t>J</w:t>
      </w:r>
      <w:r>
        <w:t>.</w:t>
      </w:r>
      <w:r w:rsidRPr="00127EA7">
        <w:t>, Tonkin</w:t>
      </w:r>
      <w:r>
        <w:t>,</w:t>
      </w:r>
      <w:r w:rsidRPr="00127EA7">
        <w:t xml:space="preserve"> Z</w:t>
      </w:r>
      <w:r>
        <w:t>. and</w:t>
      </w:r>
      <w:r w:rsidRPr="00127EA7">
        <w:t xml:space="preserve"> Mahoney</w:t>
      </w:r>
      <w:r>
        <w:t>,</w:t>
      </w:r>
      <w:r w:rsidRPr="00127EA7">
        <w:t xml:space="preserve"> J</w:t>
      </w:r>
      <w:r>
        <w:t>.</w:t>
      </w:r>
      <w:r w:rsidRPr="00127EA7">
        <w:t xml:space="preserve"> (2009)</w:t>
      </w:r>
      <w:r>
        <w:t>.</w:t>
      </w:r>
      <w:r w:rsidRPr="00127EA7">
        <w:t xml:space="preserve"> Environmental flow enhances native fish spawning and recruitment in the Murray River, Australia. </w:t>
      </w:r>
      <w:r w:rsidRPr="00771B14">
        <w:rPr>
          <w:i/>
          <w:iCs/>
        </w:rPr>
        <w:t>River Research and Applications</w:t>
      </w:r>
      <w:r w:rsidRPr="00127EA7">
        <w:t xml:space="preserve"> </w:t>
      </w:r>
      <w:r w:rsidRPr="00771B14">
        <w:rPr>
          <w:b/>
          <w:bCs/>
        </w:rPr>
        <w:t>25</w:t>
      </w:r>
      <w:r>
        <w:t xml:space="preserve">, </w:t>
      </w:r>
      <w:r w:rsidRPr="00127EA7">
        <w:t>1205</w:t>
      </w:r>
      <w:r>
        <w:t>–</w:t>
      </w:r>
      <w:r w:rsidRPr="00127EA7">
        <w:t>1218.</w:t>
      </w:r>
    </w:p>
    <w:p w14:paraId="603B312C" w14:textId="5A099C2F" w:rsidR="007631D9" w:rsidRPr="00127EA7" w:rsidRDefault="007631D9" w:rsidP="00530E59">
      <w:r w:rsidRPr="007631D9">
        <w:t>Kiørboe, T., Saiz,</w:t>
      </w:r>
      <w:r>
        <w:t xml:space="preserve"> E.,</w:t>
      </w:r>
      <w:r w:rsidRPr="007631D9">
        <w:t xml:space="preserve"> Tiselius</w:t>
      </w:r>
      <w:r>
        <w:t>, P.</w:t>
      </w:r>
      <w:r w:rsidRPr="007631D9">
        <w:t xml:space="preserve"> and Andersen</w:t>
      </w:r>
      <w:r>
        <w:t>, K.H.</w:t>
      </w:r>
      <w:r w:rsidRPr="007631D9">
        <w:t xml:space="preserve"> (2018). Adaptive feeding behavior and functional responses in zooplankton. </w:t>
      </w:r>
      <w:r w:rsidRPr="007631D9">
        <w:rPr>
          <w:i/>
          <w:iCs/>
        </w:rPr>
        <w:t>Limnology and Oceanography</w:t>
      </w:r>
      <w:r w:rsidRPr="007631D9">
        <w:t xml:space="preserve"> </w:t>
      </w:r>
      <w:r w:rsidRPr="007631D9">
        <w:rPr>
          <w:b/>
          <w:bCs/>
        </w:rPr>
        <w:t>63</w:t>
      </w:r>
      <w:r w:rsidRPr="007631D9">
        <w:t>: 308</w:t>
      </w:r>
      <w:r>
        <w:t>–</w:t>
      </w:r>
      <w:r w:rsidRPr="007631D9">
        <w:t>321.</w:t>
      </w:r>
    </w:p>
    <w:p w14:paraId="623778FA" w14:textId="77777777" w:rsidR="00530E59" w:rsidRPr="00C70D04" w:rsidRDefault="00530E59" w:rsidP="00530E59">
      <w:r w:rsidRPr="00D813A6">
        <w:t xml:space="preserve">Kingsford, R.T. (2000). Ecological impacts of dams, water diversions and river management on </w:t>
      </w:r>
      <w:r w:rsidRPr="00C70D04">
        <w:t xml:space="preserve">floodplain wetlands in Australia. </w:t>
      </w:r>
      <w:r w:rsidRPr="00C70D04">
        <w:rPr>
          <w:i/>
        </w:rPr>
        <w:t>Austral Ecology</w:t>
      </w:r>
      <w:r w:rsidRPr="00C70D04">
        <w:t xml:space="preserve"> </w:t>
      </w:r>
      <w:r w:rsidRPr="00C70D04">
        <w:rPr>
          <w:b/>
        </w:rPr>
        <w:t>25</w:t>
      </w:r>
      <w:r w:rsidRPr="00C70D04">
        <w:t>, 109–127.</w:t>
      </w:r>
    </w:p>
    <w:p w14:paraId="05290942" w14:textId="77777777" w:rsidR="00530E59" w:rsidRPr="00C70D04" w:rsidRDefault="00530E59" w:rsidP="00530E59">
      <w:r w:rsidRPr="00C70D04">
        <w:t xml:space="preserve">Koehn, J.D. (2009). Multi-scale habitat selection by Murray cod </w:t>
      </w:r>
      <w:r w:rsidRPr="00C70D04">
        <w:rPr>
          <w:i/>
          <w:iCs/>
        </w:rPr>
        <w:t>Maccullochella peelii peelii</w:t>
      </w:r>
      <w:r w:rsidRPr="00C70D04">
        <w:t xml:space="preserve"> in two lowland rivers. </w:t>
      </w:r>
      <w:r w:rsidRPr="00C70D04">
        <w:rPr>
          <w:i/>
          <w:iCs/>
        </w:rPr>
        <w:t>Journal of Fish Biology</w:t>
      </w:r>
      <w:r w:rsidRPr="00C70D04">
        <w:t xml:space="preserve"> </w:t>
      </w:r>
      <w:r w:rsidRPr="00C70D04">
        <w:rPr>
          <w:b/>
          <w:bCs/>
        </w:rPr>
        <w:t>75</w:t>
      </w:r>
      <w:r w:rsidRPr="00C70D04">
        <w:t>, 113–129.</w:t>
      </w:r>
    </w:p>
    <w:p w14:paraId="5F21C3A7" w14:textId="17E0AACF" w:rsidR="00E36347" w:rsidRDefault="00E36347" w:rsidP="00E36347">
      <w:r>
        <w:t xml:space="preserve">Koehn, J. D., Balcombe, S. R., Baumgartner, L. J., Bice, C. M., Burndred, K., Ellis, I., Koster, W. M., Lintermans, M., Pearce, L., Sharpe, C., Stuart, I., and Todd, C. (2020a). What is needed to restore native fishes in the Murray–Darling Basin? </w:t>
      </w:r>
      <w:r w:rsidRPr="00300626">
        <w:rPr>
          <w:i/>
          <w:iCs/>
        </w:rPr>
        <w:t>Marine and Freshwater Research</w:t>
      </w:r>
      <w:r>
        <w:t xml:space="preserve"> </w:t>
      </w:r>
      <w:r w:rsidRPr="00300626">
        <w:rPr>
          <w:b/>
          <w:bCs/>
        </w:rPr>
        <w:t>71</w:t>
      </w:r>
      <w:r>
        <w:t>, 1464–1468. doi:10.1071/MF20248</w:t>
      </w:r>
      <w:r w:rsidR="00300626">
        <w:t>.</w:t>
      </w:r>
    </w:p>
    <w:p w14:paraId="1254D4D0" w14:textId="047A97D8" w:rsidR="00530E59" w:rsidRDefault="00530E59" w:rsidP="00E36347">
      <w:r w:rsidRPr="0059173F">
        <w:t xml:space="preserve">Koehn, J.D., King, A.J., Beesley, L., Copeland, C., Zampatti, B.P. and Mallen-Cooper, M. (2014). Flows for native fish in the Murray–Darling Basin: lessons and considerations for future management. </w:t>
      </w:r>
      <w:r w:rsidRPr="0059173F">
        <w:rPr>
          <w:i/>
        </w:rPr>
        <w:t>Ecological Management and Restoration</w:t>
      </w:r>
      <w:r w:rsidRPr="0059173F">
        <w:t xml:space="preserve"> </w:t>
      </w:r>
      <w:r w:rsidRPr="0059173F">
        <w:rPr>
          <w:b/>
        </w:rPr>
        <w:t>15</w:t>
      </w:r>
      <w:r w:rsidRPr="0059173F">
        <w:t>, 40–50.</w:t>
      </w:r>
    </w:p>
    <w:p w14:paraId="6E1FE334" w14:textId="5893D5FB" w:rsidR="00E36347" w:rsidRDefault="00E36347" w:rsidP="00E36347">
      <w:r>
        <w:t xml:space="preserve">Koehn, J. D., Raymond, S. A., Stuart, I., Todd, C. R., Balcombe, S. R., Zampatti, B. P., Bamford, H., Ingram, B. A., Bice, C., Burndred, K., Butler, G., Baumgartner, L., Clunie, P., Ellis, I., Forbes, J., Hutchison, M., Koster, W., Lintermans, M., Lyon, J. P., Mallen-Cooper, M., McLellan, M., Pearce, L., Ryall, J., Sharpe, C., Stoessel, D. J., Thiem, J. D., Tonkin, Z., Townsend, A., and Ye, Q. (2020b). A compendium of ecological knowledge for restoration of freshwater fishes in the Murray– Darling Basin. </w:t>
      </w:r>
      <w:r w:rsidRPr="00300626">
        <w:rPr>
          <w:i/>
          <w:iCs/>
        </w:rPr>
        <w:t>Marine and Freshwater Research</w:t>
      </w:r>
      <w:r>
        <w:t xml:space="preserve"> </w:t>
      </w:r>
      <w:r w:rsidRPr="00300626">
        <w:rPr>
          <w:b/>
          <w:bCs/>
        </w:rPr>
        <w:t>71</w:t>
      </w:r>
      <w:r>
        <w:t>, 1391–1463. doi:10.1071/MF20127.</w:t>
      </w:r>
    </w:p>
    <w:p w14:paraId="66451DA3" w14:textId="53C6DA23" w:rsidR="00BB2F1E" w:rsidRDefault="00BB2F1E" w:rsidP="00BB2F1E">
      <w:r>
        <w:t>Leck, M.A. (1989). Wetland seed banks. In Leck, M.A., Parker, V.T., Simpson, R.L. (eds). The Ecology of Soil Seed Banks. pp. 283–308, Academic Press Inc., San Diego, California.</w:t>
      </w:r>
    </w:p>
    <w:p w14:paraId="3A84D46D" w14:textId="5C3B3C8D" w:rsidR="00BB2F1E" w:rsidRPr="0059173F" w:rsidRDefault="00BB2F1E" w:rsidP="00BB2F1E">
      <w:r>
        <w:t xml:space="preserve">Leck, M.A. and Brock, M.A. (2000) Ecological and evolutionary trends in wetlands: evidence from seeds and seed banks in New South Wales, Australia and New Jersey, USA. </w:t>
      </w:r>
      <w:r w:rsidRPr="00BB2F1E">
        <w:rPr>
          <w:i/>
          <w:iCs/>
        </w:rPr>
        <w:t>Plant Species Biology</w:t>
      </w:r>
      <w:r>
        <w:t xml:space="preserve"> </w:t>
      </w:r>
      <w:r w:rsidRPr="00BB2F1E">
        <w:rPr>
          <w:b/>
          <w:bCs/>
        </w:rPr>
        <w:t>15</w:t>
      </w:r>
      <w:r>
        <w:t>, 97–112.</w:t>
      </w:r>
    </w:p>
    <w:p w14:paraId="5B74ED01" w14:textId="77777777" w:rsidR="00530E59" w:rsidRPr="00346B75" w:rsidRDefault="00530E59" w:rsidP="00530E59">
      <w:pPr>
        <w:rPr>
          <w:lang w:val="en-US"/>
        </w:rPr>
      </w:pPr>
      <w:r w:rsidRPr="00346B75">
        <w:rPr>
          <w:lang w:val="en-US"/>
        </w:rPr>
        <w:t xml:space="preserve">Li, E.H., Li, W., Wang, X.L., Xue, H.P. and Xiao, F. (2010). Experiment of emergent macrophytes growing in contaminated sludge: implication for sediment purification and lake restoration. </w:t>
      </w:r>
      <w:r w:rsidRPr="00346B75">
        <w:rPr>
          <w:i/>
          <w:iCs/>
          <w:lang w:val="en-US"/>
        </w:rPr>
        <w:t>Ecological Engineering</w:t>
      </w:r>
      <w:r w:rsidRPr="00346B75">
        <w:rPr>
          <w:lang w:val="en-US"/>
        </w:rPr>
        <w:t xml:space="preserve"> </w:t>
      </w:r>
      <w:r w:rsidRPr="00346B75">
        <w:rPr>
          <w:b/>
          <w:bCs/>
          <w:lang w:val="en-US"/>
        </w:rPr>
        <w:t>36</w:t>
      </w:r>
      <w:r w:rsidRPr="00346B75">
        <w:rPr>
          <w:lang w:val="en-US"/>
        </w:rPr>
        <w:t>, 427</w:t>
      </w:r>
      <w:r>
        <w:rPr>
          <w:lang w:val="en-US"/>
        </w:rPr>
        <w:t>–</w:t>
      </w:r>
      <w:r w:rsidRPr="00346B75">
        <w:rPr>
          <w:lang w:val="en-US"/>
        </w:rPr>
        <w:t>434.</w:t>
      </w:r>
    </w:p>
    <w:p w14:paraId="2FB5171B" w14:textId="77777777" w:rsidR="00530E59" w:rsidRDefault="00530E59" w:rsidP="00530E59">
      <w:pPr>
        <w:rPr>
          <w:lang w:val="en-US"/>
        </w:rPr>
      </w:pPr>
      <w:r w:rsidRPr="0059173F">
        <w:rPr>
          <w:lang w:val="en-US"/>
        </w:rPr>
        <w:t xml:space="preserve">Lintermans, M. (2007). Fishes of the Murray-Darling Basin: An Introductory Guide. Murray-Darling Basin </w:t>
      </w:r>
      <w:r w:rsidRPr="00127E7F">
        <w:rPr>
          <w:lang w:val="en-US"/>
        </w:rPr>
        <w:t>Commission, Canberra.</w:t>
      </w:r>
    </w:p>
    <w:p w14:paraId="5144352F" w14:textId="77777777" w:rsidR="00530E59" w:rsidRPr="00BC2A5A" w:rsidRDefault="00530E59" w:rsidP="00530E59">
      <w:pPr>
        <w:rPr>
          <w:highlight w:val="yellow"/>
        </w:rPr>
      </w:pPr>
      <w:r w:rsidRPr="00912A2A">
        <w:t>Lintermans, M. and Phillips, B. (2005). Management of Murray Cod in the Murray-Darling Basin (pp. 64</w:t>
      </w:r>
      <w:r>
        <w:t>–</w:t>
      </w:r>
      <w:r w:rsidRPr="00912A2A">
        <w:t>69). Australia: Murray-Darling Basin Commission.</w:t>
      </w:r>
    </w:p>
    <w:p w14:paraId="40B925C3" w14:textId="77777777" w:rsidR="00530E59" w:rsidRPr="00127E7F" w:rsidRDefault="00530E59" w:rsidP="00530E59">
      <w:r w:rsidRPr="00127E7F">
        <w:t>McCullough</w:t>
      </w:r>
      <w:r>
        <w:t>,</w:t>
      </w:r>
      <w:r w:rsidRPr="00127E7F">
        <w:t xml:space="preserve"> R</w:t>
      </w:r>
      <w:r>
        <w:t>.</w:t>
      </w:r>
      <w:r w:rsidRPr="00127E7F">
        <w:t>D</w:t>
      </w:r>
      <w:r>
        <w:t>. and</w:t>
      </w:r>
      <w:r w:rsidRPr="00127E7F">
        <w:t xml:space="preserve"> Stanley</w:t>
      </w:r>
      <w:r>
        <w:t>,</w:t>
      </w:r>
      <w:r w:rsidRPr="00127E7F">
        <w:t xml:space="preserve"> J</w:t>
      </w:r>
      <w:r>
        <w:t>.</w:t>
      </w:r>
      <w:r w:rsidRPr="00127E7F">
        <w:t>G</w:t>
      </w:r>
      <w:r>
        <w:t>.</w:t>
      </w:r>
      <w:r w:rsidRPr="00127E7F">
        <w:t xml:space="preserve"> (1981)</w:t>
      </w:r>
      <w:r>
        <w:t>.</w:t>
      </w:r>
      <w:r w:rsidRPr="00127E7F">
        <w:t xml:space="preserve"> Feeding Niche Dimensions in Larval Rainbow Smelt</w:t>
      </w:r>
      <w:r>
        <w:t xml:space="preserve"> </w:t>
      </w:r>
      <w:r w:rsidRPr="00127E7F">
        <w:t>(</w:t>
      </w:r>
      <w:r w:rsidRPr="00771B14">
        <w:rPr>
          <w:i/>
          <w:iCs/>
        </w:rPr>
        <w:t>Osmerus mordax</w:t>
      </w:r>
      <w:r w:rsidRPr="00127E7F">
        <w:t xml:space="preserve">). </w:t>
      </w:r>
      <w:r w:rsidRPr="00771B14">
        <w:rPr>
          <w:i/>
          <w:iCs/>
        </w:rPr>
        <w:t>Rapports et Proces-Verbaux des Reunion Conseil International pour l’Exploration de la Mer</w:t>
      </w:r>
      <w:r>
        <w:t xml:space="preserve"> </w:t>
      </w:r>
      <w:r w:rsidRPr="00771B14">
        <w:rPr>
          <w:b/>
          <w:bCs/>
        </w:rPr>
        <w:t>178</w:t>
      </w:r>
      <w:r>
        <w:t>, 352–354.</w:t>
      </w:r>
    </w:p>
    <w:p w14:paraId="19EA93F1" w14:textId="77777777" w:rsidR="00530E59" w:rsidRPr="003F2FD1" w:rsidRDefault="00530E59" w:rsidP="00530E59">
      <w:r w:rsidRPr="0059173F">
        <w:t xml:space="preserve">McCullough, D.P., Montazeri, M. and Esprey, L. (2017). Update and calibration of Pike and Katarapko floodplain flexible mesh </w:t>
      </w:r>
      <w:r w:rsidRPr="003F2FD1">
        <w:t>models. DEWNR Technical note 2017/11, Government of South Australia, Department of Environment, Water and Natural Resources, Adelaide.</w:t>
      </w:r>
    </w:p>
    <w:p w14:paraId="573A3FD1" w14:textId="77777777" w:rsidR="00530E59" w:rsidRPr="003F2FD1" w:rsidRDefault="00530E59" w:rsidP="00530E59">
      <w:pPr>
        <w:rPr>
          <w:lang w:val="en-US"/>
        </w:rPr>
      </w:pPr>
      <w:r w:rsidRPr="003F2FD1">
        <w:rPr>
          <w:lang w:val="en-US"/>
        </w:rPr>
        <w:t>McCune, B. and Mefford, M.J. (2006). PC-ORD. Multivariate Analysis of Ecological Data, Version 5.12, MjM Software Design, Glenden Beach, Oregon, USA.</w:t>
      </w:r>
    </w:p>
    <w:p w14:paraId="5BB5CDF4" w14:textId="68AAE6C6" w:rsidR="00BB2F1E" w:rsidRDefault="00530E59" w:rsidP="00530E59">
      <w:pPr>
        <w:rPr>
          <w:lang w:val="en-US"/>
        </w:rPr>
      </w:pPr>
      <w:r w:rsidRPr="003F2FD1">
        <w:rPr>
          <w:lang w:val="en-US"/>
        </w:rPr>
        <w:t>McCune, B., Grace, J.B. and Urban, D.L. (2002). Analysis of Ecological Communities, MjM Software Design, Gleneden Beach, Oregon.</w:t>
      </w:r>
    </w:p>
    <w:p w14:paraId="0ABBBA01" w14:textId="6EA8C5B6" w:rsidR="00530E59" w:rsidRPr="00346B75" w:rsidRDefault="00530E59" w:rsidP="00530E59">
      <w:pPr>
        <w:rPr>
          <w:lang w:val="en-US"/>
        </w:rPr>
      </w:pPr>
      <w:r w:rsidRPr="00346B75">
        <w:rPr>
          <w:lang w:val="en-US"/>
        </w:rPr>
        <w:t xml:space="preserve">Maddison, M., Mauring, T., Remm, K., Lesta, M. and Mander, U. (2009). Dynamics of </w:t>
      </w:r>
      <w:r w:rsidRPr="00346B75">
        <w:rPr>
          <w:i/>
          <w:iCs/>
          <w:lang w:val="en-US"/>
        </w:rPr>
        <w:t>Typha latifolia</w:t>
      </w:r>
      <w:r w:rsidRPr="00346B75">
        <w:rPr>
          <w:lang w:val="en-US"/>
        </w:rPr>
        <w:t xml:space="preserve"> L. populations in treatment wetlands in Estonia. </w:t>
      </w:r>
      <w:r w:rsidRPr="00346B75">
        <w:rPr>
          <w:i/>
          <w:iCs/>
          <w:lang w:val="en-US"/>
        </w:rPr>
        <w:t>Ecological Engineering</w:t>
      </w:r>
      <w:r w:rsidRPr="00346B75">
        <w:rPr>
          <w:lang w:val="en-US"/>
        </w:rPr>
        <w:t xml:space="preserve"> </w:t>
      </w:r>
      <w:r w:rsidRPr="00346B75">
        <w:rPr>
          <w:b/>
          <w:bCs/>
          <w:lang w:val="en-US"/>
        </w:rPr>
        <w:t>35</w:t>
      </w:r>
      <w:r w:rsidRPr="00346B75">
        <w:rPr>
          <w:lang w:val="en-US"/>
        </w:rPr>
        <w:t>, 258</w:t>
      </w:r>
      <w:r>
        <w:rPr>
          <w:lang w:val="en-US"/>
        </w:rPr>
        <w:t>–</w:t>
      </w:r>
      <w:r w:rsidRPr="00346B75">
        <w:rPr>
          <w:lang w:val="en-US"/>
        </w:rPr>
        <w:t>264.</w:t>
      </w:r>
    </w:p>
    <w:p w14:paraId="5EDB60E6" w14:textId="64C1AD93" w:rsidR="00530E59" w:rsidRDefault="00E7089B" w:rsidP="00530E59">
      <w:r w:rsidRPr="00E7089B">
        <w:t>Magurran</w:t>
      </w:r>
      <w:r>
        <w:t>,</w:t>
      </w:r>
      <w:r w:rsidRPr="00E7089B">
        <w:t xml:space="preserve"> A</w:t>
      </w:r>
      <w:r>
        <w:t>.</w:t>
      </w:r>
      <w:r w:rsidRPr="00E7089B">
        <w:t>E</w:t>
      </w:r>
      <w:r>
        <w:t>. and</w:t>
      </w:r>
      <w:r w:rsidRPr="00E7089B">
        <w:t xml:space="preserve"> McGill</w:t>
      </w:r>
      <w:r>
        <w:t>,</w:t>
      </w:r>
      <w:r w:rsidRPr="00E7089B">
        <w:t xml:space="preserve"> B</w:t>
      </w:r>
      <w:r>
        <w:t>.</w:t>
      </w:r>
      <w:r w:rsidRPr="00E7089B">
        <w:t>J</w:t>
      </w:r>
      <w:r>
        <w:t>.</w:t>
      </w:r>
      <w:r w:rsidRPr="00E7089B">
        <w:t xml:space="preserve"> (2011)</w:t>
      </w:r>
      <w:r>
        <w:t>.</w:t>
      </w:r>
      <w:r w:rsidRPr="00E7089B">
        <w:t xml:space="preserve"> Biological diversity: frontiers in measurement and assessment. Oxford University Press</w:t>
      </w:r>
      <w:r>
        <w:t>.</w:t>
      </w:r>
    </w:p>
    <w:p w14:paraId="752CC567" w14:textId="034CFC3B" w:rsidR="0089667B" w:rsidRDefault="0089667B" w:rsidP="00530E59">
      <w:r w:rsidRPr="0089667B">
        <w:t xml:space="preserve">Mahardja, B., Farruggia, M.J., Schreier, B. and Sommer, T. (2017). Evidence of a shift in the littoral fish community of the Sacramento-San Joaquin Delta. </w:t>
      </w:r>
      <w:r w:rsidRPr="0089667B">
        <w:rPr>
          <w:i/>
          <w:iCs/>
        </w:rPr>
        <w:t xml:space="preserve">PLoS ONE </w:t>
      </w:r>
      <w:r w:rsidRPr="0089667B">
        <w:rPr>
          <w:b/>
          <w:bCs/>
        </w:rPr>
        <w:t>12</w:t>
      </w:r>
      <w:r>
        <w:t>,</w:t>
      </w:r>
      <w:r w:rsidRPr="0089667B">
        <w:t xml:space="preserve"> e0170683 https://doi.org/10.1371/journal.pone.0170683</w:t>
      </w:r>
      <w:r>
        <w:t>.</w:t>
      </w:r>
    </w:p>
    <w:p w14:paraId="21213BA9" w14:textId="77777777" w:rsidR="00530E59" w:rsidRPr="00D813A6" w:rsidRDefault="00530E59" w:rsidP="00530E59">
      <w:r w:rsidRPr="00D813A6">
        <w:t xml:space="preserve">Maheshwari, B.L., Walker, K.F. and McMahon, T.A. (1995). Effects of regulation on the flow regime of the Murray River, Australia. </w:t>
      </w:r>
      <w:r w:rsidRPr="00D813A6">
        <w:rPr>
          <w:i/>
        </w:rPr>
        <w:t>Regulated Rivers: Research and Management</w:t>
      </w:r>
      <w:r w:rsidRPr="00D813A6">
        <w:t xml:space="preserve"> </w:t>
      </w:r>
      <w:r w:rsidRPr="00D813A6">
        <w:rPr>
          <w:b/>
        </w:rPr>
        <w:t>10</w:t>
      </w:r>
      <w:r w:rsidRPr="00D813A6">
        <w:t>, 15–38.</w:t>
      </w:r>
    </w:p>
    <w:p w14:paraId="12FA8FA6" w14:textId="77777777" w:rsidR="00530E59" w:rsidRPr="0059509B" w:rsidRDefault="00530E59" w:rsidP="00530E59">
      <w:pPr>
        <w:rPr>
          <w:bCs/>
        </w:rPr>
      </w:pPr>
      <w:r w:rsidRPr="0059509B">
        <w:rPr>
          <w:bCs/>
        </w:rPr>
        <w:t xml:space="preserve">Mallen-Cooper, M. and Stuart, I.G. (2003). Age, growth and non-flood recruitment of two potamodromous fishes in a large semi-arid/temperate river system. </w:t>
      </w:r>
      <w:r w:rsidRPr="0059509B">
        <w:rPr>
          <w:bCs/>
          <w:i/>
        </w:rPr>
        <w:t>River Research and Applications</w:t>
      </w:r>
      <w:r w:rsidRPr="0059509B">
        <w:rPr>
          <w:bCs/>
        </w:rPr>
        <w:t xml:space="preserve"> </w:t>
      </w:r>
      <w:r w:rsidRPr="0059509B">
        <w:rPr>
          <w:b/>
          <w:bCs/>
        </w:rPr>
        <w:t>19</w:t>
      </w:r>
      <w:r w:rsidRPr="0059509B">
        <w:rPr>
          <w:bCs/>
        </w:rPr>
        <w:t>, 697–719.</w:t>
      </w:r>
    </w:p>
    <w:p w14:paraId="31659132" w14:textId="77777777" w:rsidR="00530E59" w:rsidRPr="0059173F" w:rsidRDefault="00530E59" w:rsidP="00530E59">
      <w:pPr>
        <w:rPr>
          <w:bCs/>
        </w:rPr>
      </w:pPr>
      <w:r w:rsidRPr="0059509B">
        <w:rPr>
          <w:bCs/>
        </w:rPr>
        <w:t xml:space="preserve">Mallen-Cooper, M. and Zampatti, B.P. (2018). History, hydrology and hydraulics: Rethinking the ecological management of large rivers. </w:t>
      </w:r>
      <w:r w:rsidRPr="0059509B">
        <w:rPr>
          <w:bCs/>
          <w:i/>
        </w:rPr>
        <w:t>Ecohydrology</w:t>
      </w:r>
      <w:r w:rsidRPr="0059509B">
        <w:rPr>
          <w:bCs/>
        </w:rPr>
        <w:t xml:space="preserve"> </w:t>
      </w:r>
      <w:r w:rsidRPr="0059509B">
        <w:rPr>
          <w:b/>
          <w:bCs/>
        </w:rPr>
        <w:t>11</w:t>
      </w:r>
      <w:r w:rsidRPr="0059509B">
        <w:rPr>
          <w:bCs/>
        </w:rPr>
        <w:t xml:space="preserve">, e1965 </w:t>
      </w:r>
      <w:hyperlink r:id="rId134" w:history="1">
        <w:r w:rsidRPr="00DC3F52">
          <w:rPr>
            <w:rStyle w:val="Hyperlink"/>
            <w:bCs/>
            <w:color w:val="auto"/>
            <w:u w:val="none"/>
          </w:rPr>
          <w:t>https://doi</w:t>
        </w:r>
      </w:hyperlink>
      <w:r w:rsidRPr="0059509B">
        <w:rPr>
          <w:bCs/>
        </w:rPr>
        <w:t>.org</w:t>
      </w:r>
      <w:r w:rsidRPr="0059173F">
        <w:rPr>
          <w:bCs/>
        </w:rPr>
        <w:t>/10.1002/eco.1965.</w:t>
      </w:r>
    </w:p>
    <w:p w14:paraId="2080065B" w14:textId="77777777" w:rsidR="00530E59" w:rsidRPr="0059509B" w:rsidRDefault="00530E59" w:rsidP="00530E59">
      <w:r w:rsidRPr="0059509B">
        <w:t>Marc</w:t>
      </w:r>
      <w:r>
        <w:t>,</w:t>
      </w:r>
      <w:r w:rsidRPr="0059509B">
        <w:t xml:space="preserve"> S</w:t>
      </w:r>
      <w:r>
        <w:t>.</w:t>
      </w:r>
      <w:r w:rsidRPr="0059509B">
        <w:t>, Catherine</w:t>
      </w:r>
      <w:r>
        <w:t>,</w:t>
      </w:r>
      <w:r w:rsidRPr="0059509B">
        <w:t xml:space="preserve"> J</w:t>
      </w:r>
      <w:r>
        <w:t>.</w:t>
      </w:r>
      <w:r w:rsidRPr="0059509B">
        <w:t>H</w:t>
      </w:r>
      <w:r>
        <w:t>.</w:t>
      </w:r>
      <w:r w:rsidRPr="0059509B">
        <w:t>, Carolyn</w:t>
      </w:r>
      <w:r>
        <w:t>,</w:t>
      </w:r>
      <w:r w:rsidRPr="0059509B">
        <w:t xml:space="preserve"> W</w:t>
      </w:r>
      <w:r>
        <w:t>.</w:t>
      </w:r>
      <w:r w:rsidRPr="0059509B">
        <w:t>B</w:t>
      </w:r>
      <w:r>
        <w:t>.</w:t>
      </w:r>
      <w:r w:rsidRPr="0059509B">
        <w:t xml:space="preserve"> (2003)</w:t>
      </w:r>
      <w:r>
        <w:t>.</w:t>
      </w:r>
      <w:r w:rsidRPr="0059509B">
        <w:t xml:space="preserve"> Consequences of climate-induced salinity increases on zooplankton abundance and diversity in coastal lakes. </w:t>
      </w:r>
      <w:r w:rsidRPr="00DC3F52">
        <w:rPr>
          <w:i/>
          <w:iCs/>
        </w:rPr>
        <w:t>Marine Ecology Progress Series</w:t>
      </w:r>
      <w:r w:rsidRPr="0059509B">
        <w:t xml:space="preserve"> </w:t>
      </w:r>
      <w:r w:rsidRPr="00DC3F52">
        <w:rPr>
          <w:b/>
          <w:bCs/>
        </w:rPr>
        <w:t>251</w:t>
      </w:r>
      <w:r>
        <w:t xml:space="preserve">, </w:t>
      </w:r>
      <w:r w:rsidRPr="0059509B">
        <w:t>181</w:t>
      </w:r>
      <w:r>
        <w:t>–</w:t>
      </w:r>
      <w:r w:rsidRPr="0059509B">
        <w:t>189</w:t>
      </w:r>
      <w:r>
        <w:t>.</w:t>
      </w:r>
    </w:p>
    <w:p w14:paraId="6A8086B4" w14:textId="17F0B674" w:rsidR="00530E59" w:rsidRDefault="00530E59" w:rsidP="00530E59">
      <w:pPr>
        <w:rPr>
          <w:bCs/>
        </w:rPr>
      </w:pPr>
      <w:r w:rsidRPr="00346B75">
        <w:rPr>
          <w:bCs/>
        </w:rPr>
        <w:t xml:space="preserve">Marra, J. and Barber, R.T. (2004). Phytoplankton and heterotrophic respiration in the surface layer of the ocean. </w:t>
      </w:r>
      <w:r w:rsidRPr="00346B75">
        <w:rPr>
          <w:bCs/>
          <w:i/>
        </w:rPr>
        <w:t>Geophysical Research Letters</w:t>
      </w:r>
      <w:r w:rsidRPr="00346B75">
        <w:rPr>
          <w:bCs/>
        </w:rPr>
        <w:t xml:space="preserve"> </w:t>
      </w:r>
      <w:r w:rsidRPr="00346B75">
        <w:rPr>
          <w:b/>
          <w:bCs/>
        </w:rPr>
        <w:t>31</w:t>
      </w:r>
      <w:r w:rsidRPr="00346B75">
        <w:rPr>
          <w:bCs/>
        </w:rPr>
        <w:t>. Doi:10.1029/2004GL019664.</w:t>
      </w:r>
    </w:p>
    <w:p w14:paraId="3679A0BF" w14:textId="7CA2BEB8" w:rsidR="004B34C3" w:rsidRDefault="004B34C3" w:rsidP="008B2D8A">
      <w:pPr>
        <w:rPr>
          <w:bCs/>
        </w:rPr>
      </w:pPr>
      <w:r w:rsidRPr="004B34C3">
        <w:rPr>
          <w:bCs/>
        </w:rPr>
        <w:t>McNeil D.G., Westergaard S., Cheshire K.J.M., Noell C.J. and Ye Q. (2013). Effects of hypersaline conditions upon six estuarine fish species from the Coorong and Murray Mouth. South Australian Research and Development Institute (Aquatic Sciences), Adelaide. SARDI Publication No. F2009/000014-4. SARDI Research Report Series No. 700. 27pp.</w:t>
      </w:r>
    </w:p>
    <w:p w14:paraId="6776C57E" w14:textId="0AC13267" w:rsidR="008B2D8A" w:rsidRDefault="008B2D8A" w:rsidP="008B2D8A">
      <w:pPr>
        <w:rPr>
          <w:bCs/>
        </w:rPr>
      </w:pPr>
      <w:r w:rsidRPr="008B2D8A">
        <w:rPr>
          <w:bCs/>
        </w:rPr>
        <w:t>Muller K.L. and Creeper</w:t>
      </w:r>
      <w:r w:rsidR="004B34C3">
        <w:rPr>
          <w:bCs/>
        </w:rPr>
        <w:t xml:space="preserve"> N.L.</w:t>
      </w:r>
      <w:r w:rsidRPr="008B2D8A">
        <w:rPr>
          <w:bCs/>
        </w:rPr>
        <w:t xml:space="preserve"> (2021).  Weir Pool Operations Plan for River Murray Locks 6 to 1. Part Two: Operating Plan for Locks 6 to 1.  A report for Department of Environment and Water, Government of South Australia, Adelaide SA 5000</w:t>
      </w:r>
      <w:r>
        <w:rPr>
          <w:bCs/>
        </w:rPr>
        <w:t>.</w:t>
      </w:r>
    </w:p>
    <w:p w14:paraId="089436FE" w14:textId="32399E32" w:rsidR="00DD241A" w:rsidRPr="00346B75" w:rsidRDefault="00DD241A" w:rsidP="00DD241A">
      <w:pPr>
        <w:rPr>
          <w:bCs/>
        </w:rPr>
      </w:pPr>
      <w:r w:rsidRPr="00DD241A">
        <w:rPr>
          <w:bCs/>
        </w:rPr>
        <w:t>Murray–Darling Basin Authority (2011)</w:t>
      </w:r>
      <w:r>
        <w:rPr>
          <w:bCs/>
        </w:rPr>
        <w:t>.</w:t>
      </w:r>
      <w:r w:rsidRPr="00DD241A">
        <w:rPr>
          <w:bCs/>
        </w:rPr>
        <w:t xml:space="preserve"> The proposed “environmentally sustainable level of take” for surface water of</w:t>
      </w:r>
      <w:r>
        <w:rPr>
          <w:bCs/>
        </w:rPr>
        <w:t xml:space="preserve"> </w:t>
      </w:r>
      <w:r w:rsidRPr="00DD241A">
        <w:rPr>
          <w:bCs/>
        </w:rPr>
        <w:t>the Murray-Darling Basin: Methods and outcomes</w:t>
      </w:r>
      <w:r>
        <w:rPr>
          <w:bCs/>
        </w:rPr>
        <w:t>.</w:t>
      </w:r>
      <w:r w:rsidRPr="00DD241A">
        <w:rPr>
          <w:bCs/>
        </w:rPr>
        <w:t xml:space="preserve"> MDBA </w:t>
      </w:r>
      <w:r>
        <w:rPr>
          <w:bCs/>
        </w:rPr>
        <w:t>P</w:t>
      </w:r>
      <w:r w:rsidRPr="00DD241A">
        <w:rPr>
          <w:bCs/>
        </w:rPr>
        <w:t xml:space="preserve">ublication </w:t>
      </w:r>
      <w:r>
        <w:rPr>
          <w:bCs/>
        </w:rPr>
        <w:t>N</w:t>
      </w:r>
      <w:r w:rsidRPr="00DD241A">
        <w:rPr>
          <w:bCs/>
        </w:rPr>
        <w:t>o</w:t>
      </w:r>
      <w:r>
        <w:rPr>
          <w:bCs/>
        </w:rPr>
        <w:t>.</w:t>
      </w:r>
      <w:r w:rsidRPr="00DD241A">
        <w:rPr>
          <w:bCs/>
        </w:rPr>
        <w:t xml:space="preserve"> 226/11, Murray</w:t>
      </w:r>
      <w:r>
        <w:rPr>
          <w:bCs/>
        </w:rPr>
        <w:t xml:space="preserve"> </w:t>
      </w:r>
      <w:r w:rsidRPr="00DD241A">
        <w:rPr>
          <w:bCs/>
        </w:rPr>
        <w:t>Darling Basin Authority, Canberra</w:t>
      </w:r>
      <w:r>
        <w:rPr>
          <w:bCs/>
        </w:rPr>
        <w:t>.</w:t>
      </w:r>
    </w:p>
    <w:p w14:paraId="5FBCA9B0" w14:textId="77777777" w:rsidR="00530E59" w:rsidRPr="00346B75" w:rsidRDefault="00530E59" w:rsidP="00530E59">
      <w:pPr>
        <w:rPr>
          <w:bCs/>
        </w:rPr>
      </w:pPr>
      <w:r w:rsidRPr="00346B75">
        <w:rPr>
          <w:bCs/>
        </w:rPr>
        <w:t>Murray–Darling Basin Authority (2012). Basin Plan. Murray–Darling Basin Authority, Canberra.</w:t>
      </w:r>
    </w:p>
    <w:p w14:paraId="63C6C045" w14:textId="77777777" w:rsidR="00530E59" w:rsidRPr="0059173F" w:rsidRDefault="00530E59" w:rsidP="00530E59">
      <w:pPr>
        <w:rPr>
          <w:bCs/>
        </w:rPr>
      </w:pPr>
      <w:r w:rsidRPr="0059173F">
        <w:rPr>
          <w:bCs/>
        </w:rPr>
        <w:t>Murray–Darling Basin Commission (2006). The River Murray channel icon site environmental management plan. Murray–Darling Basin Commission, Canberra.</w:t>
      </w:r>
    </w:p>
    <w:p w14:paraId="5ACAF028" w14:textId="77777777" w:rsidR="00530E59" w:rsidRDefault="00530E59" w:rsidP="00530E59">
      <w:r w:rsidRPr="0059173F">
        <w:t>Montazeri, M., Gibbs, M. (2019). Production of 80,000 ML/day flood inundation map for the South Australian section of River Murray. DEW Technical note 2019, Government of South Australia, Department for Environment and Water, Adelaide.</w:t>
      </w:r>
    </w:p>
    <w:p w14:paraId="366C073F" w14:textId="612CAB32" w:rsidR="00530E59" w:rsidRPr="0059173F" w:rsidRDefault="00E7089B" w:rsidP="00530E59">
      <w:r w:rsidRPr="00E7089B">
        <w:t>Nandini</w:t>
      </w:r>
      <w:r>
        <w:t>,</w:t>
      </w:r>
      <w:r w:rsidRPr="00E7089B">
        <w:t xml:space="preserve"> S</w:t>
      </w:r>
      <w:r>
        <w:t>. and</w:t>
      </w:r>
      <w:r w:rsidRPr="00E7089B">
        <w:t xml:space="preserve"> Rao</w:t>
      </w:r>
      <w:r>
        <w:t>,</w:t>
      </w:r>
      <w:r w:rsidRPr="00E7089B">
        <w:t xml:space="preserve"> T</w:t>
      </w:r>
      <w:r>
        <w:t>.</w:t>
      </w:r>
      <w:r w:rsidRPr="00E7089B">
        <w:t xml:space="preserve"> (1997)</w:t>
      </w:r>
      <w:r>
        <w:t>.</w:t>
      </w:r>
      <w:r w:rsidRPr="00E7089B">
        <w:t xml:space="preserve"> Somatic and population growth in selected cladoceran and rotifer species offered the cyanobacterium it </w:t>
      </w:r>
      <w:r w:rsidRPr="00E7089B">
        <w:rPr>
          <w:i/>
          <w:iCs/>
        </w:rPr>
        <w:t>Microcystis aeruginosa</w:t>
      </w:r>
      <w:r w:rsidRPr="00E7089B">
        <w:t xml:space="preserve"> as food. </w:t>
      </w:r>
      <w:r w:rsidRPr="00E7089B">
        <w:rPr>
          <w:i/>
          <w:iCs/>
        </w:rPr>
        <w:t>Aquatic Ecology</w:t>
      </w:r>
      <w:r w:rsidRPr="00E7089B">
        <w:t xml:space="preserve"> </w:t>
      </w:r>
      <w:r w:rsidRPr="00E7089B">
        <w:rPr>
          <w:b/>
          <w:bCs/>
        </w:rPr>
        <w:t>31</w:t>
      </w:r>
      <w:r>
        <w:t xml:space="preserve">, </w:t>
      </w:r>
      <w:r w:rsidRPr="00E7089B">
        <w:t>283</w:t>
      </w:r>
      <w:r>
        <w:t>–</w:t>
      </w:r>
      <w:r w:rsidRPr="00E7089B">
        <w:t>298</w:t>
      </w:r>
      <w:r>
        <w:t>.</w:t>
      </w:r>
    </w:p>
    <w:p w14:paraId="695ED81F" w14:textId="77777777" w:rsidR="00530E59" w:rsidRPr="0093711B" w:rsidRDefault="00530E59" w:rsidP="00530E59">
      <w:r w:rsidRPr="0093711B">
        <w:t xml:space="preserve">Narum, S.R. (2006). Beyond Bonferroni: Less conservative analyses for conservation genetics. </w:t>
      </w:r>
      <w:r w:rsidRPr="0093711B">
        <w:rPr>
          <w:i/>
        </w:rPr>
        <w:t>Conservation Genetics</w:t>
      </w:r>
      <w:r w:rsidRPr="0093711B">
        <w:t xml:space="preserve"> </w:t>
      </w:r>
      <w:r w:rsidRPr="0093711B">
        <w:rPr>
          <w:b/>
        </w:rPr>
        <w:t>7</w:t>
      </w:r>
      <w:r w:rsidRPr="0093711B">
        <w:t>, 783–787.</w:t>
      </w:r>
    </w:p>
    <w:p w14:paraId="76960E1A" w14:textId="77777777" w:rsidR="00530E59" w:rsidRPr="003F2FD1" w:rsidRDefault="00530E59" w:rsidP="00530E59">
      <w:pPr>
        <w:rPr>
          <w:lang w:val="en-US"/>
        </w:rPr>
      </w:pPr>
      <w:r w:rsidRPr="0093711B">
        <w:rPr>
          <w:lang w:val="en-US"/>
        </w:rPr>
        <w:t xml:space="preserve">Nicol, J.M. (2004) </w:t>
      </w:r>
      <w:r w:rsidRPr="003F2FD1">
        <w:rPr>
          <w:lang w:val="en-US"/>
        </w:rPr>
        <w:t>Vegetation Dynamics of the Menindee Lakes with Reference to the Seed Bank. PhD, The University of Adelaide, Adelaide.</w:t>
      </w:r>
    </w:p>
    <w:p w14:paraId="75A7EA69" w14:textId="0C2224FF" w:rsidR="00530E59" w:rsidRDefault="00530E59" w:rsidP="00530E59">
      <w:pPr>
        <w:rPr>
          <w:lang w:val="en-US"/>
        </w:rPr>
      </w:pPr>
      <w:r w:rsidRPr="00F15181">
        <w:rPr>
          <w:lang w:val="en-US"/>
        </w:rPr>
        <w:t>Nicol, J.M. (2012). Understory vegetation monitoring of Chowilla environmental watering Sites 2008-12, p. 64, South Australian Research and Development Institute (Aquatic Sciences), Adelaide.</w:t>
      </w:r>
    </w:p>
    <w:p w14:paraId="21220A01" w14:textId="35EE74BB" w:rsidR="00DB4B43" w:rsidRPr="00F15181" w:rsidRDefault="00DB4B43" w:rsidP="00530E59">
      <w:pPr>
        <w:rPr>
          <w:lang w:val="en-US"/>
        </w:rPr>
      </w:pPr>
      <w:r w:rsidRPr="00F15181">
        <w:rPr>
          <w:lang w:val="en-US"/>
        </w:rPr>
        <w:t xml:space="preserve">Nicol, J.M., Frahn, K.A., Fredberg, J.F., Gehrig, S.L., Marsland, K.B. and Weedon, J.T. (2018a). Chowilla Icon Site </w:t>
      </w:r>
      <w:r w:rsidRPr="003F2FD1">
        <w:rPr>
          <w:lang w:val="en-US"/>
        </w:rPr>
        <w:t>– Floodplain Vegetation Monitoring 2018 Interim Report, p. 70, South Australian Research and Development Institute (Aquatic Sciences), Adelaide.</w:t>
      </w:r>
    </w:p>
    <w:p w14:paraId="45D8BECC" w14:textId="77777777" w:rsidR="00530E59" w:rsidRPr="00F15181" w:rsidRDefault="00530E59" w:rsidP="00530E59">
      <w:pPr>
        <w:rPr>
          <w:lang w:val="en-US"/>
        </w:rPr>
      </w:pPr>
      <w:r w:rsidRPr="00F15181">
        <w:rPr>
          <w:lang w:val="en-US"/>
        </w:rPr>
        <w:t>Nicol, J.M., Frahn, K.A., Fredberg, J., Gehrig, S.L., Marsland, K.B. and Weedon, J.T. (2020). Chowilla Icon Site – Floodplain Vegetation Monitoring 2019 Interim Report p. 74, South Australian Research and Development Institute (Aquatic Sciences), Adelaide.</w:t>
      </w:r>
    </w:p>
    <w:p w14:paraId="089A10F9" w14:textId="77777777" w:rsidR="00530E59" w:rsidRPr="003F2FD1" w:rsidRDefault="00530E59" w:rsidP="00530E59">
      <w:pPr>
        <w:rPr>
          <w:lang w:val="en-US"/>
        </w:rPr>
      </w:pPr>
      <w:r w:rsidRPr="003F2FD1">
        <w:rPr>
          <w:lang w:val="en-US"/>
        </w:rPr>
        <w:t xml:space="preserve">Nicol, J.M., Ganf, G.G. and Pelton, G.A. (2003). Seed banks of a southern Australian wetland: the influence of water regime on final species composition. </w:t>
      </w:r>
      <w:r w:rsidRPr="003F2FD1">
        <w:rPr>
          <w:i/>
          <w:iCs/>
          <w:lang w:val="en-US"/>
        </w:rPr>
        <w:t>Plant Ecology</w:t>
      </w:r>
      <w:r w:rsidRPr="003F2FD1">
        <w:rPr>
          <w:lang w:val="en-US"/>
        </w:rPr>
        <w:t xml:space="preserve"> </w:t>
      </w:r>
      <w:r w:rsidRPr="003F2FD1">
        <w:rPr>
          <w:b/>
          <w:bCs/>
          <w:lang w:val="en-US"/>
        </w:rPr>
        <w:t>168</w:t>
      </w:r>
      <w:r w:rsidRPr="003F2FD1">
        <w:rPr>
          <w:lang w:val="en-US"/>
        </w:rPr>
        <w:t>, 191-205.</w:t>
      </w:r>
    </w:p>
    <w:p w14:paraId="1989C673" w14:textId="77777777" w:rsidR="00530E59" w:rsidRPr="003F2FD1" w:rsidRDefault="00530E59" w:rsidP="00530E59">
      <w:pPr>
        <w:rPr>
          <w:lang w:val="en-US"/>
        </w:rPr>
      </w:pPr>
      <w:r w:rsidRPr="003F2FD1">
        <w:rPr>
          <w:lang w:val="en-US"/>
        </w:rPr>
        <w:t xml:space="preserve">Nicol, J.M., Ganf, G.G., Walker, K.F. and Gawne, B. (2018b). Response of three arid zone floodplain plant species to inundation. </w:t>
      </w:r>
      <w:r w:rsidRPr="003F2FD1">
        <w:rPr>
          <w:i/>
          <w:iCs/>
          <w:lang w:val="en-US"/>
        </w:rPr>
        <w:t>Plant Ecology</w:t>
      </w:r>
      <w:r w:rsidRPr="003F2FD1">
        <w:rPr>
          <w:lang w:val="en-US"/>
        </w:rPr>
        <w:t xml:space="preserve"> </w:t>
      </w:r>
      <w:r w:rsidRPr="003F2FD1">
        <w:rPr>
          <w:b/>
          <w:bCs/>
          <w:lang w:val="en-US"/>
        </w:rPr>
        <w:t>219</w:t>
      </w:r>
      <w:r w:rsidRPr="003F2FD1">
        <w:rPr>
          <w:lang w:val="en-US"/>
        </w:rPr>
        <w:t>, 57-67.</w:t>
      </w:r>
    </w:p>
    <w:p w14:paraId="558EE0C6" w14:textId="1B1B8642" w:rsidR="00530E59" w:rsidRDefault="00530E59" w:rsidP="00530E59">
      <w:pPr>
        <w:rPr>
          <w:lang w:val="en-US"/>
        </w:rPr>
      </w:pPr>
      <w:r w:rsidRPr="003F2FD1">
        <w:rPr>
          <w:lang w:val="en-US"/>
        </w:rPr>
        <w:t xml:space="preserve">Nicol, J.M., Marsland, K.B. and Weedon, J.T. (2010). Understorey vegetation monitoring of Chowilla </w:t>
      </w:r>
      <w:r w:rsidRPr="0059509B">
        <w:rPr>
          <w:lang w:val="en-US"/>
        </w:rPr>
        <w:t>environmental watering sites 2004-08, p. 87, South Australian Research and Development Institute, Adelaide.</w:t>
      </w:r>
    </w:p>
    <w:p w14:paraId="09FA5BA2" w14:textId="3F830E4E" w:rsidR="00BA2DE6" w:rsidRDefault="00BA2DE6" w:rsidP="00530E59">
      <w:pPr>
        <w:rPr>
          <w:lang w:val="en-US"/>
        </w:rPr>
      </w:pPr>
      <w:r w:rsidRPr="00BA2DE6">
        <w:rPr>
          <w:lang w:val="en-US"/>
        </w:rPr>
        <w:t xml:space="preserve">Nicol, J., Muston, S., D'Santos, P., McCarthy, B. and Zukowski, S. (2007). The impact of sheep grazing on the soil seed bank of a managed ephemeral wetland: implications for management. </w:t>
      </w:r>
      <w:r w:rsidRPr="00BA2DE6">
        <w:rPr>
          <w:i/>
          <w:iCs/>
          <w:lang w:val="en-US"/>
        </w:rPr>
        <w:t>Australian Journal of Botany</w:t>
      </w:r>
      <w:r w:rsidRPr="00BA2DE6">
        <w:rPr>
          <w:lang w:val="en-US"/>
        </w:rPr>
        <w:t xml:space="preserve"> 55</w:t>
      </w:r>
      <w:r>
        <w:rPr>
          <w:lang w:val="en-US"/>
        </w:rPr>
        <w:t xml:space="preserve">, </w:t>
      </w:r>
      <w:r w:rsidRPr="00BA2DE6">
        <w:rPr>
          <w:lang w:val="en-US"/>
        </w:rPr>
        <w:t>103</w:t>
      </w:r>
      <w:r>
        <w:rPr>
          <w:lang w:val="en-US"/>
        </w:rPr>
        <w:t>–</w:t>
      </w:r>
      <w:r w:rsidRPr="00BA2DE6">
        <w:rPr>
          <w:lang w:val="en-US"/>
        </w:rPr>
        <w:t>109.</w:t>
      </w:r>
    </w:p>
    <w:p w14:paraId="21C8A952" w14:textId="723E8C04" w:rsidR="00BA2DE6" w:rsidRPr="0059509B" w:rsidRDefault="00BA2DE6" w:rsidP="00530E59">
      <w:pPr>
        <w:rPr>
          <w:lang w:val="en-US"/>
        </w:rPr>
      </w:pPr>
      <w:r w:rsidRPr="00BA2DE6">
        <w:rPr>
          <w:lang w:val="en-US"/>
        </w:rPr>
        <w:t>Nicol, J. and Ward, R. (2010). Seed bank assessment of Goolwa Channel, Lower Finniss River and Lower Currency Creek. South Australian Research and Development Institute (Aquatic Sciences), Adelaide, 39pp, SARDI Publication No. F2010/000303-1.</w:t>
      </w:r>
    </w:p>
    <w:p w14:paraId="6551F234" w14:textId="648E61F3" w:rsidR="00530E59" w:rsidRDefault="00530E59" w:rsidP="00530E59">
      <w:pPr>
        <w:rPr>
          <w:lang w:val="en-US"/>
        </w:rPr>
      </w:pPr>
      <w:r w:rsidRPr="0059509B">
        <w:rPr>
          <w:lang w:val="en-US"/>
        </w:rPr>
        <w:t>Nielsen</w:t>
      </w:r>
      <w:r>
        <w:rPr>
          <w:lang w:val="en-US"/>
        </w:rPr>
        <w:t>,</w:t>
      </w:r>
      <w:r w:rsidRPr="0059509B">
        <w:rPr>
          <w:lang w:val="en-US"/>
        </w:rPr>
        <w:t xml:space="preserve"> D</w:t>
      </w:r>
      <w:r>
        <w:rPr>
          <w:lang w:val="en-US"/>
        </w:rPr>
        <w:t>.</w:t>
      </w:r>
      <w:r w:rsidRPr="0059509B">
        <w:rPr>
          <w:lang w:val="en-US"/>
        </w:rPr>
        <w:t>L</w:t>
      </w:r>
      <w:r>
        <w:rPr>
          <w:lang w:val="en-US"/>
        </w:rPr>
        <w:t>.</w:t>
      </w:r>
      <w:r w:rsidRPr="0059509B">
        <w:rPr>
          <w:lang w:val="en-US"/>
        </w:rPr>
        <w:t>, Brock</w:t>
      </w:r>
      <w:r>
        <w:rPr>
          <w:lang w:val="en-US"/>
        </w:rPr>
        <w:t>,</w:t>
      </w:r>
      <w:r w:rsidRPr="0059509B">
        <w:rPr>
          <w:lang w:val="en-US"/>
        </w:rPr>
        <w:t xml:space="preserve"> M</w:t>
      </w:r>
      <w:r>
        <w:rPr>
          <w:lang w:val="en-US"/>
        </w:rPr>
        <w:t>.</w:t>
      </w:r>
      <w:r w:rsidRPr="0059509B">
        <w:rPr>
          <w:lang w:val="en-US"/>
        </w:rPr>
        <w:t>A</w:t>
      </w:r>
      <w:r>
        <w:rPr>
          <w:lang w:val="en-US"/>
        </w:rPr>
        <w:t>.</w:t>
      </w:r>
      <w:r w:rsidRPr="0059509B">
        <w:rPr>
          <w:lang w:val="en-US"/>
        </w:rPr>
        <w:t>, Vogel</w:t>
      </w:r>
      <w:r>
        <w:rPr>
          <w:lang w:val="en-US"/>
        </w:rPr>
        <w:t>,</w:t>
      </w:r>
      <w:r w:rsidRPr="0059509B">
        <w:rPr>
          <w:lang w:val="en-US"/>
        </w:rPr>
        <w:t xml:space="preserve"> M</w:t>
      </w:r>
      <w:r>
        <w:rPr>
          <w:lang w:val="en-US"/>
        </w:rPr>
        <w:t>. and</w:t>
      </w:r>
      <w:r w:rsidRPr="0059509B">
        <w:rPr>
          <w:lang w:val="en-US"/>
        </w:rPr>
        <w:t xml:space="preserve"> Petrie</w:t>
      </w:r>
      <w:r>
        <w:rPr>
          <w:lang w:val="en-US"/>
        </w:rPr>
        <w:t>,</w:t>
      </w:r>
      <w:r w:rsidRPr="0059509B">
        <w:rPr>
          <w:lang w:val="en-US"/>
        </w:rPr>
        <w:t xml:space="preserve"> R</w:t>
      </w:r>
      <w:r>
        <w:rPr>
          <w:lang w:val="en-US"/>
        </w:rPr>
        <w:t>.</w:t>
      </w:r>
      <w:r w:rsidRPr="0059509B">
        <w:rPr>
          <w:lang w:val="en-US"/>
        </w:rPr>
        <w:t xml:space="preserve"> (2008)</w:t>
      </w:r>
      <w:r>
        <w:rPr>
          <w:lang w:val="en-US"/>
        </w:rPr>
        <w:t>.</w:t>
      </w:r>
      <w:r w:rsidRPr="0059509B">
        <w:rPr>
          <w:lang w:val="en-US"/>
        </w:rPr>
        <w:t xml:space="preserve"> From fresh to saline: a comparison of zooplankton and plant communities developing under a gradient of salinity with communities developing under constant salinity levels. </w:t>
      </w:r>
      <w:r w:rsidRPr="00DC3F52">
        <w:rPr>
          <w:i/>
          <w:iCs/>
          <w:lang w:val="en-US"/>
        </w:rPr>
        <w:t>Marine and Freshwater Research</w:t>
      </w:r>
      <w:r w:rsidRPr="0059509B">
        <w:rPr>
          <w:lang w:val="en-US"/>
        </w:rPr>
        <w:t xml:space="preserve"> </w:t>
      </w:r>
      <w:r w:rsidRPr="00DC3F52">
        <w:rPr>
          <w:b/>
          <w:bCs/>
          <w:lang w:val="en-US"/>
        </w:rPr>
        <w:t>59</w:t>
      </w:r>
      <w:r>
        <w:rPr>
          <w:lang w:val="en-US"/>
        </w:rPr>
        <w:t xml:space="preserve">, </w:t>
      </w:r>
      <w:r w:rsidRPr="0059509B">
        <w:rPr>
          <w:lang w:val="en-US"/>
        </w:rPr>
        <w:t>549</w:t>
      </w:r>
      <w:r>
        <w:rPr>
          <w:lang w:val="en-US"/>
        </w:rPr>
        <w:t>–</w:t>
      </w:r>
      <w:r w:rsidRPr="0059509B">
        <w:rPr>
          <w:lang w:val="en-US"/>
        </w:rPr>
        <w:t>559.</w:t>
      </w:r>
    </w:p>
    <w:p w14:paraId="40C3CD38" w14:textId="2918696B" w:rsidR="00BA2DE6" w:rsidRPr="00BA2DE6" w:rsidRDefault="00BA2DE6" w:rsidP="00BA2DE6">
      <w:pPr>
        <w:rPr>
          <w:lang w:val="en-US"/>
        </w:rPr>
      </w:pPr>
      <w:r w:rsidRPr="00BA2DE6">
        <w:rPr>
          <w:lang w:val="en-US"/>
        </w:rPr>
        <w:t xml:space="preserve">Nilsson, C., Andersson, E., Merritt, D.M. and Johansson, M.E. (2002). Difference in riparian flora between riverbanks and lakeshores explained by dispersal traits. </w:t>
      </w:r>
      <w:r w:rsidRPr="00BA2DE6">
        <w:rPr>
          <w:i/>
          <w:iCs/>
          <w:lang w:val="en-US"/>
        </w:rPr>
        <w:t>Ecology</w:t>
      </w:r>
      <w:r w:rsidRPr="00BA2DE6">
        <w:rPr>
          <w:lang w:val="en-US"/>
        </w:rPr>
        <w:t xml:space="preserve"> </w:t>
      </w:r>
      <w:r w:rsidRPr="00BA2DE6">
        <w:rPr>
          <w:b/>
          <w:bCs/>
          <w:lang w:val="en-US"/>
        </w:rPr>
        <w:t>83</w:t>
      </w:r>
      <w:r>
        <w:rPr>
          <w:lang w:val="en-US"/>
        </w:rPr>
        <w:t>,</w:t>
      </w:r>
      <w:r w:rsidRPr="00BA2DE6">
        <w:rPr>
          <w:lang w:val="en-US"/>
        </w:rPr>
        <w:t xml:space="preserve"> 2878</w:t>
      </w:r>
      <w:r>
        <w:rPr>
          <w:lang w:val="en-US"/>
        </w:rPr>
        <w:t>–</w:t>
      </w:r>
      <w:r w:rsidRPr="00BA2DE6">
        <w:rPr>
          <w:lang w:val="en-US"/>
        </w:rPr>
        <w:t>2887.</w:t>
      </w:r>
    </w:p>
    <w:p w14:paraId="455081B7" w14:textId="23C2DF1E" w:rsidR="00BA2DE6" w:rsidRPr="0059509B" w:rsidRDefault="00BA2DE6" w:rsidP="00BA2DE6">
      <w:pPr>
        <w:rPr>
          <w:lang w:val="en-US"/>
        </w:rPr>
      </w:pPr>
      <w:r w:rsidRPr="00BA2DE6">
        <w:rPr>
          <w:lang w:val="en-US"/>
        </w:rPr>
        <w:t xml:space="preserve">Nilsson, C., Gardfjell, M. and Grelsson, G. (1991). Importance of hydrochory in structuring plant communities along rivers. </w:t>
      </w:r>
      <w:r w:rsidRPr="00BA2DE6">
        <w:rPr>
          <w:i/>
          <w:iCs/>
          <w:lang w:val="en-US"/>
        </w:rPr>
        <w:t>Canadian Journal of Botany</w:t>
      </w:r>
      <w:r w:rsidRPr="00BA2DE6">
        <w:rPr>
          <w:lang w:val="en-US"/>
        </w:rPr>
        <w:t xml:space="preserve"> </w:t>
      </w:r>
      <w:r w:rsidRPr="00BA2DE6">
        <w:rPr>
          <w:b/>
          <w:bCs/>
          <w:lang w:val="en-US"/>
        </w:rPr>
        <w:t>69</w:t>
      </w:r>
      <w:r>
        <w:rPr>
          <w:lang w:val="en-US"/>
        </w:rPr>
        <w:t>,</w:t>
      </w:r>
      <w:r w:rsidRPr="00BA2DE6">
        <w:rPr>
          <w:lang w:val="en-US"/>
        </w:rPr>
        <w:t xml:space="preserve"> 2631</w:t>
      </w:r>
      <w:r>
        <w:rPr>
          <w:lang w:val="en-US"/>
        </w:rPr>
        <w:t>–</w:t>
      </w:r>
      <w:r w:rsidRPr="00BA2DE6">
        <w:rPr>
          <w:lang w:val="en-US"/>
        </w:rPr>
        <w:t>2633.</w:t>
      </w:r>
    </w:p>
    <w:p w14:paraId="13C5B2C6" w14:textId="77777777" w:rsidR="00530E59" w:rsidRDefault="00530E59" w:rsidP="00530E59">
      <w:pPr>
        <w:rPr>
          <w:lang w:val="en-US"/>
        </w:rPr>
      </w:pPr>
      <w:r w:rsidRPr="001850B4">
        <w:rPr>
          <w:lang w:val="en-US"/>
        </w:rPr>
        <w:t xml:space="preserve">Obertegger, U., Flaim, G., Braioni, M., Sommaruga, R., Corradini, F. and Borsato, A. (2007). Water residence time as a driving force of zooplankton structure and succession. </w:t>
      </w:r>
      <w:r w:rsidRPr="00DC3F52">
        <w:rPr>
          <w:i/>
          <w:iCs/>
          <w:lang w:val="en-US"/>
        </w:rPr>
        <w:t>Aquatic Sciences - Research Across Boundaries</w:t>
      </w:r>
      <w:r w:rsidRPr="001850B4">
        <w:rPr>
          <w:lang w:val="en-US"/>
        </w:rPr>
        <w:t xml:space="preserve"> </w:t>
      </w:r>
      <w:r w:rsidRPr="00DC3F52">
        <w:rPr>
          <w:b/>
          <w:bCs/>
          <w:lang w:val="en-US"/>
        </w:rPr>
        <w:t>69</w:t>
      </w:r>
      <w:r w:rsidRPr="001850B4">
        <w:rPr>
          <w:lang w:val="en-US"/>
        </w:rPr>
        <w:t>, 575–583.</w:t>
      </w:r>
    </w:p>
    <w:p w14:paraId="22680F67" w14:textId="77777777" w:rsidR="00530E59" w:rsidRPr="0059173F" w:rsidRDefault="00530E59" w:rsidP="00530E59">
      <w:r w:rsidRPr="0059173F">
        <w:t xml:space="preserve">Odum, H.T. (1956). Primary production in flowing waters. </w:t>
      </w:r>
      <w:r w:rsidRPr="0059173F">
        <w:rPr>
          <w:i/>
        </w:rPr>
        <w:t>Limnology and Oceanography</w:t>
      </w:r>
      <w:r w:rsidRPr="0059173F">
        <w:t xml:space="preserve"> </w:t>
      </w:r>
      <w:r w:rsidRPr="0059173F">
        <w:rPr>
          <w:b/>
        </w:rPr>
        <w:t>1</w:t>
      </w:r>
      <w:r w:rsidRPr="0059173F">
        <w:t>, 102–117.</w:t>
      </w:r>
    </w:p>
    <w:p w14:paraId="0D23A21C" w14:textId="77777777" w:rsidR="00530E59" w:rsidRPr="0059173F" w:rsidRDefault="00530E59" w:rsidP="00530E59">
      <w:r w:rsidRPr="0059173F">
        <w:t>Oliver, R.L. and Lorenz, Z. (2010). Flow and metabolic activity in the channel of the Murray River. Ecosystem Response Modelling in the Murray-Darling Basin N. Saintilan and I. Overton, CSIRO Publishing: 267–280.</w:t>
      </w:r>
    </w:p>
    <w:p w14:paraId="2B0ECEC9" w14:textId="77777777" w:rsidR="00530E59" w:rsidRPr="0059173F" w:rsidRDefault="00530E59" w:rsidP="00530E59">
      <w:r w:rsidRPr="0059173F">
        <w:t xml:space="preserve">Oliver, R. L. and Merrick, C. (2006). Partitioning of river metabolism identifies phytoplankton as a major contributor in the regulated Murray River (Australia). </w:t>
      </w:r>
      <w:r w:rsidRPr="0059173F">
        <w:rPr>
          <w:i/>
        </w:rPr>
        <w:t>Freshwater Biology</w:t>
      </w:r>
      <w:r w:rsidRPr="0059173F">
        <w:t xml:space="preserve"> </w:t>
      </w:r>
      <w:r w:rsidRPr="0059173F">
        <w:rPr>
          <w:b/>
        </w:rPr>
        <w:t>51</w:t>
      </w:r>
      <w:r w:rsidRPr="0059173F">
        <w:t>, 1131–1148.</w:t>
      </w:r>
    </w:p>
    <w:p w14:paraId="721FBADA" w14:textId="77777777" w:rsidR="00530E59" w:rsidRPr="009E4C4F" w:rsidRDefault="00530E59" w:rsidP="00530E59">
      <w:pPr>
        <w:rPr>
          <w:lang w:val="en-US"/>
        </w:rPr>
      </w:pPr>
      <w:r w:rsidRPr="003F2FD1">
        <w:rPr>
          <w:lang w:val="en-US"/>
        </w:rPr>
        <w:t xml:space="preserve">Papas, P. (2007). Effect of macrophytes on aquatic invertebrates – a literature review, p. 21, Arthur Rylah Institute for Environmental Research, Department of Sustainability and Environment </w:t>
      </w:r>
      <w:r w:rsidRPr="009E4C4F">
        <w:rPr>
          <w:lang w:val="en-US"/>
        </w:rPr>
        <w:t>and Melbourne Water, Melbourne.</w:t>
      </w:r>
    </w:p>
    <w:p w14:paraId="2C275659" w14:textId="1FDFAD36" w:rsidR="00070DFF" w:rsidRDefault="00070DFF" w:rsidP="00530E59">
      <w:pPr>
        <w:rPr>
          <w:lang w:val="en-US"/>
        </w:rPr>
      </w:pPr>
      <w:r w:rsidRPr="00070DFF">
        <w:rPr>
          <w:lang w:val="en-US"/>
        </w:rPr>
        <w:t xml:space="preserve">Perrsson, J. and Vrede, T. (2006). Polyunsaturated fatty acids in zooplankton: variation due to taxonomy and trophic position. </w:t>
      </w:r>
      <w:r w:rsidRPr="00070DFF">
        <w:rPr>
          <w:i/>
          <w:iCs/>
          <w:lang w:val="en-US"/>
        </w:rPr>
        <w:t>Freshwater Biology</w:t>
      </w:r>
      <w:r w:rsidRPr="00070DFF">
        <w:rPr>
          <w:lang w:val="en-US"/>
        </w:rPr>
        <w:t xml:space="preserve"> </w:t>
      </w:r>
      <w:r w:rsidRPr="00070DFF">
        <w:rPr>
          <w:b/>
          <w:bCs/>
          <w:lang w:val="en-US"/>
        </w:rPr>
        <w:t>51</w:t>
      </w:r>
      <w:r w:rsidRPr="00070DFF">
        <w:rPr>
          <w:lang w:val="en-US"/>
        </w:rPr>
        <w:t>, 887–900.</w:t>
      </w:r>
    </w:p>
    <w:p w14:paraId="46502220" w14:textId="131F2050" w:rsidR="00530E59" w:rsidRPr="009E4C4F" w:rsidRDefault="00530E59" w:rsidP="00530E59">
      <w:pPr>
        <w:rPr>
          <w:lang w:val="en-US"/>
        </w:rPr>
      </w:pPr>
      <w:r w:rsidRPr="009E4C4F">
        <w:rPr>
          <w:lang w:val="en-US"/>
        </w:rPr>
        <w:t xml:space="preserve">Pettit, N.E. and Froend, R.H. (2001). Variability in flood disturbance and the impact on riparian tree recruitment in two contrasting river systems. </w:t>
      </w:r>
      <w:r w:rsidRPr="009E4C4F">
        <w:rPr>
          <w:i/>
          <w:iCs/>
          <w:lang w:val="en-US"/>
        </w:rPr>
        <w:t>Wetlands Ecology and Management</w:t>
      </w:r>
      <w:r w:rsidRPr="009E4C4F">
        <w:rPr>
          <w:lang w:val="en-US"/>
        </w:rPr>
        <w:t xml:space="preserve"> </w:t>
      </w:r>
      <w:r w:rsidRPr="009E4C4F">
        <w:rPr>
          <w:b/>
          <w:bCs/>
          <w:lang w:val="en-US"/>
        </w:rPr>
        <w:t>9</w:t>
      </w:r>
      <w:r w:rsidRPr="009E4C4F">
        <w:rPr>
          <w:lang w:val="en-US"/>
        </w:rPr>
        <w:t>, 13</w:t>
      </w:r>
      <w:r>
        <w:rPr>
          <w:lang w:val="en-US"/>
        </w:rPr>
        <w:t>–</w:t>
      </w:r>
      <w:r w:rsidRPr="009E4C4F">
        <w:rPr>
          <w:lang w:val="en-US"/>
        </w:rPr>
        <w:t>25.</w:t>
      </w:r>
    </w:p>
    <w:p w14:paraId="0B39F2E1" w14:textId="77777777" w:rsidR="00530E59" w:rsidRPr="00346B75" w:rsidRDefault="00530E59" w:rsidP="00530E59">
      <w:pPr>
        <w:rPr>
          <w:lang w:val="en-US"/>
        </w:rPr>
      </w:pPr>
      <w:r w:rsidRPr="009E4C4F">
        <w:rPr>
          <w:lang w:val="en-US"/>
        </w:rPr>
        <w:t>Phillips, W. and Muller</w:t>
      </w:r>
      <w:r w:rsidRPr="00346B75">
        <w:rPr>
          <w:lang w:val="en-US"/>
        </w:rPr>
        <w:t>, K. (2006). Ecological character of the Coorong, Lakes Alexandrina and Albert Wetland of International Importance. South Australian Department for Environment and Heritage.</w:t>
      </w:r>
    </w:p>
    <w:p w14:paraId="49275FA1" w14:textId="7F25CFDA" w:rsidR="00530E59" w:rsidRDefault="00530E59" w:rsidP="00530E59">
      <w:r w:rsidRPr="0088031C">
        <w:t xml:space="preserve">Poff, N.L., Allan, J.D., Bain, M.B., Karr, J.R., Prestegaard, K.L., Richter, B.D., Sparks, R.E. and Stromberg, J.C. (1997). The natural flow regime: A paradigm for river conservation and restoration </w:t>
      </w:r>
      <w:r w:rsidRPr="0088031C">
        <w:rPr>
          <w:i/>
        </w:rPr>
        <w:t>BioScience</w:t>
      </w:r>
      <w:r w:rsidRPr="0088031C">
        <w:t xml:space="preserve"> </w:t>
      </w:r>
      <w:r w:rsidRPr="0088031C">
        <w:rPr>
          <w:b/>
        </w:rPr>
        <w:t>47</w:t>
      </w:r>
      <w:r w:rsidRPr="0088031C">
        <w:t>, 769–784.</w:t>
      </w:r>
    </w:p>
    <w:p w14:paraId="68A3D781" w14:textId="416EED1A" w:rsidR="00D1667A" w:rsidRDefault="00D1667A" w:rsidP="00530E59">
      <w:r w:rsidRPr="00D1667A">
        <w:t xml:space="preserve">Pollux, B.J.A. (2011). The experimental study of seed dispersal by fish (ichthyochory). </w:t>
      </w:r>
      <w:r w:rsidRPr="00D1667A">
        <w:rPr>
          <w:i/>
          <w:iCs/>
        </w:rPr>
        <w:t>Freshwater Biology</w:t>
      </w:r>
      <w:r w:rsidRPr="00D1667A">
        <w:t xml:space="preserve"> </w:t>
      </w:r>
      <w:r w:rsidRPr="00D1667A">
        <w:rPr>
          <w:b/>
          <w:bCs/>
        </w:rPr>
        <w:t>56</w:t>
      </w:r>
      <w:r>
        <w:t>,</w:t>
      </w:r>
      <w:r w:rsidRPr="00D1667A">
        <w:t xml:space="preserve"> 197</w:t>
      </w:r>
      <w:r>
        <w:t>–</w:t>
      </w:r>
      <w:r w:rsidRPr="00D1667A">
        <w:t>212.</w:t>
      </w:r>
    </w:p>
    <w:p w14:paraId="0D1E3FC7" w14:textId="1D459777" w:rsidR="00FB5EF1" w:rsidRPr="003F2FD1" w:rsidRDefault="0012609A" w:rsidP="0012609A">
      <w:r>
        <w:t xml:space="preserve">Price, A.E., Humphries, P., Gawne, B. and Thoms, M.C. (2012). Effects of discharge regulation on slackwater characteristics at multiple scales in a lowland river. </w:t>
      </w:r>
      <w:r w:rsidRPr="0012609A">
        <w:rPr>
          <w:i/>
          <w:iCs/>
        </w:rPr>
        <w:t>Canadian Journal of Fisheries and Aquatic Sciences</w:t>
      </w:r>
      <w:r>
        <w:t xml:space="preserve"> </w:t>
      </w:r>
      <w:r w:rsidRPr="0012609A">
        <w:rPr>
          <w:b/>
          <w:bCs/>
        </w:rPr>
        <w:t>70</w:t>
      </w:r>
      <w:r>
        <w:t>, 253–262.</w:t>
      </w:r>
    </w:p>
    <w:p w14:paraId="068C7EAE" w14:textId="77777777" w:rsidR="00530E59" w:rsidRPr="00127EA7" w:rsidRDefault="00530E59" w:rsidP="00530E59">
      <w:pPr>
        <w:rPr>
          <w:lang w:val="en-US"/>
        </w:rPr>
      </w:pPr>
      <w:r w:rsidRPr="003F2FD1">
        <w:rPr>
          <w:lang w:val="en-US"/>
        </w:rPr>
        <w:t xml:space="preserve">Puckridge, J.T., Sheldon, F., Walker, K.F. and Boulton, A.J. (1998). Flow variability and the ecology of large rivers. </w:t>
      </w:r>
      <w:r w:rsidRPr="003F2FD1">
        <w:rPr>
          <w:i/>
          <w:iCs/>
          <w:lang w:val="en-US"/>
        </w:rPr>
        <w:t xml:space="preserve">Marine and </w:t>
      </w:r>
      <w:r w:rsidRPr="00127EA7">
        <w:rPr>
          <w:i/>
          <w:iCs/>
          <w:lang w:val="en-US"/>
        </w:rPr>
        <w:t>Freshwater Research</w:t>
      </w:r>
      <w:r w:rsidRPr="00127EA7">
        <w:rPr>
          <w:lang w:val="en-US"/>
        </w:rPr>
        <w:t xml:space="preserve"> </w:t>
      </w:r>
      <w:r w:rsidRPr="00127EA7">
        <w:rPr>
          <w:b/>
          <w:bCs/>
          <w:lang w:val="en-US"/>
        </w:rPr>
        <w:t>49</w:t>
      </w:r>
      <w:r w:rsidRPr="00127EA7">
        <w:rPr>
          <w:lang w:val="en-US"/>
        </w:rPr>
        <w:t>, 55</w:t>
      </w:r>
      <w:r>
        <w:rPr>
          <w:lang w:val="en-US"/>
        </w:rPr>
        <w:t>–</w:t>
      </w:r>
      <w:r w:rsidRPr="00127EA7">
        <w:rPr>
          <w:lang w:val="en-US"/>
        </w:rPr>
        <w:t>72.</w:t>
      </w:r>
    </w:p>
    <w:p w14:paraId="7A12BA87" w14:textId="77777777" w:rsidR="00E20AFA" w:rsidRPr="00127EA7" w:rsidRDefault="00E20AFA" w:rsidP="00E20AFA">
      <w:pPr>
        <w:rPr>
          <w:lang w:val="en-US"/>
        </w:rPr>
      </w:pPr>
      <w:r w:rsidRPr="00127EA7">
        <w:rPr>
          <w:lang w:val="en-US"/>
        </w:rPr>
        <w:t>Puckridge</w:t>
      </w:r>
      <w:r>
        <w:rPr>
          <w:lang w:val="en-US"/>
        </w:rPr>
        <w:t>,</w:t>
      </w:r>
      <w:r w:rsidRPr="00127EA7">
        <w:rPr>
          <w:lang w:val="en-US"/>
        </w:rPr>
        <w:t xml:space="preserve"> J</w:t>
      </w:r>
      <w:r>
        <w:rPr>
          <w:lang w:val="en-US"/>
        </w:rPr>
        <w:t>. and</w:t>
      </w:r>
      <w:r w:rsidRPr="00127EA7">
        <w:rPr>
          <w:lang w:val="en-US"/>
        </w:rPr>
        <w:t xml:space="preserve"> Walker</w:t>
      </w:r>
      <w:r>
        <w:rPr>
          <w:lang w:val="en-US"/>
        </w:rPr>
        <w:t>,</w:t>
      </w:r>
      <w:r w:rsidRPr="00127EA7">
        <w:rPr>
          <w:lang w:val="en-US"/>
        </w:rPr>
        <w:t xml:space="preserve"> K</w:t>
      </w:r>
      <w:r>
        <w:rPr>
          <w:lang w:val="en-US"/>
        </w:rPr>
        <w:t>.</w:t>
      </w:r>
      <w:r w:rsidRPr="00127EA7">
        <w:rPr>
          <w:lang w:val="en-US"/>
        </w:rPr>
        <w:t xml:space="preserve"> (1990)</w:t>
      </w:r>
      <w:r>
        <w:rPr>
          <w:lang w:val="en-US"/>
        </w:rPr>
        <w:t>.</w:t>
      </w:r>
      <w:r w:rsidRPr="00127EA7">
        <w:rPr>
          <w:lang w:val="en-US"/>
        </w:rPr>
        <w:t xml:space="preserve"> Reproductive biology and larval development of a gizzard shad, </w:t>
      </w:r>
      <w:r w:rsidRPr="00F24C8F">
        <w:rPr>
          <w:i/>
          <w:iCs/>
          <w:lang w:val="en-US"/>
        </w:rPr>
        <w:t>Nematalosa erebi</w:t>
      </w:r>
      <w:r w:rsidRPr="00127EA7">
        <w:rPr>
          <w:lang w:val="en-US"/>
        </w:rPr>
        <w:t xml:space="preserve"> (Gunther)(Dorosomatinae: Teleostei), in the River Murray, South Australia. </w:t>
      </w:r>
      <w:r w:rsidRPr="00DC3F52">
        <w:rPr>
          <w:i/>
          <w:iCs/>
          <w:lang w:val="en-US"/>
        </w:rPr>
        <w:t>Marine and Freshwater Research</w:t>
      </w:r>
      <w:r w:rsidRPr="00127EA7">
        <w:rPr>
          <w:lang w:val="en-US"/>
        </w:rPr>
        <w:t xml:space="preserve"> </w:t>
      </w:r>
      <w:r w:rsidRPr="00DC3F52">
        <w:rPr>
          <w:b/>
          <w:bCs/>
          <w:lang w:val="en-US"/>
        </w:rPr>
        <w:t>41</w:t>
      </w:r>
      <w:r>
        <w:rPr>
          <w:lang w:val="en-US"/>
        </w:rPr>
        <w:t xml:space="preserve">, </w:t>
      </w:r>
      <w:r w:rsidRPr="00127EA7">
        <w:rPr>
          <w:lang w:val="en-US"/>
        </w:rPr>
        <w:t>695</w:t>
      </w:r>
      <w:r>
        <w:rPr>
          <w:lang w:val="en-US"/>
        </w:rPr>
        <w:t>–</w:t>
      </w:r>
      <w:r w:rsidRPr="00127EA7">
        <w:rPr>
          <w:lang w:val="en-US"/>
        </w:rPr>
        <w:t>712.</w:t>
      </w:r>
    </w:p>
    <w:p w14:paraId="194969DD" w14:textId="77777777" w:rsidR="00530E59" w:rsidRPr="003F2FD1" w:rsidRDefault="00530E59" w:rsidP="00530E59">
      <w:pPr>
        <w:rPr>
          <w:lang w:val="en-US"/>
        </w:rPr>
      </w:pPr>
      <w:r w:rsidRPr="003F2FD1">
        <w:rPr>
          <w:lang w:val="en-US"/>
        </w:rPr>
        <w:t xml:space="preserve">Puckridge, J.T., Walker, K.F. and Costelloe, J.F. (2000). Hydrological persistence and the ecology of dryland rivers. </w:t>
      </w:r>
      <w:r w:rsidRPr="003F2FD1">
        <w:rPr>
          <w:i/>
          <w:iCs/>
          <w:lang w:val="en-US"/>
        </w:rPr>
        <w:t>Regulated Rivers Research and Management</w:t>
      </w:r>
      <w:r w:rsidRPr="003F2FD1">
        <w:rPr>
          <w:lang w:val="en-US"/>
        </w:rPr>
        <w:t xml:space="preserve"> </w:t>
      </w:r>
      <w:r w:rsidRPr="003F2FD1">
        <w:rPr>
          <w:b/>
          <w:bCs/>
          <w:lang w:val="en-US"/>
        </w:rPr>
        <w:t>16</w:t>
      </w:r>
      <w:r w:rsidRPr="003F2FD1">
        <w:rPr>
          <w:lang w:val="en-US"/>
        </w:rPr>
        <w:t>, 385</w:t>
      </w:r>
      <w:r>
        <w:rPr>
          <w:lang w:val="en-US"/>
        </w:rPr>
        <w:t>–</w:t>
      </w:r>
      <w:r w:rsidRPr="003F2FD1">
        <w:rPr>
          <w:lang w:val="en-US"/>
        </w:rPr>
        <w:t>402.</w:t>
      </w:r>
    </w:p>
    <w:p w14:paraId="77E63584" w14:textId="77777777" w:rsidR="004D04C7" w:rsidRDefault="004D04C7" w:rsidP="00530E59">
      <w:r w:rsidRPr="004D04C7">
        <w:t xml:space="preserve">Radnaeva, L.D., Popov, D.V., Grahl-Nielsen, O., Khanaev, I.V., Bazarsadueva, S.V. and Käkelä, R. (2017). Fatty acid composition in the white muscle of Cottoidei fishes of Lake Baikal reflects their habitat depth. </w:t>
      </w:r>
      <w:r w:rsidRPr="004D04C7">
        <w:rPr>
          <w:i/>
          <w:iCs/>
        </w:rPr>
        <w:t>Environmental Biology of Fishes</w:t>
      </w:r>
      <w:r w:rsidRPr="004D04C7">
        <w:t xml:space="preserve"> </w:t>
      </w:r>
      <w:r w:rsidRPr="004D04C7">
        <w:rPr>
          <w:b/>
          <w:bCs/>
        </w:rPr>
        <w:t>100</w:t>
      </w:r>
      <w:r w:rsidRPr="004D04C7">
        <w:t>, 1623–1641.</w:t>
      </w:r>
    </w:p>
    <w:p w14:paraId="5F1C1F17" w14:textId="10F61979" w:rsidR="00D1667A" w:rsidRDefault="00D1667A" w:rsidP="00530E59">
      <w:r w:rsidRPr="00D1667A">
        <w:t xml:space="preserve">Raulings, E., Morris, K., Thompson, R. and MacNally, R. (2011). Do birds of a feather disperse plants together? </w:t>
      </w:r>
      <w:r w:rsidRPr="00D1667A">
        <w:rPr>
          <w:i/>
          <w:iCs/>
        </w:rPr>
        <w:t>Freshwater Biology</w:t>
      </w:r>
      <w:r w:rsidRPr="00D1667A">
        <w:t xml:space="preserve"> </w:t>
      </w:r>
      <w:r w:rsidRPr="00D1667A">
        <w:rPr>
          <w:b/>
          <w:bCs/>
        </w:rPr>
        <w:t>56</w:t>
      </w:r>
      <w:r>
        <w:t>,</w:t>
      </w:r>
      <w:r w:rsidRPr="00D1667A">
        <w:t xml:space="preserve"> 1390</w:t>
      </w:r>
      <w:r>
        <w:t>–</w:t>
      </w:r>
      <w:r w:rsidRPr="00D1667A">
        <w:t>1402.</w:t>
      </w:r>
    </w:p>
    <w:p w14:paraId="306EF1E4" w14:textId="27D8E43F" w:rsidR="00530E59" w:rsidRPr="00A95F87" w:rsidRDefault="00530E59" w:rsidP="00530E59">
      <w:r w:rsidRPr="00A95F87">
        <w:t>Reynolds, C.S. (1984). The Ecology of Freshwater Phytoplankton. Cambridge University Press. Cambridge. 384p.</w:t>
      </w:r>
    </w:p>
    <w:p w14:paraId="2B4290EB" w14:textId="77777777" w:rsidR="00530E59" w:rsidRPr="00346B75" w:rsidRDefault="00530E59" w:rsidP="00530E59">
      <w:r w:rsidRPr="00346B75">
        <w:t xml:space="preserve">Rivkin, R.B. and Legendre, L. (2001). Biogenic carbon cycling in the upper ocean: Effects of microbial respiration. </w:t>
      </w:r>
      <w:r w:rsidRPr="00346B75">
        <w:rPr>
          <w:i/>
        </w:rPr>
        <w:t xml:space="preserve">Science </w:t>
      </w:r>
      <w:r w:rsidRPr="00346B75">
        <w:rPr>
          <w:b/>
        </w:rPr>
        <w:t>291</w:t>
      </w:r>
      <w:r w:rsidRPr="00346B75">
        <w:t>, 2398–2400.</w:t>
      </w:r>
    </w:p>
    <w:p w14:paraId="31CB73EE" w14:textId="36D34F98" w:rsidR="00D1667A" w:rsidRDefault="00D1667A" w:rsidP="00530E59">
      <w:pPr>
        <w:rPr>
          <w:lang w:val="en-US"/>
        </w:rPr>
      </w:pPr>
      <w:r w:rsidRPr="00D1667A">
        <w:rPr>
          <w:lang w:val="en-US"/>
        </w:rPr>
        <w:t xml:space="preserve">Roberts, H.A. (1981). Seed banks in soils. </w:t>
      </w:r>
      <w:r w:rsidRPr="00D1667A">
        <w:rPr>
          <w:i/>
          <w:iCs/>
          <w:lang w:val="en-US"/>
        </w:rPr>
        <w:t>Advances in Applied Biology</w:t>
      </w:r>
      <w:r w:rsidRPr="00D1667A">
        <w:rPr>
          <w:lang w:val="en-US"/>
        </w:rPr>
        <w:t xml:space="preserve"> </w:t>
      </w:r>
      <w:r w:rsidRPr="00D1667A">
        <w:rPr>
          <w:b/>
          <w:bCs/>
          <w:lang w:val="en-US"/>
        </w:rPr>
        <w:t>6</w:t>
      </w:r>
      <w:r>
        <w:rPr>
          <w:lang w:val="en-US"/>
        </w:rPr>
        <w:t>,</w:t>
      </w:r>
      <w:r w:rsidRPr="00D1667A">
        <w:rPr>
          <w:lang w:val="en-US"/>
        </w:rPr>
        <w:t xml:space="preserve"> 1</w:t>
      </w:r>
      <w:r>
        <w:rPr>
          <w:lang w:val="en-US"/>
        </w:rPr>
        <w:t>–</w:t>
      </w:r>
      <w:r w:rsidRPr="00D1667A">
        <w:rPr>
          <w:lang w:val="en-US"/>
        </w:rPr>
        <w:t>55.</w:t>
      </w:r>
    </w:p>
    <w:p w14:paraId="33BE6016" w14:textId="4C3BEBA2" w:rsidR="00530E59" w:rsidRPr="00346B75" w:rsidRDefault="00530E59" w:rsidP="00530E59">
      <w:pPr>
        <w:rPr>
          <w:lang w:val="en-US"/>
        </w:rPr>
      </w:pPr>
      <w:r w:rsidRPr="00346B75">
        <w:rPr>
          <w:lang w:val="en-US"/>
        </w:rPr>
        <w:t xml:space="preserve">Roberts, J. and Ganf, G.G. (1986). Annual production of </w:t>
      </w:r>
      <w:r w:rsidRPr="00346B75">
        <w:rPr>
          <w:i/>
          <w:iCs/>
          <w:lang w:val="en-US"/>
        </w:rPr>
        <w:t>Typha orientalis</w:t>
      </w:r>
      <w:r w:rsidRPr="00346B75">
        <w:rPr>
          <w:lang w:val="en-US"/>
        </w:rPr>
        <w:t xml:space="preserve"> Persl. in inland Australia. </w:t>
      </w:r>
      <w:r w:rsidRPr="00346B75">
        <w:rPr>
          <w:i/>
          <w:iCs/>
          <w:lang w:val="en-US"/>
        </w:rPr>
        <w:t>Australian Journal of Marine and Freshwater Research</w:t>
      </w:r>
      <w:r w:rsidRPr="00346B75">
        <w:rPr>
          <w:lang w:val="en-US"/>
        </w:rPr>
        <w:t xml:space="preserve"> </w:t>
      </w:r>
      <w:r w:rsidRPr="00346B75">
        <w:rPr>
          <w:b/>
          <w:bCs/>
          <w:lang w:val="en-US"/>
        </w:rPr>
        <w:t>37</w:t>
      </w:r>
      <w:r w:rsidRPr="00346B75">
        <w:rPr>
          <w:lang w:val="en-US"/>
        </w:rPr>
        <w:t>, 659</w:t>
      </w:r>
      <w:r>
        <w:rPr>
          <w:lang w:val="en-US"/>
        </w:rPr>
        <w:t>–</w:t>
      </w:r>
      <w:r w:rsidRPr="00346B75">
        <w:rPr>
          <w:lang w:val="en-US"/>
        </w:rPr>
        <w:t>668.</w:t>
      </w:r>
    </w:p>
    <w:p w14:paraId="2979083B" w14:textId="78F5E175" w:rsidR="00530E59" w:rsidRDefault="00530E59" w:rsidP="00530E59">
      <w:pPr>
        <w:rPr>
          <w:lang w:val="en-US"/>
        </w:rPr>
      </w:pPr>
      <w:r w:rsidRPr="001473D5">
        <w:rPr>
          <w:lang w:val="en-US"/>
        </w:rPr>
        <w:t>Rowland</w:t>
      </w:r>
      <w:r>
        <w:rPr>
          <w:lang w:val="en-US"/>
        </w:rPr>
        <w:t>,</w:t>
      </w:r>
      <w:r w:rsidRPr="001473D5">
        <w:rPr>
          <w:lang w:val="en-US"/>
        </w:rPr>
        <w:t xml:space="preserve"> S</w:t>
      </w:r>
      <w:r>
        <w:rPr>
          <w:lang w:val="en-US"/>
        </w:rPr>
        <w:t>.</w:t>
      </w:r>
      <w:r w:rsidRPr="001473D5">
        <w:rPr>
          <w:lang w:val="en-US"/>
        </w:rPr>
        <w:t xml:space="preserve"> </w:t>
      </w:r>
      <w:r>
        <w:rPr>
          <w:lang w:val="en-US"/>
        </w:rPr>
        <w:t xml:space="preserve">(1998). </w:t>
      </w:r>
      <w:r w:rsidRPr="001473D5">
        <w:rPr>
          <w:lang w:val="en-US"/>
        </w:rPr>
        <w:t xml:space="preserve">Aspects of the reproductive biology of Murray cod, </w:t>
      </w:r>
      <w:r w:rsidRPr="00DC3F52">
        <w:rPr>
          <w:i/>
          <w:iCs/>
          <w:lang w:val="en-US"/>
        </w:rPr>
        <w:t>Maccullochella peelii peelii</w:t>
      </w:r>
      <w:r w:rsidRPr="001473D5">
        <w:rPr>
          <w:lang w:val="en-US"/>
        </w:rPr>
        <w:t xml:space="preserve">. In: </w:t>
      </w:r>
      <w:r>
        <w:rPr>
          <w:lang w:val="en-US"/>
        </w:rPr>
        <w:t>P</w:t>
      </w:r>
      <w:r w:rsidRPr="001473D5">
        <w:rPr>
          <w:lang w:val="en-US"/>
        </w:rPr>
        <w:t>roceedings-</w:t>
      </w:r>
      <w:r>
        <w:rPr>
          <w:lang w:val="en-US"/>
        </w:rPr>
        <w:t>L</w:t>
      </w:r>
      <w:r w:rsidRPr="001473D5">
        <w:rPr>
          <w:lang w:val="en-US"/>
        </w:rPr>
        <w:t xml:space="preserve">innean </w:t>
      </w:r>
      <w:r>
        <w:rPr>
          <w:lang w:val="en-US"/>
        </w:rPr>
        <w:t>S</w:t>
      </w:r>
      <w:r w:rsidRPr="001473D5">
        <w:rPr>
          <w:lang w:val="en-US"/>
        </w:rPr>
        <w:t xml:space="preserve">ociety of </w:t>
      </w:r>
      <w:r>
        <w:rPr>
          <w:lang w:val="en-US"/>
        </w:rPr>
        <w:t>N</w:t>
      </w:r>
      <w:r w:rsidRPr="001473D5">
        <w:rPr>
          <w:lang w:val="en-US"/>
        </w:rPr>
        <w:t xml:space="preserve">ew </w:t>
      </w:r>
      <w:r>
        <w:rPr>
          <w:lang w:val="en-US"/>
        </w:rPr>
        <w:t>S</w:t>
      </w:r>
      <w:r w:rsidRPr="001473D5">
        <w:rPr>
          <w:lang w:val="en-US"/>
        </w:rPr>
        <w:t xml:space="preserve">outh </w:t>
      </w:r>
      <w:r>
        <w:rPr>
          <w:lang w:val="en-US"/>
        </w:rPr>
        <w:t>W</w:t>
      </w:r>
      <w:r w:rsidRPr="001473D5">
        <w:rPr>
          <w:lang w:val="en-US"/>
        </w:rPr>
        <w:t xml:space="preserve">ales, 1998. vol 120. </w:t>
      </w:r>
      <w:r>
        <w:rPr>
          <w:lang w:val="en-US"/>
        </w:rPr>
        <w:t>L</w:t>
      </w:r>
      <w:r w:rsidRPr="001473D5">
        <w:rPr>
          <w:lang w:val="en-US"/>
        </w:rPr>
        <w:t xml:space="preserve">innean </w:t>
      </w:r>
      <w:r>
        <w:rPr>
          <w:lang w:val="en-US"/>
        </w:rPr>
        <w:t>S</w:t>
      </w:r>
      <w:r w:rsidRPr="001473D5">
        <w:rPr>
          <w:lang w:val="en-US"/>
        </w:rPr>
        <w:t xml:space="preserve">ociety of </w:t>
      </w:r>
      <w:r>
        <w:rPr>
          <w:lang w:val="en-US"/>
        </w:rPr>
        <w:t>N</w:t>
      </w:r>
      <w:r w:rsidRPr="001473D5">
        <w:rPr>
          <w:lang w:val="en-US"/>
        </w:rPr>
        <w:t xml:space="preserve">ew </w:t>
      </w:r>
      <w:r>
        <w:rPr>
          <w:lang w:val="en-US"/>
        </w:rPr>
        <w:t>S</w:t>
      </w:r>
      <w:r w:rsidRPr="001473D5">
        <w:rPr>
          <w:lang w:val="en-US"/>
        </w:rPr>
        <w:t xml:space="preserve">outh </w:t>
      </w:r>
      <w:r>
        <w:rPr>
          <w:lang w:val="en-US"/>
        </w:rPr>
        <w:t>W</w:t>
      </w:r>
      <w:r w:rsidRPr="001473D5">
        <w:rPr>
          <w:lang w:val="en-US"/>
        </w:rPr>
        <w:t>ales, p. 147</w:t>
      </w:r>
      <w:r>
        <w:rPr>
          <w:lang w:val="en-US"/>
        </w:rPr>
        <w:t>–</w:t>
      </w:r>
      <w:r w:rsidRPr="001473D5">
        <w:rPr>
          <w:lang w:val="en-US"/>
        </w:rPr>
        <w:t>162.</w:t>
      </w:r>
    </w:p>
    <w:p w14:paraId="0BD745A3" w14:textId="3473699F" w:rsidR="007631D9" w:rsidRPr="001473D5" w:rsidRDefault="007631D9" w:rsidP="00530E59">
      <w:pPr>
        <w:rPr>
          <w:lang w:val="en-US"/>
        </w:rPr>
      </w:pPr>
      <w:r w:rsidRPr="007631D9">
        <w:rPr>
          <w:lang w:val="en-US"/>
        </w:rPr>
        <w:t>Rothhaupt, K</w:t>
      </w:r>
      <w:r>
        <w:rPr>
          <w:lang w:val="en-US"/>
        </w:rPr>
        <w:t>.</w:t>
      </w:r>
      <w:r w:rsidRPr="007631D9">
        <w:rPr>
          <w:lang w:val="en-US"/>
        </w:rPr>
        <w:t>O. (1990). Population growth rates of two closely related rotifer species: effects of food quantity, particle size, and nutritional quality.</w:t>
      </w:r>
      <w:r>
        <w:rPr>
          <w:lang w:val="en-US"/>
        </w:rPr>
        <w:t xml:space="preserve"> </w:t>
      </w:r>
      <w:r w:rsidRPr="007631D9">
        <w:rPr>
          <w:i/>
          <w:iCs/>
          <w:lang w:val="en-US"/>
        </w:rPr>
        <w:t>Freshwater Biology</w:t>
      </w:r>
      <w:r w:rsidRPr="007631D9">
        <w:rPr>
          <w:lang w:val="en-US"/>
        </w:rPr>
        <w:t xml:space="preserve"> </w:t>
      </w:r>
      <w:r w:rsidRPr="007631D9">
        <w:rPr>
          <w:b/>
          <w:bCs/>
          <w:lang w:val="en-US"/>
        </w:rPr>
        <w:t>23</w:t>
      </w:r>
      <w:r w:rsidRPr="007631D9">
        <w:rPr>
          <w:lang w:val="en-US"/>
        </w:rPr>
        <w:t>: 561-570.</w:t>
      </w:r>
    </w:p>
    <w:p w14:paraId="233D89EA" w14:textId="77777777" w:rsidR="00530E59" w:rsidRPr="003F2FD1" w:rsidRDefault="00530E59" w:rsidP="00530E59">
      <w:pPr>
        <w:rPr>
          <w:lang w:val="en-US"/>
        </w:rPr>
      </w:pPr>
      <w:r w:rsidRPr="003F2FD1">
        <w:rPr>
          <w:lang w:val="en-US"/>
        </w:rPr>
        <w:t xml:space="preserve">Sabo, J.L., Sponseller, R., Dixon, M., Gade, K., Harms, T., Heffernan, J., Jani, A., Katz, G., Soykan, C., Watts, J. and Weltera, J. (2005). Riparian zones increase regional species richness by harboring different, not more, species. </w:t>
      </w:r>
      <w:r w:rsidRPr="003F2FD1">
        <w:rPr>
          <w:i/>
          <w:iCs/>
          <w:lang w:val="en-US"/>
        </w:rPr>
        <w:t>Ecology</w:t>
      </w:r>
      <w:r w:rsidRPr="003F2FD1">
        <w:rPr>
          <w:lang w:val="en-US"/>
        </w:rPr>
        <w:t xml:space="preserve"> </w:t>
      </w:r>
      <w:r w:rsidRPr="003F2FD1">
        <w:rPr>
          <w:b/>
          <w:bCs/>
          <w:lang w:val="en-US"/>
        </w:rPr>
        <w:t>86</w:t>
      </w:r>
      <w:r w:rsidRPr="003F2FD1">
        <w:rPr>
          <w:lang w:val="en-US"/>
        </w:rPr>
        <w:t>, 56–62.</w:t>
      </w:r>
    </w:p>
    <w:p w14:paraId="0AE09E9E" w14:textId="77777777" w:rsidR="00530E59" w:rsidRPr="00127E7F" w:rsidRDefault="00530E59" w:rsidP="00530E59">
      <w:pPr>
        <w:rPr>
          <w:lang w:val="en-US"/>
        </w:rPr>
      </w:pPr>
      <w:r w:rsidRPr="003F2FD1">
        <w:rPr>
          <w:lang w:val="en-US"/>
        </w:rPr>
        <w:t>Sainty, G.R. and Jacobs, S.W.L. (2003). Waterplants in Australia, Sainty and Associates, Darlinghurst, N.S.</w:t>
      </w:r>
      <w:r w:rsidRPr="00127E7F">
        <w:rPr>
          <w:lang w:val="en-US"/>
        </w:rPr>
        <w:t>W., Australia.</w:t>
      </w:r>
    </w:p>
    <w:p w14:paraId="6631C73F" w14:textId="77777777" w:rsidR="00530E59" w:rsidRPr="00127E7F" w:rsidRDefault="00530E59" w:rsidP="00530E59">
      <w:r w:rsidRPr="00127E7F">
        <w:t>Sampson</w:t>
      </w:r>
      <w:r>
        <w:t>,</w:t>
      </w:r>
      <w:r w:rsidRPr="00127E7F">
        <w:t xml:space="preserve"> S</w:t>
      </w:r>
      <w:r>
        <w:t>.</w:t>
      </w:r>
      <w:r w:rsidRPr="00127E7F">
        <w:t>J</w:t>
      </w:r>
      <w:r>
        <w:t>.</w:t>
      </w:r>
      <w:r w:rsidRPr="00127E7F">
        <w:t>, Chick</w:t>
      </w:r>
      <w:r>
        <w:t>,</w:t>
      </w:r>
      <w:r w:rsidRPr="00127E7F">
        <w:t xml:space="preserve"> J</w:t>
      </w:r>
      <w:r>
        <w:t>.</w:t>
      </w:r>
      <w:r w:rsidRPr="00127E7F">
        <w:t>H</w:t>
      </w:r>
      <w:r>
        <w:t>. and</w:t>
      </w:r>
      <w:r w:rsidRPr="00127E7F">
        <w:t xml:space="preserve"> Pegg</w:t>
      </w:r>
      <w:r>
        <w:t>,</w:t>
      </w:r>
      <w:r w:rsidRPr="00127E7F">
        <w:t xml:space="preserve"> M</w:t>
      </w:r>
      <w:r>
        <w:t>.</w:t>
      </w:r>
      <w:r w:rsidRPr="00127E7F">
        <w:t>A</w:t>
      </w:r>
      <w:r>
        <w:t>.</w:t>
      </w:r>
      <w:r w:rsidRPr="00127E7F">
        <w:t xml:space="preserve"> (2009)</w:t>
      </w:r>
      <w:r>
        <w:t>.</w:t>
      </w:r>
      <w:r w:rsidRPr="00127E7F">
        <w:t xml:space="preserve"> Diet overlap among two Asian carp and three native fishes in backwater lakes on the Illinois and Mississippi rivers. </w:t>
      </w:r>
      <w:r w:rsidRPr="00DC3F52">
        <w:rPr>
          <w:i/>
          <w:iCs/>
        </w:rPr>
        <w:t>Biological Invasions</w:t>
      </w:r>
      <w:r w:rsidRPr="00127E7F">
        <w:t xml:space="preserve"> </w:t>
      </w:r>
      <w:r w:rsidRPr="00DC3F52">
        <w:rPr>
          <w:b/>
          <w:bCs/>
        </w:rPr>
        <w:t>11</w:t>
      </w:r>
      <w:r>
        <w:t xml:space="preserve">, </w:t>
      </w:r>
      <w:r w:rsidRPr="00127E7F">
        <w:t>483</w:t>
      </w:r>
      <w:r>
        <w:t>–</w:t>
      </w:r>
      <w:r w:rsidRPr="00127E7F">
        <w:t>496</w:t>
      </w:r>
      <w:r>
        <w:t>.</w:t>
      </w:r>
    </w:p>
    <w:p w14:paraId="1EB5B067" w14:textId="77777777" w:rsidR="00530E59" w:rsidRPr="0059173F" w:rsidRDefault="00530E59" w:rsidP="00530E59">
      <w:r w:rsidRPr="0059173F">
        <w:t>Sellers, T. and Bukaveckas</w:t>
      </w:r>
      <w:r>
        <w:t>, P.A.</w:t>
      </w:r>
      <w:r w:rsidRPr="0059173F">
        <w:t xml:space="preserve"> (2003). Phytoplankton production in a large, regulated river: A </w:t>
      </w:r>
      <w:r w:rsidRPr="0059173F">
        <w:pgNum/>
      </w:r>
      <w:r w:rsidRPr="0059173F">
        <w:t xml:space="preserve">etractys and mass balance assessment. </w:t>
      </w:r>
      <w:r w:rsidRPr="0059173F">
        <w:rPr>
          <w:i/>
        </w:rPr>
        <w:t>Limnology and Oceanography</w:t>
      </w:r>
      <w:r w:rsidRPr="0059173F">
        <w:t xml:space="preserve"> </w:t>
      </w:r>
      <w:r w:rsidRPr="0059173F">
        <w:rPr>
          <w:b/>
        </w:rPr>
        <w:t>48</w:t>
      </w:r>
      <w:r w:rsidRPr="0059173F">
        <w:t>, 1476–1487.</w:t>
      </w:r>
    </w:p>
    <w:p w14:paraId="3B3D2434" w14:textId="77777777" w:rsidR="00530E59" w:rsidRPr="00C41153" w:rsidRDefault="00530E59" w:rsidP="00530E59">
      <w:r w:rsidRPr="00F77EB2">
        <w:t xml:space="preserve">Shiel, R.J. and </w:t>
      </w:r>
      <w:r w:rsidRPr="00C41153">
        <w:t>Aldridge, K.T. (2011). The response of zooplankton communities in the North lagoon of the Coorong and Murray Mouth to barrage releases from the Lower Lakes, November 2010</w:t>
      </w:r>
      <w:r w:rsidRPr="00C41153">
        <w:rPr>
          <w:rFonts w:eastAsiaTheme="majorEastAsia"/>
        </w:rPr>
        <w:t>–</w:t>
      </w:r>
      <w:r w:rsidRPr="00C41153">
        <w:t>April 2011. Report for DENR and DWSA. June, 49 pp.</w:t>
      </w:r>
    </w:p>
    <w:p w14:paraId="33A2AEFD" w14:textId="77777777" w:rsidR="00530E59" w:rsidRPr="00C41153" w:rsidRDefault="00530E59" w:rsidP="00530E59">
      <w:r w:rsidRPr="00C41153">
        <w:t>Shiel, R.J. and Tan, L.W. (2013a). Zooplankton response monitoring: Lower Lakes, Coorong and Murray Mouth October 2011 – April 2012. Report for DEWNR SA. June, 49 pp.</w:t>
      </w:r>
    </w:p>
    <w:p w14:paraId="0320006C" w14:textId="77777777" w:rsidR="00530E59" w:rsidRPr="00C41153" w:rsidRDefault="00530E59" w:rsidP="00530E59">
      <w:r w:rsidRPr="00C41153">
        <w:t>Shiel, R.J. and Tan, L.W. (2013b). Zooplankton response monitoring: Lower Lakes, Coorong and Murray Mouth September 2012– March2013. Report for DEWNR SA. Sept</w:t>
      </w:r>
      <w:r>
        <w:t>ember</w:t>
      </w:r>
      <w:r w:rsidRPr="00C41153">
        <w:t>, 41 pp.</w:t>
      </w:r>
    </w:p>
    <w:p w14:paraId="7DBCE0E9" w14:textId="63A1394E" w:rsidR="00530E59" w:rsidRDefault="00530E59" w:rsidP="00530E59">
      <w:r w:rsidRPr="003F6FA6">
        <w:t>Shiel</w:t>
      </w:r>
      <w:r>
        <w:t>,</w:t>
      </w:r>
      <w:r w:rsidRPr="003F6FA6">
        <w:t xml:space="preserve"> R</w:t>
      </w:r>
      <w:r>
        <w:t>.</w:t>
      </w:r>
      <w:r w:rsidRPr="003F6FA6">
        <w:t>, Walker</w:t>
      </w:r>
      <w:r>
        <w:t>,</w:t>
      </w:r>
      <w:r w:rsidRPr="003F6FA6">
        <w:t xml:space="preserve"> K</w:t>
      </w:r>
      <w:r>
        <w:t>. and</w:t>
      </w:r>
      <w:r w:rsidRPr="003F6FA6">
        <w:t xml:space="preserve"> Williams</w:t>
      </w:r>
      <w:r>
        <w:t>,</w:t>
      </w:r>
      <w:r w:rsidRPr="003F6FA6">
        <w:t xml:space="preserve"> W</w:t>
      </w:r>
      <w:r>
        <w:t>.</w:t>
      </w:r>
      <w:r w:rsidRPr="003F6FA6">
        <w:t xml:space="preserve"> (1982)</w:t>
      </w:r>
      <w:r>
        <w:t>.</w:t>
      </w:r>
      <w:r w:rsidRPr="003F6FA6">
        <w:t xml:space="preserve"> Plankton of the lower River Murray, South Australia. </w:t>
      </w:r>
      <w:r w:rsidRPr="00DC3F52">
        <w:rPr>
          <w:i/>
          <w:iCs/>
        </w:rPr>
        <w:t>Marine and Freshwater Research</w:t>
      </w:r>
      <w:r w:rsidRPr="003F6FA6">
        <w:t xml:space="preserve"> </w:t>
      </w:r>
      <w:r w:rsidRPr="00DC3F52">
        <w:rPr>
          <w:b/>
          <w:bCs/>
        </w:rPr>
        <w:t>33</w:t>
      </w:r>
      <w:r>
        <w:t xml:space="preserve">, </w:t>
      </w:r>
      <w:r w:rsidRPr="003F6FA6">
        <w:t>301</w:t>
      </w:r>
      <w:r>
        <w:t>–3</w:t>
      </w:r>
      <w:r w:rsidRPr="003F6FA6">
        <w:t>27.</w:t>
      </w:r>
    </w:p>
    <w:p w14:paraId="74302BF6" w14:textId="6FEED721" w:rsidR="00D1667A" w:rsidRDefault="00D1667A" w:rsidP="00D1667A">
      <w:r>
        <w:t xml:space="preserve">Siebentritt, M.A., Ganf, G.G. and Walker, K.F. (2004). Effects of an enhanced flood on riparian plants of the River Murray, South Australia. </w:t>
      </w:r>
      <w:r w:rsidRPr="00D1667A">
        <w:rPr>
          <w:i/>
          <w:iCs/>
        </w:rPr>
        <w:t>River Research and Applications</w:t>
      </w:r>
      <w:r>
        <w:t xml:space="preserve"> </w:t>
      </w:r>
      <w:r w:rsidRPr="00D1667A">
        <w:rPr>
          <w:b/>
          <w:bCs/>
        </w:rPr>
        <w:t>20</w:t>
      </w:r>
      <w:r>
        <w:t>, 765–774.</w:t>
      </w:r>
    </w:p>
    <w:p w14:paraId="771373E0" w14:textId="77777777" w:rsidR="00D1667A" w:rsidRDefault="00D1667A" w:rsidP="00D1667A">
      <w:r>
        <w:t>Simpson, R.L., Leck, M.A. and Parker, V.T. (1989). Seed banks: general concepts and methodological issues. In Leck, M.A., Parker, V.T. and Simpson, R.L. (eds). The Ecology of Soil Seed Banks. pp. 3-8, Academic Press Inc., San Diego, California.</w:t>
      </w:r>
    </w:p>
    <w:p w14:paraId="3B20634A" w14:textId="40514DCA" w:rsidR="00D1667A" w:rsidRDefault="00D1667A" w:rsidP="00D1667A">
      <w:r>
        <w:t>Skinner, M. (2017). Effect of livestock grazing on seed banks of an arid floodplain in south-eastern Australia. Honours Thesis, Flinders University.</w:t>
      </w:r>
    </w:p>
    <w:p w14:paraId="33258EA9" w14:textId="38BFF810" w:rsidR="004D04C7" w:rsidRDefault="004D04C7" w:rsidP="00530E59">
      <w:r w:rsidRPr="004D04C7">
        <w:t xml:space="preserve">Smyntek, P.M., Teece, M.A., Schulz, K.L. and Storch, A.J. (2008). Taxonomic differences in the essential fatty acid composition of groups of freshwater zooplankton relate to reproductive demands and generation time. </w:t>
      </w:r>
      <w:r w:rsidRPr="004D04C7">
        <w:rPr>
          <w:i/>
          <w:iCs/>
        </w:rPr>
        <w:t>Freshwater Biology</w:t>
      </w:r>
      <w:r w:rsidRPr="004D04C7">
        <w:t xml:space="preserve"> </w:t>
      </w:r>
      <w:r w:rsidRPr="004D04C7">
        <w:rPr>
          <w:b/>
          <w:bCs/>
        </w:rPr>
        <w:t>53</w:t>
      </w:r>
      <w:r w:rsidRPr="004D04C7">
        <w:t>, 1768–1782.</w:t>
      </w:r>
    </w:p>
    <w:p w14:paraId="379C528F" w14:textId="22A51538" w:rsidR="00D1667A" w:rsidRPr="003F6FA6" w:rsidRDefault="00D1667A" w:rsidP="00530E59">
      <w:r w:rsidRPr="00D1667A">
        <w:t xml:space="preserve">Soomers, H., Karssenberg, D., Soons, M.B., Verweij, P.A., Verhoeven, J.T.A. and Wassen, M.J. (2013). Wind and water dispersal of wetland plants across fragmented landscapes. </w:t>
      </w:r>
      <w:r w:rsidRPr="00D1667A">
        <w:rPr>
          <w:i/>
          <w:iCs/>
        </w:rPr>
        <w:t>Ecosystems</w:t>
      </w:r>
      <w:r w:rsidRPr="00D1667A">
        <w:t xml:space="preserve"> </w:t>
      </w:r>
      <w:r w:rsidRPr="00D1667A">
        <w:rPr>
          <w:b/>
          <w:bCs/>
        </w:rPr>
        <w:t>16</w:t>
      </w:r>
      <w:r>
        <w:t>,</w:t>
      </w:r>
      <w:r w:rsidRPr="00D1667A">
        <w:t xml:space="preserve"> 434</w:t>
      </w:r>
      <w:r>
        <w:t>–</w:t>
      </w:r>
      <w:r w:rsidRPr="00D1667A">
        <w:t>451.</w:t>
      </w:r>
    </w:p>
    <w:p w14:paraId="520D34E5" w14:textId="77777777" w:rsidR="00530E59" w:rsidRPr="00346B75" w:rsidRDefault="00530E59" w:rsidP="00530E59">
      <w:pPr>
        <w:rPr>
          <w:lang w:val="en-US"/>
        </w:rPr>
      </w:pPr>
      <w:r w:rsidRPr="00346B75">
        <w:rPr>
          <w:lang w:val="en-US"/>
        </w:rPr>
        <w:t xml:space="preserve">Sorrell, B.K. and Hawes, I. (2010). Convective gas flow development and the maximum depths achieved by helophyte vegetation in lakes. </w:t>
      </w:r>
      <w:r w:rsidRPr="00346B75">
        <w:rPr>
          <w:i/>
          <w:iCs/>
          <w:lang w:val="en-US"/>
        </w:rPr>
        <w:t>Annals of Botany</w:t>
      </w:r>
      <w:r w:rsidRPr="00346B75">
        <w:rPr>
          <w:lang w:val="en-US"/>
        </w:rPr>
        <w:t xml:space="preserve"> </w:t>
      </w:r>
      <w:r w:rsidRPr="00346B75">
        <w:rPr>
          <w:b/>
          <w:bCs/>
          <w:lang w:val="en-US"/>
        </w:rPr>
        <w:t>105</w:t>
      </w:r>
      <w:r w:rsidRPr="00346B75">
        <w:rPr>
          <w:lang w:val="en-US"/>
        </w:rPr>
        <w:t>, 165</w:t>
      </w:r>
      <w:r>
        <w:rPr>
          <w:lang w:val="en-US"/>
        </w:rPr>
        <w:t>–</w:t>
      </w:r>
      <w:r w:rsidRPr="00346B75">
        <w:rPr>
          <w:lang w:val="en-US"/>
        </w:rPr>
        <w:t>174.</w:t>
      </w:r>
    </w:p>
    <w:p w14:paraId="5FB31579" w14:textId="77777777" w:rsidR="00530E59" w:rsidRPr="0059173F" w:rsidRDefault="00530E59" w:rsidP="00530E59">
      <w:r w:rsidRPr="0059173F">
        <w:t>South Australian Research and Development Institute (SARDI) Aquatic Sciences, University of Adelaide and Department of Environment and Water (2019). Commonwealth Environmental Water Office: Lower Murray Monitoring, Evaluation and Research Plan (2019–2022). Prepared by the South Australian Consortium for the Commonwealth Environmental Water Office. Commonwealth of Australia 2019. https://www.environment.gov.au/water/cewo/publications/mer-plan-lower-murray-2019.</w:t>
      </w:r>
    </w:p>
    <w:p w14:paraId="744BAC74" w14:textId="77777777" w:rsidR="00530E59" w:rsidRPr="0059173F" w:rsidRDefault="00530E59" w:rsidP="00530E59">
      <w:r w:rsidRPr="0059173F">
        <w:t xml:space="preserve">Statzner, B. and Higler, B. (1986). Stream hydraulics as a major determinant of benthic invertebrate zonation patterns. </w:t>
      </w:r>
      <w:r w:rsidRPr="0059173F">
        <w:rPr>
          <w:i/>
        </w:rPr>
        <w:t>Freshwater Biology</w:t>
      </w:r>
      <w:r w:rsidRPr="0059173F">
        <w:t xml:space="preserve"> </w:t>
      </w:r>
      <w:r w:rsidRPr="0059173F">
        <w:rPr>
          <w:b/>
        </w:rPr>
        <w:t>16</w:t>
      </w:r>
      <w:r w:rsidRPr="0059173F">
        <w:t>, 127–139.</w:t>
      </w:r>
    </w:p>
    <w:p w14:paraId="1623D4C1" w14:textId="77777777" w:rsidR="00530E59" w:rsidRPr="0093711B" w:rsidRDefault="00530E59" w:rsidP="00530E59">
      <w:r w:rsidRPr="0059173F">
        <w:t xml:space="preserve">Steinman, A.D. and McIntire, C.D. (1990). Recovery of lotic periphyton communities after </w:t>
      </w:r>
      <w:r w:rsidRPr="0093711B">
        <w:t xml:space="preserve">disturbance. </w:t>
      </w:r>
      <w:r w:rsidRPr="0093711B">
        <w:rPr>
          <w:i/>
        </w:rPr>
        <w:t>Environmental Management</w:t>
      </w:r>
      <w:r w:rsidRPr="0093711B">
        <w:t xml:space="preserve"> </w:t>
      </w:r>
      <w:r w:rsidRPr="0093711B">
        <w:rPr>
          <w:b/>
        </w:rPr>
        <w:t>14</w:t>
      </w:r>
      <w:r w:rsidRPr="0093711B">
        <w:t>, 589–604.</w:t>
      </w:r>
    </w:p>
    <w:p w14:paraId="77A5B844" w14:textId="77777777" w:rsidR="00530E59" w:rsidRPr="0093711B" w:rsidRDefault="00530E59" w:rsidP="00530E59">
      <w:r w:rsidRPr="0093711B">
        <w:t>Stemberger</w:t>
      </w:r>
      <w:r>
        <w:t>,</w:t>
      </w:r>
      <w:r w:rsidRPr="0093711B">
        <w:t xml:space="preserve"> R</w:t>
      </w:r>
      <w:r>
        <w:t>.</w:t>
      </w:r>
      <w:r w:rsidRPr="0093711B">
        <w:t>S</w:t>
      </w:r>
      <w:r>
        <w:t>.</w:t>
      </w:r>
      <w:r w:rsidRPr="0093711B">
        <w:t xml:space="preserve"> (1985)</w:t>
      </w:r>
      <w:r>
        <w:t>.</w:t>
      </w:r>
      <w:r w:rsidRPr="0093711B">
        <w:t xml:space="preserve"> Prey selection by the copepod </w:t>
      </w:r>
      <w:r w:rsidRPr="00DC3F52">
        <w:rPr>
          <w:i/>
          <w:iCs/>
        </w:rPr>
        <w:t>Diacyclops thomasi</w:t>
      </w:r>
      <w:r w:rsidRPr="0093711B">
        <w:t xml:space="preserve">. </w:t>
      </w:r>
      <w:r w:rsidRPr="00DC3F52">
        <w:rPr>
          <w:i/>
          <w:iCs/>
        </w:rPr>
        <w:t xml:space="preserve">Oecologia </w:t>
      </w:r>
      <w:r w:rsidRPr="00DC3F52">
        <w:rPr>
          <w:b/>
          <w:bCs/>
        </w:rPr>
        <w:t>65</w:t>
      </w:r>
      <w:r>
        <w:t xml:space="preserve">, </w:t>
      </w:r>
      <w:r w:rsidRPr="0093711B">
        <w:t>492–497.</w:t>
      </w:r>
    </w:p>
    <w:p w14:paraId="2B9B05D6" w14:textId="5786FDB0" w:rsidR="00530E59" w:rsidRDefault="00530E59" w:rsidP="00530E59">
      <w:r w:rsidRPr="0093711B">
        <w:t xml:space="preserve">Stoffels, R., Stratford, D., Bond, N., Hale, J. (2018). 2016–17 Basin-scale evaluation of Commonwealth </w:t>
      </w:r>
      <w:r w:rsidRPr="00C70D04">
        <w:t>environmental water – Fish. Report prepared for the Commonwealth Environmental Water Office by La Trobe University, Publication 192/2018, October, 42pp.</w:t>
      </w:r>
    </w:p>
    <w:p w14:paraId="70BF271F" w14:textId="61FAA2BD" w:rsidR="00FB5EF1" w:rsidRPr="00C70D04" w:rsidRDefault="00FB5EF1" w:rsidP="00530E59">
      <w:r w:rsidRPr="0093711B">
        <w:t>Stoffels, R.</w:t>
      </w:r>
      <w:r>
        <w:t>J.</w:t>
      </w:r>
      <w:r w:rsidRPr="0093711B">
        <w:t>,</w:t>
      </w:r>
      <w:r>
        <w:t xml:space="preserve"> Weatherman, K.E., Bond, N.R., Morrongiello, J.R., Thiem, J.D., Butler, G., Koster, W., Kopf, R.K., McCaster, N., Ye, Q., Zampatti, B. and Broadhurst, B. (2020). </w:t>
      </w:r>
      <w:r w:rsidRPr="00FB5EF1">
        <w:t>Stage</w:t>
      </w:r>
      <w:r w:rsidRPr="00FB5EF1">
        <w:rPr>
          <w:rFonts w:ascii="Cambria Math" w:hAnsi="Cambria Math" w:cs="Cambria Math"/>
        </w:rPr>
        <w:t>‐</w:t>
      </w:r>
      <w:r w:rsidRPr="00FB5EF1">
        <w:t>dependent effects of river flow and temperature regimes on the growth dynamics of an apex predator</w:t>
      </w:r>
      <w:r>
        <w:t xml:space="preserve">. </w:t>
      </w:r>
      <w:r w:rsidRPr="00FB5EF1">
        <w:rPr>
          <w:i/>
          <w:iCs/>
        </w:rPr>
        <w:t>Global Change Biology</w:t>
      </w:r>
      <w:r>
        <w:t xml:space="preserve"> </w:t>
      </w:r>
      <w:r w:rsidRPr="00FB5EF1">
        <w:rPr>
          <w:b/>
          <w:bCs/>
        </w:rPr>
        <w:t>26</w:t>
      </w:r>
      <w:r>
        <w:t>, 6880–6894.</w:t>
      </w:r>
    </w:p>
    <w:p w14:paraId="753BA367" w14:textId="77777777" w:rsidR="00530E59" w:rsidRPr="00C70D04" w:rsidRDefault="00530E59" w:rsidP="00530E59">
      <w:r w:rsidRPr="00C70D04">
        <w:t xml:space="preserve">Stuart, I., Sharpe, C., Stanislawski, K., Parker, A., Mallen-Cooper, M. (2019). From an irrigation system to an ecological asset: adding environmental flows establishes recovery of a threatened fish species. </w:t>
      </w:r>
      <w:r w:rsidRPr="00C70D04">
        <w:rPr>
          <w:i/>
          <w:iCs/>
        </w:rPr>
        <w:t>Marine and Freshwater Research</w:t>
      </w:r>
      <w:r w:rsidRPr="00C70D04">
        <w:t xml:space="preserve"> </w:t>
      </w:r>
      <w:r w:rsidRPr="00C70D04">
        <w:rPr>
          <w:b/>
          <w:bCs/>
        </w:rPr>
        <w:t>70</w:t>
      </w:r>
      <w:r w:rsidRPr="00C70D04">
        <w:t>, 1295–1306.</w:t>
      </w:r>
    </w:p>
    <w:p w14:paraId="0BF89D42" w14:textId="77777777" w:rsidR="00530E59" w:rsidRDefault="00530E59" w:rsidP="00530E59">
      <w:r w:rsidRPr="00C70D04">
        <w:t xml:space="preserve">Tan, L.-W. and Shiel, R.J. (1993). Responses of billabong rotifer communities to inundation. </w:t>
      </w:r>
      <w:r w:rsidRPr="00C70D04">
        <w:rPr>
          <w:i/>
        </w:rPr>
        <w:t>Hydrobiologia</w:t>
      </w:r>
      <w:r w:rsidRPr="00C70D04">
        <w:t xml:space="preserve"> </w:t>
      </w:r>
      <w:r w:rsidRPr="00C70D04">
        <w:rPr>
          <w:b/>
        </w:rPr>
        <w:t>255</w:t>
      </w:r>
      <w:r w:rsidRPr="00C70D04">
        <w:t>, 361–369.</w:t>
      </w:r>
    </w:p>
    <w:p w14:paraId="5BB5A3BF" w14:textId="42FB6D2F" w:rsidR="00530E59" w:rsidRPr="00C70D04" w:rsidRDefault="00E7089B" w:rsidP="00530E59">
      <w:r w:rsidRPr="00E7089B">
        <w:t>Therneau</w:t>
      </w:r>
      <w:r>
        <w:t>,</w:t>
      </w:r>
      <w:r w:rsidRPr="00E7089B">
        <w:t xml:space="preserve"> T</w:t>
      </w:r>
      <w:r>
        <w:t>.</w:t>
      </w:r>
      <w:r w:rsidRPr="00E7089B">
        <w:t>, Atkinson</w:t>
      </w:r>
      <w:r>
        <w:t>,</w:t>
      </w:r>
      <w:r w:rsidRPr="00E7089B">
        <w:t xml:space="preserve"> B</w:t>
      </w:r>
      <w:r>
        <w:t>. and</w:t>
      </w:r>
      <w:r w:rsidRPr="00E7089B">
        <w:t xml:space="preserve"> Ripley</w:t>
      </w:r>
      <w:r>
        <w:t>,</w:t>
      </w:r>
      <w:r w:rsidRPr="00E7089B">
        <w:t xml:space="preserve"> B</w:t>
      </w:r>
      <w:r>
        <w:t>.</w:t>
      </w:r>
      <w:r w:rsidRPr="00E7089B">
        <w:t xml:space="preserve"> (2019)</w:t>
      </w:r>
      <w:r>
        <w:t>.</w:t>
      </w:r>
      <w:r w:rsidRPr="00E7089B">
        <w:t xml:space="preserve"> rpart: Recursive partitioning for classification, regression and survival trees. R package version:4.1-15</w:t>
      </w:r>
      <w:r>
        <w:t>.</w:t>
      </w:r>
    </w:p>
    <w:p w14:paraId="6257CE1F" w14:textId="77777777" w:rsidR="00530E59" w:rsidRPr="00A93A51" w:rsidRDefault="00530E59" w:rsidP="00530E59">
      <w:pPr>
        <w:rPr>
          <w:lang w:val="en-US"/>
        </w:rPr>
      </w:pPr>
      <w:r w:rsidRPr="00A93A51">
        <w:rPr>
          <w:lang w:val="en-US"/>
        </w:rPr>
        <w:t>Thompson, K. (1992). Seeds: The Ecology of Regeneration in Plant Communities. Fenner, M. (ed), pp. 231</w:t>
      </w:r>
      <w:r>
        <w:rPr>
          <w:lang w:val="en-US"/>
        </w:rPr>
        <w:t>–</w:t>
      </w:r>
      <w:r w:rsidRPr="00A93A51">
        <w:rPr>
          <w:lang w:val="en-US"/>
        </w:rPr>
        <w:t>258, C.A.B. International, Wallingford.</w:t>
      </w:r>
    </w:p>
    <w:p w14:paraId="5D8B5F24" w14:textId="29B0184F" w:rsidR="00530E59" w:rsidRPr="00B1558C" w:rsidRDefault="00530E59" w:rsidP="00530E59">
      <w:r w:rsidRPr="000F3219">
        <w:t>Tonkin, Z.D., Ramsey, D.S.L. and King, A.J. (2008</w:t>
      </w:r>
      <w:r>
        <w:t>)</w:t>
      </w:r>
      <w:r w:rsidRPr="000F3219">
        <w:t xml:space="preserve"> Larval and juvenile Australian smelt </w:t>
      </w:r>
      <w:r w:rsidRPr="000F3219">
        <w:rPr>
          <w:i/>
          <w:iCs/>
        </w:rPr>
        <w:t>Retropinna semoni</w:t>
      </w:r>
      <w:r w:rsidRPr="000F3219">
        <w:t xml:space="preserve"> somatic and otolith growth parameters – implications for growth interpretation of wild fish. </w:t>
      </w:r>
      <w:r w:rsidRPr="000F3219">
        <w:rPr>
          <w:i/>
          <w:iCs/>
        </w:rPr>
        <w:t>Ecology of Freshwater Fish</w:t>
      </w:r>
      <w:r w:rsidRPr="000F3219">
        <w:t xml:space="preserve"> </w:t>
      </w:r>
      <w:r w:rsidRPr="000F3219">
        <w:rPr>
          <w:b/>
          <w:bCs/>
        </w:rPr>
        <w:t>17</w:t>
      </w:r>
      <w:r w:rsidRPr="000F3219">
        <w:t>, 489–494.</w:t>
      </w:r>
    </w:p>
    <w:p w14:paraId="46CDC6CA" w14:textId="77777777" w:rsidR="00530E59" w:rsidRDefault="00530E59" w:rsidP="00530E59">
      <w:r w:rsidRPr="0059509B">
        <w:t xml:space="preserve">Tonkin, Z., Stuart, I., Kitchingman, A., Thiem, J.D., Zampatti, B., Hackett, G., Koster, W., Koehn, J., Morrongiello, J., Mallen-Cooper, M. and Lyon, J. (2019). Hydrology and water temperature influence recruitment dynamics of the threatened silver perch </w:t>
      </w:r>
      <w:r w:rsidRPr="0059509B">
        <w:rPr>
          <w:i/>
        </w:rPr>
        <w:t>Bidyanus bidyanus</w:t>
      </w:r>
      <w:r w:rsidRPr="0059509B">
        <w:t xml:space="preserve"> in a regulated lowland river. </w:t>
      </w:r>
      <w:r w:rsidRPr="0059509B">
        <w:rPr>
          <w:i/>
        </w:rPr>
        <w:t>Marine and Freshwater Research</w:t>
      </w:r>
      <w:r w:rsidRPr="0059509B">
        <w:t xml:space="preserve"> </w:t>
      </w:r>
      <w:r w:rsidRPr="0059509B">
        <w:rPr>
          <w:b/>
        </w:rPr>
        <w:t>70</w:t>
      </w:r>
      <w:r w:rsidRPr="0059509B">
        <w:t>, 1333–1344.</w:t>
      </w:r>
    </w:p>
    <w:p w14:paraId="5F4FFDA3" w14:textId="77777777" w:rsidR="00530E59" w:rsidRPr="0059509B" w:rsidRDefault="00530E59" w:rsidP="00530E59">
      <w:r>
        <w:t xml:space="preserve">Tonkin, Z., Yen, J., Lyon, J., Kitchingman, A., Koehn, J.D., Koster, W.M., Lieschke, J., Raymond, S., Sharley, J., Stuart, I. and Todd, C. (2018). Linking flow attributes to recruitment to inform water management for an Australian freshwater fish with an equilibrium life-history strategy, </w:t>
      </w:r>
      <w:r w:rsidRPr="00CE0E23">
        <w:rPr>
          <w:i/>
          <w:iCs/>
        </w:rPr>
        <w:t>Science of the Total Environment</w:t>
      </w:r>
      <w:r>
        <w:t>, https://doi.org/10.1016/j.scitotenv.2020.141863.</w:t>
      </w:r>
    </w:p>
    <w:p w14:paraId="1AC23048" w14:textId="77777777" w:rsidR="00530E59" w:rsidRPr="0059509B" w:rsidRDefault="00530E59" w:rsidP="00530E59">
      <w:pPr>
        <w:rPr>
          <w:lang w:val="en-US"/>
        </w:rPr>
      </w:pPr>
      <w:r w:rsidRPr="0059509B">
        <w:rPr>
          <w:lang w:val="en-US"/>
        </w:rPr>
        <w:t>Van Den Avyle</w:t>
      </w:r>
      <w:r>
        <w:rPr>
          <w:lang w:val="en-US"/>
        </w:rPr>
        <w:t>,</w:t>
      </w:r>
      <w:r w:rsidRPr="0059509B">
        <w:rPr>
          <w:lang w:val="en-US"/>
        </w:rPr>
        <w:t xml:space="preserve"> M</w:t>
      </w:r>
      <w:r>
        <w:rPr>
          <w:lang w:val="en-US"/>
        </w:rPr>
        <w:t>.</w:t>
      </w:r>
      <w:r w:rsidRPr="0059509B">
        <w:rPr>
          <w:lang w:val="en-US"/>
        </w:rPr>
        <w:t>, Wilson</w:t>
      </w:r>
      <w:r>
        <w:rPr>
          <w:lang w:val="en-US"/>
        </w:rPr>
        <w:t>,</w:t>
      </w:r>
      <w:r w:rsidRPr="0059509B">
        <w:rPr>
          <w:lang w:val="en-US"/>
        </w:rPr>
        <w:t xml:space="preserve"> J</w:t>
      </w:r>
      <w:r>
        <w:rPr>
          <w:lang w:val="en-US"/>
        </w:rPr>
        <w:t>.</w:t>
      </w:r>
      <w:r w:rsidRPr="0059509B">
        <w:rPr>
          <w:lang w:val="en-US"/>
        </w:rPr>
        <w:t xml:space="preserve"> (1980)</w:t>
      </w:r>
      <w:r>
        <w:rPr>
          <w:lang w:val="en-US"/>
        </w:rPr>
        <w:t>.</w:t>
      </w:r>
      <w:r w:rsidRPr="0059509B">
        <w:rPr>
          <w:lang w:val="en-US"/>
        </w:rPr>
        <w:t xml:space="preserve"> Food habits and feeding selectivity of larval </w:t>
      </w:r>
      <w:r w:rsidRPr="00C17D71">
        <w:rPr>
          <w:i/>
          <w:iCs/>
          <w:lang w:val="en-US"/>
        </w:rPr>
        <w:t>Dorosoma</w:t>
      </w:r>
      <w:r w:rsidRPr="0059509B">
        <w:rPr>
          <w:lang w:val="en-US"/>
        </w:rPr>
        <w:t xml:space="preserve"> spp. </w:t>
      </w:r>
      <w:r w:rsidRPr="00C17D71">
        <w:rPr>
          <w:lang w:val="en-US"/>
        </w:rPr>
        <w:t>Center Hill Reservoir</w:t>
      </w:r>
      <w:r w:rsidRPr="0059509B">
        <w:rPr>
          <w:lang w:val="en-US"/>
        </w:rPr>
        <w:t>:146</w:t>
      </w:r>
      <w:r>
        <w:rPr>
          <w:lang w:val="en-US"/>
        </w:rPr>
        <w:t>–</w:t>
      </w:r>
      <w:r w:rsidRPr="0059509B">
        <w:rPr>
          <w:lang w:val="en-US"/>
        </w:rPr>
        <w:t>156.</w:t>
      </w:r>
      <w:r>
        <w:rPr>
          <w:lang w:val="en-US"/>
        </w:rPr>
        <w:t xml:space="preserve"> </w:t>
      </w:r>
      <w:r w:rsidRPr="00C17D71">
        <w:rPr>
          <w:lang w:val="en-US"/>
        </w:rPr>
        <w:t>In: L.A. Fuiman. (ed.) Proceedings of the Fourth Annual Larval Fish Conference, U.S. Fish and WildLife Service, Ann Arbor.</w:t>
      </w:r>
    </w:p>
    <w:p w14:paraId="26C2FA5F" w14:textId="77777777" w:rsidR="00530E59" w:rsidRPr="003F2FD1" w:rsidRDefault="00530E59" w:rsidP="00530E59">
      <w:pPr>
        <w:rPr>
          <w:lang w:val="en-US"/>
        </w:rPr>
      </w:pPr>
      <w:r w:rsidRPr="003F2FD1">
        <w:rPr>
          <w:lang w:val="en-US"/>
        </w:rPr>
        <w:t xml:space="preserve">van der Valk, A.G. (1981). Succession in wetlands: a Gleasonian approach. </w:t>
      </w:r>
      <w:r w:rsidRPr="003F2FD1">
        <w:rPr>
          <w:i/>
          <w:iCs/>
          <w:lang w:val="en-US"/>
        </w:rPr>
        <w:t>Ecology</w:t>
      </w:r>
      <w:r w:rsidRPr="003F2FD1">
        <w:rPr>
          <w:lang w:val="en-US"/>
        </w:rPr>
        <w:t xml:space="preserve"> </w:t>
      </w:r>
      <w:r w:rsidRPr="003F2FD1">
        <w:rPr>
          <w:b/>
          <w:bCs/>
          <w:lang w:val="en-US"/>
        </w:rPr>
        <w:t>62</w:t>
      </w:r>
      <w:r w:rsidRPr="003F2FD1">
        <w:rPr>
          <w:lang w:val="en-US"/>
        </w:rPr>
        <w:t>, 688</w:t>
      </w:r>
      <w:r>
        <w:rPr>
          <w:lang w:val="en-US"/>
        </w:rPr>
        <w:t>–</w:t>
      </w:r>
      <w:r w:rsidRPr="003F2FD1">
        <w:rPr>
          <w:lang w:val="en-US"/>
        </w:rPr>
        <w:t>696.</w:t>
      </w:r>
    </w:p>
    <w:p w14:paraId="210BDB8A" w14:textId="77777777" w:rsidR="00530E59" w:rsidRDefault="00530E59" w:rsidP="00530E59">
      <w:r w:rsidRPr="00A95F87">
        <w:t xml:space="preserve">Várbíró, G., Padisák, J., Nagy-László, Z., Abonyi, A., Stanković, I., Gligora Udovič, M., Béres, V.B. and Borics, G. (2018). How length of light exposure shapes the development of riverine algal biomass in temperate rivers? </w:t>
      </w:r>
      <w:r w:rsidRPr="00A95F87">
        <w:rPr>
          <w:i/>
        </w:rPr>
        <w:t>Hydrobiologia</w:t>
      </w:r>
      <w:r w:rsidRPr="00A95F87">
        <w:t xml:space="preserve"> </w:t>
      </w:r>
      <w:r w:rsidRPr="00A95F87">
        <w:rPr>
          <w:b/>
        </w:rPr>
        <w:t>809</w:t>
      </w:r>
      <w:r w:rsidRPr="00A95F87">
        <w:t>, 53–63.</w:t>
      </w:r>
    </w:p>
    <w:p w14:paraId="5EF20C7B" w14:textId="63B39EAE" w:rsidR="00530E59" w:rsidRPr="00A95F87" w:rsidRDefault="00E7089B" w:rsidP="00530E59">
      <w:r w:rsidRPr="00E7089B">
        <w:t>Venables</w:t>
      </w:r>
      <w:r>
        <w:t>,</w:t>
      </w:r>
      <w:r w:rsidRPr="00E7089B">
        <w:t xml:space="preserve"> W</w:t>
      </w:r>
      <w:r>
        <w:t>. and</w:t>
      </w:r>
      <w:r w:rsidRPr="00E7089B">
        <w:t xml:space="preserve"> Ripley</w:t>
      </w:r>
      <w:r>
        <w:t>,</w:t>
      </w:r>
      <w:r w:rsidRPr="00E7089B">
        <w:t xml:space="preserve"> B</w:t>
      </w:r>
      <w:r>
        <w:t>.</w:t>
      </w:r>
      <w:r w:rsidRPr="00E7089B">
        <w:t xml:space="preserve"> (2002)</w:t>
      </w:r>
      <w:r>
        <w:t>.</w:t>
      </w:r>
      <w:r w:rsidRPr="00E7089B">
        <w:t xml:space="preserve"> Random and mixed effects. Modern applied statistics with S. Springer, p</w:t>
      </w:r>
      <w:r>
        <w:t xml:space="preserve">p. </w:t>
      </w:r>
      <w:r w:rsidRPr="00E7089B">
        <w:t>271</w:t>
      </w:r>
      <w:r>
        <w:t>–</w:t>
      </w:r>
      <w:r w:rsidRPr="00E7089B">
        <w:t>300</w:t>
      </w:r>
      <w:r>
        <w:t>.</w:t>
      </w:r>
    </w:p>
    <w:p w14:paraId="264F0D11" w14:textId="0DC399E1" w:rsidR="0012609A" w:rsidRDefault="0012609A" w:rsidP="0012609A">
      <w:r>
        <w:t xml:space="preserve">Vietz, G.J., Sammonds, M.J. and Stewardson, M.J. (2013). Impacts of flow regulation on slackwaters in river channels. </w:t>
      </w:r>
      <w:r w:rsidRPr="0012609A">
        <w:rPr>
          <w:i/>
          <w:iCs/>
        </w:rPr>
        <w:t>Water Resources Research</w:t>
      </w:r>
      <w:r>
        <w:t xml:space="preserve"> </w:t>
      </w:r>
      <w:r w:rsidRPr="0012609A">
        <w:rPr>
          <w:b/>
          <w:bCs/>
        </w:rPr>
        <w:t>49</w:t>
      </w:r>
      <w:r>
        <w:t xml:space="preserve">, 1797–1811. </w:t>
      </w:r>
    </w:p>
    <w:p w14:paraId="1F4E5583" w14:textId="5B960BC9" w:rsidR="00124C16" w:rsidRDefault="00124C16" w:rsidP="0012609A">
      <w:r w:rsidRPr="00124C16">
        <w:t xml:space="preserve">Vilizzi, L. and Walker, K.F. (1999). Age and growth of common carp, </w:t>
      </w:r>
      <w:r w:rsidRPr="00AC1BC0">
        <w:rPr>
          <w:i/>
          <w:iCs/>
        </w:rPr>
        <w:t>Cyprinus carpio</w:t>
      </w:r>
      <w:r w:rsidRPr="00124C16">
        <w:t xml:space="preserve">, in the River Murray, Australia: validation, consistency of age interpretation and growth models. </w:t>
      </w:r>
      <w:r w:rsidRPr="00124C16">
        <w:rPr>
          <w:i/>
          <w:iCs/>
        </w:rPr>
        <w:t>Environmental Biology of Fishes</w:t>
      </w:r>
      <w:r w:rsidRPr="00124C16">
        <w:t xml:space="preserve"> </w:t>
      </w:r>
      <w:r w:rsidRPr="00124C16">
        <w:rPr>
          <w:b/>
          <w:bCs/>
        </w:rPr>
        <w:t>54</w:t>
      </w:r>
      <w:r w:rsidRPr="00124C16">
        <w:t>, 77–106.</w:t>
      </w:r>
    </w:p>
    <w:p w14:paraId="06D5B23D" w14:textId="52C65F99" w:rsidR="00530E59" w:rsidRPr="000F3386" w:rsidRDefault="00530E59" w:rsidP="00530E59">
      <w:r w:rsidRPr="000F3386">
        <w:t>Vinyard, G.L. (1980). Differential prey vulnerability and predator selectivity: effects of evasive prey on bluegill (</w:t>
      </w:r>
      <w:r w:rsidRPr="000F3386">
        <w:rPr>
          <w:i/>
        </w:rPr>
        <w:t>Lepomis macrochirus</w:t>
      </w:r>
      <w:r w:rsidRPr="000F3386">
        <w:t>) and pumpkinseed (</w:t>
      </w:r>
      <w:r w:rsidRPr="000F3386">
        <w:rPr>
          <w:i/>
        </w:rPr>
        <w:t>L. gibhosus</w:t>
      </w:r>
      <w:r w:rsidRPr="000F3386">
        <w:t xml:space="preserve">) predation. </w:t>
      </w:r>
      <w:r w:rsidRPr="000F3386">
        <w:rPr>
          <w:i/>
        </w:rPr>
        <w:t>Canadian Journal of Fisheries and Aquatic Sciences</w:t>
      </w:r>
      <w:r w:rsidRPr="000F3386">
        <w:t xml:space="preserve"> </w:t>
      </w:r>
      <w:r w:rsidRPr="000F3386">
        <w:rPr>
          <w:b/>
        </w:rPr>
        <w:t>37</w:t>
      </w:r>
      <w:r w:rsidRPr="000F3386">
        <w:t>, 2294–2299.</w:t>
      </w:r>
    </w:p>
    <w:p w14:paraId="7A0283D2" w14:textId="77777777" w:rsidR="00AC1BC0" w:rsidRDefault="00530E59" w:rsidP="00530E59">
      <w:r w:rsidRPr="00D813A6">
        <w:t xml:space="preserve">Walker, K.F. (1985). A review of the ecological effects of river regulation in Australia. </w:t>
      </w:r>
      <w:r w:rsidRPr="00D813A6">
        <w:rPr>
          <w:i/>
        </w:rPr>
        <w:t>Hydrobiologia</w:t>
      </w:r>
      <w:r w:rsidRPr="00D813A6">
        <w:t xml:space="preserve"> </w:t>
      </w:r>
      <w:r w:rsidRPr="00D813A6">
        <w:rPr>
          <w:b/>
        </w:rPr>
        <w:t>125</w:t>
      </w:r>
      <w:r w:rsidRPr="00D813A6">
        <w:t xml:space="preserve">, 111–129. </w:t>
      </w:r>
    </w:p>
    <w:p w14:paraId="20595A14" w14:textId="7494580B" w:rsidR="00530E59" w:rsidRPr="0088031C" w:rsidRDefault="00530E59" w:rsidP="00530E59">
      <w:r w:rsidRPr="00D813A6">
        <w:t xml:space="preserve">Walker, K.F. (2006). Serial weirs, cumulative effects: the Lower Murray River, Australia. In: Ecology of Desert Rivers (Ed. R. Kingsford) pp. 248–279. Cambridge University Press, </w:t>
      </w:r>
      <w:r w:rsidRPr="0088031C">
        <w:t>Cambridge.</w:t>
      </w:r>
    </w:p>
    <w:p w14:paraId="1EE17753" w14:textId="77777777" w:rsidR="00530E59" w:rsidRPr="003F2FD1" w:rsidRDefault="00530E59" w:rsidP="00530E59">
      <w:r w:rsidRPr="0088031C">
        <w:t>Walker, K.F. and Thoms, M.C. (1993). Environmental effects of flow regulation on the Lower Murra</w:t>
      </w:r>
      <w:r w:rsidRPr="003F2FD1">
        <w:t xml:space="preserve">y River, Australia. </w:t>
      </w:r>
      <w:r w:rsidRPr="003F2FD1">
        <w:rPr>
          <w:i/>
        </w:rPr>
        <w:t>Regulated Rivers: Research and Management</w:t>
      </w:r>
      <w:r w:rsidRPr="003F2FD1">
        <w:t xml:space="preserve"> </w:t>
      </w:r>
      <w:r w:rsidRPr="003F2FD1">
        <w:rPr>
          <w:b/>
        </w:rPr>
        <w:t>8</w:t>
      </w:r>
      <w:r w:rsidRPr="003F2FD1">
        <w:t>, 103–119.</w:t>
      </w:r>
    </w:p>
    <w:p w14:paraId="4AAB7E9F" w14:textId="31DD968D" w:rsidR="00530E59" w:rsidRPr="003F2FD1" w:rsidRDefault="00530E59" w:rsidP="00530E59">
      <w:pPr>
        <w:rPr>
          <w:lang w:val="en-US"/>
        </w:rPr>
      </w:pPr>
      <w:r w:rsidRPr="003F2FD1">
        <w:rPr>
          <w:lang w:val="en-US"/>
        </w:rPr>
        <w:t xml:space="preserve">Walker, P.D., Wijnhoven, S. and van der Velde, G. (2013). Macrophyte presence and growth form influence macroinvertebrate community structure. </w:t>
      </w:r>
      <w:r w:rsidRPr="003F2FD1">
        <w:rPr>
          <w:i/>
          <w:iCs/>
          <w:lang w:val="en-US"/>
        </w:rPr>
        <w:t>Aquatic Botany</w:t>
      </w:r>
      <w:r w:rsidRPr="003F2FD1">
        <w:rPr>
          <w:lang w:val="en-US"/>
        </w:rPr>
        <w:t xml:space="preserve"> </w:t>
      </w:r>
      <w:r w:rsidRPr="003F2FD1">
        <w:rPr>
          <w:b/>
          <w:bCs/>
          <w:lang w:val="en-US"/>
        </w:rPr>
        <w:t>104</w:t>
      </w:r>
      <w:r w:rsidRPr="003F2FD1">
        <w:rPr>
          <w:lang w:val="en-US"/>
        </w:rPr>
        <w:t>, 80</w:t>
      </w:r>
      <w:r w:rsidR="00C24E56">
        <w:rPr>
          <w:lang w:val="en-US"/>
        </w:rPr>
        <w:t>–</w:t>
      </w:r>
      <w:r w:rsidRPr="003F2FD1">
        <w:rPr>
          <w:lang w:val="en-US"/>
        </w:rPr>
        <w:t>87.</w:t>
      </w:r>
    </w:p>
    <w:p w14:paraId="302580F0" w14:textId="77777777" w:rsidR="00530E59" w:rsidRPr="0059173F" w:rsidRDefault="00530E59" w:rsidP="00530E59">
      <w:r w:rsidRPr="0088031C">
        <w:t xml:space="preserve">Wallace, T.A., Daly, R., Aldridge, K.T., Cox, J., Gibbs, M.S., Nicol, J.M., Oliver, R.L., Walker, K.F., Ye, Q. and Zampatti, B.P. (2014). River Murray Channel Environmental Water Requirements: Hydrodynamic Modelling Results and Conceptual Models, Goyder Institute for Water Research </w:t>
      </w:r>
      <w:r w:rsidRPr="0059173F">
        <w:t>Technical Report Series No. 14/5, Adelaide, South Australia.</w:t>
      </w:r>
    </w:p>
    <w:p w14:paraId="29D05599" w14:textId="77777777" w:rsidR="00530E59" w:rsidRPr="0059173F" w:rsidRDefault="00530E59" w:rsidP="00530E59">
      <w:r w:rsidRPr="0059173F">
        <w:t>Wallace, T.W. and Cummings, C.R. (2016). Influence of water level manipulation on biofilm composition in a highly regulated lowland river. Report prepared for the Department of Environment, Water and Natural Resources by the University of Adelaide and the Environment Protection Authority. 36pp.</w:t>
      </w:r>
    </w:p>
    <w:p w14:paraId="3870A354" w14:textId="77777777" w:rsidR="00530E59" w:rsidRPr="00C70D04" w:rsidRDefault="00530E59" w:rsidP="00530E59">
      <w:r w:rsidRPr="00C70D04">
        <w:t xml:space="preserve">Wassens, S., Spencer, J., Wolfenden, B., Thiem, J., Thomas, R., Jenkins, K., Brandis, K., Lenon, E., Hall, A., Ocock, J., Kobayashi, T., Bino, G., Heath, J. and Callaghan, D. (2017). Commonwealth Environmental Water Office Long-Term Intervention Monitoring project Murrumbidgee River system Selected Area evaluation report, 2014–17. Canberra, Commonwealth of Australia. </w:t>
      </w:r>
    </w:p>
    <w:p w14:paraId="543691B3" w14:textId="6018295F" w:rsidR="00530E59" w:rsidRPr="00C70D04" w:rsidRDefault="00530E59" w:rsidP="00530E59">
      <w:r w:rsidRPr="00C70D04">
        <w:t xml:space="preserve">Watts, J.R., Dyer, F., Frazier, F., Gawne, B., Marsh, P., Ryder, D. S., Southwell, M., Wassens, S.M., Webb J.A. and Ye, Q. (2020). Learning from concurrent adaptive management in multiple catchments within a large environmental flows program in Australia. </w:t>
      </w:r>
      <w:r w:rsidRPr="00C70D04">
        <w:rPr>
          <w:i/>
          <w:iCs/>
        </w:rPr>
        <w:t>River Research and Applications</w:t>
      </w:r>
      <w:r w:rsidRPr="00C70D04">
        <w:t xml:space="preserve"> </w:t>
      </w:r>
      <w:r w:rsidRPr="00C70D04">
        <w:rPr>
          <w:b/>
          <w:bCs/>
        </w:rPr>
        <w:t>36</w:t>
      </w:r>
      <w:r w:rsidR="00C24E56">
        <w:t>,</w:t>
      </w:r>
      <w:r w:rsidRPr="00C70D04">
        <w:t xml:space="preserve"> 668–680. </w:t>
      </w:r>
    </w:p>
    <w:p w14:paraId="4C80651B" w14:textId="77777777" w:rsidR="00530E59" w:rsidRPr="00C70D04" w:rsidRDefault="00530E59" w:rsidP="00530E59">
      <w:r w:rsidRPr="00C70D04">
        <w:t xml:space="preserve">Watts, R.J., McCasker, N., Howitt, J.A., Thiem, J., Grace, M., Kopf, R.K., Healy, S. and Bond, N. (2017). Commonwealth Environmental Water Office Long Term Intervention Monitoring Project: Edward-Wakool River System Selected Area Evaluation Report, 2016-17. Report prepared for Commonwealth Environmental Water Office. Commonwealth of Australia. </w:t>
      </w:r>
    </w:p>
    <w:p w14:paraId="74B397EB" w14:textId="77777777" w:rsidR="00530E59" w:rsidRPr="0059173F" w:rsidRDefault="00530E59" w:rsidP="00530E59">
      <w:r w:rsidRPr="00C70D04">
        <w:t xml:space="preserve">Watts, R.J., McCasker, N., Thiem, J., Howitt, J.A., Grace, M., Kopf, R.K., Healy, S. and Bond, N. (2015). Commonwealth Environmental Water Office Long Term Intervention Monitoring Project: Edward-Wakool Selected Area </w:t>
      </w:r>
      <w:r w:rsidRPr="0059173F">
        <w:t>Technical Report, 2014-15. Institute for Land, Water and Society, Charles Sturt University, Prepared for Commonwealth Environmental Water.</w:t>
      </w:r>
    </w:p>
    <w:p w14:paraId="28D80DC8" w14:textId="77777777" w:rsidR="00530E59" w:rsidRPr="0059173F" w:rsidRDefault="00530E59" w:rsidP="00530E59">
      <w:r w:rsidRPr="0059173F">
        <w:t>Webb, A., King, E., Treadwell, S., Lintern, A., Baker, B., Casanelia, S., Grace, M., Koster, W., Lovell, D., Morris, K., Pettigrove, V., Townsend, K. and Vietz, G. (2017). Commonwealth Environmental Water Office Long Term Intervention Monitoring Project: Goulburn River Selected Area evaluation report 2016–17.</w:t>
      </w:r>
    </w:p>
    <w:p w14:paraId="03956B6E" w14:textId="32022A24" w:rsidR="00530E59" w:rsidRDefault="00530E59" w:rsidP="00530E59">
      <w:r w:rsidRPr="0059173F">
        <w:t xml:space="preserve">Webb, A., Vietz, G., Windecker, S., Hladyz, S., Thompson, R., Koster, W. and Jones, M. (2015). Monitoring and reporting on the ecological outcomes of Commonwealth environmental water delivered in the lower Goulburn River and Broken Creek in 2013/14. The University of </w:t>
      </w:r>
      <w:r w:rsidRPr="00346B75">
        <w:t>Melbourne for the Commonwealth Environmental Water Office.</w:t>
      </w:r>
    </w:p>
    <w:p w14:paraId="181771B6" w14:textId="5A3F7C19" w:rsidR="00FA59B8" w:rsidRDefault="00FA59B8" w:rsidP="00530E59">
      <w:r w:rsidRPr="00FA59B8">
        <w:t>Welsh, W.D., Vaze,</w:t>
      </w:r>
      <w:r>
        <w:t xml:space="preserve"> J.,</w:t>
      </w:r>
      <w:r w:rsidRPr="00FA59B8">
        <w:t xml:space="preserve"> Dutta, D.</w:t>
      </w:r>
      <w:r>
        <w:t>,</w:t>
      </w:r>
      <w:r w:rsidRPr="00FA59B8">
        <w:t xml:space="preserve"> Rassam,</w:t>
      </w:r>
      <w:r>
        <w:t xml:space="preserve"> D.,</w:t>
      </w:r>
      <w:r w:rsidRPr="00FA59B8">
        <w:t xml:space="preserve"> Rahman,</w:t>
      </w:r>
      <w:r>
        <w:t xml:space="preserve"> J.M.,</w:t>
      </w:r>
      <w:r w:rsidRPr="00FA59B8">
        <w:t xml:space="preserve"> Jolly,</w:t>
      </w:r>
      <w:r>
        <w:t xml:space="preserve"> I.D.,</w:t>
      </w:r>
      <w:r w:rsidRPr="00FA59B8">
        <w:t xml:space="preserve"> Wallbrink,</w:t>
      </w:r>
      <w:r>
        <w:t xml:space="preserve"> P.,</w:t>
      </w:r>
      <w:r w:rsidRPr="00FA59B8">
        <w:t xml:space="preserve"> Podger,</w:t>
      </w:r>
      <w:r>
        <w:t xml:space="preserve"> G.M.,</w:t>
      </w:r>
      <w:r w:rsidRPr="00FA59B8">
        <w:t xml:space="preserve"> Bethune,</w:t>
      </w:r>
      <w:r>
        <w:t xml:space="preserve"> M.,</w:t>
      </w:r>
      <w:r w:rsidRPr="00FA59B8">
        <w:t xml:space="preserve"> Hardy,</w:t>
      </w:r>
      <w:r>
        <w:t xml:space="preserve"> M.J.,</w:t>
      </w:r>
      <w:r w:rsidRPr="00FA59B8">
        <w:t xml:space="preserve"> Teng</w:t>
      </w:r>
      <w:r>
        <w:t>, J.</w:t>
      </w:r>
      <w:r w:rsidRPr="00FA59B8">
        <w:t xml:space="preserve"> and Lerat</w:t>
      </w:r>
      <w:r>
        <w:t>, J.</w:t>
      </w:r>
      <w:r w:rsidRPr="00FA59B8">
        <w:t xml:space="preserve"> (2013). An integrated modelling framework for regulated river systems. </w:t>
      </w:r>
      <w:r w:rsidRPr="00FA59B8">
        <w:rPr>
          <w:i/>
          <w:iCs/>
        </w:rPr>
        <w:t>Environmental Modelling &amp; Software</w:t>
      </w:r>
      <w:r w:rsidRPr="00FA59B8">
        <w:t xml:space="preserve"> </w:t>
      </w:r>
      <w:r w:rsidRPr="00FA59B8">
        <w:rPr>
          <w:b/>
          <w:bCs/>
        </w:rPr>
        <w:t>39</w:t>
      </w:r>
      <w:r w:rsidRPr="00FA59B8">
        <w:t>: 81</w:t>
      </w:r>
      <w:r>
        <w:t>–</w:t>
      </w:r>
      <w:r w:rsidRPr="00FA59B8">
        <w:t>102.</w:t>
      </w:r>
    </w:p>
    <w:p w14:paraId="4FDB54F1" w14:textId="2A4AE3C2" w:rsidR="004D04C7" w:rsidRPr="00346B75" w:rsidRDefault="004D04C7" w:rsidP="00530E59">
      <w:r w:rsidRPr="004D04C7">
        <w:t xml:space="preserve">White, P.A., Kalff, J., Rasmussen, J.B. and Gasol, J.M. (1991). The effect of temperature and algal biomass on bacterial production and specific growth rate in freshwater and marine habitats. </w:t>
      </w:r>
      <w:r w:rsidRPr="004D04C7">
        <w:rPr>
          <w:i/>
          <w:iCs/>
        </w:rPr>
        <w:t>Microbial Ecology</w:t>
      </w:r>
      <w:r w:rsidRPr="004D04C7">
        <w:t xml:space="preserve"> </w:t>
      </w:r>
      <w:r w:rsidRPr="004D04C7">
        <w:rPr>
          <w:b/>
          <w:bCs/>
        </w:rPr>
        <w:t>21</w:t>
      </w:r>
      <w:r w:rsidRPr="004D04C7">
        <w:t>, 99–118.</w:t>
      </w:r>
    </w:p>
    <w:p w14:paraId="1647102A" w14:textId="7566CD0D" w:rsidR="00530E59" w:rsidRDefault="00530E59" w:rsidP="00530E59">
      <w:r w:rsidRPr="00346B75">
        <w:t xml:space="preserve">Whitworth, K.L. and Baldwin, D.S. (2016). Improving our capacity to manage hypoxic blackwater events in lowland rivers: The Blackwater Risk Assessment Tool. </w:t>
      </w:r>
      <w:r w:rsidRPr="00346B75">
        <w:rPr>
          <w:i/>
        </w:rPr>
        <w:t>Ecological Modelling</w:t>
      </w:r>
      <w:r w:rsidRPr="00346B75">
        <w:t xml:space="preserve"> </w:t>
      </w:r>
      <w:r w:rsidRPr="00346B75">
        <w:rPr>
          <w:b/>
        </w:rPr>
        <w:t>320</w:t>
      </w:r>
      <w:r w:rsidRPr="00346B75">
        <w:t>, 292–298.</w:t>
      </w:r>
    </w:p>
    <w:p w14:paraId="03D5614A" w14:textId="743F0164" w:rsidR="00042EFA" w:rsidRPr="00346B75" w:rsidRDefault="00042EFA" w:rsidP="00530E59">
      <w:r w:rsidRPr="00042EFA">
        <w:t xml:space="preserve">Williams, L., Reich, P., Capon, S.J. and Raulings, E. (2008). Soil seed banks of degraded riparian zones in southeastern Australia and their potential contribution to the restoration of understorey vegetation. </w:t>
      </w:r>
      <w:r w:rsidRPr="00042EFA">
        <w:rPr>
          <w:i/>
          <w:iCs/>
        </w:rPr>
        <w:t>River Research and Applications</w:t>
      </w:r>
      <w:r w:rsidRPr="00042EFA">
        <w:t xml:space="preserve"> </w:t>
      </w:r>
      <w:r w:rsidRPr="00042EFA">
        <w:rPr>
          <w:b/>
          <w:bCs/>
        </w:rPr>
        <w:t>24</w:t>
      </w:r>
      <w:r>
        <w:t>,</w:t>
      </w:r>
      <w:r w:rsidRPr="00042EFA">
        <w:t xml:space="preserve"> 1002</w:t>
      </w:r>
      <w:r>
        <w:t>–</w:t>
      </w:r>
      <w:r w:rsidRPr="00042EFA">
        <w:t>1017.</w:t>
      </w:r>
    </w:p>
    <w:p w14:paraId="272B164C" w14:textId="3F8B04D1" w:rsidR="00530E59" w:rsidRDefault="00530E59" w:rsidP="00530E59">
      <w:r w:rsidRPr="00D12643">
        <w:t>Ye, Q., Bucater, L. and Short, D. (2011). Coorong fish intervention monitoring during barrage releases in 2010/11. South Australian Research and Development Institute (Aquatic Sciences), Adelaide. SARDI Publication No. F2011/000309-1. SARDI Research Report Series No. 559.</w:t>
      </w:r>
    </w:p>
    <w:p w14:paraId="3CCC19FC" w14:textId="77777777" w:rsidR="00AC1BC0" w:rsidRDefault="00DB4B43" w:rsidP="00DB4B43">
      <w:r w:rsidRPr="0059173F">
        <w:t>Ye, Q., Giatas, G., Aldridge, K., Busch, B., Brookes, J., Gibbs, M., Hipsey, M., Lorenz, Z., Maas, R., Oliver, R., Shiel, R., Woodhead, J. and Zampatti, B. (2018). Long-Term Intervention Monitoring of the Ecological Responses to Commonwealth Environmental Water Delivered to the Lower Murray River Selected Area in 2016/17. A report prepared for the Commonwealth Environmental Water Office. South Australian Research and Development Institute, Aquatic Sciences.</w:t>
      </w:r>
    </w:p>
    <w:p w14:paraId="5344896F" w14:textId="7D0DAB30" w:rsidR="00DB4B43" w:rsidRPr="00D12643" w:rsidRDefault="00DB4B43" w:rsidP="00530E59">
      <w:r w:rsidRPr="0059173F">
        <w:t>Ye, Q., Giatas, G., Aldridge, K., Busch, B., Brookes, J., Gibbs, M., Hipsey, M., Lorenz, Z., Maas, R., Oliver, R., Shiel, R., Woodhead, J. and Zampatti, B. (2019). Long-Term Intervention Monitoring of the Ecological Responses to Commonwealth Environmental Water Delivered to the Lower Murray River Selected Area in 2017-18. A report prepared for the Commonwealth Environmental Water Office. South Australian Research and Development Institute, Aquatic Sciences.</w:t>
      </w:r>
    </w:p>
    <w:p w14:paraId="3B033874" w14:textId="45855C82" w:rsidR="00530E59" w:rsidRDefault="00530E59" w:rsidP="00530E59">
      <w:r w:rsidRPr="00D12643">
        <w:t xml:space="preserve">Ye, Q., Giatas, G., Aldridge, K., Busch, B., Gibbs, M., Hipsey, M., Lorenz, Z., Maas, R., Oliver, R., Shiel, R., Woodhead, J. and Zampatti, B. (2017). Long-Term Intervention Monitoring of the Ecological Responses to Commonwealth Environmental Water Delivered to the Lower Murray River Selected Area in </w:t>
      </w:r>
      <w:r w:rsidRPr="0059173F">
        <w:t>2015/16. A report prepared for the Commonwealth Environmental Water Office. South Australian Research and Development Institute, Aquatic Sciences.</w:t>
      </w:r>
    </w:p>
    <w:p w14:paraId="283AB587" w14:textId="5448A98B" w:rsidR="00DB4B43" w:rsidRDefault="00DB4B43" w:rsidP="00530E59">
      <w:r w:rsidRPr="00BE00F1">
        <w:t xml:space="preserve">Ye Q., Giatas G., Aldridge K.T., Busch B., Gibbs M., Hipsey M.R., Lorenz Z., Oliver R., Shiel R.J. &amp; Zampatti B. (2016b) Long-term Intervention Monitoring for the Ecological Responses to Commonwealth Environmental Water Delivered to the Lower Murray River Selected Area in 2014/15: A Report Prepared for the Commonwealth Environmental Water Office by the South Australian Research and Development Institute, Aquatic Sciences, SARDI Aquatic </w:t>
      </w:r>
      <w:r w:rsidRPr="00C70D04">
        <w:t>Sciences.</w:t>
      </w:r>
    </w:p>
    <w:p w14:paraId="029D1E6E" w14:textId="19007A64" w:rsidR="00BE325E" w:rsidRPr="0059173F" w:rsidRDefault="00BE325E" w:rsidP="00530E59">
      <w:r w:rsidRPr="00BE325E">
        <w:t>Ye, Q., Giatas, G., Bice, C., Brookes, J., Furst, D., Gibbs, M., Nicol, J., Oliver, R., Shiel, R., Zampatti, B., Bucater, L., Deane, D., Hipsey, M., Huang, P., Lorenz, Z. and Zhai, S. (2021). Commonwealth Environmental Water Office Monitoring, Evaluation and Research Project: Lower Murray 2019-20 Technical Report. A report prepared for the Commonwealth Environmental Water Office by the South Australian Research and Development Institute, Aquatic Sciences.</w:t>
      </w:r>
    </w:p>
    <w:p w14:paraId="638BB4BC" w14:textId="3C876C6D" w:rsidR="00530E59" w:rsidRPr="0059173F" w:rsidRDefault="00530E59" w:rsidP="00530E59">
      <w:r w:rsidRPr="0059173F">
        <w:t>Ye, Q., Giatas, G., Brookes, J., Furst, D., Gibbs, M., Oliver, R., Shiel, R., Zampatti, B., Aldridge, K., Bucater, L., Busch, B., Hipsey, M., Lorenz, Z., Maas, R., and Woodhead, J. (2020</w:t>
      </w:r>
      <w:r w:rsidR="00610AEE">
        <w:t>a</w:t>
      </w:r>
      <w:r w:rsidRPr="0059173F">
        <w:t>). Commonwealth Environmental Water Office Long-Term Intervention Monitoring Project 2014–2019: Lower Murray River Technical Report. A report prepared for the Commonwealth Environmental Water Office by the South Australian Research and Development Institute, Aquatic Sciences.</w:t>
      </w:r>
    </w:p>
    <w:p w14:paraId="66AA8182" w14:textId="6F5357B2" w:rsidR="00610AEE" w:rsidRDefault="00610AEE" w:rsidP="00530E59">
      <w:r w:rsidRPr="00610AEE">
        <w:t>Ye, Q., Giatas, G., Dittmann, S., Baring, R., Bucater, L., Deane, D., Furst, D., Brookes, J., Rogers, D. and Goldsworthy, S. (2020</w:t>
      </w:r>
      <w:r>
        <w:t>b</w:t>
      </w:r>
      <w:r w:rsidRPr="00610AEE">
        <w:t>) A synthesis of current knowledge of the food web and food resources for waterbird and fish populations in the Coorong. Goyder Institute for Water Research Technical Report Series No. 20/11.</w:t>
      </w:r>
    </w:p>
    <w:p w14:paraId="2A31FE37" w14:textId="310F8C55" w:rsidR="00530E59" w:rsidRPr="00C70D04" w:rsidRDefault="00530E59" w:rsidP="00530E59">
      <w:r w:rsidRPr="00C70D04">
        <w:t xml:space="preserve">Ye, Q., Livore, J.P., Aldridge, K., Bradford, T., Busch, B., Earl, J., Hipsey, M., Hoffmann, E., Joehnk, K., Lorenz, Z., Nicol, J., Oliver, R., Shiel, R., Suitor, L., Tan, L., Turner, R., Wegener, I., Wilson, P.J. and Zampatti, B.P. (2015). Monitoring the ecological responses to Commonwealth environmental water delivered to the Lower Murray River in 2012-13. Report 3, prepared for Commonwealth Environmental Water Office. South Australian Research and Development Institute, Aquatic Sciences. </w:t>
      </w:r>
    </w:p>
    <w:p w14:paraId="5AF2404C" w14:textId="77777777" w:rsidR="00530E59" w:rsidRPr="00346B75" w:rsidRDefault="00530E59" w:rsidP="00530E59">
      <w:r w:rsidRPr="00C70D04">
        <w:t>Ye, Q., Livore, J., Aldridge, K., Giatas, G., Hipsey, M., Joehnk, K., Nicol, J., Wilson, P., Zampatti, B. (2016a</w:t>
      </w:r>
      <w:r w:rsidRPr="00346B75">
        <w:t>). Monitoring ecological response to Commonwealth environmental water delivered to the Lower Murray River in 2013-14. Final Report prepared for the Commonwealth Environmental Water Office. South Australian Research and Development Institute.</w:t>
      </w:r>
    </w:p>
    <w:p w14:paraId="1A99916B" w14:textId="77777777" w:rsidR="00530E59" w:rsidRPr="00BC2A5A" w:rsidRDefault="00530E59" w:rsidP="00530E59">
      <w:pPr>
        <w:rPr>
          <w:highlight w:val="yellow"/>
        </w:rPr>
      </w:pPr>
      <w:r w:rsidRPr="001D5B23">
        <w:t xml:space="preserve">Ye, Q. and Zampatti, B. (2007). Murray cod stock status – the Lower River Murray, South Australia. Stock status report to PIRSA Fisheries. South Australian Research and Development Institute (Aquatic Sciences), Adelaide. SARDI Publication No. </w:t>
      </w:r>
      <w:r>
        <w:t>F2007-000211-1</w:t>
      </w:r>
      <w:r w:rsidRPr="001D5B23">
        <w:t xml:space="preserve">. SARDI Report Series No. </w:t>
      </w:r>
      <w:r>
        <w:t>208</w:t>
      </w:r>
      <w:r w:rsidRPr="001D5B23">
        <w:t>.</w:t>
      </w:r>
    </w:p>
    <w:p w14:paraId="106C83F3" w14:textId="77777777" w:rsidR="00530E59" w:rsidRPr="0059173F" w:rsidRDefault="00530E59" w:rsidP="00530E59">
      <w:pPr>
        <w:rPr>
          <w:bCs/>
        </w:rPr>
      </w:pPr>
      <w:r w:rsidRPr="0059173F">
        <w:rPr>
          <w:bCs/>
        </w:rPr>
        <w:t xml:space="preserve">Young, R.G. and Huryn, A.D. (1996). Interannual variation in discharge controls ecosystem metabolism along a grassland river continuum. </w:t>
      </w:r>
      <w:r w:rsidRPr="0059173F">
        <w:rPr>
          <w:bCs/>
          <w:i/>
        </w:rPr>
        <w:t>Canadian Journal of Fisheries and Aquatic Sciences</w:t>
      </w:r>
      <w:r w:rsidRPr="0059173F">
        <w:rPr>
          <w:bCs/>
        </w:rPr>
        <w:t xml:space="preserve"> </w:t>
      </w:r>
      <w:r w:rsidRPr="0059173F">
        <w:rPr>
          <w:b/>
          <w:bCs/>
        </w:rPr>
        <w:t>53</w:t>
      </w:r>
      <w:r w:rsidRPr="0059173F">
        <w:rPr>
          <w:bCs/>
        </w:rPr>
        <w:t>, 2199–2211.</w:t>
      </w:r>
    </w:p>
    <w:p w14:paraId="2E0EBF18" w14:textId="77777777" w:rsidR="00530E59" w:rsidRPr="0059509B" w:rsidRDefault="00530E59" w:rsidP="00530E59">
      <w:pPr>
        <w:rPr>
          <w:bCs/>
        </w:rPr>
      </w:pPr>
      <w:r w:rsidRPr="0059509B">
        <w:rPr>
          <w:bCs/>
        </w:rPr>
        <w:t>Zampatti, B.P. and Leigh, S.J. (2013a). Effects of flooding on recruitment and abundance of Golden Perch (</w:t>
      </w:r>
      <w:r w:rsidRPr="0059509B">
        <w:rPr>
          <w:bCs/>
          <w:i/>
        </w:rPr>
        <w:t>Macquaria ambigua ambigua</w:t>
      </w:r>
      <w:r w:rsidRPr="0059509B">
        <w:rPr>
          <w:bCs/>
        </w:rPr>
        <w:t xml:space="preserve">) in the lower River Murray. </w:t>
      </w:r>
      <w:r w:rsidRPr="0059509B">
        <w:rPr>
          <w:bCs/>
          <w:i/>
        </w:rPr>
        <w:t>Ecological Management and Restoration</w:t>
      </w:r>
      <w:r w:rsidRPr="0059509B">
        <w:rPr>
          <w:bCs/>
        </w:rPr>
        <w:t xml:space="preserve"> </w:t>
      </w:r>
      <w:r w:rsidRPr="0059509B">
        <w:rPr>
          <w:b/>
          <w:bCs/>
        </w:rPr>
        <w:t>14</w:t>
      </w:r>
      <w:r w:rsidRPr="0059509B">
        <w:rPr>
          <w:bCs/>
        </w:rPr>
        <w:t>, 135–143.</w:t>
      </w:r>
    </w:p>
    <w:p w14:paraId="06C5CFF1" w14:textId="77777777" w:rsidR="00530E59" w:rsidRPr="0059509B" w:rsidRDefault="00530E59" w:rsidP="00530E59">
      <w:pPr>
        <w:rPr>
          <w:bCs/>
        </w:rPr>
      </w:pPr>
      <w:r w:rsidRPr="0059509B">
        <w:rPr>
          <w:bCs/>
        </w:rPr>
        <w:t xml:space="preserve">Zampatti, B.P. and Leigh, S.J. (2013b). Within-channel flows promote spawning and recruitment of golden perch, </w:t>
      </w:r>
      <w:r w:rsidRPr="0059509B">
        <w:rPr>
          <w:bCs/>
          <w:i/>
        </w:rPr>
        <w:t>Macquaria ambigua ambigua</w:t>
      </w:r>
      <w:r w:rsidRPr="0059509B">
        <w:rPr>
          <w:bCs/>
        </w:rPr>
        <w:t xml:space="preserve">: implications for environmental flow management in the River Murray, Australia. </w:t>
      </w:r>
      <w:r w:rsidRPr="0059509B">
        <w:rPr>
          <w:bCs/>
          <w:i/>
        </w:rPr>
        <w:t>Marine and Freshwater Research</w:t>
      </w:r>
      <w:r w:rsidRPr="0059509B">
        <w:rPr>
          <w:bCs/>
        </w:rPr>
        <w:t xml:space="preserve"> </w:t>
      </w:r>
      <w:r w:rsidRPr="0059509B">
        <w:rPr>
          <w:b/>
          <w:bCs/>
        </w:rPr>
        <w:t>64</w:t>
      </w:r>
      <w:r w:rsidRPr="0059509B">
        <w:rPr>
          <w:bCs/>
        </w:rPr>
        <w:t>, 618–630.</w:t>
      </w:r>
    </w:p>
    <w:p w14:paraId="6F0FE829" w14:textId="37AF1A9A" w:rsidR="00610AEE" w:rsidRDefault="00530E59" w:rsidP="002B6E9C">
      <w:pPr>
        <w:rPr>
          <w:bCs/>
        </w:rPr>
      </w:pPr>
      <w:r w:rsidRPr="0059173F">
        <w:rPr>
          <w:bCs/>
        </w:rPr>
        <w:t>Zampatti, B.P., Bice, C.M., Wilson, P.J. and Ye, Q. (2014). Population dynamics of Murray cod (</w:t>
      </w:r>
      <w:r w:rsidRPr="0059173F">
        <w:rPr>
          <w:bCs/>
          <w:i/>
        </w:rPr>
        <w:t>Maccullochella peelii</w:t>
      </w:r>
      <w:r w:rsidRPr="0059173F">
        <w:rPr>
          <w:bCs/>
        </w:rPr>
        <w:t xml:space="preserve">) in the South Australian reaches of the River Murray: A synthesis of data from 2002–2013. South Australian Research and Development Institute (Aquatic Sciences), Adelaide. SARDI Publication No. F2014-000089-1. SARDI Research Report Series No. 761. </w:t>
      </w:r>
      <w:r w:rsidR="00610AEE">
        <w:rPr>
          <w:bCs/>
        </w:rPr>
        <w:br w:type="page"/>
      </w:r>
    </w:p>
    <w:p w14:paraId="076D5C1E" w14:textId="5C0CB887" w:rsidR="00396BE9" w:rsidRPr="0059173F" w:rsidRDefault="00396BE9" w:rsidP="00530E59">
      <w:pPr>
        <w:rPr>
          <w:bCs/>
        </w:rPr>
      </w:pPr>
      <w:r w:rsidRPr="00396BE9">
        <w:rPr>
          <w:bCs/>
        </w:rPr>
        <w:t>Zampatti, B.P., Leigh, S.J., Wilson, P.J., Crook, D.A., Gillanders, B.M., Maas, R., Macdonald, J.I. and Woodhead, J.</w:t>
      </w:r>
      <w:r>
        <w:rPr>
          <w:bCs/>
        </w:rPr>
        <w:t xml:space="preserve"> (</w:t>
      </w:r>
      <w:r w:rsidRPr="00396BE9">
        <w:rPr>
          <w:bCs/>
        </w:rPr>
        <w:t>2021</w:t>
      </w:r>
      <w:r>
        <w:rPr>
          <w:bCs/>
        </w:rPr>
        <w:t>)</w:t>
      </w:r>
      <w:r w:rsidRPr="00396BE9">
        <w:rPr>
          <w:bCs/>
        </w:rPr>
        <w:t>. Otolith chemistry delineates the influence of natal origin, dispersal and flow on the population dynamics of golden perch (</w:t>
      </w:r>
      <w:r w:rsidRPr="00396BE9">
        <w:rPr>
          <w:bCs/>
          <w:i/>
          <w:iCs/>
        </w:rPr>
        <w:t>Macquaria ambigua</w:t>
      </w:r>
      <w:r w:rsidRPr="00396BE9">
        <w:rPr>
          <w:bCs/>
        </w:rPr>
        <w:t xml:space="preserve">) in a regulated river. </w:t>
      </w:r>
      <w:r w:rsidRPr="00396BE9">
        <w:rPr>
          <w:bCs/>
          <w:i/>
          <w:iCs/>
        </w:rPr>
        <w:t>Marine and Freshwater Research</w:t>
      </w:r>
      <w:r>
        <w:rPr>
          <w:bCs/>
        </w:rPr>
        <w:t xml:space="preserve"> </w:t>
      </w:r>
      <w:r w:rsidRPr="00396BE9">
        <w:rPr>
          <w:b/>
        </w:rPr>
        <w:t>72</w:t>
      </w:r>
      <w:r>
        <w:rPr>
          <w:bCs/>
        </w:rPr>
        <w:t xml:space="preserve">, </w:t>
      </w:r>
      <w:r w:rsidRPr="00396BE9">
        <w:rPr>
          <w:bCs/>
        </w:rPr>
        <w:t>DOI: 10.1071/MF20280</w:t>
      </w:r>
      <w:r>
        <w:rPr>
          <w:bCs/>
        </w:rPr>
        <w:t>.</w:t>
      </w:r>
    </w:p>
    <w:p w14:paraId="2B3B79FB" w14:textId="10349C56" w:rsidR="003634E6" w:rsidRDefault="00530E59" w:rsidP="005061CF">
      <w:pPr>
        <w:rPr>
          <w:bCs/>
        </w:rPr>
      </w:pPr>
      <w:r w:rsidRPr="0059509B">
        <w:rPr>
          <w:bCs/>
        </w:rPr>
        <w:t>Zampatti, B.P., Strawbridge, A., Thiem, J., Tonkin, Z., Mass, R., Woodhead, J. and Fredberg, J. (2018). Golden perch (</w:t>
      </w:r>
      <w:r w:rsidRPr="0059509B">
        <w:rPr>
          <w:bCs/>
          <w:i/>
        </w:rPr>
        <w:t>Macquaria ambigua</w:t>
      </w:r>
      <w:r w:rsidRPr="0059509B">
        <w:rPr>
          <w:bCs/>
        </w:rPr>
        <w:t>) and silver perch (</w:t>
      </w:r>
      <w:r w:rsidRPr="0059509B">
        <w:rPr>
          <w:bCs/>
          <w:i/>
        </w:rPr>
        <w:t>Bidyanus bidyanus</w:t>
      </w:r>
      <w:r w:rsidRPr="0059509B">
        <w:rPr>
          <w:bCs/>
        </w:rPr>
        <w:t>) age demographics, natal origin and migration history in the River Murray, Australia. South Australian Research and Development Institute (Aquatic Sciences), Adelaide. SARDI Publication No. F2018/000116-1. SARDI Research Report Series No. 993.</w:t>
      </w:r>
    </w:p>
    <w:p w14:paraId="470730A6" w14:textId="77777777" w:rsidR="003634E6" w:rsidRDefault="003634E6">
      <w:pPr>
        <w:spacing w:before="0" w:after="160" w:line="259" w:lineRule="auto"/>
        <w:jc w:val="left"/>
        <w:rPr>
          <w:bCs/>
        </w:rPr>
      </w:pPr>
      <w:r>
        <w:rPr>
          <w:bCs/>
        </w:rPr>
        <w:br w:type="page"/>
      </w:r>
    </w:p>
    <w:p w14:paraId="4BF00B9A" w14:textId="77777777" w:rsidR="008849C5" w:rsidRDefault="008849C5" w:rsidP="000A65FC">
      <w:pPr>
        <w:pStyle w:val="Heading1"/>
        <w:sectPr w:rsidR="008849C5">
          <w:pgSz w:w="11906" w:h="16838"/>
          <w:pgMar w:top="1440" w:right="1440" w:bottom="1440" w:left="1440" w:header="708" w:footer="708" w:gutter="0"/>
          <w:cols w:space="708"/>
          <w:docGrid w:linePitch="360"/>
        </w:sectPr>
      </w:pPr>
      <w:bookmarkStart w:id="405" w:name="_Toc441838746"/>
      <w:bookmarkStart w:id="406" w:name="_Toc3558346"/>
    </w:p>
    <w:p w14:paraId="63F0DD66" w14:textId="030BA32A" w:rsidR="000A65FC" w:rsidRDefault="000A65FC" w:rsidP="000A65FC">
      <w:pPr>
        <w:pStyle w:val="Heading1"/>
      </w:pPr>
      <w:bookmarkStart w:id="407" w:name="_Toc101963785"/>
      <w:r w:rsidRPr="00A67C76">
        <w:t>Appendices</w:t>
      </w:r>
      <w:bookmarkEnd w:id="405"/>
      <w:bookmarkEnd w:id="406"/>
      <w:bookmarkEnd w:id="407"/>
    </w:p>
    <w:p w14:paraId="72B5208F" w14:textId="6B930EF6" w:rsidR="008849C5" w:rsidRPr="00F64880" w:rsidRDefault="008849C5" w:rsidP="008849C5">
      <w:pPr>
        <w:pStyle w:val="Heading1"/>
        <w:numPr>
          <w:ilvl w:val="0"/>
          <w:numId w:val="0"/>
        </w:numPr>
        <w:rPr>
          <w:b w:val="0"/>
          <w:bCs w:val="0"/>
          <w:caps w:val="0"/>
        </w:rPr>
      </w:pPr>
      <w:bookmarkStart w:id="408" w:name="_Toc101963786"/>
      <w:r>
        <w:t>Appendix A</w:t>
      </w:r>
      <w:r w:rsidRPr="001056B4">
        <w:t xml:space="preserve">: </w:t>
      </w:r>
      <w:r>
        <w:t xml:space="preserve">Expected outcomes of Commonwealth environmental water in the </w:t>
      </w:r>
      <w:r w:rsidR="007A183C">
        <w:t>L</w:t>
      </w:r>
      <w:r w:rsidR="006C6F74">
        <w:t xml:space="preserve">OWER </w:t>
      </w:r>
      <w:r w:rsidR="007A183C">
        <w:t>M</w:t>
      </w:r>
      <w:r w:rsidR="006C6F74">
        <w:t xml:space="preserve">URRAY </w:t>
      </w:r>
      <w:r w:rsidR="007A183C">
        <w:t>R</w:t>
      </w:r>
      <w:r w:rsidR="006C6F74">
        <w:t>IVER</w:t>
      </w:r>
      <w:r>
        <w:t>, Lower Lakes and Coorong</w:t>
      </w:r>
      <w:bookmarkEnd w:id="408"/>
    </w:p>
    <w:p w14:paraId="707F2579" w14:textId="35EC3C8A" w:rsidR="008849C5" w:rsidRDefault="008849C5" w:rsidP="004C3BA1">
      <w:pPr>
        <w:pStyle w:val="Captions"/>
      </w:pPr>
      <w:r>
        <w:t xml:space="preserve">Table A1. </w:t>
      </w:r>
      <w:r w:rsidR="005732F4" w:rsidRPr="005732F4">
        <w:t xml:space="preserve">Summary of specific watering actions and expected outcomes for the Lower </w:t>
      </w:r>
      <w:r w:rsidR="00D26B87">
        <w:t xml:space="preserve">Murray </w:t>
      </w:r>
      <w:r w:rsidR="005732F4" w:rsidRPr="005732F4">
        <w:t>River, Lower Lakes</w:t>
      </w:r>
      <w:r w:rsidR="00847B1A">
        <w:t xml:space="preserve"> and</w:t>
      </w:r>
      <w:r w:rsidR="005732F4" w:rsidRPr="005732F4">
        <w:t xml:space="preserve"> </w:t>
      </w:r>
      <w:r w:rsidR="005732F4">
        <w:t>Coorong in 2020</w:t>
      </w:r>
      <w:r w:rsidR="0044017F">
        <w:t>-21</w:t>
      </w:r>
      <w:r w:rsidR="005732F4" w:rsidRPr="005732F4">
        <w:t xml:space="preserve"> (Source: CEWO). Volumes of Commonwealth environmental water (CEW) are given at the South Australian (SA) border</w:t>
      </w:r>
      <w:r w:rsidRPr="008849C5">
        <w:t>.</w:t>
      </w:r>
    </w:p>
    <w:tbl>
      <w:tblPr>
        <w:tblStyle w:val="TableGrid"/>
        <w:tblW w:w="5000" w:type="pct"/>
        <w:tblLook w:val="04A0" w:firstRow="1" w:lastRow="0" w:firstColumn="1" w:lastColumn="0" w:noHBand="0" w:noVBand="1"/>
      </w:tblPr>
      <w:tblGrid>
        <w:gridCol w:w="2547"/>
        <w:gridCol w:w="3261"/>
        <w:gridCol w:w="8140"/>
      </w:tblGrid>
      <w:tr w:rsidR="00947892" w:rsidRPr="00EE21BD" w14:paraId="2C99E165" w14:textId="77777777" w:rsidTr="002552C9">
        <w:trPr>
          <w:tblHeader/>
        </w:trPr>
        <w:tc>
          <w:tcPr>
            <w:tcW w:w="913" w:type="pct"/>
          </w:tcPr>
          <w:p w14:paraId="42D85AE9" w14:textId="77777777" w:rsidR="00947892" w:rsidRPr="00933BD0" w:rsidRDefault="00947892" w:rsidP="00947892">
            <w:pPr>
              <w:pStyle w:val="Default"/>
              <w:rPr>
                <w:rFonts w:ascii="Century Gothic" w:hAnsi="Century Gothic"/>
                <w:sz w:val="16"/>
                <w:szCs w:val="16"/>
              </w:rPr>
            </w:pPr>
            <w:r w:rsidRPr="00933BD0">
              <w:rPr>
                <w:rFonts w:ascii="Century Gothic" w:hAnsi="Century Gothic"/>
                <w:b/>
                <w:bCs/>
                <w:sz w:val="16"/>
                <w:szCs w:val="16"/>
              </w:rPr>
              <w:t>Watering action and target</w:t>
            </w:r>
          </w:p>
        </w:tc>
        <w:tc>
          <w:tcPr>
            <w:tcW w:w="1169" w:type="pct"/>
          </w:tcPr>
          <w:p w14:paraId="7FE04FD6" w14:textId="44FC0F14" w:rsidR="00947892" w:rsidRPr="00933BD0" w:rsidRDefault="00947892" w:rsidP="00947892">
            <w:pPr>
              <w:pStyle w:val="Default"/>
              <w:rPr>
                <w:rFonts w:ascii="Century Gothic" w:hAnsi="Century Gothic"/>
                <w:b/>
                <w:bCs/>
                <w:sz w:val="16"/>
                <w:szCs w:val="16"/>
              </w:rPr>
            </w:pPr>
            <w:r w:rsidRPr="00933BD0">
              <w:rPr>
                <w:rFonts w:ascii="Century Gothic" w:hAnsi="Century Gothic"/>
                <w:b/>
                <w:bCs/>
                <w:sz w:val="16"/>
                <w:szCs w:val="16"/>
              </w:rPr>
              <w:t xml:space="preserve">Expected outcomes </w:t>
            </w:r>
          </w:p>
        </w:tc>
        <w:tc>
          <w:tcPr>
            <w:tcW w:w="2918" w:type="pct"/>
          </w:tcPr>
          <w:p w14:paraId="01247870" w14:textId="5DB16E43" w:rsidR="00947892" w:rsidRPr="00933BD0" w:rsidRDefault="00947892" w:rsidP="00947892">
            <w:pPr>
              <w:pStyle w:val="Default"/>
              <w:rPr>
                <w:rFonts w:ascii="Century Gothic" w:hAnsi="Century Gothic"/>
                <w:b/>
                <w:bCs/>
                <w:sz w:val="16"/>
                <w:szCs w:val="16"/>
              </w:rPr>
            </w:pPr>
            <w:r w:rsidRPr="00933BD0">
              <w:rPr>
                <w:rFonts w:ascii="Century Gothic" w:hAnsi="Century Gothic"/>
                <w:b/>
                <w:bCs/>
                <w:sz w:val="16"/>
                <w:szCs w:val="16"/>
              </w:rPr>
              <w:t>Delivery details</w:t>
            </w:r>
          </w:p>
        </w:tc>
      </w:tr>
      <w:tr w:rsidR="00947892" w:rsidRPr="005732F4" w14:paraId="6D1F6F57" w14:textId="77777777" w:rsidTr="002552C9">
        <w:tc>
          <w:tcPr>
            <w:tcW w:w="913" w:type="pct"/>
          </w:tcPr>
          <w:p w14:paraId="62B54339" w14:textId="2BEB09FE" w:rsidR="00933BD0" w:rsidRPr="00250A03" w:rsidRDefault="00933BD0" w:rsidP="00933BD0">
            <w:pPr>
              <w:pStyle w:val="Default"/>
              <w:rPr>
                <w:rFonts w:ascii="Century Gothic" w:hAnsi="Century Gothic"/>
                <w:sz w:val="16"/>
                <w:szCs w:val="16"/>
              </w:rPr>
            </w:pPr>
            <w:r w:rsidRPr="00250A03">
              <w:rPr>
                <w:rFonts w:ascii="Century Gothic" w:hAnsi="Century Gothic"/>
                <w:sz w:val="16"/>
                <w:szCs w:val="16"/>
              </w:rPr>
              <w:t xml:space="preserve">Winter pulse (July to </w:t>
            </w:r>
            <w:r>
              <w:rPr>
                <w:rFonts w:ascii="Century Gothic" w:hAnsi="Century Gothic"/>
                <w:sz w:val="16"/>
                <w:szCs w:val="16"/>
              </w:rPr>
              <w:t>September 2020</w:t>
            </w:r>
            <w:r w:rsidRPr="00250A03">
              <w:rPr>
                <w:rFonts w:ascii="Century Gothic" w:hAnsi="Century Gothic"/>
                <w:sz w:val="16"/>
                <w:szCs w:val="16"/>
              </w:rPr>
              <w:t>)</w:t>
            </w:r>
          </w:p>
          <w:p w14:paraId="5EE0D372" w14:textId="77777777" w:rsidR="00933BD0" w:rsidRPr="00250A03" w:rsidRDefault="00933BD0" w:rsidP="00933BD0">
            <w:pPr>
              <w:pStyle w:val="Default"/>
              <w:rPr>
                <w:rFonts w:ascii="Century Gothic" w:hAnsi="Century Gothic"/>
                <w:sz w:val="16"/>
                <w:szCs w:val="16"/>
              </w:rPr>
            </w:pPr>
          </w:p>
          <w:p w14:paraId="1CBEEFEC" w14:textId="3DE4997D" w:rsidR="00947892" w:rsidRPr="0044017F" w:rsidRDefault="00933BD0" w:rsidP="00933BD0">
            <w:pPr>
              <w:pStyle w:val="Default"/>
              <w:rPr>
                <w:rFonts w:ascii="Century Gothic" w:hAnsi="Century Gothic"/>
                <w:sz w:val="16"/>
                <w:szCs w:val="16"/>
                <w:highlight w:val="yellow"/>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49,467</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w:t>
            </w:r>
            <w:r w:rsidRPr="00250A03">
              <w:rPr>
                <w:rFonts w:ascii="Century Gothic" w:hAnsi="Century Gothic"/>
                <w:sz w:val="16"/>
                <w:szCs w:val="16"/>
              </w:rPr>
              <w:t xml:space="preserve"> </w:t>
            </w:r>
            <w:r>
              <w:rPr>
                <w:rFonts w:ascii="Century Gothic" w:hAnsi="Century Gothic"/>
                <w:sz w:val="16"/>
                <w:szCs w:val="16"/>
              </w:rPr>
              <w:t>241,494</w:t>
            </w:r>
            <w:r w:rsidRPr="00250A03">
              <w:rPr>
                <w:rFonts w:ascii="Century Gothic" w:hAnsi="Century Gothic"/>
                <w:sz w:val="16"/>
                <w:szCs w:val="16"/>
              </w:rPr>
              <w:t xml:space="preserve"> ML.</w:t>
            </w:r>
          </w:p>
        </w:tc>
        <w:tc>
          <w:tcPr>
            <w:tcW w:w="1169" w:type="pct"/>
          </w:tcPr>
          <w:p w14:paraId="34FAF8A7" w14:textId="77777777" w:rsidR="006079BC" w:rsidRPr="006079BC" w:rsidRDefault="00933BD0" w:rsidP="006079BC">
            <w:pPr>
              <w:pStyle w:val="ListBullet"/>
              <w:numPr>
                <w:ilvl w:val="0"/>
                <w:numId w:val="26"/>
              </w:numPr>
              <w:snapToGrid w:val="0"/>
              <w:spacing w:before="0" w:after="60" w:line="240" w:lineRule="auto"/>
              <w:jc w:val="left"/>
              <w:rPr>
                <w:sz w:val="16"/>
                <w:szCs w:val="16"/>
              </w:rPr>
            </w:pPr>
            <w:r w:rsidRPr="006079BC">
              <w:rPr>
                <w:sz w:val="16"/>
                <w:szCs w:val="16"/>
              </w:rPr>
              <w:t>Coorong water quality/habitat suitability</w:t>
            </w:r>
          </w:p>
          <w:p w14:paraId="0EADA9AF" w14:textId="0473F7DE" w:rsidR="006079BC" w:rsidRPr="006079BC" w:rsidRDefault="006079BC" w:rsidP="006079BC">
            <w:pPr>
              <w:pStyle w:val="ListBullet"/>
              <w:numPr>
                <w:ilvl w:val="0"/>
                <w:numId w:val="26"/>
              </w:numPr>
              <w:snapToGrid w:val="0"/>
              <w:spacing w:before="0" w:after="60" w:line="240" w:lineRule="auto"/>
              <w:jc w:val="left"/>
              <w:rPr>
                <w:sz w:val="16"/>
                <w:szCs w:val="16"/>
              </w:rPr>
            </w:pPr>
            <w:r w:rsidRPr="006079BC">
              <w:rPr>
                <w:sz w:val="16"/>
                <w:szCs w:val="16"/>
              </w:rPr>
              <w:t>S</w:t>
            </w:r>
            <w:r w:rsidR="00933BD0" w:rsidRPr="006079BC">
              <w:rPr>
                <w:sz w:val="16"/>
                <w:szCs w:val="16"/>
              </w:rPr>
              <w:t>alt export</w:t>
            </w:r>
            <w:r w:rsidRPr="006079BC">
              <w:rPr>
                <w:sz w:val="16"/>
                <w:szCs w:val="16"/>
              </w:rPr>
              <w:t>,</w:t>
            </w:r>
          </w:p>
          <w:p w14:paraId="729EF639" w14:textId="6FF8B033" w:rsidR="006079BC" w:rsidRPr="006079BC" w:rsidRDefault="006079BC" w:rsidP="006079BC">
            <w:pPr>
              <w:pStyle w:val="ListBullet"/>
              <w:numPr>
                <w:ilvl w:val="0"/>
                <w:numId w:val="26"/>
              </w:numPr>
              <w:snapToGrid w:val="0"/>
              <w:spacing w:before="0" w:after="60" w:line="240" w:lineRule="auto"/>
              <w:jc w:val="left"/>
              <w:rPr>
                <w:sz w:val="16"/>
                <w:szCs w:val="16"/>
              </w:rPr>
            </w:pPr>
            <w:r w:rsidRPr="006079BC">
              <w:rPr>
                <w:sz w:val="16"/>
                <w:szCs w:val="16"/>
              </w:rPr>
              <w:t>E</w:t>
            </w:r>
            <w:r w:rsidR="00933BD0" w:rsidRPr="006079BC">
              <w:rPr>
                <w:sz w:val="16"/>
                <w:szCs w:val="16"/>
              </w:rPr>
              <w:t>cosystem function</w:t>
            </w:r>
            <w:r w:rsidRPr="006079BC">
              <w:rPr>
                <w:sz w:val="16"/>
                <w:szCs w:val="16"/>
              </w:rPr>
              <w:t>,</w:t>
            </w:r>
          </w:p>
          <w:p w14:paraId="1C81B55B" w14:textId="328C8957" w:rsidR="00947892" w:rsidRPr="006079BC" w:rsidRDefault="006079BC" w:rsidP="006079BC">
            <w:pPr>
              <w:pStyle w:val="ListBullet"/>
              <w:numPr>
                <w:ilvl w:val="0"/>
                <w:numId w:val="26"/>
              </w:numPr>
              <w:snapToGrid w:val="0"/>
              <w:spacing w:before="0" w:after="60" w:line="240" w:lineRule="auto"/>
              <w:jc w:val="left"/>
              <w:rPr>
                <w:sz w:val="16"/>
                <w:szCs w:val="16"/>
              </w:rPr>
            </w:pPr>
            <w:r w:rsidRPr="006079BC">
              <w:rPr>
                <w:sz w:val="16"/>
                <w:szCs w:val="16"/>
              </w:rPr>
              <w:t>L</w:t>
            </w:r>
            <w:r w:rsidR="00933BD0" w:rsidRPr="006079BC">
              <w:rPr>
                <w:sz w:val="16"/>
                <w:szCs w:val="16"/>
              </w:rPr>
              <w:t>amprey and congolli migration</w:t>
            </w:r>
            <w:r w:rsidRPr="006079BC">
              <w:rPr>
                <w:sz w:val="16"/>
                <w:szCs w:val="16"/>
              </w:rPr>
              <w:t>.</w:t>
            </w:r>
          </w:p>
        </w:tc>
        <w:tc>
          <w:tcPr>
            <w:tcW w:w="2918" w:type="pct"/>
          </w:tcPr>
          <w:p w14:paraId="0DE37125" w14:textId="77777777" w:rsidR="00933BD0" w:rsidRDefault="00933BD0" w:rsidP="00933BD0">
            <w:pPr>
              <w:pStyle w:val="ListBullet"/>
              <w:numPr>
                <w:ilvl w:val="0"/>
                <w:numId w:val="23"/>
              </w:numPr>
              <w:snapToGrid w:val="0"/>
              <w:spacing w:before="0" w:after="60" w:line="240" w:lineRule="auto"/>
              <w:jc w:val="left"/>
              <w:rPr>
                <w:rFonts w:ascii="Arial" w:hAnsi="Arial"/>
                <w:color w:val="auto"/>
                <w:kern w:val="0"/>
                <w:sz w:val="16"/>
                <w:szCs w:val="16"/>
              </w:rPr>
            </w:pPr>
            <w:r>
              <w:rPr>
                <w:sz w:val="16"/>
                <w:szCs w:val="16"/>
              </w:rPr>
              <w:t xml:space="preserve">A series of unregulated flow pulses from rain in upstream catchments kept QSA above 5,000 ML/d, up to 13,000 ML/d throughout July, August and most of September. </w:t>
            </w:r>
          </w:p>
          <w:p w14:paraId="69785D86" w14:textId="77777777" w:rsidR="00933BD0" w:rsidRDefault="00933BD0" w:rsidP="00933BD0">
            <w:pPr>
              <w:pStyle w:val="ListBullet"/>
              <w:numPr>
                <w:ilvl w:val="0"/>
                <w:numId w:val="23"/>
              </w:numPr>
              <w:snapToGrid w:val="0"/>
              <w:spacing w:before="0" w:after="60" w:line="240" w:lineRule="auto"/>
              <w:jc w:val="left"/>
              <w:rPr>
                <w:sz w:val="16"/>
                <w:szCs w:val="16"/>
              </w:rPr>
            </w:pPr>
            <w:r>
              <w:rPr>
                <w:sz w:val="16"/>
                <w:szCs w:val="16"/>
              </w:rPr>
              <w:t>CEW was also delivered to SA during these months, with small return flow volumes from Victorian tributaries complementing the CEW component of SA entitlement.</w:t>
            </w:r>
          </w:p>
          <w:p w14:paraId="777626CE" w14:textId="77777777" w:rsidR="006079BC" w:rsidRDefault="00933BD0" w:rsidP="006079BC">
            <w:pPr>
              <w:pStyle w:val="ListBullet"/>
              <w:numPr>
                <w:ilvl w:val="0"/>
                <w:numId w:val="23"/>
              </w:numPr>
              <w:snapToGrid w:val="0"/>
              <w:spacing w:before="0" w:after="60" w:line="240" w:lineRule="auto"/>
              <w:jc w:val="left"/>
              <w:rPr>
                <w:sz w:val="16"/>
                <w:szCs w:val="16"/>
              </w:rPr>
            </w:pPr>
            <w:r>
              <w:rPr>
                <w:sz w:val="16"/>
                <w:szCs w:val="16"/>
              </w:rPr>
              <w:t xml:space="preserve">As the elevated flows reached the lower lakes in mid-July, additional bays were opened alongside fishways at Tauwitchere and Goolwa to attract and encourage fish species including lamprey and congolli to migrate. Releases were generally above 5,000 ML/day from mid-July, with a brief period of lower flows in late August due to barrage closures during reverse head conditions. </w:t>
            </w:r>
          </w:p>
          <w:p w14:paraId="6406F07F" w14:textId="3F0D2CA2" w:rsidR="00947892" w:rsidRPr="006079BC" w:rsidRDefault="00933BD0" w:rsidP="006079BC">
            <w:pPr>
              <w:pStyle w:val="ListBullet"/>
              <w:numPr>
                <w:ilvl w:val="0"/>
                <w:numId w:val="23"/>
              </w:numPr>
              <w:snapToGrid w:val="0"/>
              <w:spacing w:before="0" w:after="60" w:line="240" w:lineRule="auto"/>
              <w:jc w:val="left"/>
              <w:rPr>
                <w:sz w:val="16"/>
                <w:szCs w:val="16"/>
              </w:rPr>
            </w:pPr>
            <w:r w:rsidRPr="006079BC">
              <w:rPr>
                <w:sz w:val="16"/>
                <w:szCs w:val="16"/>
              </w:rPr>
              <w:t>Lake levels rapidly increased from 0.65m AHD at the start of July to exceed 0.8m by the start of August.</w:t>
            </w:r>
          </w:p>
        </w:tc>
      </w:tr>
      <w:tr w:rsidR="00933BD0" w:rsidRPr="005732F4" w14:paraId="442A38CD" w14:textId="77777777" w:rsidTr="002552C9">
        <w:tc>
          <w:tcPr>
            <w:tcW w:w="913" w:type="pct"/>
          </w:tcPr>
          <w:p w14:paraId="3A5D8C1F" w14:textId="4B9D4501" w:rsidR="00933BD0" w:rsidRPr="00250A03" w:rsidRDefault="00933BD0" w:rsidP="00933BD0">
            <w:pPr>
              <w:pStyle w:val="Default"/>
              <w:rPr>
                <w:rFonts w:ascii="Century Gothic" w:hAnsi="Century Gothic"/>
                <w:sz w:val="16"/>
                <w:szCs w:val="16"/>
              </w:rPr>
            </w:pPr>
            <w:r>
              <w:rPr>
                <w:rFonts w:ascii="Century Gothic" w:hAnsi="Century Gothic"/>
                <w:sz w:val="16"/>
                <w:szCs w:val="16"/>
              </w:rPr>
              <w:t>Spring</w:t>
            </w:r>
            <w:r w:rsidRPr="00250A03">
              <w:rPr>
                <w:rFonts w:ascii="Century Gothic" w:hAnsi="Century Gothic"/>
                <w:sz w:val="16"/>
                <w:szCs w:val="16"/>
              </w:rPr>
              <w:t xml:space="preserve"> pulse (</w:t>
            </w:r>
            <w:r>
              <w:rPr>
                <w:rFonts w:ascii="Century Gothic" w:hAnsi="Century Gothic"/>
                <w:sz w:val="16"/>
                <w:szCs w:val="16"/>
              </w:rPr>
              <w:t>October to December 2020</w:t>
            </w:r>
            <w:r w:rsidRPr="00250A03">
              <w:rPr>
                <w:rFonts w:ascii="Century Gothic" w:hAnsi="Century Gothic"/>
                <w:sz w:val="16"/>
                <w:szCs w:val="16"/>
              </w:rPr>
              <w:t>)</w:t>
            </w:r>
          </w:p>
          <w:p w14:paraId="31D55974" w14:textId="77777777" w:rsidR="00933BD0" w:rsidRPr="00250A03" w:rsidRDefault="00933BD0" w:rsidP="00933BD0">
            <w:pPr>
              <w:pStyle w:val="Default"/>
              <w:rPr>
                <w:rFonts w:ascii="Century Gothic" w:hAnsi="Century Gothic"/>
                <w:sz w:val="16"/>
                <w:szCs w:val="16"/>
              </w:rPr>
            </w:pPr>
          </w:p>
          <w:p w14:paraId="6576ACF4" w14:textId="1AA0A96B" w:rsidR="00933BD0" w:rsidRPr="00933BD0" w:rsidRDefault="00933BD0" w:rsidP="00933BD0">
            <w:pPr>
              <w:pStyle w:val="Default"/>
              <w:rPr>
                <w:rFonts w:ascii="Century Gothic" w:hAnsi="Century Gothic"/>
                <w:sz w:val="16"/>
                <w:szCs w:val="16"/>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417,935</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343,556</w:t>
            </w:r>
            <w:r w:rsidRPr="00250A03">
              <w:rPr>
                <w:rFonts w:ascii="Century Gothic" w:hAnsi="Century Gothic"/>
                <w:sz w:val="16"/>
                <w:szCs w:val="16"/>
              </w:rPr>
              <w:t xml:space="preserve"> ML.</w:t>
            </w:r>
          </w:p>
        </w:tc>
        <w:tc>
          <w:tcPr>
            <w:tcW w:w="1169" w:type="pct"/>
          </w:tcPr>
          <w:p w14:paraId="02C0F7AA" w14:textId="77777777" w:rsidR="006079BC" w:rsidRPr="006079BC" w:rsidRDefault="00933BD0" w:rsidP="006079BC">
            <w:pPr>
              <w:pStyle w:val="ListBullet"/>
              <w:numPr>
                <w:ilvl w:val="0"/>
                <w:numId w:val="25"/>
              </w:numPr>
              <w:snapToGrid w:val="0"/>
              <w:spacing w:before="0" w:after="60" w:line="240" w:lineRule="auto"/>
              <w:jc w:val="left"/>
              <w:rPr>
                <w:sz w:val="16"/>
                <w:szCs w:val="16"/>
              </w:rPr>
            </w:pPr>
            <w:r w:rsidRPr="006079BC">
              <w:rPr>
                <w:sz w:val="16"/>
                <w:szCs w:val="16"/>
              </w:rPr>
              <w:t>Coorong water quality</w:t>
            </w:r>
            <w:r w:rsidR="006079BC" w:rsidRPr="006079BC">
              <w:rPr>
                <w:sz w:val="16"/>
                <w:szCs w:val="16"/>
              </w:rPr>
              <w:t>,</w:t>
            </w:r>
          </w:p>
          <w:p w14:paraId="1DDE2F7D" w14:textId="77777777" w:rsidR="006079BC" w:rsidRPr="006079BC" w:rsidRDefault="006079BC" w:rsidP="006079BC">
            <w:pPr>
              <w:pStyle w:val="ListBullet"/>
              <w:numPr>
                <w:ilvl w:val="0"/>
                <w:numId w:val="25"/>
              </w:numPr>
              <w:snapToGrid w:val="0"/>
              <w:spacing w:before="0" w:after="60" w:line="240" w:lineRule="auto"/>
              <w:jc w:val="left"/>
              <w:rPr>
                <w:sz w:val="16"/>
                <w:szCs w:val="16"/>
              </w:rPr>
            </w:pPr>
            <w:r w:rsidRPr="006079BC">
              <w:rPr>
                <w:sz w:val="16"/>
                <w:szCs w:val="16"/>
              </w:rPr>
              <w:t>E</w:t>
            </w:r>
            <w:r w:rsidR="00933BD0" w:rsidRPr="006079BC">
              <w:rPr>
                <w:sz w:val="16"/>
                <w:szCs w:val="16"/>
              </w:rPr>
              <w:t xml:space="preserve">stuarine habitat, </w:t>
            </w:r>
          </w:p>
          <w:p w14:paraId="3AF5EE1B" w14:textId="77777777" w:rsidR="006079BC" w:rsidRPr="006079BC" w:rsidRDefault="006079BC" w:rsidP="006079BC">
            <w:pPr>
              <w:pStyle w:val="ListBullet"/>
              <w:numPr>
                <w:ilvl w:val="0"/>
                <w:numId w:val="25"/>
              </w:numPr>
              <w:snapToGrid w:val="0"/>
              <w:spacing w:before="0" w:after="60" w:line="240" w:lineRule="auto"/>
              <w:jc w:val="left"/>
              <w:rPr>
                <w:sz w:val="16"/>
                <w:szCs w:val="16"/>
              </w:rPr>
            </w:pPr>
            <w:r w:rsidRPr="006079BC">
              <w:rPr>
                <w:sz w:val="16"/>
                <w:szCs w:val="16"/>
              </w:rPr>
              <w:t>F</w:t>
            </w:r>
            <w:r w:rsidR="00933BD0" w:rsidRPr="006079BC">
              <w:rPr>
                <w:sz w:val="16"/>
                <w:szCs w:val="16"/>
              </w:rPr>
              <w:t>ish habitat and condition,</w:t>
            </w:r>
          </w:p>
          <w:p w14:paraId="5A803742" w14:textId="77777777" w:rsidR="006079BC" w:rsidRPr="006079BC" w:rsidRDefault="006079BC" w:rsidP="006079BC">
            <w:pPr>
              <w:pStyle w:val="ListBullet"/>
              <w:numPr>
                <w:ilvl w:val="0"/>
                <w:numId w:val="25"/>
              </w:numPr>
              <w:snapToGrid w:val="0"/>
              <w:spacing w:before="0" w:after="60" w:line="240" w:lineRule="auto"/>
              <w:jc w:val="left"/>
              <w:rPr>
                <w:sz w:val="16"/>
                <w:szCs w:val="16"/>
              </w:rPr>
            </w:pPr>
            <w:r w:rsidRPr="006079BC">
              <w:rPr>
                <w:sz w:val="16"/>
                <w:szCs w:val="16"/>
              </w:rPr>
              <w:t>R</w:t>
            </w:r>
            <w:r w:rsidR="00933BD0" w:rsidRPr="006079BC">
              <w:rPr>
                <w:sz w:val="16"/>
                <w:szCs w:val="16"/>
              </w:rPr>
              <w:t>iverine function and productivity,</w:t>
            </w:r>
          </w:p>
          <w:p w14:paraId="30479F0F" w14:textId="77777777" w:rsidR="006079BC" w:rsidRPr="006079BC" w:rsidRDefault="006079BC" w:rsidP="006079BC">
            <w:pPr>
              <w:pStyle w:val="ListBullet"/>
              <w:numPr>
                <w:ilvl w:val="0"/>
                <w:numId w:val="25"/>
              </w:numPr>
              <w:snapToGrid w:val="0"/>
              <w:spacing w:before="0" w:after="60" w:line="240" w:lineRule="auto"/>
              <w:jc w:val="left"/>
              <w:rPr>
                <w:sz w:val="16"/>
                <w:szCs w:val="16"/>
              </w:rPr>
            </w:pPr>
            <w:r w:rsidRPr="006079BC">
              <w:rPr>
                <w:sz w:val="16"/>
                <w:szCs w:val="16"/>
              </w:rPr>
              <w:t>R</w:t>
            </w:r>
            <w:r w:rsidR="00933BD0" w:rsidRPr="006079BC">
              <w:rPr>
                <w:sz w:val="16"/>
                <w:szCs w:val="16"/>
              </w:rPr>
              <w:t>iverine fish spawning,</w:t>
            </w:r>
          </w:p>
          <w:p w14:paraId="1052A1E1" w14:textId="5DC7FB19" w:rsidR="00933BD0" w:rsidRPr="006079BC" w:rsidRDefault="006079BC" w:rsidP="006079BC">
            <w:pPr>
              <w:pStyle w:val="ListBullet"/>
              <w:numPr>
                <w:ilvl w:val="0"/>
                <w:numId w:val="25"/>
              </w:numPr>
              <w:snapToGrid w:val="0"/>
              <w:spacing w:before="0" w:after="60" w:line="240" w:lineRule="auto"/>
              <w:jc w:val="left"/>
              <w:rPr>
                <w:sz w:val="16"/>
                <w:szCs w:val="16"/>
              </w:rPr>
            </w:pPr>
            <w:r w:rsidRPr="006079BC">
              <w:rPr>
                <w:sz w:val="16"/>
                <w:szCs w:val="16"/>
              </w:rPr>
              <w:t>L</w:t>
            </w:r>
            <w:r w:rsidR="00933BD0" w:rsidRPr="006079BC">
              <w:rPr>
                <w:sz w:val="16"/>
                <w:szCs w:val="16"/>
              </w:rPr>
              <w:t>ower lakes fish recruitment</w:t>
            </w:r>
            <w:r w:rsidRPr="006079BC">
              <w:rPr>
                <w:sz w:val="16"/>
                <w:szCs w:val="16"/>
              </w:rPr>
              <w:t>.</w:t>
            </w:r>
          </w:p>
        </w:tc>
        <w:tc>
          <w:tcPr>
            <w:tcW w:w="2918" w:type="pct"/>
          </w:tcPr>
          <w:p w14:paraId="444572A9" w14:textId="77777777" w:rsidR="00933BD0" w:rsidRPr="006079BC" w:rsidRDefault="00933BD0" w:rsidP="00933BD0">
            <w:pPr>
              <w:pStyle w:val="ListBullet"/>
              <w:numPr>
                <w:ilvl w:val="0"/>
                <w:numId w:val="23"/>
              </w:numPr>
              <w:snapToGrid w:val="0"/>
              <w:spacing w:before="0" w:after="60" w:line="240" w:lineRule="auto"/>
              <w:jc w:val="left"/>
              <w:rPr>
                <w:sz w:val="16"/>
                <w:szCs w:val="16"/>
              </w:rPr>
            </w:pPr>
            <w:r w:rsidRPr="006079BC">
              <w:rPr>
                <w:sz w:val="16"/>
                <w:szCs w:val="16"/>
              </w:rPr>
              <w:t xml:space="preserve">Return flows from the Murray, Murrumbidgee (TLM) and Goulburn coordinated spring freshes began reaching the SA border at the end of September. QSA increased from 6,600 ML/d on 26 September up to a series of peaks of 11,400 ML/d (5 Oct), 12,000 ML/d (25 Oct) and 17,800 ML/d (26 Nov). </w:t>
            </w:r>
          </w:p>
          <w:p w14:paraId="374C9D87" w14:textId="77777777" w:rsidR="00933BD0" w:rsidRPr="006079BC" w:rsidRDefault="00933BD0" w:rsidP="00933BD0">
            <w:pPr>
              <w:pStyle w:val="ListBullet"/>
              <w:numPr>
                <w:ilvl w:val="0"/>
                <w:numId w:val="23"/>
              </w:numPr>
              <w:snapToGrid w:val="0"/>
              <w:spacing w:before="0" w:after="60" w:line="240" w:lineRule="auto"/>
              <w:jc w:val="left"/>
              <w:rPr>
                <w:sz w:val="16"/>
                <w:szCs w:val="16"/>
              </w:rPr>
            </w:pPr>
            <w:r w:rsidRPr="006079BC">
              <w:rPr>
                <w:sz w:val="16"/>
                <w:szCs w:val="16"/>
              </w:rPr>
              <w:t>To complement returns flows, maintain the peak and slow recession of the pulse, an additional 40 GL was ordered at the SA border and delivered during early December. This water was originally planned to be delivered later as part of the summer/autumn direct trade but was brought forward to coincide with the back part of the spring pulse. The earlier release specifically aimed to support perch spawning activity in the SA Murray detected by the Flow-MER program.</w:t>
            </w:r>
          </w:p>
          <w:p w14:paraId="74231699" w14:textId="77777777" w:rsidR="006079BC" w:rsidRPr="006079BC" w:rsidRDefault="00933BD0" w:rsidP="006079BC">
            <w:pPr>
              <w:pStyle w:val="ListBullet"/>
              <w:numPr>
                <w:ilvl w:val="0"/>
                <w:numId w:val="23"/>
              </w:numPr>
              <w:snapToGrid w:val="0"/>
              <w:spacing w:before="0" w:after="60" w:line="240" w:lineRule="auto"/>
              <w:jc w:val="left"/>
              <w:rPr>
                <w:sz w:val="16"/>
                <w:szCs w:val="16"/>
              </w:rPr>
            </w:pPr>
            <w:r w:rsidRPr="006079BC">
              <w:rPr>
                <w:sz w:val="16"/>
                <w:szCs w:val="16"/>
              </w:rPr>
              <w:t>Barrages releases were maintained between 3,000 and 8,000 ML/d (8-20 gates) until late-December when flows from the river declined. Barrage openings were reduced to two gates to protect Lower Lakes water levels, in order to maintain steady low flows to the Coorong for as long as possible into summer.</w:t>
            </w:r>
          </w:p>
          <w:p w14:paraId="14D5F552" w14:textId="28A59A74" w:rsidR="00933BD0" w:rsidRPr="006079BC" w:rsidRDefault="00933BD0" w:rsidP="006079BC">
            <w:pPr>
              <w:pStyle w:val="ListBullet"/>
              <w:numPr>
                <w:ilvl w:val="0"/>
                <w:numId w:val="23"/>
              </w:numPr>
              <w:snapToGrid w:val="0"/>
              <w:spacing w:before="0" w:after="60" w:line="240" w:lineRule="auto"/>
              <w:jc w:val="left"/>
              <w:rPr>
                <w:sz w:val="16"/>
                <w:szCs w:val="16"/>
              </w:rPr>
            </w:pPr>
            <w:r w:rsidRPr="006079BC">
              <w:rPr>
                <w:sz w:val="16"/>
                <w:szCs w:val="16"/>
              </w:rPr>
              <w:t>The Lower Lakes levels remained above 0.8m throughout this period.</w:t>
            </w:r>
          </w:p>
        </w:tc>
      </w:tr>
      <w:tr w:rsidR="001B6206" w:rsidRPr="005732F4" w14:paraId="36AB3656" w14:textId="77777777" w:rsidTr="002552C9">
        <w:tc>
          <w:tcPr>
            <w:tcW w:w="913" w:type="pct"/>
          </w:tcPr>
          <w:p w14:paraId="5D976BCB" w14:textId="2716785A" w:rsidR="001B6206" w:rsidRDefault="001B6206" w:rsidP="001B6206">
            <w:pPr>
              <w:pStyle w:val="Default"/>
              <w:rPr>
                <w:rFonts w:ascii="Century Gothic" w:hAnsi="Century Gothic"/>
                <w:sz w:val="16"/>
                <w:szCs w:val="16"/>
              </w:rPr>
            </w:pPr>
            <w:r>
              <w:rPr>
                <w:rFonts w:ascii="Century Gothic" w:hAnsi="Century Gothic"/>
                <w:sz w:val="16"/>
                <w:szCs w:val="16"/>
              </w:rPr>
              <w:t>Summer b</w:t>
            </w:r>
            <w:r w:rsidRPr="00250A03">
              <w:rPr>
                <w:rFonts w:ascii="Century Gothic" w:hAnsi="Century Gothic"/>
                <w:sz w:val="16"/>
                <w:szCs w:val="16"/>
              </w:rPr>
              <w:t>ase flows in river, fishway flow and connection through barrages</w:t>
            </w:r>
            <w:r>
              <w:rPr>
                <w:rFonts w:ascii="Century Gothic" w:hAnsi="Century Gothic"/>
                <w:sz w:val="16"/>
                <w:szCs w:val="16"/>
              </w:rPr>
              <w:t xml:space="preserve"> (January to February 2021)</w:t>
            </w:r>
          </w:p>
          <w:p w14:paraId="150F42A2" w14:textId="77777777" w:rsidR="001B6206" w:rsidRDefault="001B6206" w:rsidP="001B6206">
            <w:pPr>
              <w:pStyle w:val="Default"/>
              <w:rPr>
                <w:rFonts w:ascii="Century Gothic" w:hAnsi="Century Gothic"/>
                <w:sz w:val="16"/>
                <w:szCs w:val="16"/>
              </w:rPr>
            </w:pPr>
          </w:p>
          <w:p w14:paraId="5A134C53" w14:textId="3BE0D33B" w:rsidR="001B6206" w:rsidRPr="001B6206" w:rsidRDefault="001B6206" w:rsidP="001B6206">
            <w:pPr>
              <w:pStyle w:val="Default"/>
              <w:rPr>
                <w:rFonts w:ascii="Century Gothic" w:hAnsi="Century Gothic"/>
                <w:sz w:val="16"/>
                <w:szCs w:val="16"/>
                <w:highlight w:val="yellow"/>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108,311</w:t>
            </w:r>
            <w:r w:rsidRPr="00250A03">
              <w:rPr>
                <w:rFonts w:ascii="Century Gothic" w:hAnsi="Century Gothic"/>
                <w:sz w:val="16"/>
                <w:szCs w:val="16"/>
              </w:rPr>
              <w:t xml:space="preserve"> ML</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79,820</w:t>
            </w:r>
            <w:r w:rsidRPr="00250A03">
              <w:rPr>
                <w:rFonts w:ascii="Century Gothic" w:hAnsi="Century Gothic"/>
                <w:sz w:val="16"/>
                <w:szCs w:val="16"/>
              </w:rPr>
              <w:t xml:space="preserve"> ML.</w:t>
            </w:r>
          </w:p>
        </w:tc>
        <w:tc>
          <w:tcPr>
            <w:tcW w:w="1169" w:type="pct"/>
          </w:tcPr>
          <w:p w14:paraId="4F7D388F" w14:textId="4E11FA10" w:rsidR="001B6206" w:rsidRPr="006079BC" w:rsidRDefault="001B6206" w:rsidP="006079BC">
            <w:pPr>
              <w:pStyle w:val="ListBullet"/>
              <w:numPr>
                <w:ilvl w:val="0"/>
                <w:numId w:val="23"/>
              </w:numPr>
              <w:snapToGrid w:val="0"/>
              <w:spacing w:before="0" w:after="60" w:line="240" w:lineRule="auto"/>
              <w:jc w:val="left"/>
              <w:rPr>
                <w:sz w:val="16"/>
                <w:szCs w:val="16"/>
              </w:rPr>
            </w:pPr>
            <w:r w:rsidRPr="006079BC">
              <w:rPr>
                <w:sz w:val="16"/>
                <w:szCs w:val="16"/>
              </w:rPr>
              <w:t xml:space="preserve">Protect assets and avoid damage in the river channel, Lower Lakes and Coorong. </w:t>
            </w:r>
          </w:p>
        </w:tc>
        <w:tc>
          <w:tcPr>
            <w:tcW w:w="2918" w:type="pct"/>
          </w:tcPr>
          <w:p w14:paraId="68FB95AD" w14:textId="77777777" w:rsidR="001B6206" w:rsidRPr="006079BC" w:rsidRDefault="001B6206" w:rsidP="001B6206">
            <w:pPr>
              <w:pStyle w:val="ListBullet"/>
              <w:numPr>
                <w:ilvl w:val="0"/>
                <w:numId w:val="23"/>
              </w:numPr>
              <w:snapToGrid w:val="0"/>
              <w:spacing w:before="0" w:after="60" w:line="240" w:lineRule="auto"/>
              <w:jc w:val="left"/>
              <w:rPr>
                <w:sz w:val="16"/>
                <w:szCs w:val="16"/>
              </w:rPr>
            </w:pPr>
            <w:r w:rsidRPr="006079BC">
              <w:rPr>
                <w:sz w:val="16"/>
                <w:szCs w:val="16"/>
              </w:rPr>
              <w:t xml:space="preserve">The delivery of 110GL summer/autumn direct trade commenced with 40 GL in January and 30 GL in February. This water allowed fishways and generally 1-2 additional gates to remain open. </w:t>
            </w:r>
          </w:p>
          <w:p w14:paraId="434B9E33" w14:textId="77777777" w:rsidR="006079BC" w:rsidRPr="006079BC" w:rsidRDefault="001B6206" w:rsidP="006079BC">
            <w:pPr>
              <w:pStyle w:val="ListBullet"/>
              <w:numPr>
                <w:ilvl w:val="0"/>
                <w:numId w:val="23"/>
              </w:numPr>
              <w:snapToGrid w:val="0"/>
              <w:spacing w:before="0" w:after="60" w:line="240" w:lineRule="auto"/>
              <w:jc w:val="left"/>
              <w:rPr>
                <w:sz w:val="16"/>
                <w:szCs w:val="16"/>
              </w:rPr>
            </w:pPr>
            <w:r w:rsidRPr="006079BC">
              <w:rPr>
                <w:sz w:val="16"/>
                <w:szCs w:val="16"/>
              </w:rPr>
              <w:t>The Lower Lakes levels declined from above 0.8m to below 0.75m throughout this period.</w:t>
            </w:r>
          </w:p>
          <w:p w14:paraId="31640370" w14:textId="7AD11CD2" w:rsidR="001B6206" w:rsidRPr="006079BC" w:rsidRDefault="001B6206" w:rsidP="006079BC">
            <w:pPr>
              <w:pStyle w:val="ListBullet"/>
              <w:numPr>
                <w:ilvl w:val="0"/>
                <w:numId w:val="23"/>
              </w:numPr>
              <w:snapToGrid w:val="0"/>
              <w:spacing w:before="0" w:after="60" w:line="240" w:lineRule="auto"/>
              <w:jc w:val="left"/>
              <w:rPr>
                <w:sz w:val="16"/>
                <w:szCs w:val="16"/>
              </w:rPr>
            </w:pPr>
            <w:r w:rsidRPr="006079BC">
              <w:rPr>
                <w:sz w:val="16"/>
                <w:szCs w:val="16"/>
              </w:rPr>
              <w:t>220 ML of return flows from the Murraylands and Riverlands Landscape Board were returned to the site during this quarter.</w:t>
            </w:r>
          </w:p>
        </w:tc>
      </w:tr>
      <w:tr w:rsidR="001B6206" w:rsidRPr="005732F4" w14:paraId="6CBD9BB3" w14:textId="77777777" w:rsidTr="002552C9">
        <w:tc>
          <w:tcPr>
            <w:tcW w:w="913" w:type="pct"/>
          </w:tcPr>
          <w:p w14:paraId="6E39C3D6" w14:textId="270FA4DB" w:rsidR="001B6206" w:rsidRDefault="001B6206" w:rsidP="001B6206">
            <w:pPr>
              <w:pStyle w:val="Default"/>
              <w:rPr>
                <w:rFonts w:ascii="Century Gothic" w:hAnsi="Century Gothic"/>
                <w:sz w:val="16"/>
                <w:szCs w:val="16"/>
              </w:rPr>
            </w:pPr>
            <w:r w:rsidRPr="00276358">
              <w:rPr>
                <w:rFonts w:ascii="Century Gothic" w:hAnsi="Century Gothic"/>
                <w:sz w:val="16"/>
                <w:szCs w:val="16"/>
              </w:rPr>
              <w:t>Base flows and opportunistic pulses through the barrages</w:t>
            </w:r>
            <w:r>
              <w:rPr>
                <w:rFonts w:ascii="Century Gothic" w:hAnsi="Century Gothic"/>
                <w:sz w:val="16"/>
                <w:szCs w:val="16"/>
              </w:rPr>
              <w:t xml:space="preserve"> (March to June 2021)</w:t>
            </w:r>
          </w:p>
          <w:p w14:paraId="391AE221" w14:textId="77777777" w:rsidR="001B6206" w:rsidRDefault="001B6206" w:rsidP="001B6206">
            <w:pPr>
              <w:pStyle w:val="Default"/>
              <w:rPr>
                <w:rFonts w:ascii="Century Gothic" w:hAnsi="Century Gothic"/>
                <w:sz w:val="16"/>
                <w:szCs w:val="16"/>
              </w:rPr>
            </w:pPr>
          </w:p>
          <w:p w14:paraId="4AF9B9D7" w14:textId="372CE226" w:rsidR="001B6206" w:rsidRPr="001B6206" w:rsidRDefault="001B6206" w:rsidP="001B6206">
            <w:pPr>
              <w:pStyle w:val="Default"/>
              <w:rPr>
                <w:rFonts w:ascii="Century Gothic" w:hAnsi="Century Gothic"/>
                <w:sz w:val="16"/>
                <w:szCs w:val="16"/>
                <w:highlight w:val="yellow"/>
              </w:rPr>
            </w:pPr>
            <w:r w:rsidRPr="00250A03">
              <w:rPr>
                <w:rFonts w:ascii="Century Gothic" w:hAnsi="Century Gothic"/>
                <w:sz w:val="16"/>
                <w:szCs w:val="16"/>
              </w:rPr>
              <w:t xml:space="preserve">CEW volume: </w:t>
            </w:r>
            <w:r>
              <w:rPr>
                <w:rFonts w:ascii="Century Gothic" w:hAnsi="Century Gothic"/>
                <w:sz w:val="16"/>
                <w:szCs w:val="16"/>
              </w:rPr>
              <w:t>LMR</w:t>
            </w:r>
            <w:r w:rsidRPr="00250A03">
              <w:rPr>
                <w:rFonts w:ascii="Century Gothic" w:hAnsi="Century Gothic"/>
                <w:sz w:val="16"/>
                <w:szCs w:val="16"/>
              </w:rPr>
              <w:t xml:space="preserve"> </w:t>
            </w:r>
            <w:r>
              <w:rPr>
                <w:rFonts w:ascii="Century Gothic" w:hAnsi="Century Gothic"/>
                <w:sz w:val="16"/>
                <w:szCs w:val="16"/>
              </w:rPr>
              <w:t>105,473</w:t>
            </w:r>
            <w:r w:rsidRPr="00250A03">
              <w:rPr>
                <w:rFonts w:ascii="Century Gothic" w:hAnsi="Century Gothic"/>
                <w:sz w:val="16"/>
                <w:szCs w:val="16"/>
              </w:rPr>
              <w:t xml:space="preserve"> ML</w:t>
            </w:r>
            <w:r w:rsidR="006079BC">
              <w:rPr>
                <w:rFonts w:ascii="Century Gothic" w:hAnsi="Century Gothic"/>
                <w:sz w:val="16"/>
                <w:szCs w:val="16"/>
              </w:rPr>
              <w:t xml:space="preserve"> (incl. 220 ML return flows within SA)</w:t>
            </w:r>
            <w:r>
              <w:rPr>
                <w:rFonts w:ascii="Century Gothic" w:hAnsi="Century Gothic"/>
                <w:sz w:val="16"/>
                <w:szCs w:val="16"/>
              </w:rPr>
              <w:t>,</w:t>
            </w:r>
            <w:r w:rsidRPr="00250A03">
              <w:rPr>
                <w:rFonts w:ascii="Century Gothic" w:hAnsi="Century Gothic"/>
                <w:sz w:val="16"/>
                <w:szCs w:val="16"/>
              </w:rPr>
              <w:t xml:space="preserve"> </w:t>
            </w:r>
            <w:r>
              <w:rPr>
                <w:rFonts w:ascii="Century Gothic" w:hAnsi="Century Gothic"/>
                <w:sz w:val="16"/>
                <w:szCs w:val="16"/>
              </w:rPr>
              <w:t>barrages 142,638</w:t>
            </w:r>
            <w:r w:rsidR="006079BC">
              <w:rPr>
                <w:rFonts w:ascii="Century Gothic" w:hAnsi="Century Gothic"/>
                <w:sz w:val="16"/>
                <w:szCs w:val="16"/>
              </w:rPr>
              <w:t> </w:t>
            </w:r>
            <w:r w:rsidRPr="00250A03">
              <w:rPr>
                <w:rFonts w:ascii="Century Gothic" w:hAnsi="Century Gothic"/>
                <w:sz w:val="16"/>
                <w:szCs w:val="16"/>
              </w:rPr>
              <w:t>ML.</w:t>
            </w:r>
          </w:p>
        </w:tc>
        <w:tc>
          <w:tcPr>
            <w:tcW w:w="1169" w:type="pct"/>
          </w:tcPr>
          <w:p w14:paraId="47364601" w14:textId="77777777" w:rsidR="006079BC" w:rsidRPr="006079BC" w:rsidRDefault="001B6206" w:rsidP="006079BC">
            <w:pPr>
              <w:pStyle w:val="ListBullet"/>
              <w:numPr>
                <w:ilvl w:val="0"/>
                <w:numId w:val="23"/>
              </w:numPr>
              <w:snapToGrid w:val="0"/>
              <w:spacing w:before="0" w:after="60" w:line="240" w:lineRule="auto"/>
              <w:jc w:val="left"/>
              <w:rPr>
                <w:sz w:val="16"/>
                <w:szCs w:val="16"/>
              </w:rPr>
            </w:pPr>
            <w:r w:rsidRPr="006079BC">
              <w:rPr>
                <w:sz w:val="16"/>
                <w:szCs w:val="16"/>
              </w:rPr>
              <w:t>Coorong water quality,</w:t>
            </w:r>
          </w:p>
          <w:p w14:paraId="66FE9A8D" w14:textId="2BFE68A1" w:rsidR="006079BC" w:rsidRPr="006079BC" w:rsidRDefault="006079BC" w:rsidP="006079BC">
            <w:pPr>
              <w:pStyle w:val="ListBullet"/>
              <w:numPr>
                <w:ilvl w:val="0"/>
                <w:numId w:val="23"/>
              </w:numPr>
              <w:snapToGrid w:val="0"/>
              <w:spacing w:before="0" w:after="60" w:line="240" w:lineRule="auto"/>
              <w:jc w:val="left"/>
              <w:rPr>
                <w:sz w:val="16"/>
                <w:szCs w:val="16"/>
              </w:rPr>
            </w:pPr>
            <w:r w:rsidRPr="006079BC">
              <w:rPr>
                <w:sz w:val="16"/>
                <w:szCs w:val="16"/>
              </w:rPr>
              <w:t>E</w:t>
            </w:r>
            <w:r w:rsidR="001B6206" w:rsidRPr="006079BC">
              <w:rPr>
                <w:sz w:val="16"/>
                <w:szCs w:val="16"/>
              </w:rPr>
              <w:t>stuarine habitat,</w:t>
            </w:r>
          </w:p>
          <w:p w14:paraId="42F047A0" w14:textId="68D5D193" w:rsidR="006079BC" w:rsidRPr="006079BC" w:rsidRDefault="006079BC" w:rsidP="006079BC">
            <w:pPr>
              <w:pStyle w:val="ListBullet"/>
              <w:numPr>
                <w:ilvl w:val="0"/>
                <w:numId w:val="23"/>
              </w:numPr>
              <w:snapToGrid w:val="0"/>
              <w:spacing w:before="0" w:after="60" w:line="240" w:lineRule="auto"/>
              <w:jc w:val="left"/>
              <w:rPr>
                <w:sz w:val="16"/>
                <w:szCs w:val="16"/>
              </w:rPr>
            </w:pPr>
            <w:r w:rsidRPr="006079BC">
              <w:rPr>
                <w:sz w:val="16"/>
                <w:szCs w:val="16"/>
              </w:rPr>
              <w:t>F</w:t>
            </w:r>
            <w:r w:rsidR="001B6206" w:rsidRPr="006079BC">
              <w:rPr>
                <w:sz w:val="16"/>
                <w:szCs w:val="16"/>
              </w:rPr>
              <w:t>ish habitat and condition,</w:t>
            </w:r>
          </w:p>
          <w:p w14:paraId="59897F94" w14:textId="42C55F1D" w:rsidR="001B6206" w:rsidRPr="006079BC" w:rsidRDefault="006079BC" w:rsidP="006079BC">
            <w:pPr>
              <w:pStyle w:val="ListBullet"/>
              <w:numPr>
                <w:ilvl w:val="0"/>
                <w:numId w:val="23"/>
              </w:numPr>
              <w:snapToGrid w:val="0"/>
              <w:spacing w:before="0" w:after="60" w:line="240" w:lineRule="auto"/>
              <w:jc w:val="left"/>
              <w:rPr>
                <w:sz w:val="16"/>
                <w:szCs w:val="16"/>
              </w:rPr>
            </w:pPr>
            <w:r w:rsidRPr="006079BC">
              <w:rPr>
                <w:sz w:val="16"/>
                <w:szCs w:val="16"/>
              </w:rPr>
              <w:t>R</w:t>
            </w:r>
            <w:r w:rsidR="001B6206" w:rsidRPr="006079BC">
              <w:rPr>
                <w:sz w:val="16"/>
                <w:szCs w:val="16"/>
              </w:rPr>
              <w:t>iverine function and productivity</w:t>
            </w:r>
            <w:r w:rsidRPr="006079BC">
              <w:rPr>
                <w:sz w:val="16"/>
                <w:szCs w:val="16"/>
              </w:rPr>
              <w:t>.</w:t>
            </w:r>
          </w:p>
        </w:tc>
        <w:tc>
          <w:tcPr>
            <w:tcW w:w="2918" w:type="pct"/>
          </w:tcPr>
          <w:p w14:paraId="2B27E82E" w14:textId="77777777" w:rsidR="001B6206" w:rsidRPr="006079BC" w:rsidRDefault="001B6206" w:rsidP="001B6206">
            <w:pPr>
              <w:pStyle w:val="ListBullet"/>
              <w:numPr>
                <w:ilvl w:val="0"/>
                <w:numId w:val="24"/>
              </w:numPr>
              <w:snapToGrid w:val="0"/>
              <w:spacing w:before="0" w:after="60" w:line="240" w:lineRule="auto"/>
              <w:jc w:val="left"/>
              <w:rPr>
                <w:sz w:val="16"/>
                <w:szCs w:val="16"/>
              </w:rPr>
            </w:pPr>
            <w:r w:rsidRPr="006079BC">
              <w:rPr>
                <w:sz w:val="16"/>
                <w:szCs w:val="16"/>
              </w:rPr>
              <w:t>Summer/autumn direct trade continued with 20 GL delivered in March and 20 GL in April.</w:t>
            </w:r>
          </w:p>
          <w:p w14:paraId="1BB80B1F" w14:textId="77777777" w:rsidR="006079BC" w:rsidRPr="006079BC" w:rsidRDefault="001B6206" w:rsidP="006079BC">
            <w:pPr>
              <w:pStyle w:val="ListBullet"/>
              <w:numPr>
                <w:ilvl w:val="0"/>
                <w:numId w:val="24"/>
              </w:numPr>
              <w:snapToGrid w:val="0"/>
              <w:spacing w:before="0" w:after="60" w:line="240" w:lineRule="auto"/>
              <w:jc w:val="left"/>
              <w:rPr>
                <w:sz w:val="16"/>
                <w:szCs w:val="16"/>
              </w:rPr>
            </w:pPr>
            <w:r w:rsidRPr="006079BC">
              <w:rPr>
                <w:sz w:val="16"/>
                <w:szCs w:val="16"/>
              </w:rPr>
              <w:t xml:space="preserve">Efforts were made to provide opportunistic releases to the Coorong (in addition to base releases) from April-June in response to water levels and weather conditions, however conditions were generally unfavourable for pulsing when compared with previous years. Two short (single day) pulsing events occurred during June. Flow through the barrages during this period was otherwise via low steady baseflows through 1-3 gates.  </w:t>
            </w:r>
          </w:p>
          <w:p w14:paraId="695B56D4" w14:textId="2AD07F80" w:rsidR="001B6206" w:rsidRPr="006079BC" w:rsidRDefault="001B6206" w:rsidP="006079BC">
            <w:pPr>
              <w:pStyle w:val="ListBullet"/>
              <w:numPr>
                <w:ilvl w:val="0"/>
                <w:numId w:val="24"/>
              </w:numPr>
              <w:snapToGrid w:val="0"/>
              <w:spacing w:before="0" w:after="60" w:line="240" w:lineRule="auto"/>
              <w:jc w:val="left"/>
              <w:rPr>
                <w:sz w:val="16"/>
                <w:szCs w:val="16"/>
              </w:rPr>
            </w:pPr>
            <w:r w:rsidRPr="006079BC">
              <w:rPr>
                <w:sz w:val="16"/>
                <w:szCs w:val="16"/>
              </w:rPr>
              <w:t>The Lower Lakes levels declined to just below 0.6m in mid-late April before increasing above 0.7m by the end of the water year.</w:t>
            </w:r>
          </w:p>
        </w:tc>
      </w:tr>
      <w:tr w:rsidR="006079BC" w:rsidRPr="005732F4" w14:paraId="023AD6DA" w14:textId="77777777" w:rsidTr="002552C9">
        <w:tc>
          <w:tcPr>
            <w:tcW w:w="913" w:type="pct"/>
          </w:tcPr>
          <w:p w14:paraId="5A796589" w14:textId="77777777" w:rsidR="006079BC" w:rsidRDefault="006079BC" w:rsidP="006079BC">
            <w:pPr>
              <w:pStyle w:val="Default"/>
              <w:rPr>
                <w:rFonts w:ascii="Century Gothic" w:hAnsi="Century Gothic"/>
                <w:sz w:val="16"/>
                <w:szCs w:val="16"/>
              </w:rPr>
            </w:pPr>
            <w:bookmarkStart w:id="409" w:name="_Toc3558347"/>
            <w:r w:rsidRPr="006079BC">
              <w:rPr>
                <w:rFonts w:ascii="Century Gothic" w:hAnsi="Century Gothic"/>
                <w:sz w:val="16"/>
                <w:szCs w:val="16"/>
              </w:rPr>
              <w:t>Weir</w:t>
            </w:r>
            <w:r>
              <w:rPr>
                <w:rFonts w:ascii="Century Gothic" w:hAnsi="Century Gothic"/>
                <w:sz w:val="16"/>
                <w:szCs w:val="16"/>
              </w:rPr>
              <w:t xml:space="preserve"> P</w:t>
            </w:r>
            <w:r w:rsidRPr="006079BC">
              <w:rPr>
                <w:rFonts w:ascii="Century Gothic" w:hAnsi="Century Gothic"/>
                <w:sz w:val="16"/>
                <w:szCs w:val="16"/>
              </w:rPr>
              <w:t>ool 4 raising</w:t>
            </w:r>
            <w:r>
              <w:rPr>
                <w:rFonts w:ascii="Century Gothic" w:hAnsi="Century Gothic"/>
                <w:sz w:val="16"/>
                <w:szCs w:val="16"/>
              </w:rPr>
              <w:t xml:space="preserve"> (</w:t>
            </w:r>
            <w:r w:rsidRPr="006079BC">
              <w:rPr>
                <w:rFonts w:ascii="Century Gothic" w:hAnsi="Century Gothic"/>
                <w:sz w:val="16"/>
                <w:szCs w:val="16"/>
              </w:rPr>
              <w:t>24</w:t>
            </w:r>
            <w:r>
              <w:rPr>
                <w:rFonts w:ascii="Century Gothic" w:hAnsi="Century Gothic"/>
                <w:sz w:val="16"/>
                <w:szCs w:val="16"/>
              </w:rPr>
              <w:t xml:space="preserve"> July </w:t>
            </w:r>
            <w:r w:rsidRPr="006079BC">
              <w:rPr>
                <w:rFonts w:ascii="Century Gothic" w:hAnsi="Century Gothic"/>
                <w:sz w:val="16"/>
                <w:szCs w:val="16"/>
              </w:rPr>
              <w:t>to 29</w:t>
            </w:r>
            <w:r>
              <w:rPr>
                <w:rFonts w:ascii="Century Gothic" w:hAnsi="Century Gothic"/>
                <w:sz w:val="16"/>
                <w:szCs w:val="16"/>
              </w:rPr>
              <w:t xml:space="preserve"> November </w:t>
            </w:r>
            <w:r w:rsidRPr="006079BC">
              <w:rPr>
                <w:rFonts w:ascii="Century Gothic" w:hAnsi="Century Gothic"/>
                <w:sz w:val="16"/>
                <w:szCs w:val="16"/>
              </w:rPr>
              <w:t>20</w:t>
            </w:r>
            <w:r>
              <w:rPr>
                <w:rFonts w:ascii="Century Gothic" w:hAnsi="Century Gothic"/>
                <w:sz w:val="16"/>
                <w:szCs w:val="16"/>
              </w:rPr>
              <w:t>20)</w:t>
            </w:r>
          </w:p>
          <w:p w14:paraId="69490CEF" w14:textId="77777777" w:rsidR="006079BC" w:rsidRDefault="006079BC" w:rsidP="006079BC">
            <w:pPr>
              <w:pStyle w:val="Default"/>
              <w:rPr>
                <w:rFonts w:ascii="Century Gothic" w:hAnsi="Century Gothic"/>
                <w:sz w:val="16"/>
                <w:szCs w:val="16"/>
              </w:rPr>
            </w:pPr>
          </w:p>
          <w:p w14:paraId="7758D0ED" w14:textId="1046E8CA" w:rsidR="006079BC" w:rsidRPr="006079BC" w:rsidRDefault="006079BC" w:rsidP="006079BC">
            <w:pPr>
              <w:pStyle w:val="Default"/>
              <w:rPr>
                <w:rFonts w:ascii="Century Gothic" w:hAnsi="Century Gothic"/>
                <w:sz w:val="16"/>
                <w:szCs w:val="16"/>
              </w:rPr>
            </w:pPr>
            <w:r w:rsidRPr="00250A03">
              <w:rPr>
                <w:rFonts w:ascii="Century Gothic" w:hAnsi="Century Gothic"/>
                <w:sz w:val="16"/>
                <w:szCs w:val="16"/>
              </w:rPr>
              <w:t>CEW volume:</w:t>
            </w:r>
            <w:r>
              <w:rPr>
                <w:rFonts w:ascii="Century Gothic" w:hAnsi="Century Gothic"/>
                <w:sz w:val="16"/>
                <w:szCs w:val="16"/>
              </w:rPr>
              <w:t xml:space="preserve"> 4</w:t>
            </w:r>
            <w:r w:rsidR="005C67C7">
              <w:rPr>
                <w:rFonts w:ascii="Century Gothic" w:hAnsi="Century Gothic"/>
                <w:sz w:val="16"/>
                <w:szCs w:val="16"/>
              </w:rPr>
              <w:t>33</w:t>
            </w:r>
            <w:r>
              <w:rPr>
                <w:rFonts w:ascii="Century Gothic" w:hAnsi="Century Gothic"/>
                <w:sz w:val="16"/>
                <w:szCs w:val="16"/>
              </w:rPr>
              <w:t xml:space="preserve"> ML</w:t>
            </w:r>
            <w:r w:rsidR="005C67C7">
              <w:rPr>
                <w:rFonts w:ascii="Century Gothic" w:hAnsi="Century Gothic"/>
                <w:sz w:val="16"/>
                <w:szCs w:val="16"/>
              </w:rPr>
              <w:t>, total volume: 1,433 ML (includes water used for Katarapko)</w:t>
            </w:r>
          </w:p>
        </w:tc>
        <w:tc>
          <w:tcPr>
            <w:tcW w:w="1169" w:type="pct"/>
          </w:tcPr>
          <w:p w14:paraId="0746FCBF" w14:textId="3E064C5A" w:rsidR="005C67C7" w:rsidRPr="005C67C7" w:rsidRDefault="005C67C7" w:rsidP="005C67C7">
            <w:pPr>
              <w:spacing w:before="0" w:after="60"/>
              <w:rPr>
                <w:sz w:val="16"/>
                <w:szCs w:val="16"/>
              </w:rPr>
            </w:pPr>
            <w:r w:rsidRPr="005C67C7">
              <w:rPr>
                <w:sz w:val="16"/>
                <w:szCs w:val="16"/>
              </w:rPr>
              <w:t>Primary: Maintaining the extent and condition of riparian and in-channel vegetation</w:t>
            </w:r>
            <w:r w:rsidR="002552C9">
              <w:rPr>
                <w:sz w:val="16"/>
                <w:szCs w:val="16"/>
              </w:rPr>
              <w:t>.</w:t>
            </w:r>
          </w:p>
          <w:p w14:paraId="255400AC" w14:textId="12ABDB4F" w:rsidR="006079BC" w:rsidRPr="006079BC" w:rsidRDefault="005C67C7" w:rsidP="005C67C7">
            <w:pPr>
              <w:spacing w:before="0" w:after="60"/>
              <w:rPr>
                <w:sz w:val="16"/>
                <w:szCs w:val="16"/>
              </w:rPr>
            </w:pPr>
            <w:r w:rsidRPr="005C67C7">
              <w:rPr>
                <w:sz w:val="16"/>
                <w:szCs w:val="16"/>
              </w:rPr>
              <w:t>Secondary: Contributing to riverine functioning</w:t>
            </w:r>
            <w:r w:rsidR="002552C9">
              <w:rPr>
                <w:sz w:val="16"/>
                <w:szCs w:val="16"/>
              </w:rPr>
              <w:t>.</w:t>
            </w:r>
          </w:p>
        </w:tc>
        <w:tc>
          <w:tcPr>
            <w:tcW w:w="2918" w:type="pct"/>
          </w:tcPr>
          <w:p w14:paraId="2FCD46E4" w14:textId="27E9BED8" w:rsidR="006079BC" w:rsidRDefault="005C67C7" w:rsidP="005C67C7">
            <w:pPr>
              <w:pStyle w:val="ListBullet"/>
              <w:numPr>
                <w:ilvl w:val="0"/>
                <w:numId w:val="27"/>
              </w:numPr>
              <w:snapToGrid w:val="0"/>
              <w:spacing w:before="0" w:after="60" w:line="240" w:lineRule="auto"/>
              <w:jc w:val="left"/>
              <w:rPr>
                <w:sz w:val="16"/>
                <w:szCs w:val="16"/>
              </w:rPr>
            </w:pPr>
            <w:r w:rsidRPr="005C67C7">
              <w:rPr>
                <w:sz w:val="16"/>
                <w:szCs w:val="16"/>
              </w:rPr>
              <w:t xml:space="preserve">A medium level first operation of the Katarapko floodplain infrastructure in conjunction with raising of Murray </w:t>
            </w:r>
            <w:r w:rsidR="00BD0534">
              <w:rPr>
                <w:sz w:val="16"/>
                <w:szCs w:val="16"/>
              </w:rPr>
              <w:t xml:space="preserve">River </w:t>
            </w:r>
            <w:r w:rsidRPr="005C67C7">
              <w:rPr>
                <w:sz w:val="16"/>
                <w:szCs w:val="16"/>
              </w:rPr>
              <w:t>Weir 4 provided a rise in surface water levels at the outflow regulator structures at Carparks Lagoons, The Splash, Piggy Creek and Sawmill Creek equivalent to that which would be generated at approximately 45,000 ML/day.  Lock 4 was raised by 0.335 m (up to 13.535 m AHD) to support increased inflows into the Eckerts Creek anabranch.</w:t>
            </w:r>
          </w:p>
          <w:p w14:paraId="22AA819B" w14:textId="0AAB7311" w:rsidR="005C67C7" w:rsidRPr="006079BC" w:rsidRDefault="005C67C7" w:rsidP="005C67C7">
            <w:pPr>
              <w:pStyle w:val="ListBullet"/>
              <w:numPr>
                <w:ilvl w:val="0"/>
                <w:numId w:val="27"/>
              </w:numPr>
              <w:snapToGrid w:val="0"/>
              <w:spacing w:before="0" w:after="60" w:line="240" w:lineRule="auto"/>
              <w:jc w:val="left"/>
              <w:rPr>
                <w:sz w:val="16"/>
                <w:szCs w:val="16"/>
              </w:rPr>
            </w:pPr>
            <w:r w:rsidRPr="005C67C7">
              <w:rPr>
                <w:sz w:val="16"/>
                <w:szCs w:val="16"/>
              </w:rPr>
              <w:t>Additional 320 hectares inundated in the Weir 4-5 River reach due to Weir 4 raising.</w:t>
            </w:r>
          </w:p>
        </w:tc>
      </w:tr>
      <w:tr w:rsidR="006079BC" w:rsidRPr="005732F4" w14:paraId="58DB47AF" w14:textId="77777777" w:rsidTr="002552C9">
        <w:tc>
          <w:tcPr>
            <w:tcW w:w="913" w:type="pct"/>
          </w:tcPr>
          <w:p w14:paraId="71D5F673" w14:textId="77777777" w:rsidR="006079BC" w:rsidRDefault="006079BC" w:rsidP="006079BC">
            <w:pPr>
              <w:pStyle w:val="Default"/>
              <w:rPr>
                <w:rFonts w:ascii="Century Gothic" w:hAnsi="Century Gothic"/>
                <w:sz w:val="16"/>
                <w:szCs w:val="16"/>
              </w:rPr>
            </w:pPr>
            <w:r w:rsidRPr="006079BC">
              <w:rPr>
                <w:rFonts w:ascii="Century Gothic" w:hAnsi="Century Gothic"/>
                <w:sz w:val="16"/>
                <w:szCs w:val="16"/>
              </w:rPr>
              <w:t>Katarapko Floodplain and wetlands</w:t>
            </w:r>
            <w:r>
              <w:rPr>
                <w:rFonts w:ascii="Century Gothic" w:hAnsi="Century Gothic"/>
                <w:sz w:val="16"/>
                <w:szCs w:val="16"/>
              </w:rPr>
              <w:t xml:space="preserve"> (</w:t>
            </w:r>
            <w:r w:rsidRPr="006079BC">
              <w:rPr>
                <w:rFonts w:ascii="Century Gothic" w:hAnsi="Century Gothic"/>
                <w:sz w:val="16"/>
                <w:szCs w:val="16"/>
              </w:rPr>
              <w:t>7</w:t>
            </w:r>
            <w:r>
              <w:rPr>
                <w:rFonts w:ascii="Century Gothic" w:hAnsi="Century Gothic"/>
                <w:sz w:val="16"/>
                <w:szCs w:val="16"/>
              </w:rPr>
              <w:t xml:space="preserve"> September</w:t>
            </w:r>
            <w:r w:rsidRPr="006079BC">
              <w:rPr>
                <w:rFonts w:ascii="Century Gothic" w:hAnsi="Century Gothic"/>
                <w:sz w:val="16"/>
                <w:szCs w:val="16"/>
              </w:rPr>
              <w:t xml:space="preserve"> to 24</w:t>
            </w:r>
            <w:r>
              <w:rPr>
                <w:rFonts w:ascii="Century Gothic" w:hAnsi="Century Gothic"/>
                <w:sz w:val="16"/>
                <w:szCs w:val="16"/>
              </w:rPr>
              <w:t xml:space="preserve"> December </w:t>
            </w:r>
            <w:r w:rsidRPr="006079BC">
              <w:rPr>
                <w:rFonts w:ascii="Century Gothic" w:hAnsi="Century Gothic"/>
                <w:sz w:val="16"/>
                <w:szCs w:val="16"/>
              </w:rPr>
              <w:t>20</w:t>
            </w:r>
            <w:r>
              <w:rPr>
                <w:rFonts w:ascii="Century Gothic" w:hAnsi="Century Gothic"/>
                <w:sz w:val="16"/>
                <w:szCs w:val="16"/>
              </w:rPr>
              <w:t>20)</w:t>
            </w:r>
          </w:p>
          <w:p w14:paraId="030DC8F2" w14:textId="77777777" w:rsidR="006079BC" w:rsidRDefault="006079BC" w:rsidP="006079BC">
            <w:pPr>
              <w:pStyle w:val="Default"/>
              <w:rPr>
                <w:rFonts w:ascii="Century Gothic" w:hAnsi="Century Gothic"/>
                <w:sz w:val="16"/>
                <w:szCs w:val="16"/>
              </w:rPr>
            </w:pPr>
          </w:p>
          <w:p w14:paraId="5E24A680" w14:textId="711C2CBE" w:rsidR="006079BC" w:rsidRPr="006079BC" w:rsidRDefault="005C67C7" w:rsidP="006079BC">
            <w:pPr>
              <w:pStyle w:val="Default"/>
              <w:rPr>
                <w:rFonts w:ascii="Century Gothic" w:hAnsi="Century Gothic"/>
                <w:sz w:val="16"/>
                <w:szCs w:val="16"/>
              </w:rPr>
            </w:pPr>
            <w:r w:rsidRPr="00250A03">
              <w:rPr>
                <w:rFonts w:ascii="Century Gothic" w:hAnsi="Century Gothic"/>
                <w:sz w:val="16"/>
                <w:szCs w:val="16"/>
              </w:rPr>
              <w:t>CEW volume:</w:t>
            </w:r>
            <w:r>
              <w:rPr>
                <w:rFonts w:ascii="Century Gothic" w:hAnsi="Century Gothic"/>
                <w:sz w:val="16"/>
                <w:szCs w:val="16"/>
              </w:rPr>
              <w:t xml:space="preserve"> 433 ML, total volume: 1,433 ML (includes water used for Weir Pool 4)</w:t>
            </w:r>
          </w:p>
        </w:tc>
        <w:tc>
          <w:tcPr>
            <w:tcW w:w="1169" w:type="pct"/>
          </w:tcPr>
          <w:p w14:paraId="09E2FCD8" w14:textId="66092B88" w:rsidR="005C67C7" w:rsidRPr="005C67C7" w:rsidRDefault="005C67C7" w:rsidP="005C67C7">
            <w:pPr>
              <w:spacing w:before="0" w:after="60"/>
              <w:rPr>
                <w:sz w:val="16"/>
                <w:szCs w:val="16"/>
              </w:rPr>
            </w:pPr>
            <w:r w:rsidRPr="005C67C7">
              <w:rPr>
                <w:sz w:val="16"/>
                <w:szCs w:val="16"/>
              </w:rPr>
              <w:t>Primary: Maintain viable river red gum, black box, river cooba and lignum populations</w:t>
            </w:r>
            <w:r w:rsidR="002552C9">
              <w:rPr>
                <w:sz w:val="16"/>
                <w:szCs w:val="16"/>
              </w:rPr>
              <w:t>.</w:t>
            </w:r>
          </w:p>
          <w:p w14:paraId="3F145D88" w14:textId="08D7E557" w:rsidR="006079BC" w:rsidRPr="006079BC" w:rsidRDefault="005C67C7" w:rsidP="005C67C7">
            <w:pPr>
              <w:spacing w:before="0" w:after="60"/>
              <w:rPr>
                <w:sz w:val="16"/>
                <w:szCs w:val="16"/>
              </w:rPr>
            </w:pPr>
            <w:r w:rsidRPr="005C67C7">
              <w:rPr>
                <w:sz w:val="16"/>
                <w:szCs w:val="16"/>
              </w:rPr>
              <w:t>Secondary: Provide for carbon and nutrient movement from the floodplain to the creek and river to generate localised fluctuations in productivity</w:t>
            </w:r>
            <w:r w:rsidR="002552C9">
              <w:rPr>
                <w:sz w:val="16"/>
                <w:szCs w:val="16"/>
              </w:rPr>
              <w:t>.</w:t>
            </w:r>
          </w:p>
        </w:tc>
        <w:tc>
          <w:tcPr>
            <w:tcW w:w="2918" w:type="pct"/>
          </w:tcPr>
          <w:p w14:paraId="3ACD5256" w14:textId="77777777" w:rsidR="006079BC" w:rsidRDefault="005C67C7" w:rsidP="005C67C7">
            <w:pPr>
              <w:pStyle w:val="ListBullet"/>
              <w:numPr>
                <w:ilvl w:val="0"/>
                <w:numId w:val="28"/>
              </w:numPr>
              <w:snapToGrid w:val="0"/>
              <w:spacing w:before="0" w:after="60" w:line="240" w:lineRule="auto"/>
              <w:jc w:val="left"/>
              <w:rPr>
                <w:sz w:val="16"/>
                <w:szCs w:val="16"/>
              </w:rPr>
            </w:pPr>
            <w:r w:rsidRPr="005C67C7">
              <w:rPr>
                <w:sz w:val="16"/>
                <w:szCs w:val="16"/>
              </w:rPr>
              <w:t>Water level was raised upstream of the Katarapko regulators by approximately 2.8m, to the target peak of 12.8m AHD, and was maintained around this level for 6 days from 28 October 2020 (with a recorded maximum of 12.84 m AHD on the 29th of October).</w:t>
            </w:r>
          </w:p>
          <w:p w14:paraId="0B550CDE" w14:textId="591C514A" w:rsidR="005C67C7" w:rsidRPr="006079BC" w:rsidRDefault="005C67C7" w:rsidP="005C67C7">
            <w:pPr>
              <w:pStyle w:val="ListBullet"/>
              <w:numPr>
                <w:ilvl w:val="0"/>
                <w:numId w:val="28"/>
              </w:numPr>
              <w:snapToGrid w:val="0"/>
              <w:spacing w:before="0" w:after="60" w:line="240" w:lineRule="auto"/>
              <w:jc w:val="left"/>
              <w:rPr>
                <w:sz w:val="16"/>
                <w:szCs w:val="16"/>
              </w:rPr>
            </w:pPr>
            <w:r w:rsidRPr="005C67C7">
              <w:rPr>
                <w:sz w:val="16"/>
                <w:szCs w:val="16"/>
              </w:rPr>
              <w:t>Additional 468 hectares on the Katarapko floodplain</w:t>
            </w:r>
            <w:r>
              <w:rPr>
                <w:sz w:val="16"/>
                <w:szCs w:val="16"/>
              </w:rPr>
              <w:t>.</w:t>
            </w:r>
          </w:p>
        </w:tc>
      </w:tr>
      <w:tr w:rsidR="005C67C7" w:rsidRPr="005732F4" w14:paraId="3776A4C8" w14:textId="77777777" w:rsidTr="002552C9">
        <w:tc>
          <w:tcPr>
            <w:tcW w:w="913" w:type="pct"/>
          </w:tcPr>
          <w:p w14:paraId="325392E9" w14:textId="77777777" w:rsidR="005C67C7" w:rsidRDefault="005C67C7" w:rsidP="005C67C7">
            <w:pPr>
              <w:pStyle w:val="Default"/>
              <w:rPr>
                <w:rFonts w:ascii="Century Gothic" w:hAnsi="Century Gothic"/>
                <w:sz w:val="16"/>
                <w:szCs w:val="16"/>
              </w:rPr>
            </w:pPr>
            <w:r w:rsidRPr="006079BC">
              <w:rPr>
                <w:rFonts w:ascii="Century Gothic" w:hAnsi="Century Gothic"/>
                <w:sz w:val="16"/>
                <w:szCs w:val="16"/>
              </w:rPr>
              <w:t>Weir</w:t>
            </w:r>
            <w:r>
              <w:rPr>
                <w:rFonts w:ascii="Century Gothic" w:hAnsi="Century Gothic"/>
                <w:sz w:val="16"/>
                <w:szCs w:val="16"/>
              </w:rPr>
              <w:t xml:space="preserve"> P</w:t>
            </w:r>
            <w:r w:rsidRPr="006079BC">
              <w:rPr>
                <w:rFonts w:ascii="Century Gothic" w:hAnsi="Century Gothic"/>
                <w:sz w:val="16"/>
                <w:szCs w:val="16"/>
              </w:rPr>
              <w:t>ool 5 raising</w:t>
            </w:r>
            <w:r>
              <w:rPr>
                <w:rFonts w:ascii="Century Gothic" w:hAnsi="Century Gothic"/>
                <w:sz w:val="16"/>
                <w:szCs w:val="16"/>
              </w:rPr>
              <w:t xml:space="preserve"> (</w:t>
            </w:r>
            <w:r w:rsidRPr="006079BC">
              <w:rPr>
                <w:rFonts w:ascii="Century Gothic" w:hAnsi="Century Gothic"/>
                <w:sz w:val="16"/>
                <w:szCs w:val="16"/>
              </w:rPr>
              <w:t>10</w:t>
            </w:r>
            <w:r>
              <w:rPr>
                <w:rFonts w:ascii="Century Gothic" w:hAnsi="Century Gothic"/>
                <w:sz w:val="16"/>
                <w:szCs w:val="16"/>
              </w:rPr>
              <w:t xml:space="preserve"> August</w:t>
            </w:r>
            <w:r w:rsidRPr="006079BC">
              <w:rPr>
                <w:rFonts w:ascii="Century Gothic" w:hAnsi="Century Gothic"/>
                <w:sz w:val="16"/>
                <w:szCs w:val="16"/>
              </w:rPr>
              <w:t xml:space="preserve"> to 23</w:t>
            </w:r>
            <w:r>
              <w:rPr>
                <w:rFonts w:ascii="Century Gothic" w:hAnsi="Century Gothic"/>
                <w:sz w:val="16"/>
                <w:szCs w:val="16"/>
              </w:rPr>
              <w:t xml:space="preserve"> December 2020)</w:t>
            </w:r>
          </w:p>
          <w:p w14:paraId="362D25E7" w14:textId="77777777" w:rsidR="005C67C7" w:rsidRDefault="005C67C7" w:rsidP="005C67C7">
            <w:pPr>
              <w:pStyle w:val="Default"/>
              <w:rPr>
                <w:rFonts w:ascii="Century Gothic" w:hAnsi="Century Gothic"/>
                <w:sz w:val="16"/>
                <w:szCs w:val="16"/>
              </w:rPr>
            </w:pPr>
          </w:p>
          <w:p w14:paraId="0B6D170E" w14:textId="7F198988" w:rsidR="005C67C7" w:rsidRPr="006079BC" w:rsidRDefault="005C67C7" w:rsidP="005C67C7">
            <w:pPr>
              <w:pStyle w:val="Default"/>
              <w:rPr>
                <w:rFonts w:ascii="Century Gothic" w:hAnsi="Century Gothic"/>
                <w:sz w:val="16"/>
                <w:szCs w:val="16"/>
              </w:rPr>
            </w:pPr>
            <w:r w:rsidRPr="00250A03">
              <w:rPr>
                <w:rFonts w:ascii="Century Gothic" w:hAnsi="Century Gothic"/>
                <w:sz w:val="16"/>
                <w:szCs w:val="16"/>
              </w:rPr>
              <w:t xml:space="preserve">CEW </w:t>
            </w:r>
            <w:r>
              <w:rPr>
                <w:rFonts w:ascii="Century Gothic" w:hAnsi="Century Gothic"/>
                <w:sz w:val="16"/>
                <w:szCs w:val="16"/>
              </w:rPr>
              <w:t xml:space="preserve">and total </w:t>
            </w:r>
            <w:r w:rsidRPr="00250A03">
              <w:rPr>
                <w:rFonts w:ascii="Century Gothic" w:hAnsi="Century Gothic"/>
                <w:sz w:val="16"/>
                <w:szCs w:val="16"/>
              </w:rPr>
              <w:t>volume:</w:t>
            </w:r>
            <w:r>
              <w:rPr>
                <w:rFonts w:ascii="Century Gothic" w:hAnsi="Century Gothic"/>
                <w:sz w:val="16"/>
                <w:szCs w:val="16"/>
              </w:rPr>
              <w:t xml:space="preserve"> 4,910 ML (includes water used for Pike)</w:t>
            </w:r>
          </w:p>
        </w:tc>
        <w:tc>
          <w:tcPr>
            <w:tcW w:w="1169" w:type="pct"/>
          </w:tcPr>
          <w:p w14:paraId="62959DE1" w14:textId="5D85E16B" w:rsidR="005C67C7" w:rsidRPr="005C67C7" w:rsidRDefault="005C67C7" w:rsidP="005C67C7">
            <w:pPr>
              <w:spacing w:before="0" w:after="60"/>
              <w:rPr>
                <w:sz w:val="16"/>
                <w:szCs w:val="16"/>
              </w:rPr>
            </w:pPr>
            <w:r w:rsidRPr="005C67C7">
              <w:rPr>
                <w:sz w:val="16"/>
                <w:szCs w:val="16"/>
              </w:rPr>
              <w:t>Primary: Maintaining the extent and condition of riparian and in-channel vegetation</w:t>
            </w:r>
            <w:r w:rsidR="002552C9">
              <w:rPr>
                <w:sz w:val="16"/>
                <w:szCs w:val="16"/>
              </w:rPr>
              <w:t>.</w:t>
            </w:r>
          </w:p>
          <w:p w14:paraId="731A2A68" w14:textId="7425A327" w:rsidR="005C67C7" w:rsidRPr="006079BC" w:rsidRDefault="005C67C7" w:rsidP="005C67C7">
            <w:pPr>
              <w:spacing w:before="0" w:after="60"/>
              <w:rPr>
                <w:sz w:val="16"/>
                <w:szCs w:val="16"/>
              </w:rPr>
            </w:pPr>
            <w:r w:rsidRPr="005C67C7">
              <w:rPr>
                <w:sz w:val="16"/>
                <w:szCs w:val="16"/>
              </w:rPr>
              <w:t>Secondary: Contributing to riverine functioning</w:t>
            </w:r>
            <w:r w:rsidR="002552C9">
              <w:rPr>
                <w:sz w:val="16"/>
                <w:szCs w:val="16"/>
              </w:rPr>
              <w:t>.</w:t>
            </w:r>
          </w:p>
        </w:tc>
        <w:tc>
          <w:tcPr>
            <w:tcW w:w="2918" w:type="pct"/>
          </w:tcPr>
          <w:p w14:paraId="2736133E" w14:textId="4D4B2F06" w:rsidR="005C67C7" w:rsidRPr="005C67C7" w:rsidRDefault="005C67C7" w:rsidP="005C67C7">
            <w:pPr>
              <w:pStyle w:val="ListParagraph"/>
              <w:numPr>
                <w:ilvl w:val="0"/>
                <w:numId w:val="28"/>
              </w:numPr>
              <w:spacing w:before="0" w:after="60"/>
              <w:rPr>
                <w:rFonts w:cstheme="minorHAnsi"/>
                <w:color w:val="auto"/>
                <w:kern w:val="0"/>
                <w:sz w:val="16"/>
                <w:szCs w:val="16"/>
              </w:rPr>
            </w:pPr>
            <w:r w:rsidRPr="005C67C7">
              <w:rPr>
                <w:rFonts w:cstheme="minorHAnsi"/>
                <w:sz w:val="16"/>
                <w:szCs w:val="16"/>
              </w:rPr>
              <w:t>A low level first operation of the Pike floodplain infrastructure in conjunction with raising of Murray</w:t>
            </w:r>
            <w:r w:rsidR="00BD0534">
              <w:rPr>
                <w:rFonts w:cstheme="minorHAnsi"/>
                <w:sz w:val="16"/>
                <w:szCs w:val="16"/>
              </w:rPr>
              <w:t xml:space="preserve"> River</w:t>
            </w:r>
            <w:r w:rsidRPr="005C67C7">
              <w:rPr>
                <w:rFonts w:cstheme="minorHAnsi"/>
                <w:sz w:val="16"/>
                <w:szCs w:val="16"/>
              </w:rPr>
              <w:t xml:space="preserve"> Weir 5 to provide a rise in surface water levels at the outflow regulator structures at Pike and Tanyaca similar to that which would be generated at approximately 55,000 ML/day. </w:t>
            </w:r>
          </w:p>
          <w:p w14:paraId="76AB308B" w14:textId="77777777" w:rsidR="005C67C7" w:rsidRPr="005C67C7" w:rsidRDefault="005C67C7" w:rsidP="005C67C7">
            <w:pPr>
              <w:pStyle w:val="ListParagraph"/>
              <w:numPr>
                <w:ilvl w:val="0"/>
                <w:numId w:val="28"/>
              </w:numPr>
              <w:spacing w:before="0" w:after="60"/>
              <w:rPr>
                <w:rFonts w:cstheme="minorHAnsi"/>
                <w:sz w:val="16"/>
                <w:szCs w:val="16"/>
              </w:rPr>
            </w:pPr>
            <w:r w:rsidRPr="005C67C7">
              <w:rPr>
                <w:rFonts w:cstheme="minorHAnsi"/>
                <w:sz w:val="16"/>
                <w:szCs w:val="16"/>
              </w:rPr>
              <w:t xml:space="preserve">Lock 5 was raised by 0.46 m (up to 16.76 m AHD) to support increased inflows to the anabranch. </w:t>
            </w:r>
          </w:p>
          <w:p w14:paraId="4DD9CC12" w14:textId="5163B885" w:rsidR="005C67C7" w:rsidRPr="005C67C7" w:rsidRDefault="005C67C7" w:rsidP="005C67C7">
            <w:pPr>
              <w:pStyle w:val="ListParagraph"/>
              <w:numPr>
                <w:ilvl w:val="0"/>
                <w:numId w:val="28"/>
              </w:numPr>
              <w:spacing w:before="0" w:after="60"/>
              <w:rPr>
                <w:rFonts w:cstheme="minorHAnsi"/>
                <w:sz w:val="16"/>
                <w:szCs w:val="16"/>
              </w:rPr>
            </w:pPr>
            <w:r w:rsidRPr="005C67C7">
              <w:rPr>
                <w:rFonts w:cstheme="minorHAnsi"/>
                <w:sz w:val="16"/>
                <w:szCs w:val="16"/>
              </w:rPr>
              <w:t>Additional inundation of approximately 500 hectares of Pike floodplain</w:t>
            </w:r>
          </w:p>
        </w:tc>
      </w:tr>
      <w:tr w:rsidR="005C67C7" w:rsidRPr="005732F4" w14:paraId="5D5AAA2A" w14:textId="77777777" w:rsidTr="002552C9">
        <w:tc>
          <w:tcPr>
            <w:tcW w:w="913" w:type="pct"/>
          </w:tcPr>
          <w:p w14:paraId="53DC0ACF" w14:textId="77777777" w:rsidR="005C67C7" w:rsidRDefault="005C67C7" w:rsidP="005C67C7">
            <w:pPr>
              <w:pStyle w:val="Default"/>
              <w:rPr>
                <w:rFonts w:ascii="Century Gothic" w:hAnsi="Century Gothic"/>
                <w:sz w:val="16"/>
                <w:szCs w:val="16"/>
              </w:rPr>
            </w:pPr>
            <w:r w:rsidRPr="006079BC">
              <w:rPr>
                <w:rFonts w:ascii="Century Gothic" w:hAnsi="Century Gothic"/>
                <w:sz w:val="16"/>
                <w:szCs w:val="16"/>
              </w:rPr>
              <w:t>Pike Floodplain and wetlands</w:t>
            </w:r>
            <w:r>
              <w:rPr>
                <w:rFonts w:ascii="Century Gothic" w:hAnsi="Century Gothic"/>
                <w:sz w:val="16"/>
                <w:szCs w:val="16"/>
              </w:rPr>
              <w:t xml:space="preserve"> (</w:t>
            </w:r>
            <w:r w:rsidRPr="006079BC">
              <w:rPr>
                <w:rFonts w:ascii="Century Gothic" w:hAnsi="Century Gothic"/>
                <w:sz w:val="16"/>
                <w:szCs w:val="16"/>
              </w:rPr>
              <w:t>17</w:t>
            </w:r>
            <w:r>
              <w:rPr>
                <w:rFonts w:ascii="Century Gothic" w:hAnsi="Century Gothic"/>
                <w:sz w:val="16"/>
                <w:szCs w:val="16"/>
              </w:rPr>
              <w:t xml:space="preserve"> September</w:t>
            </w:r>
            <w:r w:rsidRPr="006079BC">
              <w:rPr>
                <w:rFonts w:ascii="Century Gothic" w:hAnsi="Century Gothic"/>
                <w:sz w:val="16"/>
                <w:szCs w:val="16"/>
              </w:rPr>
              <w:t xml:space="preserve"> to 29</w:t>
            </w:r>
            <w:r>
              <w:rPr>
                <w:rFonts w:ascii="Century Gothic" w:hAnsi="Century Gothic"/>
                <w:sz w:val="16"/>
                <w:szCs w:val="16"/>
              </w:rPr>
              <w:t xml:space="preserve"> December 2020)</w:t>
            </w:r>
          </w:p>
          <w:p w14:paraId="3DFEF126" w14:textId="77777777" w:rsidR="005C67C7" w:rsidRDefault="005C67C7" w:rsidP="005C67C7">
            <w:pPr>
              <w:pStyle w:val="Default"/>
              <w:rPr>
                <w:rFonts w:ascii="Century Gothic" w:hAnsi="Century Gothic"/>
                <w:sz w:val="16"/>
                <w:szCs w:val="16"/>
              </w:rPr>
            </w:pPr>
          </w:p>
          <w:p w14:paraId="31F41571" w14:textId="36E42A8C" w:rsidR="005C67C7" w:rsidRPr="006079BC" w:rsidRDefault="005C67C7" w:rsidP="005C67C7">
            <w:pPr>
              <w:pStyle w:val="Default"/>
              <w:rPr>
                <w:rFonts w:ascii="Century Gothic" w:hAnsi="Century Gothic"/>
                <w:sz w:val="16"/>
                <w:szCs w:val="16"/>
              </w:rPr>
            </w:pPr>
            <w:r w:rsidRPr="00250A03">
              <w:rPr>
                <w:rFonts w:ascii="Century Gothic" w:hAnsi="Century Gothic"/>
                <w:sz w:val="16"/>
                <w:szCs w:val="16"/>
              </w:rPr>
              <w:t xml:space="preserve">CEW </w:t>
            </w:r>
            <w:r>
              <w:rPr>
                <w:rFonts w:ascii="Century Gothic" w:hAnsi="Century Gothic"/>
                <w:sz w:val="16"/>
                <w:szCs w:val="16"/>
              </w:rPr>
              <w:t xml:space="preserve">and total </w:t>
            </w:r>
            <w:r w:rsidRPr="00250A03">
              <w:rPr>
                <w:rFonts w:ascii="Century Gothic" w:hAnsi="Century Gothic"/>
                <w:sz w:val="16"/>
                <w:szCs w:val="16"/>
              </w:rPr>
              <w:t>volume:</w:t>
            </w:r>
            <w:r>
              <w:rPr>
                <w:rFonts w:ascii="Century Gothic" w:hAnsi="Century Gothic"/>
                <w:sz w:val="16"/>
                <w:szCs w:val="16"/>
              </w:rPr>
              <w:t xml:space="preserve"> 4,910 ML (includes water used for Weir Pool 5)</w:t>
            </w:r>
          </w:p>
        </w:tc>
        <w:tc>
          <w:tcPr>
            <w:tcW w:w="1169" w:type="pct"/>
          </w:tcPr>
          <w:p w14:paraId="11DF1C1A" w14:textId="62F114D7" w:rsidR="005C67C7" w:rsidRPr="005C67C7" w:rsidRDefault="005C67C7" w:rsidP="005C67C7">
            <w:pPr>
              <w:spacing w:before="0" w:after="60"/>
              <w:rPr>
                <w:sz w:val="16"/>
                <w:szCs w:val="16"/>
              </w:rPr>
            </w:pPr>
            <w:r w:rsidRPr="005C67C7">
              <w:rPr>
                <w:sz w:val="16"/>
                <w:szCs w:val="16"/>
              </w:rPr>
              <w:t>Primary: Maintain viable river red gum, black box, river cooba and lignum populations</w:t>
            </w:r>
            <w:r w:rsidR="002552C9">
              <w:rPr>
                <w:sz w:val="16"/>
                <w:szCs w:val="16"/>
              </w:rPr>
              <w:t>.</w:t>
            </w:r>
          </w:p>
          <w:p w14:paraId="7BE75E0C" w14:textId="55B957BE" w:rsidR="005C67C7" w:rsidRPr="006079BC" w:rsidRDefault="005C67C7" w:rsidP="005C67C7">
            <w:pPr>
              <w:spacing w:before="0" w:after="60"/>
              <w:rPr>
                <w:sz w:val="16"/>
                <w:szCs w:val="16"/>
              </w:rPr>
            </w:pPr>
            <w:r w:rsidRPr="005C67C7">
              <w:rPr>
                <w:sz w:val="16"/>
                <w:szCs w:val="16"/>
              </w:rPr>
              <w:t>Secondary: Provide for carbon and nutrient movement from the floodplain to the creek and river to generate localised fluctuations in productivity</w:t>
            </w:r>
            <w:r w:rsidR="002552C9">
              <w:rPr>
                <w:sz w:val="16"/>
                <w:szCs w:val="16"/>
              </w:rPr>
              <w:t>.</w:t>
            </w:r>
          </w:p>
        </w:tc>
        <w:tc>
          <w:tcPr>
            <w:tcW w:w="2918" w:type="pct"/>
          </w:tcPr>
          <w:p w14:paraId="4614FEBA" w14:textId="2443BE4F" w:rsidR="005C67C7" w:rsidRDefault="005C67C7" w:rsidP="005C67C7">
            <w:pPr>
              <w:pStyle w:val="ListBullet"/>
              <w:numPr>
                <w:ilvl w:val="0"/>
                <w:numId w:val="29"/>
              </w:numPr>
              <w:snapToGrid w:val="0"/>
              <w:spacing w:before="0" w:after="60" w:line="240" w:lineRule="auto"/>
              <w:jc w:val="left"/>
              <w:rPr>
                <w:sz w:val="16"/>
                <w:szCs w:val="16"/>
              </w:rPr>
            </w:pPr>
            <w:r w:rsidRPr="005C67C7">
              <w:rPr>
                <w:sz w:val="16"/>
                <w:szCs w:val="16"/>
              </w:rPr>
              <w:t>Water levels were raised upstream of the Pike regulator by approximately 0.7 m, to the target peak of 15.25 m AHD which was maintained around this level for 19 days from 20 November 2020.</w:t>
            </w:r>
          </w:p>
          <w:p w14:paraId="760FF5EE" w14:textId="79BD058B" w:rsidR="005C67C7" w:rsidRPr="005C67C7" w:rsidRDefault="005C67C7" w:rsidP="005C67C7">
            <w:pPr>
              <w:pStyle w:val="ListBullet"/>
              <w:numPr>
                <w:ilvl w:val="0"/>
                <w:numId w:val="29"/>
              </w:numPr>
              <w:snapToGrid w:val="0"/>
              <w:spacing w:before="0" w:after="60" w:line="240" w:lineRule="auto"/>
              <w:jc w:val="left"/>
              <w:rPr>
                <w:sz w:val="16"/>
                <w:szCs w:val="16"/>
              </w:rPr>
            </w:pPr>
            <w:r w:rsidRPr="005C67C7">
              <w:rPr>
                <w:sz w:val="16"/>
                <w:szCs w:val="16"/>
              </w:rPr>
              <w:t>Additional inundation of approximately 1,033 hectares along the Weir 5 to 6 reach.</w:t>
            </w:r>
          </w:p>
        </w:tc>
      </w:tr>
    </w:tbl>
    <w:p w14:paraId="08CAB39F" w14:textId="77777777" w:rsidR="008849C5" w:rsidRDefault="008849C5" w:rsidP="00BB6D22">
      <w:pPr>
        <w:pStyle w:val="Heading1"/>
        <w:numPr>
          <w:ilvl w:val="0"/>
          <w:numId w:val="0"/>
        </w:numPr>
        <w:sectPr w:rsidR="008849C5" w:rsidSect="008849C5">
          <w:pgSz w:w="16838" w:h="11906" w:orient="landscape"/>
          <w:pgMar w:top="1440" w:right="1440" w:bottom="1440" w:left="1440" w:header="709" w:footer="709" w:gutter="0"/>
          <w:cols w:space="708"/>
          <w:docGrid w:linePitch="360"/>
        </w:sectPr>
      </w:pPr>
    </w:p>
    <w:p w14:paraId="5E1D114C" w14:textId="42DB5851" w:rsidR="00BB6D22" w:rsidRPr="00F64880" w:rsidRDefault="008849C5" w:rsidP="00BB6D22">
      <w:pPr>
        <w:pStyle w:val="Heading1"/>
        <w:numPr>
          <w:ilvl w:val="0"/>
          <w:numId w:val="0"/>
        </w:numPr>
        <w:rPr>
          <w:b w:val="0"/>
          <w:bCs w:val="0"/>
          <w:caps w:val="0"/>
        </w:rPr>
      </w:pPr>
      <w:bookmarkStart w:id="410" w:name="_Toc101963787"/>
      <w:r>
        <w:t>Appendix B</w:t>
      </w:r>
      <w:r w:rsidR="000A65FC" w:rsidRPr="001056B4">
        <w:t xml:space="preserve">: </w:t>
      </w:r>
      <w:bookmarkStart w:id="411" w:name="_Toc3558348"/>
      <w:bookmarkStart w:id="412" w:name="_Toc441838748"/>
      <w:bookmarkEnd w:id="409"/>
      <w:r w:rsidR="00BB6D22">
        <w:t>Overview of other m</w:t>
      </w:r>
      <w:r w:rsidR="00186D82">
        <w:t xml:space="preserve">anagement activities </w:t>
      </w:r>
      <w:r w:rsidR="005732F4">
        <w:t>during</w:t>
      </w:r>
      <w:r w:rsidR="00C935AC">
        <w:t xml:space="preserve"> 2020</w:t>
      </w:r>
      <w:bookmarkEnd w:id="411"/>
      <w:bookmarkEnd w:id="412"/>
      <w:r w:rsidR="002B4CE6">
        <w:t>-21</w:t>
      </w:r>
      <w:bookmarkEnd w:id="410"/>
    </w:p>
    <w:p w14:paraId="4C6D5ED7" w14:textId="386824D5" w:rsidR="00844BB9" w:rsidRPr="00844BB9" w:rsidRDefault="00844BB9" w:rsidP="00BB6D22">
      <w:r w:rsidRPr="009C0C0D">
        <w:t xml:space="preserve">In addition to environmental water deliveries to the </w:t>
      </w:r>
      <w:r w:rsidR="00FE3EAD">
        <w:t>Lower Murray</w:t>
      </w:r>
      <w:r w:rsidR="00FE3EAD" w:rsidRPr="009C0C0D">
        <w:t xml:space="preserve"> </w:t>
      </w:r>
      <w:r w:rsidR="005732F4">
        <w:t>in</w:t>
      </w:r>
      <w:r>
        <w:t xml:space="preserve"> </w:t>
      </w:r>
      <w:r w:rsidR="00C935AC">
        <w:t>2020</w:t>
      </w:r>
      <w:r w:rsidR="002B4CE6">
        <w:t>-21</w:t>
      </w:r>
      <w:r w:rsidRPr="009C0C0D">
        <w:t xml:space="preserve"> </w:t>
      </w:r>
      <w:r>
        <w:t xml:space="preserve">(Section </w:t>
      </w:r>
      <w:r>
        <w:fldChar w:fldCharType="begin"/>
      </w:r>
      <w:r>
        <w:instrText xml:space="preserve"> REF _Ref25846459 \r \h </w:instrText>
      </w:r>
      <w:r>
        <w:fldChar w:fldCharType="separate"/>
      </w:r>
      <w:r w:rsidR="003C13F6">
        <w:t>1.4</w:t>
      </w:r>
      <w:r>
        <w:fldChar w:fldCharType="end"/>
      </w:r>
      <w:r>
        <w:t>)</w:t>
      </w:r>
      <w:r w:rsidRPr="009C0C0D">
        <w:t xml:space="preserve">, the following management </w:t>
      </w:r>
      <w:r>
        <w:t>actions</w:t>
      </w:r>
      <w:r w:rsidRPr="009C0C0D">
        <w:t xml:space="preserve"> are relevant to the analyses and interpretations in this report. </w:t>
      </w:r>
    </w:p>
    <w:p w14:paraId="6EA8437F" w14:textId="02B19296" w:rsidR="00BB6D22" w:rsidRPr="00964B7F" w:rsidRDefault="00BB6D22" w:rsidP="00BB6D22">
      <w:pPr>
        <w:rPr>
          <w:b/>
          <w:color w:val="44546A" w:themeColor="text2"/>
          <w:sz w:val="26"/>
          <w:szCs w:val="26"/>
        </w:rPr>
      </w:pPr>
      <w:r w:rsidRPr="00964B7F">
        <w:rPr>
          <w:b/>
          <w:color w:val="44546A" w:themeColor="text2"/>
          <w:sz w:val="26"/>
          <w:szCs w:val="26"/>
        </w:rPr>
        <w:t xml:space="preserve">Other watering </w:t>
      </w:r>
      <w:r>
        <w:rPr>
          <w:b/>
          <w:color w:val="44546A" w:themeColor="text2"/>
          <w:sz w:val="26"/>
          <w:szCs w:val="26"/>
        </w:rPr>
        <w:t xml:space="preserve">and management </w:t>
      </w:r>
      <w:r w:rsidRPr="00964B7F">
        <w:rPr>
          <w:b/>
          <w:color w:val="44546A" w:themeColor="text2"/>
          <w:sz w:val="26"/>
          <w:szCs w:val="26"/>
        </w:rPr>
        <w:t xml:space="preserve">activities in the </w:t>
      </w:r>
      <w:r w:rsidR="00FE3EAD">
        <w:rPr>
          <w:b/>
          <w:color w:val="44546A" w:themeColor="text2"/>
          <w:sz w:val="26"/>
          <w:szCs w:val="26"/>
        </w:rPr>
        <w:t>Lower Murray</w:t>
      </w:r>
      <w:r w:rsidR="00FE3EAD" w:rsidRPr="00964B7F">
        <w:rPr>
          <w:b/>
          <w:color w:val="44546A" w:themeColor="text2"/>
          <w:sz w:val="26"/>
          <w:szCs w:val="26"/>
        </w:rPr>
        <w:t xml:space="preserve"> </w:t>
      </w:r>
    </w:p>
    <w:p w14:paraId="48324437" w14:textId="1F95934D" w:rsidR="00BB6D22" w:rsidRPr="00964B7F" w:rsidRDefault="00BB6D22" w:rsidP="00BB6D22">
      <w:pPr>
        <w:rPr>
          <w:i/>
          <w:sz w:val="24"/>
          <w:szCs w:val="24"/>
        </w:rPr>
      </w:pPr>
      <w:r>
        <w:rPr>
          <w:b/>
          <w:i/>
          <w:color w:val="44546A" w:themeColor="text2"/>
          <w:sz w:val="24"/>
          <w:szCs w:val="24"/>
        </w:rPr>
        <w:t>Manipulation</w:t>
      </w:r>
      <w:r w:rsidRPr="00964B7F">
        <w:rPr>
          <w:b/>
          <w:i/>
          <w:color w:val="44546A" w:themeColor="text2"/>
          <w:sz w:val="24"/>
          <w:szCs w:val="24"/>
        </w:rPr>
        <w:t xml:space="preserve"> of water levels in </w:t>
      </w:r>
      <w:r w:rsidR="005732F4">
        <w:rPr>
          <w:b/>
          <w:i/>
          <w:color w:val="44546A" w:themeColor="text2"/>
          <w:sz w:val="24"/>
          <w:szCs w:val="24"/>
        </w:rPr>
        <w:t>Weir P</w:t>
      </w:r>
      <w:r w:rsidRPr="00964B7F">
        <w:rPr>
          <w:b/>
          <w:i/>
          <w:color w:val="44546A" w:themeColor="text2"/>
          <w:sz w:val="24"/>
          <w:szCs w:val="24"/>
        </w:rPr>
        <w:t>ools</w:t>
      </w:r>
      <w:r w:rsidR="005732F4">
        <w:rPr>
          <w:b/>
          <w:i/>
          <w:color w:val="44546A" w:themeColor="text2"/>
          <w:sz w:val="24"/>
          <w:szCs w:val="24"/>
        </w:rPr>
        <w:t xml:space="preserve"> </w:t>
      </w:r>
      <w:r w:rsidR="0091106C">
        <w:rPr>
          <w:b/>
          <w:i/>
          <w:color w:val="44546A" w:themeColor="text2"/>
          <w:sz w:val="24"/>
          <w:szCs w:val="24"/>
        </w:rPr>
        <w:t xml:space="preserve">1, </w:t>
      </w:r>
      <w:r w:rsidR="005732F4">
        <w:rPr>
          <w:b/>
          <w:i/>
          <w:color w:val="44546A" w:themeColor="text2"/>
          <w:sz w:val="24"/>
          <w:szCs w:val="24"/>
        </w:rPr>
        <w:t>2</w:t>
      </w:r>
      <w:r w:rsidR="0091106C">
        <w:rPr>
          <w:b/>
          <w:i/>
          <w:color w:val="44546A" w:themeColor="text2"/>
          <w:sz w:val="24"/>
          <w:szCs w:val="24"/>
        </w:rPr>
        <w:t xml:space="preserve">, </w:t>
      </w:r>
      <w:r w:rsidR="00A94C66">
        <w:rPr>
          <w:b/>
          <w:i/>
          <w:color w:val="44546A" w:themeColor="text2"/>
          <w:sz w:val="24"/>
          <w:szCs w:val="24"/>
        </w:rPr>
        <w:t>4</w:t>
      </w:r>
      <w:r w:rsidR="005732F4">
        <w:rPr>
          <w:b/>
          <w:i/>
          <w:color w:val="44546A" w:themeColor="text2"/>
          <w:sz w:val="24"/>
          <w:szCs w:val="24"/>
        </w:rPr>
        <w:t xml:space="preserve"> and </w:t>
      </w:r>
      <w:r w:rsidR="00C16855">
        <w:rPr>
          <w:b/>
          <w:i/>
          <w:color w:val="44546A" w:themeColor="text2"/>
          <w:sz w:val="24"/>
          <w:szCs w:val="24"/>
        </w:rPr>
        <w:t>5</w:t>
      </w:r>
      <w:r w:rsidRPr="00964B7F">
        <w:rPr>
          <w:b/>
          <w:i/>
          <w:color w:val="44546A" w:themeColor="text2"/>
          <w:sz w:val="24"/>
          <w:szCs w:val="24"/>
        </w:rPr>
        <w:t xml:space="preserve"> </w:t>
      </w:r>
    </w:p>
    <w:p w14:paraId="235F0049" w14:textId="5AA765EF" w:rsidR="005732F4" w:rsidRPr="002375F4" w:rsidRDefault="003240C1" w:rsidP="005732F4">
      <w:pPr>
        <w:rPr>
          <w:lang w:val="en-US"/>
        </w:rPr>
      </w:pPr>
      <w:r>
        <w:rPr>
          <w:lang w:val="en-US"/>
        </w:rPr>
        <w:t>In 2020-21, m</w:t>
      </w:r>
      <w:r w:rsidR="00C16855">
        <w:rPr>
          <w:lang w:val="en-US"/>
        </w:rPr>
        <w:t>anipulations</w:t>
      </w:r>
      <w:r w:rsidR="00C16855" w:rsidRPr="002375F4">
        <w:rPr>
          <w:lang w:val="en-US"/>
        </w:rPr>
        <w:t xml:space="preserve"> </w:t>
      </w:r>
      <w:r w:rsidR="005732F4" w:rsidRPr="002375F4">
        <w:rPr>
          <w:lang w:val="en-US"/>
        </w:rPr>
        <w:t>of Weir Pool</w:t>
      </w:r>
      <w:r w:rsidR="002375F4" w:rsidRPr="002375F4">
        <w:rPr>
          <w:lang w:val="en-US"/>
        </w:rPr>
        <w:t>s</w:t>
      </w:r>
      <w:r w:rsidR="005732F4" w:rsidRPr="002375F4">
        <w:rPr>
          <w:lang w:val="en-US"/>
        </w:rPr>
        <w:t xml:space="preserve"> </w:t>
      </w:r>
      <w:r w:rsidR="002375F4" w:rsidRPr="002375F4">
        <w:rPr>
          <w:lang w:val="en-US"/>
        </w:rPr>
        <w:t xml:space="preserve">4 and </w:t>
      </w:r>
      <w:r>
        <w:rPr>
          <w:lang w:val="en-US"/>
        </w:rPr>
        <w:t>5</w:t>
      </w:r>
      <w:r w:rsidR="005732F4" w:rsidRPr="002375F4">
        <w:rPr>
          <w:lang w:val="en-US"/>
        </w:rPr>
        <w:t xml:space="preserve"> occurred</w:t>
      </w:r>
      <w:r w:rsidR="0071508C">
        <w:rPr>
          <w:lang w:val="en-US"/>
        </w:rPr>
        <w:t xml:space="preserve"> in conjunction with the operation of the Katarapko and Pike Anabranch regulators, respectively. </w:t>
      </w:r>
      <w:r w:rsidR="002375F4" w:rsidRPr="002375F4">
        <w:rPr>
          <w:lang w:val="en-US"/>
        </w:rPr>
        <w:t>Drawdown of w</w:t>
      </w:r>
      <w:r w:rsidR="005732F4" w:rsidRPr="002375F4">
        <w:rPr>
          <w:lang w:val="en-US"/>
        </w:rPr>
        <w:t xml:space="preserve">ater levels </w:t>
      </w:r>
      <w:r w:rsidR="002375F4" w:rsidRPr="002375F4">
        <w:rPr>
          <w:lang w:val="en-US"/>
        </w:rPr>
        <w:t xml:space="preserve">in Weir Pool 4 </w:t>
      </w:r>
      <w:r>
        <w:rPr>
          <w:lang w:val="en-US"/>
        </w:rPr>
        <w:t xml:space="preserve">from peak level (+0.335 m normal pool level (NPL)) </w:t>
      </w:r>
      <w:r w:rsidR="002375F4" w:rsidRPr="002375F4">
        <w:rPr>
          <w:lang w:val="en-US"/>
        </w:rPr>
        <w:t xml:space="preserve">occurred in November 2020, and water levels returned to </w:t>
      </w:r>
      <w:r w:rsidR="005732F4" w:rsidRPr="002375F4">
        <w:rPr>
          <w:lang w:val="en-US"/>
        </w:rPr>
        <w:t xml:space="preserve">NPL </w:t>
      </w:r>
      <w:r w:rsidR="002375F4" w:rsidRPr="002375F4">
        <w:rPr>
          <w:lang w:val="en-US"/>
        </w:rPr>
        <w:t xml:space="preserve">ahead of the </w:t>
      </w:r>
      <w:r>
        <w:rPr>
          <w:lang w:val="en-US"/>
        </w:rPr>
        <w:t xml:space="preserve">flow </w:t>
      </w:r>
      <w:r w:rsidR="002375F4" w:rsidRPr="002375F4">
        <w:rPr>
          <w:lang w:val="en-US"/>
        </w:rPr>
        <w:t xml:space="preserve">peak to South Australia </w:t>
      </w:r>
      <w:r w:rsidR="005732F4" w:rsidRPr="002375F4">
        <w:rPr>
          <w:lang w:val="en-US"/>
        </w:rPr>
        <w:t xml:space="preserve">in </w:t>
      </w:r>
      <w:r w:rsidR="002375F4" w:rsidRPr="002375F4">
        <w:rPr>
          <w:lang w:val="en-US"/>
        </w:rPr>
        <w:t>late November</w:t>
      </w:r>
      <w:r w:rsidR="005732F4" w:rsidRPr="002375F4">
        <w:rPr>
          <w:lang w:val="en-US"/>
        </w:rPr>
        <w:t xml:space="preserve"> (</w:t>
      </w:r>
      <w:r w:rsidR="009A4868" w:rsidRPr="002375F4">
        <w:rPr>
          <w:lang w:val="en-US"/>
        </w:rPr>
        <w:t xml:space="preserve">Table A1; </w:t>
      </w:r>
      <w:r w:rsidR="005732F4" w:rsidRPr="002375F4">
        <w:rPr>
          <w:lang w:val="en-US"/>
        </w:rPr>
        <w:t xml:space="preserve">Figure B1). </w:t>
      </w:r>
      <w:r w:rsidR="004E5D8F">
        <w:rPr>
          <w:lang w:val="en-US"/>
        </w:rPr>
        <w:t>Raising of Weir Pool 5 occurred later and peaked at +0.4</w:t>
      </w:r>
      <w:r w:rsidR="007C08C4">
        <w:rPr>
          <w:lang w:val="en-US"/>
        </w:rPr>
        <w:t>6 </w:t>
      </w:r>
      <w:r w:rsidR="004E5D8F">
        <w:rPr>
          <w:lang w:val="en-US"/>
        </w:rPr>
        <w:t>m in November and early December, before undergoing a drawdown to NPL in mid-December 2020.</w:t>
      </w:r>
      <w:r w:rsidR="00C16855">
        <w:rPr>
          <w:lang w:val="en-US"/>
        </w:rPr>
        <w:t xml:space="preserve"> During December 2020, minor lowering of water levels below the NPL of Weir Pools 1 (</w:t>
      </w:r>
      <w:r w:rsidR="00C16855">
        <w:rPr>
          <w:lang w:val="en-US"/>
        </w:rPr>
        <w:noBreakHyphen/>
        <w:t>0.11 m), 2 (-0.09 m) and 4 (</w:t>
      </w:r>
      <w:r w:rsidR="00C16855">
        <w:rPr>
          <w:lang w:val="en-US"/>
        </w:rPr>
        <w:noBreakHyphen/>
        <w:t>0.06 m) also occurred.</w:t>
      </w:r>
      <w:r w:rsidR="004E5D8F">
        <w:rPr>
          <w:lang w:val="en-US"/>
        </w:rPr>
        <w:t xml:space="preserve"> </w:t>
      </w:r>
      <w:r w:rsidR="005732F4" w:rsidRPr="002375F4">
        <w:rPr>
          <w:lang w:val="en-US"/>
        </w:rPr>
        <w:t xml:space="preserve">Approximately </w:t>
      </w:r>
      <w:r w:rsidR="00F816DD">
        <w:rPr>
          <w:lang w:val="en-US"/>
        </w:rPr>
        <w:t>5,343</w:t>
      </w:r>
      <w:r w:rsidR="008D1099" w:rsidRPr="002375F4">
        <w:rPr>
          <w:lang w:val="en-US"/>
        </w:rPr>
        <w:t> M</w:t>
      </w:r>
      <w:r w:rsidR="005732F4" w:rsidRPr="002375F4">
        <w:rPr>
          <w:lang w:val="en-US"/>
        </w:rPr>
        <w:t xml:space="preserve">L of Commonwealth environmental water was delivered to account for losses (e.g. evaporation) during the manipulation of </w:t>
      </w:r>
      <w:r w:rsidR="000C3D32">
        <w:rPr>
          <w:lang w:val="en-US"/>
        </w:rPr>
        <w:t>w</w:t>
      </w:r>
      <w:r w:rsidR="005732F4" w:rsidRPr="002375F4">
        <w:rPr>
          <w:lang w:val="en-US"/>
        </w:rPr>
        <w:t xml:space="preserve">eir </w:t>
      </w:r>
      <w:r w:rsidR="000C3D32" w:rsidRPr="00F816DD">
        <w:rPr>
          <w:lang w:val="en-US"/>
        </w:rPr>
        <w:t>p</w:t>
      </w:r>
      <w:r w:rsidR="005732F4" w:rsidRPr="00F816DD">
        <w:rPr>
          <w:lang w:val="en-US"/>
        </w:rPr>
        <w:t>ools</w:t>
      </w:r>
      <w:r w:rsidR="00F816DD">
        <w:rPr>
          <w:lang w:val="en-US"/>
        </w:rPr>
        <w:t xml:space="preserve"> and </w:t>
      </w:r>
      <w:r w:rsidR="00F816DD" w:rsidRPr="00F816DD">
        <w:rPr>
          <w:lang w:val="en-US"/>
        </w:rPr>
        <w:t>floodplain regulator operation</w:t>
      </w:r>
      <w:r w:rsidR="005732F4" w:rsidRPr="00F816DD">
        <w:rPr>
          <w:lang w:val="en-US"/>
        </w:rPr>
        <w:t xml:space="preserve"> (</w:t>
      </w:r>
      <w:r w:rsidR="00F816DD">
        <w:rPr>
          <w:lang w:val="en-US"/>
        </w:rPr>
        <w:t>Table A1</w:t>
      </w:r>
      <w:r w:rsidR="005732F4" w:rsidRPr="00F816DD">
        <w:rPr>
          <w:lang w:val="en-US"/>
        </w:rPr>
        <w:t>).</w:t>
      </w:r>
    </w:p>
    <w:p w14:paraId="42E81289" w14:textId="0CA16093" w:rsidR="00BB6D22" w:rsidRPr="007376E2" w:rsidRDefault="008857D7" w:rsidP="005732F4">
      <w:pPr>
        <w:rPr>
          <w:highlight w:val="yellow"/>
          <w:lang w:val="en-US"/>
        </w:rPr>
      </w:pPr>
      <w:r w:rsidRPr="008857D7">
        <w:rPr>
          <w:noProof/>
        </w:rPr>
        <w:drawing>
          <wp:inline distT="0" distB="0" distL="0" distR="0" wp14:anchorId="203FFABB" wp14:editId="19654764">
            <wp:extent cx="5731510" cy="3218815"/>
            <wp:effectExtent l="0" t="0" r="254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7652"/>
                    <a:stretch/>
                  </pic:blipFill>
                  <pic:spPr bwMode="auto">
                    <a:xfrm>
                      <a:off x="0" y="0"/>
                      <a:ext cx="5731510" cy="3218815"/>
                    </a:xfrm>
                    <a:prstGeom prst="rect">
                      <a:avLst/>
                    </a:prstGeom>
                    <a:noFill/>
                    <a:ln>
                      <a:noFill/>
                    </a:ln>
                    <a:extLst>
                      <a:ext uri="{53640926-AAD7-44D8-BBD7-CCE9431645EC}">
                        <a14:shadowObscured xmlns:a14="http://schemas.microsoft.com/office/drawing/2010/main"/>
                      </a:ext>
                    </a:extLst>
                  </pic:spPr>
                </pic:pic>
              </a:graphicData>
            </a:graphic>
          </wp:inline>
        </w:drawing>
      </w:r>
    </w:p>
    <w:p w14:paraId="5C1BDC3F" w14:textId="074FF0E8" w:rsidR="00BB6D22" w:rsidRDefault="008849C5" w:rsidP="004C3BA1">
      <w:pPr>
        <w:pStyle w:val="Captions"/>
        <w:rPr>
          <w:color w:val="44546A" w:themeColor="text2"/>
          <w:sz w:val="26"/>
          <w:szCs w:val="26"/>
        </w:rPr>
      </w:pPr>
      <w:r w:rsidRPr="007376E2">
        <w:t>Figure B</w:t>
      </w:r>
      <w:r w:rsidR="005732F4" w:rsidRPr="007376E2">
        <w:t>1</w:t>
      </w:r>
      <w:r w:rsidR="00BB6D22" w:rsidRPr="007376E2">
        <w:t xml:space="preserve">. </w:t>
      </w:r>
      <w:r w:rsidR="00BB6D22" w:rsidRPr="00010111">
        <w:t xml:space="preserve">Water levels in </w:t>
      </w:r>
      <w:r w:rsidR="00DE6DCA" w:rsidRPr="00010111">
        <w:t>the Lock</w:t>
      </w:r>
      <w:r w:rsidR="00DF0F55" w:rsidRPr="00010111">
        <w:t xml:space="preserve"> </w:t>
      </w:r>
      <w:r w:rsidR="008857D7">
        <w:t xml:space="preserve">1, </w:t>
      </w:r>
      <w:r w:rsidR="00DE6DCA" w:rsidRPr="00010111">
        <w:t>2</w:t>
      </w:r>
      <w:r w:rsidR="007376E2" w:rsidRPr="00010111">
        <w:t>, 4</w:t>
      </w:r>
      <w:r w:rsidR="008857D7">
        <w:t xml:space="preserve"> and</w:t>
      </w:r>
      <w:r w:rsidR="007376E2" w:rsidRPr="00010111">
        <w:t xml:space="preserve"> 5</w:t>
      </w:r>
      <w:r w:rsidR="00DE6DCA" w:rsidRPr="00010111">
        <w:t xml:space="preserve"> weir pools </w:t>
      </w:r>
      <w:r w:rsidR="004B3F4E" w:rsidRPr="00010111">
        <w:t>in</w:t>
      </w:r>
      <w:r w:rsidR="00DF0F55" w:rsidRPr="00010111">
        <w:t xml:space="preserve"> </w:t>
      </w:r>
      <w:r w:rsidR="004B3F4E" w:rsidRPr="00010111">
        <w:t>20</w:t>
      </w:r>
      <w:r w:rsidR="00C935AC" w:rsidRPr="00010111">
        <w:t>20</w:t>
      </w:r>
      <w:r w:rsidR="007376E2" w:rsidRPr="00010111">
        <w:t>-21</w:t>
      </w:r>
      <w:r w:rsidR="00BB6D22" w:rsidRPr="00010111">
        <w:t>, showing weir pool manipulations (DEW). Water levels are measured at</w:t>
      </w:r>
      <w:r w:rsidR="00585837">
        <w:t xml:space="preserve"> </w:t>
      </w:r>
      <w:r w:rsidR="00585837" w:rsidRPr="00585837">
        <w:t>Lock 1 US (A4260902)</w:t>
      </w:r>
      <w:r w:rsidR="00585837">
        <w:t xml:space="preserve"> + 3.2 m AHD,</w:t>
      </w:r>
      <w:r w:rsidR="00BB6D22" w:rsidRPr="00010111">
        <w:t xml:space="preserve"> </w:t>
      </w:r>
      <w:r w:rsidR="00A410A4" w:rsidRPr="00010111">
        <w:t>Lock 2 US (A4260518) + 6.1 m AHD</w:t>
      </w:r>
      <w:r w:rsidR="00010111" w:rsidRPr="00010111">
        <w:t>, Lock 4 US (A4260514) +13.2 m AHD</w:t>
      </w:r>
      <w:r w:rsidR="008857D7">
        <w:t xml:space="preserve"> and</w:t>
      </w:r>
      <w:r w:rsidR="00A410A4" w:rsidRPr="00010111">
        <w:t xml:space="preserve"> </w:t>
      </w:r>
      <w:r w:rsidR="00010111" w:rsidRPr="00010111">
        <w:t>Lock 5 US (A4260512) + 16.3 m AHD</w:t>
      </w:r>
      <w:r w:rsidR="00A410A4" w:rsidRPr="00010111">
        <w:t>.</w:t>
      </w:r>
    </w:p>
    <w:p w14:paraId="4E48936C" w14:textId="17A12F04" w:rsidR="00585837" w:rsidRDefault="00585837" w:rsidP="00C10514"/>
    <w:p w14:paraId="1D957D61" w14:textId="77777777" w:rsidR="00585837" w:rsidRDefault="00585837">
      <w:pPr>
        <w:spacing w:before="0" w:after="160" w:line="259" w:lineRule="auto"/>
        <w:jc w:val="left"/>
      </w:pPr>
      <w:r>
        <w:br w:type="page"/>
      </w:r>
    </w:p>
    <w:p w14:paraId="4B22D97C" w14:textId="77777777" w:rsidR="00C10514" w:rsidRDefault="00C10514" w:rsidP="00C10514">
      <w:pPr>
        <w:rPr>
          <w:b/>
          <w:i/>
          <w:color w:val="44546A" w:themeColor="text2"/>
          <w:sz w:val="24"/>
          <w:szCs w:val="24"/>
        </w:rPr>
      </w:pPr>
      <w:r w:rsidRPr="001C5BAB">
        <w:rPr>
          <w:b/>
          <w:i/>
          <w:color w:val="44546A" w:themeColor="text2"/>
          <w:sz w:val="24"/>
          <w:szCs w:val="24"/>
        </w:rPr>
        <w:t>Katarapko and Pike floodplain regulator operation</w:t>
      </w:r>
    </w:p>
    <w:p w14:paraId="319F7355" w14:textId="5C1220FA" w:rsidR="00355E86" w:rsidRDefault="00040D9B" w:rsidP="00201019">
      <w:r>
        <w:t xml:space="preserve">The first operation of the Pike and Katarapko floodplain regulators occurred in 2020-21. Water levels in the Pike anabranch were raised 0.7 m </w:t>
      </w:r>
      <w:r w:rsidR="00355E86">
        <w:t>above normal level in conjunction with the raising of Weir Pool 5, which commenced in mid-September 2020</w:t>
      </w:r>
      <w:r w:rsidR="00F816DD">
        <w:t xml:space="preserve"> (Figure B2; Table A1)</w:t>
      </w:r>
      <w:r w:rsidR="00355E86">
        <w:t>. Water levels were held at a maximum for 19 days during late November–early December before returning to normal levels by end December 2020.</w:t>
      </w:r>
      <w:r w:rsidR="00201019">
        <w:t xml:space="preserve"> Similarly, in conjunction with the operation of Lock 4, water levels in Katarapko creek were raised 2.8</w:t>
      </w:r>
      <w:r w:rsidR="00BE5181">
        <w:t> </w:t>
      </w:r>
      <w:r w:rsidR="00201019">
        <w:t>m above normal level and held for 6 days during late November–early December, before returning to normal levels by late December 2020</w:t>
      </w:r>
      <w:r w:rsidR="00F816DD">
        <w:t xml:space="preserve"> (Figure B2; Table A1)</w:t>
      </w:r>
      <w:r w:rsidR="00BE5181" w:rsidRPr="00BE5181">
        <w:t>.</w:t>
      </w:r>
    </w:p>
    <w:p w14:paraId="6BEF8688" w14:textId="3F516F7E" w:rsidR="0056442E" w:rsidRDefault="00016B4E" w:rsidP="0056442E">
      <w:pPr>
        <w:jc w:val="center"/>
      </w:pPr>
      <w:r w:rsidRPr="00016B4E">
        <w:rPr>
          <w:noProof/>
        </w:rPr>
        <w:drawing>
          <wp:inline distT="0" distB="0" distL="0" distR="0" wp14:anchorId="01C08FE0" wp14:editId="22C0B9AB">
            <wp:extent cx="5246922" cy="29908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7351" b="2608"/>
                    <a:stretch/>
                  </pic:blipFill>
                  <pic:spPr bwMode="auto">
                    <a:xfrm>
                      <a:off x="0" y="0"/>
                      <a:ext cx="5252739" cy="2994166"/>
                    </a:xfrm>
                    <a:prstGeom prst="rect">
                      <a:avLst/>
                    </a:prstGeom>
                    <a:noFill/>
                    <a:ln>
                      <a:noFill/>
                    </a:ln>
                    <a:extLst>
                      <a:ext uri="{53640926-AAD7-44D8-BBD7-CCE9431645EC}">
                        <a14:shadowObscured xmlns:a14="http://schemas.microsoft.com/office/drawing/2010/main"/>
                      </a:ext>
                    </a:extLst>
                  </pic:spPr>
                </pic:pic>
              </a:graphicData>
            </a:graphic>
          </wp:inline>
        </w:drawing>
      </w:r>
    </w:p>
    <w:p w14:paraId="7232EA9E" w14:textId="145DD5F5" w:rsidR="0056442E" w:rsidRDefault="0056442E" w:rsidP="004C3BA1">
      <w:pPr>
        <w:pStyle w:val="Captions"/>
        <w:rPr>
          <w:color w:val="44546A" w:themeColor="text2"/>
          <w:sz w:val="26"/>
          <w:szCs w:val="26"/>
        </w:rPr>
      </w:pPr>
      <w:r w:rsidRPr="007376E2">
        <w:t>Figure B</w:t>
      </w:r>
      <w:r w:rsidR="00016B4E">
        <w:t>2</w:t>
      </w:r>
      <w:r w:rsidRPr="007376E2">
        <w:t xml:space="preserve">. </w:t>
      </w:r>
      <w:r w:rsidRPr="00010111">
        <w:t xml:space="preserve">Water levels </w:t>
      </w:r>
      <w:r>
        <w:t xml:space="preserve">upstream of the Pike </w:t>
      </w:r>
      <w:r w:rsidRPr="0056442E">
        <w:t xml:space="preserve">River </w:t>
      </w:r>
      <w:r>
        <w:t>regulator (</w:t>
      </w:r>
      <w:r w:rsidRPr="0056442E">
        <w:t>A4261053</w:t>
      </w:r>
      <w:r>
        <w:t xml:space="preserve">) and the </w:t>
      </w:r>
      <w:r w:rsidRPr="0056442E">
        <w:t xml:space="preserve">Splash Creek Regulator </w:t>
      </w:r>
      <w:r>
        <w:t>(</w:t>
      </w:r>
      <w:r w:rsidRPr="0056442E">
        <w:t>A4261790</w:t>
      </w:r>
      <w:r>
        <w:t xml:space="preserve">) </w:t>
      </w:r>
      <w:r w:rsidRPr="00010111">
        <w:t xml:space="preserve">in 2020-21, showing </w:t>
      </w:r>
      <w:r>
        <w:t>regulator operations</w:t>
      </w:r>
      <w:r w:rsidRPr="00010111">
        <w:t xml:space="preserve"> (DEW).</w:t>
      </w:r>
    </w:p>
    <w:p w14:paraId="112D7B32" w14:textId="4ACE6B19" w:rsidR="00731D0A" w:rsidRDefault="00731D0A" w:rsidP="0056442E">
      <w:r>
        <w:br w:type="page"/>
      </w:r>
    </w:p>
    <w:p w14:paraId="0E286B59" w14:textId="77777777" w:rsidR="00A74C62" w:rsidRDefault="00A74C62">
      <w:pPr>
        <w:spacing w:before="0" w:after="160" w:line="259" w:lineRule="auto"/>
        <w:jc w:val="left"/>
        <w:rPr>
          <w:b/>
          <w:color w:val="44546A" w:themeColor="text2"/>
          <w:sz w:val="26"/>
          <w:szCs w:val="26"/>
        </w:rPr>
        <w:sectPr w:rsidR="00A74C62" w:rsidSect="00AA75E1">
          <w:pgSz w:w="11906" w:h="16838"/>
          <w:pgMar w:top="1440" w:right="1440" w:bottom="1440" w:left="1440" w:header="709" w:footer="709" w:gutter="0"/>
          <w:cols w:space="708"/>
          <w:docGrid w:linePitch="360"/>
        </w:sectPr>
      </w:pPr>
    </w:p>
    <w:p w14:paraId="11C88C77" w14:textId="75ABF7A8" w:rsidR="00754761" w:rsidRPr="00754761" w:rsidRDefault="00754761" w:rsidP="00754761">
      <w:pPr>
        <w:rPr>
          <w:b/>
          <w:color w:val="44546A" w:themeColor="text2"/>
          <w:sz w:val="26"/>
          <w:szCs w:val="26"/>
        </w:rPr>
      </w:pPr>
      <w:r w:rsidRPr="00171687">
        <w:rPr>
          <w:b/>
          <w:color w:val="44546A" w:themeColor="text2"/>
          <w:sz w:val="26"/>
          <w:szCs w:val="26"/>
        </w:rPr>
        <w:t xml:space="preserve">Watering </w:t>
      </w:r>
      <w:r>
        <w:rPr>
          <w:b/>
          <w:color w:val="44546A" w:themeColor="text2"/>
          <w:sz w:val="26"/>
          <w:szCs w:val="26"/>
        </w:rPr>
        <w:t xml:space="preserve">and management </w:t>
      </w:r>
      <w:r w:rsidRPr="00171687">
        <w:rPr>
          <w:b/>
          <w:color w:val="44546A" w:themeColor="text2"/>
          <w:sz w:val="26"/>
          <w:szCs w:val="26"/>
        </w:rPr>
        <w:t xml:space="preserve">activities </w:t>
      </w:r>
      <w:r>
        <w:rPr>
          <w:b/>
          <w:color w:val="44546A" w:themeColor="text2"/>
          <w:sz w:val="26"/>
          <w:szCs w:val="26"/>
        </w:rPr>
        <w:t>outside of</w:t>
      </w:r>
      <w:r w:rsidRPr="00171687">
        <w:rPr>
          <w:b/>
          <w:color w:val="44546A" w:themeColor="text2"/>
          <w:sz w:val="26"/>
          <w:szCs w:val="26"/>
        </w:rPr>
        <w:t xml:space="preserve"> the </w:t>
      </w:r>
      <w:r>
        <w:rPr>
          <w:b/>
          <w:color w:val="44546A" w:themeColor="text2"/>
          <w:sz w:val="26"/>
          <w:szCs w:val="26"/>
        </w:rPr>
        <w:t>Lower Murray</w:t>
      </w:r>
      <w:r w:rsidRPr="00171687">
        <w:rPr>
          <w:b/>
          <w:color w:val="44546A" w:themeColor="text2"/>
          <w:sz w:val="26"/>
          <w:szCs w:val="26"/>
        </w:rPr>
        <w:t xml:space="preserve"> </w:t>
      </w:r>
    </w:p>
    <w:p w14:paraId="353D8CFB" w14:textId="5056174C" w:rsidR="00BB6D22" w:rsidRPr="002117A9" w:rsidRDefault="00A660B6" w:rsidP="00BB6D22">
      <w:pPr>
        <w:spacing w:before="0" w:after="0"/>
        <w:rPr>
          <w:b/>
          <w:i/>
          <w:color w:val="44546A" w:themeColor="text2"/>
          <w:sz w:val="24"/>
          <w:szCs w:val="24"/>
        </w:rPr>
      </w:pPr>
      <w:r>
        <w:rPr>
          <w:b/>
          <w:i/>
          <w:color w:val="44546A" w:themeColor="text2"/>
          <w:sz w:val="24"/>
          <w:szCs w:val="24"/>
        </w:rPr>
        <w:t>Other w</w:t>
      </w:r>
      <w:r w:rsidR="002117A9">
        <w:rPr>
          <w:b/>
          <w:i/>
          <w:color w:val="44546A" w:themeColor="text2"/>
          <w:sz w:val="24"/>
          <w:szCs w:val="24"/>
        </w:rPr>
        <w:t>atering event</w:t>
      </w:r>
      <w:r>
        <w:rPr>
          <w:b/>
          <w:i/>
          <w:color w:val="44546A" w:themeColor="text2"/>
          <w:sz w:val="24"/>
          <w:szCs w:val="24"/>
        </w:rPr>
        <w:t>s and management actions</w:t>
      </w:r>
    </w:p>
    <w:p w14:paraId="1079AAFF" w14:textId="7A92906C" w:rsidR="00BF1528" w:rsidRDefault="00BF1528" w:rsidP="00BF1528">
      <w:r>
        <w:t>During 2020</w:t>
      </w:r>
      <w:r w:rsidR="004A0458">
        <w:t>-21</w:t>
      </w:r>
      <w:r>
        <w:t>, environmental water was delivered to the LMR channel, primarily as deliveries from return flows through coordinated watering events across the southern connected Basin, to achieve multi-site environmental outcomes. The major upstream watering events that were supported by environmental water and may be relevant to the evaluation in this report are summarised in Table B</w:t>
      </w:r>
      <w:r w:rsidR="00A1041C">
        <w:t>1</w:t>
      </w:r>
      <w:r>
        <w:t xml:space="preserve">. </w:t>
      </w:r>
    </w:p>
    <w:p w14:paraId="7AD2DD6D" w14:textId="662581EE" w:rsidR="002117A9" w:rsidRDefault="008849C5" w:rsidP="004C3BA1">
      <w:pPr>
        <w:pStyle w:val="Captions"/>
      </w:pPr>
      <w:r>
        <w:t>Table B</w:t>
      </w:r>
      <w:r w:rsidR="00A1041C">
        <w:t>1</w:t>
      </w:r>
      <w:r w:rsidR="002117A9">
        <w:t xml:space="preserve">. </w:t>
      </w:r>
      <w:r w:rsidR="004E1F7E">
        <w:t xml:space="preserve">Details for </w:t>
      </w:r>
      <w:r w:rsidR="0044035C">
        <w:t xml:space="preserve">upstream </w:t>
      </w:r>
      <w:r w:rsidR="004E1F7E">
        <w:t xml:space="preserve">watering events and management actions supported by environmental water </w:t>
      </w:r>
      <w:r w:rsidR="002D3D7E">
        <w:t xml:space="preserve">(eWater) </w:t>
      </w:r>
      <w:r w:rsidR="00AE640F">
        <w:t>in 2020</w:t>
      </w:r>
      <w:r w:rsidR="004A0458">
        <w:t>-21</w:t>
      </w:r>
      <w:r w:rsidR="00A307BC">
        <w:t xml:space="preserve"> (source: CEWO)</w:t>
      </w:r>
      <w:r w:rsidR="004E1F7E">
        <w:t xml:space="preserve">. </w:t>
      </w:r>
      <w:r w:rsidR="00155245">
        <w:t xml:space="preserve">CEW = Commonwealth environmental water, </w:t>
      </w:r>
      <w:r w:rsidR="00033D6D">
        <w:t xml:space="preserve">IVT = Inter-Valley Transfer, </w:t>
      </w:r>
      <w:r w:rsidR="00155245">
        <w:t>TLM = The Living Murray, VEWH = Victorian Environmental Water Holder</w:t>
      </w:r>
      <w:r w:rsidR="000402DC">
        <w:t>, RMIF = River Murray Increased Flows.</w:t>
      </w: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0931"/>
        <w:gridCol w:w="1275"/>
      </w:tblGrid>
      <w:tr w:rsidR="00BF1528" w:rsidRPr="00040579" w14:paraId="7F49AADD" w14:textId="3E104D14" w:rsidTr="00E414B1">
        <w:trPr>
          <w:cantSplit/>
          <w:trHeight w:val="397"/>
          <w:tblHeader/>
        </w:trPr>
        <w:tc>
          <w:tcPr>
            <w:tcW w:w="605" w:type="pct"/>
            <w:vAlign w:val="center"/>
          </w:tcPr>
          <w:p w14:paraId="4EE21387" w14:textId="77777777" w:rsidR="00BF1528" w:rsidRPr="00754761" w:rsidRDefault="00BF1528" w:rsidP="002069A2">
            <w:pPr>
              <w:contextualSpacing/>
              <w:jc w:val="center"/>
              <w:rPr>
                <w:sz w:val="19"/>
                <w:szCs w:val="19"/>
              </w:rPr>
            </w:pPr>
            <w:r w:rsidRPr="00754761">
              <w:rPr>
                <w:sz w:val="19"/>
                <w:szCs w:val="19"/>
              </w:rPr>
              <w:t>Event</w:t>
            </w:r>
          </w:p>
        </w:tc>
        <w:tc>
          <w:tcPr>
            <w:tcW w:w="3935" w:type="pct"/>
            <w:vAlign w:val="center"/>
          </w:tcPr>
          <w:p w14:paraId="63E97C50" w14:textId="27ABD21E" w:rsidR="00BF1528" w:rsidRPr="00754761" w:rsidRDefault="00BF1528" w:rsidP="00F40001">
            <w:pPr>
              <w:contextualSpacing/>
              <w:jc w:val="center"/>
              <w:rPr>
                <w:sz w:val="19"/>
                <w:szCs w:val="19"/>
              </w:rPr>
            </w:pPr>
            <w:r w:rsidRPr="00754761">
              <w:rPr>
                <w:sz w:val="19"/>
                <w:szCs w:val="19"/>
              </w:rPr>
              <w:t>Event description and timing</w:t>
            </w:r>
          </w:p>
        </w:tc>
        <w:tc>
          <w:tcPr>
            <w:tcW w:w="459" w:type="pct"/>
            <w:vAlign w:val="center"/>
          </w:tcPr>
          <w:p w14:paraId="0F53073F" w14:textId="77777777" w:rsidR="00BF1528" w:rsidRPr="00754761" w:rsidRDefault="00BF1528" w:rsidP="002069A2">
            <w:pPr>
              <w:contextualSpacing/>
              <w:jc w:val="center"/>
              <w:rPr>
                <w:sz w:val="19"/>
                <w:szCs w:val="19"/>
              </w:rPr>
            </w:pPr>
            <w:r w:rsidRPr="00754761">
              <w:rPr>
                <w:sz w:val="19"/>
                <w:szCs w:val="19"/>
              </w:rPr>
              <w:t>Supporting eWater</w:t>
            </w:r>
          </w:p>
        </w:tc>
      </w:tr>
      <w:tr w:rsidR="00754761" w:rsidRPr="00040579" w14:paraId="18A1BFC3" w14:textId="33FEB07D" w:rsidTr="00E414B1">
        <w:trPr>
          <w:cantSplit/>
          <w:trHeight w:val="397"/>
        </w:trPr>
        <w:tc>
          <w:tcPr>
            <w:tcW w:w="605" w:type="pct"/>
            <w:shd w:val="clear" w:color="auto" w:fill="auto"/>
          </w:tcPr>
          <w:p w14:paraId="358AE9B7" w14:textId="2A29F68A" w:rsidR="00754761" w:rsidRPr="00EB6E85" w:rsidRDefault="00754761" w:rsidP="00754761">
            <w:pPr>
              <w:contextualSpacing/>
              <w:rPr>
                <w:sz w:val="19"/>
                <w:szCs w:val="19"/>
              </w:rPr>
            </w:pPr>
            <w:r w:rsidRPr="00EB6E85">
              <w:t>‘Southern Spring Flow’</w:t>
            </w:r>
          </w:p>
        </w:tc>
        <w:tc>
          <w:tcPr>
            <w:tcW w:w="3935" w:type="pct"/>
            <w:shd w:val="clear" w:color="auto" w:fill="auto"/>
          </w:tcPr>
          <w:p w14:paraId="341880AA" w14:textId="52833C8F" w:rsidR="00EB6E85" w:rsidRPr="00EB6E85" w:rsidRDefault="00EB6E85" w:rsidP="00EB6E85">
            <w:pPr>
              <w:pStyle w:val="ListParagraph"/>
              <w:numPr>
                <w:ilvl w:val="0"/>
                <w:numId w:val="44"/>
              </w:numPr>
              <w:rPr>
                <w:sz w:val="19"/>
                <w:szCs w:val="19"/>
              </w:rPr>
            </w:pPr>
            <w:r w:rsidRPr="00EB6E85">
              <w:rPr>
                <w:sz w:val="19"/>
                <w:szCs w:val="19"/>
              </w:rPr>
              <w:t>Spring/</w:t>
            </w:r>
            <w:r>
              <w:rPr>
                <w:sz w:val="19"/>
                <w:szCs w:val="19"/>
              </w:rPr>
              <w:t>s</w:t>
            </w:r>
            <w:r w:rsidRPr="00EB6E85">
              <w:rPr>
                <w:sz w:val="19"/>
                <w:szCs w:val="19"/>
              </w:rPr>
              <w:t xml:space="preserve">ummer </w:t>
            </w:r>
            <w:r>
              <w:rPr>
                <w:sz w:val="19"/>
                <w:szCs w:val="19"/>
              </w:rPr>
              <w:t>l</w:t>
            </w:r>
            <w:r w:rsidRPr="00EB6E85">
              <w:rPr>
                <w:sz w:val="19"/>
                <w:szCs w:val="19"/>
              </w:rPr>
              <w:t xml:space="preserve">arge </w:t>
            </w:r>
            <w:r>
              <w:rPr>
                <w:sz w:val="19"/>
                <w:szCs w:val="19"/>
              </w:rPr>
              <w:t>f</w:t>
            </w:r>
            <w:r w:rsidRPr="00EB6E85">
              <w:rPr>
                <w:sz w:val="19"/>
                <w:szCs w:val="19"/>
              </w:rPr>
              <w:t>resh targeting 12–15,000 ML/d for a minimum of 10 days, for faster flowing fish habitat, improved groundwater and surface water quality, increased golden and silver perch spawning response and aquatic productivity.</w:t>
            </w:r>
          </w:p>
          <w:p w14:paraId="5DD509A0" w14:textId="716B5164" w:rsidR="00EB6E85" w:rsidRPr="00EB6E85" w:rsidRDefault="00EB6E85" w:rsidP="00EB6E85">
            <w:pPr>
              <w:pStyle w:val="ListParagraph"/>
              <w:numPr>
                <w:ilvl w:val="0"/>
                <w:numId w:val="43"/>
              </w:numPr>
              <w:rPr>
                <w:sz w:val="19"/>
                <w:szCs w:val="19"/>
              </w:rPr>
            </w:pPr>
            <w:r w:rsidRPr="00EB6E85">
              <w:rPr>
                <w:sz w:val="19"/>
                <w:szCs w:val="19"/>
              </w:rPr>
              <w:t>Timing of the Murray fresh/overbank pulse (Oct</w:t>
            </w:r>
            <w:r w:rsidR="006F3E39">
              <w:rPr>
                <w:sz w:val="19"/>
                <w:szCs w:val="19"/>
              </w:rPr>
              <w:t>ober–</w:t>
            </w:r>
            <w:r w:rsidRPr="00EB6E85">
              <w:rPr>
                <w:sz w:val="19"/>
                <w:szCs w:val="19"/>
              </w:rPr>
              <w:t>Dec</w:t>
            </w:r>
            <w:r w:rsidR="006F3E39">
              <w:rPr>
                <w:sz w:val="19"/>
                <w:szCs w:val="19"/>
              </w:rPr>
              <w:t>ember</w:t>
            </w:r>
            <w:r w:rsidRPr="00EB6E85">
              <w:rPr>
                <w:sz w:val="19"/>
                <w:szCs w:val="19"/>
              </w:rPr>
              <w:t>) was coordinated with the Goulburn and Murrumbidgee rivers as they main opportunity to provide for a system-scale pulse. Increased magnitude and duration of this event would provide improved outcomes, however, this would likely only be possible through high unregulated flow contributions from upstream tributaries including the Baaka (Lower-Darling).</w:t>
            </w:r>
          </w:p>
          <w:p w14:paraId="1B8279BF" w14:textId="3FC33647" w:rsidR="00EB6E85" w:rsidRPr="00EB6E85" w:rsidRDefault="00EB6E85" w:rsidP="00EB6E85">
            <w:pPr>
              <w:pStyle w:val="ListParagraph"/>
              <w:numPr>
                <w:ilvl w:val="0"/>
                <w:numId w:val="43"/>
              </w:numPr>
              <w:rPr>
                <w:sz w:val="19"/>
                <w:szCs w:val="19"/>
              </w:rPr>
            </w:pPr>
            <w:r w:rsidRPr="00EB6E85">
              <w:rPr>
                <w:sz w:val="19"/>
                <w:szCs w:val="19"/>
              </w:rPr>
              <w:t>A combination of coordinated return flows from the Murray, Murrumbidgee (TLM) and Goulburn an order at the SA border, helped to shape the flows in the Lower Murray. As a result, a flow duration of &gt;15,000 ML/d for 3 weeks was achieved at the SA border with a peak just under 18,000 ML/d.</w:t>
            </w:r>
          </w:p>
          <w:p w14:paraId="52EE4F3E" w14:textId="6481BDCA" w:rsidR="00EB6E85" w:rsidRPr="00EB6E85" w:rsidRDefault="00EB6E85" w:rsidP="00EB6E85">
            <w:pPr>
              <w:pStyle w:val="ListParagraph"/>
              <w:numPr>
                <w:ilvl w:val="0"/>
                <w:numId w:val="43"/>
              </w:numPr>
              <w:rPr>
                <w:sz w:val="19"/>
                <w:szCs w:val="19"/>
              </w:rPr>
            </w:pPr>
            <w:r w:rsidRPr="00EB6E85">
              <w:rPr>
                <w:sz w:val="19"/>
                <w:szCs w:val="19"/>
              </w:rPr>
              <w:t xml:space="preserve">The peak of the flow at the SA border was reduced by increased operational transfers from Hume and IVT delivery in the Goulburn (both of which reduced the amount of environmental water and subsequent return flows). Expert advice indicates that maximising both the height and duration of the peak flow into SA (to expand the amount of lotic habitat) will likely increase the potential for successful recruitment of native perch. </w:t>
            </w:r>
          </w:p>
          <w:p w14:paraId="62D85316" w14:textId="27F2DB1A" w:rsidR="00EB6E85" w:rsidRPr="00EB6E85" w:rsidRDefault="00EB6E85" w:rsidP="00EB6E85">
            <w:pPr>
              <w:pStyle w:val="ListParagraph"/>
              <w:numPr>
                <w:ilvl w:val="0"/>
                <w:numId w:val="43"/>
              </w:numPr>
              <w:rPr>
                <w:sz w:val="19"/>
                <w:szCs w:val="19"/>
              </w:rPr>
            </w:pPr>
            <w:r w:rsidRPr="00EB6E85">
              <w:rPr>
                <w:sz w:val="19"/>
                <w:szCs w:val="19"/>
              </w:rPr>
              <w:t>To complement returns flows, maintain the peak and slow recession of the pulse, an additional 40 GL was ordered at the SA border and delivered during early December. This water was originally planned to be delivered later as part of the summer/autumn direct trade but was brought forward to coincide with the back part of the spring pulse. The earlier release specifically aimed to support perch spawning activity in the SA Murray detected by the Flow-MER program.</w:t>
            </w:r>
          </w:p>
        </w:tc>
        <w:tc>
          <w:tcPr>
            <w:tcW w:w="459" w:type="pct"/>
          </w:tcPr>
          <w:p w14:paraId="1FF86E07" w14:textId="11B6615B" w:rsidR="00754761" w:rsidRPr="004A0458" w:rsidRDefault="00A307BC" w:rsidP="00754761">
            <w:pPr>
              <w:contextualSpacing/>
              <w:rPr>
                <w:sz w:val="19"/>
                <w:szCs w:val="19"/>
                <w:highlight w:val="yellow"/>
              </w:rPr>
            </w:pPr>
            <w:r w:rsidRPr="00A307BC">
              <w:rPr>
                <w:sz w:val="19"/>
                <w:szCs w:val="19"/>
              </w:rPr>
              <w:t>CEWO, TLM, VEWH and RMIF</w:t>
            </w:r>
          </w:p>
        </w:tc>
      </w:tr>
      <w:tr w:rsidR="00A307BC" w:rsidRPr="00040579" w14:paraId="62ABDB57" w14:textId="77777777" w:rsidTr="00E414B1">
        <w:trPr>
          <w:cantSplit/>
          <w:trHeight w:val="397"/>
        </w:trPr>
        <w:tc>
          <w:tcPr>
            <w:tcW w:w="605" w:type="pct"/>
            <w:shd w:val="clear" w:color="auto" w:fill="auto"/>
          </w:tcPr>
          <w:p w14:paraId="0A1F4C3B" w14:textId="7968E6C2" w:rsidR="00A307BC" w:rsidRPr="00EB6E85" w:rsidRDefault="00A307BC" w:rsidP="00A307BC">
            <w:pPr>
              <w:contextualSpacing/>
            </w:pPr>
            <w:r w:rsidRPr="00EB6E85">
              <w:t xml:space="preserve">Barmah-Millewa Forest </w:t>
            </w:r>
            <w:r>
              <w:t>regulator operation</w:t>
            </w:r>
          </w:p>
        </w:tc>
        <w:tc>
          <w:tcPr>
            <w:tcW w:w="3935" w:type="pct"/>
            <w:shd w:val="clear" w:color="auto" w:fill="auto"/>
          </w:tcPr>
          <w:p w14:paraId="48698D1F" w14:textId="1EF8E49D" w:rsidR="00A307BC" w:rsidRPr="00EB6E85" w:rsidRDefault="00A307BC" w:rsidP="00A307BC">
            <w:pPr>
              <w:pStyle w:val="ListParagraph"/>
              <w:numPr>
                <w:ilvl w:val="0"/>
                <w:numId w:val="45"/>
              </w:numPr>
              <w:rPr>
                <w:sz w:val="19"/>
                <w:szCs w:val="19"/>
              </w:rPr>
            </w:pPr>
            <w:r w:rsidRPr="00EB6E85">
              <w:rPr>
                <w:sz w:val="19"/>
                <w:szCs w:val="19"/>
              </w:rPr>
              <w:t>The higher river levels from the spring watering action inundated around 25% of Barmah-Millewa Forest before returning to the Murray</w:t>
            </w:r>
            <w:r w:rsidR="002024CB">
              <w:rPr>
                <w:sz w:val="19"/>
                <w:szCs w:val="19"/>
              </w:rPr>
              <w:t xml:space="preserve"> River</w:t>
            </w:r>
            <w:r w:rsidRPr="00EB6E85">
              <w:rPr>
                <w:sz w:val="19"/>
                <w:szCs w:val="19"/>
              </w:rPr>
              <w:t xml:space="preserve">. These flows were timed to coordinate with flows from the Goulburn, Murrumbidgee and Baaka (Lower-Darling) to create a flow pulse along the Murray </w:t>
            </w:r>
            <w:r w:rsidR="002024CB" w:rsidRPr="00EB6E85">
              <w:rPr>
                <w:sz w:val="19"/>
                <w:szCs w:val="19"/>
              </w:rPr>
              <w:t xml:space="preserve">River </w:t>
            </w:r>
            <w:r w:rsidRPr="00EB6E85">
              <w:rPr>
                <w:sz w:val="19"/>
                <w:szCs w:val="19"/>
              </w:rPr>
              <w:t>from Yarrawonga the Coorong in South Australia.</w:t>
            </w:r>
          </w:p>
          <w:p w14:paraId="1457C6CA" w14:textId="77777777" w:rsidR="00A307BC" w:rsidRPr="00EB6E85" w:rsidRDefault="00A307BC" w:rsidP="00A307BC">
            <w:pPr>
              <w:pStyle w:val="ListParagraph"/>
              <w:numPr>
                <w:ilvl w:val="0"/>
                <w:numId w:val="45"/>
              </w:numPr>
              <w:rPr>
                <w:sz w:val="19"/>
                <w:szCs w:val="19"/>
              </w:rPr>
            </w:pPr>
            <w:r w:rsidRPr="00EB6E85">
              <w:rPr>
                <w:sz w:val="19"/>
                <w:szCs w:val="19"/>
              </w:rPr>
              <w:t>Deliveries to the Barmah-Millewa forest (between August and December) were provided via various combinations of translucent regulator delivery, followed by overbank flows, then a return to translucent regulators with a total 31,834 ML delivered. This volume includes a small additional in-channel flow that was delivered to Barmah Forest between December and February to support waterbird breeding.</w:t>
            </w:r>
          </w:p>
          <w:p w14:paraId="0671F5C6" w14:textId="77777777" w:rsidR="00A307BC" w:rsidRPr="00EB6E85" w:rsidRDefault="00A307BC" w:rsidP="00A307BC">
            <w:pPr>
              <w:pStyle w:val="ListParagraph"/>
              <w:numPr>
                <w:ilvl w:val="0"/>
                <w:numId w:val="45"/>
              </w:numPr>
              <w:rPr>
                <w:sz w:val="19"/>
                <w:szCs w:val="19"/>
              </w:rPr>
            </w:pPr>
            <w:r w:rsidRPr="00EB6E85">
              <w:rPr>
                <w:sz w:val="19"/>
                <w:szCs w:val="19"/>
              </w:rPr>
              <w:t xml:space="preserve">On 14 August 2020 environmental water holders decided to open regulators on both sides of the Barmah-Millewa forest as part of the planned in-channel open regulator strategy. Regulators were opened before flows exceeded 5,000 ML/d downstream of Yarrawonga to avoid delivery of a potentially damaging surge of water entering the creek network within the forest. </w:t>
            </w:r>
          </w:p>
          <w:p w14:paraId="6DBC2110" w14:textId="5CEE5DDB" w:rsidR="00A307BC" w:rsidRPr="00EB6E85" w:rsidRDefault="00A307BC" w:rsidP="00A307BC">
            <w:pPr>
              <w:pStyle w:val="ListParagraph"/>
              <w:numPr>
                <w:ilvl w:val="0"/>
                <w:numId w:val="44"/>
              </w:numPr>
              <w:rPr>
                <w:sz w:val="19"/>
                <w:szCs w:val="19"/>
              </w:rPr>
            </w:pPr>
            <w:r w:rsidRPr="00EB6E85">
              <w:rPr>
                <w:sz w:val="19"/>
                <w:szCs w:val="19"/>
              </w:rPr>
              <w:t>Regulators remained open on both sides of the river till 23 December 2020 to allow native fish to exit the forest and return to the Murray. Millewa Forest (NSW) regulators were closed on 23 December 2020 while some Barmah Forest (Victoria) regulators remained open until 22 February 2021 to allow small, extended deliveries to the Boals Deadwoods wetland to support colonial waterbird breeding – mainly white and straw-necked Ibis.</w:t>
            </w:r>
          </w:p>
        </w:tc>
        <w:tc>
          <w:tcPr>
            <w:tcW w:w="459" w:type="pct"/>
          </w:tcPr>
          <w:p w14:paraId="654D5467" w14:textId="3F938BDA" w:rsidR="00A307BC" w:rsidRDefault="00A307BC" w:rsidP="00A307BC">
            <w:pPr>
              <w:contextualSpacing/>
              <w:rPr>
                <w:sz w:val="19"/>
                <w:szCs w:val="19"/>
                <w:highlight w:val="yellow"/>
              </w:rPr>
            </w:pPr>
            <w:r w:rsidRPr="00A307BC">
              <w:rPr>
                <w:sz w:val="19"/>
                <w:szCs w:val="19"/>
              </w:rPr>
              <w:t>VEWH, TLM and RMIF</w:t>
            </w:r>
          </w:p>
        </w:tc>
      </w:tr>
      <w:tr w:rsidR="00A307BC" w:rsidRPr="00040579" w14:paraId="1D599B5E" w14:textId="77777777" w:rsidTr="00E414B1">
        <w:trPr>
          <w:cantSplit/>
          <w:trHeight w:val="397"/>
        </w:trPr>
        <w:tc>
          <w:tcPr>
            <w:tcW w:w="605" w:type="pct"/>
          </w:tcPr>
          <w:p w14:paraId="42366117" w14:textId="2CA56F3C" w:rsidR="00A307BC" w:rsidRPr="00EB6E85" w:rsidRDefault="00A307BC" w:rsidP="00A307BC">
            <w:pPr>
              <w:contextualSpacing/>
              <w:rPr>
                <w:sz w:val="19"/>
                <w:szCs w:val="19"/>
              </w:rPr>
            </w:pPr>
            <w:r w:rsidRPr="00EB6E85">
              <w:t>Goulburn spring fresh</w:t>
            </w:r>
          </w:p>
        </w:tc>
        <w:tc>
          <w:tcPr>
            <w:tcW w:w="3935" w:type="pct"/>
          </w:tcPr>
          <w:p w14:paraId="0B8A5C2B" w14:textId="246C3016" w:rsidR="00033D6D" w:rsidRDefault="00033D6D" w:rsidP="00A307BC">
            <w:pPr>
              <w:pStyle w:val="ListParagraph"/>
              <w:numPr>
                <w:ilvl w:val="0"/>
                <w:numId w:val="42"/>
              </w:numPr>
              <w:rPr>
                <w:sz w:val="19"/>
                <w:szCs w:val="19"/>
              </w:rPr>
            </w:pPr>
            <w:r w:rsidRPr="00033D6D">
              <w:rPr>
                <w:sz w:val="19"/>
                <w:szCs w:val="19"/>
              </w:rPr>
              <w:t>Wet conditions from May 2020 continued into the new water year with high natural flows negating the need for a winter fresh and e-water used to extend a natural flow in October to deliver a spring fresh.</w:t>
            </w:r>
          </w:p>
          <w:p w14:paraId="657D85A5" w14:textId="17A59E9A" w:rsidR="00033D6D" w:rsidRDefault="006F3E39" w:rsidP="00A307BC">
            <w:pPr>
              <w:pStyle w:val="ListParagraph"/>
              <w:numPr>
                <w:ilvl w:val="0"/>
                <w:numId w:val="42"/>
              </w:numPr>
              <w:rPr>
                <w:sz w:val="19"/>
                <w:szCs w:val="19"/>
              </w:rPr>
            </w:pPr>
            <w:r w:rsidRPr="006F3E39">
              <w:rPr>
                <w:sz w:val="19"/>
                <w:szCs w:val="19"/>
              </w:rPr>
              <w:t xml:space="preserve">Natural high flows at Murchison continued from June 2020 until </w:t>
            </w:r>
            <w:r>
              <w:rPr>
                <w:sz w:val="19"/>
                <w:szCs w:val="19"/>
              </w:rPr>
              <w:t>7</w:t>
            </w:r>
            <w:r w:rsidRPr="006F3E39">
              <w:rPr>
                <w:sz w:val="19"/>
                <w:szCs w:val="19"/>
              </w:rPr>
              <w:t xml:space="preserve"> Sept</w:t>
            </w:r>
            <w:r>
              <w:rPr>
                <w:sz w:val="19"/>
                <w:szCs w:val="19"/>
              </w:rPr>
              <w:t>ember</w:t>
            </w:r>
            <w:r w:rsidRPr="006F3E39">
              <w:rPr>
                <w:sz w:val="19"/>
                <w:szCs w:val="19"/>
              </w:rPr>
              <w:t xml:space="preserve"> 2020.</w:t>
            </w:r>
            <w:r>
              <w:rPr>
                <w:sz w:val="19"/>
                <w:szCs w:val="19"/>
              </w:rPr>
              <w:t xml:space="preserve"> </w:t>
            </w:r>
            <w:r w:rsidRPr="006F3E39">
              <w:rPr>
                <w:sz w:val="19"/>
                <w:szCs w:val="19"/>
              </w:rPr>
              <w:t>To slow the recession of the natural high flow, e-water was released from Murchison commencing on 8 Sept 2020.</w:t>
            </w:r>
          </w:p>
          <w:p w14:paraId="6B246025" w14:textId="33DCFE0C" w:rsidR="00A307BC" w:rsidRDefault="00A307BC" w:rsidP="00A307BC">
            <w:pPr>
              <w:pStyle w:val="ListParagraph"/>
              <w:numPr>
                <w:ilvl w:val="0"/>
                <w:numId w:val="42"/>
              </w:numPr>
              <w:rPr>
                <w:sz w:val="19"/>
                <w:szCs w:val="19"/>
              </w:rPr>
            </w:pPr>
            <w:r w:rsidRPr="00EB6E85">
              <w:rPr>
                <w:sz w:val="19"/>
                <w:szCs w:val="19"/>
              </w:rPr>
              <w:t xml:space="preserve">A series of watering actions in the Goulburn River delivered over 250 GL of environmental water from September to November (at McCoys Bridge). </w:t>
            </w:r>
            <w:r w:rsidR="006F3E39" w:rsidRPr="006F3E39">
              <w:rPr>
                <w:sz w:val="19"/>
                <w:szCs w:val="19"/>
              </w:rPr>
              <w:t>At McCoys the peak of the fresh was 9,768 ML/day on 14 Oct</w:t>
            </w:r>
            <w:r w:rsidR="006F3E39">
              <w:rPr>
                <w:sz w:val="19"/>
                <w:szCs w:val="19"/>
              </w:rPr>
              <w:t xml:space="preserve">ober. </w:t>
            </w:r>
            <w:r w:rsidRPr="00EB6E85">
              <w:rPr>
                <w:sz w:val="19"/>
                <w:szCs w:val="19"/>
              </w:rPr>
              <w:t>Additional environmental water was delivered to maintain increased baseflows for the Goulburn River both before and after the spring flows.</w:t>
            </w:r>
          </w:p>
          <w:p w14:paraId="400ADD96" w14:textId="38F8D3CF" w:rsidR="006F3E39" w:rsidRPr="00EB6E85" w:rsidRDefault="006F3E39" w:rsidP="00A307BC">
            <w:pPr>
              <w:pStyle w:val="ListParagraph"/>
              <w:numPr>
                <w:ilvl w:val="0"/>
                <w:numId w:val="42"/>
              </w:numPr>
              <w:rPr>
                <w:sz w:val="19"/>
                <w:szCs w:val="19"/>
              </w:rPr>
            </w:pPr>
            <w:r w:rsidRPr="006F3E39">
              <w:rPr>
                <w:sz w:val="19"/>
                <w:szCs w:val="19"/>
              </w:rPr>
              <w:t>IVT flows commenced on 14 Nov 2020, contributing water to the spring fresh together with CEW, VEWH and TLM.</w:t>
            </w:r>
          </w:p>
          <w:p w14:paraId="3B3784ED" w14:textId="2DAB10DE" w:rsidR="00A307BC" w:rsidRPr="00EB6E85" w:rsidRDefault="00A307BC" w:rsidP="00A307BC">
            <w:pPr>
              <w:pStyle w:val="ListParagraph"/>
              <w:numPr>
                <w:ilvl w:val="0"/>
                <w:numId w:val="42"/>
              </w:numPr>
              <w:rPr>
                <w:sz w:val="19"/>
                <w:szCs w:val="19"/>
              </w:rPr>
            </w:pPr>
            <w:r w:rsidRPr="00EB6E85">
              <w:rPr>
                <w:sz w:val="19"/>
                <w:szCs w:val="19"/>
              </w:rPr>
              <w:t xml:space="preserve">A combination of flow constraints and the delivery of Goulburn IVT </w:t>
            </w:r>
            <w:r w:rsidR="006F3E39">
              <w:rPr>
                <w:sz w:val="19"/>
                <w:szCs w:val="19"/>
              </w:rPr>
              <w:t>(</w:t>
            </w:r>
            <w:r w:rsidR="006F3E39" w:rsidRPr="006F3E39">
              <w:rPr>
                <w:sz w:val="19"/>
                <w:szCs w:val="19"/>
              </w:rPr>
              <w:t>14 Nov 2020</w:t>
            </w:r>
            <w:r w:rsidR="006F3E39">
              <w:rPr>
                <w:sz w:val="19"/>
                <w:szCs w:val="19"/>
              </w:rPr>
              <w:t>–</w:t>
            </w:r>
            <w:r w:rsidR="006F3E39" w:rsidRPr="006F3E39">
              <w:rPr>
                <w:sz w:val="19"/>
                <w:szCs w:val="19"/>
              </w:rPr>
              <w:t>27 May 2021</w:t>
            </w:r>
            <w:r w:rsidR="006F3E39">
              <w:rPr>
                <w:sz w:val="19"/>
                <w:szCs w:val="19"/>
              </w:rPr>
              <w:t>)</w:t>
            </w:r>
            <w:r w:rsidR="006F3E39" w:rsidRPr="006F3E39">
              <w:rPr>
                <w:sz w:val="19"/>
                <w:szCs w:val="19"/>
              </w:rPr>
              <w:t xml:space="preserve"> </w:t>
            </w:r>
            <w:r w:rsidRPr="00EB6E85">
              <w:rPr>
                <w:sz w:val="19"/>
                <w:szCs w:val="19"/>
              </w:rPr>
              <w:t xml:space="preserve"> displaced environmental water from the hydrograph. Both of these issues result</w:t>
            </w:r>
            <w:r w:rsidR="00E414B1">
              <w:rPr>
                <w:sz w:val="19"/>
                <w:szCs w:val="19"/>
              </w:rPr>
              <w:t>ed</w:t>
            </w:r>
            <w:r w:rsidRPr="00EB6E85">
              <w:rPr>
                <w:sz w:val="19"/>
                <w:szCs w:val="19"/>
              </w:rPr>
              <w:t xml:space="preserve"> in a continued reduction of flows through the Goulburn, but also into the downstream Murray and across the SA border.</w:t>
            </w:r>
          </w:p>
        </w:tc>
        <w:tc>
          <w:tcPr>
            <w:tcW w:w="459" w:type="pct"/>
          </w:tcPr>
          <w:p w14:paraId="5BF33C35" w14:textId="7A97B3CC" w:rsidR="00A307BC" w:rsidRPr="004A0458" w:rsidRDefault="008F662B" w:rsidP="00A307BC">
            <w:pPr>
              <w:contextualSpacing/>
              <w:rPr>
                <w:sz w:val="19"/>
                <w:szCs w:val="19"/>
                <w:highlight w:val="yellow"/>
              </w:rPr>
            </w:pPr>
            <w:r w:rsidRPr="008F662B">
              <w:rPr>
                <w:sz w:val="19"/>
                <w:szCs w:val="19"/>
              </w:rPr>
              <w:t>CEWO, VEWH</w:t>
            </w:r>
            <w:r w:rsidR="00F2120C">
              <w:rPr>
                <w:sz w:val="19"/>
                <w:szCs w:val="19"/>
              </w:rPr>
              <w:t>,</w:t>
            </w:r>
            <w:r w:rsidRPr="008F662B">
              <w:rPr>
                <w:sz w:val="19"/>
                <w:szCs w:val="19"/>
              </w:rPr>
              <w:t xml:space="preserve"> TLM</w:t>
            </w:r>
            <w:r w:rsidR="00F2120C">
              <w:rPr>
                <w:sz w:val="19"/>
                <w:szCs w:val="19"/>
              </w:rPr>
              <w:t xml:space="preserve"> and IVT</w:t>
            </w:r>
          </w:p>
        </w:tc>
      </w:tr>
      <w:tr w:rsidR="00A307BC" w:rsidRPr="00040579" w14:paraId="06091A6E" w14:textId="77777777" w:rsidTr="00E414B1">
        <w:trPr>
          <w:cantSplit/>
          <w:trHeight w:val="397"/>
        </w:trPr>
        <w:tc>
          <w:tcPr>
            <w:tcW w:w="605" w:type="pct"/>
          </w:tcPr>
          <w:p w14:paraId="3371B06D" w14:textId="79555145" w:rsidR="00A307BC" w:rsidRPr="00754761" w:rsidRDefault="00A307BC" w:rsidP="00A307BC">
            <w:pPr>
              <w:contextualSpacing/>
              <w:rPr>
                <w:highlight w:val="yellow"/>
              </w:rPr>
            </w:pPr>
            <w:r w:rsidRPr="00017B33">
              <w:t>Lower Darling/Baaka channel</w:t>
            </w:r>
          </w:p>
        </w:tc>
        <w:tc>
          <w:tcPr>
            <w:tcW w:w="3935" w:type="pct"/>
          </w:tcPr>
          <w:p w14:paraId="4318312D" w14:textId="44305BFB" w:rsidR="00A307BC" w:rsidRPr="00017B33" w:rsidRDefault="00A307BC" w:rsidP="00A307BC">
            <w:pPr>
              <w:pStyle w:val="ListParagraph"/>
              <w:numPr>
                <w:ilvl w:val="0"/>
                <w:numId w:val="30"/>
              </w:numPr>
              <w:rPr>
                <w:sz w:val="19"/>
                <w:szCs w:val="19"/>
              </w:rPr>
            </w:pPr>
            <w:r w:rsidRPr="00017B33">
              <w:rPr>
                <w:sz w:val="19"/>
                <w:szCs w:val="19"/>
              </w:rPr>
              <w:t>Through the first half of 2021, additional inflows (with protection of inflows in the northern NSW basin via new ‘first flush’ rules) resulted in the Menindee Lakes filling to over 1,000 gigalitres total storage (~63%), including inflows to the bottom lakes (Menindee and Cawndilla) for the first time since 2016-17. The increase in water availability provided an opportunity to deliver elevated baseflows to provide additional food resources and habitat for growing young fish that were spawned during the spring event.</w:t>
            </w:r>
          </w:p>
          <w:p w14:paraId="12236EEE" w14:textId="02B15231" w:rsidR="00A307BC" w:rsidRPr="00017B33" w:rsidRDefault="00A307BC" w:rsidP="00A307BC">
            <w:pPr>
              <w:pStyle w:val="ListParagraph"/>
              <w:numPr>
                <w:ilvl w:val="0"/>
                <w:numId w:val="30"/>
              </w:numPr>
              <w:rPr>
                <w:sz w:val="19"/>
                <w:szCs w:val="19"/>
              </w:rPr>
            </w:pPr>
            <w:r w:rsidRPr="00017B33">
              <w:rPr>
                <w:sz w:val="19"/>
                <w:szCs w:val="19"/>
              </w:rPr>
              <w:t>Commonwealth and TLM environmental allocations were used to increase minimum baseflows from 200</w:t>
            </w:r>
            <w:r>
              <w:rPr>
                <w:sz w:val="19"/>
                <w:szCs w:val="19"/>
              </w:rPr>
              <w:t> </w:t>
            </w:r>
            <w:r w:rsidRPr="00017B33">
              <w:rPr>
                <w:sz w:val="19"/>
                <w:szCs w:val="19"/>
              </w:rPr>
              <w:t>ML/day to 500 ML/day from 1 May to 30 June 2021 (and into 2021-22).</w:t>
            </w:r>
          </w:p>
          <w:p w14:paraId="79FAEFA0" w14:textId="5857C8C1" w:rsidR="00A307BC" w:rsidRPr="00017B33" w:rsidRDefault="00A307BC" w:rsidP="00A307BC">
            <w:pPr>
              <w:pStyle w:val="ListParagraph"/>
              <w:numPr>
                <w:ilvl w:val="0"/>
                <w:numId w:val="30"/>
              </w:numPr>
              <w:rPr>
                <w:sz w:val="19"/>
                <w:szCs w:val="19"/>
              </w:rPr>
            </w:pPr>
            <w:r w:rsidRPr="00017B33">
              <w:rPr>
                <w:sz w:val="19"/>
                <w:szCs w:val="19"/>
              </w:rPr>
              <w:t>As Menindee Lakes storage had risen above 640 GL during autumn and returned to MDBA control, the MDBA was able to call on releases from Menindee Lakes for operational purposes in the Murray</w:t>
            </w:r>
            <w:r>
              <w:rPr>
                <w:sz w:val="19"/>
                <w:szCs w:val="19"/>
              </w:rPr>
              <w:t xml:space="preserve"> River</w:t>
            </w:r>
            <w:r w:rsidRPr="00017B33">
              <w:rPr>
                <w:sz w:val="19"/>
                <w:szCs w:val="19"/>
              </w:rPr>
              <w:t>. Environmental releases were paused during late May/mid June while operational releases were made by MDBA.</w:t>
            </w:r>
          </w:p>
          <w:p w14:paraId="285E5EF2" w14:textId="77777777" w:rsidR="00A307BC" w:rsidRDefault="00A307BC" w:rsidP="00A307BC">
            <w:pPr>
              <w:pStyle w:val="ListParagraph"/>
              <w:numPr>
                <w:ilvl w:val="0"/>
                <w:numId w:val="30"/>
              </w:numPr>
              <w:rPr>
                <w:sz w:val="19"/>
                <w:szCs w:val="19"/>
              </w:rPr>
            </w:pPr>
            <w:r w:rsidRPr="00017B33">
              <w:rPr>
                <w:sz w:val="19"/>
                <w:szCs w:val="19"/>
              </w:rPr>
              <w:t xml:space="preserve">Environmental releases resumed once MDBA’s order was complete. </w:t>
            </w:r>
          </w:p>
          <w:p w14:paraId="541D186A" w14:textId="5F978084" w:rsidR="00A307BC" w:rsidRDefault="00A307BC" w:rsidP="00A307BC">
            <w:pPr>
              <w:pStyle w:val="ListParagraph"/>
              <w:numPr>
                <w:ilvl w:val="0"/>
                <w:numId w:val="30"/>
              </w:numPr>
              <w:rPr>
                <w:sz w:val="19"/>
                <w:szCs w:val="19"/>
              </w:rPr>
            </w:pPr>
            <w:r w:rsidRPr="00017B33">
              <w:rPr>
                <w:sz w:val="19"/>
                <w:szCs w:val="19"/>
              </w:rPr>
              <w:t>The</w:t>
            </w:r>
            <w:r>
              <w:rPr>
                <w:sz w:val="19"/>
                <w:szCs w:val="19"/>
              </w:rPr>
              <w:t xml:space="preserve"> May to June 2021</w:t>
            </w:r>
            <w:r w:rsidRPr="00017B33">
              <w:rPr>
                <w:sz w:val="19"/>
                <w:szCs w:val="19"/>
              </w:rPr>
              <w:t xml:space="preserve"> watering action </w:t>
            </w:r>
            <w:r>
              <w:rPr>
                <w:sz w:val="19"/>
                <w:szCs w:val="19"/>
              </w:rPr>
              <w:t>was</w:t>
            </w:r>
            <w:r w:rsidRPr="00017B33">
              <w:rPr>
                <w:sz w:val="19"/>
                <w:szCs w:val="19"/>
              </w:rPr>
              <w:t xml:space="preserve"> expected to:</w:t>
            </w:r>
          </w:p>
          <w:p w14:paraId="7B3E6CB3" w14:textId="77777777" w:rsidR="00A307BC" w:rsidRPr="00017B33" w:rsidRDefault="00A307BC" w:rsidP="00A307BC">
            <w:pPr>
              <w:pStyle w:val="ListParagraph"/>
              <w:numPr>
                <w:ilvl w:val="0"/>
                <w:numId w:val="31"/>
              </w:numPr>
              <w:rPr>
                <w:sz w:val="19"/>
                <w:szCs w:val="19"/>
              </w:rPr>
            </w:pPr>
            <w:r w:rsidRPr="00017B33">
              <w:rPr>
                <w:sz w:val="19"/>
                <w:szCs w:val="19"/>
              </w:rPr>
              <w:t>inundate more of the river channel, providing increased food and habitat for growing young fish.</w:t>
            </w:r>
          </w:p>
          <w:p w14:paraId="2B8A0A75" w14:textId="338932B2" w:rsidR="00A307BC" w:rsidRPr="00017B33" w:rsidRDefault="00A307BC" w:rsidP="00A307BC">
            <w:pPr>
              <w:pStyle w:val="ListParagraph"/>
              <w:numPr>
                <w:ilvl w:val="0"/>
                <w:numId w:val="31"/>
              </w:numPr>
              <w:rPr>
                <w:sz w:val="19"/>
                <w:szCs w:val="19"/>
              </w:rPr>
            </w:pPr>
            <w:r w:rsidRPr="00017B33">
              <w:rPr>
                <w:sz w:val="19"/>
                <w:szCs w:val="19"/>
              </w:rPr>
              <w:t>support the connection between the north and south of the Basin by ensuring some of the increased flows</w:t>
            </w:r>
            <w:r>
              <w:rPr>
                <w:sz w:val="19"/>
                <w:szCs w:val="19"/>
              </w:rPr>
              <w:t xml:space="preserve"> </w:t>
            </w:r>
            <w:r w:rsidRPr="00017B33">
              <w:rPr>
                <w:sz w:val="19"/>
                <w:szCs w:val="19"/>
              </w:rPr>
              <w:t>coming down the Barwon-Darling River make it all the way to the Murray River.</w:t>
            </w:r>
          </w:p>
        </w:tc>
        <w:tc>
          <w:tcPr>
            <w:tcW w:w="459" w:type="pct"/>
          </w:tcPr>
          <w:p w14:paraId="69C00191" w14:textId="71D5371F" w:rsidR="00A307BC" w:rsidRPr="004A0458" w:rsidRDefault="00A307BC" w:rsidP="00A307BC">
            <w:pPr>
              <w:contextualSpacing/>
              <w:rPr>
                <w:sz w:val="19"/>
                <w:szCs w:val="19"/>
                <w:highlight w:val="yellow"/>
              </w:rPr>
            </w:pPr>
            <w:r w:rsidRPr="00017B33">
              <w:rPr>
                <w:sz w:val="19"/>
                <w:szCs w:val="19"/>
              </w:rPr>
              <w:t>CEW</w:t>
            </w:r>
            <w:r>
              <w:rPr>
                <w:sz w:val="19"/>
                <w:szCs w:val="19"/>
              </w:rPr>
              <w:t xml:space="preserve"> and</w:t>
            </w:r>
            <w:r w:rsidRPr="00017B33">
              <w:rPr>
                <w:sz w:val="19"/>
                <w:szCs w:val="19"/>
              </w:rPr>
              <w:t xml:space="preserve"> TLM</w:t>
            </w:r>
          </w:p>
        </w:tc>
      </w:tr>
    </w:tbl>
    <w:p w14:paraId="6170D128" w14:textId="77777777" w:rsidR="002117A9" w:rsidRPr="00780E4C" w:rsidRDefault="002117A9" w:rsidP="00BB6D22">
      <w:pPr>
        <w:spacing w:before="0" w:after="0"/>
        <w:rPr>
          <w:i/>
          <w:sz w:val="24"/>
          <w:szCs w:val="24"/>
          <w:highlight w:val="yellow"/>
        </w:rPr>
      </w:pPr>
    </w:p>
    <w:p w14:paraId="728D3C56" w14:textId="77777777" w:rsidR="002117A9" w:rsidRDefault="002117A9" w:rsidP="00BB6D22">
      <w:pPr>
        <w:rPr>
          <w:b/>
          <w:i/>
          <w:color w:val="44546A" w:themeColor="text2"/>
          <w:sz w:val="24"/>
          <w:szCs w:val="24"/>
          <w:highlight w:val="yellow"/>
        </w:rPr>
        <w:sectPr w:rsidR="002117A9" w:rsidSect="002117A9">
          <w:pgSz w:w="16838" w:h="11906" w:orient="landscape"/>
          <w:pgMar w:top="1440" w:right="1440" w:bottom="1440" w:left="1440" w:header="709" w:footer="709" w:gutter="0"/>
          <w:cols w:space="708"/>
          <w:docGrid w:linePitch="360"/>
        </w:sectPr>
      </w:pPr>
    </w:p>
    <w:p w14:paraId="33E703B3" w14:textId="338E8138" w:rsidR="00BB6D22" w:rsidRDefault="00BB6D22" w:rsidP="00BB6D22">
      <w:pPr>
        <w:pStyle w:val="Heading1"/>
        <w:numPr>
          <w:ilvl w:val="0"/>
          <w:numId w:val="0"/>
        </w:numPr>
        <w:ind w:left="851" w:hanging="851"/>
      </w:pPr>
      <w:bookmarkStart w:id="413" w:name="_Toc3558349"/>
      <w:bookmarkStart w:id="414" w:name="_Toc101963788"/>
      <w:r w:rsidRPr="00DF1502">
        <w:t xml:space="preserve">Appendix </w:t>
      </w:r>
      <w:r w:rsidR="008849C5">
        <w:t>C</w:t>
      </w:r>
      <w:r w:rsidRPr="00DF1502">
        <w:t xml:space="preserve">: </w:t>
      </w:r>
      <w:r>
        <w:t>DEW evaluation questions</w:t>
      </w:r>
      <w:bookmarkEnd w:id="413"/>
      <w:bookmarkEnd w:id="414"/>
    </w:p>
    <w:p w14:paraId="4085AE96" w14:textId="39DA61B0" w:rsidR="00BB6D22" w:rsidRDefault="00BB6D22" w:rsidP="004C3BA1">
      <w:pPr>
        <w:pStyle w:val="Captions"/>
      </w:pPr>
      <w:r w:rsidRPr="00D7222B">
        <w:t>T</w:t>
      </w:r>
      <w:r w:rsidR="008849C5">
        <w:t>able C</w:t>
      </w:r>
      <w:r>
        <w:t>1.</w:t>
      </w:r>
      <w:r w:rsidRPr="00D7222B">
        <w:t xml:space="preserve"> </w:t>
      </w:r>
      <w:r w:rsidR="00124C16">
        <w:t>DEW</w:t>
      </w:r>
      <w:r w:rsidR="00124C16" w:rsidRPr="00D7222B">
        <w:t xml:space="preserve"> short-term (o</w:t>
      </w:r>
      <w:r w:rsidR="00124C16">
        <w:t xml:space="preserve">ne-year) </w:t>
      </w:r>
      <w:r w:rsidR="00124C16" w:rsidRPr="00D417C9">
        <w:t xml:space="preserve">and long-term (five-year) </w:t>
      </w:r>
      <w:r w:rsidR="00124C16">
        <w:t>evaluation questions for CEWO LTIM/MER</w:t>
      </w:r>
      <w:r w:rsidR="00124C16" w:rsidRPr="00D7222B">
        <w:t xml:space="preserve"> indicators. Evaluation questions are </w:t>
      </w:r>
      <w:r w:rsidR="00124C16">
        <w:t>based on ecological targets from the Long-Term Environmental Watering Plan (LTWP) for the South Australian Murray</w:t>
      </w:r>
      <w:r w:rsidR="00124C16" w:rsidRPr="00867B05">
        <w:t xml:space="preserve"> </w:t>
      </w:r>
      <w:r w:rsidR="00124C16">
        <w:t>River and Basin Plan Matter 8 report</w:t>
      </w:r>
      <w:r w:rsidR="00124C16" w:rsidRPr="00D7222B">
        <w:t>.</w:t>
      </w:r>
      <w:r w:rsidR="00124C16">
        <w:t xml:space="preserve"> DEW</w:t>
      </w:r>
      <w:r w:rsidR="00124C16" w:rsidRPr="00F76FD2">
        <w:t xml:space="preserve"> evaluation questions serve as ‘additional’ questions as there may be some CEWO questions</w:t>
      </w:r>
      <w:r w:rsidR="00124C16">
        <w:t xml:space="preserve"> that are also relevant to DEW</w:t>
      </w:r>
      <w:r w:rsidR="00124C16" w:rsidRPr="00F76FD2">
        <w:t>’s targets from the LTWP</w:t>
      </w:r>
      <w:r w:rsidR="00124C16">
        <w:t xml:space="preserve"> and/or the Matter 8 report</w:t>
      </w:r>
      <w:r w:rsidR="00124C16" w:rsidRPr="00F76FD2">
        <w:t>.</w:t>
      </w:r>
      <w:r w:rsidR="00124C16">
        <w:t xml:space="preserve"> CEW = Commonwealth environmental water; eWater = environmental water</w:t>
      </w:r>
      <w:r w:rsidR="00124C16" w:rsidRPr="000D022A">
        <w:t>.</w:t>
      </w:r>
    </w:p>
    <w:p w14:paraId="4AEF9EEC" w14:textId="77777777" w:rsidR="00DE29C8" w:rsidRPr="00107534" w:rsidRDefault="00DE29C8" w:rsidP="00DE29C8">
      <w:pPr>
        <w:pStyle w:val="NoSpacing"/>
        <w:rPr>
          <w:rFonts w:ascii="Century Gothic" w:hAnsi="Century Gothic"/>
          <w:sz w:val="19"/>
          <w:szCs w:val="19"/>
        </w:rPr>
      </w:pPr>
      <w:r w:rsidRPr="00107534">
        <w:rPr>
          <w:rFonts w:ascii="Century Gothic" w:hAnsi="Century Gothic"/>
          <w:sz w:val="19"/>
          <w:szCs w:val="19"/>
        </w:rPr>
        <w:t>Contribution</w:t>
      </w:r>
      <w:r>
        <w:rPr>
          <w:rFonts w:ascii="Century Gothic" w:hAnsi="Century Gothic"/>
          <w:sz w:val="19"/>
          <w:szCs w:val="19"/>
        </w:rPr>
        <w:t xml:space="preserve"> (t</w:t>
      </w:r>
      <w:r w:rsidRPr="003127BA">
        <w:rPr>
          <w:rFonts w:ascii="Century Gothic" w:hAnsi="Century Gothic"/>
          <w:sz w:val="19"/>
          <w:szCs w:val="19"/>
        </w:rPr>
        <w:t>o what extent CEW contributed towards the outcome</w:t>
      </w:r>
      <w:r>
        <w:rPr>
          <w:rFonts w:ascii="Century Gothic" w:hAnsi="Century Gothic"/>
          <w:sz w:val="19"/>
          <w:szCs w:val="19"/>
        </w:rPr>
        <w:t>, with the significance of the outcome considered):</w:t>
      </w:r>
    </w:p>
    <w:tbl>
      <w:tblPr>
        <w:tblW w:w="8894" w:type="dxa"/>
        <w:tblLook w:val="04A0" w:firstRow="1" w:lastRow="0" w:firstColumn="1" w:lastColumn="0" w:noHBand="0" w:noVBand="1"/>
      </w:tblPr>
      <w:tblGrid>
        <w:gridCol w:w="236"/>
        <w:gridCol w:w="1066"/>
        <w:gridCol w:w="222"/>
        <w:gridCol w:w="1069"/>
        <w:gridCol w:w="222"/>
        <w:gridCol w:w="1704"/>
        <w:gridCol w:w="222"/>
        <w:gridCol w:w="727"/>
        <w:gridCol w:w="222"/>
        <w:gridCol w:w="1144"/>
        <w:gridCol w:w="222"/>
        <w:gridCol w:w="1838"/>
      </w:tblGrid>
      <w:tr w:rsidR="00DE29C8" w14:paraId="58F05A73" w14:textId="77777777" w:rsidTr="00820C0E">
        <w:tc>
          <w:tcPr>
            <w:tcW w:w="236" w:type="dxa"/>
            <w:shd w:val="clear" w:color="auto" w:fill="D9D9D9" w:themeFill="background1" w:themeFillShade="D9"/>
          </w:tcPr>
          <w:p w14:paraId="65B09CAC" w14:textId="77777777" w:rsidR="00DE29C8" w:rsidRPr="00D824E3" w:rsidRDefault="00DE29C8" w:rsidP="000A171E">
            <w:pPr>
              <w:contextualSpacing/>
              <w:rPr>
                <w:sz w:val="19"/>
                <w:szCs w:val="19"/>
              </w:rPr>
            </w:pPr>
          </w:p>
        </w:tc>
        <w:tc>
          <w:tcPr>
            <w:tcW w:w="1066" w:type="dxa"/>
            <w:vAlign w:val="center"/>
          </w:tcPr>
          <w:p w14:paraId="437763A0" w14:textId="77777777" w:rsidR="00DE29C8" w:rsidRPr="009306E4" w:rsidRDefault="00DE29C8" w:rsidP="000A171E">
            <w:pPr>
              <w:contextualSpacing/>
              <w:rPr>
                <w:sz w:val="19"/>
                <w:szCs w:val="19"/>
              </w:rPr>
            </w:pPr>
            <w:r w:rsidRPr="009306E4">
              <w:rPr>
                <w:sz w:val="19"/>
                <w:szCs w:val="19"/>
              </w:rPr>
              <w:t>Unknown</w:t>
            </w:r>
          </w:p>
        </w:tc>
        <w:tc>
          <w:tcPr>
            <w:tcW w:w="222" w:type="dxa"/>
            <w:shd w:val="clear" w:color="auto" w:fill="FF0000"/>
            <w:vAlign w:val="center"/>
          </w:tcPr>
          <w:p w14:paraId="5635D59A" w14:textId="77777777" w:rsidR="00DE29C8" w:rsidRPr="009306E4" w:rsidRDefault="00DE29C8" w:rsidP="000A171E">
            <w:pPr>
              <w:contextualSpacing/>
              <w:rPr>
                <w:sz w:val="19"/>
                <w:szCs w:val="19"/>
              </w:rPr>
            </w:pPr>
          </w:p>
        </w:tc>
        <w:tc>
          <w:tcPr>
            <w:tcW w:w="1069" w:type="dxa"/>
            <w:vAlign w:val="center"/>
          </w:tcPr>
          <w:p w14:paraId="6A506509" w14:textId="77777777" w:rsidR="00DE29C8" w:rsidRPr="009306E4" w:rsidRDefault="00DE29C8" w:rsidP="000A171E">
            <w:pPr>
              <w:contextualSpacing/>
              <w:rPr>
                <w:sz w:val="19"/>
                <w:szCs w:val="19"/>
              </w:rPr>
            </w:pPr>
            <w:r w:rsidRPr="009306E4">
              <w:rPr>
                <w:sz w:val="19"/>
                <w:szCs w:val="19"/>
              </w:rPr>
              <w:t>Negative</w:t>
            </w:r>
          </w:p>
        </w:tc>
        <w:tc>
          <w:tcPr>
            <w:tcW w:w="222" w:type="dxa"/>
            <w:shd w:val="clear" w:color="auto" w:fill="E2EFD9" w:themeFill="accent6" w:themeFillTint="33"/>
            <w:vAlign w:val="center"/>
          </w:tcPr>
          <w:p w14:paraId="29410049" w14:textId="77777777" w:rsidR="00DE29C8" w:rsidRPr="009306E4" w:rsidRDefault="00DE29C8" w:rsidP="000A171E">
            <w:pPr>
              <w:contextualSpacing/>
              <w:rPr>
                <w:sz w:val="19"/>
                <w:szCs w:val="19"/>
              </w:rPr>
            </w:pPr>
          </w:p>
        </w:tc>
        <w:tc>
          <w:tcPr>
            <w:tcW w:w="1704" w:type="dxa"/>
            <w:vAlign w:val="center"/>
          </w:tcPr>
          <w:p w14:paraId="3DB4A738" w14:textId="77777777" w:rsidR="00DE29C8" w:rsidRPr="009306E4" w:rsidRDefault="00DE29C8" w:rsidP="000A171E">
            <w:pPr>
              <w:contextualSpacing/>
              <w:rPr>
                <w:sz w:val="19"/>
                <w:szCs w:val="19"/>
              </w:rPr>
            </w:pPr>
            <w:r>
              <w:rPr>
                <w:sz w:val="19"/>
                <w:szCs w:val="19"/>
              </w:rPr>
              <w:t>None/n</w:t>
            </w:r>
            <w:r w:rsidRPr="009306E4">
              <w:rPr>
                <w:sz w:val="19"/>
                <w:szCs w:val="19"/>
              </w:rPr>
              <w:t>egligible</w:t>
            </w:r>
          </w:p>
        </w:tc>
        <w:tc>
          <w:tcPr>
            <w:tcW w:w="222" w:type="dxa"/>
            <w:shd w:val="clear" w:color="auto" w:fill="A8D08D" w:themeFill="accent6" w:themeFillTint="99"/>
            <w:vAlign w:val="center"/>
          </w:tcPr>
          <w:p w14:paraId="567FD9BF" w14:textId="77777777" w:rsidR="00DE29C8" w:rsidRPr="009306E4" w:rsidRDefault="00DE29C8" w:rsidP="000A171E">
            <w:pPr>
              <w:contextualSpacing/>
              <w:rPr>
                <w:sz w:val="19"/>
                <w:szCs w:val="19"/>
              </w:rPr>
            </w:pPr>
          </w:p>
        </w:tc>
        <w:tc>
          <w:tcPr>
            <w:tcW w:w="727" w:type="dxa"/>
            <w:vAlign w:val="center"/>
          </w:tcPr>
          <w:p w14:paraId="01D15C64" w14:textId="77777777" w:rsidR="00DE29C8" w:rsidRPr="009306E4" w:rsidRDefault="00DE29C8" w:rsidP="000A171E">
            <w:pPr>
              <w:contextualSpacing/>
              <w:rPr>
                <w:sz w:val="19"/>
                <w:szCs w:val="19"/>
              </w:rPr>
            </w:pPr>
            <w:r w:rsidRPr="009306E4">
              <w:rPr>
                <w:sz w:val="19"/>
                <w:szCs w:val="19"/>
              </w:rPr>
              <w:t>Minor</w:t>
            </w:r>
          </w:p>
        </w:tc>
        <w:tc>
          <w:tcPr>
            <w:tcW w:w="222" w:type="dxa"/>
            <w:shd w:val="clear" w:color="auto" w:fill="70AD47" w:themeFill="accent6"/>
            <w:vAlign w:val="center"/>
          </w:tcPr>
          <w:p w14:paraId="57D2204C" w14:textId="77777777" w:rsidR="00DE29C8" w:rsidRPr="009306E4" w:rsidRDefault="00DE29C8" w:rsidP="000A171E">
            <w:pPr>
              <w:contextualSpacing/>
              <w:rPr>
                <w:sz w:val="19"/>
                <w:szCs w:val="19"/>
              </w:rPr>
            </w:pPr>
          </w:p>
        </w:tc>
        <w:tc>
          <w:tcPr>
            <w:tcW w:w="1144" w:type="dxa"/>
            <w:vAlign w:val="center"/>
          </w:tcPr>
          <w:p w14:paraId="332DF7C0" w14:textId="77777777" w:rsidR="00DE29C8" w:rsidRPr="009306E4" w:rsidRDefault="00DE29C8" w:rsidP="000A171E">
            <w:pPr>
              <w:contextualSpacing/>
              <w:rPr>
                <w:sz w:val="19"/>
                <w:szCs w:val="19"/>
              </w:rPr>
            </w:pPr>
            <w:r>
              <w:rPr>
                <w:sz w:val="19"/>
                <w:szCs w:val="19"/>
              </w:rPr>
              <w:t>Moderate</w:t>
            </w:r>
          </w:p>
        </w:tc>
        <w:tc>
          <w:tcPr>
            <w:tcW w:w="222" w:type="dxa"/>
            <w:shd w:val="clear" w:color="auto" w:fill="2E74B5" w:themeFill="accent1" w:themeFillShade="BF"/>
          </w:tcPr>
          <w:p w14:paraId="05866010" w14:textId="77777777" w:rsidR="00DE29C8" w:rsidRPr="009306E4" w:rsidRDefault="00DE29C8" w:rsidP="000A171E">
            <w:pPr>
              <w:contextualSpacing/>
              <w:rPr>
                <w:sz w:val="19"/>
                <w:szCs w:val="19"/>
              </w:rPr>
            </w:pPr>
          </w:p>
        </w:tc>
        <w:tc>
          <w:tcPr>
            <w:tcW w:w="1838" w:type="dxa"/>
            <w:vAlign w:val="center"/>
          </w:tcPr>
          <w:p w14:paraId="0F1FFB17" w14:textId="77777777" w:rsidR="00DE29C8" w:rsidRPr="009306E4" w:rsidRDefault="00DE29C8" w:rsidP="000A171E">
            <w:pPr>
              <w:contextualSpacing/>
              <w:jc w:val="left"/>
              <w:rPr>
                <w:sz w:val="19"/>
                <w:szCs w:val="19"/>
              </w:rPr>
            </w:pPr>
            <w:r>
              <w:rPr>
                <w:sz w:val="19"/>
                <w:szCs w:val="19"/>
              </w:rPr>
              <w:t>S</w:t>
            </w:r>
            <w:r w:rsidRPr="009306E4">
              <w:rPr>
                <w:sz w:val="19"/>
                <w:szCs w:val="19"/>
              </w:rPr>
              <w:t>ubstantial</w:t>
            </w:r>
          </w:p>
        </w:tc>
      </w:tr>
    </w:tbl>
    <w:p w14:paraId="24FA18DF" w14:textId="77777777" w:rsidR="00107534" w:rsidRDefault="00107534" w:rsidP="00A350F9">
      <w:pPr>
        <w:spacing w:before="0" w:after="160" w:line="259" w:lineRule="auto"/>
        <w:jc w:val="left"/>
        <w:rPr>
          <w:sz w:val="18"/>
          <w:szCs w:val="17"/>
        </w:rPr>
      </w:pPr>
    </w:p>
    <w:p w14:paraId="0819C15B" w14:textId="716F3969" w:rsidR="00A350F9" w:rsidRPr="00886886" w:rsidRDefault="00A350F9" w:rsidP="00A350F9">
      <w:pPr>
        <w:rPr>
          <w:b/>
          <w:highlight w:val="yellow"/>
          <w:lang w:val="en-US"/>
        </w:rPr>
      </w:pPr>
      <w:r w:rsidRPr="00886886">
        <w:rPr>
          <w:b/>
          <w:lang w:val="en-US"/>
        </w:rPr>
        <w:t>Hydrology (Channel) and Hydr</w:t>
      </w:r>
      <w:r w:rsidR="001522FE">
        <w:rPr>
          <w:b/>
          <w:lang w:val="en-US"/>
        </w:rPr>
        <w:t>aulic</w:t>
      </w:r>
      <w:r w:rsidRPr="00886886">
        <w:rPr>
          <w:b/>
          <w:lang w:val="en-US"/>
        </w:rPr>
        <w:t xml:space="preserve"> Regime (modelling)</w:t>
      </w:r>
    </w:p>
    <w:tbl>
      <w:tblPr>
        <w:tblW w:w="50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6"/>
        <w:gridCol w:w="850"/>
        <w:gridCol w:w="850"/>
        <w:gridCol w:w="842"/>
        <w:gridCol w:w="722"/>
        <w:gridCol w:w="817"/>
        <w:gridCol w:w="879"/>
        <w:gridCol w:w="1553"/>
      </w:tblGrid>
      <w:tr w:rsidR="002714E2" w:rsidRPr="004E0E6F" w14:paraId="4952101B" w14:textId="77777777" w:rsidTr="00993C09">
        <w:trPr>
          <w:cantSplit/>
          <w:trHeight w:val="20"/>
          <w:tblHeader/>
        </w:trPr>
        <w:tc>
          <w:tcPr>
            <w:tcW w:w="1406" w:type="pct"/>
            <w:vMerge w:val="restart"/>
            <w:tcBorders>
              <w:top w:val="single" w:sz="4" w:space="0" w:color="auto"/>
              <w:left w:val="single" w:sz="4" w:space="0" w:color="auto"/>
              <w:right w:val="single" w:sz="4" w:space="0" w:color="auto"/>
            </w:tcBorders>
          </w:tcPr>
          <w:p w14:paraId="5112BC8E" w14:textId="77777777" w:rsidR="002714E2" w:rsidRPr="004E0E6F" w:rsidRDefault="002714E2" w:rsidP="00993C09">
            <w:pPr>
              <w:pStyle w:val="TableHeading"/>
              <w:jc w:val="center"/>
              <w:rPr>
                <w:sz w:val="19"/>
                <w:szCs w:val="19"/>
              </w:rPr>
            </w:pPr>
            <w:r w:rsidRPr="004E0E6F">
              <w:rPr>
                <w:sz w:val="19"/>
                <w:szCs w:val="19"/>
              </w:rPr>
              <w:t xml:space="preserve">DEW evaluation questions </w:t>
            </w:r>
          </w:p>
        </w:tc>
        <w:tc>
          <w:tcPr>
            <w:tcW w:w="3594" w:type="pct"/>
            <w:gridSpan w:val="7"/>
            <w:tcBorders>
              <w:top w:val="single" w:sz="4" w:space="0" w:color="auto"/>
              <w:left w:val="single" w:sz="4" w:space="0" w:color="auto"/>
              <w:bottom w:val="single" w:sz="4" w:space="0" w:color="auto"/>
              <w:right w:val="single" w:sz="4" w:space="0" w:color="auto"/>
            </w:tcBorders>
            <w:vAlign w:val="bottom"/>
          </w:tcPr>
          <w:p w14:paraId="56D876CA" w14:textId="77777777" w:rsidR="002714E2" w:rsidRPr="004E0E6F" w:rsidRDefault="002714E2" w:rsidP="00993C09">
            <w:pPr>
              <w:pStyle w:val="TableHeading"/>
              <w:jc w:val="center"/>
              <w:rPr>
                <w:sz w:val="19"/>
                <w:szCs w:val="19"/>
              </w:rPr>
            </w:pPr>
            <w:r w:rsidRPr="004E0E6F">
              <w:rPr>
                <w:sz w:val="19"/>
                <w:szCs w:val="19"/>
              </w:rPr>
              <w:t xml:space="preserve">Outcomes </w:t>
            </w:r>
            <w:r>
              <w:rPr>
                <w:sz w:val="19"/>
                <w:szCs w:val="19"/>
              </w:rPr>
              <w:t>of CEW delivery (2014-15–2020-21</w:t>
            </w:r>
            <w:r w:rsidRPr="004E0E6F">
              <w:rPr>
                <w:sz w:val="19"/>
                <w:szCs w:val="19"/>
              </w:rPr>
              <w:t>)</w:t>
            </w:r>
          </w:p>
        </w:tc>
      </w:tr>
      <w:tr w:rsidR="002714E2" w:rsidRPr="004E0E6F" w14:paraId="6E25D977" w14:textId="77777777" w:rsidTr="00993C09">
        <w:trPr>
          <w:cantSplit/>
          <w:trHeight w:val="20"/>
          <w:tblHeader/>
        </w:trPr>
        <w:tc>
          <w:tcPr>
            <w:tcW w:w="1406" w:type="pct"/>
            <w:vMerge/>
            <w:tcBorders>
              <w:left w:val="single" w:sz="4" w:space="0" w:color="auto"/>
              <w:bottom w:val="single" w:sz="4" w:space="0" w:color="auto"/>
              <w:right w:val="single" w:sz="4" w:space="0" w:color="auto"/>
            </w:tcBorders>
          </w:tcPr>
          <w:p w14:paraId="6C40A4C9" w14:textId="77777777" w:rsidR="002714E2" w:rsidRPr="004E0E6F" w:rsidRDefault="002714E2" w:rsidP="00993C09">
            <w:pPr>
              <w:pStyle w:val="TableHeading"/>
              <w:jc w:val="center"/>
              <w:rPr>
                <w:sz w:val="19"/>
                <w:szCs w:val="19"/>
              </w:rPr>
            </w:pPr>
          </w:p>
        </w:tc>
        <w:tc>
          <w:tcPr>
            <w:tcW w:w="469" w:type="pct"/>
            <w:tcBorders>
              <w:top w:val="single" w:sz="4" w:space="0" w:color="auto"/>
              <w:left w:val="single" w:sz="4" w:space="0" w:color="auto"/>
              <w:bottom w:val="single" w:sz="4" w:space="0" w:color="auto"/>
            </w:tcBorders>
            <w:vAlign w:val="center"/>
          </w:tcPr>
          <w:p w14:paraId="06FEB014" w14:textId="77777777" w:rsidR="002714E2" w:rsidRPr="004E0E6F" w:rsidRDefault="002714E2" w:rsidP="00993C09">
            <w:pPr>
              <w:pStyle w:val="TableHeading"/>
              <w:jc w:val="center"/>
              <w:rPr>
                <w:sz w:val="19"/>
                <w:szCs w:val="19"/>
              </w:rPr>
            </w:pPr>
            <w:r w:rsidRPr="004E0E6F">
              <w:rPr>
                <w:sz w:val="19"/>
                <w:szCs w:val="19"/>
              </w:rPr>
              <w:t>2014-15</w:t>
            </w:r>
          </w:p>
        </w:tc>
        <w:tc>
          <w:tcPr>
            <w:tcW w:w="469" w:type="pct"/>
            <w:tcBorders>
              <w:top w:val="single" w:sz="4" w:space="0" w:color="auto"/>
              <w:bottom w:val="single" w:sz="4" w:space="0" w:color="auto"/>
            </w:tcBorders>
            <w:vAlign w:val="center"/>
          </w:tcPr>
          <w:p w14:paraId="73B5A8E2" w14:textId="77777777" w:rsidR="002714E2" w:rsidRPr="004E0E6F" w:rsidRDefault="002714E2" w:rsidP="00993C09">
            <w:pPr>
              <w:pStyle w:val="TableHeading"/>
              <w:jc w:val="center"/>
              <w:rPr>
                <w:sz w:val="19"/>
                <w:szCs w:val="19"/>
              </w:rPr>
            </w:pPr>
            <w:r w:rsidRPr="004E0E6F">
              <w:rPr>
                <w:sz w:val="19"/>
                <w:szCs w:val="19"/>
              </w:rPr>
              <w:t>2015-16</w:t>
            </w:r>
          </w:p>
        </w:tc>
        <w:tc>
          <w:tcPr>
            <w:tcW w:w="465" w:type="pct"/>
            <w:tcBorders>
              <w:top w:val="single" w:sz="4" w:space="0" w:color="auto"/>
              <w:bottom w:val="single" w:sz="4" w:space="0" w:color="auto"/>
            </w:tcBorders>
            <w:vAlign w:val="center"/>
          </w:tcPr>
          <w:p w14:paraId="1B1CDA18" w14:textId="77777777" w:rsidR="002714E2" w:rsidRPr="004E0E6F" w:rsidRDefault="002714E2" w:rsidP="00993C09">
            <w:pPr>
              <w:pStyle w:val="TableHeading"/>
              <w:jc w:val="center"/>
              <w:rPr>
                <w:sz w:val="19"/>
                <w:szCs w:val="19"/>
              </w:rPr>
            </w:pPr>
            <w:r w:rsidRPr="004E0E6F">
              <w:rPr>
                <w:sz w:val="19"/>
                <w:szCs w:val="19"/>
              </w:rPr>
              <w:t>2016-17</w:t>
            </w:r>
          </w:p>
        </w:tc>
        <w:tc>
          <w:tcPr>
            <w:tcW w:w="398" w:type="pct"/>
            <w:tcBorders>
              <w:top w:val="single" w:sz="4" w:space="0" w:color="auto"/>
              <w:bottom w:val="single" w:sz="4" w:space="0" w:color="auto"/>
            </w:tcBorders>
            <w:vAlign w:val="center"/>
          </w:tcPr>
          <w:p w14:paraId="3CE78517" w14:textId="77777777" w:rsidR="002714E2" w:rsidRPr="004E0E6F" w:rsidRDefault="002714E2" w:rsidP="00993C09">
            <w:pPr>
              <w:pStyle w:val="TableHeading"/>
              <w:jc w:val="center"/>
              <w:rPr>
                <w:sz w:val="19"/>
                <w:szCs w:val="19"/>
              </w:rPr>
            </w:pPr>
            <w:r w:rsidRPr="004E0E6F">
              <w:rPr>
                <w:sz w:val="19"/>
                <w:szCs w:val="19"/>
              </w:rPr>
              <w:t>2017-18</w:t>
            </w:r>
          </w:p>
        </w:tc>
        <w:tc>
          <w:tcPr>
            <w:tcW w:w="451" w:type="pct"/>
            <w:tcBorders>
              <w:top w:val="single" w:sz="4" w:space="0" w:color="auto"/>
              <w:bottom w:val="single" w:sz="4" w:space="0" w:color="auto"/>
            </w:tcBorders>
            <w:shd w:val="clear" w:color="auto" w:fill="auto"/>
            <w:vAlign w:val="center"/>
          </w:tcPr>
          <w:p w14:paraId="18E989F1" w14:textId="77777777" w:rsidR="002714E2" w:rsidRPr="004E0E6F" w:rsidRDefault="002714E2" w:rsidP="00993C09">
            <w:pPr>
              <w:pStyle w:val="TableHeading"/>
              <w:jc w:val="center"/>
              <w:rPr>
                <w:sz w:val="19"/>
                <w:szCs w:val="19"/>
              </w:rPr>
            </w:pPr>
            <w:r w:rsidRPr="004E0E6F">
              <w:rPr>
                <w:sz w:val="19"/>
                <w:szCs w:val="19"/>
              </w:rPr>
              <w:t>2018-19</w:t>
            </w:r>
          </w:p>
        </w:tc>
        <w:tc>
          <w:tcPr>
            <w:tcW w:w="485" w:type="pct"/>
            <w:tcBorders>
              <w:top w:val="single" w:sz="4" w:space="0" w:color="auto"/>
              <w:bottom w:val="single" w:sz="4" w:space="0" w:color="auto"/>
            </w:tcBorders>
            <w:vAlign w:val="center"/>
          </w:tcPr>
          <w:p w14:paraId="525D9A12" w14:textId="77777777" w:rsidR="002714E2" w:rsidRPr="004E0E6F" w:rsidRDefault="002714E2" w:rsidP="00993C09">
            <w:pPr>
              <w:pStyle w:val="TableHeading"/>
              <w:jc w:val="center"/>
              <w:rPr>
                <w:sz w:val="19"/>
                <w:szCs w:val="19"/>
              </w:rPr>
            </w:pPr>
            <w:r>
              <w:rPr>
                <w:sz w:val="19"/>
                <w:szCs w:val="19"/>
              </w:rPr>
              <w:t>2019-20</w:t>
            </w:r>
          </w:p>
        </w:tc>
        <w:tc>
          <w:tcPr>
            <w:tcW w:w="857" w:type="pct"/>
            <w:tcBorders>
              <w:top w:val="single" w:sz="4" w:space="0" w:color="auto"/>
              <w:bottom w:val="single" w:sz="4" w:space="0" w:color="auto"/>
            </w:tcBorders>
          </w:tcPr>
          <w:p w14:paraId="6BEC953B" w14:textId="77777777" w:rsidR="002714E2" w:rsidRDefault="002714E2" w:rsidP="00993C09">
            <w:pPr>
              <w:pStyle w:val="TableHeading"/>
              <w:jc w:val="center"/>
              <w:rPr>
                <w:sz w:val="19"/>
                <w:szCs w:val="19"/>
              </w:rPr>
            </w:pPr>
            <w:r>
              <w:rPr>
                <w:sz w:val="19"/>
                <w:szCs w:val="19"/>
              </w:rPr>
              <w:t>2020-21</w:t>
            </w:r>
          </w:p>
        </w:tc>
      </w:tr>
      <w:tr w:rsidR="002714E2" w:rsidRPr="004E0E6F" w14:paraId="03113B1C" w14:textId="77777777" w:rsidTr="00993C09">
        <w:trPr>
          <w:cantSplit/>
          <w:trHeight w:val="20"/>
        </w:trPr>
        <w:tc>
          <w:tcPr>
            <w:tcW w:w="1406" w:type="pct"/>
            <w:vMerge w:val="restart"/>
            <w:tcBorders>
              <w:top w:val="single" w:sz="4" w:space="0" w:color="auto"/>
              <w:left w:val="single" w:sz="4" w:space="0" w:color="auto"/>
              <w:right w:val="single" w:sz="4" w:space="0" w:color="auto"/>
            </w:tcBorders>
          </w:tcPr>
          <w:p w14:paraId="3D148CC3" w14:textId="77777777" w:rsidR="002714E2" w:rsidRPr="004E0E6F" w:rsidRDefault="002714E2" w:rsidP="00993C09">
            <w:pPr>
              <w:pStyle w:val="TableHeading"/>
              <w:jc w:val="left"/>
              <w:rPr>
                <w:b w:val="0"/>
                <w:sz w:val="19"/>
                <w:szCs w:val="19"/>
              </w:rPr>
            </w:pPr>
            <w:r w:rsidRPr="00A52646">
              <w:rPr>
                <w:b w:val="0"/>
                <w:sz w:val="19"/>
                <w:szCs w:val="19"/>
              </w:rPr>
              <w:t xml:space="preserve">To what extent did </w:t>
            </w:r>
            <w:r w:rsidRPr="004E0E6F">
              <w:rPr>
                <w:b w:val="0"/>
                <w:sz w:val="19"/>
                <w:szCs w:val="19"/>
              </w:rPr>
              <w:t xml:space="preserve">CEW contribute to meeting the EWRs (all metrics) for the </w:t>
            </w:r>
            <w:r>
              <w:rPr>
                <w:b w:val="0"/>
                <w:sz w:val="19"/>
                <w:szCs w:val="19"/>
              </w:rPr>
              <w:t xml:space="preserve">Lower Murray </w:t>
            </w:r>
            <w:r w:rsidRPr="004E0E6F">
              <w:rPr>
                <w:b w:val="0"/>
                <w:sz w:val="19"/>
                <w:szCs w:val="19"/>
              </w:rPr>
              <w:t>Channel?</w:t>
            </w:r>
          </w:p>
        </w:tc>
        <w:tc>
          <w:tcPr>
            <w:tcW w:w="46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868E948" w14:textId="77777777" w:rsidR="002714E2" w:rsidRPr="004E0E6F" w:rsidRDefault="002714E2" w:rsidP="00993C09">
            <w:pPr>
              <w:pStyle w:val="TableHeading"/>
              <w:jc w:val="left"/>
              <w:rPr>
                <w:sz w:val="19"/>
                <w:szCs w:val="19"/>
              </w:rPr>
            </w:pPr>
            <w:r>
              <w:rPr>
                <w:sz w:val="19"/>
                <w:szCs w:val="19"/>
              </w:rPr>
              <w:t>0</w:t>
            </w:r>
            <w:r w:rsidRPr="004E0E6F">
              <w:rPr>
                <w:sz w:val="19"/>
                <w:szCs w:val="19"/>
              </w:rPr>
              <w:t xml:space="preserve">/0 </w:t>
            </w:r>
          </w:p>
        </w:tc>
        <w:tc>
          <w:tcPr>
            <w:tcW w:w="46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BCA6432" w14:textId="77777777" w:rsidR="002714E2" w:rsidRPr="004E0E6F" w:rsidRDefault="002714E2" w:rsidP="00993C09">
            <w:pPr>
              <w:pStyle w:val="TableHeading"/>
              <w:jc w:val="left"/>
              <w:rPr>
                <w:sz w:val="19"/>
                <w:szCs w:val="19"/>
              </w:rPr>
            </w:pPr>
            <w:r w:rsidRPr="004E0E6F">
              <w:rPr>
                <w:sz w:val="19"/>
                <w:szCs w:val="19"/>
              </w:rPr>
              <w:t>1/0</w:t>
            </w:r>
          </w:p>
        </w:tc>
        <w:tc>
          <w:tcPr>
            <w:tcW w:w="46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72A15D" w14:textId="77777777" w:rsidR="002714E2" w:rsidRPr="004E0E6F" w:rsidRDefault="002714E2" w:rsidP="00993C09">
            <w:pPr>
              <w:pStyle w:val="TableHeading"/>
              <w:jc w:val="left"/>
              <w:rPr>
                <w:sz w:val="19"/>
                <w:szCs w:val="19"/>
              </w:rPr>
            </w:pPr>
            <w:r w:rsidRPr="004E0E6F">
              <w:rPr>
                <w:sz w:val="19"/>
                <w:szCs w:val="19"/>
              </w:rPr>
              <w:t>9/9</w:t>
            </w:r>
          </w:p>
        </w:tc>
        <w:tc>
          <w:tcPr>
            <w:tcW w:w="398"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EA54665" w14:textId="77777777" w:rsidR="002714E2" w:rsidRPr="004E0E6F" w:rsidRDefault="002714E2" w:rsidP="00993C09">
            <w:pPr>
              <w:pStyle w:val="TableHeading"/>
              <w:jc w:val="left"/>
              <w:rPr>
                <w:sz w:val="19"/>
                <w:szCs w:val="19"/>
              </w:rPr>
            </w:pPr>
            <w:r w:rsidRPr="004E0E6F">
              <w:rPr>
                <w:sz w:val="19"/>
                <w:szCs w:val="19"/>
              </w:rPr>
              <w:t>1/0</w:t>
            </w:r>
          </w:p>
        </w:tc>
        <w:tc>
          <w:tcPr>
            <w:tcW w:w="45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58A9A30" w14:textId="77777777" w:rsidR="002714E2" w:rsidRPr="004E0E6F" w:rsidRDefault="002714E2" w:rsidP="00993C09">
            <w:pPr>
              <w:pStyle w:val="TableHeading"/>
              <w:jc w:val="left"/>
              <w:rPr>
                <w:sz w:val="19"/>
                <w:szCs w:val="19"/>
              </w:rPr>
            </w:pPr>
            <w:r>
              <w:rPr>
                <w:sz w:val="19"/>
                <w:szCs w:val="19"/>
              </w:rPr>
              <w:t>0/0</w:t>
            </w:r>
          </w:p>
        </w:tc>
        <w:tc>
          <w:tcPr>
            <w:tcW w:w="48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149E2E7" w14:textId="77777777" w:rsidR="002714E2" w:rsidRDefault="002714E2" w:rsidP="00993C09">
            <w:pPr>
              <w:pStyle w:val="TableHeading"/>
              <w:jc w:val="left"/>
              <w:rPr>
                <w:sz w:val="19"/>
                <w:szCs w:val="19"/>
              </w:rPr>
            </w:pPr>
            <w:r>
              <w:rPr>
                <w:sz w:val="19"/>
                <w:szCs w:val="19"/>
              </w:rPr>
              <w:t>0/0</w:t>
            </w:r>
          </w:p>
        </w:tc>
        <w:tc>
          <w:tcPr>
            <w:tcW w:w="85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A928BFD" w14:textId="77777777" w:rsidR="002714E2" w:rsidRDefault="002714E2" w:rsidP="00993C09">
            <w:pPr>
              <w:pStyle w:val="TableHeading"/>
              <w:jc w:val="left"/>
              <w:rPr>
                <w:sz w:val="19"/>
                <w:szCs w:val="19"/>
              </w:rPr>
            </w:pPr>
            <w:r w:rsidRPr="0051374A">
              <w:rPr>
                <w:sz w:val="19"/>
                <w:szCs w:val="19"/>
              </w:rPr>
              <w:t>1 EWR met with CEW/0 EWR met without</w:t>
            </w:r>
            <w:r w:rsidRPr="004A0458">
              <w:rPr>
                <w:sz w:val="19"/>
                <w:szCs w:val="19"/>
              </w:rPr>
              <w:t xml:space="preserve"> CEW</w:t>
            </w:r>
          </w:p>
        </w:tc>
      </w:tr>
      <w:tr w:rsidR="002714E2" w:rsidRPr="004E0E6F" w14:paraId="2AA3B61C" w14:textId="77777777" w:rsidTr="00993C09">
        <w:trPr>
          <w:cantSplit/>
          <w:trHeight w:val="20"/>
        </w:trPr>
        <w:tc>
          <w:tcPr>
            <w:tcW w:w="1406" w:type="pct"/>
            <w:vMerge/>
            <w:tcBorders>
              <w:left w:val="single" w:sz="4" w:space="0" w:color="auto"/>
              <w:bottom w:val="single" w:sz="4" w:space="0" w:color="auto"/>
              <w:right w:val="single" w:sz="4" w:space="0" w:color="auto"/>
            </w:tcBorders>
          </w:tcPr>
          <w:p w14:paraId="47155E9D" w14:textId="77777777" w:rsidR="002714E2" w:rsidRPr="004E0E6F" w:rsidRDefault="002714E2" w:rsidP="00993C09">
            <w:pPr>
              <w:pStyle w:val="TableHeading"/>
              <w:jc w:val="left"/>
              <w:rPr>
                <w:b w:val="0"/>
                <w:sz w:val="19"/>
                <w:szCs w:val="19"/>
              </w:rPr>
            </w:pPr>
          </w:p>
        </w:tc>
        <w:tc>
          <w:tcPr>
            <w:tcW w:w="3594" w:type="pct"/>
            <w:gridSpan w:val="7"/>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9DB84C8" w14:textId="77777777" w:rsidR="002714E2" w:rsidRPr="00245E32" w:rsidRDefault="002714E2" w:rsidP="00993C09">
            <w:pPr>
              <w:pStyle w:val="TableHeading"/>
              <w:jc w:val="left"/>
              <w:rPr>
                <w:b w:val="0"/>
                <w:sz w:val="19"/>
                <w:szCs w:val="19"/>
              </w:rPr>
            </w:pPr>
            <w:r w:rsidRPr="00245E32">
              <w:rPr>
                <w:b w:val="0"/>
                <w:sz w:val="19"/>
                <w:szCs w:val="19"/>
              </w:rPr>
              <w:t xml:space="preserve">The 10,000 ML/d for 60 days Environmental Watering Requirement (EWR) was met in 2020-21, if the variability component of the EWR is taken into account. Without CEW contributions this EWR would not have been met. </w:t>
            </w:r>
          </w:p>
          <w:p w14:paraId="1581ABAD" w14:textId="77777777" w:rsidR="002714E2" w:rsidRPr="00245E32" w:rsidRDefault="002714E2" w:rsidP="00993C09">
            <w:pPr>
              <w:pStyle w:val="TableHeading"/>
              <w:jc w:val="left"/>
              <w:rPr>
                <w:b w:val="0"/>
                <w:sz w:val="19"/>
                <w:szCs w:val="19"/>
              </w:rPr>
            </w:pPr>
            <w:r w:rsidRPr="00245E32">
              <w:rPr>
                <w:b w:val="0"/>
                <w:sz w:val="19"/>
                <w:szCs w:val="19"/>
              </w:rPr>
              <w:t>Total number of EWRs is 7 for the channel + 5 floodplain = 12 (DEWNR 2015).</w:t>
            </w:r>
          </w:p>
        </w:tc>
      </w:tr>
      <w:tr w:rsidR="002714E2" w:rsidRPr="004E0E6F" w14:paraId="6AF1F0B2" w14:textId="77777777" w:rsidTr="00993C09">
        <w:trPr>
          <w:cantSplit/>
          <w:trHeight w:val="20"/>
        </w:trPr>
        <w:tc>
          <w:tcPr>
            <w:tcW w:w="1406" w:type="pct"/>
            <w:vMerge w:val="restart"/>
            <w:tcBorders>
              <w:top w:val="single" w:sz="4" w:space="0" w:color="auto"/>
              <w:left w:val="single" w:sz="4" w:space="0" w:color="auto"/>
              <w:right w:val="single" w:sz="4" w:space="0" w:color="auto"/>
            </w:tcBorders>
          </w:tcPr>
          <w:p w14:paraId="658E14BB" w14:textId="77777777" w:rsidR="002714E2" w:rsidRDefault="002714E2" w:rsidP="00993C09">
            <w:pPr>
              <w:pStyle w:val="TableHeading"/>
              <w:jc w:val="left"/>
              <w:rPr>
                <w:b w:val="0"/>
                <w:sz w:val="19"/>
                <w:szCs w:val="19"/>
              </w:rPr>
            </w:pPr>
            <w:r>
              <w:rPr>
                <w:b w:val="0"/>
                <w:sz w:val="19"/>
                <w:szCs w:val="19"/>
              </w:rPr>
              <w:t>T</w:t>
            </w:r>
            <w:r w:rsidRPr="008B1EA3">
              <w:rPr>
                <w:b w:val="0"/>
                <w:sz w:val="19"/>
                <w:szCs w:val="19"/>
              </w:rPr>
              <w:t xml:space="preserve">o what extent did CEW contribute to </w:t>
            </w:r>
            <w:r>
              <w:rPr>
                <w:b w:val="0"/>
                <w:sz w:val="19"/>
                <w:szCs w:val="19"/>
              </w:rPr>
              <w:t>meeting the</w:t>
            </w:r>
            <w:r w:rsidRPr="008B1EA3">
              <w:rPr>
                <w:b w:val="0"/>
                <w:sz w:val="19"/>
                <w:szCs w:val="19"/>
              </w:rPr>
              <w:t xml:space="preserve"> expected outcome for velocity in the Lower Murray?</w:t>
            </w:r>
          </w:p>
          <w:p w14:paraId="16BE2B7E" w14:textId="77777777" w:rsidR="002714E2" w:rsidRPr="004E0E6F" w:rsidRDefault="002714E2" w:rsidP="00993C09">
            <w:pPr>
              <w:pStyle w:val="TableHeading"/>
              <w:jc w:val="left"/>
              <w:rPr>
                <w:b w:val="0"/>
                <w:sz w:val="19"/>
                <w:szCs w:val="19"/>
              </w:rPr>
            </w:pPr>
            <w:r>
              <w:rPr>
                <w:b w:val="0"/>
                <w:i/>
                <w:sz w:val="19"/>
                <w:szCs w:val="19"/>
              </w:rPr>
              <w:t>T</w:t>
            </w:r>
            <w:r w:rsidRPr="001E5FE0">
              <w:rPr>
                <w:b w:val="0"/>
                <w:i/>
                <w:sz w:val="19"/>
                <w:szCs w:val="19"/>
              </w:rPr>
              <w:t>he majority of lower third weir pools will have median cross-sectional velocities of &gt;0.3</w:t>
            </w:r>
            <w:r>
              <w:rPr>
                <w:b w:val="0"/>
                <w:i/>
                <w:sz w:val="19"/>
                <w:szCs w:val="19"/>
              </w:rPr>
              <w:t> </w:t>
            </w:r>
            <w:r w:rsidRPr="001E5FE0">
              <w:rPr>
                <w:b w:val="0"/>
                <w:i/>
                <w:sz w:val="19"/>
                <w:szCs w:val="19"/>
              </w:rPr>
              <w:t>m/s for at least 60 consecutive days between September</w:t>
            </w:r>
            <w:r>
              <w:rPr>
                <w:b w:val="0"/>
                <w:i/>
                <w:sz w:val="19"/>
                <w:szCs w:val="19"/>
              </w:rPr>
              <w:t>–</w:t>
            </w:r>
            <w:r w:rsidRPr="001E5FE0">
              <w:rPr>
                <w:b w:val="0"/>
                <w:i/>
                <w:sz w:val="19"/>
                <w:szCs w:val="19"/>
              </w:rPr>
              <w:t>March</w:t>
            </w:r>
            <w:r>
              <w:rPr>
                <w:b w:val="0"/>
                <w:i/>
                <w:sz w:val="19"/>
                <w:szCs w:val="19"/>
              </w:rPr>
              <w:t>.</w:t>
            </w:r>
          </w:p>
        </w:tc>
        <w:tc>
          <w:tcPr>
            <w:tcW w:w="46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974749" w14:textId="77777777" w:rsidR="002714E2" w:rsidRPr="004E0E6F" w:rsidRDefault="002714E2" w:rsidP="00993C09">
            <w:pPr>
              <w:pStyle w:val="TableHeading"/>
              <w:jc w:val="left"/>
              <w:rPr>
                <w:sz w:val="19"/>
                <w:szCs w:val="19"/>
              </w:rPr>
            </w:pPr>
            <w:r>
              <w:rPr>
                <w:sz w:val="19"/>
                <w:szCs w:val="19"/>
              </w:rPr>
              <w:t>0/0</w:t>
            </w:r>
          </w:p>
        </w:tc>
        <w:tc>
          <w:tcPr>
            <w:tcW w:w="46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966C12" w14:textId="77777777" w:rsidR="002714E2" w:rsidRPr="004E0E6F" w:rsidRDefault="002714E2" w:rsidP="00993C09">
            <w:pPr>
              <w:pStyle w:val="TableHeading"/>
              <w:jc w:val="left"/>
              <w:rPr>
                <w:sz w:val="19"/>
                <w:szCs w:val="19"/>
              </w:rPr>
            </w:pPr>
            <w:r>
              <w:rPr>
                <w:sz w:val="19"/>
                <w:szCs w:val="19"/>
              </w:rPr>
              <w:t>0/0</w:t>
            </w:r>
          </w:p>
        </w:tc>
        <w:tc>
          <w:tcPr>
            <w:tcW w:w="46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BCE35A" w14:textId="77777777" w:rsidR="002714E2" w:rsidRPr="00245E32" w:rsidRDefault="002714E2" w:rsidP="00993C09">
            <w:pPr>
              <w:pStyle w:val="TableHeading"/>
              <w:jc w:val="left"/>
              <w:rPr>
                <w:sz w:val="19"/>
                <w:szCs w:val="19"/>
              </w:rPr>
            </w:pPr>
            <w:r w:rsidRPr="00245E32">
              <w:rPr>
                <w:sz w:val="19"/>
                <w:szCs w:val="19"/>
              </w:rPr>
              <w:t>1/1</w:t>
            </w:r>
          </w:p>
        </w:tc>
        <w:tc>
          <w:tcPr>
            <w:tcW w:w="39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86AD46D" w14:textId="77777777" w:rsidR="002714E2" w:rsidRPr="004E0E6F" w:rsidRDefault="002714E2" w:rsidP="00993C09">
            <w:pPr>
              <w:pStyle w:val="TableHeading"/>
              <w:jc w:val="left"/>
              <w:rPr>
                <w:sz w:val="19"/>
                <w:szCs w:val="19"/>
              </w:rPr>
            </w:pPr>
            <w:r>
              <w:rPr>
                <w:sz w:val="19"/>
                <w:szCs w:val="19"/>
              </w:rPr>
              <w:t>0/0</w:t>
            </w:r>
          </w:p>
        </w:tc>
        <w:tc>
          <w:tcPr>
            <w:tcW w:w="45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564469E" w14:textId="77777777" w:rsidR="002714E2" w:rsidRPr="004E0E6F" w:rsidRDefault="002714E2" w:rsidP="00993C09">
            <w:pPr>
              <w:pStyle w:val="TableHeading"/>
              <w:jc w:val="left"/>
              <w:rPr>
                <w:sz w:val="19"/>
                <w:szCs w:val="19"/>
              </w:rPr>
            </w:pPr>
            <w:r>
              <w:rPr>
                <w:sz w:val="19"/>
                <w:szCs w:val="19"/>
              </w:rPr>
              <w:t>0/0</w:t>
            </w:r>
          </w:p>
        </w:tc>
        <w:tc>
          <w:tcPr>
            <w:tcW w:w="48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2F60041" w14:textId="77777777" w:rsidR="002714E2" w:rsidRPr="004E0E6F" w:rsidRDefault="002714E2" w:rsidP="00993C09">
            <w:pPr>
              <w:pStyle w:val="TableHeading"/>
              <w:jc w:val="left"/>
              <w:rPr>
                <w:sz w:val="19"/>
                <w:szCs w:val="19"/>
              </w:rPr>
            </w:pPr>
            <w:r>
              <w:rPr>
                <w:sz w:val="19"/>
                <w:szCs w:val="19"/>
              </w:rPr>
              <w:t>0/0</w:t>
            </w:r>
          </w:p>
        </w:tc>
        <w:tc>
          <w:tcPr>
            <w:tcW w:w="85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27483D3" w14:textId="77777777" w:rsidR="002714E2" w:rsidRDefault="002714E2" w:rsidP="00993C09">
            <w:pPr>
              <w:pStyle w:val="TableHeading"/>
              <w:jc w:val="left"/>
              <w:rPr>
                <w:sz w:val="19"/>
                <w:szCs w:val="19"/>
              </w:rPr>
            </w:pPr>
            <w:r w:rsidRPr="00F766AA">
              <w:rPr>
                <w:sz w:val="19"/>
                <w:szCs w:val="19"/>
              </w:rPr>
              <w:t>0 EWR met with CEW/0 EWR met without</w:t>
            </w:r>
            <w:r w:rsidRPr="004A0458">
              <w:rPr>
                <w:sz w:val="19"/>
                <w:szCs w:val="19"/>
              </w:rPr>
              <w:t xml:space="preserve"> CEW</w:t>
            </w:r>
          </w:p>
        </w:tc>
      </w:tr>
      <w:tr w:rsidR="002714E2" w:rsidRPr="004E0E6F" w14:paraId="6A5A1598" w14:textId="77777777" w:rsidTr="00993C09">
        <w:trPr>
          <w:cantSplit/>
          <w:trHeight w:val="20"/>
        </w:trPr>
        <w:tc>
          <w:tcPr>
            <w:tcW w:w="1406" w:type="pct"/>
            <w:vMerge/>
            <w:tcBorders>
              <w:left w:val="single" w:sz="4" w:space="0" w:color="auto"/>
              <w:right w:val="single" w:sz="4" w:space="0" w:color="auto"/>
            </w:tcBorders>
          </w:tcPr>
          <w:p w14:paraId="5EABBB99" w14:textId="77777777" w:rsidR="002714E2" w:rsidRPr="004E0E6F" w:rsidRDefault="002714E2" w:rsidP="00993C09">
            <w:pPr>
              <w:pStyle w:val="TableHeading"/>
              <w:jc w:val="left"/>
              <w:rPr>
                <w:b w:val="0"/>
                <w:sz w:val="19"/>
                <w:szCs w:val="19"/>
              </w:rPr>
            </w:pPr>
          </w:p>
        </w:tc>
        <w:tc>
          <w:tcPr>
            <w:tcW w:w="3594" w:type="pct"/>
            <w:gridSpan w:val="7"/>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48BBD0" w14:textId="77777777" w:rsidR="002714E2" w:rsidRPr="00245E32" w:rsidRDefault="002714E2" w:rsidP="00993C09">
            <w:pPr>
              <w:pStyle w:val="TableHeading"/>
              <w:jc w:val="left"/>
              <w:rPr>
                <w:b w:val="0"/>
                <w:sz w:val="19"/>
                <w:szCs w:val="19"/>
              </w:rPr>
            </w:pPr>
            <w:r w:rsidRPr="00245E32">
              <w:rPr>
                <w:b w:val="0"/>
                <w:sz w:val="19"/>
                <w:szCs w:val="19"/>
              </w:rPr>
              <w:t>Assuming significant weir pool manipulations are not occurring, analysis of velocity results and expert elicitation has identified that this evaluation question is met by the 20,000 ML/d for 60 days EWR. This EWR was not met in 2020-21.</w:t>
            </w:r>
          </w:p>
        </w:tc>
      </w:tr>
    </w:tbl>
    <w:p w14:paraId="5265FB66" w14:textId="77777777" w:rsidR="005D1C37" w:rsidRDefault="005D1C37">
      <w:pPr>
        <w:spacing w:before="0" w:after="160" w:line="259" w:lineRule="auto"/>
        <w:jc w:val="left"/>
      </w:pPr>
      <w:r>
        <w:br w:type="page"/>
      </w:r>
    </w:p>
    <w:p w14:paraId="794E2257" w14:textId="5BCF3ACB" w:rsidR="00A350F9" w:rsidRPr="00895486" w:rsidRDefault="00A350F9" w:rsidP="00A350F9">
      <w:pPr>
        <w:rPr>
          <w:b/>
        </w:rPr>
      </w:pPr>
      <w:r w:rsidRPr="00895486">
        <w:rPr>
          <w:b/>
        </w:rPr>
        <w:t>Stream Metabolism</w:t>
      </w:r>
      <w:r w:rsidR="001A774C" w:rsidRPr="00895486">
        <w:rPr>
          <w:b/>
        </w:rPr>
        <w:t xml:space="preserve"> and Water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4"/>
        <w:gridCol w:w="991"/>
        <w:gridCol w:w="992"/>
        <w:gridCol w:w="1131"/>
        <w:gridCol w:w="992"/>
        <w:gridCol w:w="992"/>
        <w:gridCol w:w="1003"/>
        <w:gridCol w:w="941"/>
      </w:tblGrid>
      <w:tr w:rsidR="009E5A13" w:rsidRPr="0041543F" w14:paraId="0BD79A3B" w14:textId="01FD43BC" w:rsidTr="009E5A13">
        <w:trPr>
          <w:cantSplit/>
          <w:trHeight w:val="20"/>
          <w:tblHeader/>
        </w:trPr>
        <w:tc>
          <w:tcPr>
            <w:tcW w:w="1095" w:type="pct"/>
            <w:vMerge w:val="restart"/>
            <w:tcBorders>
              <w:top w:val="single" w:sz="4" w:space="0" w:color="auto"/>
              <w:left w:val="single" w:sz="4" w:space="0" w:color="auto"/>
              <w:right w:val="single" w:sz="4" w:space="0" w:color="auto"/>
            </w:tcBorders>
          </w:tcPr>
          <w:p w14:paraId="12555FC5" w14:textId="77777777" w:rsidR="009E5A13" w:rsidRPr="0041543F" w:rsidRDefault="009E5A13" w:rsidP="008351C5">
            <w:pPr>
              <w:pStyle w:val="TableHeading"/>
              <w:jc w:val="center"/>
              <w:rPr>
                <w:sz w:val="19"/>
                <w:szCs w:val="19"/>
              </w:rPr>
            </w:pPr>
            <w:r>
              <w:rPr>
                <w:sz w:val="19"/>
                <w:szCs w:val="19"/>
              </w:rPr>
              <w:t>DEW</w:t>
            </w:r>
            <w:r w:rsidRPr="0041543F">
              <w:rPr>
                <w:sz w:val="19"/>
                <w:szCs w:val="19"/>
              </w:rPr>
              <w:t xml:space="preserve"> evaluation questions </w:t>
            </w:r>
          </w:p>
        </w:tc>
        <w:tc>
          <w:tcPr>
            <w:tcW w:w="3905" w:type="pct"/>
            <w:gridSpan w:val="7"/>
            <w:tcBorders>
              <w:top w:val="single" w:sz="4" w:space="0" w:color="auto"/>
              <w:left w:val="single" w:sz="4" w:space="0" w:color="auto"/>
              <w:bottom w:val="single" w:sz="4" w:space="0" w:color="auto"/>
              <w:right w:val="single" w:sz="4" w:space="0" w:color="auto"/>
            </w:tcBorders>
            <w:vAlign w:val="bottom"/>
          </w:tcPr>
          <w:p w14:paraId="6C1C4010" w14:textId="5F62D6A4" w:rsidR="009E5A13" w:rsidRPr="00BF3255" w:rsidRDefault="009E5A13" w:rsidP="008351C5">
            <w:pPr>
              <w:pStyle w:val="TableHeading"/>
              <w:jc w:val="center"/>
              <w:rPr>
                <w:sz w:val="19"/>
                <w:szCs w:val="19"/>
              </w:rPr>
            </w:pPr>
            <w:r w:rsidRPr="00BF3255">
              <w:rPr>
                <w:sz w:val="19"/>
                <w:szCs w:val="19"/>
              </w:rPr>
              <w:t xml:space="preserve">Outcomes of </w:t>
            </w:r>
            <w:r>
              <w:rPr>
                <w:sz w:val="19"/>
                <w:szCs w:val="19"/>
              </w:rPr>
              <w:t>CEW</w:t>
            </w:r>
            <w:r w:rsidRPr="00BF3255">
              <w:rPr>
                <w:sz w:val="19"/>
                <w:szCs w:val="19"/>
              </w:rPr>
              <w:t xml:space="preserve"> delivery</w:t>
            </w:r>
            <w:r>
              <w:rPr>
                <w:sz w:val="19"/>
                <w:szCs w:val="19"/>
              </w:rPr>
              <w:t xml:space="preserve"> (2014-15–2020-21</w:t>
            </w:r>
            <w:r w:rsidRPr="004E0E6F">
              <w:rPr>
                <w:sz w:val="19"/>
                <w:szCs w:val="19"/>
              </w:rPr>
              <w:t>)</w:t>
            </w:r>
          </w:p>
        </w:tc>
      </w:tr>
      <w:tr w:rsidR="009E5A13" w:rsidRPr="0041543F" w14:paraId="2D41B52E" w14:textId="12D28B92" w:rsidTr="009E5A13">
        <w:trPr>
          <w:cantSplit/>
          <w:trHeight w:val="20"/>
          <w:tblHeader/>
        </w:trPr>
        <w:tc>
          <w:tcPr>
            <w:tcW w:w="1095" w:type="pct"/>
            <w:vMerge/>
            <w:tcBorders>
              <w:left w:val="single" w:sz="4" w:space="0" w:color="auto"/>
              <w:bottom w:val="single" w:sz="4" w:space="0" w:color="auto"/>
              <w:right w:val="single" w:sz="4" w:space="0" w:color="auto"/>
            </w:tcBorders>
          </w:tcPr>
          <w:p w14:paraId="6944829A" w14:textId="77777777" w:rsidR="009E5A13" w:rsidRDefault="009E5A13" w:rsidP="008351C5">
            <w:pPr>
              <w:pStyle w:val="TableHeading"/>
              <w:jc w:val="center"/>
              <w:rPr>
                <w:sz w:val="19"/>
                <w:szCs w:val="19"/>
              </w:rPr>
            </w:pPr>
          </w:p>
        </w:tc>
        <w:tc>
          <w:tcPr>
            <w:tcW w:w="550" w:type="pct"/>
            <w:tcBorders>
              <w:top w:val="single" w:sz="4" w:space="0" w:color="auto"/>
              <w:left w:val="single" w:sz="4" w:space="0" w:color="auto"/>
              <w:bottom w:val="single" w:sz="4" w:space="0" w:color="auto"/>
            </w:tcBorders>
            <w:vAlign w:val="center"/>
          </w:tcPr>
          <w:p w14:paraId="04533E7E" w14:textId="77777777" w:rsidR="009E5A13" w:rsidRPr="0041543F" w:rsidRDefault="009E5A13" w:rsidP="00CD2E13">
            <w:pPr>
              <w:pStyle w:val="TableHeading"/>
              <w:jc w:val="center"/>
              <w:rPr>
                <w:sz w:val="19"/>
                <w:szCs w:val="19"/>
              </w:rPr>
            </w:pPr>
            <w:r>
              <w:rPr>
                <w:sz w:val="19"/>
                <w:szCs w:val="19"/>
              </w:rPr>
              <w:t>2014-15</w:t>
            </w:r>
          </w:p>
        </w:tc>
        <w:tc>
          <w:tcPr>
            <w:tcW w:w="550" w:type="pct"/>
            <w:tcBorders>
              <w:top w:val="single" w:sz="4" w:space="0" w:color="auto"/>
              <w:bottom w:val="single" w:sz="4" w:space="0" w:color="auto"/>
            </w:tcBorders>
            <w:vAlign w:val="center"/>
          </w:tcPr>
          <w:p w14:paraId="08911482" w14:textId="77777777" w:rsidR="009E5A13" w:rsidRPr="0041543F" w:rsidRDefault="009E5A13" w:rsidP="00CD2E13">
            <w:pPr>
              <w:pStyle w:val="TableHeading"/>
              <w:jc w:val="center"/>
              <w:rPr>
                <w:sz w:val="19"/>
                <w:szCs w:val="19"/>
              </w:rPr>
            </w:pPr>
            <w:r>
              <w:rPr>
                <w:sz w:val="19"/>
                <w:szCs w:val="19"/>
              </w:rPr>
              <w:t>2015-16</w:t>
            </w:r>
          </w:p>
        </w:tc>
        <w:tc>
          <w:tcPr>
            <w:tcW w:w="627" w:type="pct"/>
            <w:tcBorders>
              <w:top w:val="single" w:sz="4" w:space="0" w:color="auto"/>
              <w:bottom w:val="single" w:sz="4" w:space="0" w:color="auto"/>
            </w:tcBorders>
            <w:vAlign w:val="center"/>
          </w:tcPr>
          <w:p w14:paraId="40CC8390" w14:textId="77777777" w:rsidR="009E5A13" w:rsidRPr="0041543F" w:rsidRDefault="009E5A13" w:rsidP="00CD2E13">
            <w:pPr>
              <w:pStyle w:val="TableHeading"/>
              <w:jc w:val="center"/>
              <w:rPr>
                <w:sz w:val="19"/>
                <w:szCs w:val="19"/>
              </w:rPr>
            </w:pPr>
            <w:r>
              <w:rPr>
                <w:sz w:val="19"/>
                <w:szCs w:val="19"/>
              </w:rPr>
              <w:t>2016-17</w:t>
            </w:r>
          </w:p>
        </w:tc>
        <w:tc>
          <w:tcPr>
            <w:tcW w:w="550" w:type="pct"/>
            <w:tcBorders>
              <w:top w:val="single" w:sz="4" w:space="0" w:color="auto"/>
              <w:bottom w:val="single" w:sz="4" w:space="0" w:color="auto"/>
            </w:tcBorders>
            <w:vAlign w:val="center"/>
          </w:tcPr>
          <w:p w14:paraId="00DFF7F8" w14:textId="77777777" w:rsidR="009E5A13" w:rsidRPr="0041543F" w:rsidRDefault="009E5A13" w:rsidP="00CD2E13">
            <w:pPr>
              <w:pStyle w:val="TableHeading"/>
              <w:jc w:val="center"/>
              <w:rPr>
                <w:sz w:val="19"/>
                <w:szCs w:val="19"/>
              </w:rPr>
            </w:pPr>
            <w:r>
              <w:rPr>
                <w:sz w:val="19"/>
                <w:szCs w:val="19"/>
              </w:rPr>
              <w:t>2017-18</w:t>
            </w:r>
          </w:p>
        </w:tc>
        <w:tc>
          <w:tcPr>
            <w:tcW w:w="550" w:type="pct"/>
            <w:tcBorders>
              <w:top w:val="single" w:sz="4" w:space="0" w:color="auto"/>
              <w:bottom w:val="single" w:sz="4" w:space="0" w:color="auto"/>
            </w:tcBorders>
            <w:shd w:val="clear" w:color="auto" w:fill="auto"/>
            <w:vAlign w:val="center"/>
          </w:tcPr>
          <w:p w14:paraId="2B38919A" w14:textId="77777777" w:rsidR="009E5A13" w:rsidRPr="0041543F" w:rsidRDefault="009E5A13" w:rsidP="00CD2E13">
            <w:pPr>
              <w:pStyle w:val="TableHeading"/>
              <w:jc w:val="center"/>
              <w:rPr>
                <w:sz w:val="19"/>
                <w:szCs w:val="19"/>
              </w:rPr>
            </w:pPr>
            <w:r>
              <w:rPr>
                <w:sz w:val="19"/>
                <w:szCs w:val="19"/>
              </w:rPr>
              <w:t>2018-19</w:t>
            </w:r>
          </w:p>
        </w:tc>
        <w:tc>
          <w:tcPr>
            <w:tcW w:w="556" w:type="pct"/>
            <w:tcBorders>
              <w:top w:val="single" w:sz="4" w:space="0" w:color="auto"/>
              <w:bottom w:val="single" w:sz="4" w:space="0" w:color="auto"/>
            </w:tcBorders>
            <w:vAlign w:val="center"/>
          </w:tcPr>
          <w:p w14:paraId="343696BE" w14:textId="77777777" w:rsidR="009E5A13" w:rsidRDefault="009E5A13" w:rsidP="00CD2E13">
            <w:pPr>
              <w:pStyle w:val="TableHeading"/>
              <w:jc w:val="center"/>
              <w:rPr>
                <w:sz w:val="19"/>
                <w:szCs w:val="19"/>
              </w:rPr>
            </w:pPr>
            <w:r>
              <w:rPr>
                <w:sz w:val="19"/>
                <w:szCs w:val="19"/>
              </w:rPr>
              <w:t>2019-20</w:t>
            </w:r>
          </w:p>
        </w:tc>
        <w:tc>
          <w:tcPr>
            <w:tcW w:w="521" w:type="pct"/>
            <w:tcBorders>
              <w:top w:val="single" w:sz="4" w:space="0" w:color="auto"/>
              <w:bottom w:val="single" w:sz="4" w:space="0" w:color="auto"/>
            </w:tcBorders>
            <w:vAlign w:val="center"/>
          </w:tcPr>
          <w:p w14:paraId="32411DDB" w14:textId="1438BF26" w:rsidR="009E5A13" w:rsidRDefault="009E5A13" w:rsidP="009E5A13">
            <w:pPr>
              <w:pStyle w:val="TableHeading"/>
              <w:jc w:val="center"/>
              <w:rPr>
                <w:sz w:val="19"/>
                <w:szCs w:val="19"/>
              </w:rPr>
            </w:pPr>
            <w:r>
              <w:rPr>
                <w:sz w:val="19"/>
                <w:szCs w:val="19"/>
              </w:rPr>
              <w:t>2020-21</w:t>
            </w:r>
          </w:p>
        </w:tc>
      </w:tr>
      <w:tr w:rsidR="009E5A13" w:rsidRPr="0041543F" w14:paraId="232434F5" w14:textId="07232EC8" w:rsidTr="009E5A13">
        <w:trPr>
          <w:cantSplit/>
          <w:trHeight w:val="1074"/>
        </w:trPr>
        <w:tc>
          <w:tcPr>
            <w:tcW w:w="1095" w:type="pct"/>
            <w:tcBorders>
              <w:top w:val="single" w:sz="4" w:space="0" w:color="auto"/>
              <w:left w:val="single" w:sz="4" w:space="0" w:color="auto"/>
              <w:right w:val="single" w:sz="4" w:space="0" w:color="auto"/>
            </w:tcBorders>
          </w:tcPr>
          <w:p w14:paraId="4CD05FBE" w14:textId="0709C5A6" w:rsidR="009E5A13" w:rsidRPr="004208DE" w:rsidRDefault="009E5A13" w:rsidP="008351C5">
            <w:pPr>
              <w:jc w:val="left"/>
              <w:rPr>
                <w:sz w:val="19"/>
                <w:szCs w:val="19"/>
              </w:rPr>
            </w:pPr>
            <w:bookmarkStart w:id="415" w:name="_Hlk65176090"/>
            <w:r w:rsidRPr="001A774C">
              <w:rPr>
                <w:sz w:val="19"/>
                <w:szCs w:val="19"/>
              </w:rPr>
              <w:t>To what extent did CEW contribute to managing the concentrations of cyanobacteria</w:t>
            </w:r>
            <w:r>
              <w:rPr>
                <w:sz w:val="19"/>
                <w:szCs w:val="19"/>
              </w:rPr>
              <w:t>?</w:t>
            </w:r>
            <w:bookmarkEnd w:id="415"/>
            <w:r w:rsidRPr="001A774C">
              <w:rPr>
                <w:sz w:val="19"/>
                <w:szCs w:val="19"/>
              </w:rPr>
              <w:t xml:space="preserve"> </w:t>
            </w:r>
          </w:p>
        </w:tc>
        <w:tc>
          <w:tcPr>
            <w:tcW w:w="3905" w:type="pct"/>
            <w:gridSpan w:val="7"/>
            <w:tcBorders>
              <w:top w:val="single" w:sz="4" w:space="0" w:color="auto"/>
              <w:left w:val="single" w:sz="4" w:space="0" w:color="auto"/>
              <w:right w:val="single" w:sz="4" w:space="0" w:color="auto"/>
            </w:tcBorders>
            <w:shd w:val="clear" w:color="auto" w:fill="D9D9D9" w:themeFill="background1" w:themeFillShade="D9"/>
          </w:tcPr>
          <w:p w14:paraId="6BC6686C" w14:textId="6B95B57D" w:rsidR="009E5A13" w:rsidRDefault="009E5A13" w:rsidP="008351C5">
            <w:pPr>
              <w:jc w:val="left"/>
              <w:rPr>
                <w:color w:val="auto"/>
                <w:sz w:val="19"/>
                <w:szCs w:val="19"/>
              </w:rPr>
            </w:pPr>
            <w:r>
              <w:rPr>
                <w:color w:val="auto"/>
                <w:sz w:val="19"/>
                <w:szCs w:val="19"/>
              </w:rPr>
              <w:t>As the concentrations of cyanobacteria were not measured in the MER Project, the extent to which CEW contributed to managing them is unknown.</w:t>
            </w:r>
          </w:p>
        </w:tc>
      </w:tr>
      <w:tr w:rsidR="009E5A13" w:rsidRPr="0041543F" w14:paraId="47C29FE7" w14:textId="35A0F929" w:rsidTr="00895486">
        <w:trPr>
          <w:cantSplit/>
          <w:trHeight w:val="20"/>
        </w:trPr>
        <w:tc>
          <w:tcPr>
            <w:tcW w:w="1095" w:type="pct"/>
            <w:vMerge w:val="restart"/>
            <w:tcBorders>
              <w:top w:val="single" w:sz="4" w:space="0" w:color="auto"/>
              <w:left w:val="single" w:sz="4" w:space="0" w:color="auto"/>
              <w:right w:val="single" w:sz="4" w:space="0" w:color="auto"/>
            </w:tcBorders>
          </w:tcPr>
          <w:p w14:paraId="3F107358" w14:textId="77777777" w:rsidR="009E5A13" w:rsidRPr="00A2535D" w:rsidRDefault="009E5A13" w:rsidP="008351C5">
            <w:pPr>
              <w:jc w:val="left"/>
              <w:rPr>
                <w:sz w:val="19"/>
                <w:szCs w:val="19"/>
              </w:rPr>
            </w:pPr>
            <w:r w:rsidRPr="001A774C">
              <w:rPr>
                <w:sz w:val="19"/>
                <w:szCs w:val="19"/>
              </w:rPr>
              <w:t>To what extent did CEW contribute to open-water productivity in the Lower Murray?</w:t>
            </w:r>
            <w:r>
              <w:rPr>
                <w:sz w:val="19"/>
                <w:szCs w:val="19"/>
              </w:rPr>
              <w:t>*</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525D6B9" w14:textId="77777777" w:rsidR="009E5A13" w:rsidRPr="000D1AD0" w:rsidRDefault="009E5A13" w:rsidP="008351C5">
            <w:pPr>
              <w:jc w:val="left"/>
              <w:rPr>
                <w:sz w:val="19"/>
                <w:szCs w:val="19"/>
              </w:rPr>
            </w:pPr>
            <w:r>
              <w:rPr>
                <w:sz w:val="19"/>
                <w:szCs w:val="19"/>
              </w:rPr>
              <w:t>1</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AB7CA7" w14:textId="77777777" w:rsidR="009E5A13" w:rsidRPr="00A4164D" w:rsidRDefault="009E5A13" w:rsidP="008351C5">
            <w:pPr>
              <w:jc w:val="left"/>
              <w:rPr>
                <w:sz w:val="19"/>
                <w:szCs w:val="19"/>
              </w:rPr>
            </w:pPr>
            <w:r w:rsidRPr="00A4164D">
              <w:rPr>
                <w:sz w:val="19"/>
                <w:szCs w:val="19"/>
              </w:rPr>
              <w:t>2</w:t>
            </w:r>
          </w:p>
        </w:tc>
        <w:tc>
          <w:tcPr>
            <w:tcW w:w="62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D9FFD7" w14:textId="502D16AF" w:rsidR="009E5A13" w:rsidRPr="00A4164D" w:rsidRDefault="00895486" w:rsidP="008351C5">
            <w:pPr>
              <w:jc w:val="left"/>
              <w:rPr>
                <w:sz w:val="19"/>
                <w:szCs w:val="19"/>
              </w:rPr>
            </w:pPr>
            <w:r>
              <w:rPr>
                <w:sz w:val="19"/>
                <w:szCs w:val="19"/>
              </w:rPr>
              <w:t>0</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38A787" w14:textId="77777777" w:rsidR="009E5A13" w:rsidRPr="00A4164D" w:rsidRDefault="009E5A13" w:rsidP="008351C5">
            <w:pPr>
              <w:jc w:val="left"/>
              <w:rPr>
                <w:sz w:val="19"/>
                <w:szCs w:val="19"/>
              </w:rPr>
            </w:pPr>
            <w:r w:rsidRPr="00A4164D">
              <w:rPr>
                <w:sz w:val="19"/>
                <w:szCs w:val="19"/>
              </w:rPr>
              <w:t>2</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E7FF0BC" w14:textId="19B6E09C" w:rsidR="009E5A13" w:rsidRPr="00A4164D" w:rsidRDefault="00895486" w:rsidP="008351C5">
            <w:pPr>
              <w:jc w:val="left"/>
              <w:rPr>
                <w:sz w:val="19"/>
                <w:szCs w:val="19"/>
              </w:rPr>
            </w:pPr>
            <w:r>
              <w:rPr>
                <w:sz w:val="19"/>
                <w:szCs w:val="19"/>
              </w:rPr>
              <w:t>1.5</w:t>
            </w:r>
          </w:p>
        </w:tc>
        <w:tc>
          <w:tcPr>
            <w:tcW w:w="55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433E87" w14:textId="77777777" w:rsidR="009E5A13" w:rsidRPr="00A4164D" w:rsidRDefault="009E5A13" w:rsidP="008351C5">
            <w:pPr>
              <w:jc w:val="left"/>
              <w:rPr>
                <w:sz w:val="19"/>
                <w:szCs w:val="19"/>
              </w:rPr>
            </w:pPr>
            <w:r w:rsidRPr="00A4164D">
              <w:rPr>
                <w:sz w:val="19"/>
                <w:szCs w:val="19"/>
              </w:rPr>
              <w:t>1</w:t>
            </w:r>
          </w:p>
        </w:tc>
        <w:tc>
          <w:tcPr>
            <w:tcW w:w="52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837288" w14:textId="794E0711" w:rsidR="009E5A13" w:rsidRPr="00A4164D" w:rsidRDefault="00895486" w:rsidP="008351C5">
            <w:pPr>
              <w:jc w:val="left"/>
              <w:rPr>
                <w:sz w:val="19"/>
                <w:szCs w:val="19"/>
              </w:rPr>
            </w:pPr>
            <w:r>
              <w:rPr>
                <w:sz w:val="19"/>
                <w:szCs w:val="19"/>
              </w:rPr>
              <w:t>2.5</w:t>
            </w:r>
          </w:p>
        </w:tc>
      </w:tr>
      <w:tr w:rsidR="009E5A13" w:rsidRPr="0041543F" w14:paraId="3FC6A362" w14:textId="7CCDC709" w:rsidTr="009E5A13">
        <w:trPr>
          <w:cantSplit/>
          <w:trHeight w:val="1309"/>
        </w:trPr>
        <w:tc>
          <w:tcPr>
            <w:tcW w:w="1095" w:type="pct"/>
            <w:vMerge/>
            <w:tcBorders>
              <w:left w:val="single" w:sz="4" w:space="0" w:color="auto"/>
              <w:right w:val="single" w:sz="4" w:space="0" w:color="auto"/>
            </w:tcBorders>
          </w:tcPr>
          <w:p w14:paraId="107D3943" w14:textId="77777777" w:rsidR="009E5A13" w:rsidRPr="00A2535D" w:rsidRDefault="009E5A13" w:rsidP="008351C5">
            <w:pPr>
              <w:jc w:val="left"/>
              <w:rPr>
                <w:sz w:val="19"/>
                <w:szCs w:val="19"/>
              </w:rPr>
            </w:pPr>
          </w:p>
        </w:tc>
        <w:tc>
          <w:tcPr>
            <w:tcW w:w="3905" w:type="pct"/>
            <w:gridSpan w:val="7"/>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599961" w14:textId="70A04FDA" w:rsidR="009E5A13" w:rsidRPr="00554FF2" w:rsidRDefault="009E5A13" w:rsidP="008351C5">
            <w:pPr>
              <w:jc w:val="left"/>
              <w:rPr>
                <w:sz w:val="19"/>
                <w:szCs w:val="19"/>
              </w:rPr>
            </w:pPr>
            <w:r w:rsidRPr="00895486">
              <w:rPr>
                <w:sz w:val="19"/>
                <w:szCs w:val="19"/>
              </w:rPr>
              <w:t>Increased flows generally reduced the volumetric rate of primary production but increased the cross-sectional rate. This increased the overall “carrying capacity” of the river, although the implications of changes in the ratios of these two measures are unknown. At the LMR sites, the percentage increases in cross-sectional GPP due to eWater were negligible due to the largely stable water levels set by weirs. A substantial contribution was considered an increase in cross-sectional GPP of 20% or greater, moderate 11–19%, minor 5–10%, negligible &lt;5%.</w:t>
            </w:r>
          </w:p>
        </w:tc>
      </w:tr>
      <w:tr w:rsidR="009E5A13" w:rsidRPr="0041543F" w14:paraId="7FF6763A" w14:textId="715E1AD7" w:rsidTr="00895486">
        <w:trPr>
          <w:cantSplit/>
          <w:trHeight w:val="20"/>
        </w:trPr>
        <w:tc>
          <w:tcPr>
            <w:tcW w:w="1095" w:type="pct"/>
            <w:vMerge w:val="restart"/>
            <w:tcBorders>
              <w:top w:val="single" w:sz="4" w:space="0" w:color="auto"/>
              <w:left w:val="single" w:sz="4" w:space="0" w:color="auto"/>
              <w:right w:val="single" w:sz="4" w:space="0" w:color="auto"/>
            </w:tcBorders>
          </w:tcPr>
          <w:p w14:paraId="4276AD56" w14:textId="77777777" w:rsidR="009E5A13" w:rsidRPr="0041543F" w:rsidRDefault="009E5A13" w:rsidP="008351C5">
            <w:pPr>
              <w:tabs>
                <w:tab w:val="left" w:pos="2525"/>
              </w:tabs>
              <w:jc w:val="left"/>
              <w:rPr>
                <w:sz w:val="19"/>
                <w:szCs w:val="19"/>
              </w:rPr>
            </w:pPr>
            <w:r w:rsidRPr="001A774C">
              <w:rPr>
                <w:sz w:val="19"/>
                <w:szCs w:val="19"/>
              </w:rPr>
              <w:t xml:space="preserve">To what extent </w:t>
            </w:r>
            <w:r w:rsidRPr="006E36B3">
              <w:rPr>
                <w:sz w:val="19"/>
                <w:szCs w:val="19"/>
              </w:rPr>
              <w:t>did CEW contribute to maintaining dissolved oxygen levels above 50% saturation throughout the water column at all times</w:t>
            </w:r>
            <w:r>
              <w:rPr>
                <w:sz w:val="19"/>
                <w:szCs w:val="19"/>
              </w:rPr>
              <w:t xml:space="preserve"> </w:t>
            </w:r>
            <w:r w:rsidRPr="001A774C">
              <w:rPr>
                <w:sz w:val="19"/>
                <w:szCs w:val="19"/>
              </w:rPr>
              <w:t>in the Lower Murray</w:t>
            </w:r>
            <w:r w:rsidRPr="006E36B3">
              <w:rPr>
                <w:sz w:val="19"/>
                <w:szCs w:val="19"/>
              </w:rPr>
              <w:t>?</w:t>
            </w:r>
            <w:r>
              <w:rPr>
                <w:sz w:val="19"/>
                <w:szCs w:val="19"/>
              </w:rPr>
              <w:t>*</w:t>
            </w:r>
            <w:r>
              <w:rPr>
                <w:sz w:val="19"/>
                <w:szCs w:val="19"/>
              </w:rPr>
              <w:tab/>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DE481B3" w14:textId="77777777" w:rsidR="009E5A13" w:rsidRPr="0041543F" w:rsidRDefault="009E5A13" w:rsidP="008351C5">
            <w:pPr>
              <w:jc w:val="left"/>
              <w:rPr>
                <w:color w:val="auto"/>
                <w:sz w:val="19"/>
                <w:szCs w:val="19"/>
              </w:rPr>
            </w:pPr>
            <w:r>
              <w:rPr>
                <w:color w:val="auto"/>
                <w:sz w:val="19"/>
                <w:szCs w:val="19"/>
              </w:rPr>
              <w:t>0</w:t>
            </w:r>
          </w:p>
        </w:tc>
        <w:tc>
          <w:tcPr>
            <w:tcW w:w="550" w:type="pct"/>
            <w:tcBorders>
              <w:top w:val="single" w:sz="4" w:space="0" w:color="auto"/>
              <w:left w:val="single" w:sz="4" w:space="0" w:color="auto"/>
              <w:bottom w:val="single" w:sz="4" w:space="0" w:color="auto"/>
              <w:right w:val="single" w:sz="4" w:space="0" w:color="auto"/>
            </w:tcBorders>
            <w:shd w:val="clear" w:color="auto" w:fill="4472C4" w:themeFill="accent5"/>
          </w:tcPr>
          <w:p w14:paraId="2250987B" w14:textId="6EE55BFE" w:rsidR="009E5A13" w:rsidRPr="0041543F" w:rsidRDefault="009E5A13" w:rsidP="008351C5">
            <w:pPr>
              <w:jc w:val="left"/>
              <w:rPr>
                <w:color w:val="auto"/>
                <w:sz w:val="19"/>
                <w:szCs w:val="19"/>
              </w:rPr>
            </w:pPr>
            <w:r>
              <w:rPr>
                <w:color w:val="auto"/>
                <w:sz w:val="19"/>
                <w:szCs w:val="19"/>
              </w:rPr>
              <w:t>5</w:t>
            </w:r>
            <w:r w:rsidR="00895486">
              <w:rPr>
                <w:color w:val="auto"/>
                <w:sz w:val="19"/>
                <w:szCs w:val="19"/>
              </w:rPr>
              <w:t>2</w:t>
            </w:r>
          </w:p>
        </w:tc>
        <w:tc>
          <w:tcPr>
            <w:tcW w:w="627" w:type="pct"/>
            <w:tcBorders>
              <w:top w:val="single" w:sz="4" w:space="0" w:color="auto"/>
              <w:left w:val="single" w:sz="4" w:space="0" w:color="auto"/>
              <w:bottom w:val="single" w:sz="4" w:space="0" w:color="auto"/>
              <w:right w:val="single" w:sz="4" w:space="0" w:color="auto"/>
            </w:tcBorders>
            <w:shd w:val="clear" w:color="auto" w:fill="70AD47" w:themeFill="accent6"/>
          </w:tcPr>
          <w:p w14:paraId="08F6621B" w14:textId="59CB7A09" w:rsidR="009E5A13" w:rsidRPr="0041543F" w:rsidRDefault="009E5A13" w:rsidP="008351C5">
            <w:pPr>
              <w:jc w:val="left"/>
              <w:rPr>
                <w:color w:val="auto"/>
                <w:sz w:val="19"/>
                <w:szCs w:val="19"/>
              </w:rPr>
            </w:pPr>
            <w:r>
              <w:rPr>
                <w:color w:val="auto"/>
                <w:sz w:val="19"/>
                <w:szCs w:val="19"/>
              </w:rPr>
              <w:t>2</w:t>
            </w:r>
            <w:r w:rsidR="00895486">
              <w:rPr>
                <w:color w:val="auto"/>
                <w:sz w:val="19"/>
                <w:szCs w:val="19"/>
              </w:rPr>
              <w:t>2</w:t>
            </w:r>
          </w:p>
        </w:tc>
        <w:tc>
          <w:tcPr>
            <w:tcW w:w="550" w:type="pct"/>
            <w:tcBorders>
              <w:top w:val="single" w:sz="4" w:space="0" w:color="auto"/>
              <w:left w:val="single" w:sz="4" w:space="0" w:color="auto"/>
              <w:bottom w:val="single" w:sz="4" w:space="0" w:color="auto"/>
              <w:right w:val="single" w:sz="4" w:space="0" w:color="auto"/>
            </w:tcBorders>
            <w:shd w:val="clear" w:color="auto" w:fill="4472C4" w:themeFill="accent5"/>
          </w:tcPr>
          <w:p w14:paraId="6F1E5ADB" w14:textId="4BF94553" w:rsidR="009E5A13" w:rsidRPr="0041543F" w:rsidRDefault="009E5A13" w:rsidP="008351C5">
            <w:pPr>
              <w:jc w:val="left"/>
              <w:rPr>
                <w:color w:val="auto"/>
                <w:sz w:val="19"/>
                <w:szCs w:val="19"/>
              </w:rPr>
            </w:pPr>
            <w:r>
              <w:rPr>
                <w:color w:val="auto"/>
                <w:sz w:val="19"/>
                <w:szCs w:val="19"/>
              </w:rPr>
              <w:t>5</w:t>
            </w:r>
            <w:r w:rsidR="00895486">
              <w:rPr>
                <w:color w:val="auto"/>
                <w:sz w:val="19"/>
                <w:szCs w:val="19"/>
              </w:rPr>
              <w:t>1</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7A907479" w14:textId="5E760D38" w:rsidR="009E5A13" w:rsidRPr="0041543F" w:rsidRDefault="009E5A13" w:rsidP="008351C5">
            <w:pPr>
              <w:jc w:val="left"/>
              <w:rPr>
                <w:color w:val="auto"/>
                <w:sz w:val="19"/>
                <w:szCs w:val="19"/>
              </w:rPr>
            </w:pPr>
            <w:r>
              <w:rPr>
                <w:color w:val="auto"/>
                <w:sz w:val="19"/>
                <w:szCs w:val="19"/>
              </w:rPr>
              <w:t>2</w:t>
            </w:r>
            <w:r w:rsidR="00895486">
              <w:rPr>
                <w:color w:val="auto"/>
                <w:sz w:val="19"/>
                <w:szCs w:val="19"/>
              </w:rPr>
              <w:t>6</w:t>
            </w:r>
          </w:p>
        </w:tc>
        <w:tc>
          <w:tcPr>
            <w:tcW w:w="556" w:type="pct"/>
            <w:tcBorders>
              <w:top w:val="single" w:sz="4" w:space="0" w:color="auto"/>
              <w:left w:val="single" w:sz="4" w:space="0" w:color="auto"/>
              <w:bottom w:val="single" w:sz="4" w:space="0" w:color="auto"/>
              <w:right w:val="single" w:sz="4" w:space="0" w:color="auto"/>
            </w:tcBorders>
            <w:shd w:val="clear" w:color="auto" w:fill="70AD47" w:themeFill="accent6"/>
          </w:tcPr>
          <w:p w14:paraId="12D13BF9" w14:textId="77777777" w:rsidR="009E5A13" w:rsidRDefault="009E5A13" w:rsidP="008351C5">
            <w:pPr>
              <w:jc w:val="left"/>
              <w:rPr>
                <w:color w:val="auto"/>
                <w:sz w:val="19"/>
                <w:szCs w:val="19"/>
              </w:rPr>
            </w:pPr>
            <w:r>
              <w:rPr>
                <w:color w:val="auto"/>
                <w:sz w:val="19"/>
                <w:szCs w:val="19"/>
              </w:rPr>
              <w:t>30</w:t>
            </w:r>
          </w:p>
        </w:tc>
        <w:tc>
          <w:tcPr>
            <w:tcW w:w="521" w:type="pct"/>
            <w:tcBorders>
              <w:top w:val="single" w:sz="4" w:space="0" w:color="auto"/>
              <w:left w:val="single" w:sz="4" w:space="0" w:color="auto"/>
              <w:bottom w:val="single" w:sz="4" w:space="0" w:color="auto"/>
              <w:right w:val="single" w:sz="4" w:space="0" w:color="auto"/>
            </w:tcBorders>
            <w:shd w:val="clear" w:color="auto" w:fill="4472C4" w:themeFill="accent5"/>
          </w:tcPr>
          <w:p w14:paraId="4238AD01" w14:textId="1E9B8941" w:rsidR="009E5A13" w:rsidRDefault="00895486" w:rsidP="008351C5">
            <w:pPr>
              <w:jc w:val="left"/>
              <w:rPr>
                <w:color w:val="auto"/>
                <w:sz w:val="19"/>
                <w:szCs w:val="19"/>
              </w:rPr>
            </w:pPr>
            <w:r>
              <w:rPr>
                <w:color w:val="auto"/>
                <w:sz w:val="19"/>
                <w:szCs w:val="19"/>
              </w:rPr>
              <w:t>79</w:t>
            </w:r>
          </w:p>
        </w:tc>
      </w:tr>
      <w:tr w:rsidR="009E5A13" w:rsidRPr="0041543F" w14:paraId="5FE8BAEE" w14:textId="1351E5CB" w:rsidTr="009E5A13">
        <w:trPr>
          <w:cantSplit/>
          <w:trHeight w:val="20"/>
        </w:trPr>
        <w:tc>
          <w:tcPr>
            <w:tcW w:w="1095" w:type="pct"/>
            <w:vMerge/>
            <w:tcBorders>
              <w:left w:val="single" w:sz="4" w:space="0" w:color="auto"/>
              <w:right w:val="single" w:sz="4" w:space="0" w:color="auto"/>
            </w:tcBorders>
          </w:tcPr>
          <w:p w14:paraId="2D2286CF" w14:textId="77777777" w:rsidR="009E5A13" w:rsidRPr="006E36B3" w:rsidRDefault="009E5A13" w:rsidP="008351C5">
            <w:pPr>
              <w:tabs>
                <w:tab w:val="left" w:pos="2525"/>
              </w:tabs>
              <w:jc w:val="left"/>
              <w:rPr>
                <w:sz w:val="19"/>
                <w:szCs w:val="19"/>
              </w:rPr>
            </w:pPr>
          </w:p>
        </w:tc>
        <w:tc>
          <w:tcPr>
            <w:tcW w:w="3905" w:type="pct"/>
            <w:gridSpan w:val="7"/>
            <w:tcBorders>
              <w:top w:val="single" w:sz="4" w:space="0" w:color="auto"/>
              <w:left w:val="single" w:sz="4" w:space="0" w:color="auto"/>
              <w:bottom w:val="single" w:sz="4" w:space="0" w:color="auto"/>
              <w:right w:val="single" w:sz="4" w:space="0" w:color="auto"/>
            </w:tcBorders>
            <w:shd w:val="clear" w:color="auto" w:fill="70AD47" w:themeFill="accent6"/>
          </w:tcPr>
          <w:p w14:paraId="47E95BD6" w14:textId="5DA346C4" w:rsidR="009E5A13" w:rsidRPr="00895486" w:rsidRDefault="009E5A13" w:rsidP="008351C5">
            <w:pPr>
              <w:jc w:val="left"/>
              <w:rPr>
                <w:sz w:val="19"/>
                <w:szCs w:val="19"/>
              </w:rPr>
            </w:pPr>
            <w:r w:rsidRPr="00895486">
              <w:rPr>
                <w:sz w:val="19"/>
                <w:szCs w:val="19"/>
              </w:rPr>
              <w:t>CEW decreased the likelihood of low DO by increasing water mixing and oxygen exchange at the surface. This was assessed as the extra days per year with water velocities &gt; 0.18 m/s due to CEW. A substantial contribution was considered greater than 30 days, moderate 15–30 days, minor 7–14 days and negligible &lt; 7days.</w:t>
            </w:r>
          </w:p>
        </w:tc>
      </w:tr>
    </w:tbl>
    <w:p w14:paraId="6F5E1EE2" w14:textId="72BBB76B" w:rsidR="00124C16" w:rsidRPr="004208DE" w:rsidRDefault="00124C16" w:rsidP="00124C16">
      <w:pPr>
        <w:spacing w:before="60"/>
        <w:rPr>
          <w:sz w:val="18"/>
          <w:szCs w:val="16"/>
          <w:lang w:val="en-US"/>
        </w:rPr>
      </w:pPr>
      <w:r w:rsidRPr="004208DE">
        <w:rPr>
          <w:sz w:val="18"/>
          <w:szCs w:val="16"/>
          <w:lang w:val="en-US"/>
        </w:rPr>
        <w:t>*Refer to the evaluation in Section 2.</w:t>
      </w:r>
      <w:r w:rsidR="000715EC">
        <w:rPr>
          <w:sz w:val="18"/>
          <w:szCs w:val="16"/>
          <w:lang w:val="en-US"/>
        </w:rPr>
        <w:t>2</w:t>
      </w:r>
      <w:r w:rsidRPr="004208DE">
        <w:rPr>
          <w:sz w:val="18"/>
          <w:szCs w:val="16"/>
          <w:lang w:val="en-US"/>
        </w:rPr>
        <w:t xml:space="preserve"> for details.</w:t>
      </w:r>
    </w:p>
    <w:p w14:paraId="66DDBD7E" w14:textId="77777777" w:rsidR="00A350F9" w:rsidRDefault="00A350F9" w:rsidP="00A350F9">
      <w:pPr>
        <w:rPr>
          <w:lang w:val="en-US"/>
        </w:rPr>
      </w:pPr>
    </w:p>
    <w:p w14:paraId="28D30855" w14:textId="77777777" w:rsidR="00195089" w:rsidRDefault="00195089" w:rsidP="00040E19">
      <w:pPr>
        <w:rPr>
          <w:b/>
        </w:rPr>
      </w:pPr>
    </w:p>
    <w:p w14:paraId="1273A8F7" w14:textId="77777777" w:rsidR="00195089" w:rsidRDefault="00195089">
      <w:pPr>
        <w:spacing w:before="0" w:after="160" w:line="259" w:lineRule="auto"/>
        <w:jc w:val="left"/>
        <w:rPr>
          <w:b/>
        </w:rPr>
      </w:pPr>
      <w:r>
        <w:rPr>
          <w:b/>
        </w:rPr>
        <w:br w:type="page"/>
      </w:r>
    </w:p>
    <w:p w14:paraId="3CEF2C18" w14:textId="03A4E359" w:rsidR="00040E19" w:rsidRPr="002F3182" w:rsidRDefault="00040E19" w:rsidP="00040E19">
      <w:pPr>
        <w:rPr>
          <w:b/>
        </w:rPr>
      </w:pPr>
      <w:r w:rsidRPr="002F3182">
        <w:rPr>
          <w:b/>
        </w:rPr>
        <w:t>Littoral Vegetation Diversity and Productivity</w:t>
      </w:r>
    </w:p>
    <w:tbl>
      <w:tblPr>
        <w:tblW w:w="52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6"/>
        <w:gridCol w:w="4119"/>
        <w:gridCol w:w="3780"/>
      </w:tblGrid>
      <w:tr w:rsidR="002F3182" w:rsidRPr="004E0E6F" w14:paraId="37D1925B" w14:textId="77777777" w:rsidTr="00961E09">
        <w:trPr>
          <w:cantSplit/>
          <w:trHeight w:val="139"/>
          <w:tblHeader/>
        </w:trPr>
        <w:tc>
          <w:tcPr>
            <w:tcW w:w="818" w:type="pct"/>
            <w:vMerge w:val="restart"/>
            <w:tcBorders>
              <w:top w:val="single" w:sz="4" w:space="0" w:color="auto"/>
              <w:left w:val="single" w:sz="4" w:space="0" w:color="auto"/>
              <w:right w:val="single" w:sz="4" w:space="0" w:color="auto"/>
            </w:tcBorders>
          </w:tcPr>
          <w:p w14:paraId="47C0043A" w14:textId="77777777" w:rsidR="002F3182" w:rsidRPr="004E0E6F" w:rsidRDefault="002F3182" w:rsidP="005050BB">
            <w:pPr>
              <w:pStyle w:val="TableHeading"/>
              <w:jc w:val="center"/>
              <w:rPr>
                <w:sz w:val="19"/>
                <w:szCs w:val="19"/>
              </w:rPr>
            </w:pPr>
            <w:r w:rsidRPr="004E0E6F">
              <w:rPr>
                <w:sz w:val="19"/>
                <w:szCs w:val="19"/>
              </w:rPr>
              <w:t xml:space="preserve">DEW evaluation questions </w:t>
            </w:r>
          </w:p>
        </w:tc>
        <w:tc>
          <w:tcPr>
            <w:tcW w:w="4182" w:type="pct"/>
            <w:gridSpan w:val="2"/>
            <w:tcBorders>
              <w:top w:val="single" w:sz="4" w:space="0" w:color="auto"/>
              <w:left w:val="single" w:sz="4" w:space="0" w:color="auto"/>
              <w:bottom w:val="single" w:sz="4" w:space="0" w:color="auto"/>
              <w:right w:val="single" w:sz="4" w:space="0" w:color="auto"/>
            </w:tcBorders>
            <w:vAlign w:val="bottom"/>
          </w:tcPr>
          <w:p w14:paraId="2C6EF59F" w14:textId="6DFD853A" w:rsidR="002F3182" w:rsidRPr="004E0E6F" w:rsidRDefault="002F3182" w:rsidP="005050BB">
            <w:pPr>
              <w:pStyle w:val="TableHeading"/>
              <w:jc w:val="center"/>
              <w:rPr>
                <w:sz w:val="19"/>
                <w:szCs w:val="19"/>
              </w:rPr>
            </w:pPr>
            <w:r w:rsidRPr="004E0E6F">
              <w:rPr>
                <w:sz w:val="19"/>
                <w:szCs w:val="19"/>
              </w:rPr>
              <w:t xml:space="preserve">Outcomes </w:t>
            </w:r>
            <w:r>
              <w:rPr>
                <w:sz w:val="19"/>
                <w:szCs w:val="19"/>
              </w:rPr>
              <w:t>of CEW delivery</w:t>
            </w:r>
          </w:p>
        </w:tc>
      </w:tr>
      <w:tr w:rsidR="002F3182" w:rsidRPr="004E0E6F" w14:paraId="5D26A650" w14:textId="77777777" w:rsidTr="00961E09">
        <w:trPr>
          <w:cantSplit/>
          <w:trHeight w:val="139"/>
          <w:tblHeader/>
        </w:trPr>
        <w:tc>
          <w:tcPr>
            <w:tcW w:w="818" w:type="pct"/>
            <w:vMerge/>
            <w:tcBorders>
              <w:left w:val="single" w:sz="4" w:space="0" w:color="auto"/>
              <w:right w:val="single" w:sz="4" w:space="0" w:color="auto"/>
            </w:tcBorders>
          </w:tcPr>
          <w:p w14:paraId="7DE86C5F" w14:textId="77777777" w:rsidR="002F3182" w:rsidRPr="004E0E6F" w:rsidRDefault="002F3182" w:rsidP="005050BB">
            <w:pPr>
              <w:pStyle w:val="TableHeading"/>
              <w:jc w:val="center"/>
              <w:rPr>
                <w:sz w:val="19"/>
                <w:szCs w:val="19"/>
              </w:rPr>
            </w:pPr>
          </w:p>
        </w:tc>
        <w:tc>
          <w:tcPr>
            <w:tcW w:w="2181" w:type="pct"/>
            <w:tcBorders>
              <w:top w:val="single" w:sz="4" w:space="0" w:color="auto"/>
              <w:left w:val="single" w:sz="4" w:space="0" w:color="auto"/>
              <w:bottom w:val="single" w:sz="4" w:space="0" w:color="auto"/>
              <w:right w:val="single" w:sz="4" w:space="0" w:color="auto"/>
            </w:tcBorders>
            <w:vAlign w:val="bottom"/>
          </w:tcPr>
          <w:p w14:paraId="58926502" w14:textId="77777777" w:rsidR="002F3182" w:rsidRPr="004E0E6F" w:rsidRDefault="002F3182" w:rsidP="005050BB">
            <w:pPr>
              <w:pStyle w:val="TableHeading"/>
              <w:jc w:val="center"/>
              <w:rPr>
                <w:sz w:val="19"/>
                <w:szCs w:val="19"/>
              </w:rPr>
            </w:pPr>
            <w:r>
              <w:rPr>
                <w:sz w:val="19"/>
                <w:szCs w:val="19"/>
              </w:rPr>
              <w:t>2019-20</w:t>
            </w:r>
          </w:p>
        </w:tc>
        <w:tc>
          <w:tcPr>
            <w:tcW w:w="2001" w:type="pct"/>
            <w:tcBorders>
              <w:top w:val="single" w:sz="4" w:space="0" w:color="auto"/>
              <w:left w:val="single" w:sz="4" w:space="0" w:color="auto"/>
              <w:bottom w:val="single" w:sz="4" w:space="0" w:color="auto"/>
              <w:right w:val="single" w:sz="4" w:space="0" w:color="auto"/>
            </w:tcBorders>
          </w:tcPr>
          <w:p w14:paraId="0339D82B" w14:textId="77777777" w:rsidR="002F3182" w:rsidRPr="004E0E6F" w:rsidRDefault="002F3182" w:rsidP="005050BB">
            <w:pPr>
              <w:pStyle w:val="TableHeading"/>
              <w:jc w:val="center"/>
              <w:rPr>
                <w:sz w:val="19"/>
                <w:szCs w:val="19"/>
              </w:rPr>
            </w:pPr>
            <w:r w:rsidRPr="00CB2636">
              <w:rPr>
                <w:sz w:val="19"/>
                <w:szCs w:val="19"/>
              </w:rPr>
              <w:t>2020-21</w:t>
            </w:r>
          </w:p>
        </w:tc>
      </w:tr>
      <w:tr w:rsidR="002F3182" w:rsidRPr="004E0E6F" w14:paraId="441448F8" w14:textId="77777777" w:rsidTr="00961E09">
        <w:trPr>
          <w:cantSplit/>
          <w:trHeight w:val="1263"/>
        </w:trPr>
        <w:tc>
          <w:tcPr>
            <w:tcW w:w="818" w:type="pct"/>
            <w:tcBorders>
              <w:top w:val="single" w:sz="4" w:space="0" w:color="auto"/>
              <w:left w:val="single" w:sz="4" w:space="0" w:color="auto"/>
              <w:right w:val="single" w:sz="4" w:space="0" w:color="auto"/>
            </w:tcBorders>
          </w:tcPr>
          <w:p w14:paraId="2EC729DA" w14:textId="77777777" w:rsidR="002F3182" w:rsidRPr="004E0E6F" w:rsidRDefault="002F3182" w:rsidP="005050BB">
            <w:pPr>
              <w:jc w:val="left"/>
              <w:rPr>
                <w:color w:val="auto"/>
                <w:sz w:val="19"/>
                <w:szCs w:val="19"/>
              </w:rPr>
            </w:pPr>
            <w:r w:rsidRPr="00040E19">
              <w:rPr>
                <w:color w:val="auto"/>
                <w:sz w:val="19"/>
                <w:szCs w:val="19"/>
              </w:rPr>
              <w:t>To what extent did CEW (and other environmental water) contribute to littoral understorey vegetation diversity and productivity?</w:t>
            </w:r>
          </w:p>
        </w:tc>
        <w:tc>
          <w:tcPr>
            <w:tcW w:w="2181" w:type="pct"/>
            <w:tcBorders>
              <w:top w:val="single" w:sz="4" w:space="0" w:color="auto"/>
              <w:left w:val="single" w:sz="4" w:space="0" w:color="auto"/>
              <w:right w:val="single" w:sz="4" w:space="0" w:color="auto"/>
            </w:tcBorders>
            <w:shd w:val="clear" w:color="auto" w:fill="70AD47" w:themeFill="accent6"/>
          </w:tcPr>
          <w:p w14:paraId="3B71AEAD" w14:textId="21F110F7" w:rsidR="00961E09" w:rsidRPr="00961E09" w:rsidRDefault="00AA33DC" w:rsidP="00961E09">
            <w:pPr>
              <w:jc w:val="left"/>
              <w:rPr>
                <w:color w:val="auto"/>
                <w:sz w:val="19"/>
                <w:szCs w:val="19"/>
              </w:rPr>
            </w:pPr>
            <w:r w:rsidRPr="00AA33DC">
              <w:rPr>
                <w:color w:val="auto"/>
                <w:sz w:val="19"/>
                <w:szCs w:val="19"/>
              </w:rPr>
              <w:t xml:space="preserve">CEW delivery increased native plant species diversity by 40–100% across all reaches in the LMR. </w:t>
            </w:r>
            <w:r w:rsidR="00961E09" w:rsidRPr="00961E09">
              <w:rPr>
                <w:color w:val="auto"/>
                <w:sz w:val="19"/>
                <w:szCs w:val="19"/>
              </w:rPr>
              <w:t xml:space="preserve">This was evidenced by consistently higher native species richness in inundated zones in each reach compared to non-inundated areas; higher native species richness (albeit lower than inundated zones) on the edge of the inundation footprint, where there was increased soil moisture due to capillary action, compared to non-inundated zones (where soil moisture was not increased) was also observed. Environmental water delivery in the form of a spring pulse produced conditions suitable for the recruitment of specialised riparian species that are adapted to fluctuating water levels and do not inhabit terrestrial or truly aquatic habitats, increasing plant functional diversity. </w:t>
            </w:r>
          </w:p>
          <w:p w14:paraId="1361D654" w14:textId="1346E935" w:rsidR="002F3182" w:rsidRPr="005D7F83" w:rsidRDefault="00961E09" w:rsidP="00961E09">
            <w:pPr>
              <w:jc w:val="left"/>
              <w:rPr>
                <w:color w:val="auto"/>
                <w:sz w:val="19"/>
                <w:szCs w:val="19"/>
              </w:rPr>
            </w:pPr>
            <w:r w:rsidRPr="00961E09">
              <w:rPr>
                <w:color w:val="auto"/>
                <w:sz w:val="19"/>
                <w:szCs w:val="19"/>
              </w:rPr>
              <w:t>There were no clear patterns of above ground biomass with regards to environmental water delivery; therefore, the influence of environmental water delivery on understorey productivity is inconclusive.</w:t>
            </w:r>
          </w:p>
        </w:tc>
        <w:tc>
          <w:tcPr>
            <w:tcW w:w="2001" w:type="pct"/>
            <w:tcBorders>
              <w:top w:val="single" w:sz="4" w:space="0" w:color="auto"/>
              <w:left w:val="single" w:sz="4" w:space="0" w:color="auto"/>
              <w:right w:val="single" w:sz="4" w:space="0" w:color="auto"/>
            </w:tcBorders>
            <w:shd w:val="clear" w:color="auto" w:fill="70AD47" w:themeFill="accent6"/>
          </w:tcPr>
          <w:p w14:paraId="2B6815EE" w14:textId="23F33234" w:rsidR="002F3182" w:rsidRDefault="00AA33DC" w:rsidP="005050BB">
            <w:pPr>
              <w:pStyle w:val="TableHeading"/>
              <w:jc w:val="left"/>
              <w:rPr>
                <w:b w:val="0"/>
                <w:sz w:val="19"/>
                <w:szCs w:val="19"/>
              </w:rPr>
            </w:pPr>
            <w:r w:rsidRPr="00AA33DC">
              <w:rPr>
                <w:b w:val="0"/>
                <w:sz w:val="19"/>
                <w:szCs w:val="19"/>
              </w:rPr>
              <w:t xml:space="preserve">CEW delivery increased native plant species diversity by 42–82% across all reaches in the LMR. </w:t>
            </w:r>
            <w:r w:rsidR="002F3182" w:rsidRPr="00103EF7">
              <w:rPr>
                <w:b w:val="0"/>
                <w:sz w:val="19"/>
                <w:szCs w:val="19"/>
              </w:rPr>
              <w:t xml:space="preserve">This was evidenced by consistently higher native species richness in inundated zones in each reach compared to non-inundated areas. Environmental water delivery in the form of a spring pulse produced conditions suitable for the recruitment of specialised riparian species that are adapted to fluctuating water levels and do not inhabit terrestrial or truly aquatic habitats, increasing plant functional diversity. </w:t>
            </w:r>
          </w:p>
          <w:p w14:paraId="531E14E4" w14:textId="7DD6E4FB" w:rsidR="002F3182" w:rsidRPr="00103EF7" w:rsidRDefault="002F3182" w:rsidP="005050BB">
            <w:pPr>
              <w:pStyle w:val="TableHeading"/>
              <w:jc w:val="left"/>
              <w:rPr>
                <w:b w:val="0"/>
                <w:sz w:val="19"/>
                <w:szCs w:val="19"/>
              </w:rPr>
            </w:pPr>
            <w:r w:rsidRPr="00103EF7">
              <w:rPr>
                <w:b w:val="0"/>
                <w:sz w:val="19"/>
                <w:szCs w:val="19"/>
              </w:rPr>
              <w:t xml:space="preserve">Environmental water delivery </w:t>
            </w:r>
            <w:r>
              <w:rPr>
                <w:b w:val="0"/>
                <w:sz w:val="19"/>
                <w:szCs w:val="19"/>
              </w:rPr>
              <w:t xml:space="preserve">increased above-ground biomass by delivery of increased soil moisture in the root zone at the edge of the inundation footprint. Increased above-ground biomass was also observed in inundated areas across all reaches and at pool level downstream of </w:t>
            </w:r>
            <w:r w:rsidR="003C03B0">
              <w:rPr>
                <w:b w:val="0"/>
                <w:sz w:val="19"/>
                <w:szCs w:val="19"/>
              </w:rPr>
              <w:t>L</w:t>
            </w:r>
            <w:r>
              <w:rPr>
                <w:b w:val="0"/>
                <w:sz w:val="19"/>
                <w:szCs w:val="19"/>
              </w:rPr>
              <w:t>ocks 1 and 4, compared to areas not inundated.</w:t>
            </w:r>
          </w:p>
        </w:tc>
      </w:tr>
    </w:tbl>
    <w:p w14:paraId="27716850" w14:textId="3CF7FA6B" w:rsidR="00A350F9" w:rsidRDefault="00A350F9" w:rsidP="00A350F9">
      <w:pPr>
        <w:spacing w:before="0" w:after="160" w:line="259" w:lineRule="auto"/>
        <w:jc w:val="left"/>
      </w:pPr>
    </w:p>
    <w:p w14:paraId="17880A73" w14:textId="77D44682" w:rsidR="00A350F9" w:rsidRPr="004D04C7" w:rsidRDefault="00040E19" w:rsidP="00A350F9">
      <w:pPr>
        <w:rPr>
          <w:b/>
        </w:rPr>
      </w:pPr>
      <w:r w:rsidRPr="004D04C7">
        <w:rPr>
          <w:b/>
        </w:rPr>
        <w:t>Micro-invertebrate Assemblage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994"/>
        <w:gridCol w:w="994"/>
        <w:gridCol w:w="1132"/>
        <w:gridCol w:w="1134"/>
        <w:gridCol w:w="988"/>
        <w:gridCol w:w="994"/>
        <w:gridCol w:w="1226"/>
      </w:tblGrid>
      <w:tr w:rsidR="009E5A13" w:rsidRPr="004E0E6F" w14:paraId="41004FA3" w14:textId="7F51BE63" w:rsidTr="00424090">
        <w:trPr>
          <w:cantSplit/>
          <w:trHeight w:val="20"/>
          <w:tblHeader/>
        </w:trPr>
        <w:tc>
          <w:tcPr>
            <w:tcW w:w="862" w:type="pct"/>
            <w:vMerge w:val="restart"/>
            <w:tcBorders>
              <w:top w:val="single" w:sz="4" w:space="0" w:color="auto"/>
              <w:left w:val="single" w:sz="4" w:space="0" w:color="auto"/>
              <w:right w:val="single" w:sz="4" w:space="0" w:color="auto"/>
            </w:tcBorders>
          </w:tcPr>
          <w:p w14:paraId="50EBF8FB" w14:textId="77777777" w:rsidR="009E5A13" w:rsidRPr="004E0E6F" w:rsidRDefault="009E5A13" w:rsidP="008351C5">
            <w:pPr>
              <w:pStyle w:val="TableHeading"/>
              <w:jc w:val="center"/>
              <w:rPr>
                <w:sz w:val="19"/>
                <w:szCs w:val="19"/>
              </w:rPr>
            </w:pPr>
            <w:r w:rsidRPr="004E0E6F">
              <w:rPr>
                <w:sz w:val="19"/>
                <w:szCs w:val="19"/>
              </w:rPr>
              <w:t xml:space="preserve">DEW evaluation questions </w:t>
            </w:r>
          </w:p>
        </w:tc>
        <w:tc>
          <w:tcPr>
            <w:tcW w:w="4138" w:type="pct"/>
            <w:gridSpan w:val="7"/>
            <w:tcBorders>
              <w:top w:val="single" w:sz="4" w:space="0" w:color="auto"/>
              <w:left w:val="single" w:sz="4" w:space="0" w:color="auto"/>
              <w:bottom w:val="single" w:sz="4" w:space="0" w:color="auto"/>
              <w:right w:val="single" w:sz="4" w:space="0" w:color="auto"/>
            </w:tcBorders>
            <w:vAlign w:val="bottom"/>
          </w:tcPr>
          <w:p w14:paraId="7E01E11C" w14:textId="1A809FF2" w:rsidR="009E5A13" w:rsidRPr="004E0E6F" w:rsidRDefault="009E5A13" w:rsidP="008351C5">
            <w:pPr>
              <w:pStyle w:val="TableHeading"/>
              <w:jc w:val="center"/>
              <w:rPr>
                <w:sz w:val="19"/>
                <w:szCs w:val="19"/>
              </w:rPr>
            </w:pPr>
            <w:r w:rsidRPr="004E0E6F">
              <w:rPr>
                <w:sz w:val="19"/>
                <w:szCs w:val="19"/>
              </w:rPr>
              <w:t xml:space="preserve">Outcomes </w:t>
            </w:r>
            <w:r>
              <w:rPr>
                <w:sz w:val="19"/>
                <w:szCs w:val="19"/>
              </w:rPr>
              <w:t>of CEW delivery (2014-15–</w:t>
            </w:r>
            <w:r w:rsidR="00424090">
              <w:rPr>
                <w:sz w:val="19"/>
                <w:szCs w:val="19"/>
              </w:rPr>
              <w:t>2020-21</w:t>
            </w:r>
            <w:r w:rsidRPr="004E0E6F">
              <w:rPr>
                <w:sz w:val="19"/>
                <w:szCs w:val="19"/>
              </w:rPr>
              <w:t>)</w:t>
            </w:r>
          </w:p>
        </w:tc>
      </w:tr>
      <w:tr w:rsidR="00424090" w:rsidRPr="004E0E6F" w14:paraId="629C2D2A" w14:textId="2925E6D6" w:rsidTr="00424090">
        <w:trPr>
          <w:cantSplit/>
          <w:trHeight w:val="20"/>
          <w:tblHeader/>
        </w:trPr>
        <w:tc>
          <w:tcPr>
            <w:tcW w:w="862" w:type="pct"/>
            <w:vMerge/>
            <w:tcBorders>
              <w:left w:val="single" w:sz="4" w:space="0" w:color="auto"/>
              <w:bottom w:val="single" w:sz="4" w:space="0" w:color="auto"/>
              <w:right w:val="single" w:sz="4" w:space="0" w:color="auto"/>
            </w:tcBorders>
          </w:tcPr>
          <w:p w14:paraId="43FBF8A1" w14:textId="77777777" w:rsidR="009E5A13" w:rsidRPr="004E0E6F" w:rsidRDefault="009E5A13" w:rsidP="008351C5">
            <w:pPr>
              <w:pStyle w:val="TableHeading"/>
              <w:jc w:val="center"/>
              <w:rPr>
                <w:sz w:val="19"/>
                <w:szCs w:val="19"/>
              </w:rPr>
            </w:pPr>
          </w:p>
        </w:tc>
        <w:tc>
          <w:tcPr>
            <w:tcW w:w="551" w:type="pct"/>
            <w:tcBorders>
              <w:top w:val="single" w:sz="4" w:space="0" w:color="auto"/>
              <w:left w:val="single" w:sz="4" w:space="0" w:color="auto"/>
              <w:bottom w:val="single" w:sz="4" w:space="0" w:color="auto"/>
            </w:tcBorders>
            <w:vAlign w:val="bottom"/>
          </w:tcPr>
          <w:p w14:paraId="347E1F37" w14:textId="77777777" w:rsidR="009E5A13" w:rsidRPr="004E0E6F" w:rsidRDefault="009E5A13" w:rsidP="008351C5">
            <w:pPr>
              <w:pStyle w:val="TableHeading"/>
              <w:jc w:val="center"/>
              <w:rPr>
                <w:sz w:val="19"/>
                <w:szCs w:val="19"/>
              </w:rPr>
            </w:pPr>
            <w:r>
              <w:rPr>
                <w:sz w:val="19"/>
                <w:szCs w:val="19"/>
              </w:rPr>
              <w:t>2014-15</w:t>
            </w:r>
          </w:p>
        </w:tc>
        <w:tc>
          <w:tcPr>
            <w:tcW w:w="551" w:type="pct"/>
            <w:tcBorders>
              <w:top w:val="single" w:sz="4" w:space="0" w:color="auto"/>
              <w:bottom w:val="single" w:sz="4" w:space="0" w:color="auto"/>
            </w:tcBorders>
          </w:tcPr>
          <w:p w14:paraId="65805BF1" w14:textId="77777777" w:rsidR="009E5A13" w:rsidRPr="004E0E6F" w:rsidRDefault="009E5A13" w:rsidP="008351C5">
            <w:pPr>
              <w:pStyle w:val="TableHeading"/>
              <w:jc w:val="center"/>
              <w:rPr>
                <w:sz w:val="19"/>
                <w:szCs w:val="19"/>
              </w:rPr>
            </w:pPr>
            <w:r w:rsidRPr="004E0E6F">
              <w:rPr>
                <w:sz w:val="19"/>
                <w:szCs w:val="19"/>
              </w:rPr>
              <w:t>2015-16</w:t>
            </w:r>
          </w:p>
        </w:tc>
        <w:tc>
          <w:tcPr>
            <w:tcW w:w="628" w:type="pct"/>
            <w:tcBorders>
              <w:top w:val="single" w:sz="4" w:space="0" w:color="auto"/>
              <w:bottom w:val="single" w:sz="4" w:space="0" w:color="auto"/>
            </w:tcBorders>
            <w:vAlign w:val="bottom"/>
          </w:tcPr>
          <w:p w14:paraId="08541A06" w14:textId="77777777" w:rsidR="009E5A13" w:rsidRPr="004E0E6F" w:rsidRDefault="009E5A13" w:rsidP="008351C5">
            <w:pPr>
              <w:pStyle w:val="TableHeading"/>
              <w:jc w:val="center"/>
              <w:rPr>
                <w:sz w:val="19"/>
                <w:szCs w:val="19"/>
              </w:rPr>
            </w:pPr>
            <w:r w:rsidRPr="004E0E6F">
              <w:rPr>
                <w:sz w:val="19"/>
                <w:szCs w:val="19"/>
              </w:rPr>
              <w:t>2016-17</w:t>
            </w:r>
          </w:p>
        </w:tc>
        <w:tc>
          <w:tcPr>
            <w:tcW w:w="629" w:type="pct"/>
            <w:tcBorders>
              <w:top w:val="single" w:sz="4" w:space="0" w:color="auto"/>
              <w:bottom w:val="single" w:sz="4" w:space="0" w:color="auto"/>
            </w:tcBorders>
          </w:tcPr>
          <w:p w14:paraId="1D771A1E" w14:textId="77777777" w:rsidR="009E5A13" w:rsidRPr="004E0E6F" w:rsidRDefault="009E5A13" w:rsidP="008351C5">
            <w:pPr>
              <w:pStyle w:val="TableHeading"/>
              <w:jc w:val="center"/>
              <w:rPr>
                <w:sz w:val="19"/>
                <w:szCs w:val="19"/>
              </w:rPr>
            </w:pPr>
            <w:r w:rsidRPr="004E0E6F">
              <w:rPr>
                <w:sz w:val="19"/>
                <w:szCs w:val="19"/>
              </w:rPr>
              <w:t>2017-18</w:t>
            </w:r>
          </w:p>
        </w:tc>
        <w:tc>
          <w:tcPr>
            <w:tcW w:w="548" w:type="pct"/>
            <w:tcBorders>
              <w:top w:val="single" w:sz="4" w:space="0" w:color="auto"/>
              <w:bottom w:val="single" w:sz="4" w:space="0" w:color="auto"/>
            </w:tcBorders>
          </w:tcPr>
          <w:p w14:paraId="7D31C4BD" w14:textId="77777777" w:rsidR="009E5A13" w:rsidRPr="004E0E6F" w:rsidRDefault="009E5A13" w:rsidP="008351C5">
            <w:pPr>
              <w:pStyle w:val="TableHeading"/>
              <w:jc w:val="center"/>
              <w:rPr>
                <w:sz w:val="19"/>
                <w:szCs w:val="19"/>
              </w:rPr>
            </w:pPr>
            <w:r>
              <w:rPr>
                <w:sz w:val="19"/>
                <w:szCs w:val="19"/>
              </w:rPr>
              <w:t>2018-19</w:t>
            </w:r>
          </w:p>
        </w:tc>
        <w:tc>
          <w:tcPr>
            <w:tcW w:w="551" w:type="pct"/>
            <w:tcBorders>
              <w:top w:val="single" w:sz="4" w:space="0" w:color="auto"/>
              <w:bottom w:val="single" w:sz="4" w:space="0" w:color="auto"/>
            </w:tcBorders>
          </w:tcPr>
          <w:p w14:paraId="795590AD" w14:textId="77777777" w:rsidR="009E5A13" w:rsidRPr="004E0E6F" w:rsidRDefault="009E5A13" w:rsidP="008351C5">
            <w:pPr>
              <w:pStyle w:val="TableHeading"/>
              <w:jc w:val="center"/>
              <w:rPr>
                <w:sz w:val="19"/>
                <w:szCs w:val="19"/>
              </w:rPr>
            </w:pPr>
            <w:r>
              <w:rPr>
                <w:sz w:val="19"/>
                <w:szCs w:val="19"/>
              </w:rPr>
              <w:t>2019-20</w:t>
            </w:r>
          </w:p>
        </w:tc>
        <w:tc>
          <w:tcPr>
            <w:tcW w:w="680" w:type="pct"/>
            <w:tcBorders>
              <w:top w:val="single" w:sz="4" w:space="0" w:color="auto"/>
              <w:bottom w:val="single" w:sz="4" w:space="0" w:color="auto"/>
            </w:tcBorders>
          </w:tcPr>
          <w:p w14:paraId="2E15565E" w14:textId="4129D198" w:rsidR="009E5A13" w:rsidRDefault="009E5A13" w:rsidP="008351C5">
            <w:pPr>
              <w:pStyle w:val="TableHeading"/>
              <w:jc w:val="center"/>
              <w:rPr>
                <w:sz w:val="19"/>
                <w:szCs w:val="19"/>
              </w:rPr>
            </w:pPr>
            <w:r>
              <w:rPr>
                <w:sz w:val="19"/>
                <w:szCs w:val="19"/>
              </w:rPr>
              <w:t>2020-21</w:t>
            </w:r>
          </w:p>
        </w:tc>
      </w:tr>
      <w:tr w:rsidR="004D04C7" w:rsidRPr="004E0E6F" w14:paraId="30768163" w14:textId="039F1797" w:rsidTr="004D04C7">
        <w:trPr>
          <w:cantSplit/>
          <w:trHeight w:val="20"/>
        </w:trPr>
        <w:tc>
          <w:tcPr>
            <w:tcW w:w="862" w:type="pct"/>
            <w:vMerge w:val="restart"/>
            <w:tcBorders>
              <w:top w:val="single" w:sz="4" w:space="0" w:color="auto"/>
              <w:left w:val="single" w:sz="4" w:space="0" w:color="auto"/>
              <w:right w:val="single" w:sz="4" w:space="0" w:color="auto"/>
            </w:tcBorders>
          </w:tcPr>
          <w:p w14:paraId="1C7D88E4" w14:textId="77777777" w:rsidR="004D04C7" w:rsidRPr="004E0E6F" w:rsidRDefault="004D04C7" w:rsidP="004D04C7">
            <w:pPr>
              <w:jc w:val="left"/>
              <w:rPr>
                <w:sz w:val="19"/>
                <w:szCs w:val="19"/>
              </w:rPr>
            </w:pPr>
            <w:r w:rsidRPr="001A774C">
              <w:rPr>
                <w:sz w:val="19"/>
                <w:szCs w:val="19"/>
              </w:rPr>
              <w:t>To what extent</w:t>
            </w:r>
            <w:r w:rsidRPr="004E0E6F">
              <w:rPr>
                <w:sz w:val="19"/>
                <w:szCs w:val="19"/>
              </w:rPr>
              <w:t xml:space="preserve"> did CEW contribute to increased dispersal of organisms between river and wetlands</w:t>
            </w:r>
            <w:r>
              <w:t xml:space="preserve"> </w:t>
            </w:r>
            <w:r w:rsidRPr="001A774C">
              <w:rPr>
                <w:sz w:val="19"/>
                <w:szCs w:val="19"/>
              </w:rPr>
              <w:t>in the Lower Murray</w:t>
            </w:r>
            <w:r w:rsidRPr="004E0E6F">
              <w:rPr>
                <w:sz w:val="19"/>
                <w:szCs w:val="19"/>
              </w:rPr>
              <w:t>?</w:t>
            </w:r>
          </w:p>
        </w:tc>
        <w:tc>
          <w:tcPr>
            <w:tcW w:w="55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6F94422" w14:textId="6BB35347" w:rsidR="004D04C7" w:rsidRPr="0084014F" w:rsidRDefault="004D04C7" w:rsidP="004D04C7">
            <w:pPr>
              <w:jc w:val="center"/>
              <w:rPr>
                <w:color w:val="auto"/>
                <w:sz w:val="19"/>
                <w:szCs w:val="19"/>
              </w:rPr>
            </w:pPr>
            <w:r>
              <w:rPr>
                <w:rFonts w:cs="Segoe UI"/>
                <w:color w:val="auto"/>
                <w:kern w:val="0"/>
                <w:sz w:val="19"/>
                <w:szCs w:val="19"/>
                <w:lang w:eastAsia="en-AU"/>
              </w:rPr>
              <w:t>12</w:t>
            </w:r>
          </w:p>
        </w:tc>
        <w:tc>
          <w:tcPr>
            <w:tcW w:w="551" w:type="pct"/>
            <w:tcBorders>
              <w:top w:val="single" w:sz="4" w:space="0" w:color="auto"/>
              <w:left w:val="single" w:sz="4" w:space="0" w:color="auto"/>
              <w:bottom w:val="single" w:sz="4" w:space="0" w:color="auto"/>
              <w:right w:val="single" w:sz="4" w:space="0" w:color="auto"/>
            </w:tcBorders>
            <w:shd w:val="clear" w:color="auto" w:fill="4472C4" w:themeFill="accent5"/>
          </w:tcPr>
          <w:p w14:paraId="73B793C1" w14:textId="55BB0E35" w:rsidR="004D04C7" w:rsidRPr="0084014F" w:rsidRDefault="004D04C7" w:rsidP="004D04C7">
            <w:pPr>
              <w:jc w:val="center"/>
              <w:rPr>
                <w:color w:val="auto"/>
                <w:sz w:val="19"/>
                <w:szCs w:val="19"/>
              </w:rPr>
            </w:pPr>
            <w:r>
              <w:rPr>
                <w:rFonts w:cs="Segoe UI"/>
                <w:color w:val="auto"/>
                <w:kern w:val="0"/>
                <w:sz w:val="19"/>
                <w:szCs w:val="19"/>
                <w:lang w:eastAsia="en-AU"/>
              </w:rPr>
              <w:t>42</w:t>
            </w:r>
          </w:p>
        </w:tc>
        <w:tc>
          <w:tcPr>
            <w:tcW w:w="628" w:type="pct"/>
            <w:tcBorders>
              <w:top w:val="single" w:sz="4" w:space="0" w:color="auto"/>
              <w:left w:val="single" w:sz="4" w:space="0" w:color="auto"/>
              <w:bottom w:val="single" w:sz="4" w:space="0" w:color="auto"/>
              <w:right w:val="single" w:sz="4" w:space="0" w:color="auto"/>
            </w:tcBorders>
            <w:shd w:val="clear" w:color="auto" w:fill="FF0000"/>
          </w:tcPr>
          <w:p w14:paraId="64AC5749" w14:textId="65A3287B" w:rsidR="004D04C7" w:rsidRPr="0084014F" w:rsidRDefault="004D04C7" w:rsidP="004D04C7">
            <w:pPr>
              <w:jc w:val="center"/>
              <w:rPr>
                <w:color w:val="auto"/>
                <w:sz w:val="19"/>
                <w:szCs w:val="19"/>
              </w:rPr>
            </w:pPr>
            <w:r w:rsidRPr="00205F2D">
              <w:rPr>
                <w:rFonts w:cs="Segoe UI"/>
                <w:color w:val="auto"/>
                <w:kern w:val="0"/>
                <w:sz w:val="19"/>
                <w:szCs w:val="19"/>
                <w:lang w:eastAsia="en-AU"/>
              </w:rPr>
              <w:t>-</w:t>
            </w:r>
            <w:r>
              <w:rPr>
                <w:rFonts w:cs="Segoe UI"/>
                <w:color w:val="auto"/>
                <w:kern w:val="0"/>
                <w:sz w:val="19"/>
                <w:szCs w:val="19"/>
                <w:lang w:eastAsia="en-AU"/>
              </w:rPr>
              <w:t>1</w:t>
            </w:r>
          </w:p>
        </w:tc>
        <w:tc>
          <w:tcPr>
            <w:tcW w:w="629" w:type="pct"/>
            <w:tcBorders>
              <w:top w:val="single" w:sz="4" w:space="0" w:color="auto"/>
              <w:left w:val="single" w:sz="4" w:space="0" w:color="auto"/>
              <w:bottom w:val="single" w:sz="4" w:space="0" w:color="auto"/>
              <w:right w:val="single" w:sz="4" w:space="0" w:color="auto"/>
            </w:tcBorders>
            <w:shd w:val="clear" w:color="auto" w:fill="4472C4" w:themeFill="accent5"/>
          </w:tcPr>
          <w:p w14:paraId="429D753E" w14:textId="359F4188" w:rsidR="004D04C7" w:rsidRPr="0084014F" w:rsidRDefault="004D04C7" w:rsidP="004D04C7">
            <w:pPr>
              <w:jc w:val="center"/>
              <w:rPr>
                <w:color w:val="auto"/>
                <w:sz w:val="19"/>
                <w:szCs w:val="19"/>
              </w:rPr>
            </w:pPr>
            <w:r>
              <w:rPr>
                <w:rFonts w:cs="Segoe UI"/>
                <w:color w:val="auto"/>
                <w:kern w:val="0"/>
                <w:sz w:val="19"/>
                <w:szCs w:val="19"/>
                <w:lang w:eastAsia="en-AU"/>
              </w:rPr>
              <w:t>49</w:t>
            </w:r>
            <w:r w:rsidRPr="00205F2D">
              <w:rPr>
                <w:rFonts w:cs="Segoe UI"/>
                <w:color w:val="auto"/>
                <w:kern w:val="0"/>
                <w:sz w:val="19"/>
                <w:szCs w:val="19"/>
                <w:lang w:eastAsia="en-AU"/>
              </w:rPr>
              <w:t> </w:t>
            </w:r>
          </w:p>
        </w:tc>
        <w:tc>
          <w:tcPr>
            <w:tcW w:w="54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A7B0AE" w14:textId="4EBEF13F" w:rsidR="004D04C7" w:rsidRPr="0084014F" w:rsidRDefault="004D04C7" w:rsidP="004D04C7">
            <w:pPr>
              <w:jc w:val="center"/>
              <w:rPr>
                <w:sz w:val="19"/>
                <w:szCs w:val="19"/>
              </w:rPr>
            </w:pPr>
            <w:r w:rsidRPr="00205F2D">
              <w:rPr>
                <w:rFonts w:cs="Segoe UI"/>
                <w:kern w:val="0"/>
                <w:sz w:val="19"/>
                <w:szCs w:val="19"/>
                <w:lang w:eastAsia="en-AU"/>
              </w:rPr>
              <w:t>NA </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tcPr>
          <w:p w14:paraId="1531BEEF" w14:textId="11677D00" w:rsidR="004D04C7" w:rsidRPr="0084014F" w:rsidRDefault="004D04C7" w:rsidP="004D04C7">
            <w:pPr>
              <w:jc w:val="center"/>
              <w:rPr>
                <w:sz w:val="19"/>
                <w:szCs w:val="19"/>
              </w:rPr>
            </w:pPr>
            <w:r>
              <w:rPr>
                <w:rFonts w:cs="Segoe UI"/>
                <w:kern w:val="0"/>
                <w:sz w:val="19"/>
                <w:szCs w:val="19"/>
                <w:lang w:eastAsia="en-AU"/>
              </w:rPr>
              <w:t>26</w:t>
            </w:r>
            <w:r w:rsidRPr="00205F2D">
              <w:rPr>
                <w:rFonts w:cs="Segoe UI"/>
                <w:kern w:val="0"/>
                <w:sz w:val="19"/>
                <w:szCs w:val="19"/>
                <w:lang w:eastAsia="en-AU"/>
              </w:rPr>
              <w:t> </w:t>
            </w:r>
          </w:p>
        </w:tc>
        <w:tc>
          <w:tcPr>
            <w:tcW w:w="680" w:type="pct"/>
            <w:tcBorders>
              <w:top w:val="single" w:sz="4" w:space="0" w:color="auto"/>
              <w:left w:val="single" w:sz="4" w:space="0" w:color="auto"/>
              <w:bottom w:val="single" w:sz="4" w:space="0" w:color="auto"/>
              <w:right w:val="single" w:sz="4" w:space="0" w:color="auto"/>
            </w:tcBorders>
            <w:shd w:val="clear" w:color="auto" w:fill="FF0000"/>
          </w:tcPr>
          <w:p w14:paraId="09589B41" w14:textId="261A6305" w:rsidR="004D04C7" w:rsidRPr="0084014F" w:rsidRDefault="004D04C7" w:rsidP="004D04C7">
            <w:pPr>
              <w:jc w:val="center"/>
              <w:rPr>
                <w:sz w:val="19"/>
                <w:szCs w:val="19"/>
              </w:rPr>
            </w:pPr>
            <w:r>
              <w:rPr>
                <w:rFonts w:cs="Segoe UI"/>
                <w:kern w:val="0"/>
                <w:sz w:val="19"/>
                <w:szCs w:val="19"/>
                <w:lang w:eastAsia="en-AU"/>
              </w:rPr>
              <w:t>-27</w:t>
            </w:r>
          </w:p>
        </w:tc>
      </w:tr>
      <w:tr w:rsidR="00424090" w:rsidRPr="004E0E6F" w14:paraId="7587CEF9" w14:textId="2748C436" w:rsidTr="00424090">
        <w:trPr>
          <w:cantSplit/>
          <w:trHeight w:val="20"/>
        </w:trPr>
        <w:tc>
          <w:tcPr>
            <w:tcW w:w="862" w:type="pct"/>
            <w:vMerge/>
            <w:tcBorders>
              <w:left w:val="single" w:sz="4" w:space="0" w:color="auto"/>
              <w:right w:val="single" w:sz="4" w:space="0" w:color="auto"/>
            </w:tcBorders>
          </w:tcPr>
          <w:p w14:paraId="4D4E6D09" w14:textId="77777777" w:rsidR="00424090" w:rsidRPr="004E0E6F" w:rsidRDefault="00424090" w:rsidP="008351C5">
            <w:pPr>
              <w:jc w:val="left"/>
              <w:rPr>
                <w:sz w:val="19"/>
                <w:szCs w:val="19"/>
              </w:rPr>
            </w:pPr>
          </w:p>
        </w:tc>
        <w:tc>
          <w:tcPr>
            <w:tcW w:w="4138" w:type="pct"/>
            <w:gridSpan w:val="7"/>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D9C1CEA" w14:textId="246B537F" w:rsidR="00424090" w:rsidRPr="001144F5" w:rsidRDefault="004D04C7" w:rsidP="008351C5">
            <w:pPr>
              <w:jc w:val="left"/>
              <w:rPr>
                <w:sz w:val="19"/>
                <w:szCs w:val="19"/>
              </w:rPr>
            </w:pPr>
            <w:r w:rsidRPr="004D04C7">
              <w:rPr>
                <w:sz w:val="19"/>
                <w:szCs w:val="19"/>
              </w:rPr>
              <w:t xml:space="preserve">eWater increased the density of taxa dependent upon lateral connectivity by an average of 26% across all years (with CEW accounting for 97% of this). The significance of the contribution was classified as none-negligible if the contribution was 0–9%, minor = 10–19%, moderate =20–29% and substantial = ≥30%. Refer to the evaluation in Section </w:t>
            </w:r>
            <w:r>
              <w:rPr>
                <w:sz w:val="19"/>
                <w:szCs w:val="19"/>
              </w:rPr>
              <w:fldChar w:fldCharType="begin"/>
            </w:r>
            <w:r>
              <w:rPr>
                <w:sz w:val="19"/>
                <w:szCs w:val="19"/>
              </w:rPr>
              <w:instrText xml:space="preserve"> REF _Ref95295870 \r \h </w:instrText>
            </w:r>
            <w:r>
              <w:rPr>
                <w:sz w:val="19"/>
                <w:szCs w:val="19"/>
              </w:rPr>
            </w:r>
            <w:r>
              <w:rPr>
                <w:sz w:val="19"/>
                <w:szCs w:val="19"/>
              </w:rPr>
              <w:fldChar w:fldCharType="separate"/>
            </w:r>
            <w:r w:rsidR="003C13F6">
              <w:rPr>
                <w:sz w:val="19"/>
                <w:szCs w:val="19"/>
              </w:rPr>
              <w:t>2.5</w:t>
            </w:r>
            <w:r>
              <w:rPr>
                <w:sz w:val="19"/>
                <w:szCs w:val="19"/>
              </w:rPr>
              <w:fldChar w:fldCharType="end"/>
            </w:r>
            <w:r>
              <w:rPr>
                <w:sz w:val="19"/>
                <w:szCs w:val="19"/>
              </w:rPr>
              <w:t xml:space="preserve"> </w:t>
            </w:r>
            <w:r w:rsidRPr="004D04C7">
              <w:rPr>
                <w:sz w:val="19"/>
                <w:szCs w:val="19"/>
              </w:rPr>
              <w:t>for details.</w:t>
            </w:r>
          </w:p>
        </w:tc>
      </w:tr>
    </w:tbl>
    <w:p w14:paraId="717C7F35" w14:textId="0D78ED00" w:rsidR="00A350F9" w:rsidRPr="00C04EA3" w:rsidRDefault="00A350F9" w:rsidP="00A350F9">
      <w:pPr>
        <w:rPr>
          <w:b/>
          <w:lang w:val="en-US"/>
        </w:rPr>
      </w:pPr>
      <w:r w:rsidRPr="00C04EA3">
        <w:rPr>
          <w:b/>
          <w:lang w:val="en-US"/>
        </w:rPr>
        <w:t xml:space="preserve">Fish </w:t>
      </w:r>
      <w:r w:rsidR="00867D02" w:rsidRPr="00C04EA3">
        <w:rPr>
          <w:b/>
          <w:lang w:val="en-US"/>
        </w:rPr>
        <w:t>(all indicators)</w:t>
      </w:r>
    </w:p>
    <w:p w14:paraId="35873688" w14:textId="2CA51932" w:rsidR="008E2DA7" w:rsidRDefault="008E2DA7" w:rsidP="008E2DA7">
      <w:pPr>
        <w:rPr>
          <w:lang w:val="en-US"/>
        </w:rPr>
      </w:pPr>
      <w:r w:rsidRPr="008E2DA7">
        <w:rPr>
          <w:lang w:val="en-US"/>
        </w:rPr>
        <w:t xml:space="preserve">Fish data have been consolidated to evaluate a number of fish targets of DEW’s LTWP. These questions and answers do not relate to evaluation of flow or </w:t>
      </w:r>
      <w:r w:rsidR="00DC2661">
        <w:rPr>
          <w:lang w:val="en-US"/>
        </w:rPr>
        <w:t>Commonwealth environmental water</w:t>
      </w:r>
      <w:r w:rsidRPr="008E2DA7">
        <w:rPr>
          <w:lang w:val="en-US"/>
        </w:rPr>
        <w:t xml:space="preserve">. Furthermore, the LTIM Fish monitoring program is not designed to determine what is facilitating changes in population dynamics of fish species for DEW’s LTWP evaluation questions, e.g. spawning and recruitment of </w:t>
      </w:r>
      <w:r>
        <w:rPr>
          <w:lang w:val="en-US"/>
        </w:rPr>
        <w:t>freshwater catfish</w:t>
      </w:r>
      <w:r w:rsidRPr="008E2DA7">
        <w:rPr>
          <w:lang w:val="en-US"/>
        </w:rPr>
        <w:t xml:space="preserve"> or common carp.</w:t>
      </w:r>
      <w:r w:rsidR="00DC2661">
        <w:rPr>
          <w:lang w:val="en-US"/>
        </w:rPr>
        <w:t xml:space="preserve"> NA = not applicable.</w:t>
      </w:r>
    </w:p>
    <w:p w14:paraId="23F9E6B4" w14:textId="23976BB7" w:rsidR="0088325F" w:rsidRPr="00AF70C9" w:rsidRDefault="0088325F" w:rsidP="0088325F">
      <w:pPr>
        <w:spacing w:before="0" w:after="160" w:line="259" w:lineRule="auto"/>
        <w:jc w:val="left"/>
        <w:rPr>
          <w:sz w:val="18"/>
        </w:rPr>
      </w:pPr>
      <w:r w:rsidRPr="00AF70C9">
        <w:rPr>
          <w:sz w:val="18"/>
        </w:rPr>
        <w:t xml:space="preserve">Outcome:  </w:t>
      </w:r>
      <w:r w:rsidRPr="00AF70C9">
        <w:rPr>
          <w:noProof/>
          <w:sz w:val="18"/>
          <w:lang w:eastAsia="en-AU"/>
        </w:rPr>
        <mc:AlternateContent>
          <mc:Choice Requires="wps">
            <w:drawing>
              <wp:inline distT="0" distB="0" distL="0" distR="0" wp14:anchorId="45145671" wp14:editId="3844F8BB">
                <wp:extent cx="285750" cy="152400"/>
                <wp:effectExtent l="0" t="0" r="19050" b="19050"/>
                <wp:docPr id="26" name="Rectangle 26"/>
                <wp:cNvGraphicFramePr/>
                <a:graphic xmlns:a="http://schemas.openxmlformats.org/drawingml/2006/main">
                  <a:graphicData uri="http://schemas.microsoft.com/office/word/2010/wordprocessingShape">
                    <wps:wsp>
                      <wps:cNvSpPr/>
                      <wps:spPr>
                        <a:xfrm>
                          <a:off x="0" y="0"/>
                          <a:ext cx="285750" cy="152400"/>
                        </a:xfrm>
                        <a:prstGeom prst="rect">
                          <a:avLst/>
                        </a:prstGeom>
                        <a:solidFill>
                          <a:srgbClr val="FFCC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B2F8AA" id="Rectangle 26"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" fillcolor="#fcc" strokecolor="black [3213]" strokeweight="1pt">
                <w10:anchorlock/>
              </v:rect>
            </w:pict>
          </mc:Fallback>
        </mc:AlternateContent>
      </w:r>
      <w:r w:rsidRPr="00AF70C9">
        <w:rPr>
          <w:sz w:val="18"/>
        </w:rPr>
        <w:t xml:space="preserve"> = negative; </w:t>
      </w:r>
      <w:r w:rsidRPr="00AF70C9">
        <w:rPr>
          <w:noProof/>
          <w:sz w:val="18"/>
          <w:lang w:eastAsia="en-AU"/>
        </w:rPr>
        <mc:AlternateContent>
          <mc:Choice Requires="wps">
            <w:drawing>
              <wp:inline distT="0" distB="0" distL="0" distR="0" wp14:anchorId="4906E2F1" wp14:editId="283D1C8E">
                <wp:extent cx="285750" cy="152400"/>
                <wp:effectExtent l="0" t="0" r="19050" b="19050"/>
                <wp:docPr id="29" name="Rectangle 29"/>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A6D0BA" id="Rectangle 29"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" fillcolor="#e2efd9 [665]" strokecolor="black [3213]" strokeweight="1pt">
                <w10:anchorlock/>
              </v:rect>
            </w:pict>
          </mc:Fallback>
        </mc:AlternateContent>
      </w:r>
      <w:r w:rsidRPr="00AF70C9">
        <w:rPr>
          <w:sz w:val="18"/>
        </w:rPr>
        <w:t xml:space="preserve"> = positive; </w:t>
      </w:r>
      <w:r w:rsidRPr="00AF70C9">
        <w:rPr>
          <w:noProof/>
          <w:sz w:val="18"/>
          <w:lang w:eastAsia="en-AU"/>
        </w:rPr>
        <mc:AlternateContent>
          <mc:Choice Requires="wps">
            <w:drawing>
              <wp:inline distT="0" distB="0" distL="0" distR="0" wp14:anchorId="4B7D47BB" wp14:editId="2035AA1A">
                <wp:extent cx="285750" cy="152400"/>
                <wp:effectExtent l="0" t="0" r="19050" b="19050"/>
                <wp:docPr id="30" name="Rectangle 30"/>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3AB592" id="Rectangle 30"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" fillcolor="#cfcdcd [2894]" strokecolor="black [3213]" strokeweight="1pt">
                <w10:anchorlock/>
              </v:rect>
            </w:pict>
          </mc:Fallback>
        </mc:AlternateContent>
      </w:r>
      <w:r w:rsidRPr="00AF70C9">
        <w:rPr>
          <w:sz w:val="18"/>
        </w:rPr>
        <w:t xml:space="preserve"> = unable to be detected.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566"/>
        <w:gridCol w:w="566"/>
        <w:gridCol w:w="568"/>
        <w:gridCol w:w="566"/>
        <w:gridCol w:w="566"/>
        <w:gridCol w:w="709"/>
        <w:gridCol w:w="1652"/>
      </w:tblGrid>
      <w:tr w:rsidR="00424090" w:rsidRPr="00B510A2" w14:paraId="5BDA23D1" w14:textId="1F9513F7" w:rsidTr="00424090">
        <w:trPr>
          <w:cantSplit/>
          <w:tblHeader/>
        </w:trPr>
        <w:tc>
          <w:tcPr>
            <w:tcW w:w="2120" w:type="pct"/>
            <w:vMerge w:val="restart"/>
            <w:shd w:val="clear" w:color="auto" w:fill="auto"/>
          </w:tcPr>
          <w:p w14:paraId="0AC2FDD9" w14:textId="77777777" w:rsidR="00424090" w:rsidRPr="00B510A2" w:rsidRDefault="00424090" w:rsidP="008351C5">
            <w:pPr>
              <w:pStyle w:val="TableHeading"/>
              <w:jc w:val="left"/>
              <w:rPr>
                <w:sz w:val="19"/>
                <w:szCs w:val="19"/>
              </w:rPr>
            </w:pPr>
            <w:r w:rsidRPr="00B510A2">
              <w:rPr>
                <w:sz w:val="19"/>
                <w:szCs w:val="19"/>
              </w:rPr>
              <w:t>DEW evaluation questions</w:t>
            </w:r>
          </w:p>
        </w:tc>
        <w:tc>
          <w:tcPr>
            <w:tcW w:w="2880" w:type="pct"/>
            <w:gridSpan w:val="7"/>
          </w:tcPr>
          <w:p w14:paraId="352BBC2E" w14:textId="3B580FFC" w:rsidR="00424090" w:rsidRPr="00B510A2" w:rsidRDefault="00424090" w:rsidP="008351C5">
            <w:pPr>
              <w:pStyle w:val="TableHeading"/>
              <w:jc w:val="left"/>
              <w:rPr>
                <w:sz w:val="19"/>
                <w:szCs w:val="19"/>
              </w:rPr>
            </w:pPr>
            <w:r w:rsidRPr="00B510A2">
              <w:rPr>
                <w:sz w:val="19"/>
                <w:szCs w:val="19"/>
              </w:rPr>
              <w:t xml:space="preserve">Answers to </w:t>
            </w:r>
            <w:r>
              <w:rPr>
                <w:sz w:val="19"/>
                <w:szCs w:val="19"/>
              </w:rPr>
              <w:t>evaluation questions (2015 to 2021)</w:t>
            </w:r>
          </w:p>
        </w:tc>
      </w:tr>
      <w:tr w:rsidR="00424090" w:rsidRPr="00B510A2" w14:paraId="75E0F986" w14:textId="69DEF531" w:rsidTr="00424090">
        <w:trPr>
          <w:cantSplit/>
          <w:trHeight w:val="397"/>
          <w:tblHeader/>
        </w:trPr>
        <w:tc>
          <w:tcPr>
            <w:tcW w:w="2120" w:type="pct"/>
            <w:vMerge/>
            <w:shd w:val="clear" w:color="auto" w:fill="auto"/>
          </w:tcPr>
          <w:p w14:paraId="5A9CFDBD" w14:textId="77777777" w:rsidR="00424090" w:rsidRPr="00B510A2" w:rsidRDefault="00424090" w:rsidP="008351C5">
            <w:pPr>
              <w:pStyle w:val="TableHeading"/>
              <w:jc w:val="left"/>
              <w:rPr>
                <w:sz w:val="19"/>
                <w:szCs w:val="19"/>
              </w:rPr>
            </w:pPr>
          </w:p>
        </w:tc>
        <w:tc>
          <w:tcPr>
            <w:tcW w:w="314" w:type="pct"/>
            <w:shd w:val="clear" w:color="auto" w:fill="auto"/>
            <w:vAlign w:val="center"/>
          </w:tcPr>
          <w:p w14:paraId="6743926C" w14:textId="23B61598" w:rsidR="00424090" w:rsidRPr="00B510A2" w:rsidRDefault="00424090" w:rsidP="008351C5">
            <w:pPr>
              <w:pStyle w:val="TableHeading"/>
              <w:jc w:val="center"/>
              <w:rPr>
                <w:sz w:val="19"/>
                <w:szCs w:val="19"/>
              </w:rPr>
            </w:pPr>
            <w:r w:rsidRPr="00B510A2">
              <w:rPr>
                <w:sz w:val="19"/>
                <w:szCs w:val="19"/>
              </w:rPr>
              <w:t>15</w:t>
            </w:r>
          </w:p>
        </w:tc>
        <w:tc>
          <w:tcPr>
            <w:tcW w:w="314" w:type="pct"/>
            <w:shd w:val="clear" w:color="auto" w:fill="auto"/>
            <w:vAlign w:val="center"/>
          </w:tcPr>
          <w:p w14:paraId="2655298E" w14:textId="5E114829" w:rsidR="00424090" w:rsidRPr="00B510A2" w:rsidRDefault="00424090" w:rsidP="008351C5">
            <w:pPr>
              <w:pStyle w:val="TableHeading"/>
              <w:jc w:val="center"/>
              <w:rPr>
                <w:sz w:val="19"/>
                <w:szCs w:val="19"/>
              </w:rPr>
            </w:pPr>
            <w:r w:rsidRPr="00B510A2">
              <w:rPr>
                <w:sz w:val="19"/>
                <w:szCs w:val="19"/>
              </w:rPr>
              <w:t>16</w:t>
            </w:r>
          </w:p>
        </w:tc>
        <w:tc>
          <w:tcPr>
            <w:tcW w:w="315" w:type="pct"/>
            <w:shd w:val="clear" w:color="auto" w:fill="auto"/>
            <w:vAlign w:val="center"/>
          </w:tcPr>
          <w:p w14:paraId="2C27EAC7" w14:textId="1C765E31" w:rsidR="00424090" w:rsidRPr="00B510A2" w:rsidRDefault="00424090" w:rsidP="008351C5">
            <w:pPr>
              <w:pStyle w:val="TableHeading"/>
              <w:jc w:val="center"/>
              <w:rPr>
                <w:sz w:val="19"/>
                <w:szCs w:val="19"/>
              </w:rPr>
            </w:pPr>
            <w:r w:rsidRPr="00B510A2">
              <w:rPr>
                <w:sz w:val="19"/>
                <w:szCs w:val="19"/>
              </w:rPr>
              <w:t>17</w:t>
            </w:r>
          </w:p>
        </w:tc>
        <w:tc>
          <w:tcPr>
            <w:tcW w:w="314" w:type="pct"/>
            <w:shd w:val="clear" w:color="auto" w:fill="auto"/>
            <w:vAlign w:val="center"/>
          </w:tcPr>
          <w:p w14:paraId="1266A4FE" w14:textId="491DC50D" w:rsidR="00424090" w:rsidRPr="00B510A2" w:rsidRDefault="00424090" w:rsidP="008351C5">
            <w:pPr>
              <w:pStyle w:val="TableHeading"/>
              <w:jc w:val="center"/>
              <w:rPr>
                <w:sz w:val="19"/>
                <w:szCs w:val="19"/>
              </w:rPr>
            </w:pPr>
            <w:r w:rsidRPr="00B510A2">
              <w:rPr>
                <w:sz w:val="19"/>
                <w:szCs w:val="19"/>
              </w:rPr>
              <w:t>18</w:t>
            </w:r>
          </w:p>
        </w:tc>
        <w:tc>
          <w:tcPr>
            <w:tcW w:w="314" w:type="pct"/>
            <w:shd w:val="clear" w:color="auto" w:fill="auto"/>
          </w:tcPr>
          <w:p w14:paraId="06D46FCE" w14:textId="006465F0" w:rsidR="00424090" w:rsidRPr="00B510A2" w:rsidRDefault="00424090" w:rsidP="008351C5">
            <w:pPr>
              <w:pStyle w:val="TableHeading"/>
              <w:jc w:val="center"/>
              <w:rPr>
                <w:sz w:val="19"/>
                <w:szCs w:val="19"/>
              </w:rPr>
            </w:pPr>
            <w:r w:rsidRPr="00B510A2">
              <w:rPr>
                <w:sz w:val="19"/>
                <w:szCs w:val="19"/>
              </w:rPr>
              <w:t>19</w:t>
            </w:r>
          </w:p>
        </w:tc>
        <w:tc>
          <w:tcPr>
            <w:tcW w:w="393" w:type="pct"/>
            <w:shd w:val="clear" w:color="auto" w:fill="auto"/>
          </w:tcPr>
          <w:p w14:paraId="1ED1E8E9" w14:textId="7A667D9B" w:rsidR="00424090" w:rsidRPr="00B510A2" w:rsidRDefault="00424090" w:rsidP="008351C5">
            <w:pPr>
              <w:pStyle w:val="TableHeading"/>
              <w:jc w:val="center"/>
              <w:rPr>
                <w:sz w:val="19"/>
                <w:szCs w:val="19"/>
              </w:rPr>
            </w:pPr>
            <w:r>
              <w:rPr>
                <w:sz w:val="19"/>
                <w:szCs w:val="19"/>
              </w:rPr>
              <w:t>20</w:t>
            </w:r>
          </w:p>
        </w:tc>
        <w:tc>
          <w:tcPr>
            <w:tcW w:w="916" w:type="pct"/>
          </w:tcPr>
          <w:p w14:paraId="297159C1" w14:textId="49ECF6C0" w:rsidR="00424090" w:rsidRDefault="00424090" w:rsidP="008351C5">
            <w:pPr>
              <w:pStyle w:val="TableHeading"/>
              <w:jc w:val="center"/>
              <w:rPr>
                <w:sz w:val="19"/>
                <w:szCs w:val="19"/>
              </w:rPr>
            </w:pPr>
            <w:r>
              <w:rPr>
                <w:sz w:val="19"/>
                <w:szCs w:val="19"/>
              </w:rPr>
              <w:t>21</w:t>
            </w:r>
          </w:p>
        </w:tc>
      </w:tr>
      <w:tr w:rsidR="00424090" w:rsidRPr="00B510A2" w14:paraId="3D090CF1" w14:textId="7C8D0BBD" w:rsidTr="00BB2DA7">
        <w:trPr>
          <w:cantSplit/>
        </w:trPr>
        <w:tc>
          <w:tcPr>
            <w:tcW w:w="2120" w:type="pct"/>
            <w:vAlign w:val="center"/>
          </w:tcPr>
          <w:p w14:paraId="52D18370" w14:textId="77777777" w:rsidR="00424090" w:rsidRPr="00BB7D4F" w:rsidRDefault="00424090" w:rsidP="00424090">
            <w:pPr>
              <w:jc w:val="left"/>
              <w:rPr>
                <w:color w:val="auto"/>
                <w:sz w:val="19"/>
                <w:szCs w:val="19"/>
              </w:rPr>
            </w:pPr>
            <w:r w:rsidRPr="00BB7D4F">
              <w:rPr>
                <w:color w:val="auto"/>
                <w:sz w:val="19"/>
                <w:szCs w:val="19"/>
              </w:rPr>
              <w:t>Did the population age structure of Murray cod include recent recruits (i.e. &lt;300 mm TL), sub-adults (300–600 mm) and adults (&gt;600 mm) in the Lower Murray?</w:t>
            </w:r>
          </w:p>
        </w:tc>
        <w:tc>
          <w:tcPr>
            <w:tcW w:w="314" w:type="pct"/>
            <w:shd w:val="clear" w:color="auto" w:fill="FDCBCB"/>
            <w:vAlign w:val="center"/>
          </w:tcPr>
          <w:p w14:paraId="37E6F578" w14:textId="77777777" w:rsidR="00424090" w:rsidRPr="00B510A2" w:rsidRDefault="00424090" w:rsidP="00424090">
            <w:pPr>
              <w:jc w:val="center"/>
              <w:rPr>
                <w:sz w:val="19"/>
                <w:szCs w:val="19"/>
              </w:rPr>
            </w:pPr>
            <w:r w:rsidRPr="00B510A2">
              <w:rPr>
                <w:sz w:val="19"/>
                <w:szCs w:val="19"/>
              </w:rPr>
              <w:t>X</w:t>
            </w:r>
          </w:p>
        </w:tc>
        <w:tc>
          <w:tcPr>
            <w:tcW w:w="314" w:type="pct"/>
            <w:shd w:val="clear" w:color="auto" w:fill="E2EFD9" w:themeFill="accent6" w:themeFillTint="33"/>
            <w:vAlign w:val="center"/>
          </w:tcPr>
          <w:p w14:paraId="3263C4AD" w14:textId="77777777" w:rsidR="00424090" w:rsidRPr="00B510A2" w:rsidRDefault="00424090" w:rsidP="00424090">
            <w:pPr>
              <w:jc w:val="center"/>
              <w:rPr>
                <w:sz w:val="19"/>
                <w:szCs w:val="19"/>
              </w:rPr>
            </w:pPr>
            <w:r w:rsidRPr="00B510A2">
              <w:rPr>
                <w:sz w:val="19"/>
                <w:szCs w:val="19"/>
              </w:rPr>
              <w:t>√</w:t>
            </w:r>
          </w:p>
        </w:tc>
        <w:tc>
          <w:tcPr>
            <w:tcW w:w="315" w:type="pct"/>
            <w:shd w:val="clear" w:color="auto" w:fill="E2EFD9" w:themeFill="accent6" w:themeFillTint="33"/>
            <w:vAlign w:val="center"/>
          </w:tcPr>
          <w:p w14:paraId="387CF0A6"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2C28D4F1"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357DE3B7" w14:textId="77777777" w:rsidR="00424090" w:rsidRPr="00B510A2" w:rsidRDefault="00424090" w:rsidP="00424090">
            <w:pPr>
              <w:jc w:val="center"/>
              <w:rPr>
                <w:sz w:val="19"/>
                <w:szCs w:val="19"/>
              </w:rPr>
            </w:pPr>
            <w:r w:rsidRPr="00B510A2">
              <w:rPr>
                <w:sz w:val="19"/>
                <w:szCs w:val="19"/>
              </w:rPr>
              <w:t>√</w:t>
            </w:r>
          </w:p>
        </w:tc>
        <w:tc>
          <w:tcPr>
            <w:tcW w:w="393" w:type="pct"/>
            <w:shd w:val="clear" w:color="auto" w:fill="E2EFD9" w:themeFill="accent6" w:themeFillTint="33"/>
            <w:vAlign w:val="center"/>
          </w:tcPr>
          <w:p w14:paraId="3995A5DE" w14:textId="674851D8" w:rsidR="00424090" w:rsidRPr="00AF698F" w:rsidRDefault="00424090" w:rsidP="00424090">
            <w:pPr>
              <w:jc w:val="center"/>
              <w:rPr>
                <w:sz w:val="19"/>
                <w:szCs w:val="19"/>
              </w:rPr>
            </w:pPr>
            <w:r w:rsidRPr="00B510A2">
              <w:rPr>
                <w:sz w:val="19"/>
                <w:szCs w:val="19"/>
              </w:rPr>
              <w:t>√</w:t>
            </w:r>
          </w:p>
        </w:tc>
        <w:tc>
          <w:tcPr>
            <w:tcW w:w="916" w:type="pct"/>
            <w:shd w:val="clear" w:color="auto" w:fill="E2EFD9" w:themeFill="accent6" w:themeFillTint="33"/>
            <w:vAlign w:val="center"/>
          </w:tcPr>
          <w:p w14:paraId="122403FC" w14:textId="77777777" w:rsidR="00424090" w:rsidRPr="00BB2DA7" w:rsidRDefault="00424090" w:rsidP="00424090">
            <w:pPr>
              <w:jc w:val="center"/>
              <w:rPr>
                <w:sz w:val="19"/>
                <w:szCs w:val="19"/>
              </w:rPr>
            </w:pPr>
            <w:r w:rsidRPr="00BB2DA7">
              <w:rPr>
                <w:sz w:val="19"/>
                <w:szCs w:val="19"/>
              </w:rPr>
              <w:t>√</w:t>
            </w:r>
          </w:p>
          <w:p w14:paraId="4A084E91" w14:textId="10D58E1D" w:rsidR="00424090" w:rsidRPr="00424090" w:rsidRDefault="00424090" w:rsidP="00424090">
            <w:pPr>
              <w:jc w:val="center"/>
              <w:rPr>
                <w:sz w:val="19"/>
                <w:szCs w:val="19"/>
                <w:highlight w:val="yellow"/>
              </w:rPr>
            </w:pPr>
            <w:r w:rsidRPr="00BB2DA7">
              <w:rPr>
                <w:sz w:val="19"/>
                <w:szCs w:val="19"/>
              </w:rPr>
              <w:t>(</w:t>
            </w:r>
            <w:r w:rsidRPr="00BB2DA7">
              <w:rPr>
                <w:sz w:val="19"/>
                <w:szCs w:val="19"/>
              </w:rPr>
              <w:fldChar w:fldCharType="begin"/>
            </w:r>
            <w:r w:rsidRPr="00BB2DA7">
              <w:rPr>
                <w:sz w:val="19"/>
                <w:szCs w:val="19"/>
              </w:rPr>
              <w:instrText xml:space="preserve"> REF _Ref57899437 \h  \* MERGEFORMAT </w:instrText>
            </w:r>
            <w:r w:rsidRPr="00BB2DA7">
              <w:rPr>
                <w:sz w:val="19"/>
                <w:szCs w:val="19"/>
              </w:rPr>
            </w:r>
            <w:r w:rsidRPr="00BB2DA7">
              <w:rPr>
                <w:sz w:val="19"/>
                <w:szCs w:val="19"/>
              </w:rPr>
              <w:fldChar w:fldCharType="separate"/>
            </w:r>
            <w:r w:rsidR="003C13F6" w:rsidRPr="003C13F6">
              <w:rPr>
                <w:sz w:val="19"/>
                <w:szCs w:val="19"/>
              </w:rPr>
              <w:t xml:space="preserve">Figure </w:t>
            </w:r>
            <w:r w:rsidR="003C13F6" w:rsidRPr="003C13F6">
              <w:rPr>
                <w:noProof/>
                <w:sz w:val="19"/>
                <w:szCs w:val="19"/>
              </w:rPr>
              <w:t>57</w:t>
            </w:r>
            <w:r w:rsidRPr="00BB2DA7">
              <w:rPr>
                <w:sz w:val="19"/>
                <w:szCs w:val="19"/>
              </w:rPr>
              <w:fldChar w:fldCharType="end"/>
            </w:r>
            <w:r w:rsidRPr="00BB2DA7">
              <w:rPr>
                <w:sz w:val="19"/>
                <w:szCs w:val="19"/>
              </w:rPr>
              <w:t>)</w:t>
            </w:r>
          </w:p>
        </w:tc>
      </w:tr>
      <w:tr w:rsidR="00424090" w:rsidRPr="00B510A2" w14:paraId="577759C4" w14:textId="3BBAE2B9" w:rsidTr="00BB2DA7">
        <w:trPr>
          <w:cantSplit/>
        </w:trPr>
        <w:tc>
          <w:tcPr>
            <w:tcW w:w="2120" w:type="pct"/>
            <w:vAlign w:val="center"/>
          </w:tcPr>
          <w:p w14:paraId="1F42447B" w14:textId="1B04FB32" w:rsidR="00424090" w:rsidRPr="00BB7D4F" w:rsidRDefault="00424090" w:rsidP="00424090">
            <w:pPr>
              <w:jc w:val="left"/>
              <w:rPr>
                <w:color w:val="auto"/>
                <w:sz w:val="19"/>
                <w:szCs w:val="19"/>
              </w:rPr>
            </w:pPr>
            <w:r w:rsidRPr="00BB7D4F">
              <w:rPr>
                <w:sz w:val="19"/>
                <w:szCs w:val="19"/>
              </w:rPr>
              <w:t>Did the length-frequency distribution for Murray cod indicate a large recruitment event, demonstrated by a YOY cohort representing &gt;50% of the population from the Lower Murray?</w:t>
            </w:r>
          </w:p>
        </w:tc>
        <w:tc>
          <w:tcPr>
            <w:tcW w:w="314" w:type="pct"/>
            <w:shd w:val="clear" w:color="auto" w:fill="FDCBCB"/>
            <w:vAlign w:val="center"/>
          </w:tcPr>
          <w:p w14:paraId="1EB8A435" w14:textId="77777777" w:rsidR="00424090" w:rsidRPr="00B510A2" w:rsidRDefault="00424090" w:rsidP="00424090">
            <w:pPr>
              <w:jc w:val="center"/>
              <w:rPr>
                <w:sz w:val="19"/>
                <w:szCs w:val="19"/>
              </w:rPr>
            </w:pPr>
            <w:r w:rsidRPr="00B510A2">
              <w:rPr>
                <w:sz w:val="19"/>
                <w:szCs w:val="19"/>
              </w:rPr>
              <w:t>X</w:t>
            </w:r>
          </w:p>
        </w:tc>
        <w:tc>
          <w:tcPr>
            <w:tcW w:w="314" w:type="pct"/>
            <w:tcBorders>
              <w:bottom w:val="single" w:sz="4" w:space="0" w:color="auto"/>
            </w:tcBorders>
            <w:shd w:val="clear" w:color="auto" w:fill="FDCBCB"/>
            <w:vAlign w:val="center"/>
          </w:tcPr>
          <w:p w14:paraId="2C8034E9" w14:textId="77777777" w:rsidR="00424090" w:rsidRPr="00B510A2" w:rsidDel="00770E07" w:rsidRDefault="00424090" w:rsidP="00424090">
            <w:pPr>
              <w:jc w:val="center"/>
              <w:rPr>
                <w:sz w:val="19"/>
                <w:szCs w:val="19"/>
              </w:rPr>
            </w:pPr>
            <w:r w:rsidRPr="00B510A2">
              <w:rPr>
                <w:sz w:val="19"/>
                <w:szCs w:val="19"/>
              </w:rPr>
              <w:t>X</w:t>
            </w:r>
          </w:p>
        </w:tc>
        <w:tc>
          <w:tcPr>
            <w:tcW w:w="315" w:type="pct"/>
            <w:tcBorders>
              <w:bottom w:val="single" w:sz="4" w:space="0" w:color="auto"/>
            </w:tcBorders>
            <w:shd w:val="clear" w:color="auto" w:fill="FDCBCB"/>
            <w:vAlign w:val="center"/>
          </w:tcPr>
          <w:p w14:paraId="4D7A9633" w14:textId="77777777" w:rsidR="00424090" w:rsidRPr="00B510A2" w:rsidRDefault="00424090" w:rsidP="00424090">
            <w:pPr>
              <w:jc w:val="center"/>
              <w:rPr>
                <w:sz w:val="19"/>
                <w:szCs w:val="19"/>
              </w:rPr>
            </w:pPr>
            <w:r w:rsidRPr="00B510A2">
              <w:rPr>
                <w:sz w:val="19"/>
                <w:szCs w:val="19"/>
              </w:rPr>
              <w:t>X</w:t>
            </w:r>
          </w:p>
        </w:tc>
        <w:tc>
          <w:tcPr>
            <w:tcW w:w="314" w:type="pct"/>
            <w:tcBorders>
              <w:bottom w:val="single" w:sz="4" w:space="0" w:color="auto"/>
            </w:tcBorders>
            <w:shd w:val="clear" w:color="auto" w:fill="FDCBCB"/>
            <w:vAlign w:val="center"/>
          </w:tcPr>
          <w:p w14:paraId="72E10E45" w14:textId="77777777" w:rsidR="00424090" w:rsidRPr="00B510A2" w:rsidRDefault="00424090" w:rsidP="00424090">
            <w:pPr>
              <w:jc w:val="center"/>
              <w:rPr>
                <w:sz w:val="19"/>
                <w:szCs w:val="19"/>
              </w:rPr>
            </w:pPr>
            <w:r w:rsidRPr="00B510A2">
              <w:rPr>
                <w:sz w:val="19"/>
                <w:szCs w:val="19"/>
              </w:rPr>
              <w:t>X</w:t>
            </w:r>
          </w:p>
        </w:tc>
        <w:tc>
          <w:tcPr>
            <w:tcW w:w="314" w:type="pct"/>
            <w:tcBorders>
              <w:bottom w:val="single" w:sz="4" w:space="0" w:color="auto"/>
            </w:tcBorders>
            <w:shd w:val="clear" w:color="auto" w:fill="E2EFD9" w:themeFill="accent6" w:themeFillTint="33"/>
            <w:vAlign w:val="center"/>
          </w:tcPr>
          <w:p w14:paraId="3EED74E9" w14:textId="77777777" w:rsidR="00424090" w:rsidRPr="00B510A2" w:rsidRDefault="00424090" w:rsidP="00424090">
            <w:pPr>
              <w:jc w:val="center"/>
              <w:rPr>
                <w:sz w:val="19"/>
                <w:szCs w:val="19"/>
              </w:rPr>
            </w:pPr>
            <w:r w:rsidRPr="00B510A2">
              <w:rPr>
                <w:sz w:val="19"/>
                <w:szCs w:val="19"/>
              </w:rPr>
              <w:t>√</w:t>
            </w:r>
          </w:p>
        </w:tc>
        <w:tc>
          <w:tcPr>
            <w:tcW w:w="393" w:type="pct"/>
            <w:tcBorders>
              <w:bottom w:val="single" w:sz="4" w:space="0" w:color="auto"/>
            </w:tcBorders>
            <w:shd w:val="clear" w:color="auto" w:fill="E2EFD9" w:themeFill="accent6" w:themeFillTint="33"/>
            <w:vAlign w:val="center"/>
          </w:tcPr>
          <w:p w14:paraId="36AAF49F" w14:textId="1E9DD484" w:rsidR="00424090" w:rsidRPr="00E00ED4" w:rsidRDefault="00424090" w:rsidP="00424090">
            <w:pPr>
              <w:jc w:val="center"/>
              <w:rPr>
                <w:sz w:val="19"/>
                <w:szCs w:val="19"/>
              </w:rPr>
            </w:pPr>
            <w:r w:rsidRPr="00B510A2">
              <w:rPr>
                <w:sz w:val="19"/>
                <w:szCs w:val="19"/>
              </w:rPr>
              <w:t>√</w:t>
            </w:r>
            <w:r>
              <w:rPr>
                <w:sz w:val="19"/>
                <w:szCs w:val="19"/>
              </w:rPr>
              <w:t xml:space="preserve"> </w:t>
            </w:r>
          </w:p>
        </w:tc>
        <w:tc>
          <w:tcPr>
            <w:tcW w:w="916" w:type="pct"/>
            <w:tcBorders>
              <w:bottom w:val="single" w:sz="4" w:space="0" w:color="auto"/>
            </w:tcBorders>
            <w:shd w:val="clear" w:color="auto" w:fill="FED6CE"/>
            <w:vAlign w:val="center"/>
          </w:tcPr>
          <w:p w14:paraId="0AD815E0" w14:textId="13CDAF97" w:rsidR="00424090" w:rsidRPr="00BB2DA7" w:rsidRDefault="00BB2DA7" w:rsidP="00424090">
            <w:pPr>
              <w:jc w:val="center"/>
              <w:rPr>
                <w:sz w:val="19"/>
                <w:szCs w:val="19"/>
              </w:rPr>
            </w:pPr>
            <w:r w:rsidRPr="00BB2DA7">
              <w:rPr>
                <w:sz w:val="19"/>
                <w:szCs w:val="19"/>
              </w:rPr>
              <w:t>X</w:t>
            </w:r>
            <w:r w:rsidR="00424090" w:rsidRPr="00BB2DA7">
              <w:rPr>
                <w:sz w:val="19"/>
                <w:szCs w:val="19"/>
              </w:rPr>
              <w:t xml:space="preserve"> </w:t>
            </w:r>
          </w:p>
          <w:p w14:paraId="0B98A914" w14:textId="12BD9739" w:rsidR="00424090" w:rsidRPr="00424090" w:rsidRDefault="00424090" w:rsidP="00424090">
            <w:pPr>
              <w:jc w:val="center"/>
              <w:rPr>
                <w:sz w:val="19"/>
                <w:szCs w:val="19"/>
                <w:highlight w:val="yellow"/>
              </w:rPr>
            </w:pPr>
            <w:r w:rsidRPr="00BB2DA7">
              <w:rPr>
                <w:sz w:val="19"/>
                <w:szCs w:val="19"/>
              </w:rPr>
              <w:t>(</w:t>
            </w:r>
            <w:r w:rsidR="00BB2DA7" w:rsidRPr="00BB2DA7">
              <w:rPr>
                <w:sz w:val="19"/>
                <w:szCs w:val="19"/>
              </w:rPr>
              <w:t>7</w:t>
            </w:r>
            <w:r w:rsidRPr="00BB2DA7">
              <w:rPr>
                <w:sz w:val="19"/>
                <w:szCs w:val="19"/>
              </w:rPr>
              <w:t xml:space="preserve">%, </w:t>
            </w:r>
            <w:r w:rsidRPr="00BB2DA7">
              <w:rPr>
                <w:sz w:val="19"/>
                <w:szCs w:val="19"/>
              </w:rPr>
              <w:fldChar w:fldCharType="begin"/>
            </w:r>
            <w:r w:rsidRPr="00BB2DA7">
              <w:rPr>
                <w:sz w:val="19"/>
                <w:szCs w:val="19"/>
              </w:rPr>
              <w:instrText xml:space="preserve"> REF _Ref57899437 \h  \* MERGEFORMAT </w:instrText>
            </w:r>
            <w:r w:rsidRPr="00BB2DA7">
              <w:rPr>
                <w:sz w:val="19"/>
                <w:szCs w:val="19"/>
              </w:rPr>
            </w:r>
            <w:r w:rsidRPr="00BB2DA7">
              <w:rPr>
                <w:sz w:val="19"/>
                <w:szCs w:val="19"/>
              </w:rPr>
              <w:fldChar w:fldCharType="separate"/>
            </w:r>
            <w:r w:rsidR="003C13F6" w:rsidRPr="003C13F6">
              <w:rPr>
                <w:sz w:val="19"/>
                <w:szCs w:val="19"/>
              </w:rPr>
              <w:t xml:space="preserve">Figure </w:t>
            </w:r>
            <w:r w:rsidR="003C13F6" w:rsidRPr="003C13F6">
              <w:rPr>
                <w:noProof/>
                <w:sz w:val="19"/>
                <w:szCs w:val="19"/>
              </w:rPr>
              <w:t>57</w:t>
            </w:r>
            <w:r w:rsidRPr="00BB2DA7">
              <w:rPr>
                <w:sz w:val="19"/>
                <w:szCs w:val="19"/>
              </w:rPr>
              <w:fldChar w:fldCharType="end"/>
            </w:r>
            <w:r w:rsidRPr="00BB2DA7">
              <w:rPr>
                <w:sz w:val="19"/>
                <w:szCs w:val="19"/>
              </w:rPr>
              <w:t>)</w:t>
            </w:r>
          </w:p>
        </w:tc>
      </w:tr>
      <w:tr w:rsidR="00424090" w:rsidRPr="00B510A2" w14:paraId="346A96D3" w14:textId="7A9B1DE2" w:rsidTr="00A54F1A">
        <w:trPr>
          <w:cantSplit/>
        </w:trPr>
        <w:tc>
          <w:tcPr>
            <w:tcW w:w="2120" w:type="pct"/>
            <w:vAlign w:val="center"/>
          </w:tcPr>
          <w:p w14:paraId="18BBA486" w14:textId="4451F410" w:rsidR="00424090" w:rsidRPr="00BB7D4F" w:rsidRDefault="00424090" w:rsidP="00424090">
            <w:pPr>
              <w:jc w:val="left"/>
              <w:rPr>
                <w:sz w:val="19"/>
                <w:szCs w:val="19"/>
              </w:rPr>
            </w:pPr>
            <w:r w:rsidRPr="00BB7D4F">
              <w:rPr>
                <w:color w:val="auto"/>
                <w:sz w:val="19"/>
                <w:szCs w:val="19"/>
              </w:rPr>
              <w:t>Did the abundance of Murray cod in the Gorge zone increase by ≥20% over a 5-year period?</w:t>
            </w:r>
          </w:p>
        </w:tc>
        <w:tc>
          <w:tcPr>
            <w:tcW w:w="314" w:type="pct"/>
            <w:shd w:val="clear" w:color="auto" w:fill="D9D9D9" w:themeFill="background1" w:themeFillShade="D9"/>
            <w:vAlign w:val="center"/>
          </w:tcPr>
          <w:p w14:paraId="4D4E96B8" w14:textId="1763D770" w:rsidR="00424090" w:rsidRPr="00EE532F" w:rsidRDefault="00424090" w:rsidP="00424090">
            <w:pPr>
              <w:jc w:val="center"/>
              <w:rPr>
                <w:sz w:val="19"/>
                <w:szCs w:val="19"/>
              </w:rPr>
            </w:pPr>
            <w:r w:rsidRPr="00EE532F">
              <w:rPr>
                <w:sz w:val="19"/>
                <w:szCs w:val="19"/>
              </w:rPr>
              <w:t>NA</w:t>
            </w:r>
          </w:p>
        </w:tc>
        <w:tc>
          <w:tcPr>
            <w:tcW w:w="314" w:type="pct"/>
            <w:shd w:val="clear" w:color="auto" w:fill="D9D9D9" w:themeFill="background1" w:themeFillShade="D9"/>
            <w:vAlign w:val="center"/>
          </w:tcPr>
          <w:p w14:paraId="5AF8F53F" w14:textId="3A6D6CFE" w:rsidR="00424090" w:rsidRPr="00EE532F" w:rsidRDefault="00424090" w:rsidP="00424090">
            <w:pPr>
              <w:jc w:val="center"/>
              <w:rPr>
                <w:sz w:val="19"/>
                <w:szCs w:val="19"/>
              </w:rPr>
            </w:pPr>
            <w:r w:rsidRPr="00EE532F">
              <w:rPr>
                <w:sz w:val="19"/>
                <w:szCs w:val="19"/>
              </w:rPr>
              <w:t>NA</w:t>
            </w:r>
          </w:p>
        </w:tc>
        <w:tc>
          <w:tcPr>
            <w:tcW w:w="315" w:type="pct"/>
            <w:shd w:val="clear" w:color="auto" w:fill="D9D9D9" w:themeFill="background1" w:themeFillShade="D9"/>
            <w:vAlign w:val="center"/>
          </w:tcPr>
          <w:p w14:paraId="1BE55B03" w14:textId="12FB152F" w:rsidR="00424090" w:rsidRPr="00EE532F" w:rsidRDefault="00424090" w:rsidP="00424090">
            <w:pPr>
              <w:jc w:val="center"/>
              <w:rPr>
                <w:sz w:val="19"/>
                <w:szCs w:val="19"/>
              </w:rPr>
            </w:pPr>
            <w:r w:rsidRPr="00EE532F">
              <w:rPr>
                <w:sz w:val="19"/>
                <w:szCs w:val="19"/>
              </w:rPr>
              <w:t>NA</w:t>
            </w:r>
          </w:p>
        </w:tc>
        <w:tc>
          <w:tcPr>
            <w:tcW w:w="314" w:type="pct"/>
            <w:shd w:val="clear" w:color="auto" w:fill="D9D9D9" w:themeFill="background1" w:themeFillShade="D9"/>
            <w:vAlign w:val="center"/>
          </w:tcPr>
          <w:p w14:paraId="48E155DC" w14:textId="4568556F" w:rsidR="00424090" w:rsidRPr="00EE532F" w:rsidRDefault="00424090" w:rsidP="00424090">
            <w:pPr>
              <w:jc w:val="center"/>
              <w:rPr>
                <w:sz w:val="19"/>
                <w:szCs w:val="19"/>
              </w:rPr>
            </w:pPr>
            <w:r w:rsidRPr="00EE532F">
              <w:rPr>
                <w:sz w:val="19"/>
                <w:szCs w:val="19"/>
              </w:rPr>
              <w:t>NA</w:t>
            </w:r>
          </w:p>
        </w:tc>
        <w:tc>
          <w:tcPr>
            <w:tcW w:w="314" w:type="pct"/>
            <w:shd w:val="clear" w:color="auto" w:fill="E2EFD9" w:themeFill="accent6" w:themeFillTint="33"/>
            <w:vAlign w:val="center"/>
          </w:tcPr>
          <w:p w14:paraId="07A7B59D" w14:textId="77777777" w:rsidR="00424090" w:rsidRPr="00EE532F" w:rsidRDefault="00424090" w:rsidP="00424090">
            <w:pPr>
              <w:jc w:val="center"/>
              <w:rPr>
                <w:sz w:val="19"/>
                <w:szCs w:val="19"/>
              </w:rPr>
            </w:pPr>
            <w:r w:rsidRPr="00EE532F">
              <w:rPr>
                <w:sz w:val="19"/>
                <w:szCs w:val="19"/>
              </w:rPr>
              <w:t>√</w:t>
            </w:r>
          </w:p>
        </w:tc>
        <w:tc>
          <w:tcPr>
            <w:tcW w:w="393" w:type="pct"/>
            <w:shd w:val="clear" w:color="auto" w:fill="E2EFD9" w:themeFill="accent6" w:themeFillTint="33"/>
            <w:vAlign w:val="center"/>
          </w:tcPr>
          <w:p w14:paraId="47EEEF99" w14:textId="05C077EF" w:rsidR="00424090" w:rsidRPr="00D81449" w:rsidRDefault="00424090" w:rsidP="00424090">
            <w:pPr>
              <w:jc w:val="center"/>
              <w:rPr>
                <w:sz w:val="19"/>
                <w:szCs w:val="19"/>
              </w:rPr>
            </w:pPr>
            <w:r w:rsidRPr="00B510A2">
              <w:rPr>
                <w:sz w:val="19"/>
                <w:szCs w:val="19"/>
              </w:rPr>
              <w:t>√</w:t>
            </w:r>
            <w:r>
              <w:rPr>
                <w:sz w:val="19"/>
                <w:szCs w:val="19"/>
              </w:rPr>
              <w:t xml:space="preserve"> </w:t>
            </w:r>
            <w:r w:rsidRPr="007E7388">
              <w:rPr>
                <w:sz w:val="19"/>
                <w:szCs w:val="19"/>
              </w:rPr>
              <w:t xml:space="preserve"> </w:t>
            </w:r>
          </w:p>
        </w:tc>
        <w:tc>
          <w:tcPr>
            <w:tcW w:w="916" w:type="pct"/>
            <w:shd w:val="clear" w:color="auto" w:fill="E2EFD9" w:themeFill="accent6" w:themeFillTint="33"/>
            <w:vAlign w:val="center"/>
          </w:tcPr>
          <w:p w14:paraId="0D384526" w14:textId="77777777" w:rsidR="00424090" w:rsidRPr="00A54F1A" w:rsidRDefault="00424090" w:rsidP="00424090">
            <w:pPr>
              <w:jc w:val="center"/>
              <w:rPr>
                <w:sz w:val="19"/>
                <w:szCs w:val="19"/>
              </w:rPr>
            </w:pPr>
            <w:r w:rsidRPr="00A54F1A">
              <w:rPr>
                <w:sz w:val="19"/>
                <w:szCs w:val="19"/>
              </w:rPr>
              <w:t xml:space="preserve">√  </w:t>
            </w:r>
          </w:p>
          <w:p w14:paraId="2BD65B18" w14:textId="56C41C63" w:rsidR="00424090" w:rsidRPr="00424090" w:rsidRDefault="00424090" w:rsidP="00424090">
            <w:pPr>
              <w:jc w:val="center"/>
              <w:rPr>
                <w:sz w:val="19"/>
                <w:szCs w:val="19"/>
                <w:highlight w:val="yellow"/>
              </w:rPr>
            </w:pPr>
            <w:r w:rsidRPr="00A54F1A">
              <w:rPr>
                <w:sz w:val="19"/>
                <w:szCs w:val="19"/>
              </w:rPr>
              <w:t>(</w:t>
            </w:r>
            <w:r w:rsidR="00A54F1A" w:rsidRPr="00A54F1A">
              <w:rPr>
                <w:sz w:val="19"/>
                <w:szCs w:val="19"/>
              </w:rPr>
              <w:t>56</w:t>
            </w:r>
            <w:r w:rsidRPr="00A54F1A">
              <w:rPr>
                <w:sz w:val="19"/>
                <w:szCs w:val="19"/>
              </w:rPr>
              <w:t xml:space="preserve">%, </w:t>
            </w:r>
            <w:r w:rsidRPr="00A54F1A">
              <w:rPr>
                <w:sz w:val="19"/>
                <w:szCs w:val="19"/>
              </w:rPr>
              <w:fldChar w:fldCharType="begin"/>
            </w:r>
            <w:r w:rsidRPr="00A54F1A">
              <w:rPr>
                <w:sz w:val="19"/>
                <w:szCs w:val="19"/>
              </w:rPr>
              <w:instrText xml:space="preserve"> REF _Ref876802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60</w:t>
            </w:r>
            <w:r w:rsidRPr="00A54F1A">
              <w:rPr>
                <w:sz w:val="19"/>
                <w:szCs w:val="19"/>
              </w:rPr>
              <w:fldChar w:fldCharType="end"/>
            </w:r>
            <w:r w:rsidRPr="00A54F1A">
              <w:rPr>
                <w:sz w:val="19"/>
                <w:szCs w:val="19"/>
              </w:rPr>
              <w:t>)</w:t>
            </w:r>
          </w:p>
        </w:tc>
      </w:tr>
      <w:tr w:rsidR="00424090" w:rsidRPr="00B510A2" w14:paraId="60B9AD08" w14:textId="59716216" w:rsidTr="00A54F1A">
        <w:trPr>
          <w:cantSplit/>
        </w:trPr>
        <w:tc>
          <w:tcPr>
            <w:tcW w:w="2120" w:type="pct"/>
          </w:tcPr>
          <w:p w14:paraId="56E9ACEB" w14:textId="187ABFBB" w:rsidR="00424090" w:rsidRPr="00BB7D4F" w:rsidRDefault="00424090" w:rsidP="00424090">
            <w:pPr>
              <w:jc w:val="left"/>
              <w:rPr>
                <w:iCs/>
                <w:color w:val="FF0000"/>
                <w:sz w:val="19"/>
                <w:szCs w:val="19"/>
              </w:rPr>
            </w:pPr>
            <w:r w:rsidRPr="00BB7D4F">
              <w:rPr>
                <w:iCs/>
                <w:sz w:val="19"/>
                <w:szCs w:val="19"/>
              </w:rPr>
              <w:t xml:space="preserve">Did the population age structure of golden perch include adults (age </w:t>
            </w:r>
            <w:r w:rsidRPr="00BB7D4F">
              <w:rPr>
                <w:sz w:val="19"/>
                <w:szCs w:val="19"/>
              </w:rPr>
              <w:t>≥</w:t>
            </w:r>
            <w:r w:rsidRPr="00BB7D4F">
              <w:rPr>
                <w:iCs/>
                <w:sz w:val="19"/>
                <w:szCs w:val="19"/>
              </w:rPr>
              <w:t>4+) and sub-adults (age 1+–3+)?</w:t>
            </w:r>
          </w:p>
        </w:tc>
        <w:tc>
          <w:tcPr>
            <w:tcW w:w="314" w:type="pct"/>
            <w:shd w:val="clear" w:color="auto" w:fill="E2EFD9" w:themeFill="accent6" w:themeFillTint="33"/>
            <w:vAlign w:val="center"/>
          </w:tcPr>
          <w:p w14:paraId="02069754" w14:textId="77777777" w:rsidR="00424090" w:rsidRPr="0043233D"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51E82EF5" w14:textId="77777777" w:rsidR="00424090" w:rsidRPr="0043233D" w:rsidRDefault="00424090" w:rsidP="00424090">
            <w:pPr>
              <w:jc w:val="center"/>
              <w:rPr>
                <w:sz w:val="19"/>
                <w:szCs w:val="19"/>
              </w:rPr>
            </w:pPr>
            <w:r w:rsidRPr="00B510A2">
              <w:rPr>
                <w:sz w:val="19"/>
                <w:szCs w:val="19"/>
              </w:rPr>
              <w:t>√</w:t>
            </w:r>
          </w:p>
        </w:tc>
        <w:tc>
          <w:tcPr>
            <w:tcW w:w="315" w:type="pct"/>
            <w:shd w:val="clear" w:color="auto" w:fill="E2EFD9" w:themeFill="accent6" w:themeFillTint="33"/>
            <w:vAlign w:val="center"/>
          </w:tcPr>
          <w:p w14:paraId="535E44BF" w14:textId="77777777" w:rsidR="00424090" w:rsidRPr="0043233D"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628038C3" w14:textId="77777777" w:rsidR="00424090" w:rsidRPr="0043233D"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6C0E87D3" w14:textId="77777777" w:rsidR="00424090" w:rsidRPr="0043233D" w:rsidRDefault="00424090" w:rsidP="00424090">
            <w:pPr>
              <w:jc w:val="center"/>
              <w:rPr>
                <w:sz w:val="19"/>
                <w:szCs w:val="19"/>
              </w:rPr>
            </w:pPr>
            <w:r w:rsidRPr="00B510A2">
              <w:rPr>
                <w:sz w:val="19"/>
                <w:szCs w:val="19"/>
              </w:rPr>
              <w:t>√</w:t>
            </w:r>
          </w:p>
        </w:tc>
        <w:tc>
          <w:tcPr>
            <w:tcW w:w="393" w:type="pct"/>
            <w:shd w:val="clear" w:color="auto" w:fill="E2EFD9" w:themeFill="accent6" w:themeFillTint="33"/>
            <w:vAlign w:val="center"/>
          </w:tcPr>
          <w:p w14:paraId="047D9494" w14:textId="7DCCA70E" w:rsidR="00424090" w:rsidRPr="0043233D" w:rsidRDefault="00424090" w:rsidP="00424090">
            <w:pPr>
              <w:jc w:val="center"/>
              <w:rPr>
                <w:sz w:val="19"/>
                <w:szCs w:val="19"/>
              </w:rPr>
            </w:pPr>
            <w:r w:rsidRPr="00AF698F">
              <w:rPr>
                <w:sz w:val="19"/>
                <w:szCs w:val="19"/>
              </w:rPr>
              <w:t>√</w:t>
            </w:r>
          </w:p>
        </w:tc>
        <w:tc>
          <w:tcPr>
            <w:tcW w:w="916" w:type="pct"/>
            <w:shd w:val="clear" w:color="auto" w:fill="E2EFD9" w:themeFill="accent6" w:themeFillTint="33"/>
            <w:vAlign w:val="center"/>
          </w:tcPr>
          <w:p w14:paraId="14C0A45D" w14:textId="77777777" w:rsidR="00424090" w:rsidRPr="00A54F1A" w:rsidRDefault="00424090" w:rsidP="00424090">
            <w:pPr>
              <w:jc w:val="center"/>
              <w:rPr>
                <w:sz w:val="19"/>
                <w:szCs w:val="19"/>
              </w:rPr>
            </w:pPr>
            <w:r w:rsidRPr="00A54F1A">
              <w:rPr>
                <w:sz w:val="19"/>
                <w:szCs w:val="19"/>
              </w:rPr>
              <w:t>√</w:t>
            </w:r>
          </w:p>
          <w:p w14:paraId="6DCCD2EF" w14:textId="32796B7C" w:rsidR="00424090" w:rsidRPr="00424090" w:rsidRDefault="00424090" w:rsidP="00424090">
            <w:pPr>
              <w:jc w:val="center"/>
              <w:rPr>
                <w:sz w:val="19"/>
                <w:szCs w:val="19"/>
                <w:highlight w:val="yellow"/>
              </w:rPr>
            </w:pPr>
            <w:r w:rsidRPr="00A54F1A">
              <w:rPr>
                <w:sz w:val="19"/>
                <w:szCs w:val="19"/>
              </w:rPr>
              <w:t>(</w:t>
            </w:r>
            <w:r w:rsidRPr="00A54F1A">
              <w:rPr>
                <w:sz w:val="19"/>
                <w:szCs w:val="19"/>
              </w:rPr>
              <w:fldChar w:fldCharType="begin"/>
            </w:r>
            <w:r w:rsidRPr="00A54F1A">
              <w:rPr>
                <w:sz w:val="19"/>
                <w:szCs w:val="19"/>
              </w:rPr>
              <w:instrText xml:space="preserve"> REF _Ref531251781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49</w:t>
            </w:r>
            <w:r w:rsidRPr="00A54F1A">
              <w:rPr>
                <w:sz w:val="19"/>
                <w:szCs w:val="19"/>
              </w:rPr>
              <w:fldChar w:fldCharType="end"/>
            </w:r>
            <w:r w:rsidRPr="00A54F1A">
              <w:rPr>
                <w:sz w:val="19"/>
                <w:szCs w:val="19"/>
              </w:rPr>
              <w:t>)</w:t>
            </w:r>
          </w:p>
        </w:tc>
      </w:tr>
      <w:tr w:rsidR="00424090" w:rsidRPr="00B510A2" w14:paraId="6EDE9462" w14:textId="65C51F12" w:rsidTr="00A54F1A">
        <w:trPr>
          <w:cantSplit/>
        </w:trPr>
        <w:tc>
          <w:tcPr>
            <w:tcW w:w="2120" w:type="pct"/>
          </w:tcPr>
          <w:p w14:paraId="1C4E13E8" w14:textId="66F1618B" w:rsidR="00424090" w:rsidRPr="00BB7D4F" w:rsidRDefault="00424090" w:rsidP="00424090">
            <w:pPr>
              <w:pStyle w:val="TableHeading"/>
              <w:jc w:val="left"/>
              <w:rPr>
                <w:color w:val="FF0000"/>
                <w:sz w:val="19"/>
                <w:szCs w:val="19"/>
              </w:rPr>
            </w:pPr>
            <w:r w:rsidRPr="00BB7D4F">
              <w:rPr>
                <w:b w:val="0"/>
                <w:sz w:val="19"/>
                <w:szCs w:val="19"/>
              </w:rPr>
              <w:t xml:space="preserve">Was there a </w:t>
            </w:r>
            <w:r w:rsidRPr="00BB7D4F">
              <w:rPr>
                <w:b w:val="0"/>
                <w:bCs/>
                <w:iCs/>
                <w:sz w:val="19"/>
                <w:szCs w:val="19"/>
              </w:rPr>
              <w:t>large recruitment event of golden perch, demonstrated by a YOY cohort representing &gt;30% of the population</w:t>
            </w:r>
            <w:r w:rsidRPr="00BB7D4F">
              <w:rPr>
                <w:b w:val="0"/>
                <w:bCs/>
                <w:sz w:val="19"/>
                <w:szCs w:val="19"/>
              </w:rPr>
              <w:t xml:space="preserve"> from the Lower Murray</w:t>
            </w:r>
            <w:r w:rsidRPr="00BB7D4F">
              <w:rPr>
                <w:b w:val="0"/>
                <w:bCs/>
                <w:iCs/>
                <w:sz w:val="19"/>
                <w:szCs w:val="19"/>
              </w:rPr>
              <w:t>.</w:t>
            </w:r>
          </w:p>
        </w:tc>
        <w:tc>
          <w:tcPr>
            <w:tcW w:w="314" w:type="pct"/>
            <w:shd w:val="clear" w:color="auto" w:fill="FDCBCB"/>
            <w:vAlign w:val="center"/>
          </w:tcPr>
          <w:p w14:paraId="766B39FB" w14:textId="77777777" w:rsidR="00424090" w:rsidRPr="0043233D" w:rsidRDefault="00424090" w:rsidP="00424090">
            <w:pPr>
              <w:jc w:val="center"/>
              <w:rPr>
                <w:sz w:val="19"/>
                <w:szCs w:val="19"/>
              </w:rPr>
            </w:pPr>
            <w:r w:rsidRPr="00B510A2">
              <w:rPr>
                <w:sz w:val="19"/>
                <w:szCs w:val="19"/>
              </w:rPr>
              <w:t>X</w:t>
            </w:r>
          </w:p>
        </w:tc>
        <w:tc>
          <w:tcPr>
            <w:tcW w:w="314" w:type="pct"/>
            <w:shd w:val="clear" w:color="auto" w:fill="FDCBCB"/>
            <w:vAlign w:val="center"/>
          </w:tcPr>
          <w:p w14:paraId="0A9C5A68" w14:textId="77777777" w:rsidR="00424090" w:rsidRPr="0043233D" w:rsidRDefault="00424090" w:rsidP="00424090">
            <w:pPr>
              <w:jc w:val="center"/>
              <w:rPr>
                <w:sz w:val="19"/>
                <w:szCs w:val="19"/>
              </w:rPr>
            </w:pPr>
            <w:r w:rsidRPr="00B510A2">
              <w:rPr>
                <w:sz w:val="19"/>
                <w:szCs w:val="19"/>
              </w:rPr>
              <w:t>X</w:t>
            </w:r>
          </w:p>
        </w:tc>
        <w:tc>
          <w:tcPr>
            <w:tcW w:w="315" w:type="pct"/>
            <w:shd w:val="clear" w:color="auto" w:fill="FDCBCB"/>
            <w:vAlign w:val="center"/>
          </w:tcPr>
          <w:p w14:paraId="2B4503F3" w14:textId="77777777" w:rsidR="00424090" w:rsidRPr="0043233D" w:rsidRDefault="00424090" w:rsidP="00424090">
            <w:pPr>
              <w:jc w:val="center"/>
              <w:rPr>
                <w:sz w:val="19"/>
                <w:szCs w:val="19"/>
              </w:rPr>
            </w:pPr>
            <w:r w:rsidRPr="00B510A2">
              <w:rPr>
                <w:sz w:val="19"/>
                <w:szCs w:val="19"/>
              </w:rPr>
              <w:t>X</w:t>
            </w:r>
          </w:p>
        </w:tc>
        <w:tc>
          <w:tcPr>
            <w:tcW w:w="314" w:type="pct"/>
            <w:shd w:val="clear" w:color="auto" w:fill="FDCBCB"/>
            <w:vAlign w:val="center"/>
          </w:tcPr>
          <w:p w14:paraId="11B555A6" w14:textId="77777777" w:rsidR="00424090" w:rsidRPr="0043233D" w:rsidRDefault="00424090" w:rsidP="00424090">
            <w:pPr>
              <w:jc w:val="center"/>
              <w:rPr>
                <w:sz w:val="19"/>
                <w:szCs w:val="19"/>
              </w:rPr>
            </w:pPr>
            <w:r w:rsidRPr="00B510A2">
              <w:rPr>
                <w:sz w:val="19"/>
                <w:szCs w:val="19"/>
              </w:rPr>
              <w:t>X</w:t>
            </w:r>
          </w:p>
        </w:tc>
        <w:tc>
          <w:tcPr>
            <w:tcW w:w="314" w:type="pct"/>
            <w:shd w:val="clear" w:color="auto" w:fill="FDCBCB"/>
            <w:vAlign w:val="center"/>
          </w:tcPr>
          <w:p w14:paraId="74A38902" w14:textId="77777777" w:rsidR="00424090" w:rsidRPr="0043233D" w:rsidRDefault="00424090" w:rsidP="00424090">
            <w:pPr>
              <w:jc w:val="center"/>
              <w:rPr>
                <w:sz w:val="19"/>
                <w:szCs w:val="19"/>
              </w:rPr>
            </w:pPr>
            <w:r w:rsidRPr="00B510A2">
              <w:rPr>
                <w:sz w:val="19"/>
                <w:szCs w:val="19"/>
              </w:rPr>
              <w:t>X</w:t>
            </w:r>
          </w:p>
        </w:tc>
        <w:tc>
          <w:tcPr>
            <w:tcW w:w="393" w:type="pct"/>
            <w:shd w:val="clear" w:color="auto" w:fill="FDCBCB"/>
            <w:vAlign w:val="center"/>
          </w:tcPr>
          <w:p w14:paraId="40CC0B69" w14:textId="5C7B35D2" w:rsidR="00424090" w:rsidRPr="00424090" w:rsidRDefault="00424090" w:rsidP="00424090">
            <w:pPr>
              <w:jc w:val="center"/>
              <w:rPr>
                <w:sz w:val="19"/>
                <w:szCs w:val="19"/>
              </w:rPr>
            </w:pPr>
            <w:r w:rsidRPr="00AF698F">
              <w:rPr>
                <w:sz w:val="19"/>
                <w:szCs w:val="19"/>
              </w:rPr>
              <w:t>X</w:t>
            </w:r>
          </w:p>
        </w:tc>
        <w:tc>
          <w:tcPr>
            <w:tcW w:w="916" w:type="pct"/>
            <w:shd w:val="clear" w:color="auto" w:fill="FBD0CD"/>
            <w:vAlign w:val="center"/>
          </w:tcPr>
          <w:p w14:paraId="4930CCAA" w14:textId="77777777" w:rsidR="00424090" w:rsidRPr="00A54F1A" w:rsidRDefault="00424090" w:rsidP="00424090">
            <w:pPr>
              <w:jc w:val="center"/>
              <w:rPr>
                <w:sz w:val="19"/>
                <w:szCs w:val="19"/>
              </w:rPr>
            </w:pPr>
            <w:r w:rsidRPr="00A54F1A">
              <w:rPr>
                <w:sz w:val="19"/>
                <w:szCs w:val="19"/>
              </w:rPr>
              <w:t>X</w:t>
            </w:r>
          </w:p>
          <w:p w14:paraId="5645E64E" w14:textId="24855780" w:rsidR="00424090" w:rsidRPr="00424090" w:rsidRDefault="00424090" w:rsidP="00424090">
            <w:pPr>
              <w:jc w:val="center"/>
              <w:rPr>
                <w:sz w:val="19"/>
                <w:szCs w:val="19"/>
                <w:highlight w:val="yellow"/>
              </w:rPr>
            </w:pPr>
            <w:r w:rsidRPr="00A54F1A">
              <w:rPr>
                <w:sz w:val="19"/>
                <w:szCs w:val="19"/>
              </w:rPr>
              <w:t>(</w:t>
            </w:r>
            <w:r w:rsidRPr="00A54F1A">
              <w:rPr>
                <w:sz w:val="19"/>
                <w:szCs w:val="19"/>
              </w:rPr>
              <w:fldChar w:fldCharType="begin"/>
            </w:r>
            <w:r w:rsidRPr="00A54F1A">
              <w:rPr>
                <w:sz w:val="19"/>
                <w:szCs w:val="19"/>
              </w:rPr>
              <w:instrText xml:space="preserve"> REF _Ref531251781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49</w:t>
            </w:r>
            <w:r w:rsidRPr="00A54F1A">
              <w:rPr>
                <w:sz w:val="19"/>
                <w:szCs w:val="19"/>
              </w:rPr>
              <w:fldChar w:fldCharType="end"/>
            </w:r>
            <w:r w:rsidRPr="00A54F1A">
              <w:rPr>
                <w:sz w:val="19"/>
                <w:szCs w:val="19"/>
              </w:rPr>
              <w:t>)</w:t>
            </w:r>
          </w:p>
        </w:tc>
      </w:tr>
      <w:tr w:rsidR="00424090" w:rsidRPr="00036649" w14:paraId="66FE3B58" w14:textId="52A12656" w:rsidTr="00A54F1A">
        <w:trPr>
          <w:cantSplit/>
        </w:trPr>
        <w:tc>
          <w:tcPr>
            <w:tcW w:w="2120" w:type="pct"/>
            <w:vAlign w:val="center"/>
          </w:tcPr>
          <w:p w14:paraId="2B6C69EC" w14:textId="77777777" w:rsidR="00424090" w:rsidRPr="00BB7D4F" w:rsidRDefault="00424090" w:rsidP="00424090">
            <w:pPr>
              <w:jc w:val="left"/>
              <w:rPr>
                <w:sz w:val="19"/>
                <w:szCs w:val="19"/>
              </w:rPr>
            </w:pPr>
            <w:r w:rsidRPr="00BB7D4F">
              <w:rPr>
                <w:sz w:val="19"/>
                <w:szCs w:val="19"/>
              </w:rPr>
              <w:t>Did the abundance of golden perch in the Gorge zone increase by &gt;30% over a 5-year period?</w:t>
            </w:r>
          </w:p>
        </w:tc>
        <w:tc>
          <w:tcPr>
            <w:tcW w:w="314" w:type="pct"/>
            <w:shd w:val="clear" w:color="auto" w:fill="D9D9D9" w:themeFill="background1" w:themeFillShade="D9"/>
            <w:vAlign w:val="center"/>
          </w:tcPr>
          <w:p w14:paraId="3FCDE780" w14:textId="649869B1" w:rsidR="00424090" w:rsidRPr="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5936E1E1" w14:textId="461B86DD" w:rsidR="00424090" w:rsidRPr="00D6186E" w:rsidRDefault="00424090" w:rsidP="00424090">
            <w:pPr>
              <w:jc w:val="center"/>
              <w:rPr>
                <w:sz w:val="19"/>
                <w:szCs w:val="19"/>
              </w:rPr>
            </w:pPr>
            <w:r w:rsidRPr="007E7388">
              <w:rPr>
                <w:sz w:val="19"/>
                <w:szCs w:val="19"/>
              </w:rPr>
              <w:t>NA</w:t>
            </w:r>
          </w:p>
        </w:tc>
        <w:tc>
          <w:tcPr>
            <w:tcW w:w="315" w:type="pct"/>
            <w:shd w:val="clear" w:color="auto" w:fill="D9D9D9" w:themeFill="background1" w:themeFillShade="D9"/>
            <w:vAlign w:val="center"/>
          </w:tcPr>
          <w:p w14:paraId="29846069" w14:textId="2911A4C7" w:rsidR="00424090" w:rsidRPr="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567376A8" w14:textId="24EB2DA0" w:rsidR="00424090" w:rsidRPr="00D6186E" w:rsidRDefault="00424090" w:rsidP="00424090">
            <w:pPr>
              <w:jc w:val="center"/>
              <w:rPr>
                <w:sz w:val="19"/>
                <w:szCs w:val="19"/>
              </w:rPr>
            </w:pPr>
            <w:r w:rsidRPr="007E7388">
              <w:rPr>
                <w:sz w:val="19"/>
                <w:szCs w:val="19"/>
              </w:rPr>
              <w:t>NA</w:t>
            </w:r>
          </w:p>
        </w:tc>
        <w:tc>
          <w:tcPr>
            <w:tcW w:w="314" w:type="pct"/>
            <w:shd w:val="clear" w:color="auto" w:fill="FDCBCB"/>
            <w:vAlign w:val="center"/>
          </w:tcPr>
          <w:p w14:paraId="269BF50F" w14:textId="77777777" w:rsidR="00424090" w:rsidRPr="00B510A2" w:rsidRDefault="00424090" w:rsidP="00424090">
            <w:pPr>
              <w:jc w:val="center"/>
              <w:rPr>
                <w:sz w:val="19"/>
                <w:szCs w:val="19"/>
              </w:rPr>
            </w:pPr>
            <w:r>
              <w:rPr>
                <w:sz w:val="19"/>
                <w:szCs w:val="19"/>
              </w:rPr>
              <w:t>X</w:t>
            </w:r>
          </w:p>
        </w:tc>
        <w:tc>
          <w:tcPr>
            <w:tcW w:w="393" w:type="pct"/>
            <w:shd w:val="clear" w:color="auto" w:fill="FDCBCB"/>
            <w:vAlign w:val="center"/>
          </w:tcPr>
          <w:p w14:paraId="4814F4C0" w14:textId="23DC75B4" w:rsidR="00424090" w:rsidRPr="007E7388" w:rsidRDefault="00424090" w:rsidP="00424090">
            <w:pPr>
              <w:jc w:val="center"/>
              <w:rPr>
                <w:sz w:val="19"/>
                <w:szCs w:val="19"/>
              </w:rPr>
            </w:pPr>
            <w:r>
              <w:rPr>
                <w:sz w:val="19"/>
                <w:szCs w:val="19"/>
              </w:rPr>
              <w:t>X</w:t>
            </w:r>
            <w:r w:rsidRPr="007E7388">
              <w:rPr>
                <w:sz w:val="19"/>
                <w:szCs w:val="19"/>
              </w:rPr>
              <w:t xml:space="preserve"> </w:t>
            </w:r>
          </w:p>
        </w:tc>
        <w:tc>
          <w:tcPr>
            <w:tcW w:w="916" w:type="pct"/>
            <w:shd w:val="clear" w:color="auto" w:fill="FBD0CD"/>
            <w:vAlign w:val="center"/>
          </w:tcPr>
          <w:p w14:paraId="5C92B821" w14:textId="77777777" w:rsidR="00424090" w:rsidRPr="00A54F1A" w:rsidRDefault="00424090" w:rsidP="00424090">
            <w:pPr>
              <w:jc w:val="center"/>
              <w:rPr>
                <w:sz w:val="19"/>
                <w:szCs w:val="19"/>
              </w:rPr>
            </w:pPr>
            <w:r w:rsidRPr="00A54F1A">
              <w:rPr>
                <w:sz w:val="19"/>
                <w:szCs w:val="19"/>
              </w:rPr>
              <w:t xml:space="preserve">X </w:t>
            </w:r>
          </w:p>
          <w:p w14:paraId="0B488F95" w14:textId="3D062808" w:rsidR="00424090" w:rsidRPr="00424090" w:rsidRDefault="00424090" w:rsidP="00424090">
            <w:pPr>
              <w:jc w:val="center"/>
              <w:rPr>
                <w:sz w:val="19"/>
                <w:szCs w:val="19"/>
                <w:highlight w:val="yellow"/>
              </w:rPr>
            </w:pPr>
            <w:r w:rsidRPr="00A54F1A">
              <w:rPr>
                <w:sz w:val="19"/>
                <w:szCs w:val="19"/>
              </w:rPr>
              <w:t>(</w:t>
            </w:r>
            <w:r w:rsidR="00A54F1A" w:rsidRPr="00A54F1A">
              <w:rPr>
                <w:sz w:val="19"/>
                <w:szCs w:val="19"/>
              </w:rPr>
              <w:t>9</w:t>
            </w:r>
            <w:r w:rsidRPr="00A54F1A">
              <w:rPr>
                <w:sz w:val="19"/>
                <w:szCs w:val="19"/>
              </w:rPr>
              <w:t xml:space="preserve">%, </w:t>
            </w:r>
            <w:r w:rsidRPr="00A54F1A">
              <w:rPr>
                <w:sz w:val="19"/>
                <w:szCs w:val="19"/>
              </w:rPr>
              <w:fldChar w:fldCharType="begin"/>
            </w:r>
            <w:r w:rsidRPr="00A54F1A">
              <w:rPr>
                <w:sz w:val="19"/>
                <w:szCs w:val="19"/>
              </w:rPr>
              <w:instrText xml:space="preserve"> REF _Ref876802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60</w:t>
            </w:r>
            <w:r w:rsidRPr="00A54F1A">
              <w:rPr>
                <w:sz w:val="19"/>
                <w:szCs w:val="19"/>
              </w:rPr>
              <w:fldChar w:fldCharType="end"/>
            </w:r>
            <w:r w:rsidRPr="00A54F1A">
              <w:rPr>
                <w:sz w:val="19"/>
                <w:szCs w:val="19"/>
              </w:rPr>
              <w:t>)</w:t>
            </w:r>
          </w:p>
        </w:tc>
      </w:tr>
      <w:tr w:rsidR="00424090" w:rsidRPr="00036649" w14:paraId="2FAFF9F7" w14:textId="79B8EE8A" w:rsidTr="00A54F1A">
        <w:trPr>
          <w:cantSplit/>
        </w:trPr>
        <w:tc>
          <w:tcPr>
            <w:tcW w:w="2120" w:type="pct"/>
            <w:vAlign w:val="center"/>
          </w:tcPr>
          <w:p w14:paraId="423797C1" w14:textId="4C3FB6C8" w:rsidR="00424090" w:rsidRPr="00BB7D4F" w:rsidDel="00D6186E" w:rsidRDefault="00424090" w:rsidP="00424090">
            <w:pPr>
              <w:jc w:val="left"/>
              <w:rPr>
                <w:sz w:val="19"/>
                <w:szCs w:val="19"/>
              </w:rPr>
            </w:pPr>
            <w:r w:rsidRPr="00BB7D4F">
              <w:rPr>
                <w:sz w:val="19"/>
                <w:szCs w:val="19"/>
              </w:rPr>
              <w:t>Did the abundance of silver perch in the Gorge zone increase by &gt;30% over a 5-year period?*</w:t>
            </w:r>
          </w:p>
        </w:tc>
        <w:tc>
          <w:tcPr>
            <w:tcW w:w="314" w:type="pct"/>
            <w:shd w:val="clear" w:color="auto" w:fill="D9D9D9" w:themeFill="background1" w:themeFillShade="D9"/>
            <w:vAlign w:val="center"/>
          </w:tcPr>
          <w:p w14:paraId="105EB364" w14:textId="6D4229F7" w:rsidR="00424090" w:rsidRPr="00D6186E" w:rsidDel="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1C14AC17" w14:textId="1E50D694" w:rsidR="00424090" w:rsidRPr="00D6186E" w:rsidDel="00D6186E" w:rsidRDefault="00424090" w:rsidP="00424090">
            <w:pPr>
              <w:jc w:val="center"/>
              <w:rPr>
                <w:sz w:val="19"/>
                <w:szCs w:val="19"/>
              </w:rPr>
            </w:pPr>
            <w:r w:rsidRPr="007E7388">
              <w:rPr>
                <w:sz w:val="19"/>
                <w:szCs w:val="19"/>
              </w:rPr>
              <w:t>NA</w:t>
            </w:r>
          </w:p>
        </w:tc>
        <w:tc>
          <w:tcPr>
            <w:tcW w:w="315" w:type="pct"/>
            <w:shd w:val="clear" w:color="auto" w:fill="D9D9D9" w:themeFill="background1" w:themeFillShade="D9"/>
            <w:vAlign w:val="center"/>
          </w:tcPr>
          <w:p w14:paraId="601AC100" w14:textId="1E44AA55" w:rsidR="00424090" w:rsidRPr="00D6186E" w:rsidDel="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7D6B043F" w14:textId="4B474C0E" w:rsidR="00424090" w:rsidRPr="00D6186E" w:rsidDel="00D6186E" w:rsidRDefault="00424090" w:rsidP="00424090">
            <w:pPr>
              <w:jc w:val="center"/>
              <w:rPr>
                <w:sz w:val="19"/>
                <w:szCs w:val="19"/>
              </w:rPr>
            </w:pPr>
            <w:r w:rsidRPr="007E7388">
              <w:rPr>
                <w:sz w:val="19"/>
                <w:szCs w:val="19"/>
              </w:rPr>
              <w:t>NA</w:t>
            </w:r>
          </w:p>
        </w:tc>
        <w:tc>
          <w:tcPr>
            <w:tcW w:w="314" w:type="pct"/>
            <w:shd w:val="clear" w:color="auto" w:fill="FDCBCB"/>
            <w:vAlign w:val="center"/>
          </w:tcPr>
          <w:p w14:paraId="0D8EF0A2" w14:textId="77777777" w:rsidR="00424090" w:rsidRPr="00B510A2" w:rsidDel="00D6186E" w:rsidRDefault="00424090" w:rsidP="00424090">
            <w:pPr>
              <w:jc w:val="center"/>
              <w:rPr>
                <w:sz w:val="19"/>
                <w:szCs w:val="19"/>
              </w:rPr>
            </w:pPr>
            <w:r>
              <w:rPr>
                <w:sz w:val="19"/>
                <w:szCs w:val="19"/>
              </w:rPr>
              <w:t>X</w:t>
            </w:r>
          </w:p>
        </w:tc>
        <w:tc>
          <w:tcPr>
            <w:tcW w:w="393" w:type="pct"/>
            <w:shd w:val="clear" w:color="auto" w:fill="FDCBCB"/>
            <w:vAlign w:val="center"/>
          </w:tcPr>
          <w:p w14:paraId="3FB22130" w14:textId="134A7BCC" w:rsidR="00424090" w:rsidRPr="007E7388" w:rsidDel="00D6186E" w:rsidRDefault="00424090" w:rsidP="00424090">
            <w:pPr>
              <w:jc w:val="center"/>
              <w:rPr>
                <w:sz w:val="19"/>
                <w:szCs w:val="19"/>
              </w:rPr>
            </w:pPr>
            <w:r>
              <w:rPr>
                <w:sz w:val="19"/>
                <w:szCs w:val="19"/>
              </w:rPr>
              <w:t>X</w:t>
            </w:r>
            <w:r w:rsidRPr="007E7388">
              <w:rPr>
                <w:sz w:val="19"/>
                <w:szCs w:val="19"/>
              </w:rPr>
              <w:t xml:space="preserve"> </w:t>
            </w:r>
          </w:p>
        </w:tc>
        <w:tc>
          <w:tcPr>
            <w:tcW w:w="916" w:type="pct"/>
            <w:shd w:val="clear" w:color="auto" w:fill="E2EFD9" w:themeFill="accent6" w:themeFillTint="33"/>
            <w:vAlign w:val="center"/>
          </w:tcPr>
          <w:p w14:paraId="40D042EA" w14:textId="77777777" w:rsidR="00A54F1A" w:rsidRPr="00A54F1A" w:rsidRDefault="00A54F1A" w:rsidP="00A54F1A">
            <w:pPr>
              <w:jc w:val="center"/>
              <w:rPr>
                <w:sz w:val="19"/>
                <w:szCs w:val="19"/>
              </w:rPr>
            </w:pPr>
            <w:r w:rsidRPr="00A54F1A">
              <w:rPr>
                <w:sz w:val="19"/>
                <w:szCs w:val="19"/>
              </w:rPr>
              <w:t>√</w:t>
            </w:r>
          </w:p>
          <w:p w14:paraId="46A412CD" w14:textId="4A5F0A9E" w:rsidR="00424090" w:rsidRPr="00424090" w:rsidRDefault="00424090" w:rsidP="00424090">
            <w:pPr>
              <w:jc w:val="center"/>
              <w:rPr>
                <w:sz w:val="19"/>
                <w:szCs w:val="19"/>
                <w:highlight w:val="yellow"/>
              </w:rPr>
            </w:pPr>
            <w:r w:rsidRPr="00A54F1A">
              <w:rPr>
                <w:sz w:val="19"/>
                <w:szCs w:val="19"/>
              </w:rPr>
              <w:t>(</w:t>
            </w:r>
            <w:r w:rsidR="00A54F1A" w:rsidRPr="00A54F1A">
              <w:rPr>
                <w:sz w:val="19"/>
                <w:szCs w:val="19"/>
              </w:rPr>
              <w:t>100</w:t>
            </w:r>
            <w:r w:rsidRPr="00A54F1A">
              <w:rPr>
                <w:sz w:val="19"/>
                <w:szCs w:val="19"/>
              </w:rPr>
              <w:t xml:space="preserve">%, </w:t>
            </w:r>
            <w:r w:rsidRPr="00A54F1A">
              <w:rPr>
                <w:sz w:val="19"/>
                <w:szCs w:val="19"/>
              </w:rPr>
              <w:fldChar w:fldCharType="begin"/>
            </w:r>
            <w:r w:rsidRPr="00A54F1A">
              <w:rPr>
                <w:sz w:val="19"/>
                <w:szCs w:val="19"/>
              </w:rPr>
              <w:instrText xml:space="preserve"> REF _Ref876802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60</w:t>
            </w:r>
            <w:r w:rsidRPr="00A54F1A">
              <w:rPr>
                <w:sz w:val="19"/>
                <w:szCs w:val="19"/>
              </w:rPr>
              <w:fldChar w:fldCharType="end"/>
            </w:r>
            <w:r w:rsidRPr="00A54F1A">
              <w:rPr>
                <w:sz w:val="19"/>
                <w:szCs w:val="19"/>
              </w:rPr>
              <w:t>)</w:t>
            </w:r>
          </w:p>
        </w:tc>
      </w:tr>
      <w:tr w:rsidR="00424090" w:rsidRPr="00036649" w14:paraId="76234D30" w14:textId="1F722741" w:rsidTr="00A54F1A">
        <w:trPr>
          <w:cantSplit/>
        </w:trPr>
        <w:tc>
          <w:tcPr>
            <w:tcW w:w="2120" w:type="pct"/>
            <w:vAlign w:val="center"/>
          </w:tcPr>
          <w:p w14:paraId="0D15562B" w14:textId="4353E3AF" w:rsidR="00424090" w:rsidRPr="00BB7D4F" w:rsidDel="00D6186E" w:rsidRDefault="00424090" w:rsidP="00424090">
            <w:pPr>
              <w:jc w:val="left"/>
              <w:rPr>
                <w:sz w:val="19"/>
                <w:szCs w:val="19"/>
              </w:rPr>
            </w:pPr>
            <w:r w:rsidRPr="00BB7D4F">
              <w:rPr>
                <w:sz w:val="19"/>
                <w:szCs w:val="19"/>
              </w:rPr>
              <w:t>Did the abundance of freshwater catfish in the Gorge zone increase by ≥30% over a 5-year period?*</w:t>
            </w:r>
          </w:p>
        </w:tc>
        <w:tc>
          <w:tcPr>
            <w:tcW w:w="314" w:type="pct"/>
            <w:shd w:val="clear" w:color="auto" w:fill="D9D9D9" w:themeFill="background1" w:themeFillShade="D9"/>
            <w:vAlign w:val="center"/>
          </w:tcPr>
          <w:p w14:paraId="44BEF22F" w14:textId="093D9260" w:rsidR="00424090" w:rsidRPr="00D6186E" w:rsidDel="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6C5DD79A" w14:textId="1A2525D3" w:rsidR="00424090" w:rsidRPr="00D6186E" w:rsidDel="00D6186E" w:rsidRDefault="00424090" w:rsidP="00424090">
            <w:pPr>
              <w:jc w:val="center"/>
              <w:rPr>
                <w:sz w:val="19"/>
                <w:szCs w:val="19"/>
              </w:rPr>
            </w:pPr>
            <w:r w:rsidRPr="007E7388">
              <w:rPr>
                <w:sz w:val="19"/>
                <w:szCs w:val="19"/>
              </w:rPr>
              <w:t>NA</w:t>
            </w:r>
          </w:p>
        </w:tc>
        <w:tc>
          <w:tcPr>
            <w:tcW w:w="315" w:type="pct"/>
            <w:shd w:val="clear" w:color="auto" w:fill="D9D9D9" w:themeFill="background1" w:themeFillShade="D9"/>
            <w:vAlign w:val="center"/>
          </w:tcPr>
          <w:p w14:paraId="672529AD" w14:textId="1E28C4EE" w:rsidR="00424090" w:rsidRPr="00D6186E" w:rsidDel="00D6186E" w:rsidRDefault="00424090" w:rsidP="00424090">
            <w:pPr>
              <w:jc w:val="center"/>
              <w:rPr>
                <w:sz w:val="19"/>
                <w:szCs w:val="19"/>
              </w:rPr>
            </w:pPr>
            <w:r w:rsidRPr="007E7388">
              <w:rPr>
                <w:sz w:val="19"/>
                <w:szCs w:val="19"/>
              </w:rPr>
              <w:t>NA</w:t>
            </w:r>
          </w:p>
        </w:tc>
        <w:tc>
          <w:tcPr>
            <w:tcW w:w="314" w:type="pct"/>
            <w:shd w:val="clear" w:color="auto" w:fill="D9D9D9" w:themeFill="background1" w:themeFillShade="D9"/>
            <w:vAlign w:val="center"/>
          </w:tcPr>
          <w:p w14:paraId="17BCC012" w14:textId="1D17978F" w:rsidR="00424090" w:rsidRPr="00D6186E" w:rsidDel="00D6186E" w:rsidRDefault="00424090" w:rsidP="00424090">
            <w:pPr>
              <w:jc w:val="center"/>
              <w:rPr>
                <w:sz w:val="19"/>
                <w:szCs w:val="19"/>
              </w:rPr>
            </w:pPr>
            <w:r w:rsidRPr="007E7388">
              <w:rPr>
                <w:sz w:val="19"/>
                <w:szCs w:val="19"/>
              </w:rPr>
              <w:t>NA</w:t>
            </w:r>
          </w:p>
        </w:tc>
        <w:tc>
          <w:tcPr>
            <w:tcW w:w="314" w:type="pct"/>
            <w:shd w:val="clear" w:color="auto" w:fill="FDCBCB"/>
            <w:vAlign w:val="center"/>
          </w:tcPr>
          <w:p w14:paraId="3F212D6F" w14:textId="77777777" w:rsidR="00424090" w:rsidRPr="00B510A2" w:rsidDel="00D6186E" w:rsidRDefault="00424090" w:rsidP="00424090">
            <w:pPr>
              <w:jc w:val="center"/>
              <w:rPr>
                <w:sz w:val="19"/>
                <w:szCs w:val="19"/>
              </w:rPr>
            </w:pPr>
            <w:r>
              <w:rPr>
                <w:sz w:val="19"/>
                <w:szCs w:val="19"/>
              </w:rPr>
              <w:t>X</w:t>
            </w:r>
          </w:p>
        </w:tc>
        <w:tc>
          <w:tcPr>
            <w:tcW w:w="393" w:type="pct"/>
            <w:shd w:val="clear" w:color="auto" w:fill="FDCBCB"/>
            <w:vAlign w:val="center"/>
          </w:tcPr>
          <w:p w14:paraId="76D8CC52" w14:textId="4C0CDF8E" w:rsidR="00424090" w:rsidRPr="007E7388" w:rsidDel="00D6186E" w:rsidRDefault="00424090" w:rsidP="00424090">
            <w:pPr>
              <w:jc w:val="center"/>
              <w:rPr>
                <w:sz w:val="19"/>
                <w:szCs w:val="19"/>
              </w:rPr>
            </w:pPr>
            <w:r>
              <w:rPr>
                <w:sz w:val="19"/>
                <w:szCs w:val="19"/>
              </w:rPr>
              <w:t>X</w:t>
            </w:r>
            <w:r w:rsidRPr="007E7388">
              <w:rPr>
                <w:sz w:val="19"/>
                <w:szCs w:val="19"/>
              </w:rPr>
              <w:t xml:space="preserve"> </w:t>
            </w:r>
          </w:p>
        </w:tc>
        <w:tc>
          <w:tcPr>
            <w:tcW w:w="916" w:type="pct"/>
            <w:shd w:val="clear" w:color="auto" w:fill="FBD0CD"/>
            <w:vAlign w:val="center"/>
          </w:tcPr>
          <w:p w14:paraId="386E6CC0" w14:textId="77777777" w:rsidR="00424090" w:rsidRPr="00A54F1A" w:rsidRDefault="00424090" w:rsidP="00424090">
            <w:pPr>
              <w:jc w:val="center"/>
              <w:rPr>
                <w:sz w:val="19"/>
                <w:szCs w:val="19"/>
              </w:rPr>
            </w:pPr>
            <w:r w:rsidRPr="00A54F1A">
              <w:rPr>
                <w:sz w:val="19"/>
                <w:szCs w:val="19"/>
              </w:rPr>
              <w:t xml:space="preserve">X </w:t>
            </w:r>
          </w:p>
          <w:p w14:paraId="7958A7D9" w14:textId="2C79EB2A" w:rsidR="00424090" w:rsidRPr="00424090" w:rsidRDefault="00424090" w:rsidP="00424090">
            <w:pPr>
              <w:jc w:val="center"/>
              <w:rPr>
                <w:sz w:val="19"/>
                <w:szCs w:val="19"/>
                <w:highlight w:val="yellow"/>
              </w:rPr>
            </w:pPr>
            <w:r w:rsidRPr="00A54F1A">
              <w:rPr>
                <w:sz w:val="19"/>
                <w:szCs w:val="19"/>
              </w:rPr>
              <w:t>(-</w:t>
            </w:r>
            <w:r w:rsidR="00A54F1A" w:rsidRPr="00A54F1A">
              <w:rPr>
                <w:sz w:val="19"/>
                <w:szCs w:val="19"/>
              </w:rPr>
              <w:t>67</w:t>
            </w:r>
            <w:r w:rsidRPr="00A54F1A">
              <w:rPr>
                <w:sz w:val="19"/>
                <w:szCs w:val="19"/>
              </w:rPr>
              <w:t xml:space="preserve">%, </w:t>
            </w:r>
            <w:r w:rsidRPr="00A54F1A">
              <w:rPr>
                <w:sz w:val="19"/>
                <w:szCs w:val="19"/>
              </w:rPr>
              <w:fldChar w:fldCharType="begin"/>
            </w:r>
            <w:r w:rsidRPr="00A54F1A">
              <w:rPr>
                <w:sz w:val="19"/>
                <w:szCs w:val="19"/>
              </w:rPr>
              <w:instrText xml:space="preserve"> REF _Ref876802 \h  \* MERGEFORMAT </w:instrText>
            </w:r>
            <w:r w:rsidRPr="00A54F1A">
              <w:rPr>
                <w:sz w:val="19"/>
                <w:szCs w:val="19"/>
              </w:rPr>
            </w:r>
            <w:r w:rsidRPr="00A54F1A">
              <w:rPr>
                <w:sz w:val="19"/>
                <w:szCs w:val="19"/>
              </w:rPr>
              <w:fldChar w:fldCharType="separate"/>
            </w:r>
            <w:r w:rsidR="003C13F6" w:rsidRPr="003C13F6">
              <w:rPr>
                <w:sz w:val="19"/>
                <w:szCs w:val="19"/>
              </w:rPr>
              <w:t xml:space="preserve">Figure </w:t>
            </w:r>
            <w:r w:rsidR="003C13F6" w:rsidRPr="003C13F6">
              <w:rPr>
                <w:noProof/>
                <w:sz w:val="19"/>
                <w:szCs w:val="19"/>
              </w:rPr>
              <w:t>60</w:t>
            </w:r>
            <w:r w:rsidRPr="00A54F1A">
              <w:rPr>
                <w:sz w:val="19"/>
                <w:szCs w:val="19"/>
              </w:rPr>
              <w:fldChar w:fldCharType="end"/>
            </w:r>
            <w:r w:rsidRPr="00A54F1A">
              <w:rPr>
                <w:sz w:val="19"/>
                <w:szCs w:val="19"/>
              </w:rPr>
              <w:t>)</w:t>
            </w:r>
          </w:p>
        </w:tc>
      </w:tr>
      <w:tr w:rsidR="00424090" w:rsidRPr="00036649" w14:paraId="6AE1C23C" w14:textId="592C3BB9" w:rsidTr="00BB2DA7">
        <w:trPr>
          <w:cantSplit/>
        </w:trPr>
        <w:tc>
          <w:tcPr>
            <w:tcW w:w="2120" w:type="pct"/>
            <w:vAlign w:val="center"/>
          </w:tcPr>
          <w:p w14:paraId="43551DC1" w14:textId="5B68DF60" w:rsidR="00424090" w:rsidRPr="00036649" w:rsidRDefault="00424090" w:rsidP="00424090">
            <w:pPr>
              <w:jc w:val="left"/>
              <w:rPr>
                <w:sz w:val="19"/>
                <w:szCs w:val="19"/>
              </w:rPr>
            </w:pPr>
            <w:r w:rsidRPr="00036649">
              <w:rPr>
                <w:sz w:val="19"/>
                <w:szCs w:val="19"/>
              </w:rPr>
              <w:t>Did the length-frequency distribution for bony herring</w:t>
            </w:r>
            <w:r>
              <w:rPr>
                <w:sz w:val="19"/>
                <w:szCs w:val="19"/>
              </w:rPr>
              <w:t>**</w:t>
            </w:r>
            <w:r w:rsidRPr="00036649">
              <w:rPr>
                <w:sz w:val="19"/>
                <w:szCs w:val="19"/>
              </w:rPr>
              <w:t xml:space="preserve"> in the Gorge zone include size classes representing YOY</w:t>
            </w:r>
            <w:r w:rsidRPr="00B510A2">
              <w:rPr>
                <w:sz w:val="19"/>
                <w:szCs w:val="19"/>
              </w:rPr>
              <w:t>?</w:t>
            </w:r>
          </w:p>
        </w:tc>
        <w:tc>
          <w:tcPr>
            <w:tcW w:w="314" w:type="pct"/>
            <w:shd w:val="clear" w:color="auto" w:fill="D9D9D9" w:themeFill="background1" w:themeFillShade="D9"/>
            <w:vAlign w:val="center"/>
          </w:tcPr>
          <w:p w14:paraId="3C53B7D2" w14:textId="2D1E0C29" w:rsidR="00424090" w:rsidRPr="00B510A2" w:rsidRDefault="00424090" w:rsidP="00424090">
            <w:pPr>
              <w:jc w:val="center"/>
              <w:rPr>
                <w:sz w:val="19"/>
                <w:szCs w:val="19"/>
              </w:rPr>
            </w:pPr>
            <w:r w:rsidRPr="00B510A2">
              <w:rPr>
                <w:sz w:val="19"/>
                <w:szCs w:val="19"/>
              </w:rPr>
              <w:t>NA</w:t>
            </w:r>
          </w:p>
        </w:tc>
        <w:tc>
          <w:tcPr>
            <w:tcW w:w="314" w:type="pct"/>
            <w:shd w:val="clear" w:color="auto" w:fill="E2EFD9" w:themeFill="accent6" w:themeFillTint="33"/>
            <w:vAlign w:val="center"/>
          </w:tcPr>
          <w:p w14:paraId="72BFB753" w14:textId="77777777" w:rsidR="00424090" w:rsidRPr="00B510A2" w:rsidRDefault="00424090" w:rsidP="00424090">
            <w:pPr>
              <w:jc w:val="center"/>
              <w:rPr>
                <w:sz w:val="19"/>
                <w:szCs w:val="19"/>
              </w:rPr>
            </w:pPr>
            <w:r w:rsidRPr="00B510A2">
              <w:rPr>
                <w:sz w:val="19"/>
                <w:szCs w:val="19"/>
              </w:rPr>
              <w:t>√</w:t>
            </w:r>
          </w:p>
        </w:tc>
        <w:tc>
          <w:tcPr>
            <w:tcW w:w="315" w:type="pct"/>
            <w:shd w:val="clear" w:color="auto" w:fill="E2EFD9" w:themeFill="accent6" w:themeFillTint="33"/>
            <w:vAlign w:val="center"/>
          </w:tcPr>
          <w:p w14:paraId="3FE8CDC2"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612A66D0"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32B72383" w14:textId="77777777" w:rsidR="00424090" w:rsidRPr="00B510A2" w:rsidRDefault="00424090" w:rsidP="00424090">
            <w:pPr>
              <w:jc w:val="center"/>
              <w:rPr>
                <w:sz w:val="19"/>
                <w:szCs w:val="19"/>
              </w:rPr>
            </w:pPr>
            <w:r w:rsidRPr="00B510A2">
              <w:rPr>
                <w:sz w:val="19"/>
                <w:szCs w:val="19"/>
              </w:rPr>
              <w:t>√</w:t>
            </w:r>
          </w:p>
        </w:tc>
        <w:tc>
          <w:tcPr>
            <w:tcW w:w="393" w:type="pct"/>
            <w:shd w:val="clear" w:color="auto" w:fill="E2EFD9" w:themeFill="accent6" w:themeFillTint="33"/>
            <w:vAlign w:val="center"/>
          </w:tcPr>
          <w:p w14:paraId="36DA2C49" w14:textId="76A04667" w:rsidR="00424090" w:rsidRPr="00036649" w:rsidRDefault="00424090" w:rsidP="00424090">
            <w:pPr>
              <w:jc w:val="center"/>
              <w:rPr>
                <w:sz w:val="19"/>
                <w:szCs w:val="19"/>
                <w:highlight w:val="yellow"/>
              </w:rPr>
            </w:pPr>
            <w:r w:rsidRPr="00B510A2">
              <w:rPr>
                <w:sz w:val="19"/>
                <w:szCs w:val="19"/>
              </w:rPr>
              <w:t>√</w:t>
            </w:r>
          </w:p>
        </w:tc>
        <w:tc>
          <w:tcPr>
            <w:tcW w:w="916" w:type="pct"/>
            <w:shd w:val="clear" w:color="auto" w:fill="E2EFD9" w:themeFill="accent6" w:themeFillTint="33"/>
            <w:vAlign w:val="center"/>
          </w:tcPr>
          <w:p w14:paraId="10FC06D8" w14:textId="0F8FFE6D" w:rsidR="00424090" w:rsidRPr="00424090" w:rsidRDefault="00424090" w:rsidP="00424090">
            <w:pPr>
              <w:jc w:val="center"/>
              <w:rPr>
                <w:sz w:val="19"/>
                <w:szCs w:val="19"/>
                <w:highlight w:val="yellow"/>
              </w:rPr>
            </w:pPr>
            <w:r w:rsidRPr="00BB2DA7">
              <w:rPr>
                <w:sz w:val="19"/>
                <w:szCs w:val="19"/>
              </w:rPr>
              <w:t>√</w:t>
            </w:r>
          </w:p>
        </w:tc>
      </w:tr>
      <w:tr w:rsidR="00424090" w:rsidRPr="00B510A2" w14:paraId="07FDE641" w14:textId="2F9F4FC1" w:rsidTr="00BB2DA7">
        <w:trPr>
          <w:cantSplit/>
        </w:trPr>
        <w:tc>
          <w:tcPr>
            <w:tcW w:w="2120" w:type="pct"/>
            <w:vAlign w:val="center"/>
          </w:tcPr>
          <w:p w14:paraId="71E57034" w14:textId="77777777" w:rsidR="00424090" w:rsidRPr="00B510A2" w:rsidRDefault="00424090" w:rsidP="00424090">
            <w:pPr>
              <w:jc w:val="left"/>
              <w:rPr>
                <w:sz w:val="19"/>
                <w:szCs w:val="19"/>
              </w:rPr>
            </w:pPr>
            <w:r w:rsidRPr="00B510A2">
              <w:rPr>
                <w:sz w:val="19"/>
                <w:szCs w:val="19"/>
              </w:rPr>
              <w:t>Did the length-frequency distribution for Murray rainbowfish and carp gudgeon, include size classes representing YOY in the Gorge zone?</w:t>
            </w:r>
          </w:p>
        </w:tc>
        <w:tc>
          <w:tcPr>
            <w:tcW w:w="314" w:type="pct"/>
            <w:shd w:val="clear" w:color="auto" w:fill="E2EFD9" w:themeFill="accent6" w:themeFillTint="33"/>
            <w:vAlign w:val="center"/>
          </w:tcPr>
          <w:p w14:paraId="54B14846"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302E826B" w14:textId="77777777" w:rsidR="00424090" w:rsidRPr="00B510A2" w:rsidRDefault="00424090" w:rsidP="00424090">
            <w:pPr>
              <w:jc w:val="center"/>
              <w:rPr>
                <w:sz w:val="19"/>
                <w:szCs w:val="19"/>
              </w:rPr>
            </w:pPr>
            <w:r w:rsidRPr="00B510A2">
              <w:rPr>
                <w:sz w:val="19"/>
                <w:szCs w:val="19"/>
              </w:rPr>
              <w:t>√</w:t>
            </w:r>
          </w:p>
        </w:tc>
        <w:tc>
          <w:tcPr>
            <w:tcW w:w="315" w:type="pct"/>
            <w:shd w:val="clear" w:color="auto" w:fill="E2EFD9" w:themeFill="accent6" w:themeFillTint="33"/>
            <w:vAlign w:val="center"/>
          </w:tcPr>
          <w:p w14:paraId="034E0650"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6354CA75"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46E7C877" w14:textId="77777777" w:rsidR="00424090" w:rsidRPr="00BB2DA7" w:rsidRDefault="00424090" w:rsidP="00424090">
            <w:pPr>
              <w:jc w:val="center"/>
              <w:rPr>
                <w:sz w:val="19"/>
                <w:szCs w:val="19"/>
              </w:rPr>
            </w:pPr>
            <w:r w:rsidRPr="00BB2DA7">
              <w:rPr>
                <w:sz w:val="19"/>
                <w:szCs w:val="19"/>
              </w:rPr>
              <w:t>√</w:t>
            </w:r>
          </w:p>
        </w:tc>
        <w:tc>
          <w:tcPr>
            <w:tcW w:w="393" w:type="pct"/>
            <w:shd w:val="clear" w:color="auto" w:fill="E2EFD9" w:themeFill="accent6" w:themeFillTint="33"/>
            <w:vAlign w:val="center"/>
          </w:tcPr>
          <w:p w14:paraId="45026588" w14:textId="5F74E320" w:rsidR="00424090" w:rsidRPr="00B510A2" w:rsidRDefault="00424090" w:rsidP="00424090">
            <w:pPr>
              <w:jc w:val="center"/>
              <w:rPr>
                <w:sz w:val="19"/>
                <w:szCs w:val="19"/>
              </w:rPr>
            </w:pPr>
            <w:r w:rsidRPr="00B510A2">
              <w:rPr>
                <w:sz w:val="19"/>
                <w:szCs w:val="19"/>
              </w:rPr>
              <w:t>√</w:t>
            </w:r>
          </w:p>
        </w:tc>
        <w:tc>
          <w:tcPr>
            <w:tcW w:w="916" w:type="pct"/>
            <w:shd w:val="clear" w:color="auto" w:fill="E2EFD9" w:themeFill="accent6" w:themeFillTint="33"/>
            <w:vAlign w:val="center"/>
          </w:tcPr>
          <w:p w14:paraId="0DC37D4D" w14:textId="22205EF6" w:rsidR="00424090" w:rsidRPr="00424090" w:rsidRDefault="00424090" w:rsidP="00424090">
            <w:pPr>
              <w:jc w:val="center"/>
              <w:rPr>
                <w:sz w:val="19"/>
                <w:szCs w:val="19"/>
                <w:highlight w:val="yellow"/>
              </w:rPr>
            </w:pPr>
            <w:r w:rsidRPr="00BB2DA7">
              <w:rPr>
                <w:sz w:val="19"/>
                <w:szCs w:val="19"/>
              </w:rPr>
              <w:t>√</w:t>
            </w:r>
          </w:p>
        </w:tc>
      </w:tr>
      <w:tr w:rsidR="00424090" w:rsidRPr="00B510A2" w14:paraId="2C477378" w14:textId="1FAAB2D0" w:rsidTr="0061740E">
        <w:trPr>
          <w:cantSplit/>
        </w:trPr>
        <w:tc>
          <w:tcPr>
            <w:tcW w:w="2120" w:type="pct"/>
            <w:vAlign w:val="center"/>
          </w:tcPr>
          <w:p w14:paraId="327708E8" w14:textId="1D7B8F4C" w:rsidR="00424090" w:rsidRPr="00B510A2" w:rsidRDefault="00424090" w:rsidP="00424090">
            <w:pPr>
              <w:jc w:val="left"/>
              <w:rPr>
                <w:sz w:val="19"/>
                <w:szCs w:val="19"/>
              </w:rPr>
            </w:pPr>
            <w:r w:rsidRPr="00036649">
              <w:rPr>
                <w:sz w:val="19"/>
                <w:szCs w:val="19"/>
              </w:rPr>
              <w:t xml:space="preserve">Did the relative abundance of common carp in the Gorge zone increase during the current year, relative to the previous year, </w:t>
            </w:r>
            <w:r>
              <w:rPr>
                <w:sz w:val="19"/>
                <w:szCs w:val="19"/>
              </w:rPr>
              <w:t>in the absence of an increase in the</w:t>
            </w:r>
            <w:r w:rsidRPr="00036649">
              <w:rPr>
                <w:sz w:val="19"/>
                <w:szCs w:val="19"/>
              </w:rPr>
              <w:t xml:space="preserve"> relative abundances of flow-dependent native species decreased</w:t>
            </w:r>
            <w:r>
              <w:rPr>
                <w:sz w:val="19"/>
                <w:szCs w:val="19"/>
              </w:rPr>
              <w:t>?*</w:t>
            </w:r>
            <w:r w:rsidRPr="00B510A2">
              <w:rPr>
                <w:sz w:val="19"/>
                <w:szCs w:val="19"/>
              </w:rPr>
              <w:t>**</w:t>
            </w:r>
          </w:p>
        </w:tc>
        <w:tc>
          <w:tcPr>
            <w:tcW w:w="314" w:type="pct"/>
            <w:shd w:val="clear" w:color="auto" w:fill="D9D9D9" w:themeFill="background1" w:themeFillShade="D9"/>
            <w:vAlign w:val="center"/>
          </w:tcPr>
          <w:p w14:paraId="4DCC399C" w14:textId="74C5581C" w:rsidR="00424090" w:rsidRPr="00B510A2" w:rsidRDefault="00424090" w:rsidP="00424090">
            <w:pPr>
              <w:jc w:val="center"/>
              <w:rPr>
                <w:sz w:val="19"/>
                <w:szCs w:val="19"/>
              </w:rPr>
            </w:pPr>
            <w:r w:rsidRPr="00B510A2">
              <w:rPr>
                <w:sz w:val="19"/>
                <w:szCs w:val="19"/>
              </w:rPr>
              <w:t>NA</w:t>
            </w:r>
          </w:p>
        </w:tc>
        <w:tc>
          <w:tcPr>
            <w:tcW w:w="314" w:type="pct"/>
            <w:shd w:val="clear" w:color="auto" w:fill="FDCBCB"/>
            <w:vAlign w:val="center"/>
          </w:tcPr>
          <w:p w14:paraId="2ECB06D1" w14:textId="77777777" w:rsidR="00424090" w:rsidRPr="00B510A2" w:rsidRDefault="00424090" w:rsidP="00424090">
            <w:pPr>
              <w:jc w:val="center"/>
              <w:rPr>
                <w:sz w:val="19"/>
                <w:szCs w:val="19"/>
              </w:rPr>
            </w:pPr>
            <w:r w:rsidRPr="00B510A2">
              <w:rPr>
                <w:sz w:val="19"/>
                <w:szCs w:val="19"/>
              </w:rPr>
              <w:t>√</w:t>
            </w:r>
          </w:p>
        </w:tc>
        <w:tc>
          <w:tcPr>
            <w:tcW w:w="315" w:type="pct"/>
            <w:shd w:val="clear" w:color="auto" w:fill="FDCBCB"/>
            <w:vAlign w:val="center"/>
          </w:tcPr>
          <w:p w14:paraId="3DD1550B" w14:textId="77777777" w:rsidR="00424090" w:rsidRPr="00B510A2" w:rsidRDefault="00424090" w:rsidP="00424090">
            <w:pPr>
              <w:jc w:val="center"/>
              <w:rPr>
                <w:sz w:val="19"/>
                <w:szCs w:val="19"/>
              </w:rPr>
            </w:pPr>
            <w:r w:rsidRPr="00B510A2">
              <w:rPr>
                <w:sz w:val="19"/>
                <w:szCs w:val="19"/>
              </w:rPr>
              <w:t>√</w:t>
            </w:r>
          </w:p>
        </w:tc>
        <w:tc>
          <w:tcPr>
            <w:tcW w:w="314" w:type="pct"/>
            <w:shd w:val="clear" w:color="auto" w:fill="E2EFD9" w:themeFill="accent6" w:themeFillTint="33"/>
            <w:vAlign w:val="center"/>
          </w:tcPr>
          <w:p w14:paraId="22B86E06" w14:textId="77777777" w:rsidR="00424090" w:rsidRPr="00B510A2" w:rsidRDefault="00424090" w:rsidP="00424090">
            <w:pPr>
              <w:jc w:val="center"/>
              <w:rPr>
                <w:sz w:val="19"/>
                <w:szCs w:val="19"/>
              </w:rPr>
            </w:pPr>
            <w:r w:rsidRPr="00B510A2">
              <w:rPr>
                <w:sz w:val="19"/>
                <w:szCs w:val="19"/>
              </w:rPr>
              <w:t>X</w:t>
            </w:r>
          </w:p>
        </w:tc>
        <w:tc>
          <w:tcPr>
            <w:tcW w:w="314" w:type="pct"/>
            <w:shd w:val="clear" w:color="auto" w:fill="E2EFD9" w:themeFill="accent6" w:themeFillTint="33"/>
            <w:vAlign w:val="center"/>
          </w:tcPr>
          <w:p w14:paraId="1861ACA8" w14:textId="77777777" w:rsidR="00424090" w:rsidRPr="00B510A2" w:rsidRDefault="00424090" w:rsidP="00424090">
            <w:pPr>
              <w:jc w:val="center"/>
              <w:rPr>
                <w:sz w:val="19"/>
                <w:szCs w:val="19"/>
                <w:highlight w:val="yellow"/>
              </w:rPr>
            </w:pPr>
            <w:r w:rsidRPr="00B40848">
              <w:rPr>
                <w:sz w:val="19"/>
                <w:szCs w:val="19"/>
              </w:rPr>
              <w:t>X</w:t>
            </w:r>
          </w:p>
        </w:tc>
        <w:tc>
          <w:tcPr>
            <w:tcW w:w="393" w:type="pct"/>
            <w:shd w:val="clear" w:color="auto" w:fill="E2EFD9" w:themeFill="accent6" w:themeFillTint="33"/>
            <w:vAlign w:val="center"/>
          </w:tcPr>
          <w:p w14:paraId="76295FA7" w14:textId="1DD6EA67" w:rsidR="00424090" w:rsidRPr="00B510A2" w:rsidRDefault="00424090" w:rsidP="00424090">
            <w:pPr>
              <w:jc w:val="center"/>
              <w:rPr>
                <w:sz w:val="19"/>
                <w:szCs w:val="19"/>
              </w:rPr>
            </w:pPr>
            <w:r w:rsidRPr="00B40848">
              <w:rPr>
                <w:sz w:val="19"/>
                <w:szCs w:val="19"/>
              </w:rPr>
              <w:t>X</w:t>
            </w:r>
          </w:p>
        </w:tc>
        <w:tc>
          <w:tcPr>
            <w:tcW w:w="916" w:type="pct"/>
            <w:shd w:val="clear" w:color="auto" w:fill="E2EFD9" w:themeFill="accent6" w:themeFillTint="33"/>
            <w:vAlign w:val="center"/>
          </w:tcPr>
          <w:p w14:paraId="4EE7C228" w14:textId="77777777" w:rsidR="00424090" w:rsidRPr="0061740E" w:rsidRDefault="00424090" w:rsidP="00424090">
            <w:pPr>
              <w:jc w:val="center"/>
              <w:rPr>
                <w:sz w:val="19"/>
                <w:szCs w:val="19"/>
              </w:rPr>
            </w:pPr>
            <w:r w:rsidRPr="0061740E">
              <w:rPr>
                <w:sz w:val="19"/>
                <w:szCs w:val="19"/>
              </w:rPr>
              <w:t>X</w:t>
            </w:r>
          </w:p>
          <w:p w14:paraId="729AA61C" w14:textId="7C783994" w:rsidR="00424090" w:rsidRPr="00424090" w:rsidRDefault="00424090" w:rsidP="00424090">
            <w:pPr>
              <w:jc w:val="center"/>
              <w:rPr>
                <w:sz w:val="19"/>
                <w:szCs w:val="19"/>
                <w:highlight w:val="yellow"/>
              </w:rPr>
            </w:pPr>
            <w:r w:rsidRPr="0061740E">
              <w:rPr>
                <w:sz w:val="19"/>
                <w:szCs w:val="19"/>
              </w:rPr>
              <w:t>(</w:t>
            </w:r>
            <w:r w:rsidRPr="0061740E">
              <w:rPr>
                <w:sz w:val="19"/>
                <w:szCs w:val="19"/>
              </w:rPr>
              <w:fldChar w:fldCharType="begin"/>
            </w:r>
            <w:r w:rsidRPr="0061740E">
              <w:rPr>
                <w:sz w:val="19"/>
                <w:szCs w:val="19"/>
              </w:rPr>
              <w:instrText xml:space="preserve"> REF _Ref876802 \h  \* MERGEFORMAT </w:instrText>
            </w:r>
            <w:r w:rsidRPr="0061740E">
              <w:rPr>
                <w:sz w:val="19"/>
                <w:szCs w:val="19"/>
              </w:rPr>
            </w:r>
            <w:r w:rsidRPr="0061740E">
              <w:rPr>
                <w:sz w:val="19"/>
                <w:szCs w:val="19"/>
              </w:rPr>
              <w:fldChar w:fldCharType="separate"/>
            </w:r>
            <w:r w:rsidR="003C13F6" w:rsidRPr="003C13F6">
              <w:rPr>
                <w:sz w:val="19"/>
                <w:szCs w:val="19"/>
              </w:rPr>
              <w:t xml:space="preserve">Figure </w:t>
            </w:r>
            <w:r w:rsidR="003C13F6" w:rsidRPr="003C13F6">
              <w:rPr>
                <w:noProof/>
                <w:sz w:val="19"/>
                <w:szCs w:val="19"/>
              </w:rPr>
              <w:t>60</w:t>
            </w:r>
            <w:r w:rsidRPr="0061740E">
              <w:rPr>
                <w:sz w:val="19"/>
                <w:szCs w:val="19"/>
              </w:rPr>
              <w:fldChar w:fldCharType="end"/>
            </w:r>
            <w:r w:rsidRPr="0061740E">
              <w:rPr>
                <w:sz w:val="19"/>
                <w:szCs w:val="19"/>
              </w:rPr>
              <w:t>)</w:t>
            </w:r>
          </w:p>
        </w:tc>
      </w:tr>
      <w:tr w:rsidR="00424090" w:rsidRPr="00B510A2" w14:paraId="6DB5B9EC" w14:textId="31E36421" w:rsidTr="0061740E">
        <w:trPr>
          <w:cantSplit/>
        </w:trPr>
        <w:tc>
          <w:tcPr>
            <w:tcW w:w="2120" w:type="pct"/>
            <w:vAlign w:val="center"/>
          </w:tcPr>
          <w:p w14:paraId="7CB4A3B7" w14:textId="5DA8ED95" w:rsidR="00424090" w:rsidRPr="00B510A2" w:rsidRDefault="00424090" w:rsidP="00424090">
            <w:pPr>
              <w:jc w:val="left"/>
              <w:rPr>
                <w:sz w:val="19"/>
                <w:szCs w:val="19"/>
              </w:rPr>
            </w:pPr>
            <w:r w:rsidRPr="00B510A2">
              <w:rPr>
                <w:sz w:val="19"/>
                <w:szCs w:val="19"/>
              </w:rPr>
              <w:t xml:space="preserve">Did the estimated biomass of common carp in the Gorge zone increase during the current year, relative to the previous year, </w:t>
            </w:r>
            <w:r>
              <w:rPr>
                <w:sz w:val="19"/>
                <w:szCs w:val="19"/>
              </w:rPr>
              <w:t>in the absence of an increase in</w:t>
            </w:r>
            <w:r w:rsidRPr="00B510A2">
              <w:rPr>
                <w:sz w:val="19"/>
                <w:szCs w:val="19"/>
              </w:rPr>
              <w:t xml:space="preserve"> the estimated biomass of flow-dependent native species decreased?*</w:t>
            </w:r>
            <w:r>
              <w:rPr>
                <w:sz w:val="19"/>
                <w:szCs w:val="19"/>
              </w:rPr>
              <w:t>*</w:t>
            </w:r>
            <w:r w:rsidRPr="00B510A2">
              <w:rPr>
                <w:sz w:val="19"/>
                <w:szCs w:val="19"/>
              </w:rPr>
              <w:t>*</w:t>
            </w:r>
          </w:p>
        </w:tc>
        <w:tc>
          <w:tcPr>
            <w:tcW w:w="314" w:type="pct"/>
            <w:shd w:val="clear" w:color="auto" w:fill="D9D9D9" w:themeFill="background1" w:themeFillShade="D9"/>
            <w:vAlign w:val="center"/>
          </w:tcPr>
          <w:p w14:paraId="19B75A6A" w14:textId="6BCC2F9A" w:rsidR="00424090" w:rsidRPr="00B510A2" w:rsidRDefault="00424090" w:rsidP="00424090">
            <w:pPr>
              <w:jc w:val="center"/>
              <w:rPr>
                <w:sz w:val="19"/>
                <w:szCs w:val="19"/>
              </w:rPr>
            </w:pPr>
            <w:r w:rsidRPr="00B510A2">
              <w:rPr>
                <w:sz w:val="19"/>
                <w:szCs w:val="19"/>
              </w:rPr>
              <w:t>NA</w:t>
            </w:r>
          </w:p>
        </w:tc>
        <w:tc>
          <w:tcPr>
            <w:tcW w:w="314" w:type="pct"/>
            <w:shd w:val="clear" w:color="auto" w:fill="FDCBCB"/>
            <w:vAlign w:val="center"/>
          </w:tcPr>
          <w:p w14:paraId="2A145F83" w14:textId="77777777" w:rsidR="00424090" w:rsidRPr="00B510A2" w:rsidRDefault="00424090" w:rsidP="00424090">
            <w:pPr>
              <w:jc w:val="center"/>
              <w:rPr>
                <w:sz w:val="19"/>
                <w:szCs w:val="19"/>
              </w:rPr>
            </w:pPr>
            <w:r w:rsidRPr="00B510A2">
              <w:rPr>
                <w:sz w:val="19"/>
                <w:szCs w:val="19"/>
              </w:rPr>
              <w:t>√</w:t>
            </w:r>
          </w:p>
        </w:tc>
        <w:tc>
          <w:tcPr>
            <w:tcW w:w="315" w:type="pct"/>
            <w:shd w:val="clear" w:color="auto" w:fill="E2EFD9" w:themeFill="accent6" w:themeFillTint="33"/>
            <w:vAlign w:val="center"/>
          </w:tcPr>
          <w:p w14:paraId="6AA0F79C" w14:textId="70713BCE" w:rsidR="00424090" w:rsidRPr="00B510A2" w:rsidRDefault="00424090" w:rsidP="00424090">
            <w:pPr>
              <w:jc w:val="center"/>
              <w:rPr>
                <w:sz w:val="19"/>
                <w:szCs w:val="19"/>
              </w:rPr>
            </w:pPr>
            <w:r>
              <w:rPr>
                <w:sz w:val="19"/>
                <w:szCs w:val="19"/>
              </w:rPr>
              <w:t>X</w:t>
            </w:r>
          </w:p>
        </w:tc>
        <w:tc>
          <w:tcPr>
            <w:tcW w:w="314" w:type="pct"/>
            <w:shd w:val="clear" w:color="auto" w:fill="E2EFD9" w:themeFill="accent6" w:themeFillTint="33"/>
            <w:vAlign w:val="center"/>
          </w:tcPr>
          <w:p w14:paraId="3C47FF67" w14:textId="616F5FE5" w:rsidR="00424090" w:rsidRPr="00B510A2" w:rsidRDefault="00424090" w:rsidP="00424090">
            <w:pPr>
              <w:jc w:val="center"/>
              <w:rPr>
                <w:sz w:val="19"/>
                <w:szCs w:val="19"/>
              </w:rPr>
            </w:pPr>
            <w:r>
              <w:rPr>
                <w:sz w:val="19"/>
                <w:szCs w:val="19"/>
              </w:rPr>
              <w:t>X</w:t>
            </w:r>
          </w:p>
        </w:tc>
        <w:tc>
          <w:tcPr>
            <w:tcW w:w="314" w:type="pct"/>
            <w:shd w:val="clear" w:color="auto" w:fill="E2EFD9" w:themeFill="accent6" w:themeFillTint="33"/>
            <w:vAlign w:val="center"/>
          </w:tcPr>
          <w:p w14:paraId="311DE331" w14:textId="77777777" w:rsidR="00424090" w:rsidRDefault="00424090" w:rsidP="00424090">
            <w:pPr>
              <w:jc w:val="center"/>
              <w:rPr>
                <w:sz w:val="19"/>
                <w:szCs w:val="19"/>
              </w:rPr>
            </w:pPr>
            <w:r>
              <w:rPr>
                <w:sz w:val="19"/>
                <w:szCs w:val="19"/>
              </w:rPr>
              <w:t>X</w:t>
            </w:r>
          </w:p>
        </w:tc>
        <w:tc>
          <w:tcPr>
            <w:tcW w:w="393" w:type="pct"/>
            <w:shd w:val="clear" w:color="auto" w:fill="E2EFD9" w:themeFill="accent6" w:themeFillTint="33"/>
            <w:vAlign w:val="center"/>
          </w:tcPr>
          <w:p w14:paraId="62A1A14C" w14:textId="19EA2F42" w:rsidR="00424090" w:rsidRPr="008E2DA7" w:rsidRDefault="00424090" w:rsidP="00424090">
            <w:pPr>
              <w:jc w:val="center"/>
              <w:rPr>
                <w:sz w:val="19"/>
                <w:szCs w:val="19"/>
                <w:highlight w:val="yellow"/>
              </w:rPr>
            </w:pPr>
            <w:r>
              <w:rPr>
                <w:sz w:val="19"/>
                <w:szCs w:val="19"/>
              </w:rPr>
              <w:t>X</w:t>
            </w:r>
          </w:p>
        </w:tc>
        <w:tc>
          <w:tcPr>
            <w:tcW w:w="916" w:type="pct"/>
            <w:shd w:val="clear" w:color="auto" w:fill="E2EFD9" w:themeFill="accent6" w:themeFillTint="33"/>
            <w:vAlign w:val="center"/>
          </w:tcPr>
          <w:p w14:paraId="7B850573" w14:textId="0A7109F6" w:rsidR="00424090" w:rsidRPr="00424090" w:rsidRDefault="00424090" w:rsidP="00424090">
            <w:pPr>
              <w:jc w:val="center"/>
              <w:rPr>
                <w:sz w:val="19"/>
                <w:szCs w:val="19"/>
                <w:highlight w:val="yellow"/>
              </w:rPr>
            </w:pPr>
            <w:r w:rsidRPr="0061740E">
              <w:rPr>
                <w:sz w:val="19"/>
                <w:szCs w:val="19"/>
              </w:rPr>
              <w:t>X</w:t>
            </w:r>
          </w:p>
        </w:tc>
      </w:tr>
    </w:tbl>
    <w:p w14:paraId="198FC131" w14:textId="44416C0F" w:rsidR="00AF698F" w:rsidRDefault="00AF698F" w:rsidP="00D632F9">
      <w:pPr>
        <w:rPr>
          <w:sz w:val="18"/>
        </w:rPr>
      </w:pPr>
      <w:r>
        <w:rPr>
          <w:sz w:val="18"/>
        </w:rPr>
        <w:t>*</w:t>
      </w:r>
      <w:r w:rsidRPr="00AF698F">
        <w:t xml:space="preserve"> </w:t>
      </w:r>
      <w:r w:rsidRPr="00AF698F">
        <w:rPr>
          <w:sz w:val="18"/>
        </w:rPr>
        <w:t>These results should be interpreted with caution, given the large error estimate.</w:t>
      </w:r>
    </w:p>
    <w:p w14:paraId="0225DFC5" w14:textId="1CDB4A47" w:rsidR="00D632F9" w:rsidRPr="00D632F9" w:rsidRDefault="00AF698F" w:rsidP="00D632F9">
      <w:pPr>
        <w:rPr>
          <w:sz w:val="18"/>
        </w:rPr>
      </w:pPr>
      <w:r>
        <w:rPr>
          <w:sz w:val="18"/>
        </w:rPr>
        <w:t>*</w:t>
      </w:r>
      <w:r w:rsidR="00D632F9" w:rsidRPr="00D632F9">
        <w:rPr>
          <w:sz w:val="18"/>
        </w:rPr>
        <w:t>*</w:t>
      </w:r>
      <w:r>
        <w:rPr>
          <w:sz w:val="18"/>
        </w:rPr>
        <w:t xml:space="preserve"> </w:t>
      </w:r>
      <w:r w:rsidR="00D632F9" w:rsidRPr="00D632F9">
        <w:rPr>
          <w:sz w:val="18"/>
        </w:rPr>
        <w:t>Bony herring were not assessed as a target species during 2014.</w:t>
      </w:r>
    </w:p>
    <w:p w14:paraId="3DCD0A30" w14:textId="597DD48E" w:rsidR="00D632F9" w:rsidRPr="00D632F9" w:rsidRDefault="00D632F9" w:rsidP="00D632F9">
      <w:pPr>
        <w:rPr>
          <w:sz w:val="18"/>
        </w:rPr>
      </w:pPr>
      <w:r w:rsidRPr="00D632F9">
        <w:rPr>
          <w:sz w:val="18"/>
        </w:rPr>
        <w:t>*</w:t>
      </w:r>
      <w:r w:rsidR="00AF698F">
        <w:rPr>
          <w:sz w:val="18"/>
        </w:rPr>
        <w:t>*</w:t>
      </w:r>
      <w:r w:rsidRPr="00D632F9">
        <w:rPr>
          <w:sz w:val="18"/>
        </w:rPr>
        <w:t xml:space="preserve">* </w:t>
      </w:r>
      <w:r w:rsidR="00424090">
        <w:rPr>
          <w:sz w:val="18"/>
        </w:rPr>
        <w:t>Since</w:t>
      </w:r>
      <w:r w:rsidR="00E81BFE">
        <w:rPr>
          <w:sz w:val="18"/>
        </w:rPr>
        <w:t xml:space="preserve"> </w:t>
      </w:r>
      <w:r w:rsidR="0021399C">
        <w:rPr>
          <w:sz w:val="18"/>
        </w:rPr>
        <w:t xml:space="preserve">the </w:t>
      </w:r>
      <w:r w:rsidR="00E81BFE">
        <w:rPr>
          <w:sz w:val="18"/>
        </w:rPr>
        <w:t>2019-20</w:t>
      </w:r>
      <w:r w:rsidR="0021399C">
        <w:rPr>
          <w:sz w:val="18"/>
        </w:rPr>
        <w:t xml:space="preserve"> report</w:t>
      </w:r>
      <w:r w:rsidR="00E81BFE">
        <w:rPr>
          <w:sz w:val="18"/>
        </w:rPr>
        <w:t>, the calculations used to answer the evaluation question were changed from</w:t>
      </w:r>
      <w:r w:rsidR="0021399C">
        <w:rPr>
          <w:sz w:val="18"/>
        </w:rPr>
        <w:t xml:space="preserve"> an approach using</w:t>
      </w:r>
      <w:r w:rsidR="00E81BFE">
        <w:rPr>
          <w:sz w:val="18"/>
        </w:rPr>
        <w:t xml:space="preserve"> ratios to better </w:t>
      </w:r>
      <w:r w:rsidR="0021399C">
        <w:rPr>
          <w:sz w:val="18"/>
        </w:rPr>
        <w:t>reflect the ecological target of the LTWP.</w:t>
      </w:r>
      <w:r w:rsidR="00E81BFE">
        <w:rPr>
          <w:sz w:val="18"/>
        </w:rPr>
        <w:t xml:space="preserve"> </w:t>
      </w:r>
      <w:r w:rsidRPr="00D632F9">
        <w:rPr>
          <w:sz w:val="18"/>
        </w:rPr>
        <w:t>To remove sampling season bias, only sites sampled during autumn 2017 were used in comparisons against 2018. Common carp were not weighed as part of the Fish (channel) sampling, so biomass was estimated by converting fork lengths to weights based on a FL–mass equation in Vilizzi and Walker (1999).</w:t>
      </w:r>
    </w:p>
    <w:p w14:paraId="41BB32F9" w14:textId="5BAE721A" w:rsidR="000B1541" w:rsidRDefault="000B1541" w:rsidP="00D632F9"/>
    <w:p w14:paraId="4E5C490E" w14:textId="353DC67F" w:rsidR="00D10CC0" w:rsidRDefault="00D10CC0" w:rsidP="00D632F9"/>
    <w:p w14:paraId="1DF4C770" w14:textId="77777777" w:rsidR="00D10CC0" w:rsidRDefault="00D10CC0">
      <w:pPr>
        <w:spacing w:before="0" w:after="160" w:line="259" w:lineRule="auto"/>
        <w:jc w:val="left"/>
      </w:pPr>
      <w:r>
        <w:br w:type="page"/>
      </w:r>
    </w:p>
    <w:p w14:paraId="14F42341" w14:textId="332C352D" w:rsidR="00CD6314" w:rsidRPr="004473EB" w:rsidRDefault="00CD6314" w:rsidP="00CD6314">
      <w:pPr>
        <w:pStyle w:val="Heading1"/>
        <w:numPr>
          <w:ilvl w:val="0"/>
          <w:numId w:val="0"/>
        </w:numPr>
        <w:ind w:left="851" w:hanging="851"/>
      </w:pPr>
      <w:bookmarkStart w:id="416" w:name="_Toc101963789"/>
      <w:r w:rsidRPr="004473EB">
        <w:t xml:space="preserve">Appendix </w:t>
      </w:r>
      <w:r w:rsidR="008849C5" w:rsidRPr="004473EB">
        <w:t>D</w:t>
      </w:r>
      <w:r w:rsidRPr="004473EB">
        <w:t xml:space="preserve">: </w:t>
      </w:r>
      <w:r w:rsidR="00703A9B" w:rsidRPr="004473EB">
        <w:t>Supplementary i</w:t>
      </w:r>
      <w:r w:rsidRPr="004473EB">
        <w:t>nformation</w:t>
      </w:r>
      <w:r w:rsidR="00703A9B" w:rsidRPr="004473EB">
        <w:t xml:space="preserve"> for indicators</w:t>
      </w:r>
      <w:bookmarkEnd w:id="416"/>
    </w:p>
    <w:p w14:paraId="000517F0" w14:textId="1074C205" w:rsidR="001C45CA" w:rsidRPr="004473EB" w:rsidRDefault="001C45CA" w:rsidP="001C45CA">
      <w:pPr>
        <w:pStyle w:val="Caption"/>
        <w:rPr>
          <w:color w:val="44546A" w:themeColor="text2"/>
          <w:sz w:val="26"/>
          <w:szCs w:val="26"/>
        </w:rPr>
      </w:pPr>
      <w:bookmarkStart w:id="417" w:name="_Hlk97109493"/>
      <w:bookmarkStart w:id="418" w:name="_Ref57300094"/>
      <w:r w:rsidRPr="004473EB">
        <w:rPr>
          <w:color w:val="44546A" w:themeColor="text2"/>
          <w:sz w:val="26"/>
          <w:szCs w:val="26"/>
        </w:rPr>
        <w:t>Matter Transport and Coorong Habitat</w:t>
      </w:r>
    </w:p>
    <w:p w14:paraId="0CEDEE03" w14:textId="62899DAD" w:rsidR="004473EB" w:rsidRPr="00546233" w:rsidRDefault="004473EB" w:rsidP="004473EB">
      <w:r w:rsidRPr="00546233">
        <w:t xml:space="preserve">The barrage flow and salinity </w:t>
      </w:r>
      <w:r w:rsidR="00B22744">
        <w:t xml:space="preserve">models </w:t>
      </w:r>
      <w:r w:rsidRPr="00546233">
        <w:t xml:space="preserve">have been updated during the </w:t>
      </w:r>
      <w:r w:rsidRPr="005C2B4E">
        <w:t>H</w:t>
      </w:r>
      <w:r>
        <w:t xml:space="preserve">ealthy </w:t>
      </w:r>
      <w:r w:rsidRPr="005C2B4E">
        <w:t>C</w:t>
      </w:r>
      <w:r>
        <w:t xml:space="preserve">oorong </w:t>
      </w:r>
      <w:r w:rsidRPr="005C2B4E">
        <w:t>H</w:t>
      </w:r>
      <w:r>
        <w:t xml:space="preserve">ealthy </w:t>
      </w:r>
      <w:r w:rsidRPr="005C2B4E">
        <w:t>B</w:t>
      </w:r>
      <w:r>
        <w:t>asin</w:t>
      </w:r>
      <w:r w:rsidRPr="005C2B4E">
        <w:t xml:space="preserve"> </w:t>
      </w:r>
      <w:r>
        <w:t>(</w:t>
      </w:r>
      <w:r w:rsidRPr="00546233">
        <w:t>HCHB</w:t>
      </w:r>
      <w:r>
        <w:t>)</w:t>
      </w:r>
      <w:r w:rsidRPr="00546233">
        <w:t xml:space="preserve"> project in 2021. This produced the changes in the flow and salt fluxes </w:t>
      </w:r>
      <w:r w:rsidR="00B73207">
        <w:t>through</w:t>
      </w:r>
      <w:r w:rsidR="00B73207" w:rsidRPr="00546233">
        <w:t xml:space="preserve"> </w:t>
      </w:r>
      <w:r w:rsidRPr="00546233">
        <w:t xml:space="preserve">the barrages. </w:t>
      </w:r>
      <w:r>
        <w:t>The</w:t>
      </w:r>
      <w:r w:rsidRPr="00546233">
        <w:t xml:space="preserve"> plots comparing the barrage flow and salt fluxes in the </w:t>
      </w:r>
      <w:r>
        <w:t>previous report</w:t>
      </w:r>
      <w:r w:rsidRPr="00546233">
        <w:t xml:space="preserve"> </w:t>
      </w:r>
      <w:r>
        <w:t xml:space="preserve">(Ye </w:t>
      </w:r>
      <w:r w:rsidRPr="00190C43">
        <w:rPr>
          <w:i/>
          <w:iCs/>
        </w:rPr>
        <w:t>et al.</w:t>
      </w:r>
      <w:r>
        <w:t xml:space="preserve"> 2021) </w:t>
      </w:r>
      <w:r w:rsidRPr="00546233">
        <w:t xml:space="preserve">and </w:t>
      </w:r>
      <w:r>
        <w:t>this report</w:t>
      </w:r>
      <w:r w:rsidRPr="00546233">
        <w:t xml:space="preserve"> </w:t>
      </w:r>
      <w:r>
        <w:t>are below</w:t>
      </w:r>
      <w:r w:rsidRPr="00546233">
        <w:t xml:space="preserve"> </w:t>
      </w:r>
      <w:r>
        <w:t>(Figures D1–D4)</w:t>
      </w:r>
      <w:r w:rsidRPr="00546233">
        <w:t xml:space="preserve">. </w:t>
      </w:r>
      <w:r>
        <w:t>It is evident that the new model</w:t>
      </w:r>
      <w:r w:rsidRPr="00546233">
        <w:t xml:space="preserve"> </w:t>
      </w:r>
      <w:r>
        <w:t xml:space="preserve">has higher </w:t>
      </w:r>
      <w:r w:rsidRPr="00546233">
        <w:t>barrage flow rates and salinity. In simulations</w:t>
      </w:r>
      <w:r>
        <w:t xml:space="preserve"> in this report</w:t>
      </w:r>
      <w:r w:rsidRPr="00546233">
        <w:t xml:space="preserve">, we used the final compiled barrage flow data (sent by SA DEW in July 2021) which included the </w:t>
      </w:r>
      <w:r w:rsidR="00B22744">
        <w:t>Coorong Hydrodynamic Model</w:t>
      </w:r>
      <w:r w:rsidR="00B22744" w:rsidRPr="00546233">
        <w:t xml:space="preserve"> </w:t>
      </w:r>
      <w:r w:rsidR="00B22744">
        <w:t>(</w:t>
      </w:r>
      <w:r w:rsidRPr="00546233">
        <w:t>CHM</w:t>
      </w:r>
      <w:r w:rsidR="00B22744">
        <w:t>)</w:t>
      </w:r>
      <w:r w:rsidRPr="00546233">
        <w:t xml:space="preserve"> barrage data and </w:t>
      </w:r>
      <w:r w:rsidR="00834526" w:rsidRPr="00834526">
        <w:t>Aquarius Web Portal</w:t>
      </w:r>
      <w:r w:rsidR="00834526">
        <w:t xml:space="preserve"> (A</w:t>
      </w:r>
      <w:r w:rsidRPr="00546233">
        <w:t>QWP</w:t>
      </w:r>
      <w:r w:rsidR="00834526">
        <w:t>, i.e. Water Data SA)</w:t>
      </w:r>
      <w:r w:rsidRPr="00546233">
        <w:t xml:space="preserve"> barrage calculations. Given that the AQWP barrage calculator data has been thoroughly validated and reported and is our </w:t>
      </w:r>
      <w:r>
        <w:t>“</w:t>
      </w:r>
      <w:r w:rsidRPr="00546233">
        <w:t>point of truth</w:t>
      </w:r>
      <w:r>
        <w:t>”</w:t>
      </w:r>
      <w:r w:rsidRPr="00546233">
        <w:t xml:space="preserve"> now for all barrages data from January 2011 onwards, </w:t>
      </w:r>
      <w:r>
        <w:t xml:space="preserve">in this report </w:t>
      </w:r>
      <w:r w:rsidRPr="00546233">
        <w:t xml:space="preserve">we have agreed to adopt this data as the barrage input </w:t>
      </w:r>
      <w:r>
        <w:t>data from January 2011 onwards.</w:t>
      </w:r>
    </w:p>
    <w:bookmarkEnd w:id="417"/>
    <w:p w14:paraId="1ED0A88E" w14:textId="4E78DB8F" w:rsidR="004473EB" w:rsidRPr="00546233" w:rsidRDefault="004473EB" w:rsidP="004473EB">
      <w:r w:rsidRPr="00546233">
        <w:t xml:space="preserve">The salinity boundary conditions at the barrages also have been improved with more data received during the HCHB project in 2021. For example, DEW adopted a new equation to convert the conductivity to salinity therefore there is a slight change in the salinity </w:t>
      </w:r>
      <w:r>
        <w:t>at</w:t>
      </w:r>
      <w:r w:rsidRPr="00546233">
        <w:t xml:space="preserve"> Ewe, Goolwa and Tauwitchere</w:t>
      </w:r>
      <w:r>
        <w:t xml:space="preserve"> barrages</w:t>
      </w:r>
      <w:r w:rsidRPr="00546233">
        <w:t>; also, the Mundoo and Boundary barrages shared the same salinity as Ewe</w:t>
      </w:r>
      <w:r>
        <w:t xml:space="preserve"> barrage</w:t>
      </w:r>
      <w:r w:rsidRPr="00546233">
        <w:t xml:space="preserve"> in the </w:t>
      </w:r>
      <w:r>
        <w:t>report of 2019-20</w:t>
      </w:r>
      <w:r w:rsidRPr="00546233">
        <w:t xml:space="preserve"> simulations; while in </w:t>
      </w:r>
      <w:r>
        <w:t xml:space="preserve">this report </w:t>
      </w:r>
      <w:r w:rsidRPr="00546233">
        <w:t>they have been set with a new salinity at closer sites which became available in 2021.</w:t>
      </w:r>
    </w:p>
    <w:p w14:paraId="45DF23A8" w14:textId="77777777" w:rsidR="004473EB" w:rsidRDefault="004473EB" w:rsidP="004473EB">
      <w:pPr>
        <w:spacing w:before="0" w:after="160" w:line="259" w:lineRule="auto"/>
        <w:jc w:val="left"/>
      </w:pPr>
    </w:p>
    <w:p w14:paraId="1C67B63B" w14:textId="77777777" w:rsidR="004473EB" w:rsidRDefault="004473EB" w:rsidP="00404EDB">
      <w:pPr>
        <w:spacing w:before="0" w:after="160" w:line="259" w:lineRule="auto"/>
        <w:jc w:val="center"/>
      </w:pPr>
      <w:r>
        <w:rPr>
          <w:noProof/>
          <w:lang w:val="en-US"/>
        </w:rPr>
        <w:drawing>
          <wp:inline distT="0" distB="0" distL="0" distR="0" wp14:anchorId="099DAD1A" wp14:editId="01066530">
            <wp:extent cx="5212080" cy="5720080"/>
            <wp:effectExtent l="0" t="0" r="0" b="0"/>
            <wp:docPr id="1059" name="Picture 1059" descr="Macintosh HD:Users:a1023990:Documents:Consultancies:CEWH 2019-2022:CEWH 20/21:barrage_flo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1023990:Documents:Consultancies:CEWH 2019-2022:CEWH 20/21:barrage_flows.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12080" cy="5720080"/>
                    </a:xfrm>
                    <a:prstGeom prst="rect">
                      <a:avLst/>
                    </a:prstGeom>
                    <a:noFill/>
                    <a:ln>
                      <a:noFill/>
                    </a:ln>
                  </pic:spPr>
                </pic:pic>
              </a:graphicData>
            </a:graphic>
          </wp:inline>
        </w:drawing>
      </w:r>
    </w:p>
    <w:p w14:paraId="51C6B2E0" w14:textId="6DC73CB4" w:rsidR="004473EB" w:rsidRPr="003624CD" w:rsidRDefault="004473EB" w:rsidP="00404EDB">
      <w:pPr>
        <w:pStyle w:val="Captions"/>
        <w:rPr>
          <w:rFonts w:ascii="Times New Roman" w:hAnsi="Times New Roman"/>
        </w:rPr>
      </w:pPr>
      <w:r>
        <w:t xml:space="preserve">Figure </w:t>
      </w:r>
      <w:r w:rsidR="00A1041C">
        <w:t>D1.</w:t>
      </w:r>
      <w:r>
        <w:t xml:space="preserve"> Barrage flow rates over each barrage with data used in previous report (Ye </w:t>
      </w:r>
      <w:r w:rsidRPr="005B054D">
        <w:rPr>
          <w:i/>
          <w:iCs/>
        </w:rPr>
        <w:t>et al.</w:t>
      </w:r>
      <w:r>
        <w:t xml:space="preserve"> 2021) and this report.</w:t>
      </w:r>
    </w:p>
    <w:p w14:paraId="4EC9131E" w14:textId="77777777" w:rsidR="004473EB" w:rsidRDefault="004473EB" w:rsidP="004473EB">
      <w:pPr>
        <w:pStyle w:val="Caption"/>
      </w:pPr>
    </w:p>
    <w:p w14:paraId="12EF3447" w14:textId="77777777" w:rsidR="004473EB" w:rsidRDefault="004473EB" w:rsidP="00404EDB">
      <w:pPr>
        <w:jc w:val="center"/>
      </w:pPr>
      <w:r>
        <w:rPr>
          <w:noProof/>
          <w:lang w:val="en-US"/>
        </w:rPr>
        <w:drawing>
          <wp:inline distT="0" distB="0" distL="0" distR="0" wp14:anchorId="6D649264" wp14:editId="4650E9C2">
            <wp:extent cx="5212080" cy="5720080"/>
            <wp:effectExtent l="0" t="0" r="0" b="0"/>
            <wp:docPr id="1060" name="Picture 1060" descr="Macintosh HD:Users:a1023990:Documents:Consultancies:CEWH 2019-2022:CEWH 20/21:barrage_flows_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1023990:Documents:Consultancies:CEWH 2019-2022:CEWH 20/21:barrage_flows_cumulative.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2080" cy="5720080"/>
                    </a:xfrm>
                    <a:prstGeom prst="rect">
                      <a:avLst/>
                    </a:prstGeom>
                    <a:noFill/>
                    <a:ln>
                      <a:noFill/>
                    </a:ln>
                  </pic:spPr>
                </pic:pic>
              </a:graphicData>
            </a:graphic>
          </wp:inline>
        </w:drawing>
      </w:r>
    </w:p>
    <w:p w14:paraId="7DB53B1E" w14:textId="5AA620C7" w:rsidR="004473EB" w:rsidRPr="003624CD" w:rsidRDefault="004473EB" w:rsidP="00404EDB">
      <w:pPr>
        <w:pStyle w:val="Captions"/>
        <w:rPr>
          <w:rFonts w:ascii="Times New Roman" w:hAnsi="Times New Roman"/>
        </w:rPr>
      </w:pPr>
      <w:r>
        <w:t xml:space="preserve">Figure </w:t>
      </w:r>
      <w:r w:rsidR="00A1041C">
        <w:t>D2.</w:t>
      </w:r>
      <w:r>
        <w:t xml:space="preserve"> Cumulative flow over each barrage with data used in previous report </w:t>
      </w:r>
      <w:bookmarkStart w:id="419" w:name="_Hlk95310021"/>
      <w:r>
        <w:t xml:space="preserve">(Ye </w:t>
      </w:r>
      <w:r w:rsidRPr="002F3CCF">
        <w:rPr>
          <w:i/>
          <w:iCs/>
        </w:rPr>
        <w:t>et al.</w:t>
      </w:r>
      <w:r>
        <w:t xml:space="preserve"> 2021) and this report.</w:t>
      </w:r>
      <w:bookmarkEnd w:id="419"/>
    </w:p>
    <w:p w14:paraId="2CA9D800" w14:textId="77777777" w:rsidR="004473EB" w:rsidRDefault="004473EB" w:rsidP="004473EB"/>
    <w:p w14:paraId="0AD03346" w14:textId="77777777" w:rsidR="004473EB" w:rsidRDefault="004473EB" w:rsidP="00404EDB">
      <w:pPr>
        <w:jc w:val="center"/>
      </w:pPr>
      <w:r>
        <w:rPr>
          <w:noProof/>
          <w:lang w:val="en-US"/>
        </w:rPr>
        <w:drawing>
          <wp:inline distT="0" distB="0" distL="0" distR="0" wp14:anchorId="29249E5B" wp14:editId="7CDBCB97">
            <wp:extent cx="5212080" cy="5720080"/>
            <wp:effectExtent l="0" t="0" r="0" b="0"/>
            <wp:docPr id="1063" name="Picture 1063" descr="Macintosh HD:Users:a1023990:Documents:Consultancies:CEWH 2019-2022:CEWH 20/21:barrage_salin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1023990:Documents:Consultancies:CEWH 2019-2022:CEWH 20/21:barrage_salinity.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12080" cy="5720080"/>
                    </a:xfrm>
                    <a:prstGeom prst="rect">
                      <a:avLst/>
                    </a:prstGeom>
                    <a:noFill/>
                    <a:ln>
                      <a:noFill/>
                    </a:ln>
                  </pic:spPr>
                </pic:pic>
              </a:graphicData>
            </a:graphic>
          </wp:inline>
        </w:drawing>
      </w:r>
    </w:p>
    <w:p w14:paraId="704BAB8A" w14:textId="4759F80D" w:rsidR="004473EB" w:rsidRDefault="004473EB" w:rsidP="00404EDB">
      <w:pPr>
        <w:pStyle w:val="Captions"/>
      </w:pPr>
      <w:r>
        <w:t xml:space="preserve">Figure </w:t>
      </w:r>
      <w:r w:rsidR="00A1041C">
        <w:t xml:space="preserve">D3. </w:t>
      </w:r>
      <w:r>
        <w:t xml:space="preserve">Salinity at each barrage with data used in previous report (Ye </w:t>
      </w:r>
      <w:r w:rsidRPr="005B6FB6">
        <w:rPr>
          <w:i/>
          <w:iCs/>
        </w:rPr>
        <w:t>et al.</w:t>
      </w:r>
      <w:r>
        <w:t xml:space="preserve"> 2021) and this report. </w:t>
      </w:r>
    </w:p>
    <w:p w14:paraId="2200C64B" w14:textId="77777777" w:rsidR="004473EB" w:rsidRDefault="004473EB" w:rsidP="00404EDB">
      <w:pPr>
        <w:jc w:val="center"/>
      </w:pPr>
      <w:r>
        <w:rPr>
          <w:noProof/>
          <w:lang w:val="en-US"/>
        </w:rPr>
        <w:drawing>
          <wp:inline distT="0" distB="0" distL="0" distR="0" wp14:anchorId="171E6B73" wp14:editId="050CDD8B">
            <wp:extent cx="5212080" cy="5720080"/>
            <wp:effectExtent l="0" t="0" r="0" b="0"/>
            <wp:docPr id="1062" name="Picture 1062" descr="Macintosh HD:Users:a1023990:Documents:Consultancies:CEWH 2019-2022:CEWH 20/21:barrage_salinity_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1023990:Documents:Consultancies:CEWH 2019-2022:CEWH 20/21:barrage_salinity_cumulative.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12080" cy="5720080"/>
                    </a:xfrm>
                    <a:prstGeom prst="rect">
                      <a:avLst/>
                    </a:prstGeom>
                    <a:noFill/>
                    <a:ln>
                      <a:noFill/>
                    </a:ln>
                  </pic:spPr>
                </pic:pic>
              </a:graphicData>
            </a:graphic>
          </wp:inline>
        </w:drawing>
      </w:r>
    </w:p>
    <w:p w14:paraId="12C3FA26" w14:textId="3A497840" w:rsidR="004473EB" w:rsidRDefault="004473EB" w:rsidP="00404EDB">
      <w:pPr>
        <w:pStyle w:val="Captions"/>
      </w:pPr>
      <w:r>
        <w:t xml:space="preserve">Figure </w:t>
      </w:r>
      <w:r w:rsidR="00A1041C">
        <w:t>D4.</w:t>
      </w:r>
      <w:r>
        <w:t xml:space="preserve"> Cumulative salt over each barrage with data used in previous report (Ye </w:t>
      </w:r>
      <w:r w:rsidRPr="005B6FB6">
        <w:rPr>
          <w:i/>
          <w:iCs/>
        </w:rPr>
        <w:t>et al.</w:t>
      </w:r>
      <w:r>
        <w:t xml:space="preserve"> 2021) and this report.</w:t>
      </w:r>
    </w:p>
    <w:p w14:paraId="0360418D" w14:textId="77777777" w:rsidR="004473EB" w:rsidRDefault="004473EB" w:rsidP="004473EB"/>
    <w:p w14:paraId="2F96C76D" w14:textId="0F2F3558" w:rsidR="004473EB" w:rsidRDefault="004473EB" w:rsidP="004473EB">
      <w:r>
        <w:t xml:space="preserve">Details of all salt and nutrient fluxes in each of the modelling year are included below. </w:t>
      </w:r>
      <w:r w:rsidRPr="005E38EF">
        <w:t xml:space="preserve">Predicted salinity changes in all scenarios at selected sites along the Coorong </w:t>
      </w:r>
      <w:r>
        <w:t>are</w:t>
      </w:r>
      <w:r w:rsidRPr="005E38EF">
        <w:t xml:space="preserve"> presented below in Figure </w:t>
      </w:r>
      <w:r>
        <w:t>D5</w:t>
      </w:r>
      <w:r w:rsidRPr="005E38EF">
        <w:t>.</w:t>
      </w:r>
    </w:p>
    <w:p w14:paraId="466D7BC9" w14:textId="77777777" w:rsidR="004473EB" w:rsidRPr="005E38EF" w:rsidRDefault="004473EB" w:rsidP="00404EDB">
      <w:pPr>
        <w:jc w:val="center"/>
      </w:pPr>
      <w:r w:rsidRPr="005E38EF">
        <w:rPr>
          <w:noProof/>
          <w:lang w:val="en-US"/>
        </w:rPr>
        <w:drawing>
          <wp:inline distT="0" distB="0" distL="0" distR="0" wp14:anchorId="599BCAE7" wp14:editId="694A5BE0">
            <wp:extent cx="5730875" cy="6374921"/>
            <wp:effectExtent l="0" t="0" r="3175" b="6985"/>
            <wp:docPr id="1069" name="Picture 1069" descr="C:\Users\00064235\AED Dropbox\AED_FlowMER_db\6_reporting\eWater2021\salinity_pl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064235\AED Dropbox\AED_FlowMER_db\6_reporting\eWater2021\salinity_plots.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t="4829" b="5939"/>
                    <a:stretch/>
                  </pic:blipFill>
                  <pic:spPr bwMode="auto">
                    <a:xfrm>
                      <a:off x="0" y="0"/>
                      <a:ext cx="5731510" cy="6375627"/>
                    </a:xfrm>
                    <a:prstGeom prst="rect">
                      <a:avLst/>
                    </a:prstGeom>
                    <a:noFill/>
                    <a:ln>
                      <a:noFill/>
                    </a:ln>
                    <a:extLst>
                      <a:ext uri="{53640926-AAD7-44D8-BBD7-CCE9431645EC}">
                        <a14:shadowObscured xmlns:a14="http://schemas.microsoft.com/office/drawing/2010/main"/>
                      </a:ext>
                    </a:extLst>
                  </pic:spPr>
                </pic:pic>
              </a:graphicData>
            </a:graphic>
          </wp:inline>
        </w:drawing>
      </w:r>
    </w:p>
    <w:p w14:paraId="7132AA07" w14:textId="77777777" w:rsidR="004473EB" w:rsidRPr="005E38EF" w:rsidRDefault="004473EB" w:rsidP="004473EB">
      <w:pPr>
        <w:rPr>
          <w:b/>
          <w:bCs/>
        </w:rPr>
      </w:pPr>
      <w:r w:rsidRPr="005E38EF">
        <w:rPr>
          <w:b/>
          <w:bCs/>
        </w:rPr>
        <w:t xml:space="preserve">Figure </w:t>
      </w:r>
      <w:r>
        <w:rPr>
          <w:b/>
          <w:bCs/>
        </w:rPr>
        <w:t>D5</w:t>
      </w:r>
      <w:r w:rsidRPr="005E38EF">
        <w:rPr>
          <w:b/>
          <w:bCs/>
        </w:rPr>
        <w:t xml:space="preserve">. Comparison of measured and simulated salinity at key monitoring points within the Coorong lagoon, moving from the Murray Mouth into the South Lagoon. </w:t>
      </w:r>
    </w:p>
    <w:p w14:paraId="3FB1D0D8" w14:textId="77777777" w:rsidR="004473EB" w:rsidRPr="0024484B" w:rsidRDefault="004473EB" w:rsidP="004473EB">
      <w:pPr>
        <w:rPr>
          <w:highlight w:val="yellow"/>
        </w:rPr>
      </w:pPr>
    </w:p>
    <w:p w14:paraId="23A5C384" w14:textId="77777777" w:rsidR="004473EB" w:rsidRDefault="004473EB" w:rsidP="004473EB">
      <w:r w:rsidRPr="00844EC3">
        <w:rPr>
          <w:noProof/>
          <w:lang w:val="en-US"/>
        </w:rPr>
        <w:drawing>
          <wp:inline distT="0" distB="0" distL="0" distR="0" wp14:anchorId="1CF2F43D" wp14:editId="46652661">
            <wp:extent cx="5730819" cy="6858000"/>
            <wp:effectExtent l="0" t="0" r="3810" b="0"/>
            <wp:docPr id="1070" name="Picture 1070" descr="E:\database\Lowerlakes_CEW\eWater\flux\salt_flux_plots\salt_fluxesbasecase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atabase\Lowerlakes_CEW\eWater\flux\salt_flux_plots\salt_fluxesbasecase_flows_shaded.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t="5479" b="7398"/>
                    <a:stretch/>
                  </pic:blipFill>
                  <pic:spPr bwMode="auto">
                    <a:xfrm>
                      <a:off x="0" y="0"/>
                      <a:ext cx="5731510" cy="6858827"/>
                    </a:xfrm>
                    <a:prstGeom prst="rect">
                      <a:avLst/>
                    </a:prstGeom>
                    <a:noFill/>
                    <a:ln>
                      <a:noFill/>
                    </a:ln>
                    <a:extLst>
                      <a:ext uri="{53640926-AAD7-44D8-BBD7-CCE9431645EC}">
                        <a14:shadowObscured xmlns:a14="http://schemas.microsoft.com/office/drawing/2010/main"/>
                      </a:ext>
                    </a:extLst>
                  </pic:spPr>
                </pic:pic>
              </a:graphicData>
            </a:graphic>
          </wp:inline>
        </w:drawing>
      </w:r>
    </w:p>
    <w:p w14:paraId="294A58A6" w14:textId="5472EFD4" w:rsidR="004473EB" w:rsidRDefault="004473EB" w:rsidP="00404EDB">
      <w:pPr>
        <w:pStyle w:val="Captions"/>
      </w:pPr>
      <w:r>
        <w:t xml:space="preserve">Figure D6. Detailed salt flux analysis at 4 locations in the Coorong (a-d) in the base-case scenario, which has environmental water flow </w:t>
      </w:r>
      <w:r w:rsidR="00B73207">
        <w:t xml:space="preserve">through </w:t>
      </w:r>
      <w:r>
        <w:t>the barrages each year. Panel (e) shows the cumulative salt flux into the North Lagoon (past Long Point) and into the South Lagoon (past Parnka Point); the shaded blue area shows salt export from the Coorong towards the Murray Mouth.</w:t>
      </w:r>
    </w:p>
    <w:p w14:paraId="2437ACE7" w14:textId="77777777" w:rsidR="004473EB" w:rsidRDefault="004473EB" w:rsidP="00404EDB">
      <w:pPr>
        <w:jc w:val="center"/>
      </w:pPr>
      <w:r>
        <w:rPr>
          <w:noProof/>
          <w:lang w:val="en-US"/>
        </w:rPr>
        <w:drawing>
          <wp:inline distT="0" distB="0" distL="0" distR="0" wp14:anchorId="5459F418" wp14:editId="4D8C6015">
            <wp:extent cx="5752896" cy="6858000"/>
            <wp:effectExtent l="0" t="0" r="635" b="0"/>
            <wp:docPr id="1058" name="Picture 1" descr="salt_fluxesScen1_flows_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_fluxesScen1_flows_shaded"/>
                    <pic:cNvPicPr>
                      <a:picLocks noChangeAspect="1" noChangeArrowheads="1"/>
                    </pic:cNvPicPr>
                  </pic:nvPicPr>
                  <pic:blipFill rotWithShape="1">
                    <a:blip r:embed="rId143">
                      <a:extLst>
                        <a:ext uri="{28A0092B-C50C-407E-A947-70E740481C1C}">
                          <a14:useLocalDpi xmlns:a14="http://schemas.microsoft.com/office/drawing/2010/main" val="0"/>
                        </a:ext>
                      </a:extLst>
                    </a:blip>
                    <a:srcRect t="5878" b="7580"/>
                    <a:stretch/>
                  </pic:blipFill>
                  <pic:spPr bwMode="auto">
                    <a:xfrm>
                      <a:off x="0" y="0"/>
                      <a:ext cx="5753100" cy="6858243"/>
                    </a:xfrm>
                    <a:prstGeom prst="rect">
                      <a:avLst/>
                    </a:prstGeom>
                    <a:noFill/>
                    <a:ln>
                      <a:noFill/>
                    </a:ln>
                    <a:extLst>
                      <a:ext uri="{53640926-AAD7-44D8-BBD7-CCE9431645EC}">
                        <a14:shadowObscured xmlns:a14="http://schemas.microsoft.com/office/drawing/2010/main"/>
                      </a:ext>
                    </a:extLst>
                  </pic:spPr>
                </pic:pic>
              </a:graphicData>
            </a:graphic>
          </wp:inline>
        </w:drawing>
      </w:r>
    </w:p>
    <w:p w14:paraId="06F0D02B" w14:textId="6C07A860" w:rsidR="004473EB" w:rsidRDefault="004473EB" w:rsidP="00404EDB">
      <w:pPr>
        <w:pStyle w:val="Captions"/>
      </w:pPr>
      <w:r>
        <w:t>Figure D</w:t>
      </w:r>
      <w:r w:rsidR="00A1041C">
        <w:t>7</w:t>
      </w:r>
      <w:r>
        <w:t>. Detailed salt flux analysis at 4 locations in the Coorong (a-d) in the ‘no CEW 1 year’ scenario. Panel (e) shows the cumulative salt flux into the North Lagoon (past Long Point) and into the South Lagoon (past Parnka Point); the shaded blue area shows salt export from the Coorong towards the Murray Mouth.</w:t>
      </w:r>
    </w:p>
    <w:p w14:paraId="5F6EC894" w14:textId="77777777" w:rsidR="004473EB" w:rsidRDefault="004473EB" w:rsidP="004473EB">
      <w:r>
        <w:rPr>
          <w:noProof/>
          <w:lang w:val="en-US"/>
        </w:rPr>
        <w:drawing>
          <wp:inline distT="0" distB="0" distL="0" distR="0" wp14:anchorId="11A0F40E" wp14:editId="784A9CE8">
            <wp:extent cx="5753017" cy="6814868"/>
            <wp:effectExtent l="0" t="0" r="635" b="5080"/>
            <wp:docPr id="1057" name="Picture 2" descr="salt_fluxesScen2_flows_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t_fluxesScen2_flows_shaded"/>
                    <pic:cNvPicPr>
                      <a:picLocks noChangeAspect="1" noChangeArrowheads="1"/>
                    </pic:cNvPicPr>
                  </pic:nvPicPr>
                  <pic:blipFill rotWithShape="1">
                    <a:blip r:embed="rId144">
                      <a:extLst>
                        <a:ext uri="{28A0092B-C50C-407E-A947-70E740481C1C}">
                          <a14:useLocalDpi xmlns:a14="http://schemas.microsoft.com/office/drawing/2010/main" val="0"/>
                        </a:ext>
                      </a:extLst>
                    </a:blip>
                    <a:srcRect t="5551" b="8453"/>
                    <a:stretch/>
                  </pic:blipFill>
                  <pic:spPr bwMode="auto">
                    <a:xfrm>
                      <a:off x="0" y="0"/>
                      <a:ext cx="5753100" cy="6814966"/>
                    </a:xfrm>
                    <a:prstGeom prst="rect">
                      <a:avLst/>
                    </a:prstGeom>
                    <a:noFill/>
                    <a:ln>
                      <a:noFill/>
                    </a:ln>
                    <a:extLst>
                      <a:ext uri="{53640926-AAD7-44D8-BBD7-CCE9431645EC}">
                        <a14:shadowObscured xmlns:a14="http://schemas.microsoft.com/office/drawing/2010/main"/>
                      </a:ext>
                    </a:extLst>
                  </pic:spPr>
                </pic:pic>
              </a:graphicData>
            </a:graphic>
          </wp:inline>
        </w:drawing>
      </w:r>
    </w:p>
    <w:p w14:paraId="3811B021" w14:textId="576F3482" w:rsidR="004473EB" w:rsidRDefault="004473EB" w:rsidP="00404EDB">
      <w:pPr>
        <w:pStyle w:val="Captions"/>
      </w:pPr>
      <w:r>
        <w:t>Figure D</w:t>
      </w:r>
      <w:r w:rsidR="00A1041C">
        <w:t>8</w:t>
      </w:r>
      <w:r>
        <w:t>. Detailed salt flux analysis at 4 locations in the Coorong (a-d) in the ‘no eWater 1 year’ scenario. Panel (e) shows the cumulative salt flux into the North Lagoon (past Long Point) and into the South Lagoon (past Parnka Point); the shaded blue area shows salt export from the Coorong towards the Murray Mouth.</w:t>
      </w:r>
    </w:p>
    <w:p w14:paraId="199EBE14" w14:textId="77777777" w:rsidR="004473EB" w:rsidRDefault="004473EB" w:rsidP="004473EB">
      <w:r>
        <w:rPr>
          <w:noProof/>
          <w:lang w:val="en-US"/>
        </w:rPr>
        <w:drawing>
          <wp:inline distT="0" distB="0" distL="0" distR="0" wp14:anchorId="59879366" wp14:editId="56AECC53">
            <wp:extent cx="5752693" cy="6814868"/>
            <wp:effectExtent l="0" t="0" r="635" b="5080"/>
            <wp:docPr id="1050" name="Picture 3" descr="salt_fluxesScen3_flows_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lt_fluxesScen3_flows_shaded"/>
                    <pic:cNvPicPr>
                      <a:picLocks noChangeAspect="1" noChangeArrowheads="1"/>
                    </pic:cNvPicPr>
                  </pic:nvPicPr>
                  <pic:blipFill rotWithShape="1">
                    <a:blip r:embed="rId145">
                      <a:extLst>
                        <a:ext uri="{28A0092B-C50C-407E-A947-70E740481C1C}">
                          <a14:useLocalDpi xmlns:a14="http://schemas.microsoft.com/office/drawing/2010/main" val="0"/>
                        </a:ext>
                      </a:extLst>
                    </a:blip>
                    <a:srcRect t="5987" b="8013"/>
                    <a:stretch/>
                  </pic:blipFill>
                  <pic:spPr bwMode="auto">
                    <a:xfrm>
                      <a:off x="0" y="0"/>
                      <a:ext cx="5753100" cy="6815350"/>
                    </a:xfrm>
                    <a:prstGeom prst="rect">
                      <a:avLst/>
                    </a:prstGeom>
                    <a:noFill/>
                    <a:ln>
                      <a:noFill/>
                    </a:ln>
                    <a:extLst>
                      <a:ext uri="{53640926-AAD7-44D8-BBD7-CCE9431645EC}">
                        <a14:shadowObscured xmlns:a14="http://schemas.microsoft.com/office/drawing/2010/main"/>
                      </a:ext>
                    </a:extLst>
                  </pic:spPr>
                </pic:pic>
              </a:graphicData>
            </a:graphic>
          </wp:inline>
        </w:drawing>
      </w:r>
    </w:p>
    <w:p w14:paraId="79EEC1CE" w14:textId="451CBCF2" w:rsidR="004473EB" w:rsidRDefault="004473EB" w:rsidP="00404EDB">
      <w:pPr>
        <w:pStyle w:val="Captions"/>
      </w:pPr>
      <w:r>
        <w:t>Figure D</w:t>
      </w:r>
      <w:r w:rsidR="00A1041C">
        <w:t>9</w:t>
      </w:r>
      <w:r>
        <w:t>. Detailed salt flux analysis at 4 locations in the Coorong (a-d) in the ‘no CEW 4 year’ scenario. Panel (e) shows the cumulative salt flux into the North Lagoon (past Long Point) and into the South Lagoon (past Parnka Point); the shaded blue area shows salt export from the Coorong towards the Murray Mouth.</w:t>
      </w:r>
    </w:p>
    <w:p w14:paraId="578DF30C" w14:textId="77777777" w:rsidR="004473EB" w:rsidRDefault="004473EB" w:rsidP="004473EB">
      <w:r>
        <w:rPr>
          <w:noProof/>
          <w:lang w:val="en-US"/>
        </w:rPr>
        <w:drawing>
          <wp:inline distT="0" distB="0" distL="0" distR="0" wp14:anchorId="30813278" wp14:editId="029956DA">
            <wp:extent cx="5752815" cy="6814868"/>
            <wp:effectExtent l="0" t="0" r="635" b="5080"/>
            <wp:docPr id="1071" name="Picture 4" descr="salt_fluxesScen4_flows_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lt_fluxesScen4_flows_shaded"/>
                    <pic:cNvPicPr>
                      <a:picLocks noChangeAspect="1" noChangeArrowheads="1"/>
                    </pic:cNvPicPr>
                  </pic:nvPicPr>
                  <pic:blipFill rotWithShape="1">
                    <a:blip r:embed="rId146">
                      <a:extLst>
                        <a:ext uri="{28A0092B-C50C-407E-A947-70E740481C1C}">
                          <a14:useLocalDpi xmlns:a14="http://schemas.microsoft.com/office/drawing/2010/main" val="0"/>
                        </a:ext>
                      </a:extLst>
                    </a:blip>
                    <a:srcRect t="5660" b="8341"/>
                    <a:stretch/>
                  </pic:blipFill>
                  <pic:spPr bwMode="auto">
                    <a:xfrm>
                      <a:off x="0" y="0"/>
                      <a:ext cx="5753100" cy="6815206"/>
                    </a:xfrm>
                    <a:prstGeom prst="rect">
                      <a:avLst/>
                    </a:prstGeom>
                    <a:noFill/>
                    <a:ln>
                      <a:noFill/>
                    </a:ln>
                    <a:extLst>
                      <a:ext uri="{53640926-AAD7-44D8-BBD7-CCE9431645EC}">
                        <a14:shadowObscured xmlns:a14="http://schemas.microsoft.com/office/drawing/2010/main"/>
                      </a:ext>
                    </a:extLst>
                  </pic:spPr>
                </pic:pic>
              </a:graphicData>
            </a:graphic>
          </wp:inline>
        </w:drawing>
      </w:r>
    </w:p>
    <w:p w14:paraId="7BB1ECE5" w14:textId="284523C4" w:rsidR="004473EB" w:rsidRDefault="004473EB" w:rsidP="00404EDB">
      <w:pPr>
        <w:pStyle w:val="Captions"/>
      </w:pPr>
      <w:r>
        <w:t>Figure D</w:t>
      </w:r>
      <w:r w:rsidR="00A1041C">
        <w:t>10</w:t>
      </w:r>
      <w:r>
        <w:t>. Detailed salt flux analysis at 4 locations in the Coorong (a-d) in the ‘no eWater 4 year’ scenario. Panel (e) shows the cumulative salt flux into the North Lagoon (past Long Point) and into the South Lagoon (past Parnka Point); the shaded blue area shows salt export from the Coorong towards the Murray Mouth.</w:t>
      </w:r>
    </w:p>
    <w:p w14:paraId="73DA0FB7" w14:textId="77777777" w:rsidR="004473EB" w:rsidRDefault="004473EB" w:rsidP="004473EB">
      <w:r w:rsidRPr="00F50050">
        <w:rPr>
          <w:noProof/>
          <w:lang w:val="en-US"/>
        </w:rPr>
        <w:drawing>
          <wp:inline distT="0" distB="0" distL="0" distR="0" wp14:anchorId="4D1E2472" wp14:editId="2292CBF5">
            <wp:extent cx="5730686" cy="6849374"/>
            <wp:effectExtent l="0" t="0" r="3810" b="8890"/>
            <wp:docPr id="1072" name="Picture 1072" descr="E:\database\Lowerlakes_CEW\eWater\flux\salt_flux_plots\TN_fluxesbasecase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database\Lowerlakes_CEW\eWater\flux\salt_flux_plots\TN_fluxesbasecase_flows_shaded.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t="5807" b="7177"/>
                    <a:stretch/>
                  </pic:blipFill>
                  <pic:spPr bwMode="auto">
                    <a:xfrm>
                      <a:off x="0" y="0"/>
                      <a:ext cx="5731510" cy="6850359"/>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F99C982" w14:textId="58678D21" w:rsidR="004473EB" w:rsidRDefault="004473EB" w:rsidP="00404EDB">
      <w:pPr>
        <w:pStyle w:val="Captions"/>
      </w:pPr>
      <w:r>
        <w:t>Figure D1</w:t>
      </w:r>
      <w:r w:rsidR="00A1041C">
        <w:t>1</w:t>
      </w:r>
      <w:r>
        <w:t xml:space="preserve">. Detailed TN flux analysis at 4 locations in the Coorong (a-d) in the base-case scenario, which has environmental water flow </w:t>
      </w:r>
      <w:r w:rsidR="00B73207">
        <w:t xml:space="preserve">through </w:t>
      </w:r>
      <w:r>
        <w:t>the barrages each year. Panel (e) shows the cumulative TN flux into the North Lagoon (past Long Point) and into the South Lagoon (past Parnka Point).</w:t>
      </w:r>
    </w:p>
    <w:p w14:paraId="19D4349B" w14:textId="77777777" w:rsidR="004473EB" w:rsidRDefault="004473EB" w:rsidP="004473EB"/>
    <w:p w14:paraId="7CF2D082" w14:textId="77777777" w:rsidR="004473EB" w:rsidRDefault="004473EB" w:rsidP="004473EB"/>
    <w:p w14:paraId="0A35FFE5" w14:textId="77777777" w:rsidR="004473EB" w:rsidRDefault="004473EB" w:rsidP="004473EB">
      <w:r w:rsidRPr="00F50050">
        <w:rPr>
          <w:noProof/>
          <w:lang w:val="en-US"/>
        </w:rPr>
        <w:drawing>
          <wp:inline distT="0" distB="0" distL="0" distR="0" wp14:anchorId="109A5BAF" wp14:editId="3B69E9A0">
            <wp:extent cx="5730780" cy="6754483"/>
            <wp:effectExtent l="0" t="0" r="3810" b="8890"/>
            <wp:docPr id="1073" name="Picture 1073" descr="E:\database\Lowerlakes_CEW\eWater\flux\salt_flux_plots\TN_fluxesScen1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atabase\Lowerlakes_CEW\eWater\flux\salt_flux_plots\TN_fluxesScen1_flows_shaded.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t="6027" b="8164"/>
                    <a:stretch/>
                  </pic:blipFill>
                  <pic:spPr bwMode="auto">
                    <a:xfrm>
                      <a:off x="0" y="0"/>
                      <a:ext cx="5731510" cy="6755343"/>
                    </a:xfrm>
                    <a:prstGeom prst="rect">
                      <a:avLst/>
                    </a:prstGeom>
                    <a:noFill/>
                    <a:ln>
                      <a:noFill/>
                    </a:ln>
                    <a:extLst>
                      <a:ext uri="{53640926-AAD7-44D8-BBD7-CCE9431645EC}">
                        <a14:shadowObscured xmlns:a14="http://schemas.microsoft.com/office/drawing/2010/main"/>
                      </a:ext>
                    </a:extLst>
                  </pic:spPr>
                </pic:pic>
              </a:graphicData>
            </a:graphic>
          </wp:inline>
        </w:drawing>
      </w:r>
    </w:p>
    <w:p w14:paraId="54A6A09F" w14:textId="655A3572" w:rsidR="004473EB" w:rsidRDefault="004473EB" w:rsidP="00404EDB">
      <w:pPr>
        <w:pStyle w:val="Captions"/>
      </w:pPr>
      <w:r>
        <w:t>Figure D1</w:t>
      </w:r>
      <w:r w:rsidR="00A1041C">
        <w:t>2</w:t>
      </w:r>
      <w:r>
        <w:t>. Detailed TN flux analysis at 4 locations in the Coorong (a-d) in the ‘no CEW 1 year’ scenario. Panel (e) shows the cumulative TN flux into the North Lagoon (past Long Point) and into the South Lagoon (past Parnka Point).</w:t>
      </w:r>
    </w:p>
    <w:p w14:paraId="176CE8F4" w14:textId="77777777" w:rsidR="004473EB" w:rsidRDefault="004473EB" w:rsidP="004473EB"/>
    <w:p w14:paraId="48318F6A" w14:textId="77777777" w:rsidR="004473EB" w:rsidRDefault="004473EB" w:rsidP="004473EB">
      <w:r w:rsidRPr="00F50050">
        <w:rPr>
          <w:noProof/>
          <w:lang w:val="en-US"/>
        </w:rPr>
        <w:drawing>
          <wp:inline distT="0" distB="0" distL="0" distR="0" wp14:anchorId="23C9C480" wp14:editId="7FF1B04B">
            <wp:extent cx="5730875" cy="6728604"/>
            <wp:effectExtent l="0" t="0" r="3175" b="0"/>
            <wp:docPr id="1074" name="Picture 1074" descr="E:\database\Lowerlakes_CEW\eWater\flux\salt_flux_plots\TN_fluxesScen2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atabase\Lowerlakes_CEW\eWater\flux\salt_flux_plots\TN_fluxesScen2_flows_shaded.png"/>
                    <pic:cNvPicPr>
                      <a:picLocks noChangeAspect="1" noChangeArrowheads="1"/>
                    </pic:cNvPicPr>
                  </pic:nvPicPr>
                  <pic:blipFill rotWithShape="1">
                    <a:blip r:embed="rId149">
                      <a:extLst>
                        <a:ext uri="{28A0092B-C50C-407E-A947-70E740481C1C}">
                          <a14:useLocalDpi xmlns:a14="http://schemas.microsoft.com/office/drawing/2010/main" val="0"/>
                        </a:ext>
                      </a:extLst>
                    </a:blip>
                    <a:srcRect t="5918" b="8604"/>
                    <a:stretch/>
                  </pic:blipFill>
                  <pic:spPr bwMode="auto">
                    <a:xfrm>
                      <a:off x="0" y="0"/>
                      <a:ext cx="5731510" cy="6729350"/>
                    </a:xfrm>
                    <a:prstGeom prst="rect">
                      <a:avLst/>
                    </a:prstGeom>
                    <a:noFill/>
                    <a:ln>
                      <a:noFill/>
                    </a:ln>
                    <a:extLst>
                      <a:ext uri="{53640926-AAD7-44D8-BBD7-CCE9431645EC}">
                        <a14:shadowObscured xmlns:a14="http://schemas.microsoft.com/office/drawing/2010/main"/>
                      </a:ext>
                    </a:extLst>
                  </pic:spPr>
                </pic:pic>
              </a:graphicData>
            </a:graphic>
          </wp:inline>
        </w:drawing>
      </w:r>
    </w:p>
    <w:p w14:paraId="3057A6E2" w14:textId="22503227" w:rsidR="004473EB" w:rsidRDefault="004473EB" w:rsidP="00404EDB">
      <w:pPr>
        <w:pStyle w:val="Captions"/>
      </w:pPr>
      <w:r>
        <w:t>Figure D1</w:t>
      </w:r>
      <w:r w:rsidR="00A1041C">
        <w:t>3</w:t>
      </w:r>
      <w:r>
        <w:t>. Detailed TN flux analysis at 4 locations in the Coorong (a-d) in the ‘no eWater 1 year’ scenario. Panel (e) shows the cumulative TN flux into the North Lagoon (past Long Point) and into the South Lagoon (past Parnka Point).</w:t>
      </w:r>
    </w:p>
    <w:p w14:paraId="2DA9E99E" w14:textId="77777777" w:rsidR="004473EB" w:rsidRDefault="004473EB" w:rsidP="004473EB"/>
    <w:p w14:paraId="6A74311B" w14:textId="77777777" w:rsidR="004473EB" w:rsidRDefault="004473EB" w:rsidP="004473EB">
      <w:r w:rsidRPr="00712381">
        <w:rPr>
          <w:noProof/>
          <w:lang w:val="en-US"/>
        </w:rPr>
        <w:drawing>
          <wp:inline distT="0" distB="0" distL="0" distR="0" wp14:anchorId="7CE72281" wp14:editId="534326BF">
            <wp:extent cx="5730819" cy="6806242"/>
            <wp:effectExtent l="0" t="0" r="3810" b="0"/>
            <wp:docPr id="1075" name="Picture 1075" descr="E:\database\Lowerlakes_CEW\eWater\flux\salt_flux_plots\TN_fluxesScen3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database\Lowerlakes_CEW\eWater\flux\salt_flux_plots\TN_fluxesScen3_flows_shaded.png"/>
                    <pic:cNvPicPr>
                      <a:picLocks noChangeAspect="1" noChangeArrowheads="1"/>
                    </pic:cNvPicPr>
                  </pic:nvPicPr>
                  <pic:blipFill rotWithShape="1">
                    <a:blip r:embed="rId150">
                      <a:extLst>
                        <a:ext uri="{28A0092B-C50C-407E-A947-70E740481C1C}">
                          <a14:useLocalDpi xmlns:a14="http://schemas.microsoft.com/office/drawing/2010/main" val="0"/>
                        </a:ext>
                      </a:extLst>
                    </a:blip>
                    <a:srcRect t="5479" b="8056"/>
                    <a:stretch/>
                  </pic:blipFill>
                  <pic:spPr bwMode="auto">
                    <a:xfrm>
                      <a:off x="0" y="0"/>
                      <a:ext cx="5731510" cy="6807063"/>
                    </a:xfrm>
                    <a:prstGeom prst="rect">
                      <a:avLst/>
                    </a:prstGeom>
                    <a:noFill/>
                    <a:ln>
                      <a:noFill/>
                    </a:ln>
                    <a:extLst>
                      <a:ext uri="{53640926-AAD7-44D8-BBD7-CCE9431645EC}">
                        <a14:shadowObscured xmlns:a14="http://schemas.microsoft.com/office/drawing/2010/main"/>
                      </a:ext>
                    </a:extLst>
                  </pic:spPr>
                </pic:pic>
              </a:graphicData>
            </a:graphic>
          </wp:inline>
        </w:drawing>
      </w:r>
    </w:p>
    <w:p w14:paraId="068CC96E" w14:textId="28424BA3" w:rsidR="004473EB" w:rsidRDefault="004473EB" w:rsidP="00404EDB">
      <w:pPr>
        <w:pStyle w:val="Captions"/>
      </w:pPr>
      <w:r>
        <w:t>Figure D1</w:t>
      </w:r>
      <w:r w:rsidR="00A1041C">
        <w:t>4</w:t>
      </w:r>
      <w:r>
        <w:t>. Detailed TN flux analysis at 4 locations in the Coorong (a-d) in the ‘no CEW 4 years’ scenario. Panel (e) shows the cumulative TN flux into the North Lagoon (past Long Point) and into the South Lagoon (past Parnka Point).</w:t>
      </w:r>
    </w:p>
    <w:p w14:paraId="621834A9" w14:textId="77777777" w:rsidR="004473EB" w:rsidRDefault="004473EB" w:rsidP="004473EB"/>
    <w:p w14:paraId="55A91DF8" w14:textId="77777777" w:rsidR="004473EB" w:rsidRDefault="004473EB" w:rsidP="00404EDB">
      <w:pPr>
        <w:jc w:val="center"/>
      </w:pPr>
      <w:r w:rsidRPr="00712381">
        <w:rPr>
          <w:noProof/>
          <w:lang w:val="en-US"/>
        </w:rPr>
        <w:drawing>
          <wp:inline distT="0" distB="0" distL="0" distR="0" wp14:anchorId="5713E482" wp14:editId="6072EE8A">
            <wp:extent cx="5730875" cy="6728604"/>
            <wp:effectExtent l="0" t="0" r="3175" b="0"/>
            <wp:docPr id="1076" name="Picture 1076" descr="E:\database\Lowerlakes_CEW\eWater\flux\salt_flux_plots\TN_fluxesScen4_flows_shad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atabase\Lowerlakes_CEW\eWater\flux\salt_flux_plots\TN_fluxesScen4_flows_shaded.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t="5918" b="8604"/>
                    <a:stretch/>
                  </pic:blipFill>
                  <pic:spPr bwMode="auto">
                    <a:xfrm>
                      <a:off x="0" y="0"/>
                      <a:ext cx="5731510" cy="6729350"/>
                    </a:xfrm>
                    <a:prstGeom prst="rect">
                      <a:avLst/>
                    </a:prstGeom>
                    <a:noFill/>
                    <a:ln>
                      <a:noFill/>
                    </a:ln>
                    <a:extLst>
                      <a:ext uri="{53640926-AAD7-44D8-BBD7-CCE9431645EC}">
                        <a14:shadowObscured xmlns:a14="http://schemas.microsoft.com/office/drawing/2010/main"/>
                      </a:ext>
                    </a:extLst>
                  </pic:spPr>
                </pic:pic>
              </a:graphicData>
            </a:graphic>
          </wp:inline>
        </w:drawing>
      </w:r>
    </w:p>
    <w:p w14:paraId="53EFA67C" w14:textId="1D3AEE64" w:rsidR="004473EB" w:rsidRDefault="004473EB" w:rsidP="00404EDB">
      <w:pPr>
        <w:pStyle w:val="Captions"/>
      </w:pPr>
      <w:r>
        <w:t>Figure D1</w:t>
      </w:r>
      <w:r w:rsidR="00A1041C">
        <w:t>5.</w:t>
      </w:r>
      <w:r>
        <w:t xml:space="preserve"> Detailed TN flux analysis at 4 locations in the Coorong (a-d) in the ‘no eWater 4 years’ scenario. Panel (e) shows the cumulative TN flux into the North Lagoon (past Long Point) and into the South Lagoon (past Parnka Point).</w:t>
      </w:r>
    </w:p>
    <w:p w14:paraId="2BD2B266" w14:textId="77777777" w:rsidR="004473EB" w:rsidRDefault="004473EB" w:rsidP="004473EB">
      <w:pPr>
        <w:spacing w:before="0" w:after="160" w:line="259" w:lineRule="auto"/>
        <w:jc w:val="left"/>
        <w:rPr>
          <w:highlight w:val="yellow"/>
        </w:rPr>
      </w:pPr>
    </w:p>
    <w:p w14:paraId="4D12B43E" w14:textId="77777777" w:rsidR="004473EB" w:rsidRPr="001832D4" w:rsidRDefault="004473EB" w:rsidP="00404EDB">
      <w:pPr>
        <w:jc w:val="center"/>
      </w:pPr>
      <w:r w:rsidRPr="001832D4">
        <w:rPr>
          <w:noProof/>
          <w:lang w:val="en-US"/>
        </w:rPr>
        <w:drawing>
          <wp:inline distT="0" distB="0" distL="0" distR="0" wp14:anchorId="6B8C6C49" wp14:editId="2660B8EC">
            <wp:extent cx="5788463" cy="6021238"/>
            <wp:effectExtent l="0" t="0" r="3175" b="0"/>
            <wp:docPr id="1077" name="Picture 1077" descr="E:\database\Lowerlakes_CEW\eWater\flux\plot_monthly_flux\bar_fluxes_monthly_NS8_N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atabase\Lowerlakes_CEW\eWater\flux\plot_monthly_flux\bar_fluxes_monthly_NS8_NS12.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6322" r="8176"/>
                    <a:stretch/>
                  </pic:blipFill>
                  <pic:spPr bwMode="auto">
                    <a:xfrm>
                      <a:off x="0" y="0"/>
                      <a:ext cx="5804032" cy="6037433"/>
                    </a:xfrm>
                    <a:prstGeom prst="rect">
                      <a:avLst/>
                    </a:prstGeom>
                    <a:noFill/>
                    <a:ln>
                      <a:noFill/>
                    </a:ln>
                    <a:extLst>
                      <a:ext uri="{53640926-AAD7-44D8-BBD7-CCE9431645EC}">
                        <a14:shadowObscured xmlns:a14="http://schemas.microsoft.com/office/drawing/2010/main"/>
                      </a:ext>
                    </a:extLst>
                  </pic:spPr>
                </pic:pic>
              </a:graphicData>
            </a:graphic>
          </wp:inline>
        </w:drawing>
      </w:r>
    </w:p>
    <w:p w14:paraId="61998969" w14:textId="1B2D2AAD" w:rsidR="004473EB" w:rsidRPr="001832D4" w:rsidRDefault="004473EB" w:rsidP="00404EDB">
      <w:pPr>
        <w:pStyle w:val="Captions"/>
      </w:pPr>
      <w:r w:rsidRPr="001832D4">
        <w:t xml:space="preserve">Figure </w:t>
      </w:r>
      <w:r>
        <w:t>D1</w:t>
      </w:r>
      <w:r w:rsidR="00A1041C">
        <w:t>6</w:t>
      </w:r>
      <w:r w:rsidRPr="001832D4">
        <w:t>. Monthly salt flux with and without environmental water delivery for July 2017–Ju</w:t>
      </w:r>
      <w:r>
        <w:t>ne</w:t>
      </w:r>
      <w:r w:rsidRPr="001832D4">
        <w:t xml:space="preserve"> 2021. </w:t>
      </w:r>
    </w:p>
    <w:p w14:paraId="5A3967A5" w14:textId="77777777" w:rsidR="004473EB" w:rsidRPr="001832D4" w:rsidRDefault="004473EB" w:rsidP="004473EB"/>
    <w:p w14:paraId="674A115C" w14:textId="77777777" w:rsidR="004473EB" w:rsidRPr="001832D4" w:rsidRDefault="004473EB" w:rsidP="004473EB"/>
    <w:p w14:paraId="1F88F042" w14:textId="77777777" w:rsidR="004473EB" w:rsidRPr="001832D4" w:rsidRDefault="004473EB" w:rsidP="00404EDB">
      <w:pPr>
        <w:jc w:val="center"/>
      </w:pPr>
      <w:r w:rsidRPr="001832D4">
        <w:rPr>
          <w:noProof/>
          <w:lang w:val="en-US"/>
        </w:rPr>
        <w:drawing>
          <wp:inline distT="0" distB="0" distL="0" distR="0" wp14:anchorId="307D7222" wp14:editId="35C7D863">
            <wp:extent cx="5669652" cy="5960853"/>
            <wp:effectExtent l="0" t="0" r="7620" b="1905"/>
            <wp:docPr id="1078" name="Picture 1078" descr="E:\database\Lowerlakes_CEW\eWater\flux\plot_monthly_flux\TN_bar_fluxes_monthly_NS8_N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atabase\Lowerlakes_CEW\eWater\flux\plot_monthly_flux\TN_bar_fluxes_monthly_NS8_NS12.png"/>
                    <pic:cNvPicPr>
                      <a:picLocks noChangeAspect="1" noChangeArrowheads="1"/>
                    </pic:cNvPicPr>
                  </pic:nvPicPr>
                  <pic:blipFill rotWithShape="1">
                    <a:blip r:embed="rId153">
                      <a:extLst>
                        <a:ext uri="{28A0092B-C50C-407E-A947-70E740481C1C}">
                          <a14:useLocalDpi xmlns:a14="http://schemas.microsoft.com/office/drawing/2010/main" val="0"/>
                        </a:ext>
                      </a:extLst>
                    </a:blip>
                    <a:srcRect l="6924" r="8479"/>
                    <a:stretch/>
                  </pic:blipFill>
                  <pic:spPr bwMode="auto">
                    <a:xfrm>
                      <a:off x="0" y="0"/>
                      <a:ext cx="5676890" cy="5968463"/>
                    </a:xfrm>
                    <a:prstGeom prst="rect">
                      <a:avLst/>
                    </a:prstGeom>
                    <a:noFill/>
                    <a:ln>
                      <a:noFill/>
                    </a:ln>
                    <a:extLst>
                      <a:ext uri="{53640926-AAD7-44D8-BBD7-CCE9431645EC}">
                        <a14:shadowObscured xmlns:a14="http://schemas.microsoft.com/office/drawing/2010/main"/>
                      </a:ext>
                    </a:extLst>
                  </pic:spPr>
                </pic:pic>
              </a:graphicData>
            </a:graphic>
          </wp:inline>
        </w:drawing>
      </w:r>
    </w:p>
    <w:p w14:paraId="6375D4CA" w14:textId="3961CFED" w:rsidR="004473EB" w:rsidRPr="001832D4" w:rsidRDefault="004473EB" w:rsidP="00404EDB">
      <w:pPr>
        <w:pStyle w:val="Captions"/>
      </w:pPr>
      <w:r w:rsidRPr="001832D4">
        <w:t xml:space="preserve">Figure </w:t>
      </w:r>
      <w:r>
        <w:t>D1</w:t>
      </w:r>
      <w:r w:rsidR="00A1041C">
        <w:t>7</w:t>
      </w:r>
      <w:r w:rsidRPr="001832D4">
        <w:t>. Monthly TN flux with and without environmental water delivery for July 2017–Ju</w:t>
      </w:r>
      <w:r>
        <w:t>ne</w:t>
      </w:r>
      <w:r w:rsidRPr="001832D4">
        <w:t xml:space="preserve"> 2021. </w:t>
      </w:r>
    </w:p>
    <w:p w14:paraId="3A7127CB" w14:textId="77777777" w:rsidR="004473EB" w:rsidRPr="001832D4" w:rsidRDefault="004473EB" w:rsidP="004473EB"/>
    <w:p w14:paraId="22106B7E" w14:textId="77777777" w:rsidR="004473EB" w:rsidRDefault="004473EB" w:rsidP="004473EB">
      <w:pPr>
        <w:spacing w:before="0" w:after="160" w:line="259" w:lineRule="auto"/>
        <w:jc w:val="left"/>
        <w:rPr>
          <w:highlight w:val="yellow"/>
        </w:rPr>
      </w:pPr>
    </w:p>
    <w:p w14:paraId="6AF884F5" w14:textId="77777777" w:rsidR="004473EB" w:rsidRPr="00424090" w:rsidRDefault="004473EB" w:rsidP="004473EB">
      <w:pPr>
        <w:spacing w:before="0" w:after="160" w:line="259" w:lineRule="auto"/>
        <w:jc w:val="left"/>
        <w:rPr>
          <w:highlight w:val="yellow"/>
        </w:rPr>
      </w:pPr>
    </w:p>
    <w:p w14:paraId="7A0B38BB" w14:textId="77777777" w:rsidR="00DD27F8" w:rsidRDefault="00DD27F8" w:rsidP="004473EB">
      <w:pPr>
        <w:rPr>
          <w:b/>
        </w:rPr>
      </w:pPr>
    </w:p>
    <w:p w14:paraId="748B24DF" w14:textId="77777777" w:rsidR="00DD27F8" w:rsidRDefault="00DD27F8">
      <w:pPr>
        <w:spacing w:before="0" w:after="160" w:line="259" w:lineRule="auto"/>
        <w:jc w:val="left"/>
        <w:rPr>
          <w:b/>
        </w:rPr>
      </w:pPr>
      <w:r>
        <w:rPr>
          <w:b/>
        </w:rPr>
        <w:br w:type="page"/>
      </w:r>
    </w:p>
    <w:p w14:paraId="5B119015" w14:textId="5433ECA8" w:rsidR="004473EB" w:rsidRPr="0067604F" w:rsidRDefault="004473EB" w:rsidP="00404EDB">
      <w:pPr>
        <w:pStyle w:val="Captions"/>
      </w:pPr>
      <w:r w:rsidRPr="0067604F">
        <w:t xml:space="preserve">Table </w:t>
      </w:r>
      <w:r>
        <w:t>D1</w:t>
      </w:r>
      <w:r w:rsidRPr="0067604F">
        <w:t>. Summary of mean salinity, nutrients, and chlorophyll</w:t>
      </w:r>
      <w:r w:rsidRPr="00782298">
        <w:rPr>
          <w:i/>
          <w:iCs/>
        </w:rPr>
        <w:t xml:space="preserve"> a</w:t>
      </w:r>
      <w:r w:rsidRPr="0067604F">
        <w:t xml:space="preserve"> concentrations at the Murray </w:t>
      </w:r>
      <w:r>
        <w:t>M</w:t>
      </w:r>
      <w:r w:rsidRPr="0067604F">
        <w:t xml:space="preserve">outh, </w:t>
      </w:r>
      <w:r>
        <w:t>N</w:t>
      </w:r>
      <w:r w:rsidRPr="0067604F">
        <w:t xml:space="preserve">orth </w:t>
      </w:r>
      <w:r>
        <w:t>Lagoon</w:t>
      </w:r>
      <w:r w:rsidRPr="0067604F">
        <w:t xml:space="preserve">, and </w:t>
      </w:r>
      <w:r>
        <w:t>S</w:t>
      </w:r>
      <w:r w:rsidRPr="0067604F">
        <w:t xml:space="preserve">outh </w:t>
      </w:r>
      <w:r>
        <w:t xml:space="preserve">Lagoon between July </w:t>
      </w:r>
      <w:r w:rsidRPr="0067604F">
        <w:t xml:space="preserve">2020 – </w:t>
      </w:r>
      <w:r>
        <w:t xml:space="preserve">June </w:t>
      </w:r>
      <w:r w:rsidRPr="0067604F">
        <w:t xml:space="preserve">2021. </w:t>
      </w:r>
    </w:p>
    <w:tbl>
      <w:tblPr>
        <w:tblStyle w:val="GridTable5Dark-Accent11"/>
        <w:tblW w:w="9089" w:type="dxa"/>
        <w:tblLook w:val="04A0" w:firstRow="1" w:lastRow="0" w:firstColumn="1" w:lastColumn="0" w:noHBand="0" w:noVBand="1"/>
      </w:tblPr>
      <w:tblGrid>
        <w:gridCol w:w="816"/>
        <w:gridCol w:w="1531"/>
        <w:gridCol w:w="690"/>
        <w:gridCol w:w="1006"/>
        <w:gridCol w:w="673"/>
        <w:gridCol w:w="931"/>
        <w:gridCol w:w="673"/>
        <w:gridCol w:w="776"/>
        <w:gridCol w:w="1001"/>
        <w:gridCol w:w="992"/>
      </w:tblGrid>
      <w:tr w:rsidR="0014761A" w:rsidRPr="00DD27F8" w14:paraId="5CC80D2A" w14:textId="77777777" w:rsidTr="0014761A">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16" w:type="dxa"/>
            <w:hideMark/>
          </w:tcPr>
          <w:p w14:paraId="4BD150D1" w14:textId="77777777" w:rsidR="004473EB" w:rsidRPr="00404EDB" w:rsidRDefault="004473EB" w:rsidP="004473EB">
            <w:pPr>
              <w:rPr>
                <w:rFonts w:cs="Calibri"/>
                <w:sz w:val="14"/>
                <w:szCs w:val="14"/>
              </w:rPr>
            </w:pPr>
            <w:r w:rsidRPr="00404EDB">
              <w:rPr>
                <w:rFonts w:cs="Calibri"/>
                <w:sz w:val="14"/>
                <w:szCs w:val="14"/>
              </w:rPr>
              <w:t>Site</w:t>
            </w:r>
          </w:p>
        </w:tc>
        <w:tc>
          <w:tcPr>
            <w:tcW w:w="1531" w:type="dxa"/>
            <w:hideMark/>
          </w:tcPr>
          <w:p w14:paraId="38163DF0" w14:textId="77777777" w:rsidR="004473EB" w:rsidRPr="00404EDB" w:rsidRDefault="004473EB" w:rsidP="004473EB">
            <w:pP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Scenario</w:t>
            </w:r>
          </w:p>
        </w:tc>
        <w:tc>
          <w:tcPr>
            <w:tcW w:w="690" w:type="dxa"/>
            <w:hideMark/>
          </w:tcPr>
          <w:p w14:paraId="4852FC20"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Salinity (PSU)</w:t>
            </w:r>
          </w:p>
        </w:tc>
        <w:tc>
          <w:tcPr>
            <w:tcW w:w="1006" w:type="dxa"/>
            <w:hideMark/>
          </w:tcPr>
          <w:p w14:paraId="329F2C98"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Ammonium (mg/L)</w:t>
            </w:r>
          </w:p>
        </w:tc>
        <w:tc>
          <w:tcPr>
            <w:tcW w:w="673" w:type="dxa"/>
            <w:hideMark/>
          </w:tcPr>
          <w:p w14:paraId="1F7E9C50"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Nitrate (mg/L)</w:t>
            </w:r>
          </w:p>
        </w:tc>
        <w:tc>
          <w:tcPr>
            <w:tcW w:w="931" w:type="dxa"/>
            <w:hideMark/>
          </w:tcPr>
          <w:p w14:paraId="573F5B6A"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Phosphate (mg/L)</w:t>
            </w:r>
          </w:p>
        </w:tc>
        <w:tc>
          <w:tcPr>
            <w:tcW w:w="673" w:type="dxa"/>
            <w:hideMark/>
          </w:tcPr>
          <w:p w14:paraId="34A2CDBF"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Silica (mg/L)</w:t>
            </w:r>
          </w:p>
        </w:tc>
        <w:tc>
          <w:tcPr>
            <w:tcW w:w="776" w:type="dxa"/>
            <w:hideMark/>
          </w:tcPr>
          <w:p w14:paraId="64BBE2DD"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Organic nitrogen (mg/L)</w:t>
            </w:r>
          </w:p>
        </w:tc>
        <w:tc>
          <w:tcPr>
            <w:tcW w:w="1001" w:type="dxa"/>
            <w:hideMark/>
          </w:tcPr>
          <w:p w14:paraId="16FB2742"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Organic phosphorus (mg/L)</w:t>
            </w:r>
          </w:p>
        </w:tc>
        <w:tc>
          <w:tcPr>
            <w:tcW w:w="992" w:type="dxa"/>
            <w:hideMark/>
          </w:tcPr>
          <w:p w14:paraId="3C1DC2D4"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 xml:space="preserve">Chlorophyll </w:t>
            </w:r>
            <w:r w:rsidRPr="00404EDB">
              <w:rPr>
                <w:rFonts w:cs="Calibri"/>
                <w:i/>
                <w:iCs/>
                <w:sz w:val="14"/>
                <w:szCs w:val="14"/>
              </w:rPr>
              <w:t xml:space="preserve">a </w:t>
            </w:r>
            <w:r w:rsidRPr="00404EDB">
              <w:rPr>
                <w:rFonts w:cs="Calibri"/>
                <w:sz w:val="14"/>
                <w:szCs w:val="14"/>
              </w:rPr>
              <w:t>(ug/L)</w:t>
            </w:r>
          </w:p>
        </w:tc>
      </w:tr>
      <w:tr w:rsidR="0014761A" w:rsidRPr="00DD27F8" w14:paraId="41C7CA79" w14:textId="77777777" w:rsidTr="0014761A">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16" w:type="dxa"/>
            <w:vMerge w:val="restart"/>
            <w:hideMark/>
          </w:tcPr>
          <w:p w14:paraId="01ADEF69" w14:textId="77777777" w:rsidR="004473EB" w:rsidRPr="00404EDB" w:rsidRDefault="004473EB" w:rsidP="004473EB">
            <w:pPr>
              <w:rPr>
                <w:rFonts w:cs="Calibri"/>
                <w:sz w:val="14"/>
                <w:szCs w:val="14"/>
              </w:rPr>
            </w:pPr>
            <w:r w:rsidRPr="00404EDB">
              <w:rPr>
                <w:rFonts w:cs="Calibri"/>
                <w:sz w:val="14"/>
                <w:szCs w:val="14"/>
              </w:rPr>
              <w:t>Murray Mouth</w:t>
            </w:r>
          </w:p>
        </w:tc>
        <w:tc>
          <w:tcPr>
            <w:tcW w:w="1531" w:type="dxa"/>
            <w:hideMark/>
          </w:tcPr>
          <w:p w14:paraId="08C638E2"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With all water</w:t>
            </w:r>
          </w:p>
        </w:tc>
        <w:tc>
          <w:tcPr>
            <w:tcW w:w="690" w:type="dxa"/>
            <w:noWrap/>
            <w:hideMark/>
          </w:tcPr>
          <w:p w14:paraId="3780F04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12.6</w:t>
            </w:r>
          </w:p>
        </w:tc>
        <w:tc>
          <w:tcPr>
            <w:tcW w:w="1006" w:type="dxa"/>
            <w:noWrap/>
            <w:hideMark/>
          </w:tcPr>
          <w:p w14:paraId="688D8FE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0.035</w:t>
            </w:r>
          </w:p>
        </w:tc>
        <w:tc>
          <w:tcPr>
            <w:tcW w:w="673" w:type="dxa"/>
            <w:noWrap/>
            <w:hideMark/>
          </w:tcPr>
          <w:p w14:paraId="19D722A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0.020</w:t>
            </w:r>
          </w:p>
        </w:tc>
        <w:tc>
          <w:tcPr>
            <w:tcW w:w="931" w:type="dxa"/>
            <w:noWrap/>
            <w:hideMark/>
          </w:tcPr>
          <w:p w14:paraId="6D5868C8"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0.005</w:t>
            </w:r>
          </w:p>
        </w:tc>
        <w:tc>
          <w:tcPr>
            <w:tcW w:w="673" w:type="dxa"/>
            <w:noWrap/>
            <w:hideMark/>
          </w:tcPr>
          <w:p w14:paraId="73B8A8E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1.163</w:t>
            </w:r>
          </w:p>
        </w:tc>
        <w:tc>
          <w:tcPr>
            <w:tcW w:w="776" w:type="dxa"/>
            <w:noWrap/>
            <w:hideMark/>
          </w:tcPr>
          <w:p w14:paraId="0E33B30E"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0.974</w:t>
            </w:r>
          </w:p>
        </w:tc>
        <w:tc>
          <w:tcPr>
            <w:tcW w:w="1001" w:type="dxa"/>
            <w:noWrap/>
            <w:hideMark/>
          </w:tcPr>
          <w:p w14:paraId="7068E88A" w14:textId="2EEAB12F" w:rsidR="004473EB" w:rsidRPr="00404EDB" w:rsidRDefault="003C1531"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0.073</w:t>
            </w:r>
          </w:p>
        </w:tc>
        <w:tc>
          <w:tcPr>
            <w:tcW w:w="992" w:type="dxa"/>
            <w:noWrap/>
            <w:hideMark/>
          </w:tcPr>
          <w:p w14:paraId="03ADE8C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21.2</w:t>
            </w:r>
          </w:p>
        </w:tc>
      </w:tr>
      <w:tr w:rsidR="0014761A" w:rsidRPr="00DD27F8" w14:paraId="7C0054C1"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28AF55EE" w14:textId="77777777" w:rsidR="004473EB" w:rsidRPr="00404EDB" w:rsidRDefault="004473EB" w:rsidP="004473EB">
            <w:pPr>
              <w:rPr>
                <w:rFonts w:cs="Calibri"/>
                <w:sz w:val="14"/>
                <w:szCs w:val="14"/>
              </w:rPr>
            </w:pPr>
          </w:p>
        </w:tc>
        <w:tc>
          <w:tcPr>
            <w:tcW w:w="1531" w:type="dxa"/>
            <w:hideMark/>
          </w:tcPr>
          <w:p w14:paraId="69805A5C"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690" w:type="dxa"/>
            <w:noWrap/>
            <w:hideMark/>
          </w:tcPr>
          <w:p w14:paraId="7C175F8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24.3</w:t>
            </w:r>
          </w:p>
        </w:tc>
        <w:tc>
          <w:tcPr>
            <w:tcW w:w="1006" w:type="dxa"/>
            <w:noWrap/>
            <w:hideMark/>
          </w:tcPr>
          <w:p w14:paraId="27B88B4C"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0.037</w:t>
            </w:r>
          </w:p>
        </w:tc>
        <w:tc>
          <w:tcPr>
            <w:tcW w:w="673" w:type="dxa"/>
            <w:noWrap/>
            <w:hideMark/>
          </w:tcPr>
          <w:p w14:paraId="6DC4A09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0.025</w:t>
            </w:r>
          </w:p>
        </w:tc>
        <w:tc>
          <w:tcPr>
            <w:tcW w:w="931" w:type="dxa"/>
            <w:noWrap/>
            <w:hideMark/>
          </w:tcPr>
          <w:p w14:paraId="2B51098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0.0021</w:t>
            </w:r>
          </w:p>
        </w:tc>
        <w:tc>
          <w:tcPr>
            <w:tcW w:w="673" w:type="dxa"/>
            <w:noWrap/>
            <w:hideMark/>
          </w:tcPr>
          <w:p w14:paraId="5EE88AF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1.253</w:t>
            </w:r>
          </w:p>
        </w:tc>
        <w:tc>
          <w:tcPr>
            <w:tcW w:w="776" w:type="dxa"/>
            <w:noWrap/>
            <w:hideMark/>
          </w:tcPr>
          <w:p w14:paraId="1A28F62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0.981</w:t>
            </w:r>
          </w:p>
        </w:tc>
        <w:tc>
          <w:tcPr>
            <w:tcW w:w="1001" w:type="dxa"/>
            <w:noWrap/>
            <w:hideMark/>
          </w:tcPr>
          <w:p w14:paraId="30784C1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0.063</w:t>
            </w:r>
          </w:p>
        </w:tc>
        <w:tc>
          <w:tcPr>
            <w:tcW w:w="992" w:type="dxa"/>
            <w:noWrap/>
            <w:hideMark/>
          </w:tcPr>
          <w:p w14:paraId="120C46A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17.7</w:t>
            </w:r>
          </w:p>
        </w:tc>
      </w:tr>
      <w:tr w:rsidR="0014761A" w:rsidRPr="00DD27F8" w14:paraId="4ECC2731"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33C05E42" w14:textId="77777777" w:rsidR="004473EB" w:rsidRPr="00404EDB" w:rsidRDefault="004473EB" w:rsidP="004473EB">
            <w:pPr>
              <w:rPr>
                <w:rFonts w:cs="Calibri"/>
                <w:sz w:val="14"/>
                <w:szCs w:val="14"/>
              </w:rPr>
            </w:pPr>
          </w:p>
        </w:tc>
        <w:tc>
          <w:tcPr>
            <w:tcW w:w="1531" w:type="dxa"/>
            <w:hideMark/>
          </w:tcPr>
          <w:p w14:paraId="75ECE469"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690" w:type="dxa"/>
            <w:noWrap/>
            <w:hideMark/>
          </w:tcPr>
          <w:p w14:paraId="1C03999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25.8</w:t>
            </w:r>
          </w:p>
        </w:tc>
        <w:tc>
          <w:tcPr>
            <w:tcW w:w="1006" w:type="dxa"/>
            <w:noWrap/>
            <w:hideMark/>
          </w:tcPr>
          <w:p w14:paraId="5127083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0.0362</w:t>
            </w:r>
          </w:p>
        </w:tc>
        <w:tc>
          <w:tcPr>
            <w:tcW w:w="673" w:type="dxa"/>
            <w:noWrap/>
            <w:hideMark/>
          </w:tcPr>
          <w:p w14:paraId="6174380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0.024</w:t>
            </w:r>
          </w:p>
        </w:tc>
        <w:tc>
          <w:tcPr>
            <w:tcW w:w="931" w:type="dxa"/>
            <w:noWrap/>
            <w:hideMark/>
          </w:tcPr>
          <w:p w14:paraId="4296F20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0.0018</w:t>
            </w:r>
          </w:p>
        </w:tc>
        <w:tc>
          <w:tcPr>
            <w:tcW w:w="673" w:type="dxa"/>
            <w:noWrap/>
            <w:hideMark/>
          </w:tcPr>
          <w:p w14:paraId="33D1112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1.252</w:t>
            </w:r>
          </w:p>
        </w:tc>
        <w:tc>
          <w:tcPr>
            <w:tcW w:w="776" w:type="dxa"/>
            <w:noWrap/>
            <w:hideMark/>
          </w:tcPr>
          <w:p w14:paraId="768BC7A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0.9851</w:t>
            </w:r>
          </w:p>
        </w:tc>
        <w:tc>
          <w:tcPr>
            <w:tcW w:w="1001" w:type="dxa"/>
            <w:noWrap/>
            <w:hideMark/>
          </w:tcPr>
          <w:p w14:paraId="6B7649B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0.063</w:t>
            </w:r>
          </w:p>
        </w:tc>
        <w:tc>
          <w:tcPr>
            <w:tcW w:w="992" w:type="dxa"/>
            <w:noWrap/>
            <w:hideMark/>
          </w:tcPr>
          <w:p w14:paraId="33F811B5"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17.51</w:t>
            </w:r>
          </w:p>
        </w:tc>
      </w:tr>
      <w:tr w:rsidR="0014761A" w:rsidRPr="00DD27F8" w14:paraId="140CB9EF" w14:textId="77777777" w:rsidTr="0014761A">
        <w:trPr>
          <w:trHeight w:val="330"/>
        </w:trPr>
        <w:tc>
          <w:tcPr>
            <w:cnfStyle w:val="001000000000" w:firstRow="0" w:lastRow="0" w:firstColumn="1" w:lastColumn="0" w:oddVBand="0" w:evenVBand="0" w:oddHBand="0" w:evenHBand="0" w:firstRowFirstColumn="0" w:firstRowLastColumn="0" w:lastRowFirstColumn="0" w:lastRowLastColumn="0"/>
            <w:tcW w:w="816" w:type="dxa"/>
            <w:vMerge/>
            <w:hideMark/>
          </w:tcPr>
          <w:p w14:paraId="090865DC" w14:textId="77777777" w:rsidR="004473EB" w:rsidRPr="00404EDB" w:rsidRDefault="004473EB" w:rsidP="004473EB">
            <w:pPr>
              <w:rPr>
                <w:rFonts w:cs="Calibri"/>
                <w:sz w:val="14"/>
                <w:szCs w:val="14"/>
              </w:rPr>
            </w:pPr>
          </w:p>
        </w:tc>
        <w:tc>
          <w:tcPr>
            <w:tcW w:w="1531" w:type="dxa"/>
            <w:hideMark/>
          </w:tcPr>
          <w:p w14:paraId="22386158"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690" w:type="dxa"/>
            <w:noWrap/>
            <w:hideMark/>
          </w:tcPr>
          <w:p w14:paraId="67FB3E30"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23.1</w:t>
            </w:r>
          </w:p>
        </w:tc>
        <w:tc>
          <w:tcPr>
            <w:tcW w:w="1006" w:type="dxa"/>
            <w:noWrap/>
            <w:hideMark/>
          </w:tcPr>
          <w:p w14:paraId="2C8DB3B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0.038</w:t>
            </w:r>
          </w:p>
        </w:tc>
        <w:tc>
          <w:tcPr>
            <w:tcW w:w="673" w:type="dxa"/>
            <w:noWrap/>
            <w:hideMark/>
          </w:tcPr>
          <w:p w14:paraId="533566F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0.028</w:t>
            </w:r>
          </w:p>
        </w:tc>
        <w:tc>
          <w:tcPr>
            <w:tcW w:w="931" w:type="dxa"/>
            <w:noWrap/>
            <w:hideMark/>
          </w:tcPr>
          <w:p w14:paraId="42BC4E5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0.0021</w:t>
            </w:r>
          </w:p>
        </w:tc>
        <w:tc>
          <w:tcPr>
            <w:tcW w:w="673" w:type="dxa"/>
            <w:noWrap/>
            <w:hideMark/>
          </w:tcPr>
          <w:p w14:paraId="4D15A74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1.241</w:t>
            </w:r>
          </w:p>
        </w:tc>
        <w:tc>
          <w:tcPr>
            <w:tcW w:w="776" w:type="dxa"/>
            <w:noWrap/>
            <w:hideMark/>
          </w:tcPr>
          <w:p w14:paraId="52BE786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0.975</w:t>
            </w:r>
          </w:p>
        </w:tc>
        <w:tc>
          <w:tcPr>
            <w:tcW w:w="1001" w:type="dxa"/>
            <w:noWrap/>
            <w:hideMark/>
          </w:tcPr>
          <w:p w14:paraId="701DD0B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0.062</w:t>
            </w:r>
          </w:p>
        </w:tc>
        <w:tc>
          <w:tcPr>
            <w:tcW w:w="992" w:type="dxa"/>
            <w:noWrap/>
            <w:hideMark/>
          </w:tcPr>
          <w:p w14:paraId="42DC2F3B"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17.92</w:t>
            </w:r>
          </w:p>
        </w:tc>
      </w:tr>
      <w:tr w:rsidR="0014761A" w:rsidRPr="00DD27F8" w14:paraId="53F06DD7"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4745D4F3" w14:textId="77777777" w:rsidR="004473EB" w:rsidRPr="00404EDB" w:rsidRDefault="004473EB" w:rsidP="004473EB">
            <w:pPr>
              <w:rPr>
                <w:rFonts w:cs="Calibri"/>
                <w:sz w:val="14"/>
                <w:szCs w:val="14"/>
              </w:rPr>
            </w:pPr>
          </w:p>
        </w:tc>
        <w:tc>
          <w:tcPr>
            <w:tcW w:w="1531" w:type="dxa"/>
            <w:hideMark/>
          </w:tcPr>
          <w:p w14:paraId="5D0740EC"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690" w:type="dxa"/>
            <w:noWrap/>
            <w:hideMark/>
          </w:tcPr>
          <w:p w14:paraId="7A5284F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24.5</w:t>
            </w:r>
          </w:p>
        </w:tc>
        <w:tc>
          <w:tcPr>
            <w:tcW w:w="1006" w:type="dxa"/>
            <w:noWrap/>
            <w:hideMark/>
          </w:tcPr>
          <w:p w14:paraId="4AC49CE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0.0374</w:t>
            </w:r>
          </w:p>
        </w:tc>
        <w:tc>
          <w:tcPr>
            <w:tcW w:w="673" w:type="dxa"/>
            <w:noWrap/>
            <w:hideMark/>
          </w:tcPr>
          <w:p w14:paraId="73C500C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0.027</w:t>
            </w:r>
          </w:p>
        </w:tc>
        <w:tc>
          <w:tcPr>
            <w:tcW w:w="931" w:type="dxa"/>
            <w:noWrap/>
            <w:hideMark/>
          </w:tcPr>
          <w:p w14:paraId="67BC5DA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0.0018</w:t>
            </w:r>
          </w:p>
        </w:tc>
        <w:tc>
          <w:tcPr>
            <w:tcW w:w="673" w:type="dxa"/>
            <w:noWrap/>
            <w:hideMark/>
          </w:tcPr>
          <w:p w14:paraId="406113A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1.239</w:t>
            </w:r>
          </w:p>
        </w:tc>
        <w:tc>
          <w:tcPr>
            <w:tcW w:w="776" w:type="dxa"/>
            <w:noWrap/>
            <w:hideMark/>
          </w:tcPr>
          <w:p w14:paraId="673BB48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0.978</w:t>
            </w:r>
          </w:p>
        </w:tc>
        <w:tc>
          <w:tcPr>
            <w:tcW w:w="1001" w:type="dxa"/>
            <w:noWrap/>
            <w:hideMark/>
          </w:tcPr>
          <w:p w14:paraId="788A589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0.062</w:t>
            </w:r>
          </w:p>
        </w:tc>
        <w:tc>
          <w:tcPr>
            <w:tcW w:w="992" w:type="dxa"/>
            <w:noWrap/>
            <w:hideMark/>
          </w:tcPr>
          <w:p w14:paraId="6E76859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17.7</w:t>
            </w:r>
          </w:p>
        </w:tc>
      </w:tr>
      <w:tr w:rsidR="0014761A" w:rsidRPr="00DD27F8" w14:paraId="266E15A7"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val="restart"/>
            <w:hideMark/>
          </w:tcPr>
          <w:p w14:paraId="49B2A58D" w14:textId="77777777" w:rsidR="004473EB" w:rsidRPr="00404EDB" w:rsidRDefault="004473EB" w:rsidP="004473EB">
            <w:pPr>
              <w:rPr>
                <w:rFonts w:cs="Calibri"/>
                <w:sz w:val="14"/>
                <w:szCs w:val="14"/>
              </w:rPr>
            </w:pPr>
            <w:r w:rsidRPr="00404EDB">
              <w:rPr>
                <w:rFonts w:cs="Calibri"/>
                <w:sz w:val="14"/>
                <w:szCs w:val="14"/>
              </w:rPr>
              <w:t>North Lagoon</w:t>
            </w:r>
          </w:p>
        </w:tc>
        <w:tc>
          <w:tcPr>
            <w:tcW w:w="1531" w:type="dxa"/>
            <w:hideMark/>
          </w:tcPr>
          <w:p w14:paraId="6585E0E5"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With all water</w:t>
            </w:r>
          </w:p>
        </w:tc>
        <w:tc>
          <w:tcPr>
            <w:tcW w:w="690" w:type="dxa"/>
            <w:noWrap/>
            <w:hideMark/>
          </w:tcPr>
          <w:p w14:paraId="5C11A6C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18.3</w:t>
            </w:r>
          </w:p>
        </w:tc>
        <w:tc>
          <w:tcPr>
            <w:tcW w:w="1006" w:type="dxa"/>
            <w:noWrap/>
            <w:hideMark/>
          </w:tcPr>
          <w:p w14:paraId="2C3713BB"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0.036</w:t>
            </w:r>
          </w:p>
        </w:tc>
        <w:tc>
          <w:tcPr>
            <w:tcW w:w="673" w:type="dxa"/>
            <w:noWrap/>
            <w:hideMark/>
          </w:tcPr>
          <w:p w14:paraId="57FCA9B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0.020</w:t>
            </w:r>
          </w:p>
        </w:tc>
        <w:tc>
          <w:tcPr>
            <w:tcW w:w="931" w:type="dxa"/>
            <w:noWrap/>
            <w:hideMark/>
          </w:tcPr>
          <w:p w14:paraId="13071DC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0.0008</w:t>
            </w:r>
          </w:p>
        </w:tc>
        <w:tc>
          <w:tcPr>
            <w:tcW w:w="673" w:type="dxa"/>
            <w:noWrap/>
            <w:hideMark/>
          </w:tcPr>
          <w:p w14:paraId="130E4EC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1.265</w:t>
            </w:r>
          </w:p>
        </w:tc>
        <w:tc>
          <w:tcPr>
            <w:tcW w:w="776" w:type="dxa"/>
            <w:noWrap/>
            <w:hideMark/>
          </w:tcPr>
          <w:p w14:paraId="26F03ECC"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1.304</w:t>
            </w:r>
          </w:p>
        </w:tc>
        <w:tc>
          <w:tcPr>
            <w:tcW w:w="1001" w:type="dxa"/>
            <w:noWrap/>
            <w:hideMark/>
          </w:tcPr>
          <w:p w14:paraId="69A5D52C"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0.168</w:t>
            </w:r>
          </w:p>
        </w:tc>
        <w:tc>
          <w:tcPr>
            <w:tcW w:w="992" w:type="dxa"/>
            <w:noWrap/>
            <w:hideMark/>
          </w:tcPr>
          <w:p w14:paraId="19EFFA9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5.7</w:t>
            </w:r>
          </w:p>
        </w:tc>
      </w:tr>
      <w:tr w:rsidR="0014761A" w:rsidRPr="00DD27F8" w14:paraId="6C7BD5E1"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68417F7B" w14:textId="77777777" w:rsidR="004473EB" w:rsidRPr="00404EDB" w:rsidRDefault="004473EB" w:rsidP="004473EB">
            <w:pPr>
              <w:rPr>
                <w:rFonts w:cs="Calibri"/>
                <w:sz w:val="14"/>
                <w:szCs w:val="14"/>
              </w:rPr>
            </w:pPr>
          </w:p>
        </w:tc>
        <w:tc>
          <w:tcPr>
            <w:tcW w:w="1531" w:type="dxa"/>
            <w:hideMark/>
          </w:tcPr>
          <w:p w14:paraId="33C48D64"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690" w:type="dxa"/>
            <w:noWrap/>
            <w:hideMark/>
          </w:tcPr>
          <w:p w14:paraId="16710AE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38.5</w:t>
            </w:r>
          </w:p>
        </w:tc>
        <w:tc>
          <w:tcPr>
            <w:tcW w:w="1006" w:type="dxa"/>
            <w:noWrap/>
            <w:hideMark/>
          </w:tcPr>
          <w:p w14:paraId="09BBDDA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0.036</w:t>
            </w:r>
          </w:p>
        </w:tc>
        <w:tc>
          <w:tcPr>
            <w:tcW w:w="673" w:type="dxa"/>
            <w:noWrap/>
            <w:hideMark/>
          </w:tcPr>
          <w:p w14:paraId="0733A0D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0.015</w:t>
            </w:r>
          </w:p>
        </w:tc>
        <w:tc>
          <w:tcPr>
            <w:tcW w:w="931" w:type="dxa"/>
            <w:noWrap/>
            <w:hideMark/>
          </w:tcPr>
          <w:p w14:paraId="62AF43E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0.0003</w:t>
            </w:r>
          </w:p>
        </w:tc>
        <w:tc>
          <w:tcPr>
            <w:tcW w:w="673" w:type="dxa"/>
            <w:noWrap/>
            <w:hideMark/>
          </w:tcPr>
          <w:p w14:paraId="78CC09C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1.875</w:t>
            </w:r>
          </w:p>
        </w:tc>
        <w:tc>
          <w:tcPr>
            <w:tcW w:w="776" w:type="dxa"/>
            <w:noWrap/>
            <w:hideMark/>
          </w:tcPr>
          <w:p w14:paraId="469FAE25"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1.452</w:t>
            </w:r>
          </w:p>
        </w:tc>
        <w:tc>
          <w:tcPr>
            <w:tcW w:w="1001" w:type="dxa"/>
            <w:noWrap/>
            <w:hideMark/>
          </w:tcPr>
          <w:p w14:paraId="76E8AAB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0.124</w:t>
            </w:r>
          </w:p>
        </w:tc>
        <w:tc>
          <w:tcPr>
            <w:tcW w:w="992" w:type="dxa"/>
            <w:noWrap/>
            <w:hideMark/>
          </w:tcPr>
          <w:p w14:paraId="56EA103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3.0</w:t>
            </w:r>
          </w:p>
        </w:tc>
      </w:tr>
      <w:tr w:rsidR="0014761A" w:rsidRPr="00DD27F8" w14:paraId="287844F0"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65C90DC6" w14:textId="77777777" w:rsidR="004473EB" w:rsidRPr="00404EDB" w:rsidRDefault="004473EB" w:rsidP="004473EB">
            <w:pPr>
              <w:rPr>
                <w:rFonts w:cs="Calibri"/>
                <w:sz w:val="14"/>
                <w:szCs w:val="14"/>
              </w:rPr>
            </w:pPr>
          </w:p>
        </w:tc>
        <w:tc>
          <w:tcPr>
            <w:tcW w:w="1531" w:type="dxa"/>
            <w:hideMark/>
          </w:tcPr>
          <w:p w14:paraId="6D225AA4"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690" w:type="dxa"/>
            <w:noWrap/>
            <w:hideMark/>
          </w:tcPr>
          <w:p w14:paraId="59FC2D2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41.1</w:t>
            </w:r>
          </w:p>
        </w:tc>
        <w:tc>
          <w:tcPr>
            <w:tcW w:w="1006" w:type="dxa"/>
            <w:noWrap/>
            <w:hideMark/>
          </w:tcPr>
          <w:p w14:paraId="3A5C260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0.038</w:t>
            </w:r>
          </w:p>
        </w:tc>
        <w:tc>
          <w:tcPr>
            <w:tcW w:w="673" w:type="dxa"/>
            <w:noWrap/>
            <w:hideMark/>
          </w:tcPr>
          <w:p w14:paraId="7C2BA89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0.019</w:t>
            </w:r>
          </w:p>
        </w:tc>
        <w:tc>
          <w:tcPr>
            <w:tcW w:w="931" w:type="dxa"/>
            <w:noWrap/>
            <w:hideMark/>
          </w:tcPr>
          <w:p w14:paraId="31F0999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0.0003</w:t>
            </w:r>
          </w:p>
        </w:tc>
        <w:tc>
          <w:tcPr>
            <w:tcW w:w="673" w:type="dxa"/>
            <w:noWrap/>
            <w:hideMark/>
          </w:tcPr>
          <w:p w14:paraId="7640970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1.958</w:t>
            </w:r>
          </w:p>
        </w:tc>
        <w:tc>
          <w:tcPr>
            <w:tcW w:w="776" w:type="dxa"/>
            <w:noWrap/>
            <w:hideMark/>
          </w:tcPr>
          <w:p w14:paraId="26F0018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1.475</w:t>
            </w:r>
          </w:p>
        </w:tc>
        <w:tc>
          <w:tcPr>
            <w:tcW w:w="1001" w:type="dxa"/>
            <w:noWrap/>
            <w:hideMark/>
          </w:tcPr>
          <w:p w14:paraId="607855A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0.125</w:t>
            </w:r>
          </w:p>
        </w:tc>
        <w:tc>
          <w:tcPr>
            <w:tcW w:w="992" w:type="dxa"/>
            <w:noWrap/>
            <w:hideMark/>
          </w:tcPr>
          <w:p w14:paraId="037B33A0"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2.9</w:t>
            </w:r>
          </w:p>
        </w:tc>
      </w:tr>
      <w:tr w:rsidR="0014761A" w:rsidRPr="00DD27F8" w14:paraId="08BABD94"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28F96D6D" w14:textId="77777777" w:rsidR="004473EB" w:rsidRPr="00404EDB" w:rsidRDefault="004473EB" w:rsidP="004473EB">
            <w:pPr>
              <w:rPr>
                <w:rFonts w:cs="Calibri"/>
                <w:sz w:val="14"/>
                <w:szCs w:val="14"/>
              </w:rPr>
            </w:pPr>
          </w:p>
        </w:tc>
        <w:tc>
          <w:tcPr>
            <w:tcW w:w="1531" w:type="dxa"/>
            <w:hideMark/>
          </w:tcPr>
          <w:p w14:paraId="03E7B7F5"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690" w:type="dxa"/>
            <w:noWrap/>
            <w:hideMark/>
          </w:tcPr>
          <w:p w14:paraId="6B88DEC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30.31</w:t>
            </w:r>
          </w:p>
        </w:tc>
        <w:tc>
          <w:tcPr>
            <w:tcW w:w="1006" w:type="dxa"/>
            <w:noWrap/>
            <w:hideMark/>
          </w:tcPr>
          <w:p w14:paraId="7CD89CD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0.034</w:t>
            </w:r>
          </w:p>
        </w:tc>
        <w:tc>
          <w:tcPr>
            <w:tcW w:w="673" w:type="dxa"/>
            <w:noWrap/>
            <w:hideMark/>
          </w:tcPr>
          <w:p w14:paraId="1D06B94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0.014</w:t>
            </w:r>
          </w:p>
        </w:tc>
        <w:tc>
          <w:tcPr>
            <w:tcW w:w="931" w:type="dxa"/>
            <w:noWrap/>
            <w:hideMark/>
          </w:tcPr>
          <w:p w14:paraId="25FDCCE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0.0004</w:t>
            </w:r>
          </w:p>
        </w:tc>
        <w:tc>
          <w:tcPr>
            <w:tcW w:w="673" w:type="dxa"/>
            <w:noWrap/>
            <w:hideMark/>
          </w:tcPr>
          <w:p w14:paraId="14AA8F0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1.727</w:t>
            </w:r>
          </w:p>
        </w:tc>
        <w:tc>
          <w:tcPr>
            <w:tcW w:w="776" w:type="dxa"/>
            <w:noWrap/>
            <w:hideMark/>
          </w:tcPr>
          <w:p w14:paraId="6E3E334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1.424</w:t>
            </w:r>
          </w:p>
        </w:tc>
        <w:tc>
          <w:tcPr>
            <w:tcW w:w="1001" w:type="dxa"/>
            <w:noWrap/>
            <w:hideMark/>
          </w:tcPr>
          <w:p w14:paraId="6342BB15"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0.117</w:t>
            </w:r>
          </w:p>
        </w:tc>
        <w:tc>
          <w:tcPr>
            <w:tcW w:w="992" w:type="dxa"/>
            <w:noWrap/>
            <w:hideMark/>
          </w:tcPr>
          <w:p w14:paraId="120FF1C5"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3.2</w:t>
            </w:r>
          </w:p>
        </w:tc>
      </w:tr>
      <w:tr w:rsidR="0014761A" w:rsidRPr="00DD27F8" w14:paraId="0AA74EF7"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7F079447" w14:textId="77777777" w:rsidR="004473EB" w:rsidRPr="00404EDB" w:rsidRDefault="004473EB" w:rsidP="004473EB">
            <w:pPr>
              <w:rPr>
                <w:rFonts w:cs="Calibri"/>
                <w:sz w:val="14"/>
                <w:szCs w:val="14"/>
              </w:rPr>
            </w:pPr>
          </w:p>
        </w:tc>
        <w:tc>
          <w:tcPr>
            <w:tcW w:w="1531" w:type="dxa"/>
            <w:hideMark/>
          </w:tcPr>
          <w:p w14:paraId="60D06CDD"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690" w:type="dxa"/>
            <w:noWrap/>
            <w:hideMark/>
          </w:tcPr>
          <w:p w14:paraId="36ED4AE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32.11</w:t>
            </w:r>
          </w:p>
        </w:tc>
        <w:tc>
          <w:tcPr>
            <w:tcW w:w="1006" w:type="dxa"/>
            <w:noWrap/>
            <w:hideMark/>
          </w:tcPr>
          <w:p w14:paraId="485F59FB"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0.035</w:t>
            </w:r>
          </w:p>
        </w:tc>
        <w:tc>
          <w:tcPr>
            <w:tcW w:w="673" w:type="dxa"/>
            <w:noWrap/>
            <w:hideMark/>
          </w:tcPr>
          <w:p w14:paraId="0D0BD8C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0.015</w:t>
            </w:r>
          </w:p>
        </w:tc>
        <w:tc>
          <w:tcPr>
            <w:tcW w:w="931" w:type="dxa"/>
            <w:noWrap/>
            <w:hideMark/>
          </w:tcPr>
          <w:p w14:paraId="1A877DDE"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0.0003</w:t>
            </w:r>
          </w:p>
        </w:tc>
        <w:tc>
          <w:tcPr>
            <w:tcW w:w="673" w:type="dxa"/>
            <w:noWrap/>
            <w:hideMark/>
          </w:tcPr>
          <w:p w14:paraId="5AF47CF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1.787</w:t>
            </w:r>
          </w:p>
        </w:tc>
        <w:tc>
          <w:tcPr>
            <w:tcW w:w="776" w:type="dxa"/>
            <w:noWrap/>
            <w:hideMark/>
          </w:tcPr>
          <w:p w14:paraId="706C2A2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1.438</w:t>
            </w:r>
          </w:p>
        </w:tc>
        <w:tc>
          <w:tcPr>
            <w:tcW w:w="1001" w:type="dxa"/>
            <w:noWrap/>
            <w:hideMark/>
          </w:tcPr>
          <w:p w14:paraId="009B4E5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0.116</w:t>
            </w:r>
          </w:p>
        </w:tc>
        <w:tc>
          <w:tcPr>
            <w:tcW w:w="992" w:type="dxa"/>
            <w:noWrap/>
            <w:hideMark/>
          </w:tcPr>
          <w:p w14:paraId="6118ACB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3.0</w:t>
            </w:r>
          </w:p>
        </w:tc>
      </w:tr>
      <w:tr w:rsidR="0014761A" w:rsidRPr="00DD27F8" w14:paraId="2A4EA3A8"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val="restart"/>
            <w:hideMark/>
          </w:tcPr>
          <w:p w14:paraId="4F8D0E2E" w14:textId="77777777" w:rsidR="004473EB" w:rsidRPr="00404EDB" w:rsidRDefault="004473EB" w:rsidP="004473EB">
            <w:pPr>
              <w:rPr>
                <w:rFonts w:cs="Calibri"/>
                <w:sz w:val="14"/>
                <w:szCs w:val="14"/>
              </w:rPr>
            </w:pPr>
            <w:r w:rsidRPr="00404EDB">
              <w:rPr>
                <w:rFonts w:cs="Calibri"/>
                <w:sz w:val="14"/>
                <w:szCs w:val="14"/>
              </w:rPr>
              <w:t>South Coorong</w:t>
            </w:r>
          </w:p>
        </w:tc>
        <w:tc>
          <w:tcPr>
            <w:tcW w:w="1531" w:type="dxa"/>
            <w:hideMark/>
          </w:tcPr>
          <w:p w14:paraId="7165DA3E"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With all water</w:t>
            </w:r>
          </w:p>
        </w:tc>
        <w:tc>
          <w:tcPr>
            <w:tcW w:w="690" w:type="dxa"/>
            <w:noWrap/>
            <w:hideMark/>
          </w:tcPr>
          <w:p w14:paraId="6B726D1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95.41</w:t>
            </w:r>
          </w:p>
        </w:tc>
        <w:tc>
          <w:tcPr>
            <w:tcW w:w="1006" w:type="dxa"/>
            <w:noWrap/>
            <w:hideMark/>
          </w:tcPr>
          <w:p w14:paraId="1FCEF86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0.008</w:t>
            </w:r>
          </w:p>
        </w:tc>
        <w:tc>
          <w:tcPr>
            <w:tcW w:w="673" w:type="dxa"/>
            <w:noWrap/>
            <w:hideMark/>
          </w:tcPr>
          <w:p w14:paraId="621D199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0.0003</w:t>
            </w:r>
          </w:p>
        </w:tc>
        <w:tc>
          <w:tcPr>
            <w:tcW w:w="931" w:type="dxa"/>
            <w:noWrap/>
            <w:hideMark/>
          </w:tcPr>
          <w:p w14:paraId="116B348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0.0057</w:t>
            </w:r>
          </w:p>
        </w:tc>
        <w:tc>
          <w:tcPr>
            <w:tcW w:w="673" w:type="dxa"/>
            <w:noWrap/>
            <w:hideMark/>
          </w:tcPr>
          <w:p w14:paraId="58CA2EB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8.803</w:t>
            </w:r>
          </w:p>
        </w:tc>
        <w:tc>
          <w:tcPr>
            <w:tcW w:w="776" w:type="dxa"/>
            <w:noWrap/>
            <w:hideMark/>
          </w:tcPr>
          <w:p w14:paraId="5F6F64B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5.883</w:t>
            </w:r>
          </w:p>
        </w:tc>
        <w:tc>
          <w:tcPr>
            <w:tcW w:w="1001" w:type="dxa"/>
            <w:noWrap/>
            <w:hideMark/>
          </w:tcPr>
          <w:p w14:paraId="4F76D34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0.518</w:t>
            </w:r>
          </w:p>
        </w:tc>
        <w:tc>
          <w:tcPr>
            <w:tcW w:w="992" w:type="dxa"/>
            <w:noWrap/>
            <w:hideMark/>
          </w:tcPr>
          <w:p w14:paraId="1C9564F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47.5</w:t>
            </w:r>
          </w:p>
        </w:tc>
      </w:tr>
      <w:tr w:rsidR="0014761A" w:rsidRPr="00DD27F8" w14:paraId="34E3EE78"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25E934A8" w14:textId="77777777" w:rsidR="004473EB" w:rsidRPr="00404EDB" w:rsidRDefault="004473EB" w:rsidP="004473EB">
            <w:pPr>
              <w:rPr>
                <w:rFonts w:cs="Calibri"/>
                <w:sz w:val="14"/>
                <w:szCs w:val="14"/>
              </w:rPr>
            </w:pPr>
          </w:p>
        </w:tc>
        <w:tc>
          <w:tcPr>
            <w:tcW w:w="1531" w:type="dxa"/>
            <w:hideMark/>
          </w:tcPr>
          <w:p w14:paraId="7E95D596"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690" w:type="dxa"/>
            <w:noWrap/>
            <w:hideMark/>
          </w:tcPr>
          <w:p w14:paraId="552FE36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135.2</w:t>
            </w:r>
          </w:p>
        </w:tc>
        <w:tc>
          <w:tcPr>
            <w:tcW w:w="1006" w:type="dxa"/>
            <w:noWrap/>
            <w:hideMark/>
          </w:tcPr>
          <w:p w14:paraId="2934202B"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0.120</w:t>
            </w:r>
          </w:p>
        </w:tc>
        <w:tc>
          <w:tcPr>
            <w:tcW w:w="673" w:type="dxa"/>
            <w:noWrap/>
            <w:hideMark/>
          </w:tcPr>
          <w:p w14:paraId="4FC2D01C"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0.305</w:t>
            </w:r>
          </w:p>
        </w:tc>
        <w:tc>
          <w:tcPr>
            <w:tcW w:w="931" w:type="dxa"/>
            <w:noWrap/>
            <w:hideMark/>
          </w:tcPr>
          <w:p w14:paraId="7FB6AEB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0.0016</w:t>
            </w:r>
          </w:p>
        </w:tc>
        <w:tc>
          <w:tcPr>
            <w:tcW w:w="673" w:type="dxa"/>
            <w:noWrap/>
            <w:hideMark/>
          </w:tcPr>
          <w:p w14:paraId="1E5A906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9.897</w:t>
            </w:r>
          </w:p>
        </w:tc>
        <w:tc>
          <w:tcPr>
            <w:tcW w:w="776" w:type="dxa"/>
            <w:noWrap/>
            <w:hideMark/>
          </w:tcPr>
          <w:p w14:paraId="1363AAE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6.374</w:t>
            </w:r>
          </w:p>
        </w:tc>
        <w:tc>
          <w:tcPr>
            <w:tcW w:w="1001" w:type="dxa"/>
            <w:noWrap/>
            <w:hideMark/>
          </w:tcPr>
          <w:p w14:paraId="719FF25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0.583</w:t>
            </w:r>
          </w:p>
        </w:tc>
        <w:tc>
          <w:tcPr>
            <w:tcW w:w="992" w:type="dxa"/>
            <w:noWrap/>
            <w:hideMark/>
          </w:tcPr>
          <w:p w14:paraId="2021346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55.5</w:t>
            </w:r>
          </w:p>
        </w:tc>
      </w:tr>
      <w:tr w:rsidR="0014761A" w:rsidRPr="00DD27F8" w14:paraId="21849B98"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27403B06" w14:textId="77777777" w:rsidR="004473EB" w:rsidRPr="00404EDB" w:rsidRDefault="004473EB" w:rsidP="004473EB">
            <w:pPr>
              <w:rPr>
                <w:rFonts w:cs="Calibri"/>
                <w:sz w:val="14"/>
                <w:szCs w:val="14"/>
              </w:rPr>
            </w:pPr>
          </w:p>
        </w:tc>
        <w:tc>
          <w:tcPr>
            <w:tcW w:w="1531" w:type="dxa"/>
            <w:hideMark/>
          </w:tcPr>
          <w:p w14:paraId="66252F51"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690" w:type="dxa"/>
            <w:noWrap/>
            <w:hideMark/>
          </w:tcPr>
          <w:p w14:paraId="3B9523F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142.4</w:t>
            </w:r>
          </w:p>
        </w:tc>
        <w:tc>
          <w:tcPr>
            <w:tcW w:w="1006" w:type="dxa"/>
            <w:noWrap/>
            <w:hideMark/>
          </w:tcPr>
          <w:p w14:paraId="6391D05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0.124</w:t>
            </w:r>
          </w:p>
        </w:tc>
        <w:tc>
          <w:tcPr>
            <w:tcW w:w="673" w:type="dxa"/>
            <w:noWrap/>
            <w:hideMark/>
          </w:tcPr>
          <w:p w14:paraId="6BF34F8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0.413</w:t>
            </w:r>
          </w:p>
        </w:tc>
        <w:tc>
          <w:tcPr>
            <w:tcW w:w="931" w:type="dxa"/>
            <w:noWrap/>
            <w:hideMark/>
          </w:tcPr>
          <w:p w14:paraId="703E124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0.0016</w:t>
            </w:r>
          </w:p>
        </w:tc>
        <w:tc>
          <w:tcPr>
            <w:tcW w:w="673" w:type="dxa"/>
            <w:noWrap/>
            <w:hideMark/>
          </w:tcPr>
          <w:p w14:paraId="184F345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10.090</w:t>
            </w:r>
          </w:p>
        </w:tc>
        <w:tc>
          <w:tcPr>
            <w:tcW w:w="776" w:type="dxa"/>
            <w:noWrap/>
            <w:hideMark/>
          </w:tcPr>
          <w:p w14:paraId="3197904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6.453</w:t>
            </w:r>
          </w:p>
        </w:tc>
        <w:tc>
          <w:tcPr>
            <w:tcW w:w="1001" w:type="dxa"/>
            <w:noWrap/>
            <w:hideMark/>
          </w:tcPr>
          <w:p w14:paraId="1E87914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0.595</w:t>
            </w:r>
          </w:p>
        </w:tc>
        <w:tc>
          <w:tcPr>
            <w:tcW w:w="992" w:type="dxa"/>
            <w:noWrap/>
            <w:hideMark/>
          </w:tcPr>
          <w:p w14:paraId="51DCDFD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56.7</w:t>
            </w:r>
          </w:p>
        </w:tc>
      </w:tr>
      <w:tr w:rsidR="0014761A" w:rsidRPr="00DD27F8" w14:paraId="3543EEAD" w14:textId="77777777" w:rsidTr="0014761A">
        <w:trPr>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7751D12F" w14:textId="77777777" w:rsidR="004473EB" w:rsidRPr="00404EDB" w:rsidRDefault="004473EB" w:rsidP="004473EB">
            <w:pPr>
              <w:rPr>
                <w:rFonts w:cs="Calibri"/>
                <w:sz w:val="14"/>
                <w:szCs w:val="14"/>
              </w:rPr>
            </w:pPr>
          </w:p>
        </w:tc>
        <w:tc>
          <w:tcPr>
            <w:tcW w:w="1531" w:type="dxa"/>
            <w:hideMark/>
          </w:tcPr>
          <w:p w14:paraId="18D2F668"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690" w:type="dxa"/>
            <w:noWrap/>
            <w:hideMark/>
          </w:tcPr>
          <w:p w14:paraId="7043B0D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98.67</w:t>
            </w:r>
          </w:p>
        </w:tc>
        <w:tc>
          <w:tcPr>
            <w:tcW w:w="1006" w:type="dxa"/>
            <w:noWrap/>
            <w:hideMark/>
          </w:tcPr>
          <w:p w14:paraId="6FE4501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0.019</w:t>
            </w:r>
          </w:p>
        </w:tc>
        <w:tc>
          <w:tcPr>
            <w:tcW w:w="673" w:type="dxa"/>
            <w:noWrap/>
            <w:hideMark/>
          </w:tcPr>
          <w:p w14:paraId="24E18BD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0.002</w:t>
            </w:r>
          </w:p>
        </w:tc>
        <w:tc>
          <w:tcPr>
            <w:tcW w:w="931" w:type="dxa"/>
            <w:noWrap/>
            <w:hideMark/>
          </w:tcPr>
          <w:p w14:paraId="7BBEE9A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0.0051</w:t>
            </w:r>
          </w:p>
        </w:tc>
        <w:tc>
          <w:tcPr>
            <w:tcW w:w="673" w:type="dxa"/>
            <w:noWrap/>
            <w:hideMark/>
          </w:tcPr>
          <w:p w14:paraId="6616CC7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9.020</w:t>
            </w:r>
          </w:p>
        </w:tc>
        <w:tc>
          <w:tcPr>
            <w:tcW w:w="776" w:type="dxa"/>
            <w:noWrap/>
            <w:hideMark/>
          </w:tcPr>
          <w:p w14:paraId="13AEC39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5.990</w:t>
            </w:r>
          </w:p>
        </w:tc>
        <w:tc>
          <w:tcPr>
            <w:tcW w:w="1001" w:type="dxa"/>
            <w:noWrap/>
            <w:hideMark/>
          </w:tcPr>
          <w:p w14:paraId="3291D02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0.526</w:t>
            </w:r>
          </w:p>
        </w:tc>
        <w:tc>
          <w:tcPr>
            <w:tcW w:w="992" w:type="dxa"/>
            <w:noWrap/>
            <w:hideMark/>
          </w:tcPr>
          <w:p w14:paraId="1EEAEAF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48.4</w:t>
            </w:r>
          </w:p>
        </w:tc>
      </w:tr>
      <w:tr w:rsidR="0014761A" w:rsidRPr="00DD27F8" w14:paraId="0E951665" w14:textId="77777777" w:rsidTr="001476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6" w:type="dxa"/>
            <w:vMerge/>
            <w:hideMark/>
          </w:tcPr>
          <w:p w14:paraId="0A28357F" w14:textId="77777777" w:rsidR="004473EB" w:rsidRPr="00404EDB" w:rsidRDefault="004473EB" w:rsidP="004473EB">
            <w:pPr>
              <w:rPr>
                <w:rFonts w:cs="Calibri"/>
                <w:sz w:val="14"/>
                <w:szCs w:val="14"/>
              </w:rPr>
            </w:pPr>
          </w:p>
        </w:tc>
        <w:tc>
          <w:tcPr>
            <w:tcW w:w="1531" w:type="dxa"/>
            <w:hideMark/>
          </w:tcPr>
          <w:p w14:paraId="43990A06"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690" w:type="dxa"/>
            <w:noWrap/>
            <w:hideMark/>
          </w:tcPr>
          <w:p w14:paraId="61226D8E"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99.2</w:t>
            </w:r>
          </w:p>
        </w:tc>
        <w:tc>
          <w:tcPr>
            <w:tcW w:w="1006" w:type="dxa"/>
            <w:noWrap/>
            <w:hideMark/>
          </w:tcPr>
          <w:p w14:paraId="00D1D79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0.022</w:t>
            </w:r>
          </w:p>
        </w:tc>
        <w:tc>
          <w:tcPr>
            <w:tcW w:w="673" w:type="dxa"/>
            <w:noWrap/>
            <w:hideMark/>
          </w:tcPr>
          <w:p w14:paraId="0D47E6F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0.003</w:t>
            </w:r>
          </w:p>
        </w:tc>
        <w:tc>
          <w:tcPr>
            <w:tcW w:w="931" w:type="dxa"/>
            <w:noWrap/>
            <w:hideMark/>
          </w:tcPr>
          <w:p w14:paraId="1A744CE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0.005</w:t>
            </w:r>
          </w:p>
        </w:tc>
        <w:tc>
          <w:tcPr>
            <w:tcW w:w="673" w:type="dxa"/>
            <w:noWrap/>
            <w:hideMark/>
          </w:tcPr>
          <w:p w14:paraId="7AB7F21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9.049</w:t>
            </w:r>
          </w:p>
        </w:tc>
        <w:tc>
          <w:tcPr>
            <w:tcW w:w="776" w:type="dxa"/>
            <w:noWrap/>
            <w:hideMark/>
          </w:tcPr>
          <w:p w14:paraId="7DCFDB5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6.002</w:t>
            </w:r>
          </w:p>
        </w:tc>
        <w:tc>
          <w:tcPr>
            <w:tcW w:w="1001" w:type="dxa"/>
            <w:noWrap/>
            <w:hideMark/>
          </w:tcPr>
          <w:p w14:paraId="2A1FC0C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0.527</w:t>
            </w:r>
          </w:p>
        </w:tc>
        <w:tc>
          <w:tcPr>
            <w:tcW w:w="992" w:type="dxa"/>
            <w:noWrap/>
            <w:hideMark/>
          </w:tcPr>
          <w:p w14:paraId="1F33501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48.5</w:t>
            </w:r>
          </w:p>
        </w:tc>
      </w:tr>
    </w:tbl>
    <w:p w14:paraId="0888DA77" w14:textId="77777777" w:rsidR="004473EB" w:rsidRDefault="004473EB" w:rsidP="004473EB"/>
    <w:p w14:paraId="0531BC6F" w14:textId="1EF3FAD3" w:rsidR="004473EB" w:rsidRDefault="004473EB" w:rsidP="004473EB">
      <w:pPr>
        <w:spacing w:before="0" w:after="160" w:line="259" w:lineRule="auto"/>
        <w:jc w:val="left"/>
        <w:rPr>
          <w:highlight w:val="yellow"/>
        </w:rPr>
      </w:pPr>
    </w:p>
    <w:p w14:paraId="10EA282D" w14:textId="021410AE" w:rsidR="0014761A" w:rsidRDefault="0014761A" w:rsidP="004473EB">
      <w:pPr>
        <w:spacing w:before="0" w:after="160" w:line="259" w:lineRule="auto"/>
        <w:jc w:val="left"/>
        <w:rPr>
          <w:highlight w:val="yellow"/>
        </w:rPr>
      </w:pPr>
    </w:p>
    <w:p w14:paraId="56D09DE1" w14:textId="1C45A333" w:rsidR="0014761A" w:rsidRDefault="0014761A" w:rsidP="004473EB">
      <w:pPr>
        <w:spacing w:before="0" w:after="160" w:line="259" w:lineRule="auto"/>
        <w:jc w:val="left"/>
        <w:rPr>
          <w:highlight w:val="yellow"/>
        </w:rPr>
      </w:pPr>
    </w:p>
    <w:p w14:paraId="36929992" w14:textId="311A38CD" w:rsidR="0014761A" w:rsidRDefault="0014761A" w:rsidP="004473EB">
      <w:pPr>
        <w:spacing w:before="0" w:after="160" w:line="259" w:lineRule="auto"/>
        <w:jc w:val="left"/>
        <w:rPr>
          <w:highlight w:val="yellow"/>
        </w:rPr>
      </w:pPr>
    </w:p>
    <w:p w14:paraId="5601E43E" w14:textId="219DFB36" w:rsidR="0014761A" w:rsidRDefault="0014761A" w:rsidP="004473EB">
      <w:pPr>
        <w:spacing w:before="0" w:after="160" w:line="259" w:lineRule="auto"/>
        <w:jc w:val="left"/>
        <w:rPr>
          <w:highlight w:val="yellow"/>
        </w:rPr>
      </w:pPr>
    </w:p>
    <w:p w14:paraId="44BB148B" w14:textId="77777777" w:rsidR="0014761A" w:rsidRDefault="0014761A" w:rsidP="004473EB">
      <w:pPr>
        <w:spacing w:before="0" w:after="160" w:line="259" w:lineRule="auto"/>
        <w:jc w:val="left"/>
        <w:rPr>
          <w:highlight w:val="yellow"/>
        </w:rPr>
      </w:pPr>
    </w:p>
    <w:p w14:paraId="6016A073" w14:textId="77777777" w:rsidR="004473EB" w:rsidRPr="002F3CCF" w:rsidRDefault="004473EB" w:rsidP="00404EDB">
      <w:pPr>
        <w:pStyle w:val="Captions"/>
      </w:pPr>
      <w:r w:rsidRPr="002F3CCF">
        <w:t xml:space="preserve">Table </w:t>
      </w:r>
      <w:r>
        <w:t>D2</w:t>
      </w:r>
      <w:r w:rsidRPr="002F3CCF">
        <w:t xml:space="preserve">. Summary of median salinity, nutrients, and chlorophyll </w:t>
      </w:r>
      <w:r w:rsidRPr="002F3CCF">
        <w:rPr>
          <w:i/>
          <w:iCs/>
        </w:rPr>
        <w:t>a</w:t>
      </w:r>
      <w:r w:rsidRPr="002F3CCF">
        <w:t xml:space="preserve"> concentrations at the Murray mouth, north Coorong, and south Coorong in year  July 2020 – June 2021. </w:t>
      </w:r>
    </w:p>
    <w:tbl>
      <w:tblPr>
        <w:tblStyle w:val="GridTable5Dark-Accent11"/>
        <w:tblW w:w="5000" w:type="pct"/>
        <w:tblLook w:val="04A0" w:firstRow="1" w:lastRow="0" w:firstColumn="1" w:lastColumn="0" w:noHBand="0" w:noVBand="1"/>
      </w:tblPr>
      <w:tblGrid>
        <w:gridCol w:w="816"/>
        <w:gridCol w:w="1458"/>
        <w:gridCol w:w="690"/>
        <w:gridCol w:w="1006"/>
        <w:gridCol w:w="673"/>
        <w:gridCol w:w="931"/>
        <w:gridCol w:w="673"/>
        <w:gridCol w:w="776"/>
        <w:gridCol w:w="1001"/>
        <w:gridCol w:w="992"/>
      </w:tblGrid>
      <w:tr w:rsidR="004473EB" w:rsidRPr="00DD27F8" w14:paraId="63BABF1D" w14:textId="77777777" w:rsidTr="00404EDB">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38" w:type="pct"/>
            <w:hideMark/>
          </w:tcPr>
          <w:p w14:paraId="5F164979" w14:textId="77777777" w:rsidR="004473EB" w:rsidRPr="00404EDB" w:rsidRDefault="004473EB" w:rsidP="004473EB">
            <w:pPr>
              <w:rPr>
                <w:rFonts w:cs="Calibri"/>
                <w:sz w:val="14"/>
                <w:szCs w:val="14"/>
              </w:rPr>
            </w:pPr>
            <w:r w:rsidRPr="00404EDB">
              <w:rPr>
                <w:rFonts w:cs="Calibri"/>
                <w:sz w:val="14"/>
                <w:szCs w:val="14"/>
              </w:rPr>
              <w:t>Site</w:t>
            </w:r>
          </w:p>
        </w:tc>
        <w:tc>
          <w:tcPr>
            <w:tcW w:w="938" w:type="pct"/>
            <w:hideMark/>
          </w:tcPr>
          <w:p w14:paraId="750D7DCC" w14:textId="77777777" w:rsidR="004473EB" w:rsidRPr="00404EDB" w:rsidRDefault="004473EB" w:rsidP="004473EB">
            <w:pP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Scenario</w:t>
            </w:r>
          </w:p>
        </w:tc>
        <w:tc>
          <w:tcPr>
            <w:tcW w:w="371" w:type="pct"/>
            <w:hideMark/>
          </w:tcPr>
          <w:p w14:paraId="219FE8F5"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Salinity (PSU)</w:t>
            </w:r>
          </w:p>
        </w:tc>
        <w:tc>
          <w:tcPr>
            <w:tcW w:w="539" w:type="pct"/>
            <w:hideMark/>
          </w:tcPr>
          <w:p w14:paraId="0EB8BD93"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Ammonium (mg/L)</w:t>
            </w:r>
          </w:p>
        </w:tc>
        <w:tc>
          <w:tcPr>
            <w:tcW w:w="362" w:type="pct"/>
            <w:hideMark/>
          </w:tcPr>
          <w:p w14:paraId="604D5737"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Nitrate (mg/L)</w:t>
            </w:r>
          </w:p>
        </w:tc>
        <w:tc>
          <w:tcPr>
            <w:tcW w:w="500" w:type="pct"/>
            <w:hideMark/>
          </w:tcPr>
          <w:p w14:paraId="1217B645"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Phosphate (mg/L)</w:t>
            </w:r>
          </w:p>
        </w:tc>
        <w:tc>
          <w:tcPr>
            <w:tcW w:w="362" w:type="pct"/>
            <w:hideMark/>
          </w:tcPr>
          <w:p w14:paraId="32B82E03"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Silica (mg/L)</w:t>
            </w:r>
          </w:p>
        </w:tc>
        <w:tc>
          <w:tcPr>
            <w:tcW w:w="419" w:type="pct"/>
            <w:hideMark/>
          </w:tcPr>
          <w:p w14:paraId="5ECA04BA"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Organic nitrogen (mg/L)</w:t>
            </w:r>
          </w:p>
        </w:tc>
        <w:tc>
          <w:tcPr>
            <w:tcW w:w="539" w:type="pct"/>
            <w:hideMark/>
          </w:tcPr>
          <w:p w14:paraId="07243308"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Organic phosphorus (mg/L)</w:t>
            </w:r>
          </w:p>
        </w:tc>
        <w:tc>
          <w:tcPr>
            <w:tcW w:w="533" w:type="pct"/>
            <w:hideMark/>
          </w:tcPr>
          <w:p w14:paraId="12C67D1F" w14:textId="77777777" w:rsidR="004473EB" w:rsidRPr="00404EDB" w:rsidRDefault="004473EB" w:rsidP="004473EB">
            <w:pPr>
              <w:jc w:val="center"/>
              <w:cnfStyle w:val="100000000000" w:firstRow="1"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 xml:space="preserve">Chlorophyll </w:t>
            </w:r>
            <w:r w:rsidRPr="00404EDB">
              <w:rPr>
                <w:rFonts w:cs="Calibri"/>
                <w:i/>
                <w:iCs/>
                <w:sz w:val="14"/>
                <w:szCs w:val="14"/>
              </w:rPr>
              <w:t xml:space="preserve">a </w:t>
            </w:r>
            <w:r w:rsidRPr="00404EDB">
              <w:rPr>
                <w:rFonts w:cs="Calibri"/>
                <w:sz w:val="14"/>
                <w:szCs w:val="14"/>
              </w:rPr>
              <w:t>(µg/L)</w:t>
            </w:r>
          </w:p>
        </w:tc>
      </w:tr>
      <w:tr w:rsidR="004473EB" w:rsidRPr="00DD27F8" w14:paraId="6ADD2C8F" w14:textId="77777777" w:rsidTr="00404ED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38" w:type="pct"/>
            <w:vMerge w:val="restart"/>
            <w:hideMark/>
          </w:tcPr>
          <w:p w14:paraId="0E42A5DD" w14:textId="77777777" w:rsidR="004473EB" w:rsidRPr="00404EDB" w:rsidRDefault="004473EB" w:rsidP="004473EB">
            <w:pPr>
              <w:rPr>
                <w:rFonts w:cs="Calibri"/>
                <w:sz w:val="14"/>
                <w:szCs w:val="14"/>
              </w:rPr>
            </w:pPr>
            <w:r w:rsidRPr="00404EDB">
              <w:rPr>
                <w:rFonts w:cs="Calibri"/>
                <w:sz w:val="14"/>
                <w:szCs w:val="14"/>
              </w:rPr>
              <w:t>Murray Mouth</w:t>
            </w:r>
          </w:p>
        </w:tc>
        <w:tc>
          <w:tcPr>
            <w:tcW w:w="938" w:type="pct"/>
            <w:hideMark/>
          </w:tcPr>
          <w:p w14:paraId="2DE1B919"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With all water</w:t>
            </w:r>
          </w:p>
        </w:tc>
        <w:tc>
          <w:tcPr>
            <w:tcW w:w="371" w:type="pct"/>
            <w:noWrap/>
            <w:hideMark/>
          </w:tcPr>
          <w:p w14:paraId="4786B53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12.7</w:t>
            </w:r>
          </w:p>
        </w:tc>
        <w:tc>
          <w:tcPr>
            <w:tcW w:w="539" w:type="pct"/>
            <w:noWrap/>
            <w:hideMark/>
          </w:tcPr>
          <w:p w14:paraId="15E2131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0.027</w:t>
            </w:r>
          </w:p>
        </w:tc>
        <w:tc>
          <w:tcPr>
            <w:tcW w:w="362" w:type="pct"/>
            <w:noWrap/>
            <w:hideMark/>
          </w:tcPr>
          <w:p w14:paraId="1D02F74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0.019</w:t>
            </w:r>
          </w:p>
        </w:tc>
        <w:tc>
          <w:tcPr>
            <w:tcW w:w="500" w:type="pct"/>
            <w:noWrap/>
            <w:hideMark/>
          </w:tcPr>
          <w:p w14:paraId="15D43E4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0.003</w:t>
            </w:r>
          </w:p>
        </w:tc>
        <w:tc>
          <w:tcPr>
            <w:tcW w:w="362" w:type="pct"/>
            <w:noWrap/>
            <w:hideMark/>
          </w:tcPr>
          <w:p w14:paraId="0A66C09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1.116</w:t>
            </w:r>
          </w:p>
        </w:tc>
        <w:tc>
          <w:tcPr>
            <w:tcW w:w="419" w:type="pct"/>
            <w:noWrap/>
            <w:hideMark/>
          </w:tcPr>
          <w:p w14:paraId="22F7A95E"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0.963</w:t>
            </w:r>
          </w:p>
        </w:tc>
        <w:tc>
          <w:tcPr>
            <w:tcW w:w="539" w:type="pct"/>
            <w:noWrap/>
            <w:hideMark/>
          </w:tcPr>
          <w:p w14:paraId="1229315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0.061</w:t>
            </w:r>
          </w:p>
        </w:tc>
        <w:tc>
          <w:tcPr>
            <w:tcW w:w="533" w:type="pct"/>
            <w:noWrap/>
            <w:hideMark/>
          </w:tcPr>
          <w:p w14:paraId="5155FD2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21.2</w:t>
            </w:r>
          </w:p>
        </w:tc>
      </w:tr>
      <w:tr w:rsidR="004473EB" w:rsidRPr="00DD27F8" w14:paraId="2D738E0C"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42036C06" w14:textId="77777777" w:rsidR="004473EB" w:rsidRPr="00404EDB" w:rsidRDefault="004473EB" w:rsidP="004473EB">
            <w:pPr>
              <w:rPr>
                <w:rFonts w:cs="Calibri"/>
                <w:sz w:val="14"/>
                <w:szCs w:val="14"/>
              </w:rPr>
            </w:pPr>
          </w:p>
        </w:tc>
        <w:tc>
          <w:tcPr>
            <w:tcW w:w="938" w:type="pct"/>
            <w:hideMark/>
          </w:tcPr>
          <w:p w14:paraId="1854089C"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371" w:type="pct"/>
            <w:noWrap/>
            <w:hideMark/>
          </w:tcPr>
          <w:p w14:paraId="6ADB07C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29.6</w:t>
            </w:r>
          </w:p>
        </w:tc>
        <w:tc>
          <w:tcPr>
            <w:tcW w:w="539" w:type="pct"/>
            <w:noWrap/>
            <w:hideMark/>
          </w:tcPr>
          <w:p w14:paraId="6FC59B6E"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0.034</w:t>
            </w:r>
          </w:p>
        </w:tc>
        <w:tc>
          <w:tcPr>
            <w:tcW w:w="362" w:type="pct"/>
            <w:noWrap/>
            <w:hideMark/>
          </w:tcPr>
          <w:p w14:paraId="0AE8B1D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0.022</w:t>
            </w:r>
          </w:p>
        </w:tc>
        <w:tc>
          <w:tcPr>
            <w:tcW w:w="500" w:type="pct"/>
            <w:noWrap/>
            <w:hideMark/>
          </w:tcPr>
          <w:p w14:paraId="1BFB47B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11FB23AE"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1.205</w:t>
            </w:r>
          </w:p>
        </w:tc>
        <w:tc>
          <w:tcPr>
            <w:tcW w:w="419" w:type="pct"/>
            <w:noWrap/>
            <w:hideMark/>
          </w:tcPr>
          <w:p w14:paraId="6A9488C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0.987</w:t>
            </w:r>
          </w:p>
        </w:tc>
        <w:tc>
          <w:tcPr>
            <w:tcW w:w="539" w:type="pct"/>
            <w:noWrap/>
            <w:hideMark/>
          </w:tcPr>
          <w:p w14:paraId="5F50077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0.064</w:t>
            </w:r>
          </w:p>
        </w:tc>
        <w:tc>
          <w:tcPr>
            <w:tcW w:w="533" w:type="pct"/>
            <w:noWrap/>
            <w:hideMark/>
          </w:tcPr>
          <w:p w14:paraId="1C3B63E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17.7</w:t>
            </w:r>
          </w:p>
        </w:tc>
      </w:tr>
      <w:tr w:rsidR="004473EB" w:rsidRPr="00DD27F8" w14:paraId="592A0D2E"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451D3DFF" w14:textId="77777777" w:rsidR="004473EB" w:rsidRPr="00404EDB" w:rsidRDefault="004473EB" w:rsidP="004473EB">
            <w:pPr>
              <w:rPr>
                <w:rFonts w:cs="Calibri"/>
                <w:sz w:val="14"/>
                <w:szCs w:val="14"/>
              </w:rPr>
            </w:pPr>
          </w:p>
        </w:tc>
        <w:tc>
          <w:tcPr>
            <w:tcW w:w="938" w:type="pct"/>
            <w:hideMark/>
          </w:tcPr>
          <w:p w14:paraId="0DE03F19"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371" w:type="pct"/>
            <w:noWrap/>
            <w:hideMark/>
          </w:tcPr>
          <w:p w14:paraId="6EE1654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30.5</w:t>
            </w:r>
          </w:p>
        </w:tc>
        <w:tc>
          <w:tcPr>
            <w:tcW w:w="539" w:type="pct"/>
            <w:noWrap/>
            <w:hideMark/>
          </w:tcPr>
          <w:p w14:paraId="57F7C57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0.033</w:t>
            </w:r>
          </w:p>
        </w:tc>
        <w:tc>
          <w:tcPr>
            <w:tcW w:w="362" w:type="pct"/>
            <w:noWrap/>
            <w:hideMark/>
          </w:tcPr>
          <w:p w14:paraId="575F2A3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0.021</w:t>
            </w:r>
          </w:p>
        </w:tc>
        <w:tc>
          <w:tcPr>
            <w:tcW w:w="500" w:type="pct"/>
            <w:noWrap/>
            <w:hideMark/>
          </w:tcPr>
          <w:p w14:paraId="78E269F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21085CE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1.200</w:t>
            </w:r>
          </w:p>
        </w:tc>
        <w:tc>
          <w:tcPr>
            <w:tcW w:w="419" w:type="pct"/>
            <w:noWrap/>
            <w:hideMark/>
          </w:tcPr>
          <w:p w14:paraId="58E210D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0.996</w:t>
            </w:r>
          </w:p>
        </w:tc>
        <w:tc>
          <w:tcPr>
            <w:tcW w:w="539" w:type="pct"/>
            <w:noWrap/>
            <w:hideMark/>
          </w:tcPr>
          <w:p w14:paraId="73AC138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0.066</w:t>
            </w:r>
          </w:p>
        </w:tc>
        <w:tc>
          <w:tcPr>
            <w:tcW w:w="533" w:type="pct"/>
            <w:noWrap/>
            <w:hideMark/>
          </w:tcPr>
          <w:p w14:paraId="2B7596E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17.3</w:t>
            </w:r>
          </w:p>
        </w:tc>
      </w:tr>
      <w:tr w:rsidR="004473EB" w:rsidRPr="00DD27F8" w14:paraId="11F3A598" w14:textId="77777777" w:rsidTr="00404EDB">
        <w:trPr>
          <w:trHeight w:val="330"/>
        </w:trPr>
        <w:tc>
          <w:tcPr>
            <w:cnfStyle w:val="001000000000" w:firstRow="0" w:lastRow="0" w:firstColumn="1" w:lastColumn="0" w:oddVBand="0" w:evenVBand="0" w:oddHBand="0" w:evenHBand="0" w:firstRowFirstColumn="0" w:firstRowLastColumn="0" w:lastRowFirstColumn="0" w:lastRowLastColumn="0"/>
            <w:tcW w:w="438" w:type="pct"/>
            <w:vMerge/>
            <w:hideMark/>
          </w:tcPr>
          <w:p w14:paraId="3D487694" w14:textId="77777777" w:rsidR="004473EB" w:rsidRPr="00404EDB" w:rsidRDefault="004473EB" w:rsidP="004473EB">
            <w:pPr>
              <w:rPr>
                <w:rFonts w:cs="Calibri"/>
                <w:sz w:val="14"/>
                <w:szCs w:val="14"/>
              </w:rPr>
            </w:pPr>
          </w:p>
        </w:tc>
        <w:tc>
          <w:tcPr>
            <w:tcW w:w="938" w:type="pct"/>
            <w:hideMark/>
          </w:tcPr>
          <w:p w14:paraId="1FF9CF94"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371" w:type="pct"/>
            <w:noWrap/>
            <w:hideMark/>
          </w:tcPr>
          <w:p w14:paraId="4D9D2300"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27.7</w:t>
            </w:r>
          </w:p>
        </w:tc>
        <w:tc>
          <w:tcPr>
            <w:tcW w:w="539" w:type="pct"/>
            <w:noWrap/>
            <w:hideMark/>
          </w:tcPr>
          <w:p w14:paraId="2054A6B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0.035</w:t>
            </w:r>
          </w:p>
        </w:tc>
        <w:tc>
          <w:tcPr>
            <w:tcW w:w="362" w:type="pct"/>
            <w:noWrap/>
            <w:hideMark/>
          </w:tcPr>
          <w:p w14:paraId="6A8CB40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0.023</w:t>
            </w:r>
          </w:p>
        </w:tc>
        <w:tc>
          <w:tcPr>
            <w:tcW w:w="500" w:type="pct"/>
            <w:noWrap/>
            <w:hideMark/>
          </w:tcPr>
          <w:p w14:paraId="32E2C8C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413C830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1.200</w:t>
            </w:r>
          </w:p>
        </w:tc>
        <w:tc>
          <w:tcPr>
            <w:tcW w:w="419" w:type="pct"/>
            <w:noWrap/>
            <w:hideMark/>
          </w:tcPr>
          <w:p w14:paraId="497AB6F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0.985</w:t>
            </w:r>
          </w:p>
        </w:tc>
        <w:tc>
          <w:tcPr>
            <w:tcW w:w="539" w:type="pct"/>
            <w:noWrap/>
            <w:hideMark/>
          </w:tcPr>
          <w:p w14:paraId="03CA40BB"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0.064</w:t>
            </w:r>
          </w:p>
        </w:tc>
        <w:tc>
          <w:tcPr>
            <w:tcW w:w="533" w:type="pct"/>
            <w:noWrap/>
            <w:hideMark/>
          </w:tcPr>
          <w:p w14:paraId="01220A5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17.78</w:t>
            </w:r>
          </w:p>
        </w:tc>
      </w:tr>
      <w:tr w:rsidR="004473EB" w:rsidRPr="00DD27F8" w14:paraId="7AEAA002"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4B24609B" w14:textId="77777777" w:rsidR="004473EB" w:rsidRPr="00404EDB" w:rsidRDefault="004473EB" w:rsidP="004473EB">
            <w:pPr>
              <w:rPr>
                <w:rFonts w:cs="Calibri"/>
                <w:sz w:val="14"/>
                <w:szCs w:val="14"/>
              </w:rPr>
            </w:pPr>
          </w:p>
        </w:tc>
        <w:tc>
          <w:tcPr>
            <w:tcW w:w="938" w:type="pct"/>
            <w:hideMark/>
          </w:tcPr>
          <w:p w14:paraId="4D9AFBFA"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371" w:type="pct"/>
            <w:noWrap/>
            <w:hideMark/>
          </w:tcPr>
          <w:p w14:paraId="4DC189E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29.5</w:t>
            </w:r>
          </w:p>
        </w:tc>
        <w:tc>
          <w:tcPr>
            <w:tcW w:w="539" w:type="pct"/>
            <w:noWrap/>
            <w:hideMark/>
          </w:tcPr>
          <w:p w14:paraId="14D5165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0.033</w:t>
            </w:r>
          </w:p>
        </w:tc>
        <w:tc>
          <w:tcPr>
            <w:tcW w:w="362" w:type="pct"/>
            <w:noWrap/>
            <w:hideMark/>
          </w:tcPr>
          <w:p w14:paraId="4DC7389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0.023</w:t>
            </w:r>
          </w:p>
        </w:tc>
        <w:tc>
          <w:tcPr>
            <w:tcW w:w="500" w:type="pct"/>
            <w:noWrap/>
            <w:hideMark/>
          </w:tcPr>
          <w:p w14:paraId="6ED2ADA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235DC83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1.193</w:t>
            </w:r>
          </w:p>
        </w:tc>
        <w:tc>
          <w:tcPr>
            <w:tcW w:w="419" w:type="pct"/>
            <w:noWrap/>
            <w:hideMark/>
          </w:tcPr>
          <w:p w14:paraId="5FD70EA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0.994</w:t>
            </w:r>
          </w:p>
        </w:tc>
        <w:tc>
          <w:tcPr>
            <w:tcW w:w="539" w:type="pct"/>
            <w:noWrap/>
            <w:hideMark/>
          </w:tcPr>
          <w:p w14:paraId="5859A4E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0.066</w:t>
            </w:r>
          </w:p>
        </w:tc>
        <w:tc>
          <w:tcPr>
            <w:tcW w:w="533" w:type="pct"/>
            <w:noWrap/>
            <w:hideMark/>
          </w:tcPr>
          <w:p w14:paraId="021857B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17.5</w:t>
            </w:r>
          </w:p>
        </w:tc>
      </w:tr>
      <w:tr w:rsidR="004473EB" w:rsidRPr="00DD27F8" w14:paraId="291AA805"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val="restart"/>
            <w:hideMark/>
          </w:tcPr>
          <w:p w14:paraId="16096F55" w14:textId="77777777" w:rsidR="004473EB" w:rsidRPr="00404EDB" w:rsidRDefault="004473EB" w:rsidP="004473EB">
            <w:pPr>
              <w:rPr>
                <w:rFonts w:cs="Calibri"/>
                <w:sz w:val="14"/>
                <w:szCs w:val="14"/>
              </w:rPr>
            </w:pPr>
            <w:r w:rsidRPr="00404EDB">
              <w:rPr>
                <w:rFonts w:cs="Calibri"/>
                <w:sz w:val="14"/>
                <w:szCs w:val="14"/>
              </w:rPr>
              <w:t>North Coorong</w:t>
            </w:r>
          </w:p>
        </w:tc>
        <w:tc>
          <w:tcPr>
            <w:tcW w:w="938" w:type="pct"/>
            <w:hideMark/>
          </w:tcPr>
          <w:p w14:paraId="0300CB00"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With all water</w:t>
            </w:r>
          </w:p>
        </w:tc>
        <w:tc>
          <w:tcPr>
            <w:tcW w:w="371" w:type="pct"/>
            <w:noWrap/>
            <w:hideMark/>
          </w:tcPr>
          <w:p w14:paraId="50787E8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18.1</w:t>
            </w:r>
          </w:p>
        </w:tc>
        <w:tc>
          <w:tcPr>
            <w:tcW w:w="539" w:type="pct"/>
            <w:noWrap/>
            <w:hideMark/>
          </w:tcPr>
          <w:p w14:paraId="399B4F2C"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0.038</w:t>
            </w:r>
          </w:p>
        </w:tc>
        <w:tc>
          <w:tcPr>
            <w:tcW w:w="362" w:type="pct"/>
            <w:noWrap/>
            <w:hideMark/>
          </w:tcPr>
          <w:p w14:paraId="1639301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0.018</w:t>
            </w:r>
          </w:p>
        </w:tc>
        <w:tc>
          <w:tcPr>
            <w:tcW w:w="500" w:type="pct"/>
            <w:noWrap/>
            <w:hideMark/>
          </w:tcPr>
          <w:p w14:paraId="2AF5B0ED"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0.0005</w:t>
            </w:r>
          </w:p>
        </w:tc>
        <w:tc>
          <w:tcPr>
            <w:tcW w:w="362" w:type="pct"/>
            <w:noWrap/>
            <w:hideMark/>
          </w:tcPr>
          <w:p w14:paraId="2E91492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1.135</w:t>
            </w:r>
          </w:p>
        </w:tc>
        <w:tc>
          <w:tcPr>
            <w:tcW w:w="419" w:type="pct"/>
            <w:noWrap/>
            <w:hideMark/>
          </w:tcPr>
          <w:p w14:paraId="16AFCA2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1.205</w:t>
            </w:r>
          </w:p>
        </w:tc>
        <w:tc>
          <w:tcPr>
            <w:tcW w:w="539" w:type="pct"/>
            <w:noWrap/>
            <w:hideMark/>
          </w:tcPr>
          <w:p w14:paraId="70EA754E"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0.128</w:t>
            </w:r>
          </w:p>
        </w:tc>
        <w:tc>
          <w:tcPr>
            <w:tcW w:w="533" w:type="pct"/>
            <w:noWrap/>
            <w:hideMark/>
          </w:tcPr>
          <w:p w14:paraId="6DA3344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4.4</w:t>
            </w:r>
          </w:p>
        </w:tc>
      </w:tr>
      <w:tr w:rsidR="004473EB" w:rsidRPr="00DD27F8" w14:paraId="2CF8A464"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7EACA240" w14:textId="77777777" w:rsidR="004473EB" w:rsidRPr="00404EDB" w:rsidRDefault="004473EB" w:rsidP="004473EB">
            <w:pPr>
              <w:rPr>
                <w:rFonts w:cs="Calibri"/>
                <w:sz w:val="14"/>
                <w:szCs w:val="14"/>
              </w:rPr>
            </w:pPr>
          </w:p>
        </w:tc>
        <w:tc>
          <w:tcPr>
            <w:tcW w:w="938" w:type="pct"/>
            <w:hideMark/>
          </w:tcPr>
          <w:p w14:paraId="3FD97AAB"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371" w:type="pct"/>
            <w:noWrap/>
            <w:hideMark/>
          </w:tcPr>
          <w:p w14:paraId="1543D10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37.7</w:t>
            </w:r>
          </w:p>
        </w:tc>
        <w:tc>
          <w:tcPr>
            <w:tcW w:w="539" w:type="pct"/>
            <w:noWrap/>
            <w:hideMark/>
          </w:tcPr>
          <w:p w14:paraId="65B7E53E"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0.034</w:t>
            </w:r>
          </w:p>
        </w:tc>
        <w:tc>
          <w:tcPr>
            <w:tcW w:w="362" w:type="pct"/>
            <w:noWrap/>
            <w:hideMark/>
          </w:tcPr>
          <w:p w14:paraId="5AE26F9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0.013</w:t>
            </w:r>
          </w:p>
        </w:tc>
        <w:tc>
          <w:tcPr>
            <w:tcW w:w="500" w:type="pct"/>
            <w:noWrap/>
            <w:hideMark/>
          </w:tcPr>
          <w:p w14:paraId="3BDFB53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0.0003</w:t>
            </w:r>
          </w:p>
        </w:tc>
        <w:tc>
          <w:tcPr>
            <w:tcW w:w="362" w:type="pct"/>
            <w:noWrap/>
            <w:hideMark/>
          </w:tcPr>
          <w:p w14:paraId="103701A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1.650</w:t>
            </w:r>
          </w:p>
        </w:tc>
        <w:tc>
          <w:tcPr>
            <w:tcW w:w="419" w:type="pct"/>
            <w:noWrap/>
            <w:hideMark/>
          </w:tcPr>
          <w:p w14:paraId="2946356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1.336</w:t>
            </w:r>
          </w:p>
        </w:tc>
        <w:tc>
          <w:tcPr>
            <w:tcW w:w="539" w:type="pct"/>
            <w:noWrap/>
            <w:hideMark/>
          </w:tcPr>
          <w:p w14:paraId="057ADDC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0.118</w:t>
            </w:r>
          </w:p>
        </w:tc>
        <w:tc>
          <w:tcPr>
            <w:tcW w:w="533" w:type="pct"/>
            <w:noWrap/>
            <w:hideMark/>
          </w:tcPr>
          <w:p w14:paraId="559AC15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2.5</w:t>
            </w:r>
          </w:p>
        </w:tc>
      </w:tr>
      <w:tr w:rsidR="004473EB" w:rsidRPr="00DD27F8" w14:paraId="584E3C02"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59C74C1F" w14:textId="77777777" w:rsidR="004473EB" w:rsidRPr="00404EDB" w:rsidRDefault="004473EB" w:rsidP="004473EB">
            <w:pPr>
              <w:rPr>
                <w:rFonts w:cs="Calibri"/>
                <w:sz w:val="14"/>
                <w:szCs w:val="14"/>
              </w:rPr>
            </w:pPr>
          </w:p>
        </w:tc>
        <w:tc>
          <w:tcPr>
            <w:tcW w:w="938" w:type="pct"/>
            <w:hideMark/>
          </w:tcPr>
          <w:p w14:paraId="4DC01927"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371" w:type="pct"/>
            <w:noWrap/>
            <w:hideMark/>
          </w:tcPr>
          <w:p w14:paraId="5D91C97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39.4</w:t>
            </w:r>
          </w:p>
        </w:tc>
        <w:tc>
          <w:tcPr>
            <w:tcW w:w="539" w:type="pct"/>
            <w:noWrap/>
            <w:hideMark/>
          </w:tcPr>
          <w:p w14:paraId="3CEB452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0.035</w:t>
            </w:r>
          </w:p>
        </w:tc>
        <w:tc>
          <w:tcPr>
            <w:tcW w:w="362" w:type="pct"/>
            <w:noWrap/>
            <w:hideMark/>
          </w:tcPr>
          <w:p w14:paraId="28C7EDD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0.014</w:t>
            </w:r>
          </w:p>
        </w:tc>
        <w:tc>
          <w:tcPr>
            <w:tcW w:w="500" w:type="pct"/>
            <w:noWrap/>
            <w:hideMark/>
          </w:tcPr>
          <w:p w14:paraId="18FC055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0.0002</w:t>
            </w:r>
          </w:p>
        </w:tc>
        <w:tc>
          <w:tcPr>
            <w:tcW w:w="362" w:type="pct"/>
            <w:noWrap/>
            <w:hideMark/>
          </w:tcPr>
          <w:p w14:paraId="1765588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1.715</w:t>
            </w:r>
          </w:p>
        </w:tc>
        <w:tc>
          <w:tcPr>
            <w:tcW w:w="419" w:type="pct"/>
            <w:noWrap/>
            <w:hideMark/>
          </w:tcPr>
          <w:p w14:paraId="260149C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1.349</w:t>
            </w:r>
          </w:p>
        </w:tc>
        <w:tc>
          <w:tcPr>
            <w:tcW w:w="539" w:type="pct"/>
            <w:noWrap/>
            <w:hideMark/>
          </w:tcPr>
          <w:p w14:paraId="1A77DC8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0.118</w:t>
            </w:r>
          </w:p>
        </w:tc>
        <w:tc>
          <w:tcPr>
            <w:tcW w:w="533" w:type="pct"/>
            <w:noWrap/>
            <w:hideMark/>
          </w:tcPr>
          <w:p w14:paraId="0354690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2.5</w:t>
            </w:r>
          </w:p>
        </w:tc>
      </w:tr>
      <w:tr w:rsidR="004473EB" w:rsidRPr="00DD27F8" w14:paraId="2220C143"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4C610C58" w14:textId="77777777" w:rsidR="004473EB" w:rsidRPr="00404EDB" w:rsidRDefault="004473EB" w:rsidP="004473EB">
            <w:pPr>
              <w:rPr>
                <w:rFonts w:cs="Calibri"/>
                <w:sz w:val="14"/>
                <w:szCs w:val="14"/>
              </w:rPr>
            </w:pPr>
          </w:p>
        </w:tc>
        <w:tc>
          <w:tcPr>
            <w:tcW w:w="938" w:type="pct"/>
            <w:hideMark/>
          </w:tcPr>
          <w:p w14:paraId="422360DD"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371" w:type="pct"/>
            <w:noWrap/>
            <w:hideMark/>
          </w:tcPr>
          <w:p w14:paraId="6247D068"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32.0</w:t>
            </w:r>
          </w:p>
        </w:tc>
        <w:tc>
          <w:tcPr>
            <w:tcW w:w="539" w:type="pct"/>
            <w:noWrap/>
            <w:hideMark/>
          </w:tcPr>
          <w:p w14:paraId="7813029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0.034</w:t>
            </w:r>
          </w:p>
        </w:tc>
        <w:tc>
          <w:tcPr>
            <w:tcW w:w="362" w:type="pct"/>
            <w:noWrap/>
            <w:hideMark/>
          </w:tcPr>
          <w:p w14:paraId="0C58434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0.013</w:t>
            </w:r>
          </w:p>
        </w:tc>
        <w:tc>
          <w:tcPr>
            <w:tcW w:w="500" w:type="pct"/>
            <w:noWrap/>
            <w:hideMark/>
          </w:tcPr>
          <w:p w14:paraId="31192F7E"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0.0003</w:t>
            </w:r>
          </w:p>
        </w:tc>
        <w:tc>
          <w:tcPr>
            <w:tcW w:w="362" w:type="pct"/>
            <w:noWrap/>
            <w:hideMark/>
          </w:tcPr>
          <w:p w14:paraId="2E3FB98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1.533</w:t>
            </w:r>
          </w:p>
        </w:tc>
        <w:tc>
          <w:tcPr>
            <w:tcW w:w="419" w:type="pct"/>
            <w:noWrap/>
            <w:hideMark/>
          </w:tcPr>
          <w:p w14:paraId="5DBE730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1.301</w:t>
            </w:r>
          </w:p>
        </w:tc>
        <w:tc>
          <w:tcPr>
            <w:tcW w:w="539" w:type="pct"/>
            <w:noWrap/>
            <w:hideMark/>
          </w:tcPr>
          <w:p w14:paraId="6E5073DD"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0.113</w:t>
            </w:r>
          </w:p>
        </w:tc>
        <w:tc>
          <w:tcPr>
            <w:tcW w:w="533" w:type="pct"/>
            <w:noWrap/>
            <w:hideMark/>
          </w:tcPr>
          <w:p w14:paraId="1F79E3B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2.6</w:t>
            </w:r>
          </w:p>
        </w:tc>
      </w:tr>
      <w:tr w:rsidR="004473EB" w:rsidRPr="00DD27F8" w14:paraId="6591E8EF"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5DA2F783" w14:textId="77777777" w:rsidR="004473EB" w:rsidRPr="00404EDB" w:rsidRDefault="004473EB" w:rsidP="004473EB">
            <w:pPr>
              <w:rPr>
                <w:rFonts w:cs="Calibri"/>
                <w:sz w:val="14"/>
                <w:szCs w:val="14"/>
              </w:rPr>
            </w:pPr>
          </w:p>
        </w:tc>
        <w:tc>
          <w:tcPr>
            <w:tcW w:w="938" w:type="pct"/>
            <w:hideMark/>
          </w:tcPr>
          <w:p w14:paraId="4FFE4411"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371" w:type="pct"/>
            <w:noWrap/>
            <w:hideMark/>
          </w:tcPr>
          <w:p w14:paraId="6886141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33.7</w:t>
            </w:r>
          </w:p>
        </w:tc>
        <w:tc>
          <w:tcPr>
            <w:tcW w:w="539" w:type="pct"/>
            <w:noWrap/>
            <w:hideMark/>
          </w:tcPr>
          <w:p w14:paraId="7ABDC75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0.034</w:t>
            </w:r>
          </w:p>
        </w:tc>
        <w:tc>
          <w:tcPr>
            <w:tcW w:w="362" w:type="pct"/>
            <w:noWrap/>
            <w:hideMark/>
          </w:tcPr>
          <w:p w14:paraId="5D9540A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0.013</w:t>
            </w:r>
          </w:p>
        </w:tc>
        <w:tc>
          <w:tcPr>
            <w:tcW w:w="500" w:type="pct"/>
            <w:noWrap/>
            <w:hideMark/>
          </w:tcPr>
          <w:p w14:paraId="41DE1DC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0.0003</w:t>
            </w:r>
          </w:p>
        </w:tc>
        <w:tc>
          <w:tcPr>
            <w:tcW w:w="362" w:type="pct"/>
            <w:noWrap/>
            <w:hideMark/>
          </w:tcPr>
          <w:p w14:paraId="012A718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1.575</w:t>
            </w:r>
          </w:p>
        </w:tc>
        <w:tc>
          <w:tcPr>
            <w:tcW w:w="419" w:type="pct"/>
            <w:noWrap/>
            <w:hideMark/>
          </w:tcPr>
          <w:p w14:paraId="545328E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1.314</w:t>
            </w:r>
          </w:p>
        </w:tc>
        <w:tc>
          <w:tcPr>
            <w:tcW w:w="539" w:type="pct"/>
            <w:noWrap/>
            <w:hideMark/>
          </w:tcPr>
          <w:p w14:paraId="155426D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0.112</w:t>
            </w:r>
          </w:p>
        </w:tc>
        <w:tc>
          <w:tcPr>
            <w:tcW w:w="533" w:type="pct"/>
            <w:noWrap/>
            <w:hideMark/>
          </w:tcPr>
          <w:p w14:paraId="5862E90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2.5</w:t>
            </w:r>
          </w:p>
        </w:tc>
      </w:tr>
      <w:tr w:rsidR="004473EB" w:rsidRPr="00DD27F8" w14:paraId="5FA745A5"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val="restart"/>
            <w:hideMark/>
          </w:tcPr>
          <w:p w14:paraId="29A218A7" w14:textId="77777777" w:rsidR="004473EB" w:rsidRPr="00404EDB" w:rsidRDefault="004473EB" w:rsidP="004473EB">
            <w:pPr>
              <w:rPr>
                <w:rFonts w:cs="Calibri"/>
                <w:sz w:val="14"/>
                <w:szCs w:val="14"/>
              </w:rPr>
            </w:pPr>
            <w:r w:rsidRPr="00404EDB">
              <w:rPr>
                <w:rFonts w:cs="Calibri"/>
                <w:sz w:val="14"/>
                <w:szCs w:val="14"/>
              </w:rPr>
              <w:t>South Coorong</w:t>
            </w:r>
          </w:p>
        </w:tc>
        <w:tc>
          <w:tcPr>
            <w:tcW w:w="938" w:type="pct"/>
            <w:hideMark/>
          </w:tcPr>
          <w:p w14:paraId="4A9893DC"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With all water</w:t>
            </w:r>
          </w:p>
        </w:tc>
        <w:tc>
          <w:tcPr>
            <w:tcW w:w="371" w:type="pct"/>
            <w:noWrap/>
            <w:hideMark/>
          </w:tcPr>
          <w:p w14:paraId="5A6D4CEA"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95.0</w:t>
            </w:r>
          </w:p>
        </w:tc>
        <w:tc>
          <w:tcPr>
            <w:tcW w:w="539" w:type="pct"/>
            <w:noWrap/>
            <w:hideMark/>
          </w:tcPr>
          <w:p w14:paraId="2E2C9FB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0.006</w:t>
            </w:r>
          </w:p>
        </w:tc>
        <w:tc>
          <w:tcPr>
            <w:tcW w:w="362" w:type="pct"/>
            <w:noWrap/>
            <w:hideMark/>
          </w:tcPr>
          <w:p w14:paraId="00F8599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0.0001</w:t>
            </w:r>
          </w:p>
        </w:tc>
        <w:tc>
          <w:tcPr>
            <w:tcW w:w="500" w:type="pct"/>
            <w:noWrap/>
            <w:hideMark/>
          </w:tcPr>
          <w:p w14:paraId="5290F5F4"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0.006</w:t>
            </w:r>
          </w:p>
        </w:tc>
        <w:tc>
          <w:tcPr>
            <w:tcW w:w="362" w:type="pct"/>
            <w:noWrap/>
            <w:hideMark/>
          </w:tcPr>
          <w:p w14:paraId="1E386929"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8.697</w:t>
            </w:r>
          </w:p>
        </w:tc>
        <w:tc>
          <w:tcPr>
            <w:tcW w:w="419" w:type="pct"/>
            <w:noWrap/>
            <w:hideMark/>
          </w:tcPr>
          <w:p w14:paraId="75270ED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5.977</w:t>
            </w:r>
          </w:p>
        </w:tc>
        <w:tc>
          <w:tcPr>
            <w:tcW w:w="539" w:type="pct"/>
            <w:noWrap/>
            <w:hideMark/>
          </w:tcPr>
          <w:p w14:paraId="7670B90C"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0.536</w:t>
            </w:r>
          </w:p>
        </w:tc>
        <w:tc>
          <w:tcPr>
            <w:tcW w:w="533" w:type="pct"/>
            <w:noWrap/>
            <w:hideMark/>
          </w:tcPr>
          <w:p w14:paraId="5D78001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44.9</w:t>
            </w:r>
          </w:p>
        </w:tc>
      </w:tr>
      <w:tr w:rsidR="004473EB" w:rsidRPr="00DD27F8" w14:paraId="5832614D"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2F27B0FF" w14:textId="77777777" w:rsidR="004473EB" w:rsidRPr="00404EDB" w:rsidRDefault="004473EB" w:rsidP="004473EB">
            <w:pPr>
              <w:rPr>
                <w:rFonts w:cs="Calibri"/>
                <w:sz w:val="14"/>
                <w:szCs w:val="14"/>
              </w:rPr>
            </w:pPr>
          </w:p>
        </w:tc>
        <w:tc>
          <w:tcPr>
            <w:tcW w:w="938" w:type="pct"/>
            <w:hideMark/>
          </w:tcPr>
          <w:p w14:paraId="20BDE940"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4 years (07/2017 - 07/2021)</w:t>
            </w:r>
          </w:p>
        </w:tc>
        <w:tc>
          <w:tcPr>
            <w:tcW w:w="371" w:type="pct"/>
            <w:noWrap/>
            <w:hideMark/>
          </w:tcPr>
          <w:p w14:paraId="30AA0216"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136.6</w:t>
            </w:r>
          </w:p>
        </w:tc>
        <w:tc>
          <w:tcPr>
            <w:tcW w:w="539" w:type="pct"/>
            <w:noWrap/>
            <w:hideMark/>
          </w:tcPr>
          <w:p w14:paraId="051EC490"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0.118</w:t>
            </w:r>
          </w:p>
        </w:tc>
        <w:tc>
          <w:tcPr>
            <w:tcW w:w="362" w:type="pct"/>
            <w:noWrap/>
            <w:hideMark/>
          </w:tcPr>
          <w:p w14:paraId="08676F21"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0.255</w:t>
            </w:r>
          </w:p>
        </w:tc>
        <w:tc>
          <w:tcPr>
            <w:tcW w:w="500" w:type="pct"/>
            <w:noWrap/>
            <w:hideMark/>
          </w:tcPr>
          <w:p w14:paraId="031EFBEA"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56B2F8F4"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9.786</w:t>
            </w:r>
          </w:p>
        </w:tc>
        <w:tc>
          <w:tcPr>
            <w:tcW w:w="419" w:type="pct"/>
            <w:noWrap/>
            <w:hideMark/>
          </w:tcPr>
          <w:p w14:paraId="2B05844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6.475</w:t>
            </w:r>
          </w:p>
        </w:tc>
        <w:tc>
          <w:tcPr>
            <w:tcW w:w="539" w:type="pct"/>
            <w:noWrap/>
            <w:hideMark/>
          </w:tcPr>
          <w:p w14:paraId="0DB08E42"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0.602</w:t>
            </w:r>
          </w:p>
        </w:tc>
        <w:tc>
          <w:tcPr>
            <w:tcW w:w="533" w:type="pct"/>
            <w:noWrap/>
            <w:hideMark/>
          </w:tcPr>
          <w:p w14:paraId="494E341F"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52.4</w:t>
            </w:r>
          </w:p>
        </w:tc>
      </w:tr>
      <w:tr w:rsidR="004473EB" w:rsidRPr="00DD27F8" w14:paraId="653AD47E"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1FCBB139" w14:textId="77777777" w:rsidR="004473EB" w:rsidRPr="00404EDB" w:rsidRDefault="004473EB" w:rsidP="004473EB">
            <w:pPr>
              <w:rPr>
                <w:rFonts w:cs="Calibri"/>
                <w:sz w:val="14"/>
                <w:szCs w:val="14"/>
              </w:rPr>
            </w:pPr>
          </w:p>
        </w:tc>
        <w:tc>
          <w:tcPr>
            <w:tcW w:w="938" w:type="pct"/>
            <w:hideMark/>
          </w:tcPr>
          <w:p w14:paraId="645AA0E9"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4 years (07/2017 - 07/2021)</w:t>
            </w:r>
          </w:p>
        </w:tc>
        <w:tc>
          <w:tcPr>
            <w:tcW w:w="371" w:type="pct"/>
            <w:noWrap/>
            <w:hideMark/>
          </w:tcPr>
          <w:p w14:paraId="03DBF63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143.9</w:t>
            </w:r>
          </w:p>
        </w:tc>
        <w:tc>
          <w:tcPr>
            <w:tcW w:w="539" w:type="pct"/>
            <w:noWrap/>
            <w:hideMark/>
          </w:tcPr>
          <w:p w14:paraId="28827C1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0.122</w:t>
            </w:r>
          </w:p>
        </w:tc>
        <w:tc>
          <w:tcPr>
            <w:tcW w:w="362" w:type="pct"/>
            <w:noWrap/>
            <w:hideMark/>
          </w:tcPr>
          <w:p w14:paraId="30DE865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0.362</w:t>
            </w:r>
          </w:p>
        </w:tc>
        <w:tc>
          <w:tcPr>
            <w:tcW w:w="500" w:type="pct"/>
            <w:noWrap/>
            <w:hideMark/>
          </w:tcPr>
          <w:p w14:paraId="63D3D213"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0.001</w:t>
            </w:r>
          </w:p>
        </w:tc>
        <w:tc>
          <w:tcPr>
            <w:tcW w:w="362" w:type="pct"/>
            <w:noWrap/>
            <w:hideMark/>
          </w:tcPr>
          <w:p w14:paraId="502F1E6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9.994</w:t>
            </w:r>
          </w:p>
        </w:tc>
        <w:tc>
          <w:tcPr>
            <w:tcW w:w="419" w:type="pct"/>
            <w:noWrap/>
            <w:hideMark/>
          </w:tcPr>
          <w:p w14:paraId="3AAD7CA1"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6.555</w:t>
            </w:r>
          </w:p>
        </w:tc>
        <w:tc>
          <w:tcPr>
            <w:tcW w:w="539" w:type="pct"/>
            <w:noWrap/>
            <w:hideMark/>
          </w:tcPr>
          <w:p w14:paraId="2C92FCF6"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0.615</w:t>
            </w:r>
          </w:p>
        </w:tc>
        <w:tc>
          <w:tcPr>
            <w:tcW w:w="533" w:type="pct"/>
            <w:noWrap/>
            <w:hideMark/>
          </w:tcPr>
          <w:p w14:paraId="1DFF465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53.5</w:t>
            </w:r>
          </w:p>
        </w:tc>
      </w:tr>
      <w:tr w:rsidR="004473EB" w:rsidRPr="00DD27F8" w14:paraId="447578D3" w14:textId="77777777" w:rsidTr="00404EDB">
        <w:trPr>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1CF6D1E6" w14:textId="77777777" w:rsidR="004473EB" w:rsidRPr="00404EDB" w:rsidRDefault="004473EB" w:rsidP="004473EB">
            <w:pPr>
              <w:rPr>
                <w:rFonts w:cs="Calibri"/>
                <w:sz w:val="14"/>
                <w:szCs w:val="14"/>
              </w:rPr>
            </w:pPr>
          </w:p>
        </w:tc>
        <w:tc>
          <w:tcPr>
            <w:tcW w:w="938" w:type="pct"/>
            <w:hideMark/>
          </w:tcPr>
          <w:p w14:paraId="43DF1C27" w14:textId="77777777" w:rsidR="004473EB" w:rsidRPr="00404EDB" w:rsidRDefault="004473EB" w:rsidP="004473EB">
            <w:pPr>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No CEW 1 year (07/2020 - 07/2021)</w:t>
            </w:r>
          </w:p>
        </w:tc>
        <w:tc>
          <w:tcPr>
            <w:tcW w:w="371" w:type="pct"/>
            <w:noWrap/>
            <w:hideMark/>
          </w:tcPr>
          <w:p w14:paraId="6147D577"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100.1</w:t>
            </w:r>
          </w:p>
        </w:tc>
        <w:tc>
          <w:tcPr>
            <w:tcW w:w="539" w:type="pct"/>
            <w:noWrap/>
            <w:hideMark/>
          </w:tcPr>
          <w:p w14:paraId="1BD5132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0.009</w:t>
            </w:r>
          </w:p>
        </w:tc>
        <w:tc>
          <w:tcPr>
            <w:tcW w:w="362" w:type="pct"/>
            <w:noWrap/>
            <w:hideMark/>
          </w:tcPr>
          <w:p w14:paraId="584C2EE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0.0002</w:t>
            </w:r>
          </w:p>
        </w:tc>
        <w:tc>
          <w:tcPr>
            <w:tcW w:w="500" w:type="pct"/>
            <w:noWrap/>
            <w:hideMark/>
          </w:tcPr>
          <w:p w14:paraId="7DB06A85"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0.005</w:t>
            </w:r>
          </w:p>
        </w:tc>
        <w:tc>
          <w:tcPr>
            <w:tcW w:w="362" w:type="pct"/>
            <w:noWrap/>
            <w:hideMark/>
          </w:tcPr>
          <w:p w14:paraId="73F37443"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8.926</w:t>
            </w:r>
          </w:p>
        </w:tc>
        <w:tc>
          <w:tcPr>
            <w:tcW w:w="419" w:type="pct"/>
            <w:noWrap/>
            <w:hideMark/>
          </w:tcPr>
          <w:p w14:paraId="5DC0299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6.107</w:t>
            </w:r>
          </w:p>
        </w:tc>
        <w:tc>
          <w:tcPr>
            <w:tcW w:w="539" w:type="pct"/>
            <w:noWrap/>
            <w:hideMark/>
          </w:tcPr>
          <w:p w14:paraId="3008A4C8"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0.543</w:t>
            </w:r>
          </w:p>
        </w:tc>
        <w:tc>
          <w:tcPr>
            <w:tcW w:w="533" w:type="pct"/>
            <w:noWrap/>
            <w:hideMark/>
          </w:tcPr>
          <w:p w14:paraId="56A64A19" w14:textId="77777777" w:rsidR="004473EB" w:rsidRPr="00404EDB" w:rsidRDefault="004473EB" w:rsidP="004473EB">
            <w:pPr>
              <w:jc w:val="right"/>
              <w:cnfStyle w:val="000000000000" w:firstRow="0" w:lastRow="0" w:firstColumn="0" w:lastColumn="0" w:oddVBand="0" w:evenVBand="0" w:oddHBand="0" w:evenHBand="0" w:firstRowFirstColumn="0" w:firstRowLastColumn="0" w:lastRowFirstColumn="0" w:lastRowLastColumn="0"/>
              <w:rPr>
                <w:rFonts w:cs="Calibri"/>
                <w:sz w:val="14"/>
                <w:szCs w:val="14"/>
              </w:rPr>
            </w:pPr>
            <w:r w:rsidRPr="00404EDB">
              <w:rPr>
                <w:rFonts w:cs="Calibri"/>
                <w:sz w:val="14"/>
                <w:szCs w:val="14"/>
              </w:rPr>
              <w:t>45.5</w:t>
            </w:r>
          </w:p>
        </w:tc>
      </w:tr>
      <w:tr w:rsidR="004473EB" w:rsidRPr="00DD27F8" w14:paraId="0AB97D04" w14:textId="77777777" w:rsidTr="0040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8" w:type="pct"/>
            <w:vMerge/>
            <w:hideMark/>
          </w:tcPr>
          <w:p w14:paraId="69A90506" w14:textId="77777777" w:rsidR="004473EB" w:rsidRPr="00404EDB" w:rsidRDefault="004473EB" w:rsidP="004473EB">
            <w:pPr>
              <w:rPr>
                <w:rFonts w:cs="Calibri"/>
                <w:sz w:val="14"/>
                <w:szCs w:val="14"/>
              </w:rPr>
            </w:pPr>
          </w:p>
        </w:tc>
        <w:tc>
          <w:tcPr>
            <w:tcW w:w="938" w:type="pct"/>
            <w:hideMark/>
          </w:tcPr>
          <w:p w14:paraId="1432B73C" w14:textId="77777777" w:rsidR="004473EB" w:rsidRPr="00404EDB" w:rsidRDefault="004473EB" w:rsidP="004473EB">
            <w:pPr>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No eWater 1 year (07/2020 - 07/2021)</w:t>
            </w:r>
          </w:p>
        </w:tc>
        <w:tc>
          <w:tcPr>
            <w:tcW w:w="371" w:type="pct"/>
            <w:noWrap/>
            <w:hideMark/>
          </w:tcPr>
          <w:p w14:paraId="78AC3C8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101.4</w:t>
            </w:r>
          </w:p>
        </w:tc>
        <w:tc>
          <w:tcPr>
            <w:tcW w:w="539" w:type="pct"/>
            <w:noWrap/>
            <w:hideMark/>
          </w:tcPr>
          <w:p w14:paraId="029B0F0B"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0.009</w:t>
            </w:r>
          </w:p>
        </w:tc>
        <w:tc>
          <w:tcPr>
            <w:tcW w:w="362" w:type="pct"/>
            <w:noWrap/>
            <w:hideMark/>
          </w:tcPr>
          <w:p w14:paraId="119CC03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0.0002</w:t>
            </w:r>
          </w:p>
        </w:tc>
        <w:tc>
          <w:tcPr>
            <w:tcW w:w="500" w:type="pct"/>
            <w:noWrap/>
            <w:hideMark/>
          </w:tcPr>
          <w:p w14:paraId="4585A4D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0.005</w:t>
            </w:r>
          </w:p>
        </w:tc>
        <w:tc>
          <w:tcPr>
            <w:tcW w:w="362" w:type="pct"/>
            <w:noWrap/>
            <w:hideMark/>
          </w:tcPr>
          <w:p w14:paraId="3311ADD0"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8.9676</w:t>
            </w:r>
          </w:p>
        </w:tc>
        <w:tc>
          <w:tcPr>
            <w:tcW w:w="419" w:type="pct"/>
            <w:noWrap/>
            <w:hideMark/>
          </w:tcPr>
          <w:p w14:paraId="4845D902"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6.112</w:t>
            </w:r>
          </w:p>
        </w:tc>
        <w:tc>
          <w:tcPr>
            <w:tcW w:w="539" w:type="pct"/>
            <w:noWrap/>
            <w:hideMark/>
          </w:tcPr>
          <w:p w14:paraId="3AA2F067"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0.5436</w:t>
            </w:r>
          </w:p>
        </w:tc>
        <w:tc>
          <w:tcPr>
            <w:tcW w:w="533" w:type="pct"/>
            <w:noWrap/>
            <w:hideMark/>
          </w:tcPr>
          <w:p w14:paraId="17ED6E9F" w14:textId="77777777" w:rsidR="004473EB" w:rsidRPr="00404EDB" w:rsidRDefault="004473EB" w:rsidP="004473EB">
            <w:pPr>
              <w:jc w:val="right"/>
              <w:cnfStyle w:val="000000100000" w:firstRow="0" w:lastRow="0" w:firstColumn="0" w:lastColumn="0" w:oddVBand="0" w:evenVBand="0" w:oddHBand="1" w:evenHBand="0" w:firstRowFirstColumn="0" w:firstRowLastColumn="0" w:lastRowFirstColumn="0" w:lastRowLastColumn="0"/>
              <w:rPr>
                <w:rFonts w:cs="Calibri"/>
                <w:sz w:val="14"/>
                <w:szCs w:val="14"/>
              </w:rPr>
            </w:pPr>
            <w:r w:rsidRPr="00404EDB">
              <w:rPr>
                <w:rFonts w:cs="Calibri"/>
                <w:sz w:val="14"/>
                <w:szCs w:val="14"/>
              </w:rPr>
              <w:t>45.6</w:t>
            </w:r>
          </w:p>
        </w:tc>
      </w:tr>
    </w:tbl>
    <w:p w14:paraId="218713D3" w14:textId="77777777" w:rsidR="0023685A" w:rsidRPr="00424090" w:rsidRDefault="0023685A">
      <w:pPr>
        <w:spacing w:before="0" w:after="160" w:line="259" w:lineRule="auto"/>
        <w:jc w:val="left"/>
        <w:rPr>
          <w:highlight w:val="yellow"/>
        </w:rPr>
      </w:pPr>
    </w:p>
    <w:p w14:paraId="3546D95C" w14:textId="77777777" w:rsidR="0023685A" w:rsidRPr="00424090" w:rsidRDefault="0023685A">
      <w:pPr>
        <w:spacing w:before="0" w:after="160" w:line="259" w:lineRule="auto"/>
        <w:jc w:val="left"/>
        <w:rPr>
          <w:highlight w:val="yellow"/>
        </w:rPr>
        <w:sectPr w:rsidR="0023685A" w:rsidRPr="00424090" w:rsidSect="004473EB">
          <w:pgSz w:w="11906" w:h="16838"/>
          <w:pgMar w:top="1440" w:right="1440" w:bottom="1440" w:left="1440" w:header="709" w:footer="709" w:gutter="0"/>
          <w:cols w:space="708"/>
          <w:docGrid w:linePitch="360"/>
        </w:sectPr>
      </w:pPr>
    </w:p>
    <w:bookmarkEnd w:id="418"/>
    <w:p w14:paraId="744B33D9" w14:textId="77777777" w:rsidR="002F3182" w:rsidRPr="002035C9" w:rsidRDefault="002F3182" w:rsidP="002F3182">
      <w:pPr>
        <w:pStyle w:val="Caption"/>
        <w:rPr>
          <w:color w:val="44546A" w:themeColor="text2"/>
          <w:sz w:val="26"/>
          <w:szCs w:val="26"/>
        </w:rPr>
      </w:pPr>
      <w:r w:rsidRPr="002035C9">
        <w:rPr>
          <w:color w:val="44546A" w:themeColor="text2"/>
          <w:sz w:val="26"/>
          <w:szCs w:val="26"/>
        </w:rPr>
        <w:t>Littoral Vegetation Diversity and Productivity</w:t>
      </w:r>
    </w:p>
    <w:p w14:paraId="041104D8" w14:textId="6DCFA598" w:rsidR="002F3182" w:rsidRPr="002035C9" w:rsidRDefault="002F3182" w:rsidP="002F3182">
      <w:pPr>
        <w:pStyle w:val="Caption"/>
        <w:rPr>
          <w:lang w:val="en-US"/>
        </w:rPr>
      </w:pPr>
      <w:r w:rsidRPr="002035C9">
        <w:t>Table</w:t>
      </w:r>
      <w:r w:rsidRPr="002035C9">
        <w:rPr>
          <w:noProof/>
        </w:rPr>
        <w:t xml:space="preserve"> D</w:t>
      </w:r>
      <w:r w:rsidR="00DD27F8">
        <w:rPr>
          <w:noProof/>
        </w:rPr>
        <w:t>3</w:t>
      </w:r>
      <w:r w:rsidRPr="002035C9">
        <w:rPr>
          <w:noProof/>
        </w:rPr>
        <w:t>.</w:t>
      </w:r>
      <w:r w:rsidRPr="002035C9">
        <w:t xml:space="preserve"> GPS coordinates for the lowest elevation of each transect.</w:t>
      </w:r>
    </w:p>
    <w:tbl>
      <w:tblPr>
        <w:tblW w:w="4957" w:type="dxa"/>
        <w:jc w:val="center"/>
        <w:tblLook w:val="04A0" w:firstRow="1" w:lastRow="0" w:firstColumn="1" w:lastColumn="0" w:noHBand="0" w:noVBand="1"/>
      </w:tblPr>
      <w:tblGrid>
        <w:gridCol w:w="960"/>
        <w:gridCol w:w="1061"/>
        <w:gridCol w:w="1582"/>
        <w:gridCol w:w="1418"/>
      </w:tblGrid>
      <w:tr w:rsidR="002F3182" w:rsidRPr="002035C9" w14:paraId="7D6075AF" w14:textId="77777777" w:rsidTr="005050B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3936F" w14:textId="77777777" w:rsidR="002F3182" w:rsidRPr="002035C9" w:rsidRDefault="002F3182" w:rsidP="005050BB">
            <w:pPr>
              <w:spacing w:before="0" w:after="0" w:line="240" w:lineRule="auto"/>
              <w:jc w:val="center"/>
              <w:rPr>
                <w:rFonts w:cs="Calibri"/>
                <w:b/>
                <w:bCs/>
                <w:kern w:val="0"/>
                <w:szCs w:val="21"/>
                <w:lang w:eastAsia="en-AU"/>
              </w:rPr>
            </w:pPr>
            <w:r w:rsidRPr="002035C9">
              <w:rPr>
                <w:rFonts w:cs="Calibri"/>
                <w:b/>
                <w:bCs/>
                <w:kern w:val="0"/>
                <w:szCs w:val="21"/>
                <w:lang w:eastAsia="en-AU"/>
              </w:rPr>
              <w:t>Reach</w:t>
            </w:r>
          </w:p>
        </w:tc>
        <w:tc>
          <w:tcPr>
            <w:tcW w:w="997" w:type="dxa"/>
            <w:tcBorders>
              <w:top w:val="single" w:sz="4" w:space="0" w:color="auto"/>
              <w:left w:val="nil"/>
              <w:bottom w:val="single" w:sz="4" w:space="0" w:color="auto"/>
              <w:right w:val="single" w:sz="4" w:space="0" w:color="auto"/>
            </w:tcBorders>
            <w:shd w:val="clear" w:color="auto" w:fill="auto"/>
            <w:noWrap/>
            <w:vAlign w:val="bottom"/>
            <w:hideMark/>
          </w:tcPr>
          <w:p w14:paraId="6A6BCF4E" w14:textId="77777777" w:rsidR="002F3182" w:rsidRPr="002035C9" w:rsidRDefault="002F3182" w:rsidP="005050BB">
            <w:pPr>
              <w:spacing w:before="0" w:after="0" w:line="240" w:lineRule="auto"/>
              <w:jc w:val="center"/>
              <w:rPr>
                <w:rFonts w:cs="Calibri"/>
                <w:b/>
                <w:bCs/>
                <w:kern w:val="0"/>
                <w:szCs w:val="21"/>
                <w:lang w:eastAsia="en-AU"/>
              </w:rPr>
            </w:pPr>
            <w:r w:rsidRPr="002035C9">
              <w:rPr>
                <w:rFonts w:cs="Calibri"/>
                <w:b/>
                <w:bCs/>
                <w:kern w:val="0"/>
                <w:szCs w:val="21"/>
                <w:lang w:eastAsia="en-AU"/>
              </w:rPr>
              <w:t>Transect</w:t>
            </w:r>
          </w:p>
        </w:tc>
        <w:tc>
          <w:tcPr>
            <w:tcW w:w="1582" w:type="dxa"/>
            <w:tcBorders>
              <w:top w:val="single" w:sz="4" w:space="0" w:color="auto"/>
              <w:left w:val="nil"/>
              <w:bottom w:val="single" w:sz="4" w:space="0" w:color="auto"/>
              <w:right w:val="single" w:sz="4" w:space="0" w:color="auto"/>
            </w:tcBorders>
            <w:shd w:val="clear" w:color="auto" w:fill="auto"/>
            <w:noWrap/>
            <w:vAlign w:val="bottom"/>
            <w:hideMark/>
          </w:tcPr>
          <w:p w14:paraId="44FCD633" w14:textId="77777777" w:rsidR="002F3182" w:rsidRPr="002035C9" w:rsidRDefault="002F3182" w:rsidP="005050BB">
            <w:pPr>
              <w:spacing w:before="0" w:after="0" w:line="240" w:lineRule="auto"/>
              <w:jc w:val="center"/>
              <w:rPr>
                <w:rFonts w:cs="Calibri"/>
                <w:b/>
                <w:bCs/>
                <w:kern w:val="0"/>
                <w:szCs w:val="21"/>
                <w:lang w:eastAsia="en-AU"/>
              </w:rPr>
            </w:pPr>
            <w:r w:rsidRPr="002035C9">
              <w:rPr>
                <w:rFonts w:cs="Calibri"/>
                <w:b/>
                <w:bCs/>
                <w:kern w:val="0"/>
                <w:szCs w:val="21"/>
                <w:lang w:eastAsia="en-AU"/>
              </w:rPr>
              <w:t>Latitude</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32B24DD3" w14:textId="77777777" w:rsidR="002F3182" w:rsidRPr="002035C9" w:rsidRDefault="002F3182" w:rsidP="005050BB">
            <w:pPr>
              <w:spacing w:before="0" w:after="0" w:line="240" w:lineRule="auto"/>
              <w:jc w:val="center"/>
              <w:rPr>
                <w:rFonts w:cs="Calibri"/>
                <w:b/>
                <w:bCs/>
                <w:kern w:val="0"/>
                <w:szCs w:val="21"/>
                <w:lang w:eastAsia="en-AU"/>
              </w:rPr>
            </w:pPr>
            <w:r w:rsidRPr="002035C9">
              <w:rPr>
                <w:rFonts w:cs="Calibri"/>
                <w:b/>
                <w:bCs/>
                <w:kern w:val="0"/>
                <w:szCs w:val="21"/>
                <w:lang w:eastAsia="en-AU"/>
              </w:rPr>
              <w:t>Longitude</w:t>
            </w:r>
          </w:p>
        </w:tc>
      </w:tr>
      <w:tr w:rsidR="002F3182" w:rsidRPr="002035C9" w14:paraId="2FDF3BB6"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8FB933"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3CC0D8D5"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4D4B2E3B"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-34.479019</w:t>
            </w:r>
          </w:p>
        </w:tc>
        <w:tc>
          <w:tcPr>
            <w:tcW w:w="1418" w:type="dxa"/>
            <w:tcBorders>
              <w:top w:val="nil"/>
              <w:left w:val="nil"/>
              <w:bottom w:val="single" w:sz="4" w:space="0" w:color="auto"/>
              <w:right w:val="single" w:sz="4" w:space="0" w:color="auto"/>
            </w:tcBorders>
            <w:shd w:val="clear" w:color="auto" w:fill="auto"/>
            <w:noWrap/>
            <w:vAlign w:val="bottom"/>
            <w:hideMark/>
          </w:tcPr>
          <w:p w14:paraId="583978E1"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139.596311</w:t>
            </w:r>
          </w:p>
        </w:tc>
      </w:tr>
      <w:tr w:rsidR="002F3182" w:rsidRPr="002035C9" w14:paraId="58C16274"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028525"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55BA8F9E"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71247C8F"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-34.477575</w:t>
            </w:r>
          </w:p>
        </w:tc>
        <w:tc>
          <w:tcPr>
            <w:tcW w:w="1418" w:type="dxa"/>
            <w:tcBorders>
              <w:top w:val="nil"/>
              <w:left w:val="nil"/>
              <w:bottom w:val="single" w:sz="4" w:space="0" w:color="auto"/>
              <w:right w:val="single" w:sz="4" w:space="0" w:color="auto"/>
            </w:tcBorders>
            <w:shd w:val="clear" w:color="auto" w:fill="auto"/>
            <w:noWrap/>
            <w:vAlign w:val="bottom"/>
            <w:hideMark/>
          </w:tcPr>
          <w:p w14:paraId="1FCB63D3"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139.598798</w:t>
            </w:r>
          </w:p>
        </w:tc>
      </w:tr>
      <w:tr w:rsidR="002F3182" w:rsidRPr="002035C9" w14:paraId="26733AEF"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EADCF4"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062B23D5"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400A55C8"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-34.446681</w:t>
            </w:r>
          </w:p>
        </w:tc>
        <w:tc>
          <w:tcPr>
            <w:tcW w:w="1418" w:type="dxa"/>
            <w:tcBorders>
              <w:top w:val="nil"/>
              <w:left w:val="nil"/>
              <w:bottom w:val="single" w:sz="4" w:space="0" w:color="auto"/>
              <w:right w:val="single" w:sz="4" w:space="0" w:color="auto"/>
            </w:tcBorders>
            <w:shd w:val="clear" w:color="auto" w:fill="auto"/>
            <w:noWrap/>
            <w:vAlign w:val="bottom"/>
            <w:hideMark/>
          </w:tcPr>
          <w:p w14:paraId="6789A45C"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139.609714</w:t>
            </w:r>
          </w:p>
        </w:tc>
      </w:tr>
      <w:tr w:rsidR="002F3182" w:rsidRPr="002035C9" w14:paraId="00B82074"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A8B0AD"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3B8EAC1F"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6B6E01D8"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-34.419635</w:t>
            </w:r>
          </w:p>
        </w:tc>
        <w:tc>
          <w:tcPr>
            <w:tcW w:w="1418" w:type="dxa"/>
            <w:tcBorders>
              <w:top w:val="nil"/>
              <w:left w:val="nil"/>
              <w:bottom w:val="single" w:sz="4" w:space="0" w:color="auto"/>
              <w:right w:val="single" w:sz="4" w:space="0" w:color="auto"/>
            </w:tcBorders>
            <w:shd w:val="clear" w:color="auto" w:fill="auto"/>
            <w:noWrap/>
            <w:vAlign w:val="bottom"/>
            <w:hideMark/>
          </w:tcPr>
          <w:p w14:paraId="76499A7A"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139.613482</w:t>
            </w:r>
          </w:p>
        </w:tc>
      </w:tr>
      <w:tr w:rsidR="002F3182" w:rsidRPr="002035C9" w14:paraId="5AD05D23"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C1A56F"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49F45C01"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3E7A7F0C"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-34.41855</w:t>
            </w:r>
          </w:p>
        </w:tc>
        <w:tc>
          <w:tcPr>
            <w:tcW w:w="1418" w:type="dxa"/>
            <w:tcBorders>
              <w:top w:val="nil"/>
              <w:left w:val="nil"/>
              <w:bottom w:val="single" w:sz="4" w:space="0" w:color="auto"/>
              <w:right w:val="single" w:sz="4" w:space="0" w:color="auto"/>
            </w:tcBorders>
            <w:shd w:val="clear" w:color="auto" w:fill="auto"/>
            <w:noWrap/>
            <w:vAlign w:val="bottom"/>
            <w:hideMark/>
          </w:tcPr>
          <w:p w14:paraId="7C68C812"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139.61395</w:t>
            </w:r>
          </w:p>
        </w:tc>
      </w:tr>
      <w:tr w:rsidR="002F3182" w:rsidRPr="002035C9" w14:paraId="7170B347"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91F8A3"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1</w:t>
            </w:r>
          </w:p>
        </w:tc>
        <w:tc>
          <w:tcPr>
            <w:tcW w:w="997" w:type="dxa"/>
            <w:tcBorders>
              <w:top w:val="nil"/>
              <w:left w:val="nil"/>
              <w:bottom w:val="single" w:sz="4" w:space="0" w:color="auto"/>
              <w:right w:val="single" w:sz="4" w:space="0" w:color="auto"/>
            </w:tcBorders>
            <w:shd w:val="clear" w:color="auto" w:fill="auto"/>
            <w:noWrap/>
            <w:vAlign w:val="bottom"/>
            <w:hideMark/>
          </w:tcPr>
          <w:p w14:paraId="28FC2E6D"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6D8DE1B0"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-34.391968</w:t>
            </w:r>
          </w:p>
        </w:tc>
        <w:tc>
          <w:tcPr>
            <w:tcW w:w="1418" w:type="dxa"/>
            <w:tcBorders>
              <w:top w:val="nil"/>
              <w:left w:val="nil"/>
              <w:bottom w:val="single" w:sz="4" w:space="0" w:color="auto"/>
              <w:right w:val="single" w:sz="4" w:space="0" w:color="auto"/>
            </w:tcBorders>
            <w:shd w:val="clear" w:color="auto" w:fill="auto"/>
            <w:noWrap/>
            <w:vAlign w:val="bottom"/>
            <w:hideMark/>
          </w:tcPr>
          <w:p w14:paraId="771811D3"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139.619028</w:t>
            </w:r>
          </w:p>
        </w:tc>
      </w:tr>
      <w:tr w:rsidR="002F3182" w:rsidRPr="002035C9" w14:paraId="293EF103"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9A8CBA"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43157EA2"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2AA7D622"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-34.361848</w:t>
            </w:r>
          </w:p>
        </w:tc>
        <w:tc>
          <w:tcPr>
            <w:tcW w:w="1418" w:type="dxa"/>
            <w:tcBorders>
              <w:top w:val="nil"/>
              <w:left w:val="nil"/>
              <w:bottom w:val="single" w:sz="4" w:space="0" w:color="auto"/>
              <w:right w:val="single" w:sz="4" w:space="0" w:color="auto"/>
            </w:tcBorders>
            <w:shd w:val="clear" w:color="auto" w:fill="auto"/>
            <w:noWrap/>
            <w:vAlign w:val="bottom"/>
            <w:hideMark/>
          </w:tcPr>
          <w:p w14:paraId="03CEA28F"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140.565262</w:t>
            </w:r>
          </w:p>
        </w:tc>
      </w:tr>
      <w:tr w:rsidR="002F3182" w:rsidRPr="002035C9" w14:paraId="6B6B44B3"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B0C83E"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0EFEEFA8"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653CC0B1"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-34.355854</w:t>
            </w:r>
          </w:p>
        </w:tc>
        <w:tc>
          <w:tcPr>
            <w:tcW w:w="1418" w:type="dxa"/>
            <w:tcBorders>
              <w:top w:val="nil"/>
              <w:left w:val="nil"/>
              <w:bottom w:val="single" w:sz="4" w:space="0" w:color="auto"/>
              <w:right w:val="single" w:sz="4" w:space="0" w:color="auto"/>
            </w:tcBorders>
            <w:shd w:val="clear" w:color="auto" w:fill="auto"/>
            <w:noWrap/>
            <w:vAlign w:val="bottom"/>
            <w:hideMark/>
          </w:tcPr>
          <w:p w14:paraId="66B93D23"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140.576385</w:t>
            </w:r>
          </w:p>
        </w:tc>
      </w:tr>
      <w:tr w:rsidR="002F3182" w:rsidRPr="002035C9" w14:paraId="1116E79D"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3770D4"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22F03AC7"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750B9BE3"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-34.355763</w:t>
            </w:r>
          </w:p>
        </w:tc>
        <w:tc>
          <w:tcPr>
            <w:tcW w:w="1418" w:type="dxa"/>
            <w:tcBorders>
              <w:top w:val="nil"/>
              <w:left w:val="nil"/>
              <w:bottom w:val="single" w:sz="4" w:space="0" w:color="auto"/>
              <w:right w:val="single" w:sz="4" w:space="0" w:color="auto"/>
            </w:tcBorders>
            <w:shd w:val="clear" w:color="auto" w:fill="auto"/>
            <w:noWrap/>
            <w:vAlign w:val="bottom"/>
            <w:hideMark/>
          </w:tcPr>
          <w:p w14:paraId="59684B20"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140.568069</w:t>
            </w:r>
          </w:p>
        </w:tc>
      </w:tr>
      <w:tr w:rsidR="002F3182" w:rsidRPr="002035C9" w14:paraId="5FFDD551"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6C03579"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06D028B8"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7AB6D270"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-34.350657</w:t>
            </w:r>
          </w:p>
        </w:tc>
        <w:tc>
          <w:tcPr>
            <w:tcW w:w="1418" w:type="dxa"/>
            <w:tcBorders>
              <w:top w:val="nil"/>
              <w:left w:val="nil"/>
              <w:bottom w:val="single" w:sz="4" w:space="0" w:color="auto"/>
              <w:right w:val="single" w:sz="4" w:space="0" w:color="auto"/>
            </w:tcBorders>
            <w:shd w:val="clear" w:color="auto" w:fill="auto"/>
            <w:noWrap/>
            <w:vAlign w:val="bottom"/>
            <w:hideMark/>
          </w:tcPr>
          <w:p w14:paraId="52B40A59"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140.562584</w:t>
            </w:r>
          </w:p>
        </w:tc>
      </w:tr>
      <w:tr w:rsidR="002F3182" w:rsidRPr="002035C9" w14:paraId="085ED1D0"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ED6E3A"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5AAA6CD4"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571DDEFA"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-34.343043</w:t>
            </w:r>
          </w:p>
        </w:tc>
        <w:tc>
          <w:tcPr>
            <w:tcW w:w="1418" w:type="dxa"/>
            <w:tcBorders>
              <w:top w:val="nil"/>
              <w:left w:val="nil"/>
              <w:bottom w:val="single" w:sz="4" w:space="0" w:color="auto"/>
              <w:right w:val="single" w:sz="4" w:space="0" w:color="auto"/>
            </w:tcBorders>
            <w:shd w:val="clear" w:color="auto" w:fill="auto"/>
            <w:noWrap/>
            <w:vAlign w:val="bottom"/>
            <w:hideMark/>
          </w:tcPr>
          <w:p w14:paraId="2FFFEE1E"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140.553056</w:t>
            </w:r>
          </w:p>
        </w:tc>
      </w:tr>
      <w:tr w:rsidR="002F3182" w:rsidRPr="002035C9" w14:paraId="56CAEB87"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A3D508"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4</w:t>
            </w:r>
          </w:p>
        </w:tc>
        <w:tc>
          <w:tcPr>
            <w:tcW w:w="997" w:type="dxa"/>
            <w:tcBorders>
              <w:top w:val="nil"/>
              <w:left w:val="nil"/>
              <w:bottom w:val="single" w:sz="4" w:space="0" w:color="auto"/>
              <w:right w:val="single" w:sz="4" w:space="0" w:color="auto"/>
            </w:tcBorders>
            <w:shd w:val="clear" w:color="auto" w:fill="auto"/>
            <w:noWrap/>
            <w:vAlign w:val="bottom"/>
            <w:hideMark/>
          </w:tcPr>
          <w:p w14:paraId="00305DCA"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5A8AC59B"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-34.342492</w:t>
            </w:r>
          </w:p>
        </w:tc>
        <w:tc>
          <w:tcPr>
            <w:tcW w:w="1418" w:type="dxa"/>
            <w:tcBorders>
              <w:top w:val="nil"/>
              <w:left w:val="nil"/>
              <w:bottom w:val="single" w:sz="4" w:space="0" w:color="auto"/>
              <w:right w:val="single" w:sz="4" w:space="0" w:color="auto"/>
            </w:tcBorders>
            <w:shd w:val="clear" w:color="auto" w:fill="auto"/>
            <w:noWrap/>
            <w:vAlign w:val="bottom"/>
            <w:hideMark/>
          </w:tcPr>
          <w:p w14:paraId="18CBA022"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140.554519</w:t>
            </w:r>
          </w:p>
        </w:tc>
      </w:tr>
      <w:tr w:rsidR="002F3182" w:rsidRPr="002035C9" w14:paraId="38E6ECA5"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BA7634"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295592C4"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w:t>
            </w:r>
          </w:p>
        </w:tc>
        <w:tc>
          <w:tcPr>
            <w:tcW w:w="1582" w:type="dxa"/>
            <w:tcBorders>
              <w:top w:val="nil"/>
              <w:left w:val="nil"/>
              <w:bottom w:val="single" w:sz="4" w:space="0" w:color="auto"/>
              <w:right w:val="single" w:sz="4" w:space="0" w:color="auto"/>
            </w:tcBorders>
            <w:shd w:val="clear" w:color="auto" w:fill="auto"/>
            <w:noWrap/>
            <w:vAlign w:val="bottom"/>
            <w:hideMark/>
          </w:tcPr>
          <w:p w14:paraId="52EC35EE"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-34.021533</w:t>
            </w:r>
          </w:p>
        </w:tc>
        <w:tc>
          <w:tcPr>
            <w:tcW w:w="1418" w:type="dxa"/>
            <w:tcBorders>
              <w:top w:val="nil"/>
              <w:left w:val="nil"/>
              <w:bottom w:val="single" w:sz="4" w:space="0" w:color="auto"/>
              <w:right w:val="single" w:sz="4" w:space="0" w:color="auto"/>
            </w:tcBorders>
            <w:shd w:val="clear" w:color="auto" w:fill="auto"/>
            <w:noWrap/>
            <w:vAlign w:val="bottom"/>
            <w:hideMark/>
          </w:tcPr>
          <w:p w14:paraId="4ADDC54D"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140.867416</w:t>
            </w:r>
          </w:p>
        </w:tc>
      </w:tr>
      <w:tr w:rsidR="002F3182" w:rsidRPr="002035C9" w14:paraId="08CADCC5"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114F56"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491D3E1B"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2</w:t>
            </w:r>
          </w:p>
        </w:tc>
        <w:tc>
          <w:tcPr>
            <w:tcW w:w="1582" w:type="dxa"/>
            <w:tcBorders>
              <w:top w:val="nil"/>
              <w:left w:val="nil"/>
              <w:bottom w:val="single" w:sz="4" w:space="0" w:color="auto"/>
              <w:right w:val="single" w:sz="4" w:space="0" w:color="auto"/>
            </w:tcBorders>
            <w:shd w:val="clear" w:color="auto" w:fill="auto"/>
            <w:noWrap/>
            <w:vAlign w:val="bottom"/>
            <w:hideMark/>
          </w:tcPr>
          <w:p w14:paraId="01E45D91"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-34.01918</w:t>
            </w:r>
          </w:p>
        </w:tc>
        <w:tc>
          <w:tcPr>
            <w:tcW w:w="1418" w:type="dxa"/>
            <w:tcBorders>
              <w:top w:val="nil"/>
              <w:left w:val="nil"/>
              <w:bottom w:val="single" w:sz="4" w:space="0" w:color="auto"/>
              <w:right w:val="single" w:sz="4" w:space="0" w:color="auto"/>
            </w:tcBorders>
            <w:shd w:val="clear" w:color="auto" w:fill="auto"/>
            <w:noWrap/>
            <w:vAlign w:val="bottom"/>
            <w:hideMark/>
          </w:tcPr>
          <w:p w14:paraId="30E6294B"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140.876627</w:t>
            </w:r>
          </w:p>
        </w:tc>
      </w:tr>
      <w:tr w:rsidR="002F3182" w:rsidRPr="002035C9" w14:paraId="3B4484C3"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8436B9"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10344A26"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w:t>
            </w:r>
          </w:p>
        </w:tc>
        <w:tc>
          <w:tcPr>
            <w:tcW w:w="1582" w:type="dxa"/>
            <w:tcBorders>
              <w:top w:val="nil"/>
              <w:left w:val="nil"/>
              <w:bottom w:val="single" w:sz="4" w:space="0" w:color="auto"/>
              <w:right w:val="single" w:sz="4" w:space="0" w:color="auto"/>
            </w:tcBorders>
            <w:shd w:val="clear" w:color="auto" w:fill="auto"/>
            <w:noWrap/>
            <w:vAlign w:val="bottom"/>
            <w:hideMark/>
          </w:tcPr>
          <w:p w14:paraId="410D5FB5"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-34.016288</w:t>
            </w:r>
          </w:p>
        </w:tc>
        <w:tc>
          <w:tcPr>
            <w:tcW w:w="1418" w:type="dxa"/>
            <w:tcBorders>
              <w:top w:val="nil"/>
              <w:left w:val="nil"/>
              <w:bottom w:val="single" w:sz="4" w:space="0" w:color="auto"/>
              <w:right w:val="single" w:sz="4" w:space="0" w:color="auto"/>
            </w:tcBorders>
            <w:shd w:val="clear" w:color="auto" w:fill="auto"/>
            <w:noWrap/>
            <w:vAlign w:val="bottom"/>
            <w:hideMark/>
          </w:tcPr>
          <w:p w14:paraId="391D7CAB"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140.88713</w:t>
            </w:r>
          </w:p>
        </w:tc>
      </w:tr>
      <w:tr w:rsidR="002F3182" w:rsidRPr="002035C9" w14:paraId="0AFC733F"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A6021C"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51ABBAC5"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4</w:t>
            </w:r>
          </w:p>
        </w:tc>
        <w:tc>
          <w:tcPr>
            <w:tcW w:w="1582" w:type="dxa"/>
            <w:tcBorders>
              <w:top w:val="nil"/>
              <w:left w:val="nil"/>
              <w:bottom w:val="single" w:sz="4" w:space="0" w:color="auto"/>
              <w:right w:val="single" w:sz="4" w:space="0" w:color="auto"/>
            </w:tcBorders>
            <w:shd w:val="clear" w:color="auto" w:fill="auto"/>
            <w:noWrap/>
            <w:vAlign w:val="bottom"/>
            <w:hideMark/>
          </w:tcPr>
          <w:p w14:paraId="44290629"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-33.997601</w:t>
            </w:r>
          </w:p>
        </w:tc>
        <w:tc>
          <w:tcPr>
            <w:tcW w:w="1418" w:type="dxa"/>
            <w:tcBorders>
              <w:top w:val="nil"/>
              <w:left w:val="nil"/>
              <w:bottom w:val="single" w:sz="4" w:space="0" w:color="auto"/>
              <w:right w:val="single" w:sz="4" w:space="0" w:color="auto"/>
            </w:tcBorders>
            <w:shd w:val="clear" w:color="auto" w:fill="auto"/>
            <w:noWrap/>
            <w:vAlign w:val="bottom"/>
            <w:hideMark/>
          </w:tcPr>
          <w:p w14:paraId="74DE30A0"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140.879789</w:t>
            </w:r>
          </w:p>
        </w:tc>
      </w:tr>
      <w:tr w:rsidR="002F3182" w:rsidRPr="002035C9" w14:paraId="3502DD60"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DDFAF3"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0BF10590"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5</w:t>
            </w:r>
          </w:p>
        </w:tc>
        <w:tc>
          <w:tcPr>
            <w:tcW w:w="1582" w:type="dxa"/>
            <w:tcBorders>
              <w:top w:val="nil"/>
              <w:left w:val="nil"/>
              <w:bottom w:val="single" w:sz="4" w:space="0" w:color="auto"/>
              <w:right w:val="single" w:sz="4" w:space="0" w:color="auto"/>
            </w:tcBorders>
            <w:shd w:val="clear" w:color="auto" w:fill="auto"/>
            <w:noWrap/>
            <w:vAlign w:val="bottom"/>
            <w:hideMark/>
          </w:tcPr>
          <w:p w14:paraId="386F0B27"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-33.995581</w:t>
            </w:r>
          </w:p>
        </w:tc>
        <w:tc>
          <w:tcPr>
            <w:tcW w:w="1418" w:type="dxa"/>
            <w:tcBorders>
              <w:top w:val="nil"/>
              <w:left w:val="nil"/>
              <w:bottom w:val="single" w:sz="4" w:space="0" w:color="auto"/>
              <w:right w:val="single" w:sz="4" w:space="0" w:color="auto"/>
            </w:tcBorders>
            <w:shd w:val="clear" w:color="auto" w:fill="auto"/>
            <w:noWrap/>
            <w:vAlign w:val="bottom"/>
            <w:hideMark/>
          </w:tcPr>
          <w:p w14:paraId="170BA698"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140.880611</w:t>
            </w:r>
          </w:p>
        </w:tc>
      </w:tr>
      <w:tr w:rsidR="002F3182" w:rsidRPr="002035C9" w14:paraId="258E9BF9" w14:textId="77777777" w:rsidTr="005050B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F382A4" w14:textId="77777777" w:rsidR="002F3182" w:rsidRPr="002035C9" w:rsidRDefault="002F3182" w:rsidP="005050BB">
            <w:pPr>
              <w:spacing w:before="0" w:after="0" w:line="240" w:lineRule="auto"/>
              <w:jc w:val="left"/>
              <w:rPr>
                <w:rFonts w:cs="Calibri"/>
                <w:kern w:val="0"/>
                <w:szCs w:val="21"/>
                <w:lang w:eastAsia="en-AU"/>
              </w:rPr>
            </w:pPr>
            <w:r w:rsidRPr="002035C9">
              <w:rPr>
                <w:rFonts w:cs="Calibri"/>
                <w:kern w:val="0"/>
                <w:szCs w:val="21"/>
                <w:lang w:eastAsia="en-AU"/>
              </w:rPr>
              <w:t>Lock 6</w:t>
            </w:r>
          </w:p>
        </w:tc>
        <w:tc>
          <w:tcPr>
            <w:tcW w:w="997" w:type="dxa"/>
            <w:tcBorders>
              <w:top w:val="nil"/>
              <w:left w:val="nil"/>
              <w:bottom w:val="single" w:sz="4" w:space="0" w:color="auto"/>
              <w:right w:val="single" w:sz="4" w:space="0" w:color="auto"/>
            </w:tcBorders>
            <w:shd w:val="clear" w:color="auto" w:fill="auto"/>
            <w:noWrap/>
            <w:vAlign w:val="bottom"/>
            <w:hideMark/>
          </w:tcPr>
          <w:p w14:paraId="1DE7B475"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6</w:t>
            </w:r>
          </w:p>
        </w:tc>
        <w:tc>
          <w:tcPr>
            <w:tcW w:w="1582" w:type="dxa"/>
            <w:tcBorders>
              <w:top w:val="nil"/>
              <w:left w:val="nil"/>
              <w:bottom w:val="single" w:sz="4" w:space="0" w:color="auto"/>
              <w:right w:val="single" w:sz="4" w:space="0" w:color="auto"/>
            </w:tcBorders>
            <w:shd w:val="clear" w:color="auto" w:fill="auto"/>
            <w:noWrap/>
            <w:vAlign w:val="bottom"/>
            <w:hideMark/>
          </w:tcPr>
          <w:p w14:paraId="5D02AF0A"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-33.994623</w:t>
            </w:r>
          </w:p>
        </w:tc>
        <w:tc>
          <w:tcPr>
            <w:tcW w:w="1418" w:type="dxa"/>
            <w:tcBorders>
              <w:top w:val="nil"/>
              <w:left w:val="nil"/>
              <w:bottom w:val="single" w:sz="4" w:space="0" w:color="auto"/>
              <w:right w:val="single" w:sz="4" w:space="0" w:color="auto"/>
            </w:tcBorders>
            <w:shd w:val="clear" w:color="auto" w:fill="auto"/>
            <w:noWrap/>
            <w:vAlign w:val="bottom"/>
            <w:hideMark/>
          </w:tcPr>
          <w:p w14:paraId="4B01F7DC" w14:textId="77777777" w:rsidR="002F3182" w:rsidRPr="002035C9" w:rsidRDefault="002F3182" w:rsidP="005050BB">
            <w:pPr>
              <w:spacing w:before="0" w:after="0" w:line="240" w:lineRule="auto"/>
              <w:jc w:val="center"/>
              <w:rPr>
                <w:rFonts w:cs="Calibri"/>
                <w:kern w:val="0"/>
                <w:szCs w:val="21"/>
                <w:lang w:eastAsia="en-AU"/>
              </w:rPr>
            </w:pPr>
            <w:r w:rsidRPr="002035C9">
              <w:rPr>
                <w:rFonts w:cs="Calibri"/>
                <w:kern w:val="0"/>
                <w:szCs w:val="21"/>
                <w:lang w:eastAsia="en-AU"/>
              </w:rPr>
              <w:t>140.882183</w:t>
            </w:r>
          </w:p>
        </w:tc>
      </w:tr>
    </w:tbl>
    <w:p w14:paraId="570000C8" w14:textId="77777777" w:rsidR="002F3182" w:rsidRDefault="002F3182" w:rsidP="002F3182">
      <w:pPr>
        <w:sectPr w:rsidR="002F3182" w:rsidSect="005050BB">
          <w:pgSz w:w="11906" w:h="16838"/>
          <w:pgMar w:top="1440" w:right="1440" w:bottom="1440" w:left="1440" w:header="709" w:footer="709" w:gutter="0"/>
          <w:cols w:space="708"/>
          <w:docGrid w:linePitch="360"/>
        </w:sectPr>
      </w:pPr>
    </w:p>
    <w:p w14:paraId="362AEC92" w14:textId="5210B01A" w:rsidR="002F3182" w:rsidRDefault="002F3182" w:rsidP="002F3182">
      <w:pPr>
        <w:pStyle w:val="Caption"/>
      </w:pPr>
      <w:r w:rsidRPr="00CC5B54">
        <w:t>Table D</w:t>
      </w:r>
      <w:r w:rsidR="00DD27F8">
        <w:t>4</w:t>
      </w:r>
      <w:r w:rsidRPr="00CC5B54">
        <w:t>. Species list, functional classification, life history strategy, conservation status</w:t>
      </w:r>
      <w:r>
        <w:t xml:space="preserve"> recorded in the February 2021 monitoring</w:t>
      </w:r>
      <w:r w:rsidRPr="00CC5B54">
        <w:t xml:space="preserve"> (state conservation status from listings in Barker </w:t>
      </w:r>
      <w:r w:rsidRPr="00CC5B54">
        <w:rPr>
          <w:i/>
          <w:iCs/>
        </w:rPr>
        <w:t>et al.</w:t>
      </w:r>
      <w:r w:rsidRPr="00CC5B54">
        <w:t xml:space="preserve"> (2005) (*denotes exotic species, **denotes proclaimed pest plant in South Australia). </w:t>
      </w:r>
    </w:p>
    <w:tbl>
      <w:tblPr>
        <w:tblW w:w="13370" w:type="dxa"/>
        <w:tblLook w:val="04A0" w:firstRow="1" w:lastRow="0" w:firstColumn="1" w:lastColumn="0" w:noHBand="0" w:noVBand="1"/>
      </w:tblPr>
      <w:tblGrid>
        <w:gridCol w:w="3539"/>
        <w:gridCol w:w="2100"/>
        <w:gridCol w:w="2575"/>
        <w:gridCol w:w="3296"/>
        <w:gridCol w:w="1860"/>
      </w:tblGrid>
      <w:tr w:rsidR="002F3182" w:rsidRPr="00AE5357" w14:paraId="2138FC67" w14:textId="77777777" w:rsidTr="005050BB">
        <w:trPr>
          <w:trHeight w:val="300"/>
          <w:tblHeader/>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276CE" w14:textId="77777777" w:rsidR="002F3182" w:rsidRPr="00AE5357" w:rsidRDefault="002F3182" w:rsidP="005050BB">
            <w:pPr>
              <w:spacing w:before="0" w:after="0" w:line="240" w:lineRule="auto"/>
              <w:jc w:val="center"/>
              <w:rPr>
                <w:rFonts w:cs="Calibri"/>
                <w:b/>
                <w:bCs/>
                <w:kern w:val="0"/>
                <w:sz w:val="19"/>
                <w:szCs w:val="19"/>
                <w:lang w:eastAsia="en-AU"/>
              </w:rPr>
            </w:pPr>
            <w:r w:rsidRPr="00AE5357">
              <w:rPr>
                <w:rFonts w:cs="Calibri"/>
                <w:b/>
                <w:bCs/>
                <w:kern w:val="0"/>
                <w:sz w:val="19"/>
                <w:szCs w:val="19"/>
                <w:lang w:eastAsia="en-AU"/>
              </w:rPr>
              <w:t>Species</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A54878A" w14:textId="77777777" w:rsidR="002F3182" w:rsidRPr="00AE5357" w:rsidRDefault="002F3182" w:rsidP="005050BB">
            <w:pPr>
              <w:spacing w:before="0" w:after="0" w:line="240" w:lineRule="auto"/>
              <w:jc w:val="center"/>
              <w:rPr>
                <w:rFonts w:cs="Calibri"/>
                <w:b/>
                <w:bCs/>
                <w:kern w:val="0"/>
                <w:sz w:val="19"/>
                <w:szCs w:val="19"/>
                <w:lang w:eastAsia="en-AU"/>
              </w:rPr>
            </w:pPr>
            <w:r w:rsidRPr="00AE5357">
              <w:rPr>
                <w:rFonts w:cs="Calibri"/>
                <w:b/>
                <w:bCs/>
                <w:kern w:val="0"/>
                <w:sz w:val="19"/>
                <w:szCs w:val="19"/>
                <w:lang w:eastAsia="en-AU"/>
              </w:rPr>
              <w:t>Family</w:t>
            </w:r>
          </w:p>
        </w:tc>
        <w:tc>
          <w:tcPr>
            <w:tcW w:w="2575" w:type="dxa"/>
            <w:tcBorders>
              <w:top w:val="single" w:sz="4" w:space="0" w:color="auto"/>
              <w:left w:val="nil"/>
              <w:bottom w:val="single" w:sz="4" w:space="0" w:color="auto"/>
              <w:right w:val="single" w:sz="4" w:space="0" w:color="auto"/>
            </w:tcBorders>
            <w:shd w:val="clear" w:color="auto" w:fill="auto"/>
            <w:noWrap/>
            <w:vAlign w:val="bottom"/>
            <w:hideMark/>
          </w:tcPr>
          <w:p w14:paraId="47E096A5" w14:textId="77777777" w:rsidR="002F3182" w:rsidRPr="00AE5357" w:rsidRDefault="002F3182" w:rsidP="005050BB">
            <w:pPr>
              <w:spacing w:before="0" w:after="0" w:line="240" w:lineRule="auto"/>
              <w:jc w:val="center"/>
              <w:rPr>
                <w:rFonts w:cs="Calibri"/>
                <w:b/>
                <w:bCs/>
                <w:kern w:val="0"/>
                <w:sz w:val="19"/>
                <w:szCs w:val="19"/>
                <w:lang w:eastAsia="en-AU"/>
              </w:rPr>
            </w:pPr>
            <w:r w:rsidRPr="00AE5357">
              <w:rPr>
                <w:rFonts w:cs="Calibri"/>
                <w:b/>
                <w:bCs/>
                <w:kern w:val="0"/>
                <w:sz w:val="19"/>
                <w:szCs w:val="19"/>
                <w:lang w:eastAsia="en-AU"/>
              </w:rPr>
              <w:t>Status</w:t>
            </w:r>
          </w:p>
        </w:tc>
        <w:tc>
          <w:tcPr>
            <w:tcW w:w="3296" w:type="dxa"/>
            <w:tcBorders>
              <w:top w:val="single" w:sz="4" w:space="0" w:color="auto"/>
              <w:left w:val="nil"/>
              <w:bottom w:val="single" w:sz="4" w:space="0" w:color="auto"/>
              <w:right w:val="single" w:sz="4" w:space="0" w:color="auto"/>
            </w:tcBorders>
            <w:shd w:val="clear" w:color="auto" w:fill="auto"/>
            <w:noWrap/>
            <w:vAlign w:val="bottom"/>
            <w:hideMark/>
          </w:tcPr>
          <w:p w14:paraId="0E0005CC" w14:textId="77777777" w:rsidR="002F3182" w:rsidRPr="00AE5357" w:rsidRDefault="002F3182" w:rsidP="005050BB">
            <w:pPr>
              <w:spacing w:before="0" w:after="0" w:line="240" w:lineRule="auto"/>
              <w:jc w:val="center"/>
              <w:rPr>
                <w:rFonts w:cs="Calibri"/>
                <w:b/>
                <w:bCs/>
                <w:kern w:val="0"/>
                <w:sz w:val="19"/>
                <w:szCs w:val="19"/>
                <w:lang w:eastAsia="en-AU"/>
              </w:rPr>
            </w:pPr>
            <w:r w:rsidRPr="00AE5357">
              <w:rPr>
                <w:rFonts w:cs="Calibri"/>
                <w:b/>
                <w:bCs/>
                <w:kern w:val="0"/>
                <w:sz w:val="19"/>
                <w:szCs w:val="19"/>
                <w:lang w:eastAsia="en-AU"/>
              </w:rPr>
              <w:t>Life history strategy/growth form</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14:paraId="31EB0C05" w14:textId="77777777" w:rsidR="002F3182" w:rsidRPr="00AE5357" w:rsidRDefault="002F3182" w:rsidP="005050BB">
            <w:pPr>
              <w:spacing w:before="0" w:after="0" w:line="240" w:lineRule="auto"/>
              <w:jc w:val="center"/>
              <w:rPr>
                <w:rFonts w:cs="Calibri"/>
                <w:b/>
                <w:bCs/>
                <w:kern w:val="0"/>
                <w:sz w:val="19"/>
                <w:szCs w:val="19"/>
                <w:lang w:eastAsia="en-AU"/>
              </w:rPr>
            </w:pPr>
            <w:r w:rsidRPr="00AE5357">
              <w:rPr>
                <w:rFonts w:cs="Calibri"/>
                <w:b/>
                <w:bCs/>
                <w:kern w:val="0"/>
                <w:sz w:val="19"/>
                <w:szCs w:val="19"/>
                <w:lang w:eastAsia="en-AU"/>
              </w:rPr>
              <w:t>Functional Group</w:t>
            </w:r>
          </w:p>
        </w:tc>
      </w:tr>
      <w:tr w:rsidR="002F3182" w:rsidRPr="00AE5357" w14:paraId="7791F36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237B41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Alternanthera denticulata</w:t>
            </w:r>
          </w:p>
        </w:tc>
        <w:tc>
          <w:tcPr>
            <w:tcW w:w="2100" w:type="dxa"/>
            <w:tcBorders>
              <w:top w:val="nil"/>
              <w:left w:val="nil"/>
              <w:bottom w:val="single" w:sz="4" w:space="0" w:color="auto"/>
              <w:right w:val="single" w:sz="4" w:space="0" w:color="auto"/>
            </w:tcBorders>
            <w:shd w:val="clear" w:color="auto" w:fill="auto"/>
            <w:noWrap/>
            <w:vAlign w:val="bottom"/>
            <w:hideMark/>
          </w:tcPr>
          <w:p w14:paraId="4E03AFF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Amaranthaceae</w:t>
            </w:r>
          </w:p>
        </w:tc>
        <w:tc>
          <w:tcPr>
            <w:tcW w:w="2575" w:type="dxa"/>
            <w:tcBorders>
              <w:top w:val="nil"/>
              <w:left w:val="nil"/>
              <w:bottom w:val="single" w:sz="4" w:space="0" w:color="auto"/>
              <w:right w:val="single" w:sz="4" w:space="0" w:color="auto"/>
            </w:tcBorders>
            <w:shd w:val="clear" w:color="auto" w:fill="auto"/>
            <w:noWrap/>
            <w:vAlign w:val="bottom"/>
            <w:hideMark/>
          </w:tcPr>
          <w:p w14:paraId="7E817A2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8372C1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7A2473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4B3678A2"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534612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Ammannia multiflora</w:t>
            </w:r>
          </w:p>
        </w:tc>
        <w:tc>
          <w:tcPr>
            <w:tcW w:w="2100" w:type="dxa"/>
            <w:tcBorders>
              <w:top w:val="nil"/>
              <w:left w:val="nil"/>
              <w:bottom w:val="single" w:sz="4" w:space="0" w:color="auto"/>
              <w:right w:val="single" w:sz="4" w:space="0" w:color="auto"/>
            </w:tcBorders>
            <w:shd w:val="clear" w:color="auto" w:fill="auto"/>
            <w:noWrap/>
            <w:vAlign w:val="bottom"/>
            <w:hideMark/>
          </w:tcPr>
          <w:p w14:paraId="35801D2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Lythraceae</w:t>
            </w:r>
          </w:p>
        </w:tc>
        <w:tc>
          <w:tcPr>
            <w:tcW w:w="2575" w:type="dxa"/>
            <w:tcBorders>
              <w:top w:val="nil"/>
              <w:left w:val="nil"/>
              <w:bottom w:val="single" w:sz="4" w:space="0" w:color="auto"/>
              <w:right w:val="single" w:sz="4" w:space="0" w:color="auto"/>
            </w:tcBorders>
            <w:shd w:val="clear" w:color="auto" w:fill="auto"/>
            <w:noWrap/>
            <w:vAlign w:val="bottom"/>
            <w:hideMark/>
          </w:tcPr>
          <w:p w14:paraId="0EEBA1B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0A87C1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AAD738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2DD7613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3BEBBB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Apium graveolens*</w:t>
            </w:r>
          </w:p>
        </w:tc>
        <w:tc>
          <w:tcPr>
            <w:tcW w:w="2100" w:type="dxa"/>
            <w:tcBorders>
              <w:top w:val="nil"/>
              <w:left w:val="nil"/>
              <w:bottom w:val="single" w:sz="4" w:space="0" w:color="auto"/>
              <w:right w:val="single" w:sz="4" w:space="0" w:color="auto"/>
            </w:tcBorders>
            <w:shd w:val="clear" w:color="auto" w:fill="auto"/>
            <w:noWrap/>
            <w:vAlign w:val="bottom"/>
            <w:hideMark/>
          </w:tcPr>
          <w:p w14:paraId="47332AC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Apiaceae</w:t>
            </w:r>
          </w:p>
        </w:tc>
        <w:tc>
          <w:tcPr>
            <w:tcW w:w="2575" w:type="dxa"/>
            <w:tcBorders>
              <w:top w:val="nil"/>
              <w:left w:val="nil"/>
              <w:bottom w:val="single" w:sz="4" w:space="0" w:color="auto"/>
              <w:right w:val="single" w:sz="4" w:space="0" w:color="auto"/>
            </w:tcBorders>
            <w:shd w:val="clear" w:color="auto" w:fill="auto"/>
            <w:noWrap/>
            <w:vAlign w:val="bottom"/>
            <w:hideMark/>
          </w:tcPr>
          <w:p w14:paraId="10FDC87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7300A72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B19F4F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7D614FAE"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AB8C7A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Atriplex</w:t>
            </w:r>
          </w:p>
        </w:tc>
        <w:tc>
          <w:tcPr>
            <w:tcW w:w="2100" w:type="dxa"/>
            <w:tcBorders>
              <w:top w:val="nil"/>
              <w:left w:val="nil"/>
              <w:bottom w:val="single" w:sz="4" w:space="0" w:color="auto"/>
              <w:right w:val="single" w:sz="4" w:space="0" w:color="auto"/>
            </w:tcBorders>
            <w:shd w:val="clear" w:color="auto" w:fill="auto"/>
            <w:noWrap/>
            <w:vAlign w:val="bottom"/>
            <w:hideMark/>
          </w:tcPr>
          <w:p w14:paraId="5DD0419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1971E5C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187B5B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sub-shrub</w:t>
            </w:r>
          </w:p>
        </w:tc>
        <w:tc>
          <w:tcPr>
            <w:tcW w:w="1860" w:type="dxa"/>
            <w:tcBorders>
              <w:top w:val="nil"/>
              <w:left w:val="nil"/>
              <w:bottom w:val="single" w:sz="4" w:space="0" w:color="auto"/>
              <w:right w:val="single" w:sz="4" w:space="0" w:color="auto"/>
            </w:tcBorders>
            <w:shd w:val="clear" w:color="auto" w:fill="auto"/>
            <w:noWrap/>
            <w:vAlign w:val="bottom"/>
            <w:hideMark/>
          </w:tcPr>
          <w:p w14:paraId="0E5210F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664DF17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93ACDC2"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Atriplex suberecta</w:t>
            </w:r>
          </w:p>
        </w:tc>
        <w:tc>
          <w:tcPr>
            <w:tcW w:w="2100" w:type="dxa"/>
            <w:tcBorders>
              <w:top w:val="nil"/>
              <w:left w:val="nil"/>
              <w:bottom w:val="single" w:sz="4" w:space="0" w:color="auto"/>
              <w:right w:val="single" w:sz="4" w:space="0" w:color="auto"/>
            </w:tcBorders>
            <w:shd w:val="clear" w:color="auto" w:fill="auto"/>
            <w:noWrap/>
            <w:vAlign w:val="bottom"/>
            <w:hideMark/>
          </w:tcPr>
          <w:p w14:paraId="7FF4559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5B84014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231096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E43B39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312F391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7361A6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Bolboschoenus caldwellii</w:t>
            </w:r>
          </w:p>
        </w:tc>
        <w:tc>
          <w:tcPr>
            <w:tcW w:w="2100" w:type="dxa"/>
            <w:tcBorders>
              <w:top w:val="nil"/>
              <w:left w:val="nil"/>
              <w:bottom w:val="single" w:sz="4" w:space="0" w:color="auto"/>
              <w:right w:val="single" w:sz="4" w:space="0" w:color="auto"/>
            </w:tcBorders>
            <w:shd w:val="clear" w:color="auto" w:fill="auto"/>
            <w:noWrap/>
            <w:vAlign w:val="bottom"/>
            <w:hideMark/>
          </w:tcPr>
          <w:p w14:paraId="519EF08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Cyperaceae</w:t>
            </w:r>
          </w:p>
        </w:tc>
        <w:tc>
          <w:tcPr>
            <w:tcW w:w="2575" w:type="dxa"/>
            <w:tcBorders>
              <w:top w:val="nil"/>
              <w:left w:val="nil"/>
              <w:bottom w:val="single" w:sz="4" w:space="0" w:color="auto"/>
              <w:right w:val="single" w:sz="4" w:space="0" w:color="auto"/>
            </w:tcBorders>
            <w:shd w:val="clear" w:color="auto" w:fill="auto"/>
            <w:noWrap/>
            <w:vAlign w:val="bottom"/>
            <w:hideMark/>
          </w:tcPr>
          <w:p w14:paraId="597D429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3571019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sedge</w:t>
            </w:r>
          </w:p>
        </w:tc>
        <w:tc>
          <w:tcPr>
            <w:tcW w:w="1860" w:type="dxa"/>
            <w:tcBorders>
              <w:top w:val="nil"/>
              <w:left w:val="nil"/>
              <w:bottom w:val="single" w:sz="4" w:space="0" w:color="auto"/>
              <w:right w:val="single" w:sz="4" w:space="0" w:color="auto"/>
            </w:tcBorders>
            <w:shd w:val="clear" w:color="auto" w:fill="auto"/>
            <w:noWrap/>
            <w:vAlign w:val="bottom"/>
            <w:hideMark/>
          </w:tcPr>
          <w:p w14:paraId="4B55AF3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Emergent</w:t>
            </w:r>
          </w:p>
        </w:tc>
      </w:tr>
      <w:tr w:rsidR="002F3182" w:rsidRPr="00AE5357" w14:paraId="79A03C7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BAD904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Brachyscome paludicola</w:t>
            </w:r>
          </w:p>
        </w:tc>
        <w:tc>
          <w:tcPr>
            <w:tcW w:w="2100" w:type="dxa"/>
            <w:tcBorders>
              <w:top w:val="nil"/>
              <w:left w:val="nil"/>
              <w:bottom w:val="single" w:sz="4" w:space="0" w:color="auto"/>
              <w:right w:val="single" w:sz="4" w:space="0" w:color="auto"/>
            </w:tcBorders>
            <w:shd w:val="clear" w:color="auto" w:fill="auto"/>
            <w:noWrap/>
            <w:vAlign w:val="bottom"/>
            <w:hideMark/>
          </w:tcPr>
          <w:p w14:paraId="4C84CFB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1E220DF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B7F0FE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490FF5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2896C84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33D74BC"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Calotis hispidula</w:t>
            </w:r>
          </w:p>
        </w:tc>
        <w:tc>
          <w:tcPr>
            <w:tcW w:w="2100" w:type="dxa"/>
            <w:tcBorders>
              <w:top w:val="nil"/>
              <w:left w:val="nil"/>
              <w:bottom w:val="single" w:sz="4" w:space="0" w:color="auto"/>
              <w:right w:val="single" w:sz="4" w:space="0" w:color="auto"/>
            </w:tcBorders>
            <w:shd w:val="clear" w:color="auto" w:fill="auto"/>
            <w:noWrap/>
            <w:vAlign w:val="bottom"/>
            <w:hideMark/>
          </w:tcPr>
          <w:p w14:paraId="37B4045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1018939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9E2007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E38801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1638911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B8EF290"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Centaurea calcitrapa*</w:t>
            </w:r>
          </w:p>
        </w:tc>
        <w:tc>
          <w:tcPr>
            <w:tcW w:w="2100" w:type="dxa"/>
            <w:tcBorders>
              <w:top w:val="nil"/>
              <w:left w:val="nil"/>
              <w:bottom w:val="single" w:sz="4" w:space="0" w:color="auto"/>
              <w:right w:val="single" w:sz="4" w:space="0" w:color="auto"/>
            </w:tcBorders>
            <w:shd w:val="clear" w:color="auto" w:fill="auto"/>
            <w:noWrap/>
            <w:vAlign w:val="bottom"/>
            <w:hideMark/>
          </w:tcPr>
          <w:p w14:paraId="75FC47D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6A5BFE0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662D625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622202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67A4EF66"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3233B9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Centipeda minima</w:t>
            </w:r>
          </w:p>
        </w:tc>
        <w:tc>
          <w:tcPr>
            <w:tcW w:w="2100" w:type="dxa"/>
            <w:tcBorders>
              <w:top w:val="nil"/>
              <w:left w:val="nil"/>
              <w:bottom w:val="single" w:sz="4" w:space="0" w:color="auto"/>
              <w:right w:val="single" w:sz="4" w:space="0" w:color="auto"/>
            </w:tcBorders>
            <w:shd w:val="clear" w:color="auto" w:fill="auto"/>
            <w:noWrap/>
            <w:vAlign w:val="bottom"/>
            <w:hideMark/>
          </w:tcPr>
          <w:p w14:paraId="49B1924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3C449A4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EDEBD3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320E3F7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440D5CA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D8106FA"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Chenopodium nitrariaceum</w:t>
            </w:r>
          </w:p>
        </w:tc>
        <w:tc>
          <w:tcPr>
            <w:tcW w:w="2100" w:type="dxa"/>
            <w:tcBorders>
              <w:top w:val="nil"/>
              <w:left w:val="nil"/>
              <w:bottom w:val="single" w:sz="4" w:space="0" w:color="auto"/>
              <w:right w:val="single" w:sz="4" w:space="0" w:color="auto"/>
            </w:tcBorders>
            <w:shd w:val="clear" w:color="auto" w:fill="auto"/>
            <w:noWrap/>
            <w:vAlign w:val="bottom"/>
            <w:hideMark/>
          </w:tcPr>
          <w:p w14:paraId="19F5866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7B30FDB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1835F4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shrub</w:t>
            </w:r>
          </w:p>
        </w:tc>
        <w:tc>
          <w:tcPr>
            <w:tcW w:w="1860" w:type="dxa"/>
            <w:tcBorders>
              <w:top w:val="nil"/>
              <w:left w:val="nil"/>
              <w:bottom w:val="single" w:sz="4" w:space="0" w:color="auto"/>
              <w:right w:val="single" w:sz="4" w:space="0" w:color="auto"/>
            </w:tcBorders>
            <w:shd w:val="clear" w:color="auto" w:fill="auto"/>
            <w:noWrap/>
            <w:vAlign w:val="bottom"/>
            <w:hideMark/>
          </w:tcPr>
          <w:p w14:paraId="47EC01C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528F78C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FA93ED3"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Cuscuta campestris**</w:t>
            </w:r>
          </w:p>
        </w:tc>
        <w:tc>
          <w:tcPr>
            <w:tcW w:w="2100" w:type="dxa"/>
            <w:tcBorders>
              <w:top w:val="nil"/>
              <w:left w:val="nil"/>
              <w:bottom w:val="single" w:sz="4" w:space="0" w:color="auto"/>
              <w:right w:val="single" w:sz="4" w:space="0" w:color="auto"/>
            </w:tcBorders>
            <w:shd w:val="clear" w:color="auto" w:fill="auto"/>
            <w:noWrap/>
            <w:vAlign w:val="bottom"/>
            <w:hideMark/>
          </w:tcPr>
          <w:p w14:paraId="2ADC06A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 xml:space="preserve">Convolvulaceae </w:t>
            </w:r>
          </w:p>
        </w:tc>
        <w:tc>
          <w:tcPr>
            <w:tcW w:w="2575" w:type="dxa"/>
            <w:tcBorders>
              <w:top w:val="nil"/>
              <w:left w:val="nil"/>
              <w:bottom w:val="single" w:sz="4" w:space="0" w:color="auto"/>
              <w:right w:val="single" w:sz="4" w:space="0" w:color="auto"/>
            </w:tcBorders>
            <w:shd w:val="clear" w:color="auto" w:fill="auto"/>
            <w:noWrap/>
            <w:vAlign w:val="bottom"/>
            <w:hideMark/>
          </w:tcPr>
          <w:p w14:paraId="55F84B5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Declared Pest Plant in South Australia</w:t>
            </w:r>
          </w:p>
        </w:tc>
        <w:tc>
          <w:tcPr>
            <w:tcW w:w="3296" w:type="dxa"/>
            <w:tcBorders>
              <w:top w:val="nil"/>
              <w:left w:val="nil"/>
              <w:bottom w:val="single" w:sz="4" w:space="0" w:color="auto"/>
              <w:right w:val="single" w:sz="4" w:space="0" w:color="auto"/>
            </w:tcBorders>
            <w:shd w:val="clear" w:color="auto" w:fill="auto"/>
            <w:noWrap/>
            <w:vAlign w:val="bottom"/>
            <w:hideMark/>
          </w:tcPr>
          <w:p w14:paraId="316F79E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parasite</w:t>
            </w:r>
          </w:p>
        </w:tc>
        <w:tc>
          <w:tcPr>
            <w:tcW w:w="1860" w:type="dxa"/>
            <w:tcBorders>
              <w:top w:val="nil"/>
              <w:left w:val="nil"/>
              <w:bottom w:val="single" w:sz="4" w:space="0" w:color="auto"/>
              <w:right w:val="single" w:sz="4" w:space="0" w:color="auto"/>
            </w:tcBorders>
            <w:shd w:val="clear" w:color="auto" w:fill="auto"/>
            <w:noWrap/>
            <w:vAlign w:val="bottom"/>
            <w:hideMark/>
          </w:tcPr>
          <w:p w14:paraId="1CA3CA2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11D2C30"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519947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Cyperus difformis</w:t>
            </w:r>
          </w:p>
        </w:tc>
        <w:tc>
          <w:tcPr>
            <w:tcW w:w="2100" w:type="dxa"/>
            <w:tcBorders>
              <w:top w:val="nil"/>
              <w:left w:val="nil"/>
              <w:bottom w:val="single" w:sz="4" w:space="0" w:color="auto"/>
              <w:right w:val="single" w:sz="4" w:space="0" w:color="auto"/>
            </w:tcBorders>
            <w:shd w:val="clear" w:color="auto" w:fill="auto"/>
            <w:noWrap/>
            <w:vAlign w:val="bottom"/>
            <w:hideMark/>
          </w:tcPr>
          <w:p w14:paraId="2161136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Cyperaceae</w:t>
            </w:r>
          </w:p>
        </w:tc>
        <w:tc>
          <w:tcPr>
            <w:tcW w:w="2575" w:type="dxa"/>
            <w:tcBorders>
              <w:top w:val="nil"/>
              <w:left w:val="nil"/>
              <w:bottom w:val="single" w:sz="4" w:space="0" w:color="auto"/>
              <w:right w:val="single" w:sz="4" w:space="0" w:color="auto"/>
            </w:tcBorders>
            <w:shd w:val="clear" w:color="auto" w:fill="auto"/>
            <w:noWrap/>
            <w:vAlign w:val="bottom"/>
            <w:hideMark/>
          </w:tcPr>
          <w:p w14:paraId="2431905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C7BF9A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sedge</w:t>
            </w:r>
          </w:p>
        </w:tc>
        <w:tc>
          <w:tcPr>
            <w:tcW w:w="1860" w:type="dxa"/>
            <w:tcBorders>
              <w:top w:val="nil"/>
              <w:left w:val="nil"/>
              <w:bottom w:val="single" w:sz="4" w:space="0" w:color="auto"/>
              <w:right w:val="single" w:sz="4" w:space="0" w:color="auto"/>
            </w:tcBorders>
            <w:shd w:val="clear" w:color="auto" w:fill="auto"/>
            <w:noWrap/>
            <w:vAlign w:val="bottom"/>
            <w:hideMark/>
          </w:tcPr>
          <w:p w14:paraId="5B24780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33629661"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734F52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Cyperus gymnocaulos</w:t>
            </w:r>
          </w:p>
        </w:tc>
        <w:tc>
          <w:tcPr>
            <w:tcW w:w="2100" w:type="dxa"/>
            <w:tcBorders>
              <w:top w:val="nil"/>
              <w:left w:val="nil"/>
              <w:bottom w:val="single" w:sz="4" w:space="0" w:color="auto"/>
              <w:right w:val="single" w:sz="4" w:space="0" w:color="auto"/>
            </w:tcBorders>
            <w:shd w:val="clear" w:color="auto" w:fill="auto"/>
            <w:noWrap/>
            <w:vAlign w:val="bottom"/>
            <w:hideMark/>
          </w:tcPr>
          <w:p w14:paraId="45AD5FC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Cyperaceae</w:t>
            </w:r>
          </w:p>
        </w:tc>
        <w:tc>
          <w:tcPr>
            <w:tcW w:w="2575" w:type="dxa"/>
            <w:tcBorders>
              <w:top w:val="nil"/>
              <w:left w:val="nil"/>
              <w:bottom w:val="single" w:sz="4" w:space="0" w:color="auto"/>
              <w:right w:val="single" w:sz="4" w:space="0" w:color="auto"/>
            </w:tcBorders>
            <w:shd w:val="clear" w:color="auto" w:fill="auto"/>
            <w:noWrap/>
            <w:vAlign w:val="bottom"/>
            <w:hideMark/>
          </w:tcPr>
          <w:p w14:paraId="273F951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D4706E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sedge</w:t>
            </w:r>
          </w:p>
        </w:tc>
        <w:tc>
          <w:tcPr>
            <w:tcW w:w="1860" w:type="dxa"/>
            <w:tcBorders>
              <w:top w:val="nil"/>
              <w:left w:val="nil"/>
              <w:bottom w:val="single" w:sz="4" w:space="0" w:color="auto"/>
              <w:right w:val="single" w:sz="4" w:space="0" w:color="auto"/>
            </w:tcBorders>
            <w:shd w:val="clear" w:color="auto" w:fill="auto"/>
            <w:noWrap/>
            <w:vAlign w:val="bottom"/>
            <w:hideMark/>
          </w:tcPr>
          <w:p w14:paraId="38E1395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692556D5"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82FC8CC"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Disphyma crassifolium</w:t>
            </w:r>
          </w:p>
        </w:tc>
        <w:tc>
          <w:tcPr>
            <w:tcW w:w="2100" w:type="dxa"/>
            <w:tcBorders>
              <w:top w:val="nil"/>
              <w:left w:val="nil"/>
              <w:bottom w:val="single" w:sz="4" w:space="0" w:color="auto"/>
              <w:right w:val="single" w:sz="4" w:space="0" w:color="auto"/>
            </w:tcBorders>
            <w:shd w:val="clear" w:color="auto" w:fill="auto"/>
            <w:noWrap/>
            <w:vAlign w:val="bottom"/>
            <w:hideMark/>
          </w:tcPr>
          <w:p w14:paraId="0C3737D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Aizoaceae</w:t>
            </w:r>
          </w:p>
        </w:tc>
        <w:tc>
          <w:tcPr>
            <w:tcW w:w="2575" w:type="dxa"/>
            <w:tcBorders>
              <w:top w:val="nil"/>
              <w:left w:val="nil"/>
              <w:bottom w:val="single" w:sz="4" w:space="0" w:color="auto"/>
              <w:right w:val="single" w:sz="4" w:space="0" w:color="auto"/>
            </w:tcBorders>
            <w:shd w:val="clear" w:color="auto" w:fill="auto"/>
            <w:noWrap/>
            <w:vAlign w:val="bottom"/>
            <w:hideMark/>
          </w:tcPr>
          <w:p w14:paraId="3D66050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DDABF4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1BE9887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0D85AC73"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8811127"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Dittrichia graveolens*</w:t>
            </w:r>
          </w:p>
        </w:tc>
        <w:tc>
          <w:tcPr>
            <w:tcW w:w="2100" w:type="dxa"/>
            <w:tcBorders>
              <w:top w:val="nil"/>
              <w:left w:val="nil"/>
              <w:bottom w:val="single" w:sz="4" w:space="0" w:color="auto"/>
              <w:right w:val="single" w:sz="4" w:space="0" w:color="auto"/>
            </w:tcBorders>
            <w:shd w:val="clear" w:color="auto" w:fill="auto"/>
            <w:noWrap/>
            <w:vAlign w:val="bottom"/>
            <w:hideMark/>
          </w:tcPr>
          <w:p w14:paraId="6A7BF4F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30715B8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07D0516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DCFF20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53158775"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C35757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Duma florulenta</w:t>
            </w:r>
          </w:p>
        </w:tc>
        <w:tc>
          <w:tcPr>
            <w:tcW w:w="2100" w:type="dxa"/>
            <w:tcBorders>
              <w:top w:val="nil"/>
              <w:left w:val="nil"/>
              <w:bottom w:val="single" w:sz="4" w:space="0" w:color="auto"/>
              <w:right w:val="single" w:sz="4" w:space="0" w:color="auto"/>
            </w:tcBorders>
            <w:shd w:val="clear" w:color="auto" w:fill="auto"/>
            <w:noWrap/>
            <w:vAlign w:val="bottom"/>
            <w:hideMark/>
          </w:tcPr>
          <w:p w14:paraId="09E75CB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Polygonaceae</w:t>
            </w:r>
          </w:p>
        </w:tc>
        <w:tc>
          <w:tcPr>
            <w:tcW w:w="2575" w:type="dxa"/>
            <w:tcBorders>
              <w:top w:val="nil"/>
              <w:left w:val="nil"/>
              <w:bottom w:val="single" w:sz="4" w:space="0" w:color="auto"/>
              <w:right w:val="single" w:sz="4" w:space="0" w:color="auto"/>
            </w:tcBorders>
            <w:shd w:val="clear" w:color="auto" w:fill="auto"/>
            <w:noWrap/>
            <w:vAlign w:val="bottom"/>
            <w:hideMark/>
          </w:tcPr>
          <w:p w14:paraId="0BDC010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220B77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shrub</w:t>
            </w:r>
          </w:p>
        </w:tc>
        <w:tc>
          <w:tcPr>
            <w:tcW w:w="1860" w:type="dxa"/>
            <w:tcBorders>
              <w:top w:val="nil"/>
              <w:left w:val="nil"/>
              <w:bottom w:val="single" w:sz="4" w:space="0" w:color="auto"/>
              <w:right w:val="single" w:sz="4" w:space="0" w:color="auto"/>
            </w:tcBorders>
            <w:shd w:val="clear" w:color="auto" w:fill="auto"/>
            <w:noWrap/>
            <w:vAlign w:val="bottom"/>
            <w:hideMark/>
          </w:tcPr>
          <w:p w14:paraId="0C2A6FF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425C49F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BFA6699"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Dysphania pumilio</w:t>
            </w:r>
          </w:p>
        </w:tc>
        <w:tc>
          <w:tcPr>
            <w:tcW w:w="2100" w:type="dxa"/>
            <w:tcBorders>
              <w:top w:val="nil"/>
              <w:left w:val="nil"/>
              <w:bottom w:val="single" w:sz="4" w:space="0" w:color="auto"/>
              <w:right w:val="single" w:sz="4" w:space="0" w:color="auto"/>
            </w:tcBorders>
            <w:shd w:val="clear" w:color="auto" w:fill="auto"/>
            <w:noWrap/>
            <w:vAlign w:val="bottom"/>
            <w:hideMark/>
          </w:tcPr>
          <w:p w14:paraId="503EE64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181524D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E31EC1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C3A445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465452AB"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8E87CE"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Einadia nutans</w:t>
            </w:r>
          </w:p>
        </w:tc>
        <w:tc>
          <w:tcPr>
            <w:tcW w:w="2100" w:type="dxa"/>
            <w:tcBorders>
              <w:top w:val="nil"/>
              <w:left w:val="nil"/>
              <w:bottom w:val="single" w:sz="4" w:space="0" w:color="auto"/>
              <w:right w:val="single" w:sz="4" w:space="0" w:color="auto"/>
            </w:tcBorders>
            <w:shd w:val="clear" w:color="auto" w:fill="auto"/>
            <w:noWrap/>
            <w:vAlign w:val="bottom"/>
            <w:hideMark/>
          </w:tcPr>
          <w:p w14:paraId="1BFCEC7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51074F2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074ED3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sub-shrub</w:t>
            </w:r>
          </w:p>
        </w:tc>
        <w:tc>
          <w:tcPr>
            <w:tcW w:w="1860" w:type="dxa"/>
            <w:tcBorders>
              <w:top w:val="nil"/>
              <w:left w:val="nil"/>
              <w:bottom w:val="single" w:sz="4" w:space="0" w:color="auto"/>
              <w:right w:val="single" w:sz="4" w:space="0" w:color="auto"/>
            </w:tcBorders>
            <w:shd w:val="clear" w:color="auto" w:fill="auto"/>
            <w:noWrap/>
            <w:vAlign w:val="bottom"/>
            <w:hideMark/>
          </w:tcPr>
          <w:p w14:paraId="40BDA44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6BE1E722"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BF45545"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Eleocharis acuta</w:t>
            </w:r>
          </w:p>
        </w:tc>
        <w:tc>
          <w:tcPr>
            <w:tcW w:w="2100" w:type="dxa"/>
            <w:tcBorders>
              <w:top w:val="nil"/>
              <w:left w:val="nil"/>
              <w:bottom w:val="single" w:sz="4" w:space="0" w:color="auto"/>
              <w:right w:val="single" w:sz="4" w:space="0" w:color="auto"/>
            </w:tcBorders>
            <w:shd w:val="clear" w:color="auto" w:fill="auto"/>
            <w:noWrap/>
            <w:vAlign w:val="bottom"/>
            <w:hideMark/>
          </w:tcPr>
          <w:p w14:paraId="5778082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Cyperaceae</w:t>
            </w:r>
          </w:p>
        </w:tc>
        <w:tc>
          <w:tcPr>
            <w:tcW w:w="2575" w:type="dxa"/>
            <w:tcBorders>
              <w:top w:val="nil"/>
              <w:left w:val="nil"/>
              <w:bottom w:val="single" w:sz="4" w:space="0" w:color="auto"/>
              <w:right w:val="single" w:sz="4" w:space="0" w:color="auto"/>
            </w:tcBorders>
            <w:shd w:val="clear" w:color="auto" w:fill="auto"/>
            <w:noWrap/>
            <w:vAlign w:val="bottom"/>
            <w:hideMark/>
          </w:tcPr>
          <w:p w14:paraId="32DE13C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CA91E3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sedge</w:t>
            </w:r>
          </w:p>
        </w:tc>
        <w:tc>
          <w:tcPr>
            <w:tcW w:w="1860" w:type="dxa"/>
            <w:tcBorders>
              <w:top w:val="nil"/>
              <w:left w:val="nil"/>
              <w:bottom w:val="single" w:sz="4" w:space="0" w:color="auto"/>
              <w:right w:val="single" w:sz="4" w:space="0" w:color="auto"/>
            </w:tcBorders>
            <w:shd w:val="clear" w:color="auto" w:fill="auto"/>
            <w:noWrap/>
            <w:vAlign w:val="bottom"/>
            <w:hideMark/>
          </w:tcPr>
          <w:p w14:paraId="4EFA1AC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Emergent</w:t>
            </w:r>
          </w:p>
        </w:tc>
      </w:tr>
      <w:tr w:rsidR="002F3182" w:rsidRPr="00AE5357" w14:paraId="241B7BF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46CEEF3"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Enchylaena tomentosa</w:t>
            </w:r>
          </w:p>
        </w:tc>
        <w:tc>
          <w:tcPr>
            <w:tcW w:w="2100" w:type="dxa"/>
            <w:tcBorders>
              <w:top w:val="nil"/>
              <w:left w:val="nil"/>
              <w:bottom w:val="single" w:sz="4" w:space="0" w:color="auto"/>
              <w:right w:val="single" w:sz="4" w:space="0" w:color="auto"/>
            </w:tcBorders>
            <w:shd w:val="clear" w:color="auto" w:fill="auto"/>
            <w:noWrap/>
            <w:vAlign w:val="bottom"/>
            <w:hideMark/>
          </w:tcPr>
          <w:p w14:paraId="7217B3D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125A6D7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322515C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sub-shrub</w:t>
            </w:r>
          </w:p>
        </w:tc>
        <w:tc>
          <w:tcPr>
            <w:tcW w:w="1860" w:type="dxa"/>
            <w:tcBorders>
              <w:top w:val="nil"/>
              <w:left w:val="nil"/>
              <w:bottom w:val="single" w:sz="4" w:space="0" w:color="auto"/>
              <w:right w:val="single" w:sz="4" w:space="0" w:color="auto"/>
            </w:tcBorders>
            <w:shd w:val="clear" w:color="auto" w:fill="auto"/>
            <w:noWrap/>
            <w:vAlign w:val="bottom"/>
            <w:hideMark/>
          </w:tcPr>
          <w:p w14:paraId="53C0BCE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75B9B23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D6FF70B"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Erigeron bonariensis*</w:t>
            </w:r>
          </w:p>
        </w:tc>
        <w:tc>
          <w:tcPr>
            <w:tcW w:w="2100" w:type="dxa"/>
            <w:tcBorders>
              <w:top w:val="nil"/>
              <w:left w:val="nil"/>
              <w:bottom w:val="single" w:sz="4" w:space="0" w:color="auto"/>
              <w:right w:val="single" w:sz="4" w:space="0" w:color="auto"/>
            </w:tcBorders>
            <w:shd w:val="clear" w:color="auto" w:fill="auto"/>
            <w:noWrap/>
            <w:vAlign w:val="bottom"/>
            <w:hideMark/>
          </w:tcPr>
          <w:p w14:paraId="5B6536F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54F97C2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021C3A9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1000473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D79480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FF714FD"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Erodium botrys*</w:t>
            </w:r>
          </w:p>
        </w:tc>
        <w:tc>
          <w:tcPr>
            <w:tcW w:w="2100" w:type="dxa"/>
            <w:tcBorders>
              <w:top w:val="nil"/>
              <w:left w:val="nil"/>
              <w:bottom w:val="single" w:sz="4" w:space="0" w:color="auto"/>
              <w:right w:val="single" w:sz="4" w:space="0" w:color="auto"/>
            </w:tcBorders>
            <w:shd w:val="clear" w:color="auto" w:fill="auto"/>
            <w:noWrap/>
            <w:vAlign w:val="bottom"/>
            <w:hideMark/>
          </w:tcPr>
          <w:p w14:paraId="74ED177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Geraniaceae</w:t>
            </w:r>
          </w:p>
        </w:tc>
        <w:tc>
          <w:tcPr>
            <w:tcW w:w="2575" w:type="dxa"/>
            <w:tcBorders>
              <w:top w:val="nil"/>
              <w:left w:val="nil"/>
              <w:bottom w:val="single" w:sz="4" w:space="0" w:color="auto"/>
              <w:right w:val="single" w:sz="4" w:space="0" w:color="auto"/>
            </w:tcBorders>
            <w:shd w:val="clear" w:color="auto" w:fill="auto"/>
            <w:noWrap/>
            <w:vAlign w:val="bottom"/>
            <w:hideMark/>
          </w:tcPr>
          <w:p w14:paraId="46AAC75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20AE1F9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2FF76B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0E8E6E27"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0CD2BAE"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Eucalyptus camaldulensis</w:t>
            </w:r>
          </w:p>
        </w:tc>
        <w:tc>
          <w:tcPr>
            <w:tcW w:w="2100" w:type="dxa"/>
            <w:tcBorders>
              <w:top w:val="nil"/>
              <w:left w:val="nil"/>
              <w:bottom w:val="single" w:sz="4" w:space="0" w:color="auto"/>
              <w:right w:val="single" w:sz="4" w:space="0" w:color="auto"/>
            </w:tcBorders>
            <w:shd w:val="clear" w:color="auto" w:fill="auto"/>
            <w:noWrap/>
            <w:vAlign w:val="bottom"/>
            <w:hideMark/>
          </w:tcPr>
          <w:p w14:paraId="7A1184B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Myrtaceae</w:t>
            </w:r>
          </w:p>
        </w:tc>
        <w:tc>
          <w:tcPr>
            <w:tcW w:w="2575" w:type="dxa"/>
            <w:tcBorders>
              <w:top w:val="nil"/>
              <w:left w:val="nil"/>
              <w:bottom w:val="single" w:sz="4" w:space="0" w:color="auto"/>
              <w:right w:val="single" w:sz="4" w:space="0" w:color="auto"/>
            </w:tcBorders>
            <w:shd w:val="clear" w:color="auto" w:fill="auto"/>
            <w:noWrap/>
            <w:vAlign w:val="bottom"/>
            <w:hideMark/>
          </w:tcPr>
          <w:p w14:paraId="0D1CED1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9BF92C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tree</w:t>
            </w:r>
          </w:p>
        </w:tc>
        <w:tc>
          <w:tcPr>
            <w:tcW w:w="1860" w:type="dxa"/>
            <w:tcBorders>
              <w:top w:val="nil"/>
              <w:left w:val="nil"/>
              <w:bottom w:val="single" w:sz="4" w:space="0" w:color="auto"/>
              <w:right w:val="single" w:sz="4" w:space="0" w:color="auto"/>
            </w:tcBorders>
            <w:shd w:val="clear" w:color="auto" w:fill="auto"/>
            <w:noWrap/>
            <w:vAlign w:val="bottom"/>
            <w:hideMark/>
          </w:tcPr>
          <w:p w14:paraId="356F6BF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06D60092"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9248C3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Euchiton involucratus</w:t>
            </w:r>
          </w:p>
        </w:tc>
        <w:tc>
          <w:tcPr>
            <w:tcW w:w="2100" w:type="dxa"/>
            <w:tcBorders>
              <w:top w:val="nil"/>
              <w:left w:val="nil"/>
              <w:bottom w:val="single" w:sz="4" w:space="0" w:color="auto"/>
              <w:right w:val="single" w:sz="4" w:space="0" w:color="auto"/>
            </w:tcBorders>
            <w:shd w:val="clear" w:color="auto" w:fill="auto"/>
            <w:noWrap/>
            <w:vAlign w:val="bottom"/>
            <w:hideMark/>
          </w:tcPr>
          <w:p w14:paraId="5A23B66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27187B0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133D86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6D02286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7EB635B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AE0973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Euphorbia drummondii</w:t>
            </w:r>
          </w:p>
        </w:tc>
        <w:tc>
          <w:tcPr>
            <w:tcW w:w="2100" w:type="dxa"/>
            <w:tcBorders>
              <w:top w:val="nil"/>
              <w:left w:val="nil"/>
              <w:bottom w:val="single" w:sz="4" w:space="0" w:color="auto"/>
              <w:right w:val="single" w:sz="4" w:space="0" w:color="auto"/>
            </w:tcBorders>
            <w:shd w:val="clear" w:color="auto" w:fill="auto"/>
            <w:noWrap/>
            <w:vAlign w:val="bottom"/>
            <w:hideMark/>
          </w:tcPr>
          <w:p w14:paraId="7515D8F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Euphorbiaceae</w:t>
            </w:r>
          </w:p>
        </w:tc>
        <w:tc>
          <w:tcPr>
            <w:tcW w:w="2575" w:type="dxa"/>
            <w:tcBorders>
              <w:top w:val="nil"/>
              <w:left w:val="nil"/>
              <w:bottom w:val="single" w:sz="4" w:space="0" w:color="auto"/>
              <w:right w:val="single" w:sz="4" w:space="0" w:color="auto"/>
            </w:tcBorders>
            <w:shd w:val="clear" w:color="auto" w:fill="auto"/>
            <w:noWrap/>
            <w:vAlign w:val="bottom"/>
            <w:hideMark/>
          </w:tcPr>
          <w:p w14:paraId="6231809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01E898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4E8FD39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543CDA63"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F381EE7"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Gazania rigens**</w:t>
            </w:r>
          </w:p>
        </w:tc>
        <w:tc>
          <w:tcPr>
            <w:tcW w:w="2100" w:type="dxa"/>
            <w:tcBorders>
              <w:top w:val="nil"/>
              <w:left w:val="nil"/>
              <w:bottom w:val="single" w:sz="4" w:space="0" w:color="auto"/>
              <w:right w:val="single" w:sz="4" w:space="0" w:color="auto"/>
            </w:tcBorders>
            <w:shd w:val="clear" w:color="auto" w:fill="auto"/>
            <w:noWrap/>
            <w:vAlign w:val="bottom"/>
            <w:hideMark/>
          </w:tcPr>
          <w:p w14:paraId="170640F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65F7DEC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Declared Pest Plant in South Australia</w:t>
            </w:r>
          </w:p>
        </w:tc>
        <w:tc>
          <w:tcPr>
            <w:tcW w:w="3296" w:type="dxa"/>
            <w:tcBorders>
              <w:top w:val="nil"/>
              <w:left w:val="nil"/>
              <w:bottom w:val="single" w:sz="4" w:space="0" w:color="auto"/>
              <w:right w:val="single" w:sz="4" w:space="0" w:color="auto"/>
            </w:tcBorders>
            <w:shd w:val="clear" w:color="auto" w:fill="auto"/>
            <w:noWrap/>
            <w:vAlign w:val="bottom"/>
            <w:hideMark/>
          </w:tcPr>
          <w:p w14:paraId="712B8E2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2EFA528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6569630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D92DD89"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Glinus lotoides</w:t>
            </w:r>
          </w:p>
        </w:tc>
        <w:tc>
          <w:tcPr>
            <w:tcW w:w="2100" w:type="dxa"/>
            <w:tcBorders>
              <w:top w:val="nil"/>
              <w:left w:val="nil"/>
              <w:bottom w:val="single" w:sz="4" w:space="0" w:color="auto"/>
              <w:right w:val="single" w:sz="4" w:space="0" w:color="auto"/>
            </w:tcBorders>
            <w:shd w:val="clear" w:color="auto" w:fill="auto"/>
            <w:noWrap/>
            <w:vAlign w:val="bottom"/>
            <w:hideMark/>
          </w:tcPr>
          <w:p w14:paraId="464994E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Aizoaceae</w:t>
            </w:r>
          </w:p>
        </w:tc>
        <w:tc>
          <w:tcPr>
            <w:tcW w:w="2575" w:type="dxa"/>
            <w:tcBorders>
              <w:top w:val="nil"/>
              <w:left w:val="nil"/>
              <w:bottom w:val="single" w:sz="4" w:space="0" w:color="auto"/>
              <w:right w:val="single" w:sz="4" w:space="0" w:color="auto"/>
            </w:tcBorders>
            <w:shd w:val="clear" w:color="auto" w:fill="auto"/>
            <w:noWrap/>
            <w:vAlign w:val="bottom"/>
            <w:hideMark/>
          </w:tcPr>
          <w:p w14:paraId="0FE159D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5340B91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50895D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4EA7C7F2"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709ACA3"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Goodenia heteromera</w:t>
            </w:r>
          </w:p>
        </w:tc>
        <w:tc>
          <w:tcPr>
            <w:tcW w:w="2100" w:type="dxa"/>
            <w:tcBorders>
              <w:top w:val="nil"/>
              <w:left w:val="nil"/>
              <w:bottom w:val="single" w:sz="4" w:space="0" w:color="auto"/>
              <w:right w:val="single" w:sz="4" w:space="0" w:color="auto"/>
            </w:tcBorders>
            <w:shd w:val="clear" w:color="auto" w:fill="auto"/>
            <w:noWrap/>
            <w:vAlign w:val="bottom"/>
            <w:hideMark/>
          </w:tcPr>
          <w:p w14:paraId="6930A48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Goodeniaceae</w:t>
            </w:r>
          </w:p>
        </w:tc>
        <w:tc>
          <w:tcPr>
            <w:tcW w:w="2575" w:type="dxa"/>
            <w:tcBorders>
              <w:top w:val="nil"/>
              <w:left w:val="nil"/>
              <w:bottom w:val="single" w:sz="4" w:space="0" w:color="auto"/>
              <w:right w:val="single" w:sz="4" w:space="0" w:color="auto"/>
            </w:tcBorders>
            <w:shd w:val="clear" w:color="auto" w:fill="auto"/>
            <w:noWrap/>
            <w:vAlign w:val="bottom"/>
            <w:hideMark/>
          </w:tcPr>
          <w:p w14:paraId="0A25D66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689EAF5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2ABA785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4A77141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5AE720C"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Heliotropium curassavicum*</w:t>
            </w:r>
          </w:p>
        </w:tc>
        <w:tc>
          <w:tcPr>
            <w:tcW w:w="2100" w:type="dxa"/>
            <w:tcBorders>
              <w:top w:val="nil"/>
              <w:left w:val="nil"/>
              <w:bottom w:val="single" w:sz="4" w:space="0" w:color="auto"/>
              <w:right w:val="single" w:sz="4" w:space="0" w:color="auto"/>
            </w:tcBorders>
            <w:shd w:val="clear" w:color="auto" w:fill="auto"/>
            <w:noWrap/>
            <w:vAlign w:val="bottom"/>
            <w:hideMark/>
          </w:tcPr>
          <w:p w14:paraId="6059F5B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Boraginaceae</w:t>
            </w:r>
          </w:p>
        </w:tc>
        <w:tc>
          <w:tcPr>
            <w:tcW w:w="2575" w:type="dxa"/>
            <w:tcBorders>
              <w:top w:val="nil"/>
              <w:left w:val="nil"/>
              <w:bottom w:val="single" w:sz="4" w:space="0" w:color="auto"/>
              <w:right w:val="single" w:sz="4" w:space="0" w:color="auto"/>
            </w:tcBorders>
            <w:shd w:val="clear" w:color="auto" w:fill="auto"/>
            <w:noWrap/>
            <w:vAlign w:val="bottom"/>
            <w:hideMark/>
          </w:tcPr>
          <w:p w14:paraId="763593D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0075E88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4665CD0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98C9A46"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54A31B5"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Heliotropium europaeum*</w:t>
            </w:r>
          </w:p>
        </w:tc>
        <w:tc>
          <w:tcPr>
            <w:tcW w:w="2100" w:type="dxa"/>
            <w:tcBorders>
              <w:top w:val="nil"/>
              <w:left w:val="nil"/>
              <w:bottom w:val="single" w:sz="4" w:space="0" w:color="auto"/>
              <w:right w:val="single" w:sz="4" w:space="0" w:color="auto"/>
            </w:tcBorders>
            <w:shd w:val="clear" w:color="auto" w:fill="auto"/>
            <w:noWrap/>
            <w:vAlign w:val="bottom"/>
            <w:hideMark/>
          </w:tcPr>
          <w:p w14:paraId="1A61E2E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Boraginaceae</w:t>
            </w:r>
          </w:p>
        </w:tc>
        <w:tc>
          <w:tcPr>
            <w:tcW w:w="2575" w:type="dxa"/>
            <w:tcBorders>
              <w:top w:val="nil"/>
              <w:left w:val="nil"/>
              <w:bottom w:val="single" w:sz="4" w:space="0" w:color="auto"/>
              <w:right w:val="single" w:sz="4" w:space="0" w:color="auto"/>
            </w:tcBorders>
            <w:shd w:val="clear" w:color="auto" w:fill="auto"/>
            <w:noWrap/>
            <w:vAlign w:val="bottom"/>
            <w:hideMark/>
          </w:tcPr>
          <w:p w14:paraId="384B160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33980CE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6B33493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3AB7B67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2073A70"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Hypochaeris glabra</w:t>
            </w:r>
            <w:r>
              <w:rPr>
                <w:rFonts w:cs="Calibri"/>
                <w:i/>
                <w:iCs/>
                <w:kern w:val="0"/>
                <w:sz w:val="19"/>
                <w:szCs w:val="19"/>
                <w:lang w:eastAsia="en-AU"/>
              </w:rPr>
              <w:t>*</w:t>
            </w:r>
          </w:p>
        </w:tc>
        <w:tc>
          <w:tcPr>
            <w:tcW w:w="2100" w:type="dxa"/>
            <w:tcBorders>
              <w:top w:val="nil"/>
              <w:left w:val="nil"/>
              <w:bottom w:val="single" w:sz="4" w:space="0" w:color="auto"/>
              <w:right w:val="single" w:sz="4" w:space="0" w:color="auto"/>
            </w:tcBorders>
            <w:shd w:val="clear" w:color="auto" w:fill="auto"/>
            <w:noWrap/>
            <w:vAlign w:val="bottom"/>
            <w:hideMark/>
          </w:tcPr>
          <w:p w14:paraId="3A59875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17AA1EB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746889C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697B4FF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481494A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4E0814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Isoetopsis graminifolia</w:t>
            </w:r>
          </w:p>
        </w:tc>
        <w:tc>
          <w:tcPr>
            <w:tcW w:w="2100" w:type="dxa"/>
            <w:tcBorders>
              <w:top w:val="nil"/>
              <w:left w:val="nil"/>
              <w:bottom w:val="single" w:sz="4" w:space="0" w:color="auto"/>
              <w:right w:val="single" w:sz="4" w:space="0" w:color="auto"/>
            </w:tcBorders>
            <w:shd w:val="clear" w:color="auto" w:fill="auto"/>
            <w:noWrap/>
            <w:vAlign w:val="bottom"/>
            <w:hideMark/>
          </w:tcPr>
          <w:p w14:paraId="23CC262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69E1A50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085C49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6D442D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3BAB1FE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897E28C"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Juncus usitatus</w:t>
            </w:r>
          </w:p>
        </w:tc>
        <w:tc>
          <w:tcPr>
            <w:tcW w:w="2100" w:type="dxa"/>
            <w:tcBorders>
              <w:top w:val="nil"/>
              <w:left w:val="nil"/>
              <w:bottom w:val="single" w:sz="4" w:space="0" w:color="auto"/>
              <w:right w:val="single" w:sz="4" w:space="0" w:color="auto"/>
            </w:tcBorders>
            <w:shd w:val="clear" w:color="auto" w:fill="auto"/>
            <w:noWrap/>
            <w:vAlign w:val="bottom"/>
            <w:hideMark/>
          </w:tcPr>
          <w:p w14:paraId="55DAF5D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Juncaeae</w:t>
            </w:r>
          </w:p>
        </w:tc>
        <w:tc>
          <w:tcPr>
            <w:tcW w:w="2575" w:type="dxa"/>
            <w:tcBorders>
              <w:top w:val="nil"/>
              <w:left w:val="nil"/>
              <w:bottom w:val="single" w:sz="4" w:space="0" w:color="auto"/>
              <w:right w:val="single" w:sz="4" w:space="0" w:color="auto"/>
            </w:tcBorders>
            <w:shd w:val="clear" w:color="auto" w:fill="auto"/>
            <w:noWrap/>
            <w:vAlign w:val="bottom"/>
            <w:hideMark/>
          </w:tcPr>
          <w:p w14:paraId="4C152E6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63A26A0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rush</w:t>
            </w:r>
          </w:p>
        </w:tc>
        <w:tc>
          <w:tcPr>
            <w:tcW w:w="1860" w:type="dxa"/>
            <w:tcBorders>
              <w:top w:val="nil"/>
              <w:left w:val="nil"/>
              <w:bottom w:val="single" w:sz="4" w:space="0" w:color="auto"/>
              <w:right w:val="single" w:sz="4" w:space="0" w:color="auto"/>
            </w:tcBorders>
            <w:shd w:val="clear" w:color="auto" w:fill="auto"/>
            <w:noWrap/>
            <w:vAlign w:val="bottom"/>
            <w:hideMark/>
          </w:tcPr>
          <w:p w14:paraId="68CA805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1F5922D7"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EF338D5"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Lachnagrostis filiformis</w:t>
            </w:r>
          </w:p>
        </w:tc>
        <w:tc>
          <w:tcPr>
            <w:tcW w:w="2100" w:type="dxa"/>
            <w:tcBorders>
              <w:top w:val="nil"/>
              <w:left w:val="nil"/>
              <w:bottom w:val="single" w:sz="4" w:space="0" w:color="auto"/>
              <w:right w:val="single" w:sz="4" w:space="0" w:color="auto"/>
            </w:tcBorders>
            <w:shd w:val="clear" w:color="auto" w:fill="auto"/>
            <w:noWrap/>
            <w:vAlign w:val="bottom"/>
            <w:hideMark/>
          </w:tcPr>
          <w:p w14:paraId="43D8166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Poaceae</w:t>
            </w:r>
          </w:p>
        </w:tc>
        <w:tc>
          <w:tcPr>
            <w:tcW w:w="2575" w:type="dxa"/>
            <w:tcBorders>
              <w:top w:val="nil"/>
              <w:left w:val="nil"/>
              <w:bottom w:val="single" w:sz="4" w:space="0" w:color="auto"/>
              <w:right w:val="single" w:sz="4" w:space="0" w:color="auto"/>
            </w:tcBorders>
            <w:shd w:val="clear" w:color="auto" w:fill="auto"/>
            <w:noWrap/>
            <w:vAlign w:val="bottom"/>
            <w:hideMark/>
          </w:tcPr>
          <w:p w14:paraId="53E02AC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59D631C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grass</w:t>
            </w:r>
          </w:p>
        </w:tc>
        <w:tc>
          <w:tcPr>
            <w:tcW w:w="1860" w:type="dxa"/>
            <w:tcBorders>
              <w:top w:val="nil"/>
              <w:left w:val="nil"/>
              <w:bottom w:val="single" w:sz="4" w:space="0" w:color="auto"/>
              <w:right w:val="single" w:sz="4" w:space="0" w:color="auto"/>
            </w:tcBorders>
            <w:shd w:val="clear" w:color="auto" w:fill="auto"/>
            <w:noWrap/>
            <w:vAlign w:val="bottom"/>
            <w:hideMark/>
          </w:tcPr>
          <w:p w14:paraId="09410B3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3449409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99A595D"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Lactuca serriola</w:t>
            </w:r>
            <w:r>
              <w:rPr>
                <w:rFonts w:cs="Calibri"/>
                <w:i/>
                <w:iCs/>
                <w:kern w:val="0"/>
                <w:sz w:val="19"/>
                <w:szCs w:val="19"/>
                <w:lang w:eastAsia="en-AU"/>
              </w:rPr>
              <w:t>*</w:t>
            </w:r>
          </w:p>
        </w:tc>
        <w:tc>
          <w:tcPr>
            <w:tcW w:w="2100" w:type="dxa"/>
            <w:tcBorders>
              <w:top w:val="nil"/>
              <w:left w:val="nil"/>
              <w:bottom w:val="single" w:sz="4" w:space="0" w:color="auto"/>
              <w:right w:val="single" w:sz="4" w:space="0" w:color="auto"/>
            </w:tcBorders>
            <w:shd w:val="clear" w:color="auto" w:fill="auto"/>
            <w:noWrap/>
            <w:vAlign w:val="bottom"/>
            <w:hideMark/>
          </w:tcPr>
          <w:p w14:paraId="716314A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011C630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390EB51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44709A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54119A3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94028FC"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Limosella australis</w:t>
            </w:r>
          </w:p>
        </w:tc>
        <w:tc>
          <w:tcPr>
            <w:tcW w:w="2100" w:type="dxa"/>
            <w:tcBorders>
              <w:top w:val="nil"/>
              <w:left w:val="nil"/>
              <w:bottom w:val="single" w:sz="4" w:space="0" w:color="auto"/>
              <w:right w:val="single" w:sz="4" w:space="0" w:color="auto"/>
            </w:tcBorders>
            <w:shd w:val="clear" w:color="auto" w:fill="auto"/>
            <w:noWrap/>
            <w:vAlign w:val="bottom"/>
            <w:hideMark/>
          </w:tcPr>
          <w:p w14:paraId="2D7151F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Scrophulariaceae</w:t>
            </w:r>
          </w:p>
        </w:tc>
        <w:tc>
          <w:tcPr>
            <w:tcW w:w="2575" w:type="dxa"/>
            <w:tcBorders>
              <w:top w:val="nil"/>
              <w:left w:val="nil"/>
              <w:bottom w:val="single" w:sz="4" w:space="0" w:color="auto"/>
              <w:right w:val="single" w:sz="4" w:space="0" w:color="auto"/>
            </w:tcBorders>
            <w:shd w:val="clear" w:color="auto" w:fill="auto"/>
            <w:noWrap/>
            <w:vAlign w:val="bottom"/>
            <w:hideMark/>
          </w:tcPr>
          <w:p w14:paraId="6F626BD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DCFDB4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1A1C8B1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5BF1872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2564982"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Ludwigia peploides</w:t>
            </w:r>
          </w:p>
        </w:tc>
        <w:tc>
          <w:tcPr>
            <w:tcW w:w="2100" w:type="dxa"/>
            <w:tcBorders>
              <w:top w:val="nil"/>
              <w:left w:val="nil"/>
              <w:bottom w:val="single" w:sz="4" w:space="0" w:color="auto"/>
              <w:right w:val="single" w:sz="4" w:space="0" w:color="auto"/>
            </w:tcBorders>
            <w:shd w:val="clear" w:color="auto" w:fill="auto"/>
            <w:noWrap/>
            <w:vAlign w:val="bottom"/>
            <w:hideMark/>
          </w:tcPr>
          <w:p w14:paraId="034EE10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Onagraceae</w:t>
            </w:r>
          </w:p>
        </w:tc>
        <w:tc>
          <w:tcPr>
            <w:tcW w:w="2575" w:type="dxa"/>
            <w:tcBorders>
              <w:top w:val="nil"/>
              <w:left w:val="nil"/>
              <w:bottom w:val="single" w:sz="4" w:space="0" w:color="auto"/>
              <w:right w:val="single" w:sz="4" w:space="0" w:color="auto"/>
            </w:tcBorders>
            <w:shd w:val="clear" w:color="auto" w:fill="auto"/>
            <w:noWrap/>
            <w:vAlign w:val="bottom"/>
            <w:hideMark/>
          </w:tcPr>
          <w:p w14:paraId="041BE3D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3CFFC90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3BD0FFC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0BFAD61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BDBBC49"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Lythrum hyssopifolia</w:t>
            </w:r>
          </w:p>
        </w:tc>
        <w:tc>
          <w:tcPr>
            <w:tcW w:w="2100" w:type="dxa"/>
            <w:tcBorders>
              <w:top w:val="nil"/>
              <w:left w:val="nil"/>
              <w:bottom w:val="single" w:sz="4" w:space="0" w:color="auto"/>
              <w:right w:val="single" w:sz="4" w:space="0" w:color="auto"/>
            </w:tcBorders>
            <w:shd w:val="clear" w:color="auto" w:fill="auto"/>
            <w:noWrap/>
            <w:vAlign w:val="bottom"/>
            <w:hideMark/>
          </w:tcPr>
          <w:p w14:paraId="17D32EC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Lythraceae</w:t>
            </w:r>
          </w:p>
        </w:tc>
        <w:tc>
          <w:tcPr>
            <w:tcW w:w="2575" w:type="dxa"/>
            <w:tcBorders>
              <w:top w:val="nil"/>
              <w:left w:val="nil"/>
              <w:bottom w:val="single" w:sz="4" w:space="0" w:color="auto"/>
              <w:right w:val="single" w:sz="4" w:space="0" w:color="auto"/>
            </w:tcBorders>
            <w:shd w:val="clear" w:color="auto" w:fill="auto"/>
            <w:noWrap/>
            <w:vAlign w:val="bottom"/>
            <w:hideMark/>
          </w:tcPr>
          <w:p w14:paraId="1BB6AEF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A61DF7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27C6AD8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7677028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0F46BAD"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Medicago*</w:t>
            </w:r>
          </w:p>
        </w:tc>
        <w:tc>
          <w:tcPr>
            <w:tcW w:w="2100" w:type="dxa"/>
            <w:tcBorders>
              <w:top w:val="nil"/>
              <w:left w:val="nil"/>
              <w:bottom w:val="single" w:sz="4" w:space="0" w:color="auto"/>
              <w:right w:val="single" w:sz="4" w:space="0" w:color="auto"/>
            </w:tcBorders>
            <w:shd w:val="clear" w:color="auto" w:fill="auto"/>
            <w:noWrap/>
            <w:vAlign w:val="bottom"/>
            <w:hideMark/>
          </w:tcPr>
          <w:p w14:paraId="2BD3A99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Fabaceae</w:t>
            </w:r>
          </w:p>
        </w:tc>
        <w:tc>
          <w:tcPr>
            <w:tcW w:w="2575" w:type="dxa"/>
            <w:tcBorders>
              <w:top w:val="nil"/>
              <w:left w:val="nil"/>
              <w:bottom w:val="single" w:sz="4" w:space="0" w:color="auto"/>
              <w:right w:val="single" w:sz="4" w:space="0" w:color="auto"/>
            </w:tcBorders>
            <w:shd w:val="clear" w:color="auto" w:fill="auto"/>
            <w:noWrap/>
            <w:vAlign w:val="bottom"/>
            <w:hideMark/>
          </w:tcPr>
          <w:p w14:paraId="721D9BE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74F2165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65142A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9CAD16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EA879D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Melaleuca lanceolata</w:t>
            </w:r>
          </w:p>
        </w:tc>
        <w:tc>
          <w:tcPr>
            <w:tcW w:w="2100" w:type="dxa"/>
            <w:tcBorders>
              <w:top w:val="nil"/>
              <w:left w:val="nil"/>
              <w:bottom w:val="single" w:sz="4" w:space="0" w:color="auto"/>
              <w:right w:val="single" w:sz="4" w:space="0" w:color="auto"/>
            </w:tcBorders>
            <w:shd w:val="clear" w:color="auto" w:fill="auto"/>
            <w:noWrap/>
            <w:vAlign w:val="bottom"/>
            <w:hideMark/>
          </w:tcPr>
          <w:p w14:paraId="3056F88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Myrtaceae</w:t>
            </w:r>
          </w:p>
        </w:tc>
        <w:tc>
          <w:tcPr>
            <w:tcW w:w="2575" w:type="dxa"/>
            <w:tcBorders>
              <w:top w:val="nil"/>
              <w:left w:val="nil"/>
              <w:bottom w:val="single" w:sz="4" w:space="0" w:color="auto"/>
              <w:right w:val="single" w:sz="4" w:space="0" w:color="auto"/>
            </w:tcBorders>
            <w:shd w:val="clear" w:color="auto" w:fill="auto"/>
            <w:noWrap/>
            <w:vAlign w:val="bottom"/>
            <w:hideMark/>
          </w:tcPr>
          <w:p w14:paraId="138A5C6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3E083FE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tree</w:t>
            </w:r>
          </w:p>
        </w:tc>
        <w:tc>
          <w:tcPr>
            <w:tcW w:w="1860" w:type="dxa"/>
            <w:tcBorders>
              <w:top w:val="nil"/>
              <w:left w:val="nil"/>
              <w:bottom w:val="single" w:sz="4" w:space="0" w:color="auto"/>
              <w:right w:val="single" w:sz="4" w:space="0" w:color="auto"/>
            </w:tcBorders>
            <w:shd w:val="clear" w:color="auto" w:fill="auto"/>
            <w:noWrap/>
            <w:vAlign w:val="bottom"/>
            <w:hideMark/>
          </w:tcPr>
          <w:p w14:paraId="5D87476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031A18EB"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4D0ED0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Melilotus indicus*</w:t>
            </w:r>
          </w:p>
        </w:tc>
        <w:tc>
          <w:tcPr>
            <w:tcW w:w="2100" w:type="dxa"/>
            <w:tcBorders>
              <w:top w:val="nil"/>
              <w:left w:val="nil"/>
              <w:bottom w:val="single" w:sz="4" w:space="0" w:color="auto"/>
              <w:right w:val="single" w:sz="4" w:space="0" w:color="auto"/>
            </w:tcBorders>
            <w:shd w:val="clear" w:color="auto" w:fill="auto"/>
            <w:noWrap/>
            <w:vAlign w:val="bottom"/>
            <w:hideMark/>
          </w:tcPr>
          <w:p w14:paraId="3E21383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Fabaceae</w:t>
            </w:r>
          </w:p>
        </w:tc>
        <w:tc>
          <w:tcPr>
            <w:tcW w:w="2575" w:type="dxa"/>
            <w:tcBorders>
              <w:top w:val="nil"/>
              <w:left w:val="nil"/>
              <w:bottom w:val="single" w:sz="4" w:space="0" w:color="auto"/>
              <w:right w:val="single" w:sz="4" w:space="0" w:color="auto"/>
            </w:tcBorders>
            <w:shd w:val="clear" w:color="auto" w:fill="auto"/>
            <w:noWrap/>
            <w:vAlign w:val="bottom"/>
            <w:hideMark/>
          </w:tcPr>
          <w:p w14:paraId="1B76BC0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3517F97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3C90D8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07F75EDE"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B3AAD7D"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Mesembryanthemum crystallinum</w:t>
            </w:r>
            <w:r>
              <w:rPr>
                <w:rFonts w:cs="Calibri"/>
                <w:i/>
                <w:iCs/>
                <w:kern w:val="0"/>
                <w:sz w:val="19"/>
                <w:szCs w:val="19"/>
                <w:lang w:eastAsia="en-AU"/>
              </w:rPr>
              <w:t>*</w:t>
            </w:r>
          </w:p>
        </w:tc>
        <w:tc>
          <w:tcPr>
            <w:tcW w:w="2100" w:type="dxa"/>
            <w:tcBorders>
              <w:top w:val="nil"/>
              <w:left w:val="nil"/>
              <w:bottom w:val="single" w:sz="4" w:space="0" w:color="auto"/>
              <w:right w:val="single" w:sz="4" w:space="0" w:color="auto"/>
            </w:tcBorders>
            <w:shd w:val="clear" w:color="auto" w:fill="auto"/>
            <w:noWrap/>
            <w:vAlign w:val="bottom"/>
            <w:hideMark/>
          </w:tcPr>
          <w:p w14:paraId="351E5E2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Aizoaceae</w:t>
            </w:r>
          </w:p>
        </w:tc>
        <w:tc>
          <w:tcPr>
            <w:tcW w:w="2575" w:type="dxa"/>
            <w:tcBorders>
              <w:top w:val="nil"/>
              <w:left w:val="nil"/>
              <w:bottom w:val="single" w:sz="4" w:space="0" w:color="auto"/>
              <w:right w:val="single" w:sz="4" w:space="0" w:color="auto"/>
            </w:tcBorders>
            <w:shd w:val="clear" w:color="auto" w:fill="auto"/>
            <w:noWrap/>
            <w:vAlign w:val="bottom"/>
            <w:hideMark/>
          </w:tcPr>
          <w:p w14:paraId="690E71B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6A2DE6E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E0103A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1BA1FBA0"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7FF1BBA"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Mollugo cerviana</w:t>
            </w:r>
          </w:p>
        </w:tc>
        <w:tc>
          <w:tcPr>
            <w:tcW w:w="2100" w:type="dxa"/>
            <w:tcBorders>
              <w:top w:val="nil"/>
              <w:left w:val="nil"/>
              <w:bottom w:val="single" w:sz="4" w:space="0" w:color="auto"/>
              <w:right w:val="single" w:sz="4" w:space="0" w:color="auto"/>
            </w:tcBorders>
            <w:shd w:val="clear" w:color="auto" w:fill="auto"/>
            <w:noWrap/>
            <w:vAlign w:val="bottom"/>
            <w:hideMark/>
          </w:tcPr>
          <w:p w14:paraId="50D7876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Aizoaceae</w:t>
            </w:r>
          </w:p>
        </w:tc>
        <w:tc>
          <w:tcPr>
            <w:tcW w:w="2575" w:type="dxa"/>
            <w:tcBorders>
              <w:top w:val="nil"/>
              <w:left w:val="nil"/>
              <w:bottom w:val="single" w:sz="4" w:space="0" w:color="auto"/>
              <w:right w:val="single" w:sz="4" w:space="0" w:color="auto"/>
            </w:tcBorders>
            <w:shd w:val="clear" w:color="auto" w:fill="auto"/>
            <w:noWrap/>
            <w:vAlign w:val="bottom"/>
            <w:hideMark/>
          </w:tcPr>
          <w:p w14:paraId="7773977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2887CBB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C9FDB0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2A555387"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03EF49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Mukia maderaspatana</w:t>
            </w:r>
          </w:p>
        </w:tc>
        <w:tc>
          <w:tcPr>
            <w:tcW w:w="2100" w:type="dxa"/>
            <w:tcBorders>
              <w:top w:val="nil"/>
              <w:left w:val="nil"/>
              <w:bottom w:val="single" w:sz="4" w:space="0" w:color="auto"/>
              <w:right w:val="single" w:sz="4" w:space="0" w:color="auto"/>
            </w:tcBorders>
            <w:shd w:val="clear" w:color="auto" w:fill="auto"/>
            <w:noWrap/>
            <w:vAlign w:val="bottom"/>
            <w:hideMark/>
          </w:tcPr>
          <w:p w14:paraId="7A39A83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Cucurbitaceae</w:t>
            </w:r>
          </w:p>
        </w:tc>
        <w:tc>
          <w:tcPr>
            <w:tcW w:w="2575" w:type="dxa"/>
            <w:tcBorders>
              <w:top w:val="nil"/>
              <w:left w:val="nil"/>
              <w:bottom w:val="single" w:sz="4" w:space="0" w:color="auto"/>
              <w:right w:val="single" w:sz="4" w:space="0" w:color="auto"/>
            </w:tcBorders>
            <w:shd w:val="clear" w:color="auto" w:fill="auto"/>
            <w:noWrap/>
            <w:vAlign w:val="bottom"/>
            <w:hideMark/>
          </w:tcPr>
          <w:p w14:paraId="10F7D0C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E121B9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67B8745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18D0EEF"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67234EA"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Myoporum montanum</w:t>
            </w:r>
          </w:p>
        </w:tc>
        <w:tc>
          <w:tcPr>
            <w:tcW w:w="2100" w:type="dxa"/>
            <w:tcBorders>
              <w:top w:val="nil"/>
              <w:left w:val="nil"/>
              <w:bottom w:val="single" w:sz="4" w:space="0" w:color="auto"/>
              <w:right w:val="single" w:sz="4" w:space="0" w:color="auto"/>
            </w:tcBorders>
            <w:shd w:val="clear" w:color="auto" w:fill="auto"/>
            <w:noWrap/>
            <w:vAlign w:val="bottom"/>
            <w:hideMark/>
          </w:tcPr>
          <w:p w14:paraId="0664CAC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Myoporaceae</w:t>
            </w:r>
          </w:p>
        </w:tc>
        <w:tc>
          <w:tcPr>
            <w:tcW w:w="2575" w:type="dxa"/>
            <w:tcBorders>
              <w:top w:val="nil"/>
              <w:left w:val="nil"/>
              <w:bottom w:val="single" w:sz="4" w:space="0" w:color="auto"/>
              <w:right w:val="single" w:sz="4" w:space="0" w:color="auto"/>
            </w:tcBorders>
            <w:shd w:val="clear" w:color="auto" w:fill="auto"/>
            <w:noWrap/>
            <w:vAlign w:val="bottom"/>
            <w:hideMark/>
          </w:tcPr>
          <w:p w14:paraId="63C4F37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5BDD42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tree</w:t>
            </w:r>
          </w:p>
        </w:tc>
        <w:tc>
          <w:tcPr>
            <w:tcW w:w="1860" w:type="dxa"/>
            <w:tcBorders>
              <w:top w:val="nil"/>
              <w:left w:val="nil"/>
              <w:bottom w:val="single" w:sz="4" w:space="0" w:color="auto"/>
              <w:right w:val="single" w:sz="4" w:space="0" w:color="auto"/>
            </w:tcBorders>
            <w:shd w:val="clear" w:color="auto" w:fill="auto"/>
            <w:noWrap/>
            <w:vAlign w:val="bottom"/>
            <w:hideMark/>
          </w:tcPr>
          <w:p w14:paraId="2E80E2E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57575682"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B82B2F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Myriophyllum verrucosum</w:t>
            </w:r>
          </w:p>
        </w:tc>
        <w:tc>
          <w:tcPr>
            <w:tcW w:w="2100" w:type="dxa"/>
            <w:tcBorders>
              <w:top w:val="nil"/>
              <w:left w:val="nil"/>
              <w:bottom w:val="single" w:sz="4" w:space="0" w:color="auto"/>
              <w:right w:val="single" w:sz="4" w:space="0" w:color="auto"/>
            </w:tcBorders>
            <w:shd w:val="clear" w:color="auto" w:fill="auto"/>
            <w:noWrap/>
            <w:vAlign w:val="bottom"/>
            <w:hideMark/>
          </w:tcPr>
          <w:p w14:paraId="2018031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Haloragaceae</w:t>
            </w:r>
          </w:p>
        </w:tc>
        <w:tc>
          <w:tcPr>
            <w:tcW w:w="2575" w:type="dxa"/>
            <w:tcBorders>
              <w:top w:val="nil"/>
              <w:left w:val="nil"/>
              <w:bottom w:val="single" w:sz="4" w:space="0" w:color="auto"/>
              <w:right w:val="single" w:sz="4" w:space="0" w:color="auto"/>
            </w:tcBorders>
            <w:shd w:val="clear" w:color="auto" w:fill="auto"/>
            <w:noWrap/>
            <w:vAlign w:val="bottom"/>
            <w:hideMark/>
          </w:tcPr>
          <w:p w14:paraId="543BA25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ED079D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6EDE0AF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282075A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C9E9CA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Nicotiana velutina</w:t>
            </w:r>
          </w:p>
        </w:tc>
        <w:tc>
          <w:tcPr>
            <w:tcW w:w="2100" w:type="dxa"/>
            <w:tcBorders>
              <w:top w:val="nil"/>
              <w:left w:val="nil"/>
              <w:bottom w:val="single" w:sz="4" w:space="0" w:color="auto"/>
              <w:right w:val="single" w:sz="4" w:space="0" w:color="auto"/>
            </w:tcBorders>
            <w:shd w:val="clear" w:color="auto" w:fill="auto"/>
            <w:noWrap/>
            <w:vAlign w:val="bottom"/>
            <w:hideMark/>
          </w:tcPr>
          <w:p w14:paraId="7BECB44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Solanaceae</w:t>
            </w:r>
          </w:p>
        </w:tc>
        <w:tc>
          <w:tcPr>
            <w:tcW w:w="2575" w:type="dxa"/>
            <w:tcBorders>
              <w:top w:val="nil"/>
              <w:left w:val="nil"/>
              <w:bottom w:val="single" w:sz="4" w:space="0" w:color="auto"/>
              <w:right w:val="single" w:sz="4" w:space="0" w:color="auto"/>
            </w:tcBorders>
            <w:shd w:val="clear" w:color="auto" w:fill="auto"/>
            <w:noWrap/>
            <w:vAlign w:val="bottom"/>
            <w:hideMark/>
          </w:tcPr>
          <w:p w14:paraId="42CD843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61567CF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4E04C5A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31E6413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04E98E2"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Paspalidium jubiflorum</w:t>
            </w:r>
          </w:p>
        </w:tc>
        <w:tc>
          <w:tcPr>
            <w:tcW w:w="2100" w:type="dxa"/>
            <w:tcBorders>
              <w:top w:val="nil"/>
              <w:left w:val="nil"/>
              <w:bottom w:val="single" w:sz="4" w:space="0" w:color="auto"/>
              <w:right w:val="single" w:sz="4" w:space="0" w:color="auto"/>
            </w:tcBorders>
            <w:shd w:val="clear" w:color="auto" w:fill="auto"/>
            <w:noWrap/>
            <w:vAlign w:val="bottom"/>
            <w:hideMark/>
          </w:tcPr>
          <w:p w14:paraId="624BCA5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Poaceae</w:t>
            </w:r>
          </w:p>
        </w:tc>
        <w:tc>
          <w:tcPr>
            <w:tcW w:w="2575" w:type="dxa"/>
            <w:tcBorders>
              <w:top w:val="nil"/>
              <w:left w:val="nil"/>
              <w:bottom w:val="single" w:sz="4" w:space="0" w:color="auto"/>
              <w:right w:val="single" w:sz="4" w:space="0" w:color="auto"/>
            </w:tcBorders>
            <w:shd w:val="clear" w:color="auto" w:fill="auto"/>
            <w:noWrap/>
            <w:vAlign w:val="bottom"/>
            <w:hideMark/>
          </w:tcPr>
          <w:p w14:paraId="109DC32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F54476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grass</w:t>
            </w:r>
          </w:p>
        </w:tc>
        <w:tc>
          <w:tcPr>
            <w:tcW w:w="1860" w:type="dxa"/>
            <w:tcBorders>
              <w:top w:val="nil"/>
              <w:left w:val="nil"/>
              <w:bottom w:val="single" w:sz="4" w:space="0" w:color="auto"/>
              <w:right w:val="single" w:sz="4" w:space="0" w:color="auto"/>
            </w:tcBorders>
            <w:shd w:val="clear" w:color="auto" w:fill="auto"/>
            <w:noWrap/>
            <w:vAlign w:val="bottom"/>
            <w:hideMark/>
          </w:tcPr>
          <w:p w14:paraId="2F42D4B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679E47C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610703"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Paspalum distichum</w:t>
            </w:r>
          </w:p>
        </w:tc>
        <w:tc>
          <w:tcPr>
            <w:tcW w:w="2100" w:type="dxa"/>
            <w:tcBorders>
              <w:top w:val="nil"/>
              <w:left w:val="nil"/>
              <w:bottom w:val="single" w:sz="4" w:space="0" w:color="auto"/>
              <w:right w:val="single" w:sz="4" w:space="0" w:color="auto"/>
            </w:tcBorders>
            <w:shd w:val="clear" w:color="auto" w:fill="auto"/>
            <w:noWrap/>
            <w:vAlign w:val="bottom"/>
            <w:hideMark/>
          </w:tcPr>
          <w:p w14:paraId="4A57001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Poaceae</w:t>
            </w:r>
          </w:p>
        </w:tc>
        <w:tc>
          <w:tcPr>
            <w:tcW w:w="2575" w:type="dxa"/>
            <w:tcBorders>
              <w:top w:val="nil"/>
              <w:left w:val="nil"/>
              <w:bottom w:val="single" w:sz="4" w:space="0" w:color="auto"/>
              <w:right w:val="single" w:sz="4" w:space="0" w:color="auto"/>
            </w:tcBorders>
            <w:shd w:val="clear" w:color="auto" w:fill="auto"/>
            <w:noWrap/>
            <w:vAlign w:val="bottom"/>
            <w:hideMark/>
          </w:tcPr>
          <w:p w14:paraId="06AB51D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56E822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grass</w:t>
            </w:r>
          </w:p>
        </w:tc>
        <w:tc>
          <w:tcPr>
            <w:tcW w:w="1860" w:type="dxa"/>
            <w:tcBorders>
              <w:top w:val="nil"/>
              <w:left w:val="nil"/>
              <w:bottom w:val="single" w:sz="4" w:space="0" w:color="auto"/>
              <w:right w:val="single" w:sz="4" w:space="0" w:color="auto"/>
            </w:tcBorders>
            <w:shd w:val="clear" w:color="auto" w:fill="auto"/>
            <w:noWrap/>
            <w:vAlign w:val="bottom"/>
            <w:hideMark/>
          </w:tcPr>
          <w:p w14:paraId="2B834FE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340E009E"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E34BA31"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Persicaria lapathifolia</w:t>
            </w:r>
          </w:p>
        </w:tc>
        <w:tc>
          <w:tcPr>
            <w:tcW w:w="2100" w:type="dxa"/>
            <w:tcBorders>
              <w:top w:val="nil"/>
              <w:left w:val="nil"/>
              <w:bottom w:val="single" w:sz="4" w:space="0" w:color="auto"/>
              <w:right w:val="single" w:sz="4" w:space="0" w:color="auto"/>
            </w:tcBorders>
            <w:shd w:val="clear" w:color="auto" w:fill="auto"/>
            <w:noWrap/>
            <w:vAlign w:val="bottom"/>
            <w:hideMark/>
          </w:tcPr>
          <w:p w14:paraId="07D7D14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Polygonaceae</w:t>
            </w:r>
          </w:p>
        </w:tc>
        <w:tc>
          <w:tcPr>
            <w:tcW w:w="2575" w:type="dxa"/>
            <w:tcBorders>
              <w:top w:val="nil"/>
              <w:left w:val="nil"/>
              <w:bottom w:val="single" w:sz="4" w:space="0" w:color="auto"/>
              <w:right w:val="single" w:sz="4" w:space="0" w:color="auto"/>
            </w:tcBorders>
            <w:shd w:val="clear" w:color="auto" w:fill="auto"/>
            <w:noWrap/>
            <w:vAlign w:val="bottom"/>
            <w:hideMark/>
          </w:tcPr>
          <w:p w14:paraId="7D8464B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5B1884B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56A932C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r w:rsidR="002F3182" w:rsidRPr="00AE5357" w14:paraId="71C8292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83A7EB3"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Phragmites australis</w:t>
            </w:r>
          </w:p>
        </w:tc>
        <w:tc>
          <w:tcPr>
            <w:tcW w:w="2100" w:type="dxa"/>
            <w:tcBorders>
              <w:top w:val="nil"/>
              <w:left w:val="nil"/>
              <w:bottom w:val="single" w:sz="4" w:space="0" w:color="auto"/>
              <w:right w:val="single" w:sz="4" w:space="0" w:color="auto"/>
            </w:tcBorders>
            <w:shd w:val="clear" w:color="auto" w:fill="auto"/>
            <w:noWrap/>
            <w:vAlign w:val="bottom"/>
            <w:hideMark/>
          </w:tcPr>
          <w:p w14:paraId="171B4F9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Poaceae</w:t>
            </w:r>
          </w:p>
        </w:tc>
        <w:tc>
          <w:tcPr>
            <w:tcW w:w="2575" w:type="dxa"/>
            <w:tcBorders>
              <w:top w:val="nil"/>
              <w:left w:val="nil"/>
              <w:bottom w:val="single" w:sz="4" w:space="0" w:color="auto"/>
              <w:right w:val="single" w:sz="4" w:space="0" w:color="auto"/>
            </w:tcBorders>
            <w:shd w:val="clear" w:color="auto" w:fill="auto"/>
            <w:noWrap/>
            <w:vAlign w:val="bottom"/>
            <w:hideMark/>
          </w:tcPr>
          <w:p w14:paraId="0DC89D3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6444D0A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grass</w:t>
            </w:r>
          </w:p>
        </w:tc>
        <w:tc>
          <w:tcPr>
            <w:tcW w:w="1860" w:type="dxa"/>
            <w:tcBorders>
              <w:top w:val="nil"/>
              <w:left w:val="nil"/>
              <w:bottom w:val="single" w:sz="4" w:space="0" w:color="auto"/>
              <w:right w:val="single" w:sz="4" w:space="0" w:color="auto"/>
            </w:tcBorders>
            <w:shd w:val="clear" w:color="auto" w:fill="auto"/>
            <w:noWrap/>
            <w:vAlign w:val="bottom"/>
            <w:hideMark/>
          </w:tcPr>
          <w:p w14:paraId="3F065A6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Emergent</w:t>
            </w:r>
          </w:p>
        </w:tc>
      </w:tr>
      <w:tr w:rsidR="002F3182" w:rsidRPr="00AE5357" w14:paraId="31E6375E"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6DF3B99"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Phyllanthus lacunarius</w:t>
            </w:r>
          </w:p>
        </w:tc>
        <w:tc>
          <w:tcPr>
            <w:tcW w:w="2100" w:type="dxa"/>
            <w:tcBorders>
              <w:top w:val="nil"/>
              <w:left w:val="nil"/>
              <w:bottom w:val="single" w:sz="4" w:space="0" w:color="auto"/>
              <w:right w:val="single" w:sz="4" w:space="0" w:color="auto"/>
            </w:tcBorders>
            <w:shd w:val="clear" w:color="auto" w:fill="auto"/>
            <w:noWrap/>
            <w:vAlign w:val="bottom"/>
            <w:hideMark/>
          </w:tcPr>
          <w:p w14:paraId="5CFE174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Euphorbiaceae</w:t>
            </w:r>
          </w:p>
        </w:tc>
        <w:tc>
          <w:tcPr>
            <w:tcW w:w="2575" w:type="dxa"/>
            <w:tcBorders>
              <w:top w:val="nil"/>
              <w:left w:val="nil"/>
              <w:bottom w:val="single" w:sz="4" w:space="0" w:color="auto"/>
              <w:right w:val="single" w:sz="4" w:space="0" w:color="auto"/>
            </w:tcBorders>
            <w:shd w:val="clear" w:color="auto" w:fill="auto"/>
            <w:noWrap/>
            <w:vAlign w:val="bottom"/>
            <w:hideMark/>
          </w:tcPr>
          <w:p w14:paraId="1ACED4B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0BC2F129"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50AA575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1F425E74"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7E6EDE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Polygonum plebeium</w:t>
            </w:r>
          </w:p>
        </w:tc>
        <w:tc>
          <w:tcPr>
            <w:tcW w:w="2100" w:type="dxa"/>
            <w:tcBorders>
              <w:top w:val="nil"/>
              <w:left w:val="nil"/>
              <w:bottom w:val="single" w:sz="4" w:space="0" w:color="auto"/>
              <w:right w:val="single" w:sz="4" w:space="0" w:color="auto"/>
            </w:tcBorders>
            <w:shd w:val="clear" w:color="auto" w:fill="auto"/>
            <w:noWrap/>
            <w:vAlign w:val="bottom"/>
            <w:hideMark/>
          </w:tcPr>
          <w:p w14:paraId="2141D88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Polygonaceae</w:t>
            </w:r>
          </w:p>
        </w:tc>
        <w:tc>
          <w:tcPr>
            <w:tcW w:w="2575" w:type="dxa"/>
            <w:tcBorders>
              <w:top w:val="nil"/>
              <w:left w:val="nil"/>
              <w:bottom w:val="single" w:sz="4" w:space="0" w:color="auto"/>
              <w:right w:val="single" w:sz="4" w:space="0" w:color="auto"/>
            </w:tcBorders>
            <w:shd w:val="clear" w:color="auto" w:fill="auto"/>
            <w:noWrap/>
            <w:vAlign w:val="bottom"/>
            <w:hideMark/>
          </w:tcPr>
          <w:p w14:paraId="761CF84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506CB27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506C1B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6C231719"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02E3B0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Pseudognaphalium luteoalbum</w:t>
            </w:r>
          </w:p>
        </w:tc>
        <w:tc>
          <w:tcPr>
            <w:tcW w:w="2100" w:type="dxa"/>
            <w:tcBorders>
              <w:top w:val="nil"/>
              <w:left w:val="nil"/>
              <w:bottom w:val="single" w:sz="4" w:space="0" w:color="auto"/>
              <w:right w:val="single" w:sz="4" w:space="0" w:color="auto"/>
            </w:tcBorders>
            <w:shd w:val="clear" w:color="auto" w:fill="auto"/>
            <w:noWrap/>
            <w:vAlign w:val="bottom"/>
            <w:hideMark/>
          </w:tcPr>
          <w:p w14:paraId="189AEF1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0AD3B2C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67F541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DC8D1BE"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2A250F6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93A1950"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Reichardia tingitana*</w:t>
            </w:r>
          </w:p>
        </w:tc>
        <w:tc>
          <w:tcPr>
            <w:tcW w:w="2100" w:type="dxa"/>
            <w:tcBorders>
              <w:top w:val="nil"/>
              <w:left w:val="nil"/>
              <w:bottom w:val="single" w:sz="4" w:space="0" w:color="auto"/>
              <w:right w:val="single" w:sz="4" w:space="0" w:color="auto"/>
            </w:tcBorders>
            <w:shd w:val="clear" w:color="auto" w:fill="auto"/>
            <w:noWrap/>
            <w:vAlign w:val="bottom"/>
            <w:hideMark/>
          </w:tcPr>
          <w:p w14:paraId="64E9D60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79C4745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00B0882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F64D3F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3D1EBF07"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ACD2292"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Rhagodia spinescens</w:t>
            </w:r>
          </w:p>
        </w:tc>
        <w:tc>
          <w:tcPr>
            <w:tcW w:w="2100" w:type="dxa"/>
            <w:tcBorders>
              <w:top w:val="nil"/>
              <w:left w:val="nil"/>
              <w:bottom w:val="single" w:sz="4" w:space="0" w:color="auto"/>
              <w:right w:val="single" w:sz="4" w:space="0" w:color="auto"/>
            </w:tcBorders>
            <w:shd w:val="clear" w:color="auto" w:fill="auto"/>
            <w:noWrap/>
            <w:vAlign w:val="bottom"/>
            <w:hideMark/>
          </w:tcPr>
          <w:p w14:paraId="5AB4210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4B64E86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935B5B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sub-shrub</w:t>
            </w:r>
          </w:p>
        </w:tc>
        <w:tc>
          <w:tcPr>
            <w:tcW w:w="1860" w:type="dxa"/>
            <w:tcBorders>
              <w:top w:val="nil"/>
              <w:left w:val="nil"/>
              <w:bottom w:val="single" w:sz="4" w:space="0" w:color="auto"/>
              <w:right w:val="single" w:sz="4" w:space="0" w:color="auto"/>
            </w:tcBorders>
            <w:shd w:val="clear" w:color="auto" w:fill="auto"/>
            <w:noWrap/>
            <w:vAlign w:val="bottom"/>
            <w:hideMark/>
          </w:tcPr>
          <w:p w14:paraId="1C8889E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6C06F3E1"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F93492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Schoenoplectus tabernaemontani</w:t>
            </w:r>
          </w:p>
        </w:tc>
        <w:tc>
          <w:tcPr>
            <w:tcW w:w="2100" w:type="dxa"/>
            <w:tcBorders>
              <w:top w:val="nil"/>
              <w:left w:val="nil"/>
              <w:bottom w:val="single" w:sz="4" w:space="0" w:color="auto"/>
              <w:right w:val="single" w:sz="4" w:space="0" w:color="auto"/>
            </w:tcBorders>
            <w:shd w:val="clear" w:color="auto" w:fill="auto"/>
            <w:noWrap/>
            <w:vAlign w:val="bottom"/>
            <w:hideMark/>
          </w:tcPr>
          <w:p w14:paraId="306A66A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Cyperaceae</w:t>
            </w:r>
          </w:p>
        </w:tc>
        <w:tc>
          <w:tcPr>
            <w:tcW w:w="2575" w:type="dxa"/>
            <w:tcBorders>
              <w:top w:val="nil"/>
              <w:left w:val="nil"/>
              <w:bottom w:val="single" w:sz="4" w:space="0" w:color="auto"/>
              <w:right w:val="single" w:sz="4" w:space="0" w:color="auto"/>
            </w:tcBorders>
            <w:shd w:val="clear" w:color="auto" w:fill="auto"/>
            <w:noWrap/>
            <w:vAlign w:val="bottom"/>
            <w:hideMark/>
          </w:tcPr>
          <w:p w14:paraId="7CF1472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F4349E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sedge</w:t>
            </w:r>
          </w:p>
        </w:tc>
        <w:tc>
          <w:tcPr>
            <w:tcW w:w="1860" w:type="dxa"/>
            <w:tcBorders>
              <w:top w:val="nil"/>
              <w:left w:val="nil"/>
              <w:bottom w:val="single" w:sz="4" w:space="0" w:color="auto"/>
              <w:right w:val="single" w:sz="4" w:space="0" w:color="auto"/>
            </w:tcBorders>
            <w:shd w:val="clear" w:color="auto" w:fill="auto"/>
            <w:noWrap/>
            <w:vAlign w:val="bottom"/>
            <w:hideMark/>
          </w:tcPr>
          <w:p w14:paraId="63771FA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Emergent</w:t>
            </w:r>
          </w:p>
        </w:tc>
      </w:tr>
      <w:tr w:rsidR="002F3182" w:rsidRPr="00AE5357" w14:paraId="56DF44BA"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1C6FC3E"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Sclerolaena tricuspis</w:t>
            </w:r>
          </w:p>
        </w:tc>
        <w:tc>
          <w:tcPr>
            <w:tcW w:w="2100" w:type="dxa"/>
            <w:tcBorders>
              <w:top w:val="nil"/>
              <w:left w:val="nil"/>
              <w:bottom w:val="single" w:sz="4" w:space="0" w:color="auto"/>
              <w:right w:val="single" w:sz="4" w:space="0" w:color="auto"/>
            </w:tcBorders>
            <w:shd w:val="clear" w:color="auto" w:fill="auto"/>
            <w:noWrap/>
            <w:vAlign w:val="bottom"/>
            <w:hideMark/>
          </w:tcPr>
          <w:p w14:paraId="29C7B9F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Chenoppodiaceae</w:t>
            </w:r>
          </w:p>
        </w:tc>
        <w:tc>
          <w:tcPr>
            <w:tcW w:w="2575" w:type="dxa"/>
            <w:tcBorders>
              <w:top w:val="nil"/>
              <w:left w:val="nil"/>
              <w:bottom w:val="single" w:sz="4" w:space="0" w:color="auto"/>
              <w:right w:val="single" w:sz="4" w:space="0" w:color="auto"/>
            </w:tcBorders>
            <w:shd w:val="clear" w:color="auto" w:fill="auto"/>
            <w:noWrap/>
            <w:vAlign w:val="bottom"/>
            <w:hideMark/>
          </w:tcPr>
          <w:p w14:paraId="6E35A0E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A6AA0E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sub-shrub</w:t>
            </w:r>
          </w:p>
        </w:tc>
        <w:tc>
          <w:tcPr>
            <w:tcW w:w="1860" w:type="dxa"/>
            <w:tcBorders>
              <w:top w:val="nil"/>
              <w:left w:val="nil"/>
              <w:bottom w:val="single" w:sz="4" w:space="0" w:color="auto"/>
              <w:right w:val="single" w:sz="4" w:space="0" w:color="auto"/>
            </w:tcBorders>
            <w:shd w:val="clear" w:color="auto" w:fill="auto"/>
            <w:noWrap/>
            <w:vAlign w:val="bottom"/>
            <w:hideMark/>
          </w:tcPr>
          <w:p w14:paraId="07AB6F7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2E715B1"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E5C650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Senecio cunninghamii</w:t>
            </w:r>
          </w:p>
        </w:tc>
        <w:tc>
          <w:tcPr>
            <w:tcW w:w="2100" w:type="dxa"/>
            <w:tcBorders>
              <w:top w:val="nil"/>
              <w:left w:val="nil"/>
              <w:bottom w:val="single" w:sz="4" w:space="0" w:color="auto"/>
              <w:right w:val="single" w:sz="4" w:space="0" w:color="auto"/>
            </w:tcBorders>
            <w:shd w:val="clear" w:color="auto" w:fill="auto"/>
            <w:noWrap/>
            <w:vAlign w:val="bottom"/>
            <w:hideMark/>
          </w:tcPr>
          <w:p w14:paraId="499C354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08B5A59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3B9D4FF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Perennial shrub</w:t>
            </w:r>
          </w:p>
        </w:tc>
        <w:tc>
          <w:tcPr>
            <w:tcW w:w="1860" w:type="dxa"/>
            <w:tcBorders>
              <w:top w:val="nil"/>
              <w:left w:val="nil"/>
              <w:bottom w:val="single" w:sz="4" w:space="0" w:color="auto"/>
              <w:right w:val="single" w:sz="4" w:space="0" w:color="auto"/>
            </w:tcBorders>
            <w:shd w:val="clear" w:color="auto" w:fill="auto"/>
            <w:noWrap/>
            <w:vAlign w:val="bottom"/>
            <w:hideMark/>
          </w:tcPr>
          <w:p w14:paraId="1D10A718"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1E77B4E3"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637F63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Senecio runcinifolius</w:t>
            </w:r>
          </w:p>
        </w:tc>
        <w:tc>
          <w:tcPr>
            <w:tcW w:w="2100" w:type="dxa"/>
            <w:tcBorders>
              <w:top w:val="nil"/>
              <w:left w:val="nil"/>
              <w:bottom w:val="single" w:sz="4" w:space="0" w:color="auto"/>
              <w:right w:val="single" w:sz="4" w:space="0" w:color="auto"/>
            </w:tcBorders>
            <w:shd w:val="clear" w:color="auto" w:fill="auto"/>
            <w:noWrap/>
            <w:vAlign w:val="bottom"/>
            <w:hideMark/>
          </w:tcPr>
          <w:p w14:paraId="7BECE6A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4A58A21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54FA3C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1B4AC51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295D378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1631E69"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Sonchus oleraceus</w:t>
            </w:r>
            <w:r>
              <w:rPr>
                <w:rFonts w:cs="Calibri"/>
                <w:i/>
                <w:iCs/>
                <w:kern w:val="0"/>
                <w:sz w:val="19"/>
                <w:szCs w:val="19"/>
                <w:lang w:eastAsia="en-AU"/>
              </w:rPr>
              <w:t>*</w:t>
            </w:r>
          </w:p>
        </w:tc>
        <w:tc>
          <w:tcPr>
            <w:tcW w:w="2100" w:type="dxa"/>
            <w:tcBorders>
              <w:top w:val="nil"/>
              <w:left w:val="nil"/>
              <w:bottom w:val="single" w:sz="4" w:space="0" w:color="auto"/>
              <w:right w:val="single" w:sz="4" w:space="0" w:color="auto"/>
            </w:tcBorders>
            <w:shd w:val="clear" w:color="auto" w:fill="auto"/>
            <w:noWrap/>
            <w:vAlign w:val="bottom"/>
            <w:hideMark/>
          </w:tcPr>
          <w:p w14:paraId="029299F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4D29109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3B6D45DF"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6A1E598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2337E7C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8282BAD"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Sphaeromorphaea australis</w:t>
            </w:r>
          </w:p>
        </w:tc>
        <w:tc>
          <w:tcPr>
            <w:tcW w:w="2100" w:type="dxa"/>
            <w:tcBorders>
              <w:top w:val="nil"/>
              <w:left w:val="nil"/>
              <w:bottom w:val="single" w:sz="4" w:space="0" w:color="auto"/>
              <w:right w:val="single" w:sz="4" w:space="0" w:color="auto"/>
            </w:tcBorders>
            <w:shd w:val="clear" w:color="auto" w:fill="auto"/>
            <w:noWrap/>
            <w:vAlign w:val="bottom"/>
            <w:hideMark/>
          </w:tcPr>
          <w:p w14:paraId="382092C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54AC54D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723F361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7E0BBBF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69092D41"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2C465EF"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Sporobolus mitchellii</w:t>
            </w:r>
          </w:p>
        </w:tc>
        <w:tc>
          <w:tcPr>
            <w:tcW w:w="2100" w:type="dxa"/>
            <w:tcBorders>
              <w:top w:val="nil"/>
              <w:left w:val="nil"/>
              <w:bottom w:val="single" w:sz="4" w:space="0" w:color="auto"/>
              <w:right w:val="single" w:sz="4" w:space="0" w:color="auto"/>
            </w:tcBorders>
            <w:shd w:val="clear" w:color="auto" w:fill="auto"/>
            <w:noWrap/>
            <w:vAlign w:val="bottom"/>
            <w:hideMark/>
          </w:tcPr>
          <w:p w14:paraId="3387601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Poaceae</w:t>
            </w:r>
          </w:p>
        </w:tc>
        <w:tc>
          <w:tcPr>
            <w:tcW w:w="2575" w:type="dxa"/>
            <w:tcBorders>
              <w:top w:val="nil"/>
              <w:left w:val="nil"/>
              <w:bottom w:val="single" w:sz="4" w:space="0" w:color="auto"/>
              <w:right w:val="single" w:sz="4" w:space="0" w:color="auto"/>
            </w:tcBorders>
            <w:shd w:val="clear" w:color="auto" w:fill="auto"/>
            <w:noWrap/>
            <w:vAlign w:val="bottom"/>
            <w:hideMark/>
          </w:tcPr>
          <w:p w14:paraId="6B7DF2C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59D86EE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grass</w:t>
            </w:r>
          </w:p>
        </w:tc>
        <w:tc>
          <w:tcPr>
            <w:tcW w:w="1860" w:type="dxa"/>
            <w:tcBorders>
              <w:top w:val="nil"/>
              <w:left w:val="nil"/>
              <w:bottom w:val="single" w:sz="4" w:space="0" w:color="auto"/>
              <w:right w:val="single" w:sz="4" w:space="0" w:color="auto"/>
            </w:tcBorders>
            <w:shd w:val="clear" w:color="auto" w:fill="auto"/>
            <w:noWrap/>
            <w:vAlign w:val="bottom"/>
            <w:hideMark/>
          </w:tcPr>
          <w:p w14:paraId="5F2351E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76EFC4EC"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01A14DF"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Stemodia florulenta</w:t>
            </w:r>
          </w:p>
        </w:tc>
        <w:tc>
          <w:tcPr>
            <w:tcW w:w="2100" w:type="dxa"/>
            <w:tcBorders>
              <w:top w:val="nil"/>
              <w:left w:val="nil"/>
              <w:bottom w:val="single" w:sz="4" w:space="0" w:color="auto"/>
              <w:right w:val="single" w:sz="4" w:space="0" w:color="auto"/>
            </w:tcBorders>
            <w:shd w:val="clear" w:color="auto" w:fill="auto"/>
            <w:noWrap/>
            <w:vAlign w:val="bottom"/>
            <w:hideMark/>
          </w:tcPr>
          <w:p w14:paraId="239F64F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Scrophulariaceae</w:t>
            </w:r>
          </w:p>
        </w:tc>
        <w:tc>
          <w:tcPr>
            <w:tcW w:w="2575" w:type="dxa"/>
            <w:tcBorders>
              <w:top w:val="nil"/>
              <w:left w:val="nil"/>
              <w:bottom w:val="single" w:sz="4" w:space="0" w:color="auto"/>
              <w:right w:val="single" w:sz="4" w:space="0" w:color="auto"/>
            </w:tcBorders>
            <w:shd w:val="clear" w:color="auto" w:fill="auto"/>
            <w:noWrap/>
            <w:vAlign w:val="bottom"/>
            <w:hideMark/>
          </w:tcPr>
          <w:p w14:paraId="34F102D1"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1D05D06A"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031926B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19381698"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7628EA4"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Symphyotrichum subulatum*</w:t>
            </w:r>
          </w:p>
        </w:tc>
        <w:tc>
          <w:tcPr>
            <w:tcW w:w="2100" w:type="dxa"/>
            <w:tcBorders>
              <w:top w:val="nil"/>
              <w:left w:val="nil"/>
              <w:bottom w:val="single" w:sz="4" w:space="0" w:color="auto"/>
              <w:right w:val="single" w:sz="4" w:space="0" w:color="auto"/>
            </w:tcBorders>
            <w:shd w:val="clear" w:color="auto" w:fill="auto"/>
            <w:noWrap/>
            <w:vAlign w:val="bottom"/>
            <w:hideMark/>
          </w:tcPr>
          <w:p w14:paraId="4B07128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695F976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Naturalised</w:t>
            </w:r>
          </w:p>
        </w:tc>
        <w:tc>
          <w:tcPr>
            <w:tcW w:w="3296" w:type="dxa"/>
            <w:tcBorders>
              <w:top w:val="nil"/>
              <w:left w:val="nil"/>
              <w:bottom w:val="single" w:sz="4" w:space="0" w:color="auto"/>
              <w:right w:val="single" w:sz="4" w:space="0" w:color="auto"/>
            </w:tcBorders>
            <w:shd w:val="clear" w:color="auto" w:fill="auto"/>
            <w:noWrap/>
            <w:vAlign w:val="bottom"/>
            <w:hideMark/>
          </w:tcPr>
          <w:p w14:paraId="1340C8C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37642DA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3DCE7DF7"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7C77E2B"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Tetragonia tetragonoides</w:t>
            </w:r>
          </w:p>
        </w:tc>
        <w:tc>
          <w:tcPr>
            <w:tcW w:w="2100" w:type="dxa"/>
            <w:tcBorders>
              <w:top w:val="nil"/>
              <w:left w:val="nil"/>
              <w:bottom w:val="single" w:sz="4" w:space="0" w:color="auto"/>
              <w:right w:val="single" w:sz="4" w:space="0" w:color="auto"/>
            </w:tcBorders>
            <w:shd w:val="clear" w:color="auto" w:fill="auto"/>
            <w:noWrap/>
            <w:vAlign w:val="bottom"/>
            <w:hideMark/>
          </w:tcPr>
          <w:p w14:paraId="5B3FECE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Aizoaceae</w:t>
            </w:r>
          </w:p>
        </w:tc>
        <w:tc>
          <w:tcPr>
            <w:tcW w:w="2575" w:type="dxa"/>
            <w:tcBorders>
              <w:top w:val="nil"/>
              <w:left w:val="nil"/>
              <w:bottom w:val="single" w:sz="4" w:space="0" w:color="auto"/>
              <w:right w:val="single" w:sz="4" w:space="0" w:color="auto"/>
            </w:tcBorders>
            <w:shd w:val="clear" w:color="auto" w:fill="auto"/>
            <w:noWrap/>
            <w:vAlign w:val="bottom"/>
            <w:hideMark/>
          </w:tcPr>
          <w:p w14:paraId="3E6FECA7"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66D685E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4EDADFF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Terrestrial</w:t>
            </w:r>
          </w:p>
        </w:tc>
      </w:tr>
      <w:tr w:rsidR="002F3182" w:rsidRPr="00AE5357" w14:paraId="18ABCB3E"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5C33CE8"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Teucrium racemosum</w:t>
            </w:r>
          </w:p>
        </w:tc>
        <w:tc>
          <w:tcPr>
            <w:tcW w:w="2100" w:type="dxa"/>
            <w:tcBorders>
              <w:top w:val="nil"/>
              <w:left w:val="nil"/>
              <w:bottom w:val="single" w:sz="4" w:space="0" w:color="auto"/>
              <w:right w:val="single" w:sz="4" w:space="0" w:color="auto"/>
            </w:tcBorders>
            <w:shd w:val="clear" w:color="auto" w:fill="auto"/>
            <w:noWrap/>
            <w:vAlign w:val="bottom"/>
            <w:hideMark/>
          </w:tcPr>
          <w:p w14:paraId="1E045165"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Lamiaceae</w:t>
            </w:r>
          </w:p>
        </w:tc>
        <w:tc>
          <w:tcPr>
            <w:tcW w:w="2575" w:type="dxa"/>
            <w:tcBorders>
              <w:top w:val="nil"/>
              <w:left w:val="nil"/>
              <w:bottom w:val="single" w:sz="4" w:space="0" w:color="auto"/>
              <w:right w:val="single" w:sz="4" w:space="0" w:color="auto"/>
            </w:tcBorders>
            <w:shd w:val="clear" w:color="auto" w:fill="auto"/>
            <w:noWrap/>
            <w:vAlign w:val="bottom"/>
            <w:hideMark/>
          </w:tcPr>
          <w:p w14:paraId="26B3639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B01424B"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Perrennial herb</w:t>
            </w:r>
          </w:p>
        </w:tc>
        <w:tc>
          <w:tcPr>
            <w:tcW w:w="1860" w:type="dxa"/>
            <w:tcBorders>
              <w:top w:val="nil"/>
              <w:left w:val="nil"/>
              <w:bottom w:val="single" w:sz="4" w:space="0" w:color="auto"/>
              <w:right w:val="single" w:sz="4" w:space="0" w:color="auto"/>
            </w:tcBorders>
            <w:shd w:val="clear" w:color="auto" w:fill="auto"/>
            <w:noWrap/>
            <w:vAlign w:val="bottom"/>
            <w:hideMark/>
          </w:tcPr>
          <w:p w14:paraId="0A59234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00686266"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1A0B895"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Wahlenbergia fluminalis</w:t>
            </w:r>
          </w:p>
        </w:tc>
        <w:tc>
          <w:tcPr>
            <w:tcW w:w="2100" w:type="dxa"/>
            <w:tcBorders>
              <w:top w:val="nil"/>
              <w:left w:val="nil"/>
              <w:bottom w:val="single" w:sz="4" w:space="0" w:color="auto"/>
              <w:right w:val="single" w:sz="4" w:space="0" w:color="auto"/>
            </w:tcBorders>
            <w:shd w:val="clear" w:color="auto" w:fill="auto"/>
            <w:noWrap/>
            <w:vAlign w:val="bottom"/>
            <w:hideMark/>
          </w:tcPr>
          <w:p w14:paraId="5DD5E24D"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Campanulaceae</w:t>
            </w:r>
          </w:p>
        </w:tc>
        <w:tc>
          <w:tcPr>
            <w:tcW w:w="2575" w:type="dxa"/>
            <w:tcBorders>
              <w:top w:val="nil"/>
              <w:left w:val="nil"/>
              <w:bottom w:val="single" w:sz="4" w:space="0" w:color="auto"/>
              <w:right w:val="single" w:sz="4" w:space="0" w:color="auto"/>
            </w:tcBorders>
            <w:shd w:val="clear" w:color="auto" w:fill="auto"/>
            <w:noWrap/>
            <w:vAlign w:val="bottom"/>
            <w:hideMark/>
          </w:tcPr>
          <w:p w14:paraId="71578A52"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Native</w:t>
            </w:r>
          </w:p>
        </w:tc>
        <w:tc>
          <w:tcPr>
            <w:tcW w:w="3296" w:type="dxa"/>
            <w:tcBorders>
              <w:top w:val="nil"/>
              <w:left w:val="nil"/>
              <w:bottom w:val="single" w:sz="4" w:space="0" w:color="auto"/>
              <w:right w:val="single" w:sz="4" w:space="0" w:color="auto"/>
            </w:tcBorders>
            <w:shd w:val="clear" w:color="auto" w:fill="auto"/>
            <w:noWrap/>
            <w:vAlign w:val="bottom"/>
            <w:hideMark/>
          </w:tcPr>
          <w:p w14:paraId="466270A3"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4987F900"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Flood dependent</w:t>
            </w:r>
          </w:p>
        </w:tc>
      </w:tr>
      <w:tr w:rsidR="002F3182" w:rsidRPr="00AE5357" w14:paraId="35287A7D" w14:textId="77777777" w:rsidTr="005050BB">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F939E06" w14:textId="77777777" w:rsidR="002F3182" w:rsidRPr="00AE5357" w:rsidRDefault="002F3182" w:rsidP="005050BB">
            <w:pPr>
              <w:spacing w:before="0" w:after="0" w:line="240" w:lineRule="auto"/>
              <w:jc w:val="left"/>
              <w:rPr>
                <w:rFonts w:cs="Calibri"/>
                <w:i/>
                <w:iCs/>
                <w:kern w:val="0"/>
                <w:sz w:val="19"/>
                <w:szCs w:val="19"/>
                <w:lang w:eastAsia="en-AU"/>
              </w:rPr>
            </w:pPr>
            <w:r w:rsidRPr="00AE5357">
              <w:rPr>
                <w:rFonts w:cs="Calibri"/>
                <w:i/>
                <w:iCs/>
                <w:kern w:val="0"/>
                <w:sz w:val="19"/>
                <w:szCs w:val="19"/>
                <w:lang w:eastAsia="en-AU"/>
              </w:rPr>
              <w:t>Xanthium occidentale**</w:t>
            </w:r>
          </w:p>
        </w:tc>
        <w:tc>
          <w:tcPr>
            <w:tcW w:w="2100" w:type="dxa"/>
            <w:tcBorders>
              <w:top w:val="nil"/>
              <w:left w:val="nil"/>
              <w:bottom w:val="single" w:sz="4" w:space="0" w:color="auto"/>
              <w:right w:val="single" w:sz="4" w:space="0" w:color="auto"/>
            </w:tcBorders>
            <w:shd w:val="clear" w:color="auto" w:fill="auto"/>
            <w:noWrap/>
            <w:vAlign w:val="bottom"/>
            <w:hideMark/>
          </w:tcPr>
          <w:p w14:paraId="1D222426"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Asteraceae</w:t>
            </w:r>
          </w:p>
        </w:tc>
        <w:tc>
          <w:tcPr>
            <w:tcW w:w="2575" w:type="dxa"/>
            <w:tcBorders>
              <w:top w:val="nil"/>
              <w:left w:val="nil"/>
              <w:bottom w:val="single" w:sz="4" w:space="0" w:color="auto"/>
              <w:right w:val="single" w:sz="4" w:space="0" w:color="auto"/>
            </w:tcBorders>
            <w:shd w:val="clear" w:color="auto" w:fill="auto"/>
            <w:noWrap/>
            <w:vAlign w:val="bottom"/>
            <w:hideMark/>
          </w:tcPr>
          <w:p w14:paraId="41D1911C"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Exotic, Declared Pest Plant in South Australia</w:t>
            </w:r>
          </w:p>
        </w:tc>
        <w:tc>
          <w:tcPr>
            <w:tcW w:w="3296" w:type="dxa"/>
            <w:tcBorders>
              <w:top w:val="nil"/>
              <w:left w:val="nil"/>
              <w:bottom w:val="single" w:sz="4" w:space="0" w:color="auto"/>
              <w:right w:val="single" w:sz="4" w:space="0" w:color="auto"/>
            </w:tcBorders>
            <w:shd w:val="clear" w:color="auto" w:fill="auto"/>
            <w:noWrap/>
            <w:vAlign w:val="bottom"/>
            <w:hideMark/>
          </w:tcPr>
          <w:p w14:paraId="1FB8A7B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Annual herb</w:t>
            </w:r>
          </w:p>
        </w:tc>
        <w:tc>
          <w:tcPr>
            <w:tcW w:w="1860" w:type="dxa"/>
            <w:tcBorders>
              <w:top w:val="nil"/>
              <w:left w:val="nil"/>
              <w:bottom w:val="single" w:sz="4" w:space="0" w:color="auto"/>
              <w:right w:val="single" w:sz="4" w:space="0" w:color="auto"/>
            </w:tcBorders>
            <w:shd w:val="clear" w:color="auto" w:fill="auto"/>
            <w:noWrap/>
            <w:vAlign w:val="bottom"/>
            <w:hideMark/>
          </w:tcPr>
          <w:p w14:paraId="0A0677A4" w14:textId="77777777" w:rsidR="002F3182" w:rsidRPr="00AE5357" w:rsidRDefault="002F3182" w:rsidP="005050BB">
            <w:pPr>
              <w:spacing w:before="0" w:after="0" w:line="240" w:lineRule="auto"/>
              <w:jc w:val="left"/>
              <w:rPr>
                <w:rFonts w:cs="Calibri"/>
                <w:kern w:val="0"/>
                <w:sz w:val="19"/>
                <w:szCs w:val="19"/>
                <w:lang w:eastAsia="en-AU"/>
              </w:rPr>
            </w:pPr>
            <w:r w:rsidRPr="00AE5357">
              <w:rPr>
                <w:rFonts w:cs="Calibri"/>
                <w:kern w:val="0"/>
                <w:sz w:val="19"/>
                <w:szCs w:val="19"/>
                <w:lang w:eastAsia="en-AU"/>
              </w:rPr>
              <w:t>Amphibious</w:t>
            </w:r>
          </w:p>
        </w:tc>
      </w:tr>
    </w:tbl>
    <w:p w14:paraId="6CEFD1D1" w14:textId="77777777" w:rsidR="002F3182" w:rsidRDefault="002F3182" w:rsidP="002F3182">
      <w:pPr>
        <w:sectPr w:rsidR="002F3182" w:rsidSect="005050BB">
          <w:pgSz w:w="16838" w:h="11906" w:orient="landscape"/>
          <w:pgMar w:top="1440" w:right="1440" w:bottom="1440" w:left="1440" w:header="709" w:footer="709" w:gutter="0"/>
          <w:cols w:space="708"/>
          <w:docGrid w:linePitch="360"/>
        </w:sectPr>
      </w:pPr>
    </w:p>
    <w:p w14:paraId="475138E9" w14:textId="6540C742" w:rsidR="002F3182" w:rsidRDefault="002F3182" w:rsidP="002F3182">
      <w:pPr>
        <w:pStyle w:val="Caption"/>
      </w:pPr>
      <w:r w:rsidRPr="002035C9">
        <w:t>Table</w:t>
      </w:r>
      <w:r w:rsidRPr="002035C9">
        <w:rPr>
          <w:noProof/>
        </w:rPr>
        <w:t xml:space="preserve"> D</w:t>
      </w:r>
      <w:r w:rsidR="00DD27F8">
        <w:rPr>
          <w:noProof/>
        </w:rPr>
        <w:t>5</w:t>
      </w:r>
      <w:r w:rsidRPr="002035C9">
        <w:rPr>
          <w:noProof/>
        </w:rPr>
        <w:t>.</w:t>
      </w:r>
      <w:r w:rsidRPr="002035C9">
        <w:t xml:space="preserve"> </w:t>
      </w:r>
      <w:r>
        <w:t>Response to inundation for each functional group</w:t>
      </w:r>
      <w:r w:rsidRPr="002035C9">
        <w:t>.</w:t>
      </w:r>
    </w:p>
    <w:tbl>
      <w:tblPr>
        <w:tblW w:w="8926" w:type="dxa"/>
        <w:jc w:val="center"/>
        <w:tblLook w:val="04A0" w:firstRow="1" w:lastRow="0" w:firstColumn="1" w:lastColumn="0" w:noHBand="0" w:noVBand="1"/>
      </w:tblPr>
      <w:tblGrid>
        <w:gridCol w:w="2122"/>
        <w:gridCol w:w="6804"/>
      </w:tblGrid>
      <w:tr w:rsidR="002F3182" w:rsidRPr="002035C9" w14:paraId="368A3E6A" w14:textId="77777777" w:rsidTr="005050BB">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1166" w14:textId="77777777" w:rsidR="002F3182" w:rsidRPr="002035C9" w:rsidRDefault="002F3182" w:rsidP="005050BB">
            <w:pPr>
              <w:spacing w:before="0" w:after="0" w:line="240" w:lineRule="auto"/>
              <w:jc w:val="center"/>
              <w:rPr>
                <w:rFonts w:cs="Calibri"/>
                <w:b/>
                <w:bCs/>
                <w:kern w:val="0"/>
                <w:szCs w:val="21"/>
                <w:lang w:eastAsia="en-AU"/>
              </w:rPr>
            </w:pPr>
            <w:r>
              <w:rPr>
                <w:rFonts w:cs="Calibri"/>
                <w:b/>
                <w:bCs/>
                <w:kern w:val="0"/>
                <w:szCs w:val="21"/>
                <w:lang w:eastAsia="en-AU"/>
              </w:rPr>
              <w:t>Functional Group</w:t>
            </w:r>
          </w:p>
        </w:tc>
        <w:tc>
          <w:tcPr>
            <w:tcW w:w="6804" w:type="dxa"/>
            <w:tcBorders>
              <w:top w:val="single" w:sz="4" w:space="0" w:color="auto"/>
              <w:left w:val="nil"/>
              <w:bottom w:val="single" w:sz="4" w:space="0" w:color="auto"/>
              <w:right w:val="single" w:sz="4" w:space="0" w:color="auto"/>
            </w:tcBorders>
            <w:shd w:val="clear" w:color="auto" w:fill="auto"/>
            <w:noWrap/>
            <w:vAlign w:val="bottom"/>
            <w:hideMark/>
          </w:tcPr>
          <w:p w14:paraId="4E0525DC" w14:textId="77777777" w:rsidR="002F3182" w:rsidRPr="002035C9" w:rsidRDefault="002F3182" w:rsidP="005050BB">
            <w:pPr>
              <w:spacing w:before="0" w:after="0" w:line="240" w:lineRule="auto"/>
              <w:jc w:val="center"/>
              <w:rPr>
                <w:rFonts w:cs="Calibri"/>
                <w:b/>
                <w:bCs/>
                <w:kern w:val="0"/>
                <w:szCs w:val="21"/>
                <w:lang w:eastAsia="en-AU"/>
              </w:rPr>
            </w:pPr>
            <w:r>
              <w:rPr>
                <w:rFonts w:cs="Calibri"/>
                <w:b/>
                <w:bCs/>
                <w:kern w:val="0"/>
                <w:szCs w:val="21"/>
                <w:lang w:eastAsia="en-AU"/>
              </w:rPr>
              <w:t>Inundation Response</w:t>
            </w:r>
          </w:p>
        </w:tc>
      </w:tr>
      <w:tr w:rsidR="002F3182" w:rsidRPr="002035C9" w14:paraId="5677B5B9" w14:textId="77777777" w:rsidTr="005050BB">
        <w:trPr>
          <w:trHeight w:val="369"/>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70894C03"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Terrestrial</w:t>
            </w:r>
          </w:p>
        </w:tc>
        <w:tc>
          <w:tcPr>
            <w:tcW w:w="6804" w:type="dxa"/>
            <w:tcBorders>
              <w:top w:val="nil"/>
              <w:left w:val="nil"/>
              <w:bottom w:val="single" w:sz="4" w:space="0" w:color="auto"/>
              <w:right w:val="single" w:sz="4" w:space="0" w:color="auto"/>
            </w:tcBorders>
            <w:shd w:val="clear" w:color="auto" w:fill="auto"/>
            <w:noWrap/>
            <w:vAlign w:val="center"/>
            <w:hideMark/>
          </w:tcPr>
          <w:p w14:paraId="5E35F152"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I</w:t>
            </w:r>
            <w:r w:rsidRPr="00E52C89">
              <w:rPr>
                <w:rFonts w:cs="Calibri"/>
                <w:kern w:val="0"/>
                <w:szCs w:val="21"/>
                <w:lang w:eastAsia="en-AU"/>
              </w:rPr>
              <w:t>ntolerant of either partial or complete inundation</w:t>
            </w:r>
          </w:p>
        </w:tc>
      </w:tr>
      <w:tr w:rsidR="002F3182" w:rsidRPr="002035C9" w14:paraId="0979C489" w14:textId="77777777" w:rsidTr="005050BB">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4983595E"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Flood dependent</w:t>
            </w:r>
          </w:p>
        </w:tc>
        <w:tc>
          <w:tcPr>
            <w:tcW w:w="6804" w:type="dxa"/>
            <w:tcBorders>
              <w:top w:val="nil"/>
              <w:left w:val="nil"/>
              <w:bottom w:val="single" w:sz="4" w:space="0" w:color="auto"/>
              <w:right w:val="single" w:sz="4" w:space="0" w:color="auto"/>
            </w:tcBorders>
            <w:shd w:val="clear" w:color="auto" w:fill="auto"/>
            <w:noWrap/>
            <w:vAlign w:val="center"/>
            <w:hideMark/>
          </w:tcPr>
          <w:p w14:paraId="4F0838D9"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I</w:t>
            </w:r>
            <w:r w:rsidRPr="00E52C89">
              <w:rPr>
                <w:rFonts w:cs="Calibri"/>
                <w:kern w:val="0"/>
                <w:szCs w:val="21"/>
                <w:lang w:eastAsia="en-AU"/>
              </w:rPr>
              <w:t>ntolerant of complete inundation as mature or juvenile plants but germinate on newly exposed soil after inundation but not in response to rainfall. Many of these species are short-lived annuals that take advantage of the bare soil (lack of competition) and high soil moisture after inundation and can complete their life cycle in a matter of weeks (Nicol 2004)</w:t>
            </w:r>
          </w:p>
        </w:tc>
      </w:tr>
      <w:tr w:rsidR="002F3182" w:rsidRPr="002035C9" w14:paraId="1E2E2279" w14:textId="77777777" w:rsidTr="005050BB">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F757E3C"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Amphibious</w:t>
            </w:r>
          </w:p>
        </w:tc>
        <w:tc>
          <w:tcPr>
            <w:tcW w:w="6804" w:type="dxa"/>
            <w:tcBorders>
              <w:top w:val="nil"/>
              <w:left w:val="nil"/>
              <w:bottom w:val="single" w:sz="4" w:space="0" w:color="auto"/>
              <w:right w:val="single" w:sz="4" w:space="0" w:color="auto"/>
            </w:tcBorders>
            <w:shd w:val="clear" w:color="auto" w:fill="auto"/>
            <w:noWrap/>
            <w:vAlign w:val="center"/>
            <w:hideMark/>
          </w:tcPr>
          <w:p w14:paraId="79787BB1"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R</w:t>
            </w:r>
            <w:r w:rsidRPr="00E52C89">
              <w:rPr>
                <w:rFonts w:cs="Calibri"/>
                <w:kern w:val="0"/>
                <w:szCs w:val="21"/>
                <w:lang w:eastAsia="en-AU"/>
              </w:rPr>
              <w:t>equire</w:t>
            </w:r>
            <w:r>
              <w:rPr>
                <w:rFonts w:cs="Calibri"/>
                <w:kern w:val="0"/>
                <w:szCs w:val="21"/>
                <w:lang w:eastAsia="en-AU"/>
              </w:rPr>
              <w:t>s</w:t>
            </w:r>
            <w:r w:rsidRPr="00E52C89">
              <w:rPr>
                <w:rFonts w:cs="Calibri"/>
                <w:kern w:val="0"/>
                <w:szCs w:val="21"/>
                <w:lang w:eastAsia="en-AU"/>
              </w:rPr>
              <w:t xml:space="preserve"> fluctuating water levels and are adapted to survive inundation and exposure as juvenile or adult plants. Brock and Casanova (1997) split this group into five different groups based on their anatomical responses to inundation; however, they all have similar water regime requirements</w:t>
            </w:r>
          </w:p>
        </w:tc>
      </w:tr>
      <w:tr w:rsidR="002F3182" w:rsidRPr="002035C9" w14:paraId="54C2E582" w14:textId="77777777" w:rsidTr="005050BB">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6AED4875"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Emergent</w:t>
            </w:r>
          </w:p>
        </w:tc>
        <w:tc>
          <w:tcPr>
            <w:tcW w:w="6804" w:type="dxa"/>
            <w:tcBorders>
              <w:top w:val="nil"/>
              <w:left w:val="nil"/>
              <w:bottom w:val="single" w:sz="4" w:space="0" w:color="auto"/>
              <w:right w:val="single" w:sz="4" w:space="0" w:color="auto"/>
            </w:tcBorders>
            <w:shd w:val="clear" w:color="auto" w:fill="auto"/>
            <w:noWrap/>
            <w:vAlign w:val="center"/>
            <w:hideMark/>
          </w:tcPr>
          <w:p w14:paraId="2C019BCE" w14:textId="77777777" w:rsidR="002F3182" w:rsidRPr="002035C9" w:rsidRDefault="002F3182" w:rsidP="005050BB">
            <w:pPr>
              <w:spacing w:before="0" w:after="0" w:line="240" w:lineRule="auto"/>
              <w:jc w:val="left"/>
              <w:rPr>
                <w:rFonts w:cs="Calibri"/>
                <w:kern w:val="0"/>
                <w:szCs w:val="21"/>
                <w:lang w:eastAsia="en-AU"/>
              </w:rPr>
            </w:pPr>
            <w:r>
              <w:rPr>
                <w:rFonts w:cs="Calibri"/>
                <w:kern w:val="0"/>
                <w:szCs w:val="21"/>
                <w:lang w:eastAsia="en-AU"/>
              </w:rPr>
              <w:t>H</w:t>
            </w:r>
            <w:r w:rsidRPr="00E52C89">
              <w:rPr>
                <w:rFonts w:cs="Calibri"/>
                <w:kern w:val="0"/>
                <w:szCs w:val="21"/>
                <w:lang w:eastAsia="en-AU"/>
              </w:rPr>
              <w:t xml:space="preserve">ave a requirement for permanent shallow water or continuous high soil moisture in the root zone to survive. Unlike amphibious species these species are well adapted to static water levels and </w:t>
            </w:r>
            <w:r>
              <w:rPr>
                <w:rFonts w:cs="Calibri"/>
                <w:kern w:val="0"/>
                <w:szCs w:val="21"/>
                <w:lang w:eastAsia="en-AU"/>
              </w:rPr>
              <w:t>can</w:t>
            </w:r>
            <w:r w:rsidRPr="00E52C89">
              <w:rPr>
                <w:rFonts w:cs="Calibri"/>
                <w:kern w:val="0"/>
                <w:szCs w:val="21"/>
                <w:lang w:eastAsia="en-AU"/>
              </w:rPr>
              <w:t xml:space="preserve"> displace amphibious species under these conditions</w:t>
            </w:r>
          </w:p>
        </w:tc>
      </w:tr>
    </w:tbl>
    <w:p w14:paraId="53EB847E" w14:textId="77777777" w:rsidR="002F3182" w:rsidRDefault="002F3182" w:rsidP="002F3182">
      <w:pPr>
        <w:pStyle w:val="Caption"/>
      </w:pPr>
    </w:p>
    <w:p w14:paraId="0D46AE91" w14:textId="01292BD0" w:rsidR="002F3182" w:rsidRPr="00117AE2" w:rsidRDefault="002F3182" w:rsidP="002F3182">
      <w:pPr>
        <w:pStyle w:val="Caption"/>
        <w:rPr>
          <w:lang w:val="en-US"/>
        </w:rPr>
      </w:pPr>
      <w:r w:rsidRPr="00117AE2">
        <w:t>Table D</w:t>
      </w:r>
      <w:r w:rsidR="00DD27F8">
        <w:t>6</w:t>
      </w:r>
      <w:r w:rsidRPr="00117AE2">
        <w:t xml:space="preserve">. Indicator Species Analysis results comparing plant community in each inundation zone </w:t>
      </w:r>
      <w:r>
        <w:t>downstream of</w:t>
      </w:r>
      <w:r w:rsidRPr="00117AE2">
        <w:t xml:space="preserve"> a. Lock 1, b. Lock 4 and c. Lock 6 in </w:t>
      </w:r>
      <w:r>
        <w:t>February 2021</w:t>
      </w:r>
      <w:r w:rsidRPr="00117AE2">
        <w:t>, * denotes exotic species, ** denotes declared pest plant in South Australia, yellow highlighting denotes significant indicator; blue highlighting denotes not significant but exclusive to the Pool level and Inundated zones.</w:t>
      </w:r>
    </w:p>
    <w:p w14:paraId="6BA3AD84" w14:textId="77777777" w:rsidR="002F3182" w:rsidRDefault="002F3182" w:rsidP="002F3182">
      <w:r w:rsidRPr="002A123E">
        <w:t>a.</w:t>
      </w:r>
    </w:p>
    <w:tbl>
      <w:tblPr>
        <w:tblW w:w="6699" w:type="dxa"/>
        <w:jc w:val="center"/>
        <w:tblLook w:val="04A0" w:firstRow="1" w:lastRow="0" w:firstColumn="1" w:lastColumn="0" w:noHBand="0" w:noVBand="1"/>
      </w:tblPr>
      <w:tblGrid>
        <w:gridCol w:w="3539"/>
        <w:gridCol w:w="2200"/>
        <w:gridCol w:w="960"/>
      </w:tblGrid>
      <w:tr w:rsidR="002F3182" w:rsidRPr="00DD27F8" w14:paraId="4328A204" w14:textId="77777777" w:rsidTr="00404EDB">
        <w:trPr>
          <w:trHeight w:val="300"/>
          <w:tblHeader/>
          <w:jc w:val="center"/>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48DAE"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Taxon</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3DFBEEE7"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Zone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508F195"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P</w:t>
            </w:r>
          </w:p>
        </w:tc>
      </w:tr>
      <w:tr w:rsidR="002F3182" w:rsidRPr="00DD27F8" w14:paraId="5396954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08DC58D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Alternanthera denticulata</w:t>
            </w:r>
          </w:p>
        </w:tc>
        <w:tc>
          <w:tcPr>
            <w:tcW w:w="2200" w:type="dxa"/>
            <w:tcBorders>
              <w:top w:val="nil"/>
              <w:left w:val="nil"/>
              <w:bottom w:val="single" w:sz="4" w:space="0" w:color="auto"/>
              <w:right w:val="single" w:sz="4" w:space="0" w:color="auto"/>
            </w:tcBorders>
            <w:shd w:val="clear" w:color="000000" w:fill="FFFF00"/>
            <w:noWrap/>
            <w:vAlign w:val="bottom"/>
            <w:hideMark/>
          </w:tcPr>
          <w:p w14:paraId="0848B40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682E4EE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0.0168</w:t>
            </w:r>
          </w:p>
        </w:tc>
      </w:tr>
      <w:tr w:rsidR="002F3182" w:rsidRPr="00DD27F8" w14:paraId="5FCAAFC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52EA24C1"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Ammannia multiflora</w:t>
            </w:r>
          </w:p>
        </w:tc>
        <w:tc>
          <w:tcPr>
            <w:tcW w:w="2200" w:type="dxa"/>
            <w:tcBorders>
              <w:top w:val="nil"/>
              <w:left w:val="nil"/>
              <w:bottom w:val="single" w:sz="4" w:space="0" w:color="auto"/>
              <w:right w:val="single" w:sz="4" w:space="0" w:color="auto"/>
            </w:tcBorders>
            <w:shd w:val="clear" w:color="auto" w:fill="00B0F0"/>
            <w:noWrap/>
            <w:vAlign w:val="bottom"/>
            <w:hideMark/>
          </w:tcPr>
          <w:p w14:paraId="7B90D707"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E961C5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0.5415</w:t>
            </w:r>
          </w:p>
        </w:tc>
      </w:tr>
      <w:tr w:rsidR="002F3182" w:rsidRPr="00DD27F8" w14:paraId="639C325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DC6C56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Apium graveolens*</w:t>
            </w:r>
          </w:p>
        </w:tc>
        <w:tc>
          <w:tcPr>
            <w:tcW w:w="2200" w:type="dxa"/>
            <w:tcBorders>
              <w:top w:val="nil"/>
              <w:left w:val="nil"/>
              <w:bottom w:val="single" w:sz="4" w:space="0" w:color="auto"/>
              <w:right w:val="single" w:sz="4" w:space="0" w:color="auto"/>
            </w:tcBorders>
            <w:shd w:val="clear" w:color="auto" w:fill="auto"/>
            <w:noWrap/>
            <w:vAlign w:val="bottom"/>
            <w:hideMark/>
          </w:tcPr>
          <w:p w14:paraId="4D8FE54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245B74C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0.2855</w:t>
            </w:r>
          </w:p>
        </w:tc>
      </w:tr>
      <w:tr w:rsidR="002F3182" w:rsidRPr="00DD27F8" w14:paraId="5A35D53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A44F07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Atriplex</w:t>
            </w:r>
          </w:p>
        </w:tc>
        <w:tc>
          <w:tcPr>
            <w:tcW w:w="2200" w:type="dxa"/>
            <w:tcBorders>
              <w:top w:val="nil"/>
              <w:left w:val="nil"/>
              <w:bottom w:val="single" w:sz="4" w:space="0" w:color="auto"/>
              <w:right w:val="single" w:sz="4" w:space="0" w:color="auto"/>
            </w:tcBorders>
            <w:shd w:val="clear" w:color="auto" w:fill="auto"/>
            <w:noWrap/>
            <w:vAlign w:val="bottom"/>
            <w:hideMark/>
          </w:tcPr>
          <w:p w14:paraId="41CA583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0AA7961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0.5575</w:t>
            </w:r>
          </w:p>
        </w:tc>
      </w:tr>
      <w:tr w:rsidR="002F3182" w:rsidRPr="00DD27F8" w14:paraId="48342AC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E413ED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Brachyscome paludicola</w:t>
            </w:r>
          </w:p>
        </w:tc>
        <w:tc>
          <w:tcPr>
            <w:tcW w:w="2200" w:type="dxa"/>
            <w:tcBorders>
              <w:top w:val="nil"/>
              <w:left w:val="nil"/>
              <w:bottom w:val="single" w:sz="4" w:space="0" w:color="auto"/>
              <w:right w:val="single" w:sz="4" w:space="0" w:color="auto"/>
            </w:tcBorders>
            <w:shd w:val="clear" w:color="auto" w:fill="auto"/>
            <w:noWrap/>
            <w:vAlign w:val="bottom"/>
            <w:hideMark/>
          </w:tcPr>
          <w:p w14:paraId="0814061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03394C6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0.7832</w:t>
            </w:r>
          </w:p>
        </w:tc>
      </w:tr>
      <w:tr w:rsidR="002F3182" w:rsidRPr="00DD27F8" w14:paraId="21A40E9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459488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Calotis hispidula</w:t>
            </w:r>
          </w:p>
        </w:tc>
        <w:tc>
          <w:tcPr>
            <w:tcW w:w="2200" w:type="dxa"/>
            <w:tcBorders>
              <w:top w:val="nil"/>
              <w:left w:val="nil"/>
              <w:bottom w:val="single" w:sz="4" w:space="0" w:color="auto"/>
              <w:right w:val="single" w:sz="4" w:space="0" w:color="auto"/>
            </w:tcBorders>
            <w:shd w:val="clear" w:color="auto" w:fill="00B0F0"/>
            <w:noWrap/>
            <w:vAlign w:val="bottom"/>
            <w:hideMark/>
          </w:tcPr>
          <w:p w14:paraId="4040D4D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1231F58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0.5577</w:t>
            </w:r>
          </w:p>
        </w:tc>
      </w:tr>
      <w:tr w:rsidR="002F3182" w:rsidRPr="00DD27F8" w14:paraId="655CD38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DD0573A"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Centaurea calcitrapa*</w:t>
            </w:r>
          </w:p>
        </w:tc>
        <w:tc>
          <w:tcPr>
            <w:tcW w:w="2200" w:type="dxa"/>
            <w:tcBorders>
              <w:top w:val="nil"/>
              <w:left w:val="nil"/>
              <w:bottom w:val="single" w:sz="4" w:space="0" w:color="auto"/>
              <w:right w:val="single" w:sz="4" w:space="0" w:color="auto"/>
            </w:tcBorders>
            <w:shd w:val="clear" w:color="auto" w:fill="auto"/>
            <w:noWrap/>
            <w:vAlign w:val="bottom"/>
            <w:hideMark/>
          </w:tcPr>
          <w:p w14:paraId="2CAF1188"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5340507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0.7465</w:t>
            </w:r>
          </w:p>
        </w:tc>
      </w:tr>
      <w:tr w:rsidR="002F3182" w:rsidRPr="00DD27F8" w14:paraId="6FBBE1F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52CCA0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Centipeda minima</w:t>
            </w:r>
          </w:p>
        </w:tc>
        <w:tc>
          <w:tcPr>
            <w:tcW w:w="2200" w:type="dxa"/>
            <w:tcBorders>
              <w:top w:val="nil"/>
              <w:left w:val="nil"/>
              <w:bottom w:val="single" w:sz="4" w:space="0" w:color="auto"/>
              <w:right w:val="single" w:sz="4" w:space="0" w:color="auto"/>
            </w:tcBorders>
            <w:shd w:val="clear" w:color="auto" w:fill="auto"/>
            <w:noWrap/>
            <w:vAlign w:val="bottom"/>
            <w:hideMark/>
          </w:tcPr>
          <w:p w14:paraId="124E2C8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5C10132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0.3277</w:t>
            </w:r>
          </w:p>
        </w:tc>
      </w:tr>
      <w:tr w:rsidR="002F3182" w:rsidRPr="00DD27F8" w14:paraId="5C3F70BB"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5D9757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Cuscuta campestris**</w:t>
            </w:r>
          </w:p>
        </w:tc>
        <w:tc>
          <w:tcPr>
            <w:tcW w:w="2200" w:type="dxa"/>
            <w:tcBorders>
              <w:top w:val="nil"/>
              <w:left w:val="nil"/>
              <w:bottom w:val="single" w:sz="4" w:space="0" w:color="auto"/>
              <w:right w:val="single" w:sz="4" w:space="0" w:color="auto"/>
            </w:tcBorders>
            <w:shd w:val="clear" w:color="auto" w:fill="00B0F0"/>
            <w:noWrap/>
            <w:vAlign w:val="bottom"/>
            <w:hideMark/>
          </w:tcPr>
          <w:p w14:paraId="527B0AF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555FEE2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1D43FDC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8D4A2B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Cyperus gymnocaulos</w:t>
            </w:r>
          </w:p>
        </w:tc>
        <w:tc>
          <w:tcPr>
            <w:tcW w:w="2200" w:type="dxa"/>
            <w:tcBorders>
              <w:top w:val="nil"/>
              <w:left w:val="nil"/>
              <w:bottom w:val="single" w:sz="4" w:space="0" w:color="auto"/>
              <w:right w:val="single" w:sz="4" w:space="0" w:color="auto"/>
            </w:tcBorders>
            <w:shd w:val="clear" w:color="auto" w:fill="auto"/>
            <w:noWrap/>
            <w:vAlign w:val="bottom"/>
            <w:hideMark/>
          </w:tcPr>
          <w:p w14:paraId="6073AFE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512F43A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0.3589</w:t>
            </w:r>
          </w:p>
        </w:tc>
      </w:tr>
      <w:tr w:rsidR="002F3182" w:rsidRPr="00DD27F8" w14:paraId="733BF83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46B31B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Dittrichia graveolens*</w:t>
            </w:r>
          </w:p>
        </w:tc>
        <w:tc>
          <w:tcPr>
            <w:tcW w:w="2200" w:type="dxa"/>
            <w:tcBorders>
              <w:top w:val="nil"/>
              <w:left w:val="nil"/>
              <w:bottom w:val="single" w:sz="4" w:space="0" w:color="auto"/>
              <w:right w:val="single" w:sz="4" w:space="0" w:color="auto"/>
            </w:tcBorders>
            <w:shd w:val="clear" w:color="auto" w:fill="auto"/>
            <w:noWrap/>
            <w:vAlign w:val="bottom"/>
            <w:hideMark/>
          </w:tcPr>
          <w:p w14:paraId="2F5E96A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5AC5D9A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0.5313</w:t>
            </w:r>
          </w:p>
        </w:tc>
      </w:tr>
      <w:tr w:rsidR="002F3182" w:rsidRPr="00DD27F8" w14:paraId="66878A3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EAD5AC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Duma florulenta</w:t>
            </w:r>
          </w:p>
        </w:tc>
        <w:tc>
          <w:tcPr>
            <w:tcW w:w="2200" w:type="dxa"/>
            <w:tcBorders>
              <w:top w:val="nil"/>
              <w:left w:val="nil"/>
              <w:bottom w:val="single" w:sz="4" w:space="0" w:color="auto"/>
              <w:right w:val="single" w:sz="4" w:space="0" w:color="auto"/>
            </w:tcBorders>
            <w:shd w:val="clear" w:color="auto" w:fill="auto"/>
            <w:noWrap/>
            <w:vAlign w:val="bottom"/>
            <w:hideMark/>
          </w:tcPr>
          <w:p w14:paraId="3B812CA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659A2B9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0.3609</w:t>
            </w:r>
          </w:p>
        </w:tc>
      </w:tr>
      <w:tr w:rsidR="002F3182" w:rsidRPr="00DD27F8" w14:paraId="52E9631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78CF111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Eleocharis acuta</w:t>
            </w:r>
          </w:p>
        </w:tc>
        <w:tc>
          <w:tcPr>
            <w:tcW w:w="2200" w:type="dxa"/>
            <w:tcBorders>
              <w:top w:val="nil"/>
              <w:left w:val="nil"/>
              <w:bottom w:val="single" w:sz="4" w:space="0" w:color="auto"/>
              <w:right w:val="single" w:sz="4" w:space="0" w:color="auto"/>
            </w:tcBorders>
            <w:shd w:val="clear" w:color="000000" w:fill="FFFF00"/>
            <w:noWrap/>
            <w:vAlign w:val="bottom"/>
            <w:hideMark/>
          </w:tcPr>
          <w:p w14:paraId="3ACF6B6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42585CB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0.003</w:t>
            </w:r>
          </w:p>
        </w:tc>
      </w:tr>
      <w:tr w:rsidR="002F3182" w:rsidRPr="00DD27F8" w14:paraId="1D04A49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E8C6E2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Enchylaena tomentosa</w:t>
            </w:r>
          </w:p>
        </w:tc>
        <w:tc>
          <w:tcPr>
            <w:tcW w:w="2200" w:type="dxa"/>
            <w:tcBorders>
              <w:top w:val="nil"/>
              <w:left w:val="nil"/>
              <w:bottom w:val="single" w:sz="4" w:space="0" w:color="auto"/>
              <w:right w:val="single" w:sz="4" w:space="0" w:color="auto"/>
            </w:tcBorders>
            <w:shd w:val="clear" w:color="auto" w:fill="auto"/>
            <w:noWrap/>
            <w:vAlign w:val="bottom"/>
            <w:hideMark/>
          </w:tcPr>
          <w:p w14:paraId="4C6AE2D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B8CA0E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0.2212</w:t>
            </w:r>
          </w:p>
        </w:tc>
      </w:tr>
      <w:tr w:rsidR="002F3182" w:rsidRPr="00DD27F8" w14:paraId="166A49C4"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62C02C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Erigeron bonariensis*</w:t>
            </w:r>
          </w:p>
        </w:tc>
        <w:tc>
          <w:tcPr>
            <w:tcW w:w="2200" w:type="dxa"/>
            <w:tcBorders>
              <w:top w:val="nil"/>
              <w:left w:val="nil"/>
              <w:bottom w:val="single" w:sz="4" w:space="0" w:color="auto"/>
              <w:right w:val="single" w:sz="4" w:space="0" w:color="auto"/>
            </w:tcBorders>
            <w:shd w:val="clear" w:color="auto" w:fill="auto"/>
            <w:noWrap/>
            <w:vAlign w:val="bottom"/>
            <w:hideMark/>
          </w:tcPr>
          <w:p w14:paraId="7174AEF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246A206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0.3479</w:t>
            </w:r>
          </w:p>
        </w:tc>
      </w:tr>
      <w:tr w:rsidR="002F3182" w:rsidRPr="00DD27F8" w14:paraId="5C20DED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69CB41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Eucalyptus camaldulensis</w:t>
            </w:r>
          </w:p>
        </w:tc>
        <w:tc>
          <w:tcPr>
            <w:tcW w:w="2200" w:type="dxa"/>
            <w:tcBorders>
              <w:top w:val="nil"/>
              <w:left w:val="nil"/>
              <w:bottom w:val="single" w:sz="4" w:space="0" w:color="auto"/>
              <w:right w:val="single" w:sz="4" w:space="0" w:color="auto"/>
            </w:tcBorders>
            <w:shd w:val="clear" w:color="auto" w:fill="auto"/>
            <w:noWrap/>
            <w:vAlign w:val="bottom"/>
            <w:hideMark/>
          </w:tcPr>
          <w:p w14:paraId="44B52ED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75D3DF0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0.8944</w:t>
            </w:r>
          </w:p>
        </w:tc>
      </w:tr>
      <w:tr w:rsidR="002F3182" w:rsidRPr="00DD27F8" w14:paraId="101E628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411FEA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Euphorbia drummondii</w:t>
            </w:r>
          </w:p>
        </w:tc>
        <w:tc>
          <w:tcPr>
            <w:tcW w:w="2200" w:type="dxa"/>
            <w:tcBorders>
              <w:top w:val="nil"/>
              <w:left w:val="nil"/>
              <w:bottom w:val="single" w:sz="4" w:space="0" w:color="auto"/>
              <w:right w:val="single" w:sz="4" w:space="0" w:color="auto"/>
            </w:tcBorders>
            <w:shd w:val="clear" w:color="auto" w:fill="auto"/>
            <w:noWrap/>
            <w:vAlign w:val="bottom"/>
            <w:hideMark/>
          </w:tcPr>
          <w:p w14:paraId="7164168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27C01CD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0.1098</w:t>
            </w:r>
          </w:p>
        </w:tc>
      </w:tr>
      <w:tr w:rsidR="002F3182" w:rsidRPr="00DD27F8" w14:paraId="7365D6B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8B7B94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Heliotropium curassavicum*</w:t>
            </w:r>
          </w:p>
        </w:tc>
        <w:tc>
          <w:tcPr>
            <w:tcW w:w="2200" w:type="dxa"/>
            <w:tcBorders>
              <w:top w:val="nil"/>
              <w:left w:val="nil"/>
              <w:bottom w:val="single" w:sz="4" w:space="0" w:color="auto"/>
              <w:right w:val="single" w:sz="4" w:space="0" w:color="auto"/>
            </w:tcBorders>
            <w:shd w:val="clear" w:color="auto" w:fill="auto"/>
            <w:noWrap/>
            <w:vAlign w:val="bottom"/>
            <w:hideMark/>
          </w:tcPr>
          <w:p w14:paraId="3B4ABA0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3CCF2FB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0.1892</w:t>
            </w:r>
          </w:p>
        </w:tc>
      </w:tr>
      <w:tr w:rsidR="002F3182" w:rsidRPr="00DD27F8" w14:paraId="553F468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4EB31E1"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Hypochaeris glabra*</w:t>
            </w:r>
          </w:p>
        </w:tc>
        <w:tc>
          <w:tcPr>
            <w:tcW w:w="2200" w:type="dxa"/>
            <w:tcBorders>
              <w:top w:val="nil"/>
              <w:left w:val="nil"/>
              <w:bottom w:val="single" w:sz="4" w:space="0" w:color="auto"/>
              <w:right w:val="single" w:sz="4" w:space="0" w:color="auto"/>
            </w:tcBorders>
            <w:shd w:val="clear" w:color="auto" w:fill="00B0F0"/>
            <w:noWrap/>
            <w:vAlign w:val="bottom"/>
            <w:hideMark/>
          </w:tcPr>
          <w:p w14:paraId="6DE540E7"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0EF7D8A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0020D62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778163E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Juncus usitatus</w:t>
            </w:r>
          </w:p>
        </w:tc>
        <w:tc>
          <w:tcPr>
            <w:tcW w:w="2200" w:type="dxa"/>
            <w:tcBorders>
              <w:top w:val="nil"/>
              <w:left w:val="nil"/>
              <w:bottom w:val="single" w:sz="4" w:space="0" w:color="auto"/>
              <w:right w:val="single" w:sz="4" w:space="0" w:color="auto"/>
            </w:tcBorders>
            <w:shd w:val="clear" w:color="000000" w:fill="FFFF00"/>
            <w:noWrap/>
            <w:vAlign w:val="bottom"/>
            <w:hideMark/>
          </w:tcPr>
          <w:p w14:paraId="39E3BF3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712A558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0.0004</w:t>
            </w:r>
          </w:p>
        </w:tc>
      </w:tr>
      <w:tr w:rsidR="002F3182" w:rsidRPr="00DD27F8" w14:paraId="74377CC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06C40DB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Lachnagrostis filiformis</w:t>
            </w:r>
          </w:p>
        </w:tc>
        <w:tc>
          <w:tcPr>
            <w:tcW w:w="2200" w:type="dxa"/>
            <w:tcBorders>
              <w:top w:val="nil"/>
              <w:left w:val="nil"/>
              <w:bottom w:val="single" w:sz="4" w:space="0" w:color="auto"/>
              <w:right w:val="single" w:sz="4" w:space="0" w:color="auto"/>
            </w:tcBorders>
            <w:shd w:val="clear" w:color="auto" w:fill="00B0F0"/>
            <w:noWrap/>
            <w:vAlign w:val="bottom"/>
            <w:hideMark/>
          </w:tcPr>
          <w:p w14:paraId="2A4E781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1F61564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0.5577</w:t>
            </w:r>
          </w:p>
        </w:tc>
      </w:tr>
      <w:tr w:rsidR="002F3182" w:rsidRPr="00DD27F8" w14:paraId="64E475F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FBBC3F7"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Lactuca serriola*</w:t>
            </w:r>
          </w:p>
        </w:tc>
        <w:tc>
          <w:tcPr>
            <w:tcW w:w="2200" w:type="dxa"/>
            <w:tcBorders>
              <w:top w:val="nil"/>
              <w:left w:val="nil"/>
              <w:bottom w:val="single" w:sz="4" w:space="0" w:color="auto"/>
              <w:right w:val="single" w:sz="4" w:space="0" w:color="auto"/>
            </w:tcBorders>
            <w:shd w:val="clear" w:color="auto" w:fill="auto"/>
            <w:noWrap/>
            <w:vAlign w:val="bottom"/>
            <w:hideMark/>
          </w:tcPr>
          <w:p w14:paraId="3159A3C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56ED33A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0.9164</w:t>
            </w:r>
          </w:p>
        </w:tc>
      </w:tr>
      <w:tr w:rsidR="002F3182" w:rsidRPr="00DD27F8" w14:paraId="55FE27E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2B8FA509" w14:textId="77777777" w:rsidR="002F3182" w:rsidRPr="00404EDB" w:rsidRDefault="002F3182" w:rsidP="005050BB">
            <w:pPr>
              <w:spacing w:before="0" w:after="0" w:line="240" w:lineRule="auto"/>
              <w:ind w:right="455"/>
              <w:jc w:val="left"/>
              <w:rPr>
                <w:rFonts w:cs="Calibri"/>
                <w:i/>
                <w:iCs/>
                <w:color w:val="auto"/>
                <w:kern w:val="0"/>
                <w:szCs w:val="21"/>
                <w:lang w:eastAsia="en-AU"/>
              </w:rPr>
            </w:pPr>
            <w:r w:rsidRPr="00404EDB">
              <w:rPr>
                <w:rFonts w:cs="Calibri"/>
                <w:i/>
                <w:iCs/>
                <w:color w:val="auto"/>
                <w:kern w:val="0"/>
                <w:szCs w:val="21"/>
                <w:lang w:eastAsia="en-AU"/>
              </w:rPr>
              <w:t>Limosella australis</w:t>
            </w:r>
          </w:p>
        </w:tc>
        <w:tc>
          <w:tcPr>
            <w:tcW w:w="2200" w:type="dxa"/>
            <w:tcBorders>
              <w:top w:val="nil"/>
              <w:left w:val="nil"/>
              <w:bottom w:val="single" w:sz="4" w:space="0" w:color="auto"/>
              <w:right w:val="single" w:sz="4" w:space="0" w:color="auto"/>
            </w:tcBorders>
            <w:shd w:val="clear" w:color="000000" w:fill="FFFF00"/>
            <w:noWrap/>
            <w:vAlign w:val="bottom"/>
            <w:hideMark/>
          </w:tcPr>
          <w:p w14:paraId="40BB053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61C4CD20"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0.0002</w:t>
            </w:r>
          </w:p>
        </w:tc>
      </w:tr>
      <w:tr w:rsidR="002F3182" w:rsidRPr="00DD27F8" w14:paraId="08970F5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24DBC9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Ludwigia peploides</w:t>
            </w:r>
          </w:p>
        </w:tc>
        <w:tc>
          <w:tcPr>
            <w:tcW w:w="2200" w:type="dxa"/>
            <w:tcBorders>
              <w:top w:val="nil"/>
              <w:left w:val="nil"/>
              <w:bottom w:val="single" w:sz="4" w:space="0" w:color="auto"/>
              <w:right w:val="single" w:sz="4" w:space="0" w:color="auto"/>
            </w:tcBorders>
            <w:shd w:val="clear" w:color="auto" w:fill="00B0F0"/>
            <w:noWrap/>
            <w:vAlign w:val="bottom"/>
            <w:hideMark/>
          </w:tcPr>
          <w:p w14:paraId="4B497188"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5B95457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0.4387</w:t>
            </w:r>
          </w:p>
        </w:tc>
      </w:tr>
      <w:tr w:rsidR="002F3182" w:rsidRPr="00DD27F8" w14:paraId="6AA86FC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6347B6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Lythrum hyssopifolia</w:t>
            </w:r>
          </w:p>
        </w:tc>
        <w:tc>
          <w:tcPr>
            <w:tcW w:w="2200" w:type="dxa"/>
            <w:tcBorders>
              <w:top w:val="nil"/>
              <w:left w:val="nil"/>
              <w:bottom w:val="single" w:sz="4" w:space="0" w:color="auto"/>
              <w:right w:val="single" w:sz="4" w:space="0" w:color="auto"/>
            </w:tcBorders>
            <w:shd w:val="clear" w:color="auto" w:fill="00B0F0"/>
            <w:noWrap/>
            <w:vAlign w:val="bottom"/>
            <w:hideMark/>
          </w:tcPr>
          <w:p w14:paraId="466E455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0F66827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0.1346</w:t>
            </w:r>
          </w:p>
        </w:tc>
      </w:tr>
      <w:tr w:rsidR="002F3182" w:rsidRPr="00DD27F8" w14:paraId="2B1875D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5AD580A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Medicago*</w:t>
            </w:r>
          </w:p>
        </w:tc>
        <w:tc>
          <w:tcPr>
            <w:tcW w:w="2200" w:type="dxa"/>
            <w:tcBorders>
              <w:top w:val="nil"/>
              <w:left w:val="nil"/>
              <w:bottom w:val="single" w:sz="4" w:space="0" w:color="auto"/>
              <w:right w:val="single" w:sz="4" w:space="0" w:color="auto"/>
            </w:tcBorders>
            <w:shd w:val="clear" w:color="auto" w:fill="00B0F0"/>
            <w:noWrap/>
            <w:vAlign w:val="bottom"/>
            <w:hideMark/>
          </w:tcPr>
          <w:p w14:paraId="4BB68D6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55C258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0.1966</w:t>
            </w:r>
          </w:p>
        </w:tc>
      </w:tr>
      <w:tr w:rsidR="002F3182" w:rsidRPr="00DD27F8" w14:paraId="0003813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46DDC7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Melilotus indicus*</w:t>
            </w:r>
          </w:p>
        </w:tc>
        <w:tc>
          <w:tcPr>
            <w:tcW w:w="2200" w:type="dxa"/>
            <w:tcBorders>
              <w:top w:val="nil"/>
              <w:left w:val="nil"/>
              <w:bottom w:val="single" w:sz="4" w:space="0" w:color="auto"/>
              <w:right w:val="single" w:sz="4" w:space="0" w:color="auto"/>
            </w:tcBorders>
            <w:shd w:val="clear" w:color="auto" w:fill="auto"/>
            <w:noWrap/>
            <w:vAlign w:val="bottom"/>
            <w:hideMark/>
          </w:tcPr>
          <w:p w14:paraId="65AF00B7"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05BB5DA0"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0.8464</w:t>
            </w:r>
          </w:p>
        </w:tc>
      </w:tr>
      <w:tr w:rsidR="002F3182" w:rsidRPr="00DD27F8" w14:paraId="4769E6F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181F141"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Myoporum montanum</w:t>
            </w:r>
          </w:p>
        </w:tc>
        <w:tc>
          <w:tcPr>
            <w:tcW w:w="2200" w:type="dxa"/>
            <w:tcBorders>
              <w:top w:val="nil"/>
              <w:left w:val="nil"/>
              <w:bottom w:val="single" w:sz="4" w:space="0" w:color="auto"/>
              <w:right w:val="single" w:sz="4" w:space="0" w:color="auto"/>
            </w:tcBorders>
            <w:shd w:val="clear" w:color="auto" w:fill="auto"/>
            <w:noWrap/>
            <w:vAlign w:val="bottom"/>
            <w:hideMark/>
          </w:tcPr>
          <w:p w14:paraId="11111A4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5829673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0.6527</w:t>
            </w:r>
          </w:p>
        </w:tc>
      </w:tr>
      <w:tr w:rsidR="002F3182" w:rsidRPr="00DD27F8" w14:paraId="2D68D2B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4CE471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Paspalidium jubiflorum</w:t>
            </w:r>
          </w:p>
        </w:tc>
        <w:tc>
          <w:tcPr>
            <w:tcW w:w="2200" w:type="dxa"/>
            <w:tcBorders>
              <w:top w:val="nil"/>
              <w:left w:val="nil"/>
              <w:bottom w:val="single" w:sz="4" w:space="0" w:color="auto"/>
              <w:right w:val="single" w:sz="4" w:space="0" w:color="auto"/>
            </w:tcBorders>
            <w:shd w:val="clear" w:color="auto" w:fill="auto"/>
            <w:noWrap/>
            <w:vAlign w:val="bottom"/>
            <w:hideMark/>
          </w:tcPr>
          <w:p w14:paraId="3889B0B2"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154C5BC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0.6993</w:t>
            </w:r>
          </w:p>
        </w:tc>
      </w:tr>
      <w:tr w:rsidR="002F3182" w:rsidRPr="00DD27F8" w14:paraId="123F18D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29682A3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Paspalum distichum</w:t>
            </w:r>
          </w:p>
        </w:tc>
        <w:tc>
          <w:tcPr>
            <w:tcW w:w="2200" w:type="dxa"/>
            <w:tcBorders>
              <w:top w:val="nil"/>
              <w:left w:val="nil"/>
              <w:bottom w:val="single" w:sz="4" w:space="0" w:color="auto"/>
              <w:right w:val="single" w:sz="4" w:space="0" w:color="auto"/>
            </w:tcBorders>
            <w:shd w:val="clear" w:color="000000" w:fill="FFFF00"/>
            <w:noWrap/>
            <w:vAlign w:val="bottom"/>
            <w:hideMark/>
          </w:tcPr>
          <w:p w14:paraId="1C277BB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31C29E4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0.0242</w:t>
            </w:r>
          </w:p>
        </w:tc>
      </w:tr>
      <w:tr w:rsidR="002F3182" w:rsidRPr="00DD27F8" w14:paraId="2A97A41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9A873B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Phragmites australis</w:t>
            </w:r>
          </w:p>
        </w:tc>
        <w:tc>
          <w:tcPr>
            <w:tcW w:w="2200" w:type="dxa"/>
            <w:tcBorders>
              <w:top w:val="nil"/>
              <w:left w:val="nil"/>
              <w:bottom w:val="single" w:sz="4" w:space="0" w:color="auto"/>
              <w:right w:val="single" w:sz="4" w:space="0" w:color="auto"/>
            </w:tcBorders>
            <w:shd w:val="clear" w:color="auto" w:fill="auto"/>
            <w:noWrap/>
            <w:vAlign w:val="bottom"/>
            <w:hideMark/>
          </w:tcPr>
          <w:p w14:paraId="6E6B8F7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2F6AADB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0.2018</w:t>
            </w:r>
          </w:p>
        </w:tc>
      </w:tr>
      <w:tr w:rsidR="002F3182" w:rsidRPr="00DD27F8" w14:paraId="57E1A08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67EF94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Phyllanthus lacunarius</w:t>
            </w:r>
          </w:p>
        </w:tc>
        <w:tc>
          <w:tcPr>
            <w:tcW w:w="2200" w:type="dxa"/>
            <w:tcBorders>
              <w:top w:val="nil"/>
              <w:left w:val="nil"/>
              <w:bottom w:val="single" w:sz="4" w:space="0" w:color="auto"/>
              <w:right w:val="single" w:sz="4" w:space="0" w:color="auto"/>
            </w:tcBorders>
            <w:shd w:val="clear" w:color="auto" w:fill="auto"/>
            <w:noWrap/>
            <w:vAlign w:val="bottom"/>
            <w:hideMark/>
          </w:tcPr>
          <w:p w14:paraId="202EA48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86A0F8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0.5487</w:t>
            </w:r>
          </w:p>
        </w:tc>
      </w:tr>
      <w:tr w:rsidR="002F3182" w:rsidRPr="00DD27F8" w14:paraId="2E0B48C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5D74A2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Pseudognaphalium luteoalbum</w:t>
            </w:r>
          </w:p>
        </w:tc>
        <w:tc>
          <w:tcPr>
            <w:tcW w:w="2200" w:type="dxa"/>
            <w:tcBorders>
              <w:top w:val="nil"/>
              <w:left w:val="nil"/>
              <w:bottom w:val="single" w:sz="4" w:space="0" w:color="auto"/>
              <w:right w:val="single" w:sz="4" w:space="0" w:color="auto"/>
            </w:tcBorders>
            <w:shd w:val="clear" w:color="auto" w:fill="auto"/>
            <w:noWrap/>
            <w:vAlign w:val="bottom"/>
            <w:hideMark/>
          </w:tcPr>
          <w:p w14:paraId="2F43C8F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568100D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0.5515</w:t>
            </w:r>
          </w:p>
        </w:tc>
      </w:tr>
      <w:tr w:rsidR="002F3182" w:rsidRPr="00DD27F8" w14:paraId="112710D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01F2AA2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Schoenoplectus tabernaemontani</w:t>
            </w:r>
          </w:p>
        </w:tc>
        <w:tc>
          <w:tcPr>
            <w:tcW w:w="2200" w:type="dxa"/>
            <w:tcBorders>
              <w:top w:val="nil"/>
              <w:left w:val="nil"/>
              <w:bottom w:val="single" w:sz="4" w:space="0" w:color="auto"/>
              <w:right w:val="single" w:sz="4" w:space="0" w:color="auto"/>
            </w:tcBorders>
            <w:shd w:val="clear" w:color="000000" w:fill="FFFF00"/>
            <w:noWrap/>
            <w:vAlign w:val="bottom"/>
            <w:hideMark/>
          </w:tcPr>
          <w:p w14:paraId="5576105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2D5E2E6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0.022</w:t>
            </w:r>
          </w:p>
        </w:tc>
      </w:tr>
      <w:tr w:rsidR="002F3182" w:rsidRPr="00DD27F8" w14:paraId="20C3F54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2BEDA4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Senecio runcinifolius</w:t>
            </w:r>
          </w:p>
        </w:tc>
        <w:tc>
          <w:tcPr>
            <w:tcW w:w="2200" w:type="dxa"/>
            <w:tcBorders>
              <w:top w:val="nil"/>
              <w:left w:val="nil"/>
              <w:bottom w:val="single" w:sz="4" w:space="0" w:color="auto"/>
              <w:right w:val="single" w:sz="4" w:space="0" w:color="auto"/>
            </w:tcBorders>
            <w:shd w:val="clear" w:color="auto" w:fill="auto"/>
            <w:noWrap/>
            <w:vAlign w:val="bottom"/>
            <w:hideMark/>
          </w:tcPr>
          <w:p w14:paraId="0EC7E60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25CF678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0.7137</w:t>
            </w:r>
          </w:p>
        </w:tc>
      </w:tr>
      <w:tr w:rsidR="002F3182" w:rsidRPr="00DD27F8" w14:paraId="3829EF6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18A6281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Sphaeromorphaea australis</w:t>
            </w:r>
          </w:p>
        </w:tc>
        <w:tc>
          <w:tcPr>
            <w:tcW w:w="2200" w:type="dxa"/>
            <w:tcBorders>
              <w:top w:val="nil"/>
              <w:left w:val="nil"/>
              <w:bottom w:val="single" w:sz="4" w:space="0" w:color="auto"/>
              <w:right w:val="single" w:sz="4" w:space="0" w:color="auto"/>
            </w:tcBorders>
            <w:shd w:val="clear" w:color="000000" w:fill="FFFF00"/>
            <w:noWrap/>
            <w:vAlign w:val="bottom"/>
            <w:hideMark/>
          </w:tcPr>
          <w:p w14:paraId="395DF9F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654C38B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0.0028</w:t>
            </w:r>
          </w:p>
        </w:tc>
      </w:tr>
      <w:tr w:rsidR="002F3182" w:rsidRPr="00DD27F8" w14:paraId="71197EC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BD2DBA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Sporobolus mitchellii</w:t>
            </w:r>
          </w:p>
        </w:tc>
        <w:tc>
          <w:tcPr>
            <w:tcW w:w="2200" w:type="dxa"/>
            <w:tcBorders>
              <w:top w:val="nil"/>
              <w:left w:val="nil"/>
              <w:bottom w:val="single" w:sz="4" w:space="0" w:color="auto"/>
              <w:right w:val="single" w:sz="4" w:space="0" w:color="auto"/>
            </w:tcBorders>
            <w:shd w:val="clear" w:color="auto" w:fill="auto"/>
            <w:noWrap/>
            <w:vAlign w:val="bottom"/>
            <w:hideMark/>
          </w:tcPr>
          <w:p w14:paraId="2340575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7663E37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0.0542</w:t>
            </w:r>
          </w:p>
        </w:tc>
      </w:tr>
      <w:tr w:rsidR="002F3182" w:rsidRPr="00DD27F8" w14:paraId="1B29F49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A20932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Stemodia florulenta</w:t>
            </w:r>
          </w:p>
        </w:tc>
        <w:tc>
          <w:tcPr>
            <w:tcW w:w="2200" w:type="dxa"/>
            <w:tcBorders>
              <w:top w:val="nil"/>
              <w:left w:val="nil"/>
              <w:bottom w:val="single" w:sz="4" w:space="0" w:color="auto"/>
              <w:right w:val="single" w:sz="4" w:space="0" w:color="auto"/>
            </w:tcBorders>
            <w:shd w:val="clear" w:color="auto" w:fill="auto"/>
            <w:noWrap/>
            <w:vAlign w:val="bottom"/>
            <w:hideMark/>
          </w:tcPr>
          <w:p w14:paraId="4EB9D4F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4A2C28E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0.8586</w:t>
            </w:r>
          </w:p>
        </w:tc>
      </w:tr>
      <w:tr w:rsidR="002F3182" w:rsidRPr="00DD27F8" w14:paraId="6127D01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33993A6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Symphyotrichum subulatum*</w:t>
            </w:r>
          </w:p>
        </w:tc>
        <w:tc>
          <w:tcPr>
            <w:tcW w:w="2200" w:type="dxa"/>
            <w:tcBorders>
              <w:top w:val="nil"/>
              <w:left w:val="nil"/>
              <w:bottom w:val="single" w:sz="4" w:space="0" w:color="auto"/>
              <w:right w:val="single" w:sz="4" w:space="0" w:color="auto"/>
            </w:tcBorders>
            <w:shd w:val="clear" w:color="auto" w:fill="00B0F0"/>
            <w:noWrap/>
            <w:vAlign w:val="bottom"/>
            <w:hideMark/>
          </w:tcPr>
          <w:p w14:paraId="1862F47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274A1C2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0.2054</w:t>
            </w:r>
          </w:p>
        </w:tc>
      </w:tr>
      <w:tr w:rsidR="002F3182" w:rsidRPr="00DD27F8" w14:paraId="2DA08D8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F67428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Teucrium racemosum</w:t>
            </w:r>
          </w:p>
        </w:tc>
        <w:tc>
          <w:tcPr>
            <w:tcW w:w="2200" w:type="dxa"/>
            <w:tcBorders>
              <w:top w:val="nil"/>
              <w:left w:val="nil"/>
              <w:bottom w:val="single" w:sz="4" w:space="0" w:color="auto"/>
              <w:right w:val="single" w:sz="4" w:space="0" w:color="auto"/>
            </w:tcBorders>
            <w:shd w:val="clear" w:color="auto" w:fill="auto"/>
            <w:noWrap/>
            <w:vAlign w:val="bottom"/>
            <w:hideMark/>
          </w:tcPr>
          <w:p w14:paraId="4770CB2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4D2F60C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0.3165</w:t>
            </w:r>
          </w:p>
        </w:tc>
      </w:tr>
      <w:tr w:rsidR="002F3182" w:rsidRPr="00DD27F8" w14:paraId="3BF8607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363639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Wahlenbergia fluminalis</w:t>
            </w:r>
          </w:p>
        </w:tc>
        <w:tc>
          <w:tcPr>
            <w:tcW w:w="2200" w:type="dxa"/>
            <w:tcBorders>
              <w:top w:val="nil"/>
              <w:left w:val="nil"/>
              <w:bottom w:val="single" w:sz="4" w:space="0" w:color="auto"/>
              <w:right w:val="single" w:sz="4" w:space="0" w:color="auto"/>
            </w:tcBorders>
            <w:shd w:val="clear" w:color="auto" w:fill="auto"/>
            <w:noWrap/>
            <w:vAlign w:val="bottom"/>
            <w:hideMark/>
          </w:tcPr>
          <w:p w14:paraId="16EF897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7E7A7C1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0.4577</w:t>
            </w:r>
          </w:p>
        </w:tc>
      </w:tr>
      <w:tr w:rsidR="002F3182" w:rsidRPr="00DD27F8" w14:paraId="418F445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42999FD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Xanthium occidentale**</w:t>
            </w:r>
          </w:p>
        </w:tc>
        <w:tc>
          <w:tcPr>
            <w:tcW w:w="2200" w:type="dxa"/>
            <w:tcBorders>
              <w:top w:val="nil"/>
              <w:left w:val="nil"/>
              <w:bottom w:val="single" w:sz="4" w:space="0" w:color="auto"/>
              <w:right w:val="single" w:sz="4" w:space="0" w:color="auto"/>
            </w:tcBorders>
            <w:shd w:val="clear" w:color="auto" w:fill="00B0F0"/>
            <w:noWrap/>
            <w:vAlign w:val="bottom"/>
            <w:hideMark/>
          </w:tcPr>
          <w:p w14:paraId="1A965A3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1510D38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0.18</w:t>
            </w:r>
          </w:p>
        </w:tc>
      </w:tr>
    </w:tbl>
    <w:p w14:paraId="303ECD0D" w14:textId="77777777" w:rsidR="002F3182" w:rsidRPr="002A123E" w:rsidRDefault="002F3182" w:rsidP="002F3182"/>
    <w:p w14:paraId="744D2BB5" w14:textId="77777777" w:rsidR="002F3182" w:rsidRPr="002A123E" w:rsidRDefault="002F3182" w:rsidP="002F3182">
      <w:bookmarkStart w:id="420" w:name="_Hlk58574297"/>
      <w:r w:rsidRPr="002A123E">
        <w:t xml:space="preserve">b. </w:t>
      </w:r>
    </w:p>
    <w:tbl>
      <w:tblPr>
        <w:tblW w:w="6699" w:type="dxa"/>
        <w:jc w:val="center"/>
        <w:tblLook w:val="04A0" w:firstRow="1" w:lastRow="0" w:firstColumn="1" w:lastColumn="0" w:noHBand="0" w:noVBand="1"/>
      </w:tblPr>
      <w:tblGrid>
        <w:gridCol w:w="3539"/>
        <w:gridCol w:w="2200"/>
        <w:gridCol w:w="960"/>
      </w:tblGrid>
      <w:tr w:rsidR="002F3182" w:rsidRPr="00DD27F8" w14:paraId="23EB34D9" w14:textId="77777777" w:rsidTr="00404EDB">
        <w:trPr>
          <w:trHeight w:val="300"/>
          <w:tblHeader/>
          <w:jc w:val="center"/>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2C39A"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Taxon</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4C66C6BB"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Zone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DE2E155"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P</w:t>
            </w:r>
          </w:p>
        </w:tc>
      </w:tr>
      <w:tr w:rsidR="002F3182" w:rsidRPr="00DD27F8" w14:paraId="0A4813E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15740C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Alternanthera denticulata</w:t>
            </w:r>
          </w:p>
        </w:tc>
        <w:tc>
          <w:tcPr>
            <w:tcW w:w="2200" w:type="dxa"/>
            <w:tcBorders>
              <w:top w:val="nil"/>
              <w:left w:val="nil"/>
              <w:bottom w:val="single" w:sz="4" w:space="0" w:color="auto"/>
              <w:right w:val="single" w:sz="4" w:space="0" w:color="auto"/>
            </w:tcBorders>
            <w:shd w:val="clear" w:color="auto" w:fill="00B0F0"/>
            <w:noWrap/>
            <w:vAlign w:val="bottom"/>
            <w:hideMark/>
          </w:tcPr>
          <w:p w14:paraId="5B5DB56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5048AA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0.1938</w:t>
            </w:r>
          </w:p>
        </w:tc>
      </w:tr>
      <w:tr w:rsidR="002F3182" w:rsidRPr="00DD27F8" w14:paraId="4123D67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0A2FE8E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Ammannia multiflora</w:t>
            </w:r>
          </w:p>
        </w:tc>
        <w:tc>
          <w:tcPr>
            <w:tcW w:w="2200" w:type="dxa"/>
            <w:tcBorders>
              <w:top w:val="nil"/>
              <w:left w:val="nil"/>
              <w:bottom w:val="single" w:sz="4" w:space="0" w:color="auto"/>
              <w:right w:val="single" w:sz="4" w:space="0" w:color="auto"/>
            </w:tcBorders>
            <w:shd w:val="clear" w:color="auto" w:fill="00B0F0"/>
            <w:noWrap/>
            <w:vAlign w:val="bottom"/>
            <w:hideMark/>
          </w:tcPr>
          <w:p w14:paraId="6B06759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1D9872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5C20997B"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6E661BA"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Atriplex</w:t>
            </w:r>
          </w:p>
        </w:tc>
        <w:tc>
          <w:tcPr>
            <w:tcW w:w="2200" w:type="dxa"/>
            <w:tcBorders>
              <w:top w:val="nil"/>
              <w:left w:val="nil"/>
              <w:bottom w:val="single" w:sz="4" w:space="0" w:color="auto"/>
              <w:right w:val="single" w:sz="4" w:space="0" w:color="auto"/>
            </w:tcBorders>
            <w:shd w:val="clear" w:color="auto" w:fill="auto"/>
            <w:noWrap/>
            <w:vAlign w:val="bottom"/>
            <w:hideMark/>
          </w:tcPr>
          <w:p w14:paraId="1F3FEAA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7219A01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661A903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ACE3D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Bare soil</w:t>
            </w:r>
          </w:p>
        </w:tc>
        <w:tc>
          <w:tcPr>
            <w:tcW w:w="2200" w:type="dxa"/>
            <w:tcBorders>
              <w:top w:val="nil"/>
              <w:left w:val="nil"/>
              <w:bottom w:val="single" w:sz="4" w:space="0" w:color="auto"/>
              <w:right w:val="single" w:sz="4" w:space="0" w:color="auto"/>
            </w:tcBorders>
            <w:shd w:val="clear" w:color="auto" w:fill="auto"/>
            <w:noWrap/>
            <w:vAlign w:val="bottom"/>
            <w:hideMark/>
          </w:tcPr>
          <w:p w14:paraId="28ACA47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022F27E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0.096</w:t>
            </w:r>
          </w:p>
        </w:tc>
      </w:tr>
      <w:tr w:rsidR="002F3182" w:rsidRPr="00DD27F8" w14:paraId="76106D5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41CBE1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Bolboschoenus caldwellii</w:t>
            </w:r>
          </w:p>
        </w:tc>
        <w:tc>
          <w:tcPr>
            <w:tcW w:w="2200" w:type="dxa"/>
            <w:tcBorders>
              <w:top w:val="nil"/>
              <w:left w:val="nil"/>
              <w:bottom w:val="single" w:sz="4" w:space="0" w:color="auto"/>
              <w:right w:val="single" w:sz="4" w:space="0" w:color="auto"/>
            </w:tcBorders>
            <w:shd w:val="clear" w:color="auto" w:fill="00B0F0"/>
            <w:noWrap/>
            <w:vAlign w:val="bottom"/>
            <w:hideMark/>
          </w:tcPr>
          <w:p w14:paraId="7DB57D3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36910F9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0.5887</w:t>
            </w:r>
          </w:p>
        </w:tc>
      </w:tr>
      <w:tr w:rsidR="002F3182" w:rsidRPr="00DD27F8" w14:paraId="26613B7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6F40BAF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Brachyscome paludicola</w:t>
            </w:r>
          </w:p>
        </w:tc>
        <w:tc>
          <w:tcPr>
            <w:tcW w:w="2200" w:type="dxa"/>
            <w:tcBorders>
              <w:top w:val="nil"/>
              <w:left w:val="nil"/>
              <w:bottom w:val="single" w:sz="4" w:space="0" w:color="auto"/>
              <w:right w:val="single" w:sz="4" w:space="0" w:color="auto"/>
            </w:tcBorders>
            <w:shd w:val="clear" w:color="000000" w:fill="FFFF00"/>
            <w:noWrap/>
            <w:vAlign w:val="bottom"/>
            <w:hideMark/>
          </w:tcPr>
          <w:p w14:paraId="21516D7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4BE1896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0.0058</w:t>
            </w:r>
          </w:p>
        </w:tc>
      </w:tr>
      <w:tr w:rsidR="002F3182" w:rsidRPr="00DD27F8" w14:paraId="3868CC1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B321DA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Centipeda minima</w:t>
            </w:r>
          </w:p>
        </w:tc>
        <w:tc>
          <w:tcPr>
            <w:tcW w:w="2200" w:type="dxa"/>
            <w:tcBorders>
              <w:top w:val="nil"/>
              <w:left w:val="nil"/>
              <w:bottom w:val="single" w:sz="4" w:space="0" w:color="auto"/>
              <w:right w:val="single" w:sz="4" w:space="0" w:color="auto"/>
            </w:tcBorders>
            <w:shd w:val="clear" w:color="auto" w:fill="00B0F0"/>
            <w:noWrap/>
            <w:vAlign w:val="bottom"/>
            <w:hideMark/>
          </w:tcPr>
          <w:p w14:paraId="4CA8E4C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065CFD2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0.5459</w:t>
            </w:r>
          </w:p>
        </w:tc>
      </w:tr>
      <w:tr w:rsidR="002F3182" w:rsidRPr="00DD27F8" w14:paraId="4ADFB40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76A38B1"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Cyperus difformis</w:t>
            </w:r>
          </w:p>
        </w:tc>
        <w:tc>
          <w:tcPr>
            <w:tcW w:w="2200" w:type="dxa"/>
            <w:tcBorders>
              <w:top w:val="nil"/>
              <w:left w:val="nil"/>
              <w:bottom w:val="single" w:sz="4" w:space="0" w:color="auto"/>
              <w:right w:val="single" w:sz="4" w:space="0" w:color="auto"/>
            </w:tcBorders>
            <w:shd w:val="clear" w:color="auto" w:fill="00B0F0"/>
            <w:noWrap/>
            <w:vAlign w:val="bottom"/>
            <w:hideMark/>
          </w:tcPr>
          <w:p w14:paraId="310DA9D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439077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0.2863</w:t>
            </w:r>
          </w:p>
        </w:tc>
      </w:tr>
      <w:tr w:rsidR="002F3182" w:rsidRPr="00DD27F8" w14:paraId="28989DA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30A1DB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Cyperus gymnocaulos</w:t>
            </w:r>
          </w:p>
        </w:tc>
        <w:tc>
          <w:tcPr>
            <w:tcW w:w="2200" w:type="dxa"/>
            <w:tcBorders>
              <w:top w:val="nil"/>
              <w:left w:val="nil"/>
              <w:bottom w:val="single" w:sz="4" w:space="0" w:color="auto"/>
              <w:right w:val="single" w:sz="4" w:space="0" w:color="auto"/>
            </w:tcBorders>
            <w:shd w:val="clear" w:color="auto" w:fill="auto"/>
            <w:noWrap/>
            <w:vAlign w:val="bottom"/>
            <w:hideMark/>
          </w:tcPr>
          <w:p w14:paraId="3623305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7F02C6F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0.3475</w:t>
            </w:r>
          </w:p>
        </w:tc>
      </w:tr>
      <w:tr w:rsidR="002F3182" w:rsidRPr="00DD27F8" w14:paraId="5F6C9CC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1E5872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Disphyma crassifolium</w:t>
            </w:r>
          </w:p>
        </w:tc>
        <w:tc>
          <w:tcPr>
            <w:tcW w:w="2200" w:type="dxa"/>
            <w:tcBorders>
              <w:top w:val="nil"/>
              <w:left w:val="nil"/>
              <w:bottom w:val="single" w:sz="4" w:space="0" w:color="auto"/>
              <w:right w:val="single" w:sz="4" w:space="0" w:color="auto"/>
            </w:tcBorders>
            <w:shd w:val="clear" w:color="auto" w:fill="auto"/>
            <w:noWrap/>
            <w:vAlign w:val="bottom"/>
            <w:hideMark/>
          </w:tcPr>
          <w:p w14:paraId="5D7EE1C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67A927E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0.1326</w:t>
            </w:r>
          </w:p>
        </w:tc>
      </w:tr>
      <w:tr w:rsidR="002F3182" w:rsidRPr="00DD27F8" w14:paraId="147DEF9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4C6C87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Duma florulenta</w:t>
            </w:r>
          </w:p>
        </w:tc>
        <w:tc>
          <w:tcPr>
            <w:tcW w:w="2200" w:type="dxa"/>
            <w:tcBorders>
              <w:top w:val="nil"/>
              <w:left w:val="nil"/>
              <w:bottom w:val="single" w:sz="4" w:space="0" w:color="auto"/>
              <w:right w:val="single" w:sz="4" w:space="0" w:color="auto"/>
            </w:tcBorders>
            <w:shd w:val="clear" w:color="auto" w:fill="auto"/>
            <w:noWrap/>
            <w:vAlign w:val="bottom"/>
            <w:hideMark/>
          </w:tcPr>
          <w:p w14:paraId="390679F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4880E92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0.5497</w:t>
            </w:r>
          </w:p>
        </w:tc>
      </w:tr>
      <w:tr w:rsidR="002F3182" w:rsidRPr="00DD27F8" w14:paraId="111B009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E5C3217"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Einadia nutans</w:t>
            </w:r>
          </w:p>
        </w:tc>
        <w:tc>
          <w:tcPr>
            <w:tcW w:w="2200" w:type="dxa"/>
            <w:tcBorders>
              <w:top w:val="nil"/>
              <w:left w:val="nil"/>
              <w:bottom w:val="single" w:sz="4" w:space="0" w:color="auto"/>
              <w:right w:val="single" w:sz="4" w:space="0" w:color="auto"/>
            </w:tcBorders>
            <w:shd w:val="clear" w:color="auto" w:fill="auto"/>
            <w:noWrap/>
            <w:vAlign w:val="bottom"/>
            <w:hideMark/>
          </w:tcPr>
          <w:p w14:paraId="71FA80D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22D5B7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0.5329</w:t>
            </w:r>
          </w:p>
        </w:tc>
      </w:tr>
      <w:tr w:rsidR="002F3182" w:rsidRPr="00DD27F8" w14:paraId="52CDC90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53F3175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Enchylaena tomentosa</w:t>
            </w:r>
          </w:p>
        </w:tc>
        <w:tc>
          <w:tcPr>
            <w:tcW w:w="2200" w:type="dxa"/>
            <w:tcBorders>
              <w:top w:val="nil"/>
              <w:left w:val="nil"/>
              <w:bottom w:val="single" w:sz="4" w:space="0" w:color="auto"/>
              <w:right w:val="single" w:sz="4" w:space="0" w:color="auto"/>
            </w:tcBorders>
            <w:shd w:val="clear" w:color="000000" w:fill="FFFF00"/>
            <w:noWrap/>
            <w:vAlign w:val="bottom"/>
            <w:hideMark/>
          </w:tcPr>
          <w:p w14:paraId="2FD461E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000000" w:fill="FFFF00"/>
            <w:noWrap/>
            <w:vAlign w:val="bottom"/>
            <w:hideMark/>
          </w:tcPr>
          <w:p w14:paraId="01BD360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0.0186</w:t>
            </w:r>
          </w:p>
        </w:tc>
      </w:tr>
      <w:tr w:rsidR="002F3182" w:rsidRPr="00DD27F8" w14:paraId="432B96A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BA73897"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Erigeron bonariensis*</w:t>
            </w:r>
          </w:p>
        </w:tc>
        <w:tc>
          <w:tcPr>
            <w:tcW w:w="2200" w:type="dxa"/>
            <w:tcBorders>
              <w:top w:val="nil"/>
              <w:left w:val="nil"/>
              <w:bottom w:val="single" w:sz="4" w:space="0" w:color="auto"/>
              <w:right w:val="single" w:sz="4" w:space="0" w:color="auto"/>
            </w:tcBorders>
            <w:shd w:val="clear" w:color="auto" w:fill="auto"/>
            <w:noWrap/>
            <w:vAlign w:val="bottom"/>
            <w:hideMark/>
          </w:tcPr>
          <w:p w14:paraId="1932D82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4E9B9EE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0.6637</w:t>
            </w:r>
          </w:p>
        </w:tc>
      </w:tr>
      <w:tr w:rsidR="002F3182" w:rsidRPr="00DD27F8" w14:paraId="545F06E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A3F47E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Erodium botrys*</w:t>
            </w:r>
          </w:p>
        </w:tc>
        <w:tc>
          <w:tcPr>
            <w:tcW w:w="2200" w:type="dxa"/>
            <w:tcBorders>
              <w:top w:val="nil"/>
              <w:left w:val="nil"/>
              <w:bottom w:val="single" w:sz="4" w:space="0" w:color="auto"/>
              <w:right w:val="single" w:sz="4" w:space="0" w:color="auto"/>
            </w:tcBorders>
            <w:shd w:val="clear" w:color="auto" w:fill="auto"/>
            <w:noWrap/>
            <w:vAlign w:val="bottom"/>
            <w:hideMark/>
          </w:tcPr>
          <w:p w14:paraId="68B559F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1048CFF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0.1326</w:t>
            </w:r>
          </w:p>
        </w:tc>
      </w:tr>
      <w:tr w:rsidR="002F3182" w:rsidRPr="00DD27F8" w14:paraId="75CF0D4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C98B36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Eucalyptus camaldulensis</w:t>
            </w:r>
          </w:p>
        </w:tc>
        <w:tc>
          <w:tcPr>
            <w:tcW w:w="2200" w:type="dxa"/>
            <w:tcBorders>
              <w:top w:val="nil"/>
              <w:left w:val="nil"/>
              <w:bottom w:val="single" w:sz="4" w:space="0" w:color="auto"/>
              <w:right w:val="single" w:sz="4" w:space="0" w:color="auto"/>
            </w:tcBorders>
            <w:shd w:val="clear" w:color="auto" w:fill="auto"/>
            <w:noWrap/>
            <w:vAlign w:val="bottom"/>
            <w:hideMark/>
          </w:tcPr>
          <w:p w14:paraId="6926FD9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17DC344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0.5059</w:t>
            </w:r>
          </w:p>
        </w:tc>
      </w:tr>
      <w:tr w:rsidR="002F3182" w:rsidRPr="00DD27F8" w14:paraId="4C07FE3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33DCD3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Euchiton involucratus</w:t>
            </w:r>
          </w:p>
        </w:tc>
        <w:tc>
          <w:tcPr>
            <w:tcW w:w="2200" w:type="dxa"/>
            <w:tcBorders>
              <w:top w:val="nil"/>
              <w:left w:val="nil"/>
              <w:bottom w:val="single" w:sz="4" w:space="0" w:color="auto"/>
              <w:right w:val="single" w:sz="4" w:space="0" w:color="auto"/>
            </w:tcBorders>
            <w:shd w:val="clear" w:color="auto" w:fill="auto"/>
            <w:noWrap/>
            <w:vAlign w:val="bottom"/>
            <w:hideMark/>
          </w:tcPr>
          <w:p w14:paraId="14F772A8"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73F6542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0.5459</w:t>
            </w:r>
          </w:p>
        </w:tc>
      </w:tr>
      <w:tr w:rsidR="002F3182" w:rsidRPr="00DD27F8" w14:paraId="3C466E7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9B062EA"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Gazania rigens**</w:t>
            </w:r>
          </w:p>
        </w:tc>
        <w:tc>
          <w:tcPr>
            <w:tcW w:w="2200" w:type="dxa"/>
            <w:tcBorders>
              <w:top w:val="nil"/>
              <w:left w:val="nil"/>
              <w:bottom w:val="single" w:sz="4" w:space="0" w:color="auto"/>
              <w:right w:val="single" w:sz="4" w:space="0" w:color="auto"/>
            </w:tcBorders>
            <w:shd w:val="clear" w:color="auto" w:fill="auto"/>
            <w:noWrap/>
            <w:vAlign w:val="bottom"/>
            <w:hideMark/>
          </w:tcPr>
          <w:p w14:paraId="2ECF8A2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6AF4615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0.5397</w:t>
            </w:r>
          </w:p>
        </w:tc>
      </w:tr>
      <w:tr w:rsidR="002F3182" w:rsidRPr="00DD27F8" w14:paraId="6D8B5C24"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5099A3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Heliotropium curassavicum*</w:t>
            </w:r>
          </w:p>
        </w:tc>
        <w:tc>
          <w:tcPr>
            <w:tcW w:w="2200" w:type="dxa"/>
            <w:tcBorders>
              <w:top w:val="nil"/>
              <w:left w:val="nil"/>
              <w:bottom w:val="single" w:sz="4" w:space="0" w:color="auto"/>
              <w:right w:val="single" w:sz="4" w:space="0" w:color="auto"/>
            </w:tcBorders>
            <w:shd w:val="clear" w:color="auto" w:fill="auto"/>
            <w:noWrap/>
            <w:vAlign w:val="bottom"/>
            <w:hideMark/>
          </w:tcPr>
          <w:p w14:paraId="0C6ECE0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11E3DC6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0.2749</w:t>
            </w:r>
          </w:p>
        </w:tc>
      </w:tr>
      <w:tr w:rsidR="002F3182" w:rsidRPr="00DD27F8" w14:paraId="690361F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65AD38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Isoetopsis graminifolia</w:t>
            </w:r>
          </w:p>
        </w:tc>
        <w:tc>
          <w:tcPr>
            <w:tcW w:w="2200" w:type="dxa"/>
            <w:tcBorders>
              <w:top w:val="nil"/>
              <w:left w:val="nil"/>
              <w:bottom w:val="single" w:sz="4" w:space="0" w:color="auto"/>
              <w:right w:val="single" w:sz="4" w:space="0" w:color="auto"/>
            </w:tcBorders>
            <w:shd w:val="clear" w:color="auto" w:fill="00B0F0"/>
            <w:noWrap/>
            <w:vAlign w:val="bottom"/>
            <w:hideMark/>
          </w:tcPr>
          <w:p w14:paraId="3571C50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68A04EF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0.5429</w:t>
            </w:r>
          </w:p>
        </w:tc>
      </w:tr>
      <w:tr w:rsidR="002F3182" w:rsidRPr="00DD27F8" w14:paraId="28E3942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41D2AFC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Juncus usitatus</w:t>
            </w:r>
          </w:p>
        </w:tc>
        <w:tc>
          <w:tcPr>
            <w:tcW w:w="2200" w:type="dxa"/>
            <w:tcBorders>
              <w:top w:val="nil"/>
              <w:left w:val="nil"/>
              <w:bottom w:val="single" w:sz="4" w:space="0" w:color="auto"/>
              <w:right w:val="single" w:sz="4" w:space="0" w:color="auto"/>
            </w:tcBorders>
            <w:shd w:val="clear" w:color="auto" w:fill="00B0F0"/>
            <w:noWrap/>
            <w:vAlign w:val="bottom"/>
            <w:hideMark/>
          </w:tcPr>
          <w:p w14:paraId="4AAD433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73F8BFD0"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0.2859</w:t>
            </w:r>
          </w:p>
        </w:tc>
      </w:tr>
      <w:tr w:rsidR="002F3182" w:rsidRPr="00DD27F8" w14:paraId="0B959B7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3DB7BDA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Lachnagrostis filiformis</w:t>
            </w:r>
          </w:p>
        </w:tc>
        <w:tc>
          <w:tcPr>
            <w:tcW w:w="2200" w:type="dxa"/>
            <w:tcBorders>
              <w:top w:val="nil"/>
              <w:left w:val="nil"/>
              <w:bottom w:val="single" w:sz="4" w:space="0" w:color="auto"/>
              <w:right w:val="single" w:sz="4" w:space="0" w:color="auto"/>
            </w:tcBorders>
            <w:shd w:val="clear" w:color="auto" w:fill="00B0F0"/>
            <w:noWrap/>
            <w:vAlign w:val="bottom"/>
            <w:hideMark/>
          </w:tcPr>
          <w:p w14:paraId="4CF300C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21711DE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28F13C0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057AB91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Ludwigia peploides</w:t>
            </w:r>
          </w:p>
        </w:tc>
        <w:tc>
          <w:tcPr>
            <w:tcW w:w="2200" w:type="dxa"/>
            <w:tcBorders>
              <w:top w:val="nil"/>
              <w:left w:val="nil"/>
              <w:bottom w:val="single" w:sz="4" w:space="0" w:color="auto"/>
              <w:right w:val="single" w:sz="4" w:space="0" w:color="auto"/>
            </w:tcBorders>
            <w:shd w:val="clear" w:color="auto" w:fill="00B0F0"/>
            <w:noWrap/>
            <w:vAlign w:val="bottom"/>
            <w:hideMark/>
          </w:tcPr>
          <w:p w14:paraId="501B876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4B26C21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0.1522</w:t>
            </w:r>
          </w:p>
        </w:tc>
      </w:tr>
      <w:tr w:rsidR="002F3182" w:rsidRPr="00DD27F8" w14:paraId="362F92F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4999D26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Lythrum hyssopifolia</w:t>
            </w:r>
          </w:p>
        </w:tc>
        <w:tc>
          <w:tcPr>
            <w:tcW w:w="2200" w:type="dxa"/>
            <w:tcBorders>
              <w:top w:val="nil"/>
              <w:left w:val="nil"/>
              <w:bottom w:val="single" w:sz="4" w:space="0" w:color="auto"/>
              <w:right w:val="single" w:sz="4" w:space="0" w:color="auto"/>
            </w:tcBorders>
            <w:shd w:val="clear" w:color="auto" w:fill="00B0F0"/>
            <w:noWrap/>
            <w:vAlign w:val="bottom"/>
            <w:hideMark/>
          </w:tcPr>
          <w:p w14:paraId="2D29BA2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4D6F98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7CE399D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A25452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Melaleuca lanceolata</w:t>
            </w:r>
          </w:p>
        </w:tc>
        <w:tc>
          <w:tcPr>
            <w:tcW w:w="2200" w:type="dxa"/>
            <w:tcBorders>
              <w:top w:val="nil"/>
              <w:left w:val="nil"/>
              <w:bottom w:val="single" w:sz="4" w:space="0" w:color="auto"/>
              <w:right w:val="single" w:sz="4" w:space="0" w:color="auto"/>
            </w:tcBorders>
            <w:shd w:val="clear" w:color="auto" w:fill="auto"/>
            <w:noWrap/>
            <w:vAlign w:val="bottom"/>
            <w:hideMark/>
          </w:tcPr>
          <w:p w14:paraId="62D9B61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552B658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5E083322"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429232E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Myriophyllum verrucosum</w:t>
            </w:r>
          </w:p>
        </w:tc>
        <w:tc>
          <w:tcPr>
            <w:tcW w:w="2200" w:type="dxa"/>
            <w:tcBorders>
              <w:top w:val="nil"/>
              <w:left w:val="nil"/>
              <w:bottom w:val="single" w:sz="4" w:space="0" w:color="auto"/>
              <w:right w:val="single" w:sz="4" w:space="0" w:color="auto"/>
            </w:tcBorders>
            <w:shd w:val="clear" w:color="auto" w:fill="00B0F0"/>
            <w:noWrap/>
            <w:vAlign w:val="bottom"/>
            <w:hideMark/>
          </w:tcPr>
          <w:p w14:paraId="7DB7F21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14CED68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0.2961</w:t>
            </w:r>
          </w:p>
        </w:tc>
      </w:tr>
      <w:tr w:rsidR="002F3182" w:rsidRPr="00DD27F8" w14:paraId="3C22A86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B9E8D7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Nicotiana velutina</w:t>
            </w:r>
          </w:p>
        </w:tc>
        <w:tc>
          <w:tcPr>
            <w:tcW w:w="2200" w:type="dxa"/>
            <w:tcBorders>
              <w:top w:val="nil"/>
              <w:left w:val="nil"/>
              <w:bottom w:val="single" w:sz="4" w:space="0" w:color="auto"/>
              <w:right w:val="single" w:sz="4" w:space="0" w:color="auto"/>
            </w:tcBorders>
            <w:shd w:val="clear" w:color="auto" w:fill="auto"/>
            <w:noWrap/>
            <w:vAlign w:val="bottom"/>
            <w:hideMark/>
          </w:tcPr>
          <w:p w14:paraId="0CA71B6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01D3F9C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0.0912</w:t>
            </w:r>
          </w:p>
        </w:tc>
      </w:tr>
      <w:tr w:rsidR="002F3182" w:rsidRPr="00DD27F8" w14:paraId="53458AE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8A25D9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Paspalidium jubiflorum</w:t>
            </w:r>
          </w:p>
        </w:tc>
        <w:tc>
          <w:tcPr>
            <w:tcW w:w="2200" w:type="dxa"/>
            <w:tcBorders>
              <w:top w:val="nil"/>
              <w:left w:val="nil"/>
              <w:bottom w:val="single" w:sz="4" w:space="0" w:color="auto"/>
              <w:right w:val="single" w:sz="4" w:space="0" w:color="auto"/>
            </w:tcBorders>
            <w:shd w:val="clear" w:color="auto" w:fill="auto"/>
            <w:noWrap/>
            <w:vAlign w:val="bottom"/>
            <w:hideMark/>
          </w:tcPr>
          <w:p w14:paraId="27ED5E3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5844678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0F2AFB4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DEF85D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Paspalum distichum</w:t>
            </w:r>
          </w:p>
        </w:tc>
        <w:tc>
          <w:tcPr>
            <w:tcW w:w="2200" w:type="dxa"/>
            <w:tcBorders>
              <w:top w:val="nil"/>
              <w:left w:val="nil"/>
              <w:bottom w:val="single" w:sz="4" w:space="0" w:color="auto"/>
              <w:right w:val="single" w:sz="4" w:space="0" w:color="auto"/>
            </w:tcBorders>
            <w:shd w:val="clear" w:color="auto" w:fill="00B0F0"/>
            <w:noWrap/>
            <w:vAlign w:val="bottom"/>
            <w:hideMark/>
          </w:tcPr>
          <w:p w14:paraId="58EF01A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641EDDA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0.6899</w:t>
            </w:r>
          </w:p>
        </w:tc>
      </w:tr>
      <w:tr w:rsidR="002F3182" w:rsidRPr="00DD27F8" w14:paraId="18E9F8E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EF7C7C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Persicaria lapathifolia</w:t>
            </w:r>
          </w:p>
        </w:tc>
        <w:tc>
          <w:tcPr>
            <w:tcW w:w="2200" w:type="dxa"/>
            <w:tcBorders>
              <w:top w:val="nil"/>
              <w:left w:val="nil"/>
              <w:bottom w:val="single" w:sz="4" w:space="0" w:color="auto"/>
              <w:right w:val="single" w:sz="4" w:space="0" w:color="auto"/>
            </w:tcBorders>
            <w:shd w:val="clear" w:color="auto" w:fill="00B0F0"/>
            <w:noWrap/>
            <w:vAlign w:val="bottom"/>
            <w:hideMark/>
          </w:tcPr>
          <w:p w14:paraId="02B84BC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7340D2F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w:t>
            </w:r>
          </w:p>
        </w:tc>
      </w:tr>
      <w:tr w:rsidR="002F3182" w:rsidRPr="00DD27F8" w14:paraId="6F0EBA7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2FE255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Pseudognaphalium luteoalbum</w:t>
            </w:r>
          </w:p>
        </w:tc>
        <w:tc>
          <w:tcPr>
            <w:tcW w:w="2200" w:type="dxa"/>
            <w:tcBorders>
              <w:top w:val="nil"/>
              <w:left w:val="nil"/>
              <w:bottom w:val="single" w:sz="4" w:space="0" w:color="auto"/>
              <w:right w:val="single" w:sz="4" w:space="0" w:color="auto"/>
            </w:tcBorders>
            <w:shd w:val="clear" w:color="auto" w:fill="00B0F0"/>
            <w:noWrap/>
            <w:vAlign w:val="bottom"/>
            <w:hideMark/>
          </w:tcPr>
          <w:p w14:paraId="4AEC0EC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5D00497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0D82116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23141A1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Senecio cunninghamii</w:t>
            </w:r>
          </w:p>
        </w:tc>
        <w:tc>
          <w:tcPr>
            <w:tcW w:w="2200" w:type="dxa"/>
            <w:tcBorders>
              <w:top w:val="nil"/>
              <w:left w:val="nil"/>
              <w:bottom w:val="single" w:sz="4" w:space="0" w:color="auto"/>
              <w:right w:val="single" w:sz="4" w:space="0" w:color="auto"/>
            </w:tcBorders>
            <w:shd w:val="clear" w:color="auto" w:fill="auto"/>
            <w:noWrap/>
            <w:vAlign w:val="bottom"/>
            <w:hideMark/>
          </w:tcPr>
          <w:p w14:paraId="553A648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3C2FB6B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0.6465</w:t>
            </w:r>
          </w:p>
        </w:tc>
      </w:tr>
      <w:tr w:rsidR="002F3182" w:rsidRPr="00DD27F8" w14:paraId="68EB922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1E284B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Sonchus oleraceus*</w:t>
            </w:r>
          </w:p>
        </w:tc>
        <w:tc>
          <w:tcPr>
            <w:tcW w:w="2200" w:type="dxa"/>
            <w:tcBorders>
              <w:top w:val="nil"/>
              <w:left w:val="nil"/>
              <w:bottom w:val="single" w:sz="4" w:space="0" w:color="auto"/>
              <w:right w:val="single" w:sz="4" w:space="0" w:color="auto"/>
            </w:tcBorders>
            <w:shd w:val="clear" w:color="auto" w:fill="auto"/>
            <w:noWrap/>
            <w:vAlign w:val="bottom"/>
            <w:hideMark/>
          </w:tcPr>
          <w:p w14:paraId="7A0A5AA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7A45F59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0.5329</w:t>
            </w:r>
          </w:p>
        </w:tc>
      </w:tr>
      <w:tr w:rsidR="002F3182" w:rsidRPr="00DD27F8" w14:paraId="4E619BEB"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053869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Sphaeromorphaea australis</w:t>
            </w:r>
          </w:p>
        </w:tc>
        <w:tc>
          <w:tcPr>
            <w:tcW w:w="2200" w:type="dxa"/>
            <w:tcBorders>
              <w:top w:val="nil"/>
              <w:left w:val="nil"/>
              <w:bottom w:val="single" w:sz="4" w:space="0" w:color="auto"/>
              <w:right w:val="single" w:sz="4" w:space="0" w:color="auto"/>
            </w:tcBorders>
            <w:shd w:val="clear" w:color="auto" w:fill="auto"/>
            <w:noWrap/>
            <w:vAlign w:val="bottom"/>
            <w:hideMark/>
          </w:tcPr>
          <w:p w14:paraId="0F600CB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72D41CC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0.1214</w:t>
            </w:r>
          </w:p>
        </w:tc>
      </w:tr>
      <w:tr w:rsidR="002F3182" w:rsidRPr="00DD27F8" w14:paraId="0150B7A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1A7701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Sporobolus mitchellii</w:t>
            </w:r>
          </w:p>
        </w:tc>
        <w:tc>
          <w:tcPr>
            <w:tcW w:w="2200" w:type="dxa"/>
            <w:tcBorders>
              <w:top w:val="nil"/>
              <w:left w:val="nil"/>
              <w:bottom w:val="single" w:sz="4" w:space="0" w:color="auto"/>
              <w:right w:val="single" w:sz="4" w:space="0" w:color="auto"/>
            </w:tcBorders>
            <w:shd w:val="clear" w:color="auto" w:fill="auto"/>
            <w:noWrap/>
            <w:vAlign w:val="bottom"/>
            <w:hideMark/>
          </w:tcPr>
          <w:p w14:paraId="5F842DD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6CE0A617"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0.1188</w:t>
            </w:r>
          </w:p>
        </w:tc>
      </w:tr>
      <w:tr w:rsidR="002F3182" w:rsidRPr="00DD27F8" w14:paraId="5F102BA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10A1EF0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Stemodia florulenta</w:t>
            </w:r>
          </w:p>
        </w:tc>
        <w:tc>
          <w:tcPr>
            <w:tcW w:w="2200" w:type="dxa"/>
            <w:tcBorders>
              <w:top w:val="nil"/>
              <w:left w:val="nil"/>
              <w:bottom w:val="single" w:sz="4" w:space="0" w:color="auto"/>
              <w:right w:val="single" w:sz="4" w:space="0" w:color="auto"/>
            </w:tcBorders>
            <w:shd w:val="clear" w:color="000000" w:fill="FFFF00"/>
            <w:noWrap/>
            <w:vAlign w:val="bottom"/>
            <w:hideMark/>
          </w:tcPr>
          <w:p w14:paraId="2F5B172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549479C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0.0254</w:t>
            </w:r>
          </w:p>
        </w:tc>
      </w:tr>
      <w:tr w:rsidR="002F3182" w:rsidRPr="00DD27F8" w14:paraId="7B7FAA9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0A68A1B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Symphyotrichum subulatum*</w:t>
            </w:r>
          </w:p>
        </w:tc>
        <w:tc>
          <w:tcPr>
            <w:tcW w:w="2200" w:type="dxa"/>
            <w:tcBorders>
              <w:top w:val="nil"/>
              <w:left w:val="nil"/>
              <w:bottom w:val="single" w:sz="4" w:space="0" w:color="auto"/>
              <w:right w:val="single" w:sz="4" w:space="0" w:color="auto"/>
            </w:tcBorders>
            <w:shd w:val="clear" w:color="auto" w:fill="00B0F0"/>
            <w:noWrap/>
            <w:vAlign w:val="bottom"/>
            <w:hideMark/>
          </w:tcPr>
          <w:p w14:paraId="6B105B0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6D80A67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0.1952</w:t>
            </w:r>
          </w:p>
        </w:tc>
      </w:tr>
      <w:tr w:rsidR="002F3182" w:rsidRPr="00DD27F8" w14:paraId="4EC52CF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BC0C1C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Tetragonia tetragonoides</w:t>
            </w:r>
          </w:p>
        </w:tc>
        <w:tc>
          <w:tcPr>
            <w:tcW w:w="2200" w:type="dxa"/>
            <w:tcBorders>
              <w:top w:val="nil"/>
              <w:left w:val="nil"/>
              <w:bottom w:val="single" w:sz="4" w:space="0" w:color="auto"/>
              <w:right w:val="single" w:sz="4" w:space="0" w:color="auto"/>
            </w:tcBorders>
            <w:shd w:val="clear" w:color="auto" w:fill="auto"/>
            <w:noWrap/>
            <w:vAlign w:val="bottom"/>
            <w:hideMark/>
          </w:tcPr>
          <w:p w14:paraId="5CD664B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27E31C6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0.5397</w:t>
            </w:r>
          </w:p>
        </w:tc>
      </w:tr>
      <w:tr w:rsidR="002F3182" w:rsidRPr="00DD27F8" w14:paraId="5EAAC08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D5A537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Teucrium racemosum</w:t>
            </w:r>
          </w:p>
        </w:tc>
        <w:tc>
          <w:tcPr>
            <w:tcW w:w="2200" w:type="dxa"/>
            <w:tcBorders>
              <w:top w:val="nil"/>
              <w:left w:val="nil"/>
              <w:bottom w:val="single" w:sz="4" w:space="0" w:color="auto"/>
              <w:right w:val="single" w:sz="4" w:space="0" w:color="auto"/>
            </w:tcBorders>
            <w:shd w:val="clear" w:color="auto" w:fill="auto"/>
            <w:noWrap/>
            <w:vAlign w:val="bottom"/>
            <w:hideMark/>
          </w:tcPr>
          <w:p w14:paraId="0D402F3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725FC23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0585987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7A7C68A"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Wahlenbergia fluminalis</w:t>
            </w:r>
          </w:p>
        </w:tc>
        <w:tc>
          <w:tcPr>
            <w:tcW w:w="2200" w:type="dxa"/>
            <w:tcBorders>
              <w:top w:val="nil"/>
              <w:left w:val="nil"/>
              <w:bottom w:val="single" w:sz="4" w:space="0" w:color="auto"/>
              <w:right w:val="single" w:sz="4" w:space="0" w:color="auto"/>
            </w:tcBorders>
            <w:shd w:val="clear" w:color="auto" w:fill="auto"/>
            <w:noWrap/>
            <w:vAlign w:val="bottom"/>
            <w:hideMark/>
          </w:tcPr>
          <w:p w14:paraId="5A78866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5CC826C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0.124</w:t>
            </w:r>
          </w:p>
        </w:tc>
      </w:tr>
      <w:tr w:rsidR="002F3182" w:rsidRPr="00DD27F8" w14:paraId="6293FF2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135ADD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Xanthium occidentale**</w:t>
            </w:r>
          </w:p>
        </w:tc>
        <w:tc>
          <w:tcPr>
            <w:tcW w:w="2200" w:type="dxa"/>
            <w:tcBorders>
              <w:top w:val="nil"/>
              <w:left w:val="nil"/>
              <w:bottom w:val="single" w:sz="4" w:space="0" w:color="auto"/>
              <w:right w:val="single" w:sz="4" w:space="0" w:color="auto"/>
            </w:tcBorders>
            <w:shd w:val="clear" w:color="auto" w:fill="00B0F0"/>
            <w:noWrap/>
            <w:vAlign w:val="bottom"/>
            <w:hideMark/>
          </w:tcPr>
          <w:p w14:paraId="335C0BC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6D3D452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0.1174</w:t>
            </w:r>
          </w:p>
        </w:tc>
      </w:tr>
    </w:tbl>
    <w:p w14:paraId="62AF73EC" w14:textId="77777777" w:rsidR="002F3182" w:rsidRPr="002A123E" w:rsidRDefault="002F3182" w:rsidP="002F3182"/>
    <w:p w14:paraId="7FFF03E4" w14:textId="77777777" w:rsidR="002F3182" w:rsidRDefault="002F3182" w:rsidP="002F3182">
      <w:r w:rsidRPr="002A123E">
        <w:t>c.</w:t>
      </w:r>
    </w:p>
    <w:tbl>
      <w:tblPr>
        <w:tblW w:w="6699" w:type="dxa"/>
        <w:jc w:val="center"/>
        <w:tblLook w:val="04A0" w:firstRow="1" w:lastRow="0" w:firstColumn="1" w:lastColumn="0" w:noHBand="0" w:noVBand="1"/>
      </w:tblPr>
      <w:tblGrid>
        <w:gridCol w:w="3539"/>
        <w:gridCol w:w="2200"/>
        <w:gridCol w:w="960"/>
      </w:tblGrid>
      <w:tr w:rsidR="002F3182" w:rsidRPr="00DD27F8" w14:paraId="60B44EBE" w14:textId="77777777" w:rsidTr="00404EDB">
        <w:trPr>
          <w:trHeight w:val="300"/>
          <w:tblHeader/>
          <w:jc w:val="center"/>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535E4"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Taxon</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7B31539A"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Zone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E612AD1" w14:textId="77777777" w:rsidR="002F3182" w:rsidRPr="00404EDB" w:rsidRDefault="002F3182" w:rsidP="005050BB">
            <w:pPr>
              <w:spacing w:before="0" w:after="0" w:line="240" w:lineRule="auto"/>
              <w:jc w:val="center"/>
              <w:rPr>
                <w:rFonts w:cs="Calibri"/>
                <w:b/>
                <w:bCs/>
                <w:kern w:val="0"/>
                <w:szCs w:val="21"/>
                <w:lang w:eastAsia="en-AU"/>
              </w:rPr>
            </w:pPr>
            <w:r w:rsidRPr="00404EDB">
              <w:rPr>
                <w:rFonts w:cs="Calibri"/>
                <w:b/>
                <w:bCs/>
                <w:kern w:val="0"/>
                <w:szCs w:val="21"/>
                <w:lang w:eastAsia="en-AU"/>
              </w:rPr>
              <w:t>P</w:t>
            </w:r>
          </w:p>
        </w:tc>
      </w:tr>
      <w:tr w:rsidR="002F3182" w:rsidRPr="00DD27F8" w14:paraId="6E2F8B5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03DBF6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Alternanthera denticulata</w:t>
            </w:r>
          </w:p>
        </w:tc>
        <w:tc>
          <w:tcPr>
            <w:tcW w:w="2200" w:type="dxa"/>
            <w:tcBorders>
              <w:top w:val="nil"/>
              <w:left w:val="nil"/>
              <w:bottom w:val="single" w:sz="4" w:space="0" w:color="auto"/>
              <w:right w:val="single" w:sz="4" w:space="0" w:color="auto"/>
            </w:tcBorders>
            <w:shd w:val="clear" w:color="auto" w:fill="auto"/>
            <w:noWrap/>
            <w:vAlign w:val="bottom"/>
            <w:hideMark/>
          </w:tcPr>
          <w:p w14:paraId="5BE53107"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0296CC7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0.0672</w:t>
            </w:r>
          </w:p>
        </w:tc>
      </w:tr>
      <w:tr w:rsidR="002F3182" w:rsidRPr="00DD27F8" w14:paraId="2062799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3101375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Ammannia multiflora</w:t>
            </w:r>
          </w:p>
        </w:tc>
        <w:tc>
          <w:tcPr>
            <w:tcW w:w="2200" w:type="dxa"/>
            <w:tcBorders>
              <w:top w:val="nil"/>
              <w:left w:val="nil"/>
              <w:bottom w:val="single" w:sz="4" w:space="0" w:color="auto"/>
              <w:right w:val="single" w:sz="4" w:space="0" w:color="auto"/>
            </w:tcBorders>
            <w:shd w:val="clear" w:color="000000" w:fill="FFFF00"/>
            <w:noWrap/>
            <w:vAlign w:val="bottom"/>
            <w:hideMark/>
          </w:tcPr>
          <w:p w14:paraId="16B5C287"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55F4836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0.0098</w:t>
            </w:r>
          </w:p>
        </w:tc>
      </w:tr>
      <w:tr w:rsidR="002F3182" w:rsidRPr="00DD27F8" w14:paraId="4433177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7CDE4D0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Atriplex</w:t>
            </w:r>
          </w:p>
        </w:tc>
        <w:tc>
          <w:tcPr>
            <w:tcW w:w="2200" w:type="dxa"/>
            <w:tcBorders>
              <w:top w:val="nil"/>
              <w:left w:val="nil"/>
              <w:bottom w:val="single" w:sz="4" w:space="0" w:color="auto"/>
              <w:right w:val="single" w:sz="4" w:space="0" w:color="auto"/>
            </w:tcBorders>
            <w:shd w:val="clear" w:color="000000" w:fill="FFFF00"/>
            <w:noWrap/>
            <w:vAlign w:val="bottom"/>
            <w:hideMark/>
          </w:tcPr>
          <w:p w14:paraId="773EA6F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39992BD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0.0474</w:t>
            </w:r>
          </w:p>
        </w:tc>
      </w:tr>
      <w:tr w:rsidR="002F3182" w:rsidRPr="00DD27F8" w14:paraId="5B410E6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7190E71"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Atriplex suberecta</w:t>
            </w:r>
          </w:p>
        </w:tc>
        <w:tc>
          <w:tcPr>
            <w:tcW w:w="2200" w:type="dxa"/>
            <w:tcBorders>
              <w:top w:val="nil"/>
              <w:left w:val="nil"/>
              <w:bottom w:val="single" w:sz="4" w:space="0" w:color="auto"/>
              <w:right w:val="single" w:sz="4" w:space="0" w:color="auto"/>
            </w:tcBorders>
            <w:shd w:val="clear" w:color="auto" w:fill="auto"/>
            <w:noWrap/>
            <w:vAlign w:val="bottom"/>
            <w:hideMark/>
          </w:tcPr>
          <w:p w14:paraId="174C04C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5A61212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0.5309</w:t>
            </w:r>
          </w:p>
        </w:tc>
      </w:tr>
      <w:tr w:rsidR="002F3182" w:rsidRPr="00DD27F8" w14:paraId="23331DA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69D3A68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Bolboschoenus caldwellii</w:t>
            </w:r>
          </w:p>
        </w:tc>
        <w:tc>
          <w:tcPr>
            <w:tcW w:w="2200" w:type="dxa"/>
            <w:tcBorders>
              <w:top w:val="nil"/>
              <w:left w:val="nil"/>
              <w:bottom w:val="single" w:sz="4" w:space="0" w:color="auto"/>
              <w:right w:val="single" w:sz="4" w:space="0" w:color="auto"/>
            </w:tcBorders>
            <w:shd w:val="clear" w:color="000000" w:fill="FFFF00"/>
            <w:noWrap/>
            <w:vAlign w:val="bottom"/>
            <w:hideMark/>
          </w:tcPr>
          <w:p w14:paraId="77A903C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2A01D41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0.0302</w:t>
            </w:r>
          </w:p>
        </w:tc>
      </w:tr>
      <w:tr w:rsidR="002F3182" w:rsidRPr="00DD27F8" w14:paraId="68B1932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B053D3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Brachyscome paludicola</w:t>
            </w:r>
          </w:p>
        </w:tc>
        <w:tc>
          <w:tcPr>
            <w:tcW w:w="2200" w:type="dxa"/>
            <w:tcBorders>
              <w:top w:val="nil"/>
              <w:left w:val="nil"/>
              <w:bottom w:val="single" w:sz="4" w:space="0" w:color="auto"/>
              <w:right w:val="single" w:sz="4" w:space="0" w:color="auto"/>
            </w:tcBorders>
            <w:shd w:val="clear" w:color="auto" w:fill="auto"/>
            <w:noWrap/>
            <w:vAlign w:val="bottom"/>
            <w:hideMark/>
          </w:tcPr>
          <w:p w14:paraId="130A9E5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1968E8A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0.4301</w:t>
            </w:r>
          </w:p>
        </w:tc>
      </w:tr>
      <w:tr w:rsidR="002F3182" w:rsidRPr="00DD27F8" w14:paraId="2F27006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7F67F6A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Centipeda minima</w:t>
            </w:r>
          </w:p>
        </w:tc>
        <w:tc>
          <w:tcPr>
            <w:tcW w:w="2200" w:type="dxa"/>
            <w:tcBorders>
              <w:top w:val="nil"/>
              <w:left w:val="nil"/>
              <w:bottom w:val="single" w:sz="4" w:space="0" w:color="auto"/>
              <w:right w:val="single" w:sz="4" w:space="0" w:color="auto"/>
            </w:tcBorders>
            <w:shd w:val="clear" w:color="000000" w:fill="FFFF00"/>
            <w:noWrap/>
            <w:vAlign w:val="bottom"/>
            <w:hideMark/>
          </w:tcPr>
          <w:p w14:paraId="526DF4D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5F57320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0.0086</w:t>
            </w:r>
          </w:p>
        </w:tc>
      </w:tr>
      <w:tr w:rsidR="002F3182" w:rsidRPr="00DD27F8" w14:paraId="403CEB1C"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6480CD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Chenopodium nitrariaceum</w:t>
            </w:r>
          </w:p>
        </w:tc>
        <w:tc>
          <w:tcPr>
            <w:tcW w:w="2200" w:type="dxa"/>
            <w:tcBorders>
              <w:top w:val="nil"/>
              <w:left w:val="nil"/>
              <w:bottom w:val="single" w:sz="4" w:space="0" w:color="auto"/>
              <w:right w:val="single" w:sz="4" w:space="0" w:color="auto"/>
            </w:tcBorders>
            <w:shd w:val="clear" w:color="auto" w:fill="auto"/>
            <w:noWrap/>
            <w:vAlign w:val="bottom"/>
            <w:hideMark/>
          </w:tcPr>
          <w:p w14:paraId="1520A91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2104625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56358F1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C146CA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Cuscuta campestris**</w:t>
            </w:r>
          </w:p>
        </w:tc>
        <w:tc>
          <w:tcPr>
            <w:tcW w:w="2200" w:type="dxa"/>
            <w:tcBorders>
              <w:top w:val="nil"/>
              <w:left w:val="nil"/>
              <w:bottom w:val="single" w:sz="4" w:space="0" w:color="auto"/>
              <w:right w:val="single" w:sz="4" w:space="0" w:color="auto"/>
            </w:tcBorders>
            <w:shd w:val="clear" w:color="auto" w:fill="00B0F0"/>
            <w:noWrap/>
            <w:vAlign w:val="bottom"/>
            <w:hideMark/>
          </w:tcPr>
          <w:p w14:paraId="369960E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527E2D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0.2643</w:t>
            </w:r>
          </w:p>
        </w:tc>
      </w:tr>
      <w:tr w:rsidR="002F3182" w:rsidRPr="00DD27F8" w14:paraId="447BBE0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5FC0634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Cyperus difformis</w:t>
            </w:r>
          </w:p>
        </w:tc>
        <w:tc>
          <w:tcPr>
            <w:tcW w:w="2200" w:type="dxa"/>
            <w:tcBorders>
              <w:top w:val="nil"/>
              <w:left w:val="nil"/>
              <w:bottom w:val="single" w:sz="4" w:space="0" w:color="auto"/>
              <w:right w:val="single" w:sz="4" w:space="0" w:color="auto"/>
            </w:tcBorders>
            <w:shd w:val="clear" w:color="auto" w:fill="00B0F0"/>
            <w:noWrap/>
            <w:vAlign w:val="bottom"/>
            <w:hideMark/>
          </w:tcPr>
          <w:p w14:paraId="72ACFAB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11B6EE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0.2256</w:t>
            </w:r>
          </w:p>
        </w:tc>
      </w:tr>
      <w:tr w:rsidR="002F3182" w:rsidRPr="00DD27F8" w14:paraId="4ABCF86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A3638C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Cyperus gymnocaulos</w:t>
            </w:r>
          </w:p>
        </w:tc>
        <w:tc>
          <w:tcPr>
            <w:tcW w:w="2200" w:type="dxa"/>
            <w:tcBorders>
              <w:top w:val="nil"/>
              <w:left w:val="nil"/>
              <w:bottom w:val="single" w:sz="4" w:space="0" w:color="auto"/>
              <w:right w:val="single" w:sz="4" w:space="0" w:color="auto"/>
            </w:tcBorders>
            <w:shd w:val="clear" w:color="auto" w:fill="auto"/>
            <w:noWrap/>
            <w:vAlign w:val="bottom"/>
            <w:hideMark/>
          </w:tcPr>
          <w:p w14:paraId="6D2E395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215B684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0.9606</w:t>
            </w:r>
          </w:p>
        </w:tc>
      </w:tr>
      <w:tr w:rsidR="002F3182" w:rsidRPr="00DD27F8" w14:paraId="6064A48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4E92B4F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Dittrichia graveolens*</w:t>
            </w:r>
          </w:p>
        </w:tc>
        <w:tc>
          <w:tcPr>
            <w:tcW w:w="2200" w:type="dxa"/>
            <w:tcBorders>
              <w:top w:val="nil"/>
              <w:left w:val="nil"/>
              <w:bottom w:val="single" w:sz="4" w:space="0" w:color="auto"/>
              <w:right w:val="single" w:sz="4" w:space="0" w:color="auto"/>
            </w:tcBorders>
            <w:shd w:val="clear" w:color="000000" w:fill="FFFF00"/>
            <w:noWrap/>
            <w:vAlign w:val="bottom"/>
            <w:hideMark/>
          </w:tcPr>
          <w:p w14:paraId="6D34C23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000000" w:fill="FFFF00"/>
            <w:noWrap/>
            <w:vAlign w:val="bottom"/>
            <w:hideMark/>
          </w:tcPr>
          <w:p w14:paraId="1C0AAB9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0.0328</w:t>
            </w:r>
          </w:p>
        </w:tc>
      </w:tr>
      <w:tr w:rsidR="002F3182" w:rsidRPr="00DD27F8" w14:paraId="3B9CB7AA"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008BA7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Dysphania pumilio</w:t>
            </w:r>
          </w:p>
        </w:tc>
        <w:tc>
          <w:tcPr>
            <w:tcW w:w="2200" w:type="dxa"/>
            <w:tcBorders>
              <w:top w:val="nil"/>
              <w:left w:val="nil"/>
              <w:bottom w:val="single" w:sz="4" w:space="0" w:color="auto"/>
              <w:right w:val="single" w:sz="4" w:space="0" w:color="auto"/>
            </w:tcBorders>
            <w:shd w:val="clear" w:color="auto" w:fill="00B0F0"/>
            <w:noWrap/>
            <w:vAlign w:val="bottom"/>
            <w:hideMark/>
          </w:tcPr>
          <w:p w14:paraId="39E73962"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691349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0.5917</w:t>
            </w:r>
          </w:p>
        </w:tc>
      </w:tr>
      <w:tr w:rsidR="002F3182" w:rsidRPr="00DD27F8" w14:paraId="6473D31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63ED10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Einadia nutans</w:t>
            </w:r>
          </w:p>
        </w:tc>
        <w:tc>
          <w:tcPr>
            <w:tcW w:w="2200" w:type="dxa"/>
            <w:tcBorders>
              <w:top w:val="nil"/>
              <w:left w:val="nil"/>
              <w:bottom w:val="single" w:sz="4" w:space="0" w:color="auto"/>
              <w:right w:val="single" w:sz="4" w:space="0" w:color="auto"/>
            </w:tcBorders>
            <w:shd w:val="clear" w:color="auto" w:fill="auto"/>
            <w:noWrap/>
            <w:vAlign w:val="bottom"/>
            <w:hideMark/>
          </w:tcPr>
          <w:p w14:paraId="32E4911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059FF48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0.1176</w:t>
            </w:r>
          </w:p>
        </w:tc>
      </w:tr>
      <w:tr w:rsidR="002F3182" w:rsidRPr="00DD27F8" w14:paraId="6E4DF47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A75746A"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Enchylaena tomentosa</w:t>
            </w:r>
          </w:p>
        </w:tc>
        <w:tc>
          <w:tcPr>
            <w:tcW w:w="2200" w:type="dxa"/>
            <w:tcBorders>
              <w:top w:val="nil"/>
              <w:left w:val="nil"/>
              <w:bottom w:val="single" w:sz="4" w:space="0" w:color="auto"/>
              <w:right w:val="single" w:sz="4" w:space="0" w:color="auto"/>
            </w:tcBorders>
            <w:shd w:val="clear" w:color="auto" w:fill="auto"/>
            <w:noWrap/>
            <w:vAlign w:val="bottom"/>
            <w:hideMark/>
          </w:tcPr>
          <w:p w14:paraId="16FFF1A8"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73E68A20"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0.208</w:t>
            </w:r>
          </w:p>
        </w:tc>
      </w:tr>
      <w:tr w:rsidR="002F3182" w:rsidRPr="00DD27F8" w14:paraId="49550E82"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FA9842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Erigeron bonariensis*</w:t>
            </w:r>
          </w:p>
        </w:tc>
        <w:tc>
          <w:tcPr>
            <w:tcW w:w="2200" w:type="dxa"/>
            <w:tcBorders>
              <w:top w:val="nil"/>
              <w:left w:val="nil"/>
              <w:bottom w:val="single" w:sz="4" w:space="0" w:color="auto"/>
              <w:right w:val="single" w:sz="4" w:space="0" w:color="auto"/>
            </w:tcBorders>
            <w:shd w:val="clear" w:color="auto" w:fill="auto"/>
            <w:noWrap/>
            <w:vAlign w:val="bottom"/>
            <w:hideMark/>
          </w:tcPr>
          <w:p w14:paraId="65409CA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7AC742A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0.1648</w:t>
            </w:r>
          </w:p>
        </w:tc>
      </w:tr>
      <w:tr w:rsidR="002F3182" w:rsidRPr="00DD27F8" w14:paraId="5F192B1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F1A653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Eucalyptus camaldulensis</w:t>
            </w:r>
          </w:p>
        </w:tc>
        <w:tc>
          <w:tcPr>
            <w:tcW w:w="2200" w:type="dxa"/>
            <w:tcBorders>
              <w:top w:val="nil"/>
              <w:left w:val="nil"/>
              <w:bottom w:val="single" w:sz="4" w:space="0" w:color="auto"/>
              <w:right w:val="single" w:sz="4" w:space="0" w:color="auto"/>
            </w:tcBorders>
            <w:shd w:val="clear" w:color="auto" w:fill="auto"/>
            <w:noWrap/>
            <w:vAlign w:val="bottom"/>
            <w:hideMark/>
          </w:tcPr>
          <w:p w14:paraId="12AA06F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auto"/>
            <w:noWrap/>
            <w:vAlign w:val="bottom"/>
            <w:hideMark/>
          </w:tcPr>
          <w:p w14:paraId="1FD8E6C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0.3379</w:t>
            </w:r>
          </w:p>
        </w:tc>
      </w:tr>
      <w:tr w:rsidR="002F3182" w:rsidRPr="00DD27F8" w14:paraId="30DE84C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397EFC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Euphorbia drummondii</w:t>
            </w:r>
          </w:p>
        </w:tc>
        <w:tc>
          <w:tcPr>
            <w:tcW w:w="2200" w:type="dxa"/>
            <w:tcBorders>
              <w:top w:val="nil"/>
              <w:left w:val="nil"/>
              <w:bottom w:val="single" w:sz="4" w:space="0" w:color="auto"/>
              <w:right w:val="single" w:sz="4" w:space="0" w:color="auto"/>
            </w:tcBorders>
            <w:shd w:val="clear" w:color="auto" w:fill="auto"/>
            <w:noWrap/>
            <w:vAlign w:val="bottom"/>
            <w:hideMark/>
          </w:tcPr>
          <w:p w14:paraId="56D72D0A"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17E7C0D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0.2222</w:t>
            </w:r>
          </w:p>
        </w:tc>
      </w:tr>
      <w:tr w:rsidR="002F3182" w:rsidRPr="00DD27F8" w14:paraId="79DD390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3996DE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Glinus lotoides</w:t>
            </w:r>
          </w:p>
        </w:tc>
        <w:tc>
          <w:tcPr>
            <w:tcW w:w="2200" w:type="dxa"/>
            <w:tcBorders>
              <w:top w:val="nil"/>
              <w:left w:val="nil"/>
              <w:bottom w:val="single" w:sz="4" w:space="0" w:color="auto"/>
              <w:right w:val="single" w:sz="4" w:space="0" w:color="auto"/>
            </w:tcBorders>
            <w:shd w:val="clear" w:color="auto" w:fill="00B0F0"/>
            <w:noWrap/>
            <w:vAlign w:val="bottom"/>
            <w:hideMark/>
          </w:tcPr>
          <w:p w14:paraId="101966E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98D395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0.1702</w:t>
            </w:r>
          </w:p>
        </w:tc>
      </w:tr>
      <w:tr w:rsidR="002F3182" w:rsidRPr="00DD27F8" w14:paraId="364B16E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36E2E3B8"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Goodenia heteromera</w:t>
            </w:r>
          </w:p>
        </w:tc>
        <w:tc>
          <w:tcPr>
            <w:tcW w:w="2200" w:type="dxa"/>
            <w:tcBorders>
              <w:top w:val="nil"/>
              <w:left w:val="nil"/>
              <w:bottom w:val="single" w:sz="4" w:space="0" w:color="auto"/>
              <w:right w:val="single" w:sz="4" w:space="0" w:color="auto"/>
            </w:tcBorders>
            <w:shd w:val="clear" w:color="auto" w:fill="00B0F0"/>
            <w:noWrap/>
            <w:vAlign w:val="bottom"/>
            <w:hideMark/>
          </w:tcPr>
          <w:p w14:paraId="3946D9A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6E185393"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311DEF9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9BB6AE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Heliotropium curassavicum*</w:t>
            </w:r>
          </w:p>
        </w:tc>
        <w:tc>
          <w:tcPr>
            <w:tcW w:w="2200" w:type="dxa"/>
            <w:tcBorders>
              <w:top w:val="nil"/>
              <w:left w:val="nil"/>
              <w:bottom w:val="single" w:sz="4" w:space="0" w:color="auto"/>
              <w:right w:val="single" w:sz="4" w:space="0" w:color="auto"/>
            </w:tcBorders>
            <w:shd w:val="clear" w:color="auto" w:fill="auto"/>
            <w:noWrap/>
            <w:vAlign w:val="bottom"/>
            <w:hideMark/>
          </w:tcPr>
          <w:p w14:paraId="2601BDF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2BE2A69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0.5771</w:t>
            </w:r>
          </w:p>
        </w:tc>
      </w:tr>
      <w:tr w:rsidR="002F3182" w:rsidRPr="00DD27F8" w14:paraId="44B9668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47D0337"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Heliotropium europaeum*</w:t>
            </w:r>
          </w:p>
        </w:tc>
        <w:tc>
          <w:tcPr>
            <w:tcW w:w="2200" w:type="dxa"/>
            <w:tcBorders>
              <w:top w:val="nil"/>
              <w:left w:val="nil"/>
              <w:bottom w:val="single" w:sz="4" w:space="0" w:color="auto"/>
              <w:right w:val="single" w:sz="4" w:space="0" w:color="auto"/>
            </w:tcBorders>
            <w:shd w:val="clear" w:color="auto" w:fill="00B0F0"/>
            <w:noWrap/>
            <w:vAlign w:val="bottom"/>
            <w:hideMark/>
          </w:tcPr>
          <w:p w14:paraId="2AF137E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02F9D05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0.189</w:t>
            </w:r>
          </w:p>
        </w:tc>
      </w:tr>
      <w:tr w:rsidR="002F3182" w:rsidRPr="00DD27F8" w14:paraId="69C509E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79F1E3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Isoetopsis graminifolia</w:t>
            </w:r>
          </w:p>
        </w:tc>
        <w:tc>
          <w:tcPr>
            <w:tcW w:w="2200" w:type="dxa"/>
            <w:tcBorders>
              <w:top w:val="nil"/>
              <w:left w:val="nil"/>
              <w:bottom w:val="single" w:sz="4" w:space="0" w:color="auto"/>
              <w:right w:val="single" w:sz="4" w:space="0" w:color="auto"/>
            </w:tcBorders>
            <w:shd w:val="clear" w:color="auto" w:fill="auto"/>
            <w:noWrap/>
            <w:vAlign w:val="bottom"/>
            <w:hideMark/>
          </w:tcPr>
          <w:p w14:paraId="4E57E8C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1D8A9D6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0.2757</w:t>
            </w:r>
          </w:p>
        </w:tc>
      </w:tr>
      <w:tr w:rsidR="002F3182" w:rsidRPr="00DD27F8" w14:paraId="74D8562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718BC9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Lactuca serriola*</w:t>
            </w:r>
          </w:p>
        </w:tc>
        <w:tc>
          <w:tcPr>
            <w:tcW w:w="2200" w:type="dxa"/>
            <w:tcBorders>
              <w:top w:val="nil"/>
              <w:left w:val="nil"/>
              <w:bottom w:val="single" w:sz="4" w:space="0" w:color="auto"/>
              <w:right w:val="single" w:sz="4" w:space="0" w:color="auto"/>
            </w:tcBorders>
            <w:shd w:val="clear" w:color="auto" w:fill="auto"/>
            <w:noWrap/>
            <w:vAlign w:val="bottom"/>
            <w:hideMark/>
          </w:tcPr>
          <w:p w14:paraId="1B074A5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01BAC30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0.5827</w:t>
            </w:r>
          </w:p>
        </w:tc>
      </w:tr>
      <w:tr w:rsidR="002F3182" w:rsidRPr="00DD27F8" w14:paraId="45A9758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2A6D1C7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Ludwigia peploides</w:t>
            </w:r>
          </w:p>
        </w:tc>
        <w:tc>
          <w:tcPr>
            <w:tcW w:w="2200" w:type="dxa"/>
            <w:tcBorders>
              <w:top w:val="nil"/>
              <w:left w:val="nil"/>
              <w:bottom w:val="single" w:sz="4" w:space="0" w:color="auto"/>
              <w:right w:val="single" w:sz="4" w:space="0" w:color="auto"/>
            </w:tcBorders>
            <w:shd w:val="clear" w:color="000000" w:fill="FFFF00"/>
            <w:noWrap/>
            <w:vAlign w:val="bottom"/>
            <w:hideMark/>
          </w:tcPr>
          <w:p w14:paraId="36EAB290"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000000" w:fill="FFFF00"/>
            <w:noWrap/>
            <w:vAlign w:val="bottom"/>
            <w:hideMark/>
          </w:tcPr>
          <w:p w14:paraId="64D11F4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0.0054</w:t>
            </w:r>
          </w:p>
        </w:tc>
      </w:tr>
      <w:tr w:rsidR="002F3182" w:rsidRPr="00DD27F8" w14:paraId="7020C938"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10F9A1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Lythrum hyssopifolia</w:t>
            </w:r>
          </w:p>
        </w:tc>
        <w:tc>
          <w:tcPr>
            <w:tcW w:w="2200" w:type="dxa"/>
            <w:tcBorders>
              <w:top w:val="nil"/>
              <w:left w:val="nil"/>
              <w:bottom w:val="single" w:sz="4" w:space="0" w:color="auto"/>
              <w:right w:val="single" w:sz="4" w:space="0" w:color="auto"/>
            </w:tcBorders>
            <w:shd w:val="clear" w:color="auto" w:fill="00B0F0"/>
            <w:noWrap/>
            <w:vAlign w:val="bottom"/>
            <w:hideMark/>
          </w:tcPr>
          <w:p w14:paraId="1E97EFA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45D0A39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0.3627</w:t>
            </w:r>
          </w:p>
        </w:tc>
      </w:tr>
      <w:tr w:rsidR="002F3182" w:rsidRPr="00DD27F8" w14:paraId="330C28E2"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4D462BB"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Mesembryanthemum crystallinum*</w:t>
            </w:r>
          </w:p>
        </w:tc>
        <w:tc>
          <w:tcPr>
            <w:tcW w:w="2200" w:type="dxa"/>
            <w:tcBorders>
              <w:top w:val="nil"/>
              <w:left w:val="nil"/>
              <w:bottom w:val="single" w:sz="4" w:space="0" w:color="auto"/>
              <w:right w:val="single" w:sz="4" w:space="0" w:color="auto"/>
            </w:tcBorders>
            <w:shd w:val="clear" w:color="auto" w:fill="auto"/>
            <w:noWrap/>
            <w:vAlign w:val="bottom"/>
            <w:hideMark/>
          </w:tcPr>
          <w:p w14:paraId="52DC5D4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6AF423BE"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0.5707</w:t>
            </w:r>
          </w:p>
        </w:tc>
      </w:tr>
      <w:tr w:rsidR="002F3182" w:rsidRPr="00DD27F8" w14:paraId="42A8E21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4893F7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Mollugo cerviana</w:t>
            </w:r>
          </w:p>
        </w:tc>
        <w:tc>
          <w:tcPr>
            <w:tcW w:w="2200" w:type="dxa"/>
            <w:tcBorders>
              <w:top w:val="nil"/>
              <w:left w:val="nil"/>
              <w:bottom w:val="single" w:sz="4" w:space="0" w:color="auto"/>
              <w:right w:val="single" w:sz="4" w:space="0" w:color="auto"/>
            </w:tcBorders>
            <w:shd w:val="clear" w:color="auto" w:fill="00B0F0"/>
            <w:noWrap/>
            <w:vAlign w:val="bottom"/>
            <w:hideMark/>
          </w:tcPr>
          <w:p w14:paraId="505592F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DF532C0"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19A85E1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3F66D6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Mukia maderaspatana</w:t>
            </w:r>
          </w:p>
        </w:tc>
        <w:tc>
          <w:tcPr>
            <w:tcW w:w="2200" w:type="dxa"/>
            <w:tcBorders>
              <w:top w:val="nil"/>
              <w:left w:val="nil"/>
              <w:bottom w:val="single" w:sz="4" w:space="0" w:color="auto"/>
              <w:right w:val="single" w:sz="4" w:space="0" w:color="auto"/>
            </w:tcBorders>
            <w:shd w:val="clear" w:color="auto" w:fill="00B0F0"/>
            <w:noWrap/>
            <w:vAlign w:val="bottom"/>
            <w:hideMark/>
          </w:tcPr>
          <w:p w14:paraId="7FCF516B"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4F7369A2"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5E348D5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B2F7EC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Paspalidium jubiflorum</w:t>
            </w:r>
          </w:p>
        </w:tc>
        <w:tc>
          <w:tcPr>
            <w:tcW w:w="2200" w:type="dxa"/>
            <w:tcBorders>
              <w:top w:val="nil"/>
              <w:left w:val="nil"/>
              <w:bottom w:val="single" w:sz="4" w:space="0" w:color="auto"/>
              <w:right w:val="single" w:sz="4" w:space="0" w:color="auto"/>
            </w:tcBorders>
            <w:shd w:val="clear" w:color="auto" w:fill="auto"/>
            <w:noWrap/>
            <w:vAlign w:val="bottom"/>
            <w:hideMark/>
          </w:tcPr>
          <w:p w14:paraId="1820CA3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CFA023C"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0.5755</w:t>
            </w:r>
          </w:p>
        </w:tc>
      </w:tr>
      <w:tr w:rsidR="002F3182" w:rsidRPr="00DD27F8" w14:paraId="03E7D5B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120134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Paspalum distichum</w:t>
            </w:r>
          </w:p>
        </w:tc>
        <w:tc>
          <w:tcPr>
            <w:tcW w:w="2200" w:type="dxa"/>
            <w:tcBorders>
              <w:top w:val="nil"/>
              <w:left w:val="nil"/>
              <w:bottom w:val="single" w:sz="4" w:space="0" w:color="auto"/>
              <w:right w:val="single" w:sz="4" w:space="0" w:color="auto"/>
            </w:tcBorders>
            <w:shd w:val="clear" w:color="auto" w:fill="00B0F0"/>
            <w:noWrap/>
            <w:vAlign w:val="bottom"/>
            <w:hideMark/>
          </w:tcPr>
          <w:p w14:paraId="668FA91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3056903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0.229</w:t>
            </w:r>
          </w:p>
        </w:tc>
      </w:tr>
      <w:tr w:rsidR="002F3182" w:rsidRPr="00DD27F8" w14:paraId="79F7B975"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FFF973D"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Persicaria lapathifolia</w:t>
            </w:r>
          </w:p>
        </w:tc>
        <w:tc>
          <w:tcPr>
            <w:tcW w:w="2200" w:type="dxa"/>
            <w:tcBorders>
              <w:top w:val="nil"/>
              <w:left w:val="nil"/>
              <w:bottom w:val="single" w:sz="4" w:space="0" w:color="auto"/>
              <w:right w:val="single" w:sz="4" w:space="0" w:color="auto"/>
            </w:tcBorders>
            <w:shd w:val="clear" w:color="auto" w:fill="00B0F0"/>
            <w:noWrap/>
            <w:vAlign w:val="bottom"/>
            <w:hideMark/>
          </w:tcPr>
          <w:p w14:paraId="3B59E85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0333EC2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0.167</w:t>
            </w:r>
          </w:p>
        </w:tc>
      </w:tr>
      <w:tr w:rsidR="002F3182" w:rsidRPr="00DD27F8" w14:paraId="02F8155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2F92B22C"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Polygonum plebeium</w:t>
            </w:r>
          </w:p>
        </w:tc>
        <w:tc>
          <w:tcPr>
            <w:tcW w:w="2200" w:type="dxa"/>
            <w:tcBorders>
              <w:top w:val="nil"/>
              <w:left w:val="nil"/>
              <w:bottom w:val="single" w:sz="4" w:space="0" w:color="auto"/>
              <w:right w:val="single" w:sz="4" w:space="0" w:color="auto"/>
            </w:tcBorders>
            <w:shd w:val="clear" w:color="auto" w:fill="00B0F0"/>
            <w:noWrap/>
            <w:vAlign w:val="bottom"/>
            <w:hideMark/>
          </w:tcPr>
          <w:p w14:paraId="29CA055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463BE61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0.1818</w:t>
            </w:r>
          </w:p>
        </w:tc>
      </w:tr>
      <w:tr w:rsidR="002F3182" w:rsidRPr="00DD27F8" w14:paraId="56EB4BE1"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0257A1E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Pseudognaphalium luteoalbum</w:t>
            </w:r>
          </w:p>
        </w:tc>
        <w:tc>
          <w:tcPr>
            <w:tcW w:w="2200" w:type="dxa"/>
            <w:tcBorders>
              <w:top w:val="nil"/>
              <w:left w:val="nil"/>
              <w:bottom w:val="single" w:sz="4" w:space="0" w:color="auto"/>
              <w:right w:val="single" w:sz="4" w:space="0" w:color="auto"/>
            </w:tcBorders>
            <w:shd w:val="clear" w:color="auto" w:fill="auto"/>
            <w:noWrap/>
            <w:vAlign w:val="bottom"/>
            <w:hideMark/>
          </w:tcPr>
          <w:p w14:paraId="76EA8843"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1E7A5A6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0.7922</w:t>
            </w:r>
          </w:p>
        </w:tc>
      </w:tr>
      <w:tr w:rsidR="002F3182" w:rsidRPr="00DD27F8" w14:paraId="368C369F"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BCAD97F"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Reichardia tingitana*</w:t>
            </w:r>
          </w:p>
        </w:tc>
        <w:tc>
          <w:tcPr>
            <w:tcW w:w="2200" w:type="dxa"/>
            <w:tcBorders>
              <w:top w:val="nil"/>
              <w:left w:val="nil"/>
              <w:bottom w:val="single" w:sz="4" w:space="0" w:color="auto"/>
              <w:right w:val="single" w:sz="4" w:space="0" w:color="auto"/>
            </w:tcBorders>
            <w:shd w:val="clear" w:color="auto" w:fill="auto"/>
            <w:noWrap/>
            <w:vAlign w:val="bottom"/>
            <w:hideMark/>
          </w:tcPr>
          <w:p w14:paraId="5006A00C"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2936CE11"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0.5755</w:t>
            </w:r>
          </w:p>
        </w:tc>
      </w:tr>
      <w:tr w:rsidR="002F3182" w:rsidRPr="00DD27F8" w14:paraId="1A3A5766"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3C18407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Rhagodia spinescens</w:t>
            </w:r>
          </w:p>
        </w:tc>
        <w:tc>
          <w:tcPr>
            <w:tcW w:w="2200" w:type="dxa"/>
            <w:tcBorders>
              <w:top w:val="nil"/>
              <w:left w:val="nil"/>
              <w:bottom w:val="single" w:sz="4" w:space="0" w:color="auto"/>
              <w:right w:val="single" w:sz="4" w:space="0" w:color="auto"/>
            </w:tcBorders>
            <w:shd w:val="clear" w:color="auto" w:fill="auto"/>
            <w:noWrap/>
            <w:vAlign w:val="bottom"/>
            <w:hideMark/>
          </w:tcPr>
          <w:p w14:paraId="096CD7E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2FA2F915"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0.2999</w:t>
            </w:r>
          </w:p>
        </w:tc>
      </w:tr>
      <w:tr w:rsidR="002F3182" w:rsidRPr="00DD27F8" w14:paraId="0E234180"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4B37A372"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Schoenoplectus tabernaemontani</w:t>
            </w:r>
          </w:p>
        </w:tc>
        <w:tc>
          <w:tcPr>
            <w:tcW w:w="2200" w:type="dxa"/>
            <w:tcBorders>
              <w:top w:val="nil"/>
              <w:left w:val="nil"/>
              <w:bottom w:val="single" w:sz="4" w:space="0" w:color="auto"/>
              <w:right w:val="single" w:sz="4" w:space="0" w:color="auto"/>
            </w:tcBorders>
            <w:shd w:val="clear" w:color="auto" w:fill="00B0F0"/>
            <w:noWrap/>
            <w:vAlign w:val="bottom"/>
            <w:hideMark/>
          </w:tcPr>
          <w:p w14:paraId="30861984"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238DB34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0.2885</w:t>
            </w:r>
          </w:p>
        </w:tc>
      </w:tr>
      <w:tr w:rsidR="002F3182" w:rsidRPr="00DD27F8" w14:paraId="5801DA34"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7994806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Sclerolaena tricuspis</w:t>
            </w:r>
          </w:p>
        </w:tc>
        <w:tc>
          <w:tcPr>
            <w:tcW w:w="2200" w:type="dxa"/>
            <w:tcBorders>
              <w:top w:val="nil"/>
              <w:left w:val="nil"/>
              <w:bottom w:val="single" w:sz="4" w:space="0" w:color="auto"/>
              <w:right w:val="single" w:sz="4" w:space="0" w:color="auto"/>
            </w:tcBorders>
            <w:shd w:val="clear" w:color="auto" w:fill="auto"/>
            <w:noWrap/>
            <w:vAlign w:val="bottom"/>
            <w:hideMark/>
          </w:tcPr>
          <w:p w14:paraId="510EAC0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AEAAD2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07DDD65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5A1CF4B3"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Senecio cunninghamii</w:t>
            </w:r>
          </w:p>
        </w:tc>
        <w:tc>
          <w:tcPr>
            <w:tcW w:w="2200" w:type="dxa"/>
            <w:tcBorders>
              <w:top w:val="nil"/>
              <w:left w:val="nil"/>
              <w:bottom w:val="single" w:sz="4" w:space="0" w:color="auto"/>
              <w:right w:val="single" w:sz="4" w:space="0" w:color="auto"/>
            </w:tcBorders>
            <w:shd w:val="clear" w:color="auto" w:fill="auto"/>
            <w:noWrap/>
            <w:vAlign w:val="bottom"/>
            <w:hideMark/>
          </w:tcPr>
          <w:p w14:paraId="23E461E1"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0B8BA8F8"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0.5979</w:t>
            </w:r>
          </w:p>
        </w:tc>
      </w:tr>
      <w:tr w:rsidR="002F3182" w:rsidRPr="00DD27F8" w14:paraId="3D8FB0F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64755DF6"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Senecio runcinifolius</w:t>
            </w:r>
          </w:p>
        </w:tc>
        <w:tc>
          <w:tcPr>
            <w:tcW w:w="2200" w:type="dxa"/>
            <w:tcBorders>
              <w:top w:val="nil"/>
              <w:left w:val="nil"/>
              <w:bottom w:val="single" w:sz="4" w:space="0" w:color="auto"/>
              <w:right w:val="single" w:sz="4" w:space="0" w:color="auto"/>
            </w:tcBorders>
            <w:shd w:val="clear" w:color="auto" w:fill="00B0F0"/>
            <w:noWrap/>
            <w:vAlign w:val="bottom"/>
            <w:hideMark/>
          </w:tcPr>
          <w:p w14:paraId="05A29EB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4AAF2E4A"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0.7161</w:t>
            </w:r>
          </w:p>
        </w:tc>
      </w:tr>
      <w:tr w:rsidR="002F3182" w:rsidRPr="00DD27F8" w14:paraId="46631C49"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000000" w:fill="FFFF00"/>
            <w:noWrap/>
            <w:vAlign w:val="bottom"/>
            <w:hideMark/>
          </w:tcPr>
          <w:p w14:paraId="4C85A729"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Sphaeromorphaea australis</w:t>
            </w:r>
          </w:p>
        </w:tc>
        <w:tc>
          <w:tcPr>
            <w:tcW w:w="2200" w:type="dxa"/>
            <w:tcBorders>
              <w:top w:val="nil"/>
              <w:left w:val="nil"/>
              <w:bottom w:val="single" w:sz="4" w:space="0" w:color="auto"/>
              <w:right w:val="single" w:sz="4" w:space="0" w:color="auto"/>
            </w:tcBorders>
            <w:shd w:val="clear" w:color="000000" w:fill="FFFF00"/>
            <w:noWrap/>
            <w:vAlign w:val="bottom"/>
            <w:hideMark/>
          </w:tcPr>
          <w:p w14:paraId="3E6AB426"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000000" w:fill="FFFF00"/>
            <w:noWrap/>
            <w:vAlign w:val="bottom"/>
            <w:hideMark/>
          </w:tcPr>
          <w:p w14:paraId="1E8DF0F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0.0042</w:t>
            </w:r>
          </w:p>
        </w:tc>
      </w:tr>
      <w:tr w:rsidR="002F3182" w:rsidRPr="00DD27F8" w14:paraId="4116B113"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6340F87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Sporobolus mitchellii</w:t>
            </w:r>
          </w:p>
        </w:tc>
        <w:tc>
          <w:tcPr>
            <w:tcW w:w="2200" w:type="dxa"/>
            <w:tcBorders>
              <w:top w:val="nil"/>
              <w:left w:val="nil"/>
              <w:bottom w:val="single" w:sz="4" w:space="0" w:color="auto"/>
              <w:right w:val="single" w:sz="4" w:space="0" w:color="auto"/>
            </w:tcBorders>
            <w:shd w:val="clear" w:color="auto" w:fill="auto"/>
            <w:noWrap/>
            <w:vAlign w:val="bottom"/>
            <w:hideMark/>
          </w:tcPr>
          <w:p w14:paraId="4E887579"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640F7C0B"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0.7267</w:t>
            </w:r>
          </w:p>
        </w:tc>
      </w:tr>
      <w:tr w:rsidR="002F3182" w:rsidRPr="00DD27F8" w14:paraId="2A01B0CD"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E940224"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Stemodia florulenta</w:t>
            </w:r>
          </w:p>
        </w:tc>
        <w:tc>
          <w:tcPr>
            <w:tcW w:w="2200" w:type="dxa"/>
            <w:tcBorders>
              <w:top w:val="nil"/>
              <w:left w:val="nil"/>
              <w:bottom w:val="single" w:sz="4" w:space="0" w:color="auto"/>
              <w:right w:val="single" w:sz="4" w:space="0" w:color="auto"/>
            </w:tcBorders>
            <w:shd w:val="clear" w:color="auto" w:fill="auto"/>
            <w:noWrap/>
            <w:vAlign w:val="bottom"/>
            <w:hideMark/>
          </w:tcPr>
          <w:p w14:paraId="2F22E98F"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auto"/>
            <w:noWrap/>
            <w:vAlign w:val="bottom"/>
            <w:hideMark/>
          </w:tcPr>
          <w:p w14:paraId="6966DB8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0.7568</w:t>
            </w:r>
          </w:p>
        </w:tc>
      </w:tr>
      <w:tr w:rsidR="002F3182" w:rsidRPr="00DD27F8" w14:paraId="36F5679B"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DE876A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Symphyotrichum subulatum*</w:t>
            </w:r>
          </w:p>
        </w:tc>
        <w:tc>
          <w:tcPr>
            <w:tcW w:w="2200" w:type="dxa"/>
            <w:tcBorders>
              <w:top w:val="nil"/>
              <w:left w:val="nil"/>
              <w:bottom w:val="single" w:sz="4" w:space="0" w:color="auto"/>
              <w:right w:val="single" w:sz="4" w:space="0" w:color="auto"/>
            </w:tcBorders>
            <w:shd w:val="clear" w:color="auto" w:fill="00B0F0"/>
            <w:noWrap/>
            <w:vAlign w:val="bottom"/>
            <w:hideMark/>
          </w:tcPr>
          <w:p w14:paraId="7A1B9CE8"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Pool level</w:t>
            </w:r>
          </w:p>
        </w:tc>
        <w:tc>
          <w:tcPr>
            <w:tcW w:w="960" w:type="dxa"/>
            <w:tcBorders>
              <w:top w:val="nil"/>
              <w:left w:val="nil"/>
              <w:bottom w:val="single" w:sz="4" w:space="0" w:color="auto"/>
              <w:right w:val="single" w:sz="4" w:space="0" w:color="auto"/>
            </w:tcBorders>
            <w:shd w:val="clear" w:color="auto" w:fill="00B0F0"/>
            <w:noWrap/>
            <w:vAlign w:val="bottom"/>
            <w:hideMark/>
          </w:tcPr>
          <w:p w14:paraId="105F66BF"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0.3981</w:t>
            </w:r>
          </w:p>
        </w:tc>
      </w:tr>
      <w:tr w:rsidR="002F3182" w:rsidRPr="00DD27F8" w14:paraId="4F4FE547"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7F948450"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Tetragonia tetragonoides</w:t>
            </w:r>
          </w:p>
        </w:tc>
        <w:tc>
          <w:tcPr>
            <w:tcW w:w="2200" w:type="dxa"/>
            <w:tcBorders>
              <w:top w:val="nil"/>
              <w:left w:val="nil"/>
              <w:bottom w:val="single" w:sz="4" w:space="0" w:color="auto"/>
              <w:right w:val="single" w:sz="4" w:space="0" w:color="auto"/>
            </w:tcBorders>
            <w:shd w:val="clear" w:color="auto" w:fill="00B0F0"/>
            <w:noWrap/>
            <w:vAlign w:val="bottom"/>
            <w:hideMark/>
          </w:tcPr>
          <w:p w14:paraId="7FA4FD8D"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779FFA3D"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1</w:t>
            </w:r>
          </w:p>
        </w:tc>
      </w:tr>
      <w:tr w:rsidR="002F3182" w:rsidRPr="00DD27F8" w14:paraId="5AE85BB2"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471BBD05"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Teucrium racemosum</w:t>
            </w:r>
          </w:p>
        </w:tc>
        <w:tc>
          <w:tcPr>
            <w:tcW w:w="2200" w:type="dxa"/>
            <w:tcBorders>
              <w:top w:val="nil"/>
              <w:left w:val="nil"/>
              <w:bottom w:val="single" w:sz="4" w:space="0" w:color="auto"/>
              <w:right w:val="single" w:sz="4" w:space="0" w:color="auto"/>
            </w:tcBorders>
            <w:shd w:val="clear" w:color="auto" w:fill="auto"/>
            <w:noWrap/>
            <w:vAlign w:val="bottom"/>
            <w:hideMark/>
          </w:tcPr>
          <w:p w14:paraId="0E2F35B2"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Inundation extent</w:t>
            </w:r>
          </w:p>
        </w:tc>
        <w:tc>
          <w:tcPr>
            <w:tcW w:w="960" w:type="dxa"/>
            <w:tcBorders>
              <w:top w:val="nil"/>
              <w:left w:val="nil"/>
              <w:bottom w:val="single" w:sz="4" w:space="0" w:color="auto"/>
              <w:right w:val="single" w:sz="4" w:space="0" w:color="auto"/>
            </w:tcBorders>
            <w:shd w:val="clear" w:color="auto" w:fill="auto"/>
            <w:noWrap/>
            <w:vAlign w:val="bottom"/>
            <w:hideMark/>
          </w:tcPr>
          <w:p w14:paraId="442BAF14"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0.4405</w:t>
            </w:r>
          </w:p>
        </w:tc>
      </w:tr>
      <w:tr w:rsidR="002F3182" w:rsidRPr="00DD27F8" w14:paraId="48DB2FE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14:paraId="1F1295C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Wahlenbergia fluminalis</w:t>
            </w:r>
          </w:p>
        </w:tc>
        <w:tc>
          <w:tcPr>
            <w:tcW w:w="2200" w:type="dxa"/>
            <w:tcBorders>
              <w:top w:val="nil"/>
              <w:left w:val="nil"/>
              <w:bottom w:val="single" w:sz="4" w:space="0" w:color="auto"/>
              <w:right w:val="single" w:sz="4" w:space="0" w:color="auto"/>
            </w:tcBorders>
            <w:shd w:val="clear" w:color="auto" w:fill="auto"/>
            <w:noWrap/>
            <w:vAlign w:val="bottom"/>
            <w:hideMark/>
          </w:tcPr>
          <w:p w14:paraId="2709C705"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Not inundated</w:t>
            </w:r>
          </w:p>
        </w:tc>
        <w:tc>
          <w:tcPr>
            <w:tcW w:w="960" w:type="dxa"/>
            <w:tcBorders>
              <w:top w:val="nil"/>
              <w:left w:val="nil"/>
              <w:bottom w:val="single" w:sz="4" w:space="0" w:color="auto"/>
              <w:right w:val="single" w:sz="4" w:space="0" w:color="auto"/>
            </w:tcBorders>
            <w:shd w:val="clear" w:color="auto" w:fill="auto"/>
            <w:noWrap/>
            <w:vAlign w:val="bottom"/>
            <w:hideMark/>
          </w:tcPr>
          <w:p w14:paraId="3D24D3B9"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0.3873</w:t>
            </w:r>
          </w:p>
        </w:tc>
      </w:tr>
      <w:tr w:rsidR="002F3182" w:rsidRPr="00DD27F8" w14:paraId="3857F3AE" w14:textId="77777777" w:rsidTr="00404EDB">
        <w:trPr>
          <w:trHeight w:val="300"/>
          <w:jc w:val="center"/>
        </w:trPr>
        <w:tc>
          <w:tcPr>
            <w:tcW w:w="3539" w:type="dxa"/>
            <w:tcBorders>
              <w:top w:val="nil"/>
              <w:left w:val="single" w:sz="4" w:space="0" w:color="auto"/>
              <w:bottom w:val="single" w:sz="4" w:space="0" w:color="auto"/>
              <w:right w:val="single" w:sz="4" w:space="0" w:color="auto"/>
            </w:tcBorders>
            <w:shd w:val="clear" w:color="auto" w:fill="00B0F0"/>
            <w:noWrap/>
            <w:vAlign w:val="bottom"/>
            <w:hideMark/>
          </w:tcPr>
          <w:p w14:paraId="1BCAA17E" w14:textId="77777777" w:rsidR="002F3182" w:rsidRPr="00404EDB" w:rsidRDefault="002F3182" w:rsidP="005050BB">
            <w:pPr>
              <w:spacing w:before="0" w:after="0" w:line="240" w:lineRule="auto"/>
              <w:jc w:val="left"/>
              <w:rPr>
                <w:rFonts w:cs="Calibri"/>
                <w:i/>
                <w:iCs/>
                <w:kern w:val="0"/>
                <w:szCs w:val="21"/>
                <w:lang w:eastAsia="en-AU"/>
              </w:rPr>
            </w:pPr>
            <w:r w:rsidRPr="00404EDB">
              <w:rPr>
                <w:rFonts w:cs="Calibri"/>
                <w:i/>
                <w:iCs/>
                <w:kern w:val="0"/>
                <w:szCs w:val="21"/>
                <w:lang w:eastAsia="en-AU"/>
              </w:rPr>
              <w:t>Xanthium occidentale**</w:t>
            </w:r>
          </w:p>
        </w:tc>
        <w:tc>
          <w:tcPr>
            <w:tcW w:w="2200" w:type="dxa"/>
            <w:tcBorders>
              <w:top w:val="nil"/>
              <w:left w:val="nil"/>
              <w:bottom w:val="single" w:sz="4" w:space="0" w:color="auto"/>
              <w:right w:val="single" w:sz="4" w:space="0" w:color="auto"/>
            </w:tcBorders>
            <w:shd w:val="clear" w:color="auto" w:fill="00B0F0"/>
            <w:noWrap/>
            <w:vAlign w:val="bottom"/>
            <w:hideMark/>
          </w:tcPr>
          <w:p w14:paraId="47A2250E" w14:textId="77777777" w:rsidR="002F3182" w:rsidRPr="00404EDB" w:rsidRDefault="002F3182" w:rsidP="005050BB">
            <w:pPr>
              <w:spacing w:before="0" w:after="0" w:line="240" w:lineRule="auto"/>
              <w:jc w:val="left"/>
              <w:rPr>
                <w:rFonts w:cs="Calibri"/>
                <w:kern w:val="0"/>
                <w:szCs w:val="21"/>
                <w:lang w:eastAsia="en-AU"/>
              </w:rPr>
            </w:pPr>
            <w:r w:rsidRPr="00404EDB">
              <w:rPr>
                <w:rFonts w:cs="Calibri"/>
                <w:kern w:val="0"/>
                <w:szCs w:val="21"/>
                <w:lang w:eastAsia="en-AU"/>
              </w:rPr>
              <w:t>Inundated</w:t>
            </w:r>
          </w:p>
        </w:tc>
        <w:tc>
          <w:tcPr>
            <w:tcW w:w="960" w:type="dxa"/>
            <w:tcBorders>
              <w:top w:val="nil"/>
              <w:left w:val="nil"/>
              <w:bottom w:val="single" w:sz="4" w:space="0" w:color="auto"/>
              <w:right w:val="single" w:sz="4" w:space="0" w:color="auto"/>
            </w:tcBorders>
            <w:shd w:val="clear" w:color="auto" w:fill="00B0F0"/>
            <w:noWrap/>
            <w:vAlign w:val="bottom"/>
            <w:hideMark/>
          </w:tcPr>
          <w:p w14:paraId="32747276" w14:textId="77777777" w:rsidR="002F3182" w:rsidRPr="00404EDB" w:rsidRDefault="002F3182" w:rsidP="005050BB">
            <w:pPr>
              <w:spacing w:before="0" w:after="0" w:line="240" w:lineRule="auto"/>
              <w:jc w:val="right"/>
              <w:rPr>
                <w:rFonts w:cs="Calibri"/>
                <w:kern w:val="0"/>
                <w:szCs w:val="21"/>
                <w:lang w:eastAsia="en-AU"/>
              </w:rPr>
            </w:pPr>
            <w:r w:rsidRPr="00404EDB">
              <w:rPr>
                <w:rFonts w:cs="Calibri"/>
                <w:kern w:val="0"/>
                <w:szCs w:val="21"/>
                <w:lang w:eastAsia="en-AU"/>
              </w:rPr>
              <w:t>0.0628</w:t>
            </w:r>
          </w:p>
        </w:tc>
      </w:tr>
    </w:tbl>
    <w:p w14:paraId="212C39BF" w14:textId="77777777" w:rsidR="002F3182" w:rsidRPr="002A123E" w:rsidRDefault="002F3182" w:rsidP="002F3182"/>
    <w:bookmarkEnd w:id="420"/>
    <w:p w14:paraId="4458DE3E" w14:textId="44F3EA90" w:rsidR="001F65B5" w:rsidRPr="00424090" w:rsidRDefault="001F65B5" w:rsidP="004C3BA1">
      <w:pPr>
        <w:pStyle w:val="Captions"/>
        <w:rPr>
          <w:noProof/>
          <w:highlight w:val="yellow"/>
          <w:lang w:eastAsia="en-AU"/>
        </w:rPr>
      </w:pPr>
    </w:p>
    <w:p w14:paraId="5C7A7B9D" w14:textId="77777777" w:rsidR="001F65B5" w:rsidRPr="00424090" w:rsidRDefault="001F65B5">
      <w:pPr>
        <w:spacing w:before="0" w:after="160" w:line="259" w:lineRule="auto"/>
        <w:jc w:val="left"/>
        <w:rPr>
          <w:rFonts w:eastAsia="MS Mincho" w:cs="Arial"/>
          <w:b/>
          <w:bCs/>
          <w:noProof/>
          <w:color w:val="auto"/>
          <w:kern w:val="0"/>
          <w:sz w:val="20"/>
          <w:highlight w:val="yellow"/>
          <w:lang w:val="en-US" w:eastAsia="en-AU"/>
        </w:rPr>
      </w:pPr>
      <w:r w:rsidRPr="00424090">
        <w:rPr>
          <w:noProof/>
          <w:highlight w:val="yellow"/>
          <w:lang w:eastAsia="en-AU"/>
        </w:rPr>
        <w:br w:type="page"/>
      </w:r>
    </w:p>
    <w:p w14:paraId="65367FB6" w14:textId="77777777" w:rsidR="00A307BC" w:rsidRPr="00424090" w:rsidRDefault="00A307BC" w:rsidP="00A307BC">
      <w:pPr>
        <w:pStyle w:val="Caption"/>
        <w:rPr>
          <w:color w:val="44546A" w:themeColor="text2"/>
          <w:sz w:val="26"/>
          <w:szCs w:val="26"/>
          <w:highlight w:val="yellow"/>
        </w:rPr>
      </w:pPr>
      <w:bookmarkStart w:id="421" w:name="_Hlk101888909"/>
      <w:r w:rsidRPr="000D339D">
        <w:rPr>
          <w:color w:val="44546A" w:themeColor="text2"/>
          <w:sz w:val="26"/>
          <w:szCs w:val="26"/>
        </w:rPr>
        <w:t>Microinvertebrate assemblage – statistical</w:t>
      </w:r>
      <w:r w:rsidRPr="00BE5181">
        <w:rPr>
          <w:color w:val="44546A" w:themeColor="text2"/>
          <w:sz w:val="26"/>
          <w:szCs w:val="26"/>
        </w:rPr>
        <w:t xml:space="preserve"> outputs</w:t>
      </w:r>
    </w:p>
    <w:p w14:paraId="4E973B8C" w14:textId="4404986D" w:rsidR="000D339D" w:rsidRDefault="000D339D" w:rsidP="000D339D">
      <w:pPr>
        <w:pStyle w:val="Caption"/>
      </w:pPr>
      <w:r>
        <w:t>Table D</w:t>
      </w:r>
      <w:r w:rsidR="00DD27F8">
        <w:t>7</w:t>
      </w:r>
      <w:r>
        <w:t xml:space="preserve">. Results of negative binomial generalised linear model for </w:t>
      </w:r>
      <w:r w:rsidR="008E2C88">
        <w:t xml:space="preserve">microinvertebrate </w:t>
      </w:r>
      <w:r>
        <w:t xml:space="preserve">density (individuals per litre) showing </w:t>
      </w:r>
      <w:r w:rsidR="00E0142F">
        <w:t>selected predictors, estimated coefficients (Estimate), standard errors in estimation (std.Error) and Type I Error probability (</w:t>
      </w:r>
      <w:r w:rsidR="00E0142F" w:rsidRPr="09875D2A">
        <w:rPr>
          <w:i/>
          <w:iCs/>
        </w:rPr>
        <w:t>p</w:t>
      </w:r>
      <w:r w:rsidR="00E0142F">
        <w:t>-value). Flow data were log transformed prior to modelling. FPA60 quantifies the area of floodplain inundated over the last 60 days (see Methods for full description of predictor calculation). Negative binomial distribution dispersion parameter (theta) = 4.14, standard error = 0.41.</w:t>
      </w:r>
    </w:p>
    <w:tbl>
      <w:tblPr>
        <w:tblStyle w:val="GridTable1Light-Accent3"/>
        <w:tblW w:w="7217" w:type="dxa"/>
        <w:jc w:val="center"/>
        <w:tblLook w:val="04A0" w:firstRow="1" w:lastRow="0" w:firstColumn="1" w:lastColumn="0" w:noHBand="0" w:noVBand="1"/>
      </w:tblPr>
      <w:tblGrid>
        <w:gridCol w:w="2916"/>
        <w:gridCol w:w="1433"/>
        <w:gridCol w:w="1434"/>
        <w:gridCol w:w="1434"/>
      </w:tblGrid>
      <w:tr w:rsidR="000D339D" w:rsidRPr="000D339D" w14:paraId="43929857" w14:textId="77777777" w:rsidTr="000D339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bottom w:val="single" w:sz="4" w:space="0" w:color="auto"/>
            </w:tcBorders>
          </w:tcPr>
          <w:p w14:paraId="1AD43A43" w14:textId="77777777" w:rsidR="000D339D" w:rsidRPr="000D339D" w:rsidRDefault="000D339D" w:rsidP="000D339D">
            <w:pPr>
              <w:pStyle w:val="TableHeading"/>
              <w:spacing w:before="0" w:after="0"/>
              <w:rPr>
                <w:b/>
                <w:bCs w:val="0"/>
                <w:szCs w:val="20"/>
              </w:rPr>
            </w:pPr>
            <w:r w:rsidRPr="000D339D">
              <w:rPr>
                <w:b/>
                <w:bCs w:val="0"/>
                <w:szCs w:val="20"/>
              </w:rPr>
              <w:t>Predictor</w:t>
            </w:r>
          </w:p>
        </w:tc>
        <w:tc>
          <w:tcPr>
            <w:tcW w:w="1433" w:type="dxa"/>
            <w:tcBorders>
              <w:top w:val="single" w:sz="4" w:space="0" w:color="auto"/>
              <w:bottom w:val="single" w:sz="4" w:space="0" w:color="auto"/>
            </w:tcBorders>
          </w:tcPr>
          <w:p w14:paraId="5ACBCBFE"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Estimate</w:t>
            </w:r>
          </w:p>
        </w:tc>
        <w:tc>
          <w:tcPr>
            <w:tcW w:w="1434" w:type="dxa"/>
            <w:tcBorders>
              <w:top w:val="single" w:sz="4" w:space="0" w:color="auto"/>
              <w:bottom w:val="single" w:sz="4" w:space="0" w:color="auto"/>
            </w:tcBorders>
          </w:tcPr>
          <w:p w14:paraId="575DBD31"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Std. Error</w:t>
            </w:r>
          </w:p>
        </w:tc>
        <w:tc>
          <w:tcPr>
            <w:tcW w:w="1434" w:type="dxa"/>
            <w:tcBorders>
              <w:top w:val="single" w:sz="4" w:space="0" w:color="auto"/>
              <w:bottom w:val="single" w:sz="4" w:space="0" w:color="auto"/>
            </w:tcBorders>
          </w:tcPr>
          <w:p w14:paraId="422FEC8C"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i/>
                <w:iCs/>
                <w:szCs w:val="20"/>
              </w:rPr>
              <w:t>p</w:t>
            </w:r>
            <w:r w:rsidRPr="000D339D">
              <w:rPr>
                <w:b/>
                <w:bCs w:val="0"/>
                <w:szCs w:val="20"/>
              </w:rPr>
              <w:t>-value</w:t>
            </w:r>
          </w:p>
        </w:tc>
      </w:tr>
      <w:tr w:rsidR="000D339D" w:rsidRPr="000D339D" w14:paraId="33BDC6E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tcBorders>
          </w:tcPr>
          <w:p w14:paraId="69EB2781" w14:textId="77777777" w:rsidR="000D339D" w:rsidRPr="000D339D" w:rsidRDefault="000D339D" w:rsidP="000D339D">
            <w:pPr>
              <w:pStyle w:val="TableHeading"/>
              <w:spacing w:before="0" w:after="0"/>
              <w:rPr>
                <w:szCs w:val="20"/>
              </w:rPr>
            </w:pPr>
            <w:r w:rsidRPr="000D339D">
              <w:rPr>
                <w:szCs w:val="20"/>
              </w:rPr>
              <w:t>(Intercept)</w:t>
            </w:r>
          </w:p>
        </w:tc>
        <w:tc>
          <w:tcPr>
            <w:tcW w:w="1433" w:type="dxa"/>
            <w:tcBorders>
              <w:top w:val="single" w:sz="4" w:space="0" w:color="auto"/>
            </w:tcBorders>
          </w:tcPr>
          <w:p w14:paraId="7D57814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5.94</w:t>
            </w:r>
          </w:p>
        </w:tc>
        <w:tc>
          <w:tcPr>
            <w:tcW w:w="1434" w:type="dxa"/>
            <w:tcBorders>
              <w:top w:val="single" w:sz="4" w:space="0" w:color="auto"/>
            </w:tcBorders>
          </w:tcPr>
          <w:p w14:paraId="2106DBC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0.34</w:t>
            </w:r>
          </w:p>
        </w:tc>
        <w:tc>
          <w:tcPr>
            <w:tcW w:w="1434" w:type="dxa"/>
            <w:tcBorders>
              <w:top w:val="single" w:sz="4" w:space="0" w:color="auto"/>
            </w:tcBorders>
          </w:tcPr>
          <w:p w14:paraId="1F2A45A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27018431"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1284FD44" w14:textId="77777777" w:rsidR="000D339D" w:rsidRPr="000D339D" w:rsidRDefault="000D339D" w:rsidP="000D339D">
            <w:pPr>
              <w:pStyle w:val="TableHeading"/>
              <w:spacing w:before="0" w:after="0"/>
              <w:rPr>
                <w:szCs w:val="20"/>
              </w:rPr>
            </w:pPr>
            <w:r w:rsidRPr="000D339D">
              <w:rPr>
                <w:szCs w:val="20"/>
              </w:rPr>
              <w:t>Month [Oct]</w:t>
            </w:r>
          </w:p>
        </w:tc>
        <w:tc>
          <w:tcPr>
            <w:tcW w:w="1433" w:type="dxa"/>
          </w:tcPr>
          <w:p w14:paraId="12F4CFA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0.67</w:t>
            </w:r>
          </w:p>
        </w:tc>
        <w:tc>
          <w:tcPr>
            <w:tcW w:w="1434" w:type="dxa"/>
          </w:tcPr>
          <w:p w14:paraId="54CF0B1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0.28</w:t>
            </w:r>
          </w:p>
        </w:tc>
        <w:tc>
          <w:tcPr>
            <w:tcW w:w="1434" w:type="dxa"/>
          </w:tcPr>
          <w:p w14:paraId="25EA426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0.017</w:t>
            </w:r>
          </w:p>
        </w:tc>
      </w:tr>
      <w:tr w:rsidR="000D339D" w:rsidRPr="000D339D" w14:paraId="743E24D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039166F" w14:textId="77777777" w:rsidR="000D339D" w:rsidRPr="000D339D" w:rsidRDefault="000D339D" w:rsidP="000D339D">
            <w:pPr>
              <w:pStyle w:val="TableHeading"/>
              <w:spacing w:before="0" w:after="0"/>
              <w:rPr>
                <w:szCs w:val="20"/>
              </w:rPr>
            </w:pPr>
            <w:r w:rsidRPr="000D339D">
              <w:rPr>
                <w:szCs w:val="20"/>
              </w:rPr>
              <w:t>Month [Nov]</w:t>
            </w:r>
          </w:p>
        </w:tc>
        <w:tc>
          <w:tcPr>
            <w:tcW w:w="1433" w:type="dxa"/>
          </w:tcPr>
          <w:p w14:paraId="291E508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0.93</w:t>
            </w:r>
          </w:p>
        </w:tc>
        <w:tc>
          <w:tcPr>
            <w:tcW w:w="1434" w:type="dxa"/>
          </w:tcPr>
          <w:p w14:paraId="0B0336D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0.34</w:t>
            </w:r>
          </w:p>
        </w:tc>
        <w:tc>
          <w:tcPr>
            <w:tcW w:w="1434" w:type="dxa"/>
          </w:tcPr>
          <w:p w14:paraId="155B8D0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0.006</w:t>
            </w:r>
          </w:p>
        </w:tc>
      </w:tr>
      <w:tr w:rsidR="000D339D" w:rsidRPr="000D339D" w14:paraId="78FC5F1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F189AD6" w14:textId="77777777" w:rsidR="000D339D" w:rsidRPr="000D339D" w:rsidRDefault="000D339D" w:rsidP="000D339D">
            <w:pPr>
              <w:pStyle w:val="TableHeading"/>
              <w:spacing w:before="0" w:after="0"/>
              <w:rPr>
                <w:szCs w:val="20"/>
              </w:rPr>
            </w:pPr>
            <w:r w:rsidRPr="000D339D">
              <w:rPr>
                <w:szCs w:val="20"/>
              </w:rPr>
              <w:t>Month [Dec]</w:t>
            </w:r>
          </w:p>
        </w:tc>
        <w:tc>
          <w:tcPr>
            <w:tcW w:w="1433" w:type="dxa"/>
          </w:tcPr>
          <w:p w14:paraId="3DF8BCE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1.10</w:t>
            </w:r>
          </w:p>
        </w:tc>
        <w:tc>
          <w:tcPr>
            <w:tcW w:w="1434" w:type="dxa"/>
          </w:tcPr>
          <w:p w14:paraId="0A74273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0.37</w:t>
            </w:r>
          </w:p>
        </w:tc>
        <w:tc>
          <w:tcPr>
            <w:tcW w:w="1434" w:type="dxa"/>
          </w:tcPr>
          <w:p w14:paraId="25102F8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0.003</w:t>
            </w:r>
          </w:p>
        </w:tc>
      </w:tr>
      <w:tr w:rsidR="000D339D" w:rsidRPr="000D339D" w14:paraId="7B65C77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4D95B77" w14:textId="77777777" w:rsidR="000D339D" w:rsidRPr="000D339D" w:rsidRDefault="000D339D" w:rsidP="000D339D">
            <w:pPr>
              <w:pStyle w:val="TableHeading"/>
              <w:spacing w:before="0" w:after="0"/>
              <w:rPr>
                <w:szCs w:val="20"/>
              </w:rPr>
            </w:pPr>
            <w:r w:rsidRPr="000D339D">
              <w:rPr>
                <w:szCs w:val="20"/>
              </w:rPr>
              <w:t>Month [Jan]</w:t>
            </w:r>
          </w:p>
        </w:tc>
        <w:tc>
          <w:tcPr>
            <w:tcW w:w="1433" w:type="dxa"/>
          </w:tcPr>
          <w:p w14:paraId="219690D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1.42</w:t>
            </w:r>
          </w:p>
        </w:tc>
        <w:tc>
          <w:tcPr>
            <w:tcW w:w="1434" w:type="dxa"/>
          </w:tcPr>
          <w:p w14:paraId="283E585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0.42</w:t>
            </w:r>
          </w:p>
        </w:tc>
        <w:tc>
          <w:tcPr>
            <w:tcW w:w="1434" w:type="dxa"/>
          </w:tcPr>
          <w:p w14:paraId="7ACF3D0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0897A010"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AA29686" w14:textId="77777777" w:rsidR="000D339D" w:rsidRPr="000D339D" w:rsidRDefault="000D339D" w:rsidP="000D339D">
            <w:pPr>
              <w:pStyle w:val="TableHeading"/>
              <w:spacing w:before="0" w:after="0"/>
              <w:rPr>
                <w:szCs w:val="20"/>
              </w:rPr>
            </w:pPr>
            <w:r w:rsidRPr="000D339D">
              <w:rPr>
                <w:szCs w:val="20"/>
              </w:rPr>
              <w:t>Mean daily flow (ML/d)</w:t>
            </w:r>
          </w:p>
        </w:tc>
        <w:tc>
          <w:tcPr>
            <w:tcW w:w="1433" w:type="dxa"/>
          </w:tcPr>
          <w:p w14:paraId="1A75484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0.49</w:t>
            </w:r>
          </w:p>
        </w:tc>
        <w:tc>
          <w:tcPr>
            <w:tcW w:w="1434" w:type="dxa"/>
          </w:tcPr>
          <w:p w14:paraId="2061BA9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w:t>
            </w:r>
          </w:p>
        </w:tc>
        <w:tc>
          <w:tcPr>
            <w:tcW w:w="1434" w:type="dxa"/>
          </w:tcPr>
          <w:p w14:paraId="603FBF3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6B0EC5E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BE43BB0" w14:textId="77777777" w:rsidR="000D339D" w:rsidRPr="000D339D" w:rsidRDefault="000D339D" w:rsidP="000D339D">
            <w:pPr>
              <w:pStyle w:val="TableHeading"/>
              <w:spacing w:before="0" w:after="0"/>
              <w:rPr>
                <w:szCs w:val="20"/>
              </w:rPr>
            </w:pPr>
            <w:r w:rsidRPr="000D339D">
              <w:rPr>
                <w:szCs w:val="20"/>
              </w:rPr>
              <w:t>Water year [2015]</w:t>
            </w:r>
          </w:p>
        </w:tc>
        <w:tc>
          <w:tcPr>
            <w:tcW w:w="1433" w:type="dxa"/>
          </w:tcPr>
          <w:p w14:paraId="3DD2996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-0.04</w:t>
            </w:r>
          </w:p>
        </w:tc>
        <w:tc>
          <w:tcPr>
            <w:tcW w:w="1434" w:type="dxa"/>
          </w:tcPr>
          <w:p w14:paraId="5354667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0.13</w:t>
            </w:r>
          </w:p>
        </w:tc>
        <w:tc>
          <w:tcPr>
            <w:tcW w:w="1434" w:type="dxa"/>
          </w:tcPr>
          <w:p w14:paraId="67EC308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0.775</w:t>
            </w:r>
          </w:p>
        </w:tc>
      </w:tr>
      <w:tr w:rsidR="000D339D" w:rsidRPr="000D339D" w14:paraId="58526D6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0CBB385" w14:textId="77777777" w:rsidR="000D339D" w:rsidRPr="000D339D" w:rsidRDefault="000D339D" w:rsidP="000D339D">
            <w:pPr>
              <w:pStyle w:val="TableHeading"/>
              <w:spacing w:before="0" w:after="0"/>
              <w:rPr>
                <w:szCs w:val="20"/>
              </w:rPr>
            </w:pPr>
            <w:r w:rsidRPr="000D339D">
              <w:rPr>
                <w:szCs w:val="20"/>
              </w:rPr>
              <w:t>Water year [2016]</w:t>
            </w:r>
          </w:p>
        </w:tc>
        <w:tc>
          <w:tcPr>
            <w:tcW w:w="1433" w:type="dxa"/>
          </w:tcPr>
          <w:p w14:paraId="11B2C59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-0.63</w:t>
            </w:r>
          </w:p>
        </w:tc>
        <w:tc>
          <w:tcPr>
            <w:tcW w:w="1434" w:type="dxa"/>
          </w:tcPr>
          <w:p w14:paraId="125213C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0.24</w:t>
            </w:r>
          </w:p>
        </w:tc>
        <w:tc>
          <w:tcPr>
            <w:tcW w:w="1434" w:type="dxa"/>
          </w:tcPr>
          <w:p w14:paraId="71CCC94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0.009</w:t>
            </w:r>
          </w:p>
        </w:tc>
      </w:tr>
      <w:tr w:rsidR="000D339D" w:rsidRPr="000D339D" w14:paraId="794ABA3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6D3CD71F" w14:textId="77777777" w:rsidR="000D339D" w:rsidRPr="000D339D" w:rsidRDefault="000D339D" w:rsidP="000D339D">
            <w:pPr>
              <w:pStyle w:val="TableHeading"/>
              <w:spacing w:before="0" w:after="0"/>
              <w:rPr>
                <w:szCs w:val="20"/>
              </w:rPr>
            </w:pPr>
            <w:r w:rsidRPr="000D339D">
              <w:rPr>
                <w:szCs w:val="20"/>
              </w:rPr>
              <w:t>Water year [2017]</w:t>
            </w:r>
          </w:p>
        </w:tc>
        <w:tc>
          <w:tcPr>
            <w:tcW w:w="1433" w:type="dxa"/>
          </w:tcPr>
          <w:p w14:paraId="5215A90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-0.15</w:t>
            </w:r>
          </w:p>
        </w:tc>
        <w:tc>
          <w:tcPr>
            <w:tcW w:w="1434" w:type="dxa"/>
          </w:tcPr>
          <w:p w14:paraId="2401AF8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0.15</w:t>
            </w:r>
          </w:p>
        </w:tc>
        <w:tc>
          <w:tcPr>
            <w:tcW w:w="1434" w:type="dxa"/>
          </w:tcPr>
          <w:p w14:paraId="6FB7CD4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0.313</w:t>
            </w:r>
          </w:p>
        </w:tc>
      </w:tr>
      <w:tr w:rsidR="000D339D" w:rsidRPr="000D339D" w14:paraId="10F3C1F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2D79ED6" w14:textId="77777777" w:rsidR="000D339D" w:rsidRPr="000D339D" w:rsidRDefault="000D339D" w:rsidP="000D339D">
            <w:pPr>
              <w:pStyle w:val="TableHeading"/>
              <w:spacing w:before="0" w:after="0"/>
              <w:rPr>
                <w:szCs w:val="20"/>
              </w:rPr>
            </w:pPr>
            <w:r w:rsidRPr="000D339D">
              <w:rPr>
                <w:szCs w:val="20"/>
              </w:rPr>
              <w:t>Water year [2019]</w:t>
            </w:r>
          </w:p>
        </w:tc>
        <w:tc>
          <w:tcPr>
            <w:tcW w:w="1433" w:type="dxa"/>
          </w:tcPr>
          <w:p w14:paraId="64F5482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0.45</w:t>
            </w:r>
          </w:p>
        </w:tc>
        <w:tc>
          <w:tcPr>
            <w:tcW w:w="1434" w:type="dxa"/>
          </w:tcPr>
          <w:p w14:paraId="30DD631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0.21</w:t>
            </w:r>
          </w:p>
        </w:tc>
        <w:tc>
          <w:tcPr>
            <w:tcW w:w="1434" w:type="dxa"/>
          </w:tcPr>
          <w:p w14:paraId="382F7DA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0.034</w:t>
            </w:r>
          </w:p>
        </w:tc>
      </w:tr>
      <w:tr w:rsidR="000D339D" w:rsidRPr="000D339D" w14:paraId="533CB09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7264DBD9" w14:textId="77777777" w:rsidR="000D339D" w:rsidRPr="000D339D" w:rsidRDefault="000D339D" w:rsidP="000D339D">
            <w:pPr>
              <w:pStyle w:val="TableHeading"/>
              <w:spacing w:before="0" w:after="0"/>
              <w:rPr>
                <w:szCs w:val="20"/>
              </w:rPr>
            </w:pPr>
            <w:r w:rsidRPr="000D339D">
              <w:rPr>
                <w:szCs w:val="20"/>
              </w:rPr>
              <w:t>Water year [2020]</w:t>
            </w:r>
          </w:p>
        </w:tc>
        <w:tc>
          <w:tcPr>
            <w:tcW w:w="1433" w:type="dxa"/>
          </w:tcPr>
          <w:p w14:paraId="2252F9B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0.30</w:t>
            </w:r>
          </w:p>
        </w:tc>
        <w:tc>
          <w:tcPr>
            <w:tcW w:w="1434" w:type="dxa"/>
          </w:tcPr>
          <w:p w14:paraId="64437C5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0.17</w:t>
            </w:r>
          </w:p>
        </w:tc>
        <w:tc>
          <w:tcPr>
            <w:tcW w:w="1434" w:type="dxa"/>
          </w:tcPr>
          <w:p w14:paraId="0C05BD5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0.082</w:t>
            </w:r>
          </w:p>
        </w:tc>
      </w:tr>
      <w:tr w:rsidR="000D339D" w:rsidRPr="000D339D" w14:paraId="43F3E30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A4FFE87" w14:textId="77777777" w:rsidR="000D339D" w:rsidRPr="000D339D" w:rsidRDefault="000D339D" w:rsidP="000D339D">
            <w:pPr>
              <w:pStyle w:val="TableHeading"/>
              <w:spacing w:before="0" w:after="0"/>
              <w:rPr>
                <w:szCs w:val="20"/>
              </w:rPr>
            </w:pPr>
            <w:r w:rsidRPr="000D339D">
              <w:rPr>
                <w:szCs w:val="20"/>
              </w:rPr>
              <w:t>Temperature</w:t>
            </w:r>
          </w:p>
        </w:tc>
        <w:tc>
          <w:tcPr>
            <w:tcW w:w="1433" w:type="dxa"/>
          </w:tcPr>
          <w:p w14:paraId="49E4612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0.35</w:t>
            </w:r>
          </w:p>
        </w:tc>
        <w:tc>
          <w:tcPr>
            <w:tcW w:w="1434" w:type="dxa"/>
          </w:tcPr>
          <w:p w14:paraId="5970D6E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w:t>
            </w:r>
          </w:p>
        </w:tc>
        <w:tc>
          <w:tcPr>
            <w:tcW w:w="1434" w:type="dxa"/>
          </w:tcPr>
          <w:p w14:paraId="58F1812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64F0D75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7E5A1A33" w14:textId="77777777" w:rsidR="000D339D" w:rsidRPr="000D339D" w:rsidRDefault="000D339D" w:rsidP="000D339D">
            <w:pPr>
              <w:pStyle w:val="TableHeading"/>
              <w:spacing w:before="0" w:after="0"/>
              <w:rPr>
                <w:szCs w:val="20"/>
              </w:rPr>
            </w:pPr>
            <w:r w:rsidRPr="000D339D">
              <w:rPr>
                <w:szCs w:val="20"/>
              </w:rPr>
              <w:t>Electrical conductivity (EC)</w:t>
            </w:r>
          </w:p>
        </w:tc>
        <w:tc>
          <w:tcPr>
            <w:tcW w:w="1433" w:type="dxa"/>
          </w:tcPr>
          <w:p w14:paraId="61AC045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0.12</w:t>
            </w:r>
          </w:p>
        </w:tc>
        <w:tc>
          <w:tcPr>
            <w:tcW w:w="1434" w:type="dxa"/>
          </w:tcPr>
          <w:p w14:paraId="1F30957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w:t>
            </w:r>
          </w:p>
        </w:tc>
        <w:tc>
          <w:tcPr>
            <w:tcW w:w="1434" w:type="dxa"/>
          </w:tcPr>
          <w:p w14:paraId="25E1DD3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0.237</w:t>
            </w:r>
          </w:p>
        </w:tc>
      </w:tr>
      <w:tr w:rsidR="000D339D" w:rsidRPr="000D339D" w14:paraId="5FAD456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6829D5F" w14:textId="77777777" w:rsidR="000D339D" w:rsidRPr="000D339D" w:rsidRDefault="000D339D" w:rsidP="000D339D">
            <w:pPr>
              <w:pStyle w:val="TableHeading"/>
              <w:spacing w:before="0" w:after="0"/>
              <w:rPr>
                <w:szCs w:val="20"/>
              </w:rPr>
            </w:pPr>
            <w:r w:rsidRPr="000D339D">
              <w:rPr>
                <w:szCs w:val="20"/>
              </w:rPr>
              <w:t>10-day flow trend (dQ10)</w:t>
            </w:r>
          </w:p>
        </w:tc>
        <w:tc>
          <w:tcPr>
            <w:tcW w:w="1433" w:type="dxa"/>
          </w:tcPr>
          <w:p w14:paraId="5BDBFAC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0.08</w:t>
            </w:r>
          </w:p>
        </w:tc>
        <w:tc>
          <w:tcPr>
            <w:tcW w:w="1434" w:type="dxa"/>
          </w:tcPr>
          <w:p w14:paraId="2130D07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0.05</w:t>
            </w:r>
          </w:p>
        </w:tc>
        <w:tc>
          <w:tcPr>
            <w:tcW w:w="1434" w:type="dxa"/>
          </w:tcPr>
          <w:p w14:paraId="68BAC1E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0.112</w:t>
            </w:r>
          </w:p>
        </w:tc>
      </w:tr>
      <w:tr w:rsidR="000D339D" w:rsidRPr="000D339D" w14:paraId="49225EA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154C911C" w14:textId="77777777" w:rsidR="000D339D" w:rsidRPr="000D339D" w:rsidRDefault="000D339D" w:rsidP="000D339D">
            <w:pPr>
              <w:pStyle w:val="TableHeading"/>
              <w:spacing w:before="0" w:after="0"/>
              <w:rPr>
                <w:szCs w:val="20"/>
              </w:rPr>
            </w:pPr>
            <w:r w:rsidRPr="000D339D">
              <w:rPr>
                <w:szCs w:val="20"/>
              </w:rPr>
              <w:t>FPA60</w:t>
            </w:r>
          </w:p>
        </w:tc>
        <w:tc>
          <w:tcPr>
            <w:tcW w:w="1433" w:type="dxa"/>
          </w:tcPr>
          <w:p w14:paraId="356788F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-1.8e-04</w:t>
            </w:r>
          </w:p>
        </w:tc>
        <w:tc>
          <w:tcPr>
            <w:tcW w:w="1434" w:type="dxa"/>
          </w:tcPr>
          <w:p w14:paraId="5FFEECA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3.5e-05</w:t>
            </w:r>
          </w:p>
        </w:tc>
        <w:tc>
          <w:tcPr>
            <w:tcW w:w="1434" w:type="dxa"/>
          </w:tcPr>
          <w:p w14:paraId="51C9E35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6D042F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6974B9F" w14:textId="77777777" w:rsidR="000D339D" w:rsidRPr="000D339D" w:rsidRDefault="000D339D" w:rsidP="000D339D">
            <w:pPr>
              <w:pStyle w:val="TableHeading"/>
              <w:spacing w:before="0" w:after="0"/>
              <w:rPr>
                <w:szCs w:val="20"/>
              </w:rPr>
            </w:pPr>
            <w:r w:rsidRPr="000D339D">
              <w:rPr>
                <w:szCs w:val="20"/>
              </w:rPr>
              <w:t>Temperature:EC</w:t>
            </w:r>
          </w:p>
        </w:tc>
        <w:tc>
          <w:tcPr>
            <w:tcW w:w="1433" w:type="dxa"/>
          </w:tcPr>
          <w:p w14:paraId="353CE9C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w:t>
            </w:r>
          </w:p>
        </w:tc>
        <w:tc>
          <w:tcPr>
            <w:tcW w:w="1434" w:type="dxa"/>
          </w:tcPr>
          <w:p w14:paraId="7CE0668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0.06</w:t>
            </w:r>
          </w:p>
        </w:tc>
        <w:tc>
          <w:tcPr>
            <w:tcW w:w="1434" w:type="dxa"/>
          </w:tcPr>
          <w:p w14:paraId="47CA4BF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0.073</w:t>
            </w:r>
          </w:p>
        </w:tc>
      </w:tr>
      <w:tr w:rsidR="000D339D" w:rsidRPr="000D339D" w14:paraId="516CF1A0"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DBDBDB" w:themeColor="accent3" w:themeTint="66"/>
            </w:tcBorders>
          </w:tcPr>
          <w:p w14:paraId="6EA65645" w14:textId="77777777" w:rsidR="000D339D" w:rsidRPr="000D339D" w:rsidRDefault="000D339D" w:rsidP="000D339D">
            <w:pPr>
              <w:pStyle w:val="TableHeading"/>
              <w:spacing w:before="0" w:after="0"/>
              <w:rPr>
                <w:szCs w:val="20"/>
              </w:rPr>
            </w:pPr>
            <w:r w:rsidRPr="000D339D">
              <w:rPr>
                <w:szCs w:val="20"/>
              </w:rPr>
              <w:t>EC:FPA60</w:t>
            </w:r>
          </w:p>
        </w:tc>
        <w:tc>
          <w:tcPr>
            <w:tcW w:w="1433" w:type="dxa"/>
            <w:tcBorders>
              <w:bottom w:val="single" w:sz="4" w:space="0" w:color="DBDBDB" w:themeColor="accent3" w:themeTint="66"/>
            </w:tcBorders>
          </w:tcPr>
          <w:p w14:paraId="7E48930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-1.1e-04</w:t>
            </w:r>
          </w:p>
        </w:tc>
        <w:tc>
          <w:tcPr>
            <w:tcW w:w="1434" w:type="dxa"/>
            <w:tcBorders>
              <w:bottom w:val="single" w:sz="4" w:space="0" w:color="DBDBDB" w:themeColor="accent3" w:themeTint="66"/>
            </w:tcBorders>
          </w:tcPr>
          <w:p w14:paraId="413D0DB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3.2e-05</w:t>
            </w:r>
          </w:p>
        </w:tc>
        <w:tc>
          <w:tcPr>
            <w:tcW w:w="1434" w:type="dxa"/>
            <w:tcBorders>
              <w:bottom w:val="single" w:sz="4" w:space="0" w:color="DBDBDB" w:themeColor="accent3" w:themeTint="66"/>
            </w:tcBorders>
          </w:tcPr>
          <w:p w14:paraId="5E43284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42E15BF6"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auto"/>
            </w:tcBorders>
          </w:tcPr>
          <w:p w14:paraId="5B7E6C0D" w14:textId="77777777" w:rsidR="000D339D" w:rsidRPr="000D339D" w:rsidRDefault="000D339D" w:rsidP="000D339D">
            <w:pPr>
              <w:pStyle w:val="TableHeading"/>
              <w:spacing w:before="0" w:after="0"/>
              <w:rPr>
                <w:szCs w:val="20"/>
              </w:rPr>
            </w:pPr>
            <w:r w:rsidRPr="000D339D">
              <w:rPr>
                <w:szCs w:val="20"/>
              </w:rPr>
              <w:t>dQ10:FPA60</w:t>
            </w:r>
          </w:p>
        </w:tc>
        <w:tc>
          <w:tcPr>
            <w:tcW w:w="1433" w:type="dxa"/>
            <w:tcBorders>
              <w:bottom w:val="single" w:sz="4" w:space="0" w:color="auto"/>
            </w:tcBorders>
          </w:tcPr>
          <w:p w14:paraId="1C04224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-6.4e-05</w:t>
            </w:r>
          </w:p>
        </w:tc>
        <w:tc>
          <w:tcPr>
            <w:tcW w:w="1434" w:type="dxa"/>
            <w:tcBorders>
              <w:bottom w:val="single" w:sz="4" w:space="0" w:color="auto"/>
            </w:tcBorders>
          </w:tcPr>
          <w:p w14:paraId="65A341A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3.6e-05</w:t>
            </w:r>
          </w:p>
        </w:tc>
        <w:tc>
          <w:tcPr>
            <w:tcW w:w="1434" w:type="dxa"/>
            <w:tcBorders>
              <w:bottom w:val="single" w:sz="4" w:space="0" w:color="auto"/>
            </w:tcBorders>
          </w:tcPr>
          <w:p w14:paraId="4319766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0.077</w:t>
            </w:r>
          </w:p>
        </w:tc>
      </w:tr>
    </w:tbl>
    <w:p w14:paraId="5A91CBD3" w14:textId="77777777" w:rsidR="000D339D" w:rsidRDefault="000D339D" w:rsidP="000D339D">
      <w:pPr>
        <w:spacing w:before="0" w:after="160" w:line="259" w:lineRule="auto"/>
        <w:jc w:val="left"/>
        <w:rPr>
          <w:noProof/>
          <w:highlight w:val="yellow"/>
          <w:lang w:eastAsia="en-AU"/>
        </w:rPr>
      </w:pPr>
    </w:p>
    <w:p w14:paraId="2645473A" w14:textId="77777777" w:rsidR="000D339D" w:rsidRDefault="000D339D" w:rsidP="000D339D">
      <w:pPr>
        <w:spacing w:before="0" w:after="160" w:line="259" w:lineRule="auto"/>
        <w:jc w:val="left"/>
        <w:rPr>
          <w:b/>
          <w:sz w:val="20"/>
        </w:rPr>
      </w:pPr>
      <w:bookmarkStart w:id="422" w:name="_Ref57820426"/>
    </w:p>
    <w:p w14:paraId="4ACA5349" w14:textId="77777777" w:rsidR="000D339D" w:rsidRDefault="000D339D" w:rsidP="000D339D">
      <w:pPr>
        <w:spacing w:before="0" w:after="160" w:line="259" w:lineRule="auto"/>
        <w:jc w:val="left"/>
        <w:rPr>
          <w:b/>
          <w:sz w:val="20"/>
        </w:rPr>
      </w:pPr>
      <w:r>
        <w:br w:type="page"/>
      </w:r>
    </w:p>
    <w:bookmarkEnd w:id="421"/>
    <w:p w14:paraId="4EEA01D8" w14:textId="3EB8C05C" w:rsidR="000D339D" w:rsidRPr="00825D39" w:rsidRDefault="000D339D" w:rsidP="000D339D">
      <w:pPr>
        <w:pStyle w:val="TableCaption"/>
      </w:pPr>
      <w:r w:rsidRPr="00825D39">
        <w:t>Table</w:t>
      </w:r>
      <w:bookmarkEnd w:id="422"/>
      <w:r>
        <w:t xml:space="preserve"> D</w:t>
      </w:r>
      <w:r w:rsidR="00DD27F8">
        <w:t>8</w:t>
      </w:r>
      <w:r>
        <w:t xml:space="preserve">. </w:t>
      </w:r>
      <w:r w:rsidRPr="00C011F2">
        <w:t xml:space="preserve">Results of </w:t>
      </w:r>
      <w:r w:rsidR="008E2C88">
        <w:t xml:space="preserve">microinvertebrate </w:t>
      </w:r>
      <w:r w:rsidRPr="00C011F2">
        <w:t>taxonomic richness Poisson generalised linear model, showing selected predictors, estimated coefficients (Estimate), standard error in the coefficient estimate (std. Error) and Type I error probability (p-value). Explained deviance for the model was 0.61, residual standard error: 0.007. Abundance was predicted for environmental flow scenarios using the model in</w:t>
      </w:r>
      <w:bookmarkStart w:id="423" w:name="_Ref57820422"/>
      <w:r>
        <w:t xml:space="preserve"> Table D</w:t>
      </w:r>
      <w:r w:rsidR="00DD27F8">
        <w:t>8</w:t>
      </w:r>
      <w:r w:rsidRPr="00C011F2">
        <w:t>.</w:t>
      </w:r>
      <w:bookmarkEnd w:id="423"/>
    </w:p>
    <w:tbl>
      <w:tblPr>
        <w:tblStyle w:val="GridTable1Light-Accent3"/>
        <w:tblW w:w="6799" w:type="dxa"/>
        <w:jc w:val="center"/>
        <w:tblLook w:val="04A0" w:firstRow="1" w:lastRow="0" w:firstColumn="1" w:lastColumn="0" w:noHBand="0" w:noVBand="1"/>
      </w:tblPr>
      <w:tblGrid>
        <w:gridCol w:w="2972"/>
        <w:gridCol w:w="1276"/>
        <w:gridCol w:w="1417"/>
        <w:gridCol w:w="1134"/>
      </w:tblGrid>
      <w:tr w:rsidR="000D339D" w:rsidRPr="000D339D" w14:paraId="5D0BEEE4" w14:textId="77777777" w:rsidTr="000D339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bottom w:val="single" w:sz="4" w:space="0" w:color="auto"/>
            </w:tcBorders>
          </w:tcPr>
          <w:p w14:paraId="02558BA5" w14:textId="77777777" w:rsidR="000D339D" w:rsidRPr="000D339D" w:rsidRDefault="000D339D" w:rsidP="000D339D">
            <w:pPr>
              <w:pStyle w:val="TableHeading"/>
              <w:spacing w:before="0" w:after="0"/>
              <w:rPr>
                <w:b/>
                <w:bCs w:val="0"/>
                <w:szCs w:val="20"/>
              </w:rPr>
            </w:pPr>
            <w:r w:rsidRPr="000D339D">
              <w:rPr>
                <w:b/>
                <w:bCs w:val="0"/>
                <w:szCs w:val="20"/>
              </w:rPr>
              <w:t>Predictor</w:t>
            </w:r>
          </w:p>
        </w:tc>
        <w:tc>
          <w:tcPr>
            <w:tcW w:w="1276" w:type="dxa"/>
            <w:tcBorders>
              <w:top w:val="single" w:sz="4" w:space="0" w:color="auto"/>
              <w:bottom w:val="single" w:sz="4" w:space="0" w:color="auto"/>
            </w:tcBorders>
          </w:tcPr>
          <w:p w14:paraId="26DAFA0E"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Estimate</w:t>
            </w:r>
          </w:p>
        </w:tc>
        <w:tc>
          <w:tcPr>
            <w:tcW w:w="1417" w:type="dxa"/>
            <w:tcBorders>
              <w:top w:val="single" w:sz="4" w:space="0" w:color="auto"/>
              <w:bottom w:val="single" w:sz="4" w:space="0" w:color="auto"/>
            </w:tcBorders>
          </w:tcPr>
          <w:p w14:paraId="39B7BF02"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Std. Error</w:t>
            </w:r>
          </w:p>
        </w:tc>
        <w:tc>
          <w:tcPr>
            <w:tcW w:w="1134" w:type="dxa"/>
            <w:tcBorders>
              <w:top w:val="single" w:sz="4" w:space="0" w:color="auto"/>
              <w:bottom w:val="single" w:sz="4" w:space="0" w:color="auto"/>
            </w:tcBorders>
          </w:tcPr>
          <w:p w14:paraId="59278AFD"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i/>
                <w:iCs/>
                <w:szCs w:val="20"/>
              </w:rPr>
            </w:pPr>
            <w:r w:rsidRPr="000D339D">
              <w:rPr>
                <w:b/>
                <w:bCs w:val="0"/>
                <w:i/>
                <w:iCs/>
                <w:szCs w:val="20"/>
              </w:rPr>
              <w:t>p-value</w:t>
            </w:r>
          </w:p>
        </w:tc>
      </w:tr>
      <w:tr w:rsidR="000D339D" w:rsidRPr="000D339D" w14:paraId="27548A5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tcPr>
          <w:p w14:paraId="2DD878A5" w14:textId="77777777" w:rsidR="000D339D" w:rsidRPr="000D339D" w:rsidRDefault="000D339D" w:rsidP="000D339D">
            <w:pPr>
              <w:pStyle w:val="TableHeading"/>
              <w:spacing w:before="0" w:after="0"/>
              <w:rPr>
                <w:szCs w:val="20"/>
              </w:rPr>
            </w:pPr>
            <w:r w:rsidRPr="000D339D">
              <w:rPr>
                <w:szCs w:val="20"/>
              </w:rPr>
              <w:t>(Intercept)</w:t>
            </w:r>
          </w:p>
        </w:tc>
        <w:tc>
          <w:tcPr>
            <w:tcW w:w="1276" w:type="dxa"/>
            <w:tcBorders>
              <w:top w:val="single" w:sz="4" w:space="0" w:color="auto"/>
            </w:tcBorders>
          </w:tcPr>
          <w:p w14:paraId="6499274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1.13</w:t>
            </w:r>
          </w:p>
        </w:tc>
        <w:tc>
          <w:tcPr>
            <w:tcW w:w="1417" w:type="dxa"/>
            <w:tcBorders>
              <w:top w:val="single" w:sz="4" w:space="0" w:color="auto"/>
            </w:tcBorders>
          </w:tcPr>
          <w:p w14:paraId="6284F11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0.34</w:t>
            </w:r>
          </w:p>
        </w:tc>
        <w:tc>
          <w:tcPr>
            <w:tcW w:w="1134" w:type="dxa"/>
            <w:tcBorders>
              <w:top w:val="single" w:sz="4" w:space="0" w:color="auto"/>
            </w:tcBorders>
          </w:tcPr>
          <w:p w14:paraId="2121C37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069F051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714C0AD6" w14:textId="77777777" w:rsidR="000D339D" w:rsidRPr="000D339D" w:rsidRDefault="000D339D" w:rsidP="000D339D">
            <w:pPr>
              <w:pStyle w:val="TableHeading"/>
              <w:spacing w:before="0" w:after="0"/>
              <w:rPr>
                <w:szCs w:val="20"/>
              </w:rPr>
            </w:pPr>
            <w:r w:rsidRPr="000D339D">
              <w:rPr>
                <w:szCs w:val="20"/>
              </w:rPr>
              <w:t>Abundance</w:t>
            </w:r>
          </w:p>
        </w:tc>
        <w:tc>
          <w:tcPr>
            <w:tcW w:w="1276" w:type="dxa"/>
          </w:tcPr>
          <w:p w14:paraId="0D48AEC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2.0e-04</w:t>
            </w:r>
          </w:p>
        </w:tc>
        <w:tc>
          <w:tcPr>
            <w:tcW w:w="1417" w:type="dxa"/>
          </w:tcPr>
          <w:p w14:paraId="3865C5A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2.6e-05</w:t>
            </w:r>
          </w:p>
        </w:tc>
        <w:tc>
          <w:tcPr>
            <w:tcW w:w="1134" w:type="dxa"/>
          </w:tcPr>
          <w:p w14:paraId="335CB52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02CF896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1D942937" w14:textId="77777777" w:rsidR="000D339D" w:rsidRPr="000D339D" w:rsidRDefault="000D339D" w:rsidP="000D339D">
            <w:pPr>
              <w:pStyle w:val="TableHeading"/>
              <w:spacing w:before="0" w:after="0"/>
              <w:rPr>
                <w:szCs w:val="20"/>
              </w:rPr>
            </w:pPr>
            <w:r w:rsidRPr="000D339D">
              <w:rPr>
                <w:szCs w:val="20"/>
              </w:rPr>
              <w:t>Month [Oct]</w:t>
            </w:r>
          </w:p>
        </w:tc>
        <w:tc>
          <w:tcPr>
            <w:tcW w:w="1276" w:type="dxa"/>
          </w:tcPr>
          <w:p w14:paraId="57FDEA3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0.02</w:t>
            </w:r>
          </w:p>
        </w:tc>
        <w:tc>
          <w:tcPr>
            <w:tcW w:w="1417" w:type="dxa"/>
          </w:tcPr>
          <w:p w14:paraId="430FF60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0.11</w:t>
            </w:r>
          </w:p>
        </w:tc>
        <w:tc>
          <w:tcPr>
            <w:tcW w:w="1134" w:type="dxa"/>
          </w:tcPr>
          <w:p w14:paraId="565E82D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0.824</w:t>
            </w:r>
          </w:p>
        </w:tc>
      </w:tr>
      <w:tr w:rsidR="000D339D" w:rsidRPr="000D339D" w14:paraId="77D2BCF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6ED790A1" w14:textId="77777777" w:rsidR="000D339D" w:rsidRPr="000D339D" w:rsidRDefault="000D339D" w:rsidP="000D339D">
            <w:pPr>
              <w:pStyle w:val="TableHeading"/>
              <w:spacing w:before="0" w:after="0"/>
              <w:rPr>
                <w:szCs w:val="20"/>
              </w:rPr>
            </w:pPr>
            <w:r w:rsidRPr="000D339D">
              <w:rPr>
                <w:szCs w:val="20"/>
              </w:rPr>
              <w:t>Month [Nov]</w:t>
            </w:r>
          </w:p>
        </w:tc>
        <w:tc>
          <w:tcPr>
            <w:tcW w:w="1276" w:type="dxa"/>
          </w:tcPr>
          <w:p w14:paraId="5ED46A9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0.17</w:t>
            </w:r>
          </w:p>
        </w:tc>
        <w:tc>
          <w:tcPr>
            <w:tcW w:w="1417" w:type="dxa"/>
          </w:tcPr>
          <w:p w14:paraId="160B498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0.13</w:t>
            </w:r>
          </w:p>
        </w:tc>
        <w:tc>
          <w:tcPr>
            <w:tcW w:w="1134" w:type="dxa"/>
          </w:tcPr>
          <w:p w14:paraId="4A108BD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0.171</w:t>
            </w:r>
          </w:p>
        </w:tc>
      </w:tr>
      <w:tr w:rsidR="000D339D" w:rsidRPr="000D339D" w14:paraId="0D53F2D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6AA7DFC3" w14:textId="77777777" w:rsidR="000D339D" w:rsidRPr="000D339D" w:rsidRDefault="000D339D" w:rsidP="000D339D">
            <w:pPr>
              <w:pStyle w:val="TableHeading"/>
              <w:spacing w:before="0" w:after="0"/>
              <w:rPr>
                <w:szCs w:val="20"/>
              </w:rPr>
            </w:pPr>
            <w:r w:rsidRPr="000D339D">
              <w:rPr>
                <w:szCs w:val="20"/>
              </w:rPr>
              <w:t>Month [Dec]</w:t>
            </w:r>
          </w:p>
        </w:tc>
        <w:tc>
          <w:tcPr>
            <w:tcW w:w="1276" w:type="dxa"/>
          </w:tcPr>
          <w:p w14:paraId="4540373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0.17</w:t>
            </w:r>
          </w:p>
        </w:tc>
        <w:tc>
          <w:tcPr>
            <w:tcW w:w="1417" w:type="dxa"/>
          </w:tcPr>
          <w:p w14:paraId="4B944BF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0.14</w:t>
            </w:r>
          </w:p>
        </w:tc>
        <w:tc>
          <w:tcPr>
            <w:tcW w:w="1134" w:type="dxa"/>
          </w:tcPr>
          <w:p w14:paraId="1332578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0.221</w:t>
            </w:r>
          </w:p>
        </w:tc>
      </w:tr>
      <w:tr w:rsidR="000D339D" w:rsidRPr="000D339D" w14:paraId="4BB35C4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6897E90F" w14:textId="77777777" w:rsidR="000D339D" w:rsidRPr="000D339D" w:rsidRDefault="000D339D" w:rsidP="000D339D">
            <w:pPr>
              <w:pStyle w:val="TableHeading"/>
              <w:spacing w:before="0" w:after="0"/>
              <w:rPr>
                <w:szCs w:val="20"/>
              </w:rPr>
            </w:pPr>
            <w:r w:rsidRPr="000D339D">
              <w:rPr>
                <w:szCs w:val="20"/>
              </w:rPr>
              <w:t>Month [Jan]</w:t>
            </w:r>
          </w:p>
        </w:tc>
        <w:tc>
          <w:tcPr>
            <w:tcW w:w="1276" w:type="dxa"/>
          </w:tcPr>
          <w:p w14:paraId="26D4E52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0.13</w:t>
            </w:r>
          </w:p>
        </w:tc>
        <w:tc>
          <w:tcPr>
            <w:tcW w:w="1417" w:type="dxa"/>
          </w:tcPr>
          <w:p w14:paraId="5068CB6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0.15</w:t>
            </w:r>
          </w:p>
        </w:tc>
        <w:tc>
          <w:tcPr>
            <w:tcW w:w="1134" w:type="dxa"/>
          </w:tcPr>
          <w:p w14:paraId="5F51443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0.380</w:t>
            </w:r>
          </w:p>
        </w:tc>
      </w:tr>
      <w:tr w:rsidR="000D339D" w:rsidRPr="000D339D" w14:paraId="5C74C20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3AE80F9F" w14:textId="77777777" w:rsidR="000D339D" w:rsidRPr="000D339D" w:rsidRDefault="000D339D" w:rsidP="000D339D">
            <w:pPr>
              <w:pStyle w:val="TableHeading"/>
              <w:spacing w:before="0" w:after="0"/>
              <w:rPr>
                <w:szCs w:val="20"/>
              </w:rPr>
            </w:pPr>
            <w:r w:rsidRPr="000D339D">
              <w:rPr>
                <w:szCs w:val="20"/>
              </w:rPr>
              <w:t>Mean long-term daily flow</w:t>
            </w:r>
          </w:p>
        </w:tc>
        <w:tc>
          <w:tcPr>
            <w:tcW w:w="1276" w:type="dxa"/>
          </w:tcPr>
          <w:p w14:paraId="73AC1BF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0.11</w:t>
            </w:r>
          </w:p>
        </w:tc>
        <w:tc>
          <w:tcPr>
            <w:tcW w:w="1417" w:type="dxa"/>
          </w:tcPr>
          <w:p w14:paraId="2CB94DA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0.02</w:t>
            </w:r>
          </w:p>
        </w:tc>
        <w:tc>
          <w:tcPr>
            <w:tcW w:w="1134" w:type="dxa"/>
          </w:tcPr>
          <w:p w14:paraId="5BE4329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7DD78DC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0644B98D" w14:textId="77777777" w:rsidR="000D339D" w:rsidRPr="000D339D" w:rsidRDefault="000D339D" w:rsidP="000D339D">
            <w:pPr>
              <w:pStyle w:val="TableHeading"/>
              <w:spacing w:before="0" w:after="0"/>
              <w:rPr>
                <w:szCs w:val="20"/>
              </w:rPr>
            </w:pPr>
            <w:r w:rsidRPr="000D339D">
              <w:rPr>
                <w:szCs w:val="20"/>
              </w:rPr>
              <w:t>Temperature</w:t>
            </w:r>
          </w:p>
        </w:tc>
        <w:tc>
          <w:tcPr>
            <w:tcW w:w="1276" w:type="dxa"/>
          </w:tcPr>
          <w:p w14:paraId="158F076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0.03</w:t>
            </w:r>
          </w:p>
        </w:tc>
        <w:tc>
          <w:tcPr>
            <w:tcW w:w="1417" w:type="dxa"/>
          </w:tcPr>
          <w:p w14:paraId="2B1ACDB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0.01</w:t>
            </w:r>
          </w:p>
        </w:tc>
        <w:tc>
          <w:tcPr>
            <w:tcW w:w="1134" w:type="dxa"/>
          </w:tcPr>
          <w:p w14:paraId="3E527EC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0.002</w:t>
            </w:r>
          </w:p>
        </w:tc>
      </w:tr>
      <w:tr w:rsidR="000D339D" w:rsidRPr="000D339D" w14:paraId="462A124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51682A65" w14:textId="77777777" w:rsidR="000D339D" w:rsidRPr="000D339D" w:rsidRDefault="000D339D" w:rsidP="000D339D">
            <w:pPr>
              <w:pStyle w:val="TableHeading"/>
              <w:spacing w:before="0" w:after="0"/>
              <w:rPr>
                <w:szCs w:val="20"/>
              </w:rPr>
            </w:pPr>
            <w:r w:rsidRPr="000D339D">
              <w:rPr>
                <w:szCs w:val="20"/>
              </w:rPr>
              <w:t>Electrical conductivity (EC)</w:t>
            </w:r>
          </w:p>
        </w:tc>
        <w:tc>
          <w:tcPr>
            <w:tcW w:w="1276" w:type="dxa"/>
          </w:tcPr>
          <w:p w14:paraId="242F499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4.0e-04</w:t>
            </w:r>
          </w:p>
        </w:tc>
        <w:tc>
          <w:tcPr>
            <w:tcW w:w="1417" w:type="dxa"/>
          </w:tcPr>
          <w:p w14:paraId="452825F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6.9e-04</w:t>
            </w:r>
          </w:p>
        </w:tc>
        <w:tc>
          <w:tcPr>
            <w:tcW w:w="1134" w:type="dxa"/>
          </w:tcPr>
          <w:p w14:paraId="3044457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0.562</w:t>
            </w:r>
          </w:p>
        </w:tc>
      </w:tr>
      <w:tr w:rsidR="000D339D" w:rsidRPr="000D339D" w14:paraId="578391E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570B9657" w14:textId="77777777" w:rsidR="000D339D" w:rsidRPr="000D339D" w:rsidRDefault="000D339D" w:rsidP="000D339D">
            <w:pPr>
              <w:pStyle w:val="TableHeading"/>
              <w:spacing w:before="0" w:after="0"/>
              <w:rPr>
                <w:szCs w:val="20"/>
              </w:rPr>
            </w:pPr>
            <w:r w:rsidRPr="000D339D">
              <w:rPr>
                <w:szCs w:val="20"/>
              </w:rPr>
              <w:t>10-day flow trend (dQ10)</w:t>
            </w:r>
          </w:p>
        </w:tc>
        <w:tc>
          <w:tcPr>
            <w:tcW w:w="1276" w:type="dxa"/>
          </w:tcPr>
          <w:p w14:paraId="7293671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-0.46</w:t>
            </w:r>
          </w:p>
        </w:tc>
        <w:tc>
          <w:tcPr>
            <w:tcW w:w="1417" w:type="dxa"/>
          </w:tcPr>
          <w:p w14:paraId="1BE5BA6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0.35</w:t>
            </w:r>
          </w:p>
        </w:tc>
        <w:tc>
          <w:tcPr>
            <w:tcW w:w="1134" w:type="dxa"/>
          </w:tcPr>
          <w:p w14:paraId="572C3F4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0.187</w:t>
            </w:r>
          </w:p>
        </w:tc>
      </w:tr>
      <w:tr w:rsidR="000D339D" w:rsidRPr="000D339D" w14:paraId="006E23E6"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Pr>
          <w:p w14:paraId="6D813D55" w14:textId="77777777" w:rsidR="000D339D" w:rsidRPr="000D339D" w:rsidRDefault="000D339D" w:rsidP="000D339D">
            <w:pPr>
              <w:pStyle w:val="TableHeading"/>
              <w:spacing w:before="0" w:after="0"/>
              <w:rPr>
                <w:szCs w:val="20"/>
              </w:rPr>
            </w:pPr>
            <w:r w:rsidRPr="000D339D">
              <w:rPr>
                <w:szCs w:val="20"/>
              </w:rPr>
              <w:t>FPA28</w:t>
            </w:r>
          </w:p>
        </w:tc>
        <w:tc>
          <w:tcPr>
            <w:tcW w:w="1276" w:type="dxa"/>
          </w:tcPr>
          <w:p w14:paraId="121ACDB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3.1e-04</w:t>
            </w:r>
          </w:p>
        </w:tc>
        <w:tc>
          <w:tcPr>
            <w:tcW w:w="1417" w:type="dxa"/>
          </w:tcPr>
          <w:p w14:paraId="29534F7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1.2e-04</w:t>
            </w:r>
          </w:p>
        </w:tc>
        <w:tc>
          <w:tcPr>
            <w:tcW w:w="1134" w:type="dxa"/>
          </w:tcPr>
          <w:p w14:paraId="7C1D05A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0.009</w:t>
            </w:r>
          </w:p>
        </w:tc>
      </w:tr>
      <w:tr w:rsidR="000D339D" w:rsidRPr="000D339D" w14:paraId="596E92B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Borders>
              <w:bottom w:val="single" w:sz="4" w:space="0" w:color="DBDBDB" w:themeColor="accent3" w:themeTint="66"/>
            </w:tcBorders>
          </w:tcPr>
          <w:p w14:paraId="1C63CE67" w14:textId="77777777" w:rsidR="000D339D" w:rsidRPr="000D339D" w:rsidRDefault="000D339D" w:rsidP="000D339D">
            <w:pPr>
              <w:pStyle w:val="TableHeading"/>
              <w:spacing w:before="0" w:after="0"/>
              <w:rPr>
                <w:szCs w:val="20"/>
              </w:rPr>
            </w:pPr>
            <w:r w:rsidRPr="000D339D">
              <w:rPr>
                <w:szCs w:val="20"/>
              </w:rPr>
              <w:t>Temp:dQ10</w:t>
            </w:r>
          </w:p>
        </w:tc>
        <w:tc>
          <w:tcPr>
            <w:tcW w:w="1276" w:type="dxa"/>
            <w:tcBorders>
              <w:bottom w:val="single" w:sz="4" w:space="0" w:color="DBDBDB" w:themeColor="accent3" w:themeTint="66"/>
            </w:tcBorders>
          </w:tcPr>
          <w:p w14:paraId="3BF2007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0.03</w:t>
            </w:r>
          </w:p>
        </w:tc>
        <w:tc>
          <w:tcPr>
            <w:tcW w:w="1417" w:type="dxa"/>
            <w:tcBorders>
              <w:bottom w:val="single" w:sz="4" w:space="0" w:color="DBDBDB" w:themeColor="accent3" w:themeTint="66"/>
            </w:tcBorders>
          </w:tcPr>
          <w:p w14:paraId="4E08994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0.02</w:t>
            </w:r>
          </w:p>
        </w:tc>
        <w:tc>
          <w:tcPr>
            <w:tcW w:w="1134" w:type="dxa"/>
            <w:tcBorders>
              <w:bottom w:val="single" w:sz="4" w:space="0" w:color="DBDBDB" w:themeColor="accent3" w:themeTint="66"/>
            </w:tcBorders>
          </w:tcPr>
          <w:p w14:paraId="3AEE0CD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0.057</w:t>
            </w:r>
          </w:p>
        </w:tc>
      </w:tr>
      <w:tr w:rsidR="000D339D" w:rsidRPr="000D339D" w14:paraId="2D60361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72" w:type="dxa"/>
            <w:tcBorders>
              <w:bottom w:val="single" w:sz="4" w:space="0" w:color="auto"/>
            </w:tcBorders>
          </w:tcPr>
          <w:p w14:paraId="01FEE8FF" w14:textId="77777777" w:rsidR="000D339D" w:rsidRPr="000D339D" w:rsidRDefault="000D339D" w:rsidP="000D339D">
            <w:pPr>
              <w:pStyle w:val="TableHeading"/>
              <w:spacing w:before="0" w:after="0"/>
              <w:rPr>
                <w:szCs w:val="20"/>
              </w:rPr>
            </w:pPr>
            <w:r w:rsidRPr="000D339D">
              <w:rPr>
                <w:szCs w:val="20"/>
              </w:rPr>
              <w:t>EC:FPA28</w:t>
            </w:r>
          </w:p>
        </w:tc>
        <w:tc>
          <w:tcPr>
            <w:tcW w:w="1276" w:type="dxa"/>
            <w:tcBorders>
              <w:bottom w:val="single" w:sz="4" w:space="0" w:color="auto"/>
            </w:tcBorders>
          </w:tcPr>
          <w:p w14:paraId="2B3D3DC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-1.8e-06</w:t>
            </w:r>
          </w:p>
        </w:tc>
        <w:tc>
          <w:tcPr>
            <w:tcW w:w="1417" w:type="dxa"/>
            <w:tcBorders>
              <w:bottom w:val="single" w:sz="4" w:space="0" w:color="auto"/>
            </w:tcBorders>
          </w:tcPr>
          <w:p w14:paraId="6778C00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6.2e-07</w:t>
            </w:r>
          </w:p>
        </w:tc>
        <w:tc>
          <w:tcPr>
            <w:tcW w:w="1134" w:type="dxa"/>
            <w:tcBorders>
              <w:bottom w:val="single" w:sz="4" w:space="0" w:color="auto"/>
            </w:tcBorders>
          </w:tcPr>
          <w:p w14:paraId="1E6BEC9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0.004</w:t>
            </w:r>
          </w:p>
        </w:tc>
      </w:tr>
    </w:tbl>
    <w:p w14:paraId="5F081D5E" w14:textId="77777777" w:rsidR="000D339D" w:rsidRDefault="000D339D" w:rsidP="000D339D">
      <w:pPr>
        <w:spacing w:before="0" w:after="160" w:line="259" w:lineRule="auto"/>
        <w:jc w:val="left"/>
        <w:rPr>
          <w:noProof/>
          <w:highlight w:val="yellow"/>
          <w:lang w:eastAsia="en-AU"/>
        </w:rPr>
      </w:pPr>
    </w:p>
    <w:p w14:paraId="555B9981" w14:textId="77777777" w:rsidR="000D339D" w:rsidRDefault="000D339D" w:rsidP="000D339D">
      <w:pPr>
        <w:spacing w:before="0" w:after="160" w:line="259" w:lineRule="auto"/>
        <w:jc w:val="left"/>
        <w:rPr>
          <w:noProof/>
          <w:highlight w:val="yellow"/>
          <w:lang w:eastAsia="en-AU"/>
        </w:rPr>
      </w:pPr>
      <w:r>
        <w:rPr>
          <w:noProof/>
          <w:highlight w:val="yellow"/>
          <w:lang w:eastAsia="en-AU"/>
        </w:rPr>
        <w:br w:type="page"/>
      </w:r>
    </w:p>
    <w:p w14:paraId="361CDB75" w14:textId="6F43C8DE" w:rsidR="000D339D" w:rsidRDefault="000D339D" w:rsidP="000D339D">
      <w:pPr>
        <w:pStyle w:val="TableHeading"/>
      </w:pPr>
      <w:r>
        <w:t>Table D</w:t>
      </w:r>
      <w:r w:rsidR="00DD27F8">
        <w:t>9</w:t>
      </w:r>
      <w:r>
        <w:t xml:space="preserve">. </w:t>
      </w:r>
      <w:r w:rsidRPr="00830EF3">
        <w:t>Results of negative binomial generalised linear model for</w:t>
      </w:r>
      <w:r w:rsidR="008E2C88">
        <w:t xml:space="preserve"> microinvertebrate</w:t>
      </w:r>
      <w:r w:rsidRPr="00830EF3">
        <w:t xml:space="preserve"> abundance (individuals per litre) </w:t>
      </w:r>
      <w:r>
        <w:t xml:space="preserve">of taxa dependent upon lateral connectivity </w:t>
      </w:r>
      <w:r w:rsidRPr="00830EF3">
        <w:t xml:space="preserve">showing selected predictors, estimated coefficients (Estimate), standard errors in estimation (std.Error) and Type I Error probability (p-value). Flow data were log transformed prior to modelling. </w:t>
      </w:r>
      <w:r>
        <w:t>Length of lotic was log transformed.</w:t>
      </w:r>
      <w:r w:rsidRPr="00830EF3">
        <w:t xml:space="preserve"> FPA60 quantifies the area of floodplain inundated over the last 60 days (see Methods for full description of predictor calculation). Negative binomial distribution dispersion parameter (theta) = </w:t>
      </w:r>
      <w:r>
        <w:t>2</w:t>
      </w:r>
      <w:r w:rsidRPr="00830EF3">
        <w:t>.4</w:t>
      </w:r>
      <w:r>
        <w:t>1</w:t>
      </w:r>
      <w:r w:rsidRPr="00830EF3">
        <w:t>, standard error = 0.</w:t>
      </w:r>
      <w:r>
        <w:t>26</w:t>
      </w:r>
      <w:r w:rsidRPr="00830EF3">
        <w:t>.</w:t>
      </w:r>
    </w:p>
    <w:tbl>
      <w:tblPr>
        <w:tblStyle w:val="GridTable1Light-Accent3"/>
        <w:tblW w:w="0" w:type="auto"/>
        <w:jc w:val="center"/>
        <w:tblLook w:val="04A0" w:firstRow="1" w:lastRow="0" w:firstColumn="1" w:lastColumn="0" w:noHBand="0" w:noVBand="1"/>
      </w:tblPr>
      <w:tblGrid>
        <w:gridCol w:w="2829"/>
        <w:gridCol w:w="1024"/>
        <w:gridCol w:w="1048"/>
        <w:gridCol w:w="973"/>
      </w:tblGrid>
      <w:tr w:rsidR="000D339D" w:rsidRPr="00011752" w14:paraId="74AE2BFC" w14:textId="77777777" w:rsidTr="000D339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tcPr>
          <w:p w14:paraId="0C1BD912" w14:textId="77777777" w:rsidR="000D339D" w:rsidRPr="000D339D" w:rsidRDefault="000D339D" w:rsidP="000D339D">
            <w:pPr>
              <w:pStyle w:val="TableHeading"/>
              <w:spacing w:before="0" w:after="0"/>
              <w:rPr>
                <w:b/>
                <w:bCs w:val="0"/>
              </w:rPr>
            </w:pPr>
            <w:r w:rsidRPr="000D339D">
              <w:rPr>
                <w:b/>
                <w:bCs w:val="0"/>
              </w:rPr>
              <w:t>Predictor</w:t>
            </w:r>
          </w:p>
        </w:tc>
        <w:tc>
          <w:tcPr>
            <w:tcW w:w="0" w:type="auto"/>
            <w:tcBorders>
              <w:top w:val="single" w:sz="4" w:space="0" w:color="auto"/>
              <w:bottom w:val="single" w:sz="4" w:space="0" w:color="auto"/>
            </w:tcBorders>
          </w:tcPr>
          <w:p w14:paraId="2363388B"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rPr>
            </w:pPr>
            <w:r w:rsidRPr="000D339D">
              <w:rPr>
                <w:b/>
                <w:bCs w:val="0"/>
              </w:rPr>
              <w:t>Estimate</w:t>
            </w:r>
          </w:p>
        </w:tc>
        <w:tc>
          <w:tcPr>
            <w:tcW w:w="0" w:type="auto"/>
            <w:tcBorders>
              <w:top w:val="single" w:sz="4" w:space="0" w:color="auto"/>
              <w:bottom w:val="single" w:sz="4" w:space="0" w:color="auto"/>
            </w:tcBorders>
          </w:tcPr>
          <w:p w14:paraId="307CFE65"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rPr>
            </w:pPr>
            <w:r w:rsidRPr="000D339D">
              <w:rPr>
                <w:b/>
                <w:bCs w:val="0"/>
              </w:rPr>
              <w:t>Std. Error</w:t>
            </w:r>
          </w:p>
        </w:tc>
        <w:tc>
          <w:tcPr>
            <w:tcW w:w="0" w:type="auto"/>
            <w:tcBorders>
              <w:top w:val="single" w:sz="4" w:space="0" w:color="auto"/>
              <w:bottom w:val="single" w:sz="4" w:space="0" w:color="auto"/>
            </w:tcBorders>
          </w:tcPr>
          <w:p w14:paraId="4638309F"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rPr>
            </w:pPr>
            <w:r w:rsidRPr="000D339D">
              <w:rPr>
                <w:b/>
                <w:bCs w:val="0"/>
                <w:i/>
                <w:iCs/>
              </w:rPr>
              <w:t>p</w:t>
            </w:r>
            <w:r w:rsidRPr="000D339D">
              <w:rPr>
                <w:b/>
                <w:bCs w:val="0"/>
              </w:rPr>
              <w:t>-value</w:t>
            </w:r>
          </w:p>
        </w:tc>
      </w:tr>
      <w:tr w:rsidR="000D339D" w:rsidRPr="00011752" w14:paraId="4C41430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58DA55C9" w14:textId="77777777" w:rsidR="000D339D" w:rsidRPr="00011752" w:rsidRDefault="000D339D" w:rsidP="000D339D">
            <w:pPr>
              <w:pStyle w:val="TableHeading"/>
              <w:spacing w:before="0" w:after="0"/>
            </w:pPr>
            <w:r w:rsidRPr="00011752">
              <w:t>(Intercept)</w:t>
            </w:r>
          </w:p>
        </w:tc>
        <w:tc>
          <w:tcPr>
            <w:tcW w:w="0" w:type="auto"/>
            <w:tcBorders>
              <w:top w:val="single" w:sz="4" w:space="0" w:color="auto"/>
            </w:tcBorders>
          </w:tcPr>
          <w:p w14:paraId="4B19E7F2"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C838D7">
              <w:t>-</w:t>
            </w:r>
            <w:r>
              <w:t>13.80</w:t>
            </w:r>
          </w:p>
        </w:tc>
        <w:tc>
          <w:tcPr>
            <w:tcW w:w="0" w:type="auto"/>
            <w:tcBorders>
              <w:top w:val="single" w:sz="4" w:space="0" w:color="auto"/>
            </w:tcBorders>
          </w:tcPr>
          <w:p w14:paraId="3BE40648"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4.22</w:t>
            </w:r>
          </w:p>
        </w:tc>
        <w:tc>
          <w:tcPr>
            <w:tcW w:w="0" w:type="auto"/>
            <w:tcBorders>
              <w:top w:val="single" w:sz="4" w:space="0" w:color="auto"/>
            </w:tcBorders>
          </w:tcPr>
          <w:p w14:paraId="35D1CA0E"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C838D7">
              <w:t>0.</w:t>
            </w:r>
            <w:r>
              <w:t>001</w:t>
            </w:r>
          </w:p>
        </w:tc>
      </w:tr>
      <w:tr w:rsidR="000D339D" w:rsidRPr="00011752" w14:paraId="1B62DD6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EB4D8AD" w14:textId="77777777" w:rsidR="000D339D" w:rsidRPr="00011752" w:rsidRDefault="000D339D" w:rsidP="000D339D">
            <w:pPr>
              <w:pStyle w:val="TableHeading"/>
              <w:spacing w:before="0" w:after="0"/>
            </w:pPr>
            <w:r>
              <w:t>M</w:t>
            </w:r>
            <w:r w:rsidRPr="00011752">
              <w:t>onth [</w:t>
            </w:r>
            <w:r>
              <w:t>Oct</w:t>
            </w:r>
            <w:r w:rsidRPr="00011752">
              <w:t>]</w:t>
            </w:r>
          </w:p>
        </w:tc>
        <w:tc>
          <w:tcPr>
            <w:tcW w:w="0" w:type="auto"/>
          </w:tcPr>
          <w:p w14:paraId="7AE95816"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543F04">
              <w:t>-0.4</w:t>
            </w:r>
            <w:r>
              <w:t>0</w:t>
            </w:r>
          </w:p>
        </w:tc>
        <w:tc>
          <w:tcPr>
            <w:tcW w:w="0" w:type="auto"/>
          </w:tcPr>
          <w:p w14:paraId="64E52BEA"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543F04">
              <w:t>0.3</w:t>
            </w:r>
            <w:r>
              <w:t>9</w:t>
            </w:r>
          </w:p>
        </w:tc>
        <w:tc>
          <w:tcPr>
            <w:tcW w:w="0" w:type="auto"/>
          </w:tcPr>
          <w:p w14:paraId="46D2ADD0"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543F04">
              <w:t>0.</w:t>
            </w:r>
            <w:r>
              <w:t>3</w:t>
            </w:r>
            <w:r w:rsidRPr="00543F04">
              <w:t>16</w:t>
            </w:r>
          </w:p>
        </w:tc>
      </w:tr>
      <w:tr w:rsidR="000D339D" w:rsidRPr="00011752" w14:paraId="77081893"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3AD588C6" w14:textId="77777777" w:rsidR="000D339D" w:rsidRPr="00011752" w:rsidRDefault="000D339D" w:rsidP="000D339D">
            <w:pPr>
              <w:pStyle w:val="TableHeading"/>
              <w:spacing w:before="0" w:after="0"/>
            </w:pPr>
            <w:r>
              <w:t>M</w:t>
            </w:r>
            <w:r w:rsidRPr="00011752">
              <w:t>onth [</w:t>
            </w:r>
            <w:r>
              <w:t>Nov</w:t>
            </w:r>
            <w:r w:rsidRPr="00011752">
              <w:t>]</w:t>
            </w:r>
          </w:p>
        </w:tc>
        <w:tc>
          <w:tcPr>
            <w:tcW w:w="0" w:type="auto"/>
          </w:tcPr>
          <w:p w14:paraId="2CECD62B"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90253">
              <w:t>-2.</w:t>
            </w:r>
            <w:r>
              <w:t>51</w:t>
            </w:r>
          </w:p>
        </w:tc>
        <w:tc>
          <w:tcPr>
            <w:tcW w:w="0" w:type="auto"/>
          </w:tcPr>
          <w:p w14:paraId="14E0F8FB"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90253">
              <w:t>0.4</w:t>
            </w:r>
            <w:r>
              <w:t>87</w:t>
            </w:r>
          </w:p>
        </w:tc>
        <w:tc>
          <w:tcPr>
            <w:tcW w:w="0" w:type="auto"/>
          </w:tcPr>
          <w:p w14:paraId="15BC61FE"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90253">
              <w:t>&lt;</w:t>
            </w:r>
            <w:r>
              <w:t xml:space="preserve"> </w:t>
            </w:r>
            <w:r w:rsidRPr="00390253">
              <w:t>0.001</w:t>
            </w:r>
          </w:p>
        </w:tc>
      </w:tr>
      <w:tr w:rsidR="000D339D" w:rsidRPr="00011752" w14:paraId="21DE82B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0CA3AE4D" w14:textId="77777777" w:rsidR="000D339D" w:rsidRPr="00011752" w:rsidRDefault="000D339D" w:rsidP="000D339D">
            <w:pPr>
              <w:pStyle w:val="TableHeading"/>
              <w:spacing w:before="0" w:after="0"/>
            </w:pPr>
            <w:r>
              <w:t>M</w:t>
            </w:r>
            <w:r w:rsidRPr="00011752">
              <w:t>onth [</w:t>
            </w:r>
            <w:r>
              <w:t>Dec</w:t>
            </w:r>
            <w:r w:rsidRPr="00011752">
              <w:t>]</w:t>
            </w:r>
          </w:p>
        </w:tc>
        <w:tc>
          <w:tcPr>
            <w:tcW w:w="0" w:type="auto"/>
          </w:tcPr>
          <w:p w14:paraId="7E626CDA"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E5DE6">
              <w:t>-</w:t>
            </w:r>
            <w:r>
              <w:t>2.46</w:t>
            </w:r>
          </w:p>
        </w:tc>
        <w:tc>
          <w:tcPr>
            <w:tcW w:w="0" w:type="auto"/>
          </w:tcPr>
          <w:p w14:paraId="20F6DFD5"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E5DE6">
              <w:t>0.5</w:t>
            </w:r>
            <w:r>
              <w:t>4</w:t>
            </w:r>
          </w:p>
        </w:tc>
        <w:tc>
          <w:tcPr>
            <w:tcW w:w="0" w:type="auto"/>
          </w:tcPr>
          <w:p w14:paraId="39F5B2F0"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E5DE6">
              <w:t>&lt;</w:t>
            </w:r>
            <w:r>
              <w:t xml:space="preserve"> </w:t>
            </w:r>
            <w:r w:rsidRPr="00FE5DE6">
              <w:t>0.001</w:t>
            </w:r>
          </w:p>
        </w:tc>
      </w:tr>
      <w:tr w:rsidR="000D339D" w:rsidRPr="00011752" w14:paraId="2196C9B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04A9FE4" w14:textId="77777777" w:rsidR="000D339D" w:rsidRPr="00011752" w:rsidRDefault="000D339D" w:rsidP="000D339D">
            <w:pPr>
              <w:pStyle w:val="TableHeading"/>
              <w:spacing w:before="0" w:after="0"/>
            </w:pPr>
            <w:r>
              <w:t>M</w:t>
            </w:r>
            <w:r w:rsidRPr="00011752">
              <w:t>onth [</w:t>
            </w:r>
            <w:r>
              <w:t>Jan</w:t>
            </w:r>
            <w:r w:rsidRPr="00011752">
              <w:t>]</w:t>
            </w:r>
          </w:p>
        </w:tc>
        <w:tc>
          <w:tcPr>
            <w:tcW w:w="0" w:type="auto"/>
          </w:tcPr>
          <w:p w14:paraId="79E4EB1B"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E7B55">
              <w:t>-2.</w:t>
            </w:r>
            <w:r>
              <w:t>96</w:t>
            </w:r>
          </w:p>
        </w:tc>
        <w:tc>
          <w:tcPr>
            <w:tcW w:w="0" w:type="auto"/>
          </w:tcPr>
          <w:p w14:paraId="5E1C5F9F"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E7B55">
              <w:t>0.</w:t>
            </w:r>
            <w:r>
              <w:t>60</w:t>
            </w:r>
          </w:p>
        </w:tc>
        <w:tc>
          <w:tcPr>
            <w:tcW w:w="0" w:type="auto"/>
          </w:tcPr>
          <w:p w14:paraId="018D3780"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E7B55">
              <w:t>&lt;</w:t>
            </w:r>
            <w:r>
              <w:t xml:space="preserve"> </w:t>
            </w:r>
            <w:r w:rsidRPr="003E7B55">
              <w:t>0.001</w:t>
            </w:r>
          </w:p>
        </w:tc>
      </w:tr>
      <w:tr w:rsidR="000D339D" w:rsidRPr="00011752" w14:paraId="77D30C9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30C575BB" w14:textId="77777777" w:rsidR="000D339D" w:rsidRPr="00011752" w:rsidRDefault="000D339D" w:rsidP="000D339D">
            <w:pPr>
              <w:pStyle w:val="TableHeading"/>
              <w:spacing w:before="0" w:after="0"/>
            </w:pPr>
            <w:r>
              <w:t>Mean daily flow (ML/d)</w:t>
            </w:r>
          </w:p>
        </w:tc>
        <w:tc>
          <w:tcPr>
            <w:tcW w:w="0" w:type="auto"/>
          </w:tcPr>
          <w:p w14:paraId="22425CC4"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AD165F">
              <w:t>-0.</w:t>
            </w:r>
            <w:r>
              <w:t>50</w:t>
            </w:r>
          </w:p>
        </w:tc>
        <w:tc>
          <w:tcPr>
            <w:tcW w:w="0" w:type="auto"/>
          </w:tcPr>
          <w:p w14:paraId="66ED9485"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AD165F">
              <w:t>0.</w:t>
            </w:r>
            <w:r>
              <w:t>27</w:t>
            </w:r>
          </w:p>
        </w:tc>
        <w:tc>
          <w:tcPr>
            <w:tcW w:w="0" w:type="auto"/>
          </w:tcPr>
          <w:p w14:paraId="4367952F"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AD165F">
              <w:t>0.0</w:t>
            </w:r>
            <w:r>
              <w:t>6</w:t>
            </w:r>
            <w:r w:rsidRPr="00AD165F">
              <w:t>1</w:t>
            </w:r>
          </w:p>
        </w:tc>
      </w:tr>
      <w:tr w:rsidR="000D339D" w:rsidRPr="00011752" w14:paraId="503C436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696882B" w14:textId="77777777" w:rsidR="000D339D" w:rsidRDefault="000D339D" w:rsidP="000D339D">
            <w:pPr>
              <w:pStyle w:val="TableHeading"/>
              <w:spacing w:before="0" w:after="0"/>
            </w:pPr>
            <w:r>
              <w:t>Mean long-term daily flow</w:t>
            </w:r>
          </w:p>
        </w:tc>
        <w:tc>
          <w:tcPr>
            <w:tcW w:w="0" w:type="auto"/>
          </w:tcPr>
          <w:p w14:paraId="07F2C3F3" w14:textId="77777777" w:rsidR="000D339D" w:rsidRPr="00AD165F"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1.46</w:t>
            </w:r>
          </w:p>
        </w:tc>
        <w:tc>
          <w:tcPr>
            <w:tcW w:w="0" w:type="auto"/>
          </w:tcPr>
          <w:p w14:paraId="0753EB2B" w14:textId="77777777" w:rsidR="000D339D" w:rsidRPr="00AD165F"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7E4FC6">
              <w:t>0.3</w:t>
            </w:r>
            <w:r>
              <w:t>9</w:t>
            </w:r>
          </w:p>
        </w:tc>
        <w:tc>
          <w:tcPr>
            <w:tcW w:w="0" w:type="auto"/>
          </w:tcPr>
          <w:p w14:paraId="39717257" w14:textId="77777777" w:rsidR="000D339D" w:rsidRPr="00AD165F"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 xml:space="preserve">&lt; </w:t>
            </w:r>
            <w:r w:rsidRPr="007E4FC6">
              <w:t>0.00</w:t>
            </w:r>
            <w:r>
              <w:t>1</w:t>
            </w:r>
          </w:p>
        </w:tc>
      </w:tr>
      <w:tr w:rsidR="000D339D" w:rsidRPr="00796E60" w14:paraId="1E045A2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32F2B16B" w14:textId="77777777" w:rsidR="000D339D" w:rsidRDefault="000D339D" w:rsidP="000D339D">
            <w:pPr>
              <w:pStyle w:val="TableHeading"/>
              <w:spacing w:before="0" w:after="0"/>
            </w:pPr>
            <w:r>
              <w:t>Lock 1 7km</w:t>
            </w:r>
          </w:p>
        </w:tc>
        <w:tc>
          <w:tcPr>
            <w:tcW w:w="0" w:type="auto"/>
          </w:tcPr>
          <w:p w14:paraId="238D1809"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0.11</w:t>
            </w:r>
          </w:p>
        </w:tc>
        <w:tc>
          <w:tcPr>
            <w:tcW w:w="0" w:type="auto"/>
          </w:tcPr>
          <w:p w14:paraId="76DFD3A7"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0.18</w:t>
            </w:r>
          </w:p>
        </w:tc>
        <w:tc>
          <w:tcPr>
            <w:tcW w:w="0" w:type="auto"/>
          </w:tcPr>
          <w:p w14:paraId="03C7AB54"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0.541</w:t>
            </w:r>
          </w:p>
        </w:tc>
      </w:tr>
      <w:tr w:rsidR="000D339D" w:rsidRPr="00796E60" w14:paraId="4017F0A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2803838E" w14:textId="77777777" w:rsidR="000D339D" w:rsidRDefault="000D339D" w:rsidP="000D339D">
            <w:pPr>
              <w:pStyle w:val="TableHeading"/>
              <w:spacing w:before="0" w:after="0"/>
            </w:pPr>
            <w:r>
              <w:t>Lock 1 9km</w:t>
            </w:r>
          </w:p>
        </w:tc>
        <w:tc>
          <w:tcPr>
            <w:tcW w:w="0" w:type="auto"/>
          </w:tcPr>
          <w:p w14:paraId="29DA9BF4"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0.08</w:t>
            </w:r>
          </w:p>
        </w:tc>
        <w:tc>
          <w:tcPr>
            <w:tcW w:w="0" w:type="auto"/>
          </w:tcPr>
          <w:p w14:paraId="429DB06A"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0.18</w:t>
            </w:r>
          </w:p>
        </w:tc>
        <w:tc>
          <w:tcPr>
            <w:tcW w:w="0" w:type="auto"/>
          </w:tcPr>
          <w:p w14:paraId="3685A501"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0.672</w:t>
            </w:r>
          </w:p>
        </w:tc>
      </w:tr>
      <w:tr w:rsidR="000D339D" w:rsidRPr="00796E60" w14:paraId="4FC171B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1790A77" w14:textId="77777777" w:rsidR="000D339D" w:rsidRDefault="000D339D" w:rsidP="000D339D">
            <w:pPr>
              <w:pStyle w:val="TableHeading"/>
              <w:spacing w:before="0" w:after="0"/>
            </w:pPr>
            <w:r>
              <w:t>Lock 4 5km</w:t>
            </w:r>
          </w:p>
        </w:tc>
        <w:tc>
          <w:tcPr>
            <w:tcW w:w="0" w:type="auto"/>
          </w:tcPr>
          <w:p w14:paraId="4B936D78"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-0.29</w:t>
            </w:r>
          </w:p>
        </w:tc>
        <w:tc>
          <w:tcPr>
            <w:tcW w:w="0" w:type="auto"/>
          </w:tcPr>
          <w:p w14:paraId="71DB6058"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0.26</w:t>
            </w:r>
          </w:p>
        </w:tc>
        <w:tc>
          <w:tcPr>
            <w:tcW w:w="0" w:type="auto"/>
          </w:tcPr>
          <w:p w14:paraId="080C0250"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0.262</w:t>
            </w:r>
          </w:p>
        </w:tc>
      </w:tr>
      <w:tr w:rsidR="000D339D" w:rsidRPr="00796E60" w14:paraId="57CE05C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4B34F564" w14:textId="77777777" w:rsidR="000D339D" w:rsidRDefault="000D339D" w:rsidP="000D339D">
            <w:pPr>
              <w:pStyle w:val="TableHeading"/>
              <w:spacing w:before="0" w:after="0"/>
            </w:pPr>
            <w:r>
              <w:t>Lock 6 5km</w:t>
            </w:r>
          </w:p>
        </w:tc>
        <w:tc>
          <w:tcPr>
            <w:tcW w:w="0" w:type="auto"/>
          </w:tcPr>
          <w:p w14:paraId="49B6CABB"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-1.14</w:t>
            </w:r>
          </w:p>
        </w:tc>
        <w:tc>
          <w:tcPr>
            <w:tcW w:w="0" w:type="auto"/>
          </w:tcPr>
          <w:p w14:paraId="048C33C4"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0.50</w:t>
            </w:r>
          </w:p>
        </w:tc>
        <w:tc>
          <w:tcPr>
            <w:tcW w:w="0" w:type="auto"/>
          </w:tcPr>
          <w:p w14:paraId="11AA92CA"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0.024</w:t>
            </w:r>
          </w:p>
        </w:tc>
      </w:tr>
      <w:tr w:rsidR="000D339D" w:rsidRPr="00796E60" w14:paraId="464A5C0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15C09E8E" w14:textId="77777777" w:rsidR="000D339D" w:rsidRDefault="000D339D" w:rsidP="000D339D">
            <w:pPr>
              <w:pStyle w:val="TableHeading"/>
              <w:spacing w:before="0" w:after="0"/>
            </w:pPr>
            <w:r>
              <w:t>Lock 6 7km</w:t>
            </w:r>
          </w:p>
        </w:tc>
        <w:tc>
          <w:tcPr>
            <w:tcW w:w="0" w:type="auto"/>
          </w:tcPr>
          <w:p w14:paraId="198F5959"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-1.27</w:t>
            </w:r>
          </w:p>
        </w:tc>
        <w:tc>
          <w:tcPr>
            <w:tcW w:w="0" w:type="auto"/>
          </w:tcPr>
          <w:p w14:paraId="2B6361CE"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0.52</w:t>
            </w:r>
          </w:p>
        </w:tc>
        <w:tc>
          <w:tcPr>
            <w:tcW w:w="0" w:type="auto"/>
          </w:tcPr>
          <w:p w14:paraId="1EABF7B3"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0.014</w:t>
            </w:r>
          </w:p>
        </w:tc>
      </w:tr>
      <w:tr w:rsidR="000D339D" w:rsidRPr="00796E60" w14:paraId="5C4BDA4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2DB955C1" w14:textId="77777777" w:rsidR="000D339D" w:rsidRDefault="000D339D" w:rsidP="000D339D">
            <w:pPr>
              <w:pStyle w:val="TableHeading"/>
              <w:spacing w:before="0" w:after="0"/>
            </w:pPr>
            <w:r>
              <w:t>Lock 6 9km</w:t>
            </w:r>
          </w:p>
        </w:tc>
        <w:tc>
          <w:tcPr>
            <w:tcW w:w="0" w:type="auto"/>
          </w:tcPr>
          <w:p w14:paraId="3A1BA574"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-1.16</w:t>
            </w:r>
          </w:p>
        </w:tc>
        <w:tc>
          <w:tcPr>
            <w:tcW w:w="0" w:type="auto"/>
          </w:tcPr>
          <w:p w14:paraId="51A732E6"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0.52</w:t>
            </w:r>
          </w:p>
        </w:tc>
        <w:tc>
          <w:tcPr>
            <w:tcW w:w="0" w:type="auto"/>
          </w:tcPr>
          <w:p w14:paraId="165880A4" w14:textId="77777777" w:rsidR="000D339D" w:rsidRPr="007E4FC6"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0.024</w:t>
            </w:r>
          </w:p>
        </w:tc>
      </w:tr>
      <w:tr w:rsidR="000D339D" w:rsidRPr="00011752" w14:paraId="7DDEAFE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6502F485" w14:textId="77777777" w:rsidR="000D339D" w:rsidRPr="00011752" w:rsidRDefault="000D339D" w:rsidP="000D339D">
            <w:pPr>
              <w:pStyle w:val="TableHeading"/>
              <w:spacing w:before="0" w:after="0"/>
            </w:pPr>
            <w:r>
              <w:t>Water year</w:t>
            </w:r>
            <w:r w:rsidRPr="00011752">
              <w:t xml:space="preserve"> [</w:t>
            </w:r>
            <w:r>
              <w:t>2015</w:t>
            </w:r>
            <w:r w:rsidRPr="00011752">
              <w:t>]</w:t>
            </w:r>
          </w:p>
        </w:tc>
        <w:tc>
          <w:tcPr>
            <w:tcW w:w="0" w:type="auto"/>
          </w:tcPr>
          <w:p w14:paraId="3D6B7AC4"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A57BF">
              <w:t>-</w:t>
            </w:r>
            <w:r>
              <w:t>1.02</w:t>
            </w:r>
          </w:p>
        </w:tc>
        <w:tc>
          <w:tcPr>
            <w:tcW w:w="0" w:type="auto"/>
          </w:tcPr>
          <w:p w14:paraId="5F5192FC"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A57BF">
              <w:t>0.</w:t>
            </w:r>
            <w:r>
              <w:t>21</w:t>
            </w:r>
          </w:p>
        </w:tc>
        <w:tc>
          <w:tcPr>
            <w:tcW w:w="0" w:type="auto"/>
          </w:tcPr>
          <w:p w14:paraId="5780A8F5"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3A57BF">
              <w:t>&lt;</w:t>
            </w:r>
            <w:r>
              <w:t xml:space="preserve"> </w:t>
            </w:r>
            <w:r w:rsidRPr="003A57BF">
              <w:t>0.001</w:t>
            </w:r>
          </w:p>
        </w:tc>
      </w:tr>
      <w:tr w:rsidR="000D339D" w:rsidRPr="00011752" w14:paraId="3924F44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630FC04E" w14:textId="77777777" w:rsidR="000D339D" w:rsidRPr="00011752" w:rsidRDefault="000D339D" w:rsidP="000D339D">
            <w:pPr>
              <w:pStyle w:val="TableHeading"/>
              <w:spacing w:before="0" w:after="0"/>
            </w:pPr>
            <w:r>
              <w:t>Water year</w:t>
            </w:r>
            <w:r w:rsidRPr="00011752">
              <w:t xml:space="preserve"> [</w:t>
            </w:r>
            <w:r>
              <w:t>2016</w:t>
            </w:r>
            <w:r w:rsidRPr="00011752">
              <w:t>]</w:t>
            </w:r>
          </w:p>
        </w:tc>
        <w:tc>
          <w:tcPr>
            <w:tcW w:w="0" w:type="auto"/>
          </w:tcPr>
          <w:p w14:paraId="6E516CF0"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944017">
              <w:t>-1.</w:t>
            </w:r>
            <w:r>
              <w:t>80</w:t>
            </w:r>
          </w:p>
        </w:tc>
        <w:tc>
          <w:tcPr>
            <w:tcW w:w="0" w:type="auto"/>
          </w:tcPr>
          <w:p w14:paraId="44CD3603"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944017">
              <w:t>0.7</w:t>
            </w:r>
            <w:r>
              <w:t>1</w:t>
            </w:r>
          </w:p>
        </w:tc>
        <w:tc>
          <w:tcPr>
            <w:tcW w:w="0" w:type="auto"/>
          </w:tcPr>
          <w:p w14:paraId="0F9DF0A0"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944017">
              <w:t>0.01</w:t>
            </w:r>
            <w:r>
              <w:t>2</w:t>
            </w:r>
          </w:p>
        </w:tc>
      </w:tr>
      <w:tr w:rsidR="000D339D" w:rsidRPr="00011752" w14:paraId="40EF653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59BD276E" w14:textId="77777777" w:rsidR="000D339D" w:rsidRPr="00011752" w:rsidRDefault="000D339D" w:rsidP="000D339D">
            <w:pPr>
              <w:pStyle w:val="TableHeading"/>
              <w:spacing w:before="0" w:after="0"/>
            </w:pPr>
            <w:r>
              <w:t>Water year</w:t>
            </w:r>
            <w:r w:rsidRPr="00011752">
              <w:t xml:space="preserve"> [</w:t>
            </w:r>
            <w:r>
              <w:t>2017</w:t>
            </w:r>
            <w:r w:rsidRPr="00011752">
              <w:t>]</w:t>
            </w:r>
          </w:p>
        </w:tc>
        <w:tc>
          <w:tcPr>
            <w:tcW w:w="0" w:type="auto"/>
          </w:tcPr>
          <w:p w14:paraId="489E91A9"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1F1483">
              <w:t>-0.</w:t>
            </w:r>
            <w:r>
              <w:t>51</w:t>
            </w:r>
          </w:p>
        </w:tc>
        <w:tc>
          <w:tcPr>
            <w:tcW w:w="0" w:type="auto"/>
          </w:tcPr>
          <w:p w14:paraId="0646CD0D"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1F1483">
              <w:t>0.</w:t>
            </w:r>
            <w:r>
              <w:t>21</w:t>
            </w:r>
          </w:p>
        </w:tc>
        <w:tc>
          <w:tcPr>
            <w:tcW w:w="0" w:type="auto"/>
          </w:tcPr>
          <w:p w14:paraId="6535183A"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1F1483">
              <w:t>0.0</w:t>
            </w:r>
            <w:r>
              <w:t>17</w:t>
            </w:r>
          </w:p>
        </w:tc>
      </w:tr>
      <w:tr w:rsidR="000D339D" w:rsidRPr="00011752" w14:paraId="5A51B5E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3B0B3B16" w14:textId="77777777" w:rsidR="000D339D" w:rsidRPr="00011752" w:rsidRDefault="000D339D" w:rsidP="000D339D">
            <w:pPr>
              <w:pStyle w:val="TableHeading"/>
              <w:spacing w:before="0" w:after="0"/>
            </w:pPr>
            <w:r>
              <w:t>Water year</w:t>
            </w:r>
            <w:r w:rsidRPr="00011752">
              <w:t xml:space="preserve"> [</w:t>
            </w:r>
            <w:r>
              <w:t>2019</w:t>
            </w:r>
            <w:r w:rsidRPr="00011752">
              <w:t>]</w:t>
            </w:r>
          </w:p>
        </w:tc>
        <w:tc>
          <w:tcPr>
            <w:tcW w:w="0" w:type="auto"/>
          </w:tcPr>
          <w:p w14:paraId="38E68CBD"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6A390D">
              <w:t>-0.</w:t>
            </w:r>
            <w:r>
              <w:t>13</w:t>
            </w:r>
          </w:p>
        </w:tc>
        <w:tc>
          <w:tcPr>
            <w:tcW w:w="0" w:type="auto"/>
          </w:tcPr>
          <w:p w14:paraId="7FB20F04"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6A390D">
              <w:t>0.</w:t>
            </w:r>
            <w:r>
              <w:t>35</w:t>
            </w:r>
          </w:p>
        </w:tc>
        <w:tc>
          <w:tcPr>
            <w:tcW w:w="0" w:type="auto"/>
          </w:tcPr>
          <w:p w14:paraId="6CF6FCEB"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6A390D">
              <w:t>0.</w:t>
            </w:r>
            <w:r>
              <w:t>718</w:t>
            </w:r>
          </w:p>
        </w:tc>
      </w:tr>
      <w:tr w:rsidR="000D339D" w:rsidRPr="00011752" w14:paraId="558549F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0BBD87B1" w14:textId="77777777" w:rsidR="000D339D" w:rsidRDefault="000D339D" w:rsidP="000D339D">
            <w:pPr>
              <w:pStyle w:val="TableHeading"/>
              <w:spacing w:before="0" w:after="0"/>
            </w:pPr>
            <w:r>
              <w:t>Water year [2020]</w:t>
            </w:r>
          </w:p>
        </w:tc>
        <w:tc>
          <w:tcPr>
            <w:tcW w:w="0" w:type="auto"/>
          </w:tcPr>
          <w:p w14:paraId="010B3A11"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-0.66</w:t>
            </w:r>
          </w:p>
        </w:tc>
        <w:tc>
          <w:tcPr>
            <w:tcW w:w="0" w:type="auto"/>
          </w:tcPr>
          <w:p w14:paraId="26BF4A76"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0.31</w:t>
            </w:r>
          </w:p>
        </w:tc>
        <w:tc>
          <w:tcPr>
            <w:tcW w:w="0" w:type="auto"/>
          </w:tcPr>
          <w:p w14:paraId="139851C2"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0.034</w:t>
            </w:r>
          </w:p>
        </w:tc>
      </w:tr>
      <w:tr w:rsidR="000D339D" w:rsidRPr="00011752" w14:paraId="261E868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574748B" w14:textId="77777777" w:rsidR="000D339D" w:rsidRDefault="000D339D" w:rsidP="000D339D">
            <w:pPr>
              <w:pStyle w:val="TableHeading"/>
              <w:spacing w:before="0" w:after="0"/>
            </w:pPr>
            <w:r>
              <w:t>Length of lotic</w:t>
            </w:r>
          </w:p>
        </w:tc>
        <w:tc>
          <w:tcPr>
            <w:tcW w:w="0" w:type="auto"/>
          </w:tcPr>
          <w:p w14:paraId="0FA7E3CC"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-0.04</w:t>
            </w:r>
          </w:p>
        </w:tc>
        <w:tc>
          <w:tcPr>
            <w:tcW w:w="0" w:type="auto"/>
          </w:tcPr>
          <w:p w14:paraId="36DAC0C8"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0.19</w:t>
            </w:r>
          </w:p>
        </w:tc>
        <w:tc>
          <w:tcPr>
            <w:tcW w:w="0" w:type="auto"/>
          </w:tcPr>
          <w:p w14:paraId="012290ED"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0.811</w:t>
            </w:r>
          </w:p>
        </w:tc>
      </w:tr>
      <w:tr w:rsidR="000D339D" w:rsidRPr="00011752" w14:paraId="762D795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C1BA5E2" w14:textId="77777777" w:rsidR="000D339D" w:rsidRDefault="000D339D" w:rsidP="000D339D">
            <w:pPr>
              <w:pStyle w:val="TableHeading"/>
              <w:spacing w:before="0" w:after="0"/>
            </w:pPr>
            <w:r>
              <w:t>Temperature</w:t>
            </w:r>
          </w:p>
        </w:tc>
        <w:tc>
          <w:tcPr>
            <w:tcW w:w="0" w:type="auto"/>
          </w:tcPr>
          <w:p w14:paraId="4BB7C753"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B833FB">
              <w:t>0.</w:t>
            </w:r>
            <w:r>
              <w:t>53</w:t>
            </w:r>
          </w:p>
        </w:tc>
        <w:tc>
          <w:tcPr>
            <w:tcW w:w="0" w:type="auto"/>
          </w:tcPr>
          <w:p w14:paraId="646692E4"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B833FB">
              <w:t>0.1</w:t>
            </w:r>
            <w:r>
              <w:t>5</w:t>
            </w:r>
          </w:p>
        </w:tc>
        <w:tc>
          <w:tcPr>
            <w:tcW w:w="0" w:type="auto"/>
          </w:tcPr>
          <w:p w14:paraId="4E1E2991" w14:textId="77777777" w:rsidR="000D339D" w:rsidRPr="006A390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 xml:space="preserve">&lt; </w:t>
            </w:r>
            <w:r w:rsidRPr="00B833FB">
              <w:t>0.0</w:t>
            </w:r>
            <w:r>
              <w:t>0</w:t>
            </w:r>
            <w:r w:rsidRPr="00B833FB">
              <w:t>1</w:t>
            </w:r>
          </w:p>
        </w:tc>
      </w:tr>
      <w:tr w:rsidR="000D339D" w:rsidRPr="00011752" w14:paraId="359DDE7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4995CEE2" w14:textId="77777777" w:rsidR="000D339D" w:rsidRDefault="000D339D" w:rsidP="000D339D">
            <w:pPr>
              <w:pStyle w:val="TableHeading"/>
              <w:spacing w:before="0" w:after="0"/>
            </w:pPr>
            <w:r>
              <w:t>Electrical conductivity (EC)</w:t>
            </w:r>
          </w:p>
        </w:tc>
        <w:tc>
          <w:tcPr>
            <w:tcW w:w="0" w:type="auto"/>
          </w:tcPr>
          <w:p w14:paraId="132E95BC" w14:textId="77777777" w:rsidR="000D339D" w:rsidRPr="00B833FB"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7E1910">
              <w:t>0.0</w:t>
            </w:r>
            <w:r>
              <w:t>6</w:t>
            </w:r>
          </w:p>
        </w:tc>
        <w:tc>
          <w:tcPr>
            <w:tcW w:w="0" w:type="auto"/>
          </w:tcPr>
          <w:p w14:paraId="7D331AC5" w14:textId="77777777" w:rsidR="000D339D" w:rsidRPr="00B833FB"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7E1910">
              <w:t>0.02</w:t>
            </w:r>
          </w:p>
        </w:tc>
        <w:tc>
          <w:tcPr>
            <w:tcW w:w="0" w:type="auto"/>
          </w:tcPr>
          <w:p w14:paraId="2C96F0BA" w14:textId="77777777" w:rsidR="000D339D" w:rsidRPr="00B833FB"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 xml:space="preserve">&lt; </w:t>
            </w:r>
            <w:r w:rsidRPr="007E1910">
              <w:t>0.0</w:t>
            </w:r>
            <w:r>
              <w:t>01</w:t>
            </w:r>
          </w:p>
        </w:tc>
      </w:tr>
      <w:tr w:rsidR="000D339D" w:rsidRPr="00011752" w14:paraId="7C01FED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046C85B4" w14:textId="77777777" w:rsidR="000D339D" w:rsidRPr="00011752" w:rsidRDefault="000D339D" w:rsidP="000D339D">
            <w:pPr>
              <w:pStyle w:val="TableHeading"/>
              <w:spacing w:before="0" w:after="0"/>
            </w:pPr>
            <w:r>
              <w:t>10-day flow trend (dQ10)</w:t>
            </w:r>
          </w:p>
        </w:tc>
        <w:tc>
          <w:tcPr>
            <w:tcW w:w="0" w:type="auto"/>
          </w:tcPr>
          <w:p w14:paraId="5251F147"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-4.43</w:t>
            </w:r>
          </w:p>
        </w:tc>
        <w:tc>
          <w:tcPr>
            <w:tcW w:w="0" w:type="auto"/>
          </w:tcPr>
          <w:p w14:paraId="2CA2150C"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1.89</w:t>
            </w:r>
          </w:p>
        </w:tc>
        <w:tc>
          <w:tcPr>
            <w:tcW w:w="0" w:type="auto"/>
          </w:tcPr>
          <w:p w14:paraId="610E488C"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A50A9">
              <w:t>0.01</w:t>
            </w:r>
            <w:r>
              <w:t>9</w:t>
            </w:r>
          </w:p>
        </w:tc>
      </w:tr>
      <w:tr w:rsidR="000D339D" w:rsidRPr="00011752" w14:paraId="7A98A91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39B8CF2" w14:textId="77777777" w:rsidR="000D339D" w:rsidRPr="00011752" w:rsidRDefault="000D339D" w:rsidP="000D339D">
            <w:pPr>
              <w:pStyle w:val="TableHeading"/>
              <w:spacing w:before="0" w:after="0"/>
            </w:pPr>
            <w:r w:rsidRPr="00EF6941">
              <w:t>FPA60</w:t>
            </w:r>
          </w:p>
        </w:tc>
        <w:tc>
          <w:tcPr>
            <w:tcW w:w="0" w:type="auto"/>
          </w:tcPr>
          <w:p w14:paraId="317B1B52"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-7.1e-04</w:t>
            </w:r>
          </w:p>
        </w:tc>
        <w:tc>
          <w:tcPr>
            <w:tcW w:w="0" w:type="auto"/>
          </w:tcPr>
          <w:p w14:paraId="5AD3F8EC"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4.6e-04</w:t>
            </w:r>
          </w:p>
        </w:tc>
        <w:tc>
          <w:tcPr>
            <w:tcW w:w="0" w:type="auto"/>
          </w:tcPr>
          <w:p w14:paraId="1101514D"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EF6941">
              <w:t>0.</w:t>
            </w:r>
            <w:r>
              <w:t>122</w:t>
            </w:r>
          </w:p>
        </w:tc>
      </w:tr>
      <w:tr w:rsidR="000D339D" w:rsidRPr="003D0C24" w14:paraId="6FDD40E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4D9C11C7" w14:textId="77777777" w:rsidR="000D339D" w:rsidRPr="00011752" w:rsidRDefault="000D339D" w:rsidP="000D339D">
            <w:pPr>
              <w:pStyle w:val="TableHeading"/>
              <w:spacing w:before="0" w:after="0"/>
            </w:pPr>
            <w:r>
              <w:t>T</w:t>
            </w:r>
            <w:r w:rsidRPr="00F65A30">
              <w:t>emp</w:t>
            </w:r>
            <w:r>
              <w:t>erature:EC</w:t>
            </w:r>
          </w:p>
        </w:tc>
        <w:tc>
          <w:tcPr>
            <w:tcW w:w="0" w:type="auto"/>
          </w:tcPr>
          <w:p w14:paraId="7762D622"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-2.3</w:t>
            </w:r>
            <w:r w:rsidRPr="00C74FFF">
              <w:t>e-0</w:t>
            </w:r>
            <w:r>
              <w:t>3</w:t>
            </w:r>
          </w:p>
        </w:tc>
        <w:tc>
          <w:tcPr>
            <w:tcW w:w="0" w:type="auto"/>
          </w:tcPr>
          <w:p w14:paraId="25BDC433"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7</w:t>
            </w:r>
            <w:r w:rsidRPr="00C74FFF">
              <w:t>.</w:t>
            </w:r>
            <w:r>
              <w:t>6</w:t>
            </w:r>
            <w:r w:rsidRPr="00C74FFF">
              <w:t>e-04</w:t>
            </w:r>
          </w:p>
        </w:tc>
        <w:tc>
          <w:tcPr>
            <w:tcW w:w="0" w:type="auto"/>
          </w:tcPr>
          <w:p w14:paraId="7C1C9717"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EF6941">
              <w:t>0.0</w:t>
            </w:r>
            <w:r>
              <w:t>02</w:t>
            </w:r>
          </w:p>
        </w:tc>
      </w:tr>
      <w:tr w:rsidR="000D339D" w:rsidRPr="003D0C24" w14:paraId="3D6F9A25"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160F6EA1" w14:textId="77777777" w:rsidR="000D339D" w:rsidRDefault="000D339D" w:rsidP="000D339D">
            <w:pPr>
              <w:pStyle w:val="TableHeading"/>
              <w:spacing w:before="0" w:after="0"/>
            </w:pPr>
            <w:r>
              <w:t>Temperature:dQ10</w:t>
            </w:r>
          </w:p>
        </w:tc>
        <w:tc>
          <w:tcPr>
            <w:tcW w:w="0" w:type="auto"/>
          </w:tcPr>
          <w:p w14:paraId="6913DD71" w14:textId="77777777" w:rsid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0.22</w:t>
            </w:r>
          </w:p>
        </w:tc>
        <w:tc>
          <w:tcPr>
            <w:tcW w:w="0" w:type="auto"/>
          </w:tcPr>
          <w:p w14:paraId="3A2338C7" w14:textId="77777777" w:rsid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0.07</w:t>
            </w:r>
          </w:p>
        </w:tc>
        <w:tc>
          <w:tcPr>
            <w:tcW w:w="0" w:type="auto"/>
          </w:tcPr>
          <w:p w14:paraId="74460661" w14:textId="77777777" w:rsidR="000D339D" w:rsidRPr="00EF6941"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0.002</w:t>
            </w:r>
          </w:p>
        </w:tc>
      </w:tr>
      <w:tr w:rsidR="000D339D" w:rsidRPr="003D0C24" w14:paraId="70AA67F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D794E49" w14:textId="77777777" w:rsidR="000D339D" w:rsidRDefault="000D339D" w:rsidP="000D339D">
            <w:pPr>
              <w:pStyle w:val="TableHeading"/>
              <w:spacing w:before="0" w:after="0"/>
            </w:pPr>
            <w:r>
              <w:t>Temperature:FPA60</w:t>
            </w:r>
          </w:p>
        </w:tc>
        <w:tc>
          <w:tcPr>
            <w:tcW w:w="0" w:type="auto"/>
          </w:tcPr>
          <w:p w14:paraId="31BD4659" w14:textId="77777777" w:rsid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2.3e-05</w:t>
            </w:r>
          </w:p>
        </w:tc>
        <w:tc>
          <w:tcPr>
            <w:tcW w:w="0" w:type="auto"/>
          </w:tcPr>
          <w:p w14:paraId="454099AD" w14:textId="77777777" w:rsid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1.5-e05</w:t>
            </w:r>
          </w:p>
        </w:tc>
        <w:tc>
          <w:tcPr>
            <w:tcW w:w="0" w:type="auto"/>
          </w:tcPr>
          <w:p w14:paraId="5A54576A" w14:textId="77777777" w:rsidR="000D339D" w:rsidRPr="00EF6941"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0.129</w:t>
            </w:r>
          </w:p>
        </w:tc>
      </w:tr>
      <w:tr w:rsidR="000D339D" w:rsidRPr="003D0C24" w14:paraId="036033A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5463E64B" w14:textId="77777777" w:rsidR="000D339D" w:rsidRPr="00011752" w:rsidRDefault="000D339D" w:rsidP="000D339D">
            <w:pPr>
              <w:pStyle w:val="TableHeading"/>
              <w:spacing w:before="0" w:after="0"/>
            </w:pPr>
            <w:r>
              <w:t>EC:dQ10</w:t>
            </w:r>
          </w:p>
        </w:tc>
        <w:tc>
          <w:tcPr>
            <w:tcW w:w="0" w:type="auto"/>
          </w:tcPr>
          <w:p w14:paraId="1786AA7C"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2.3</w:t>
            </w:r>
            <w:r w:rsidRPr="00161841">
              <w:t>e-03</w:t>
            </w:r>
          </w:p>
        </w:tc>
        <w:tc>
          <w:tcPr>
            <w:tcW w:w="0" w:type="auto"/>
          </w:tcPr>
          <w:p w14:paraId="2447055B"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4.1</w:t>
            </w:r>
            <w:r w:rsidRPr="00161841">
              <w:t>e-0</w:t>
            </w:r>
            <w:r>
              <w:t>3</w:t>
            </w:r>
          </w:p>
        </w:tc>
        <w:tc>
          <w:tcPr>
            <w:tcW w:w="0" w:type="auto"/>
          </w:tcPr>
          <w:p w14:paraId="53A53146"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65A30">
              <w:t>0.</w:t>
            </w:r>
            <w:r>
              <w:t>570</w:t>
            </w:r>
          </w:p>
        </w:tc>
      </w:tr>
      <w:tr w:rsidR="000D339D" w:rsidRPr="00011752" w14:paraId="3DC9C8B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DBDBDB" w:themeColor="accent3" w:themeTint="66"/>
            </w:tcBorders>
          </w:tcPr>
          <w:p w14:paraId="1CA9823B" w14:textId="77777777" w:rsidR="000D339D" w:rsidRPr="00011752" w:rsidRDefault="000D339D" w:rsidP="000D339D">
            <w:pPr>
              <w:pStyle w:val="TableHeading"/>
              <w:spacing w:before="0" w:after="0"/>
            </w:pPr>
            <w:r>
              <w:t>EC:FPA60</w:t>
            </w:r>
          </w:p>
        </w:tc>
        <w:tc>
          <w:tcPr>
            <w:tcW w:w="0" w:type="auto"/>
            <w:tcBorders>
              <w:bottom w:val="single" w:sz="4" w:space="0" w:color="DBDBDB" w:themeColor="accent3" w:themeTint="66"/>
            </w:tcBorders>
          </w:tcPr>
          <w:p w14:paraId="2DF5C3A3"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65A30">
              <w:t>-</w:t>
            </w:r>
            <w:r>
              <w:t>2</w:t>
            </w:r>
            <w:r w:rsidRPr="00F65A30">
              <w:t>.</w:t>
            </w:r>
            <w:r>
              <w:t>1e-</w:t>
            </w:r>
            <w:r w:rsidRPr="00F65A30">
              <w:t>0</w:t>
            </w:r>
            <w:r>
              <w:t>6</w:t>
            </w:r>
          </w:p>
        </w:tc>
        <w:tc>
          <w:tcPr>
            <w:tcW w:w="0" w:type="auto"/>
            <w:tcBorders>
              <w:bottom w:val="single" w:sz="4" w:space="0" w:color="DBDBDB" w:themeColor="accent3" w:themeTint="66"/>
            </w:tcBorders>
          </w:tcPr>
          <w:p w14:paraId="485F1284"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w:t>
            </w:r>
            <w:r w:rsidRPr="00F65A30">
              <w:t>.</w:t>
            </w:r>
            <w:r>
              <w:t>4e-</w:t>
            </w:r>
            <w:r w:rsidRPr="00F65A30">
              <w:t>0</w:t>
            </w:r>
            <w:r>
              <w:t>6</w:t>
            </w:r>
          </w:p>
        </w:tc>
        <w:tc>
          <w:tcPr>
            <w:tcW w:w="0" w:type="auto"/>
            <w:tcBorders>
              <w:bottom w:val="single" w:sz="4" w:space="0" w:color="DBDBDB" w:themeColor="accent3" w:themeTint="66"/>
            </w:tcBorders>
          </w:tcPr>
          <w:p w14:paraId="025624AE" w14:textId="77777777" w:rsidR="000D339D" w:rsidRPr="00011752"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rsidRPr="00F65A30">
              <w:t>0.1</w:t>
            </w:r>
            <w:r>
              <w:t>38</w:t>
            </w:r>
          </w:p>
        </w:tc>
      </w:tr>
      <w:tr w:rsidR="000D339D" w:rsidRPr="00011752" w14:paraId="37D35AC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tcPr>
          <w:p w14:paraId="012582A7" w14:textId="77777777" w:rsidR="000D339D" w:rsidRDefault="000D339D" w:rsidP="000D339D">
            <w:pPr>
              <w:pStyle w:val="TableHeading"/>
              <w:spacing w:before="0" w:after="0"/>
            </w:pPr>
            <w:r>
              <w:t>dQ10:FPA60</w:t>
            </w:r>
          </w:p>
        </w:tc>
        <w:tc>
          <w:tcPr>
            <w:tcW w:w="0" w:type="auto"/>
            <w:tcBorders>
              <w:bottom w:val="single" w:sz="4" w:space="0" w:color="auto"/>
            </w:tcBorders>
          </w:tcPr>
          <w:p w14:paraId="1712024F" w14:textId="77777777" w:rsidR="000D339D" w:rsidRPr="00F65A30"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-2.1e-04</w:t>
            </w:r>
          </w:p>
        </w:tc>
        <w:tc>
          <w:tcPr>
            <w:tcW w:w="0" w:type="auto"/>
            <w:tcBorders>
              <w:bottom w:val="single" w:sz="4" w:space="0" w:color="auto"/>
            </w:tcBorders>
          </w:tcPr>
          <w:p w14:paraId="28EF48AC" w14:textId="77777777" w:rsid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1.6e-04</w:t>
            </w:r>
          </w:p>
        </w:tc>
        <w:tc>
          <w:tcPr>
            <w:tcW w:w="0" w:type="auto"/>
            <w:tcBorders>
              <w:bottom w:val="single" w:sz="4" w:space="0" w:color="auto"/>
            </w:tcBorders>
          </w:tcPr>
          <w:p w14:paraId="7EC3C7C2" w14:textId="77777777" w:rsidR="000D339D" w:rsidRPr="00F65A30"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pPr>
            <w:r>
              <w:t>0.183</w:t>
            </w:r>
          </w:p>
        </w:tc>
      </w:tr>
    </w:tbl>
    <w:p w14:paraId="6C31F381" w14:textId="77777777" w:rsidR="000D339D" w:rsidRDefault="000D339D" w:rsidP="000D339D"/>
    <w:p w14:paraId="53578F07" w14:textId="77777777" w:rsidR="000D339D" w:rsidRDefault="000D339D" w:rsidP="000D339D"/>
    <w:p w14:paraId="6116E06C" w14:textId="77777777" w:rsidR="000D339D" w:rsidRDefault="000D339D" w:rsidP="000D339D">
      <w:pPr>
        <w:spacing w:before="0" w:after="160" w:line="259" w:lineRule="auto"/>
        <w:jc w:val="left"/>
        <w:rPr>
          <w:b/>
          <w:bCs/>
          <w:color w:val="auto"/>
          <w:sz w:val="20"/>
          <w:szCs w:val="18"/>
        </w:rPr>
      </w:pPr>
      <w:r>
        <w:br w:type="page"/>
      </w:r>
    </w:p>
    <w:p w14:paraId="45AC8A1E" w14:textId="3361A50F" w:rsidR="000D339D" w:rsidRDefault="000D339D" w:rsidP="000D339D">
      <w:pPr>
        <w:pStyle w:val="Caption"/>
      </w:pPr>
      <w:r>
        <w:t>Table D</w:t>
      </w:r>
      <w:r w:rsidR="00DD27F8">
        <w:t>10</w:t>
      </w:r>
      <w:r>
        <w:t>. Results of negative binomial</w:t>
      </w:r>
      <w:r w:rsidRPr="00D37DD2">
        <w:t xml:space="preserve"> generalised linear model for </w:t>
      </w:r>
      <w:r w:rsidR="008E2C88">
        <w:t xml:space="preserve">microinvertebrate </w:t>
      </w:r>
      <w:r w:rsidRPr="00D37DD2">
        <w:t xml:space="preserve">abundance (individuals per litre) of taxa dependent upon </w:t>
      </w:r>
      <w:r>
        <w:t>longitudinal</w:t>
      </w:r>
      <w:r w:rsidRPr="00D37DD2">
        <w:t xml:space="preserve"> connectivity showing selected predictors, estimated coefficients (Estimate), standard errors in estimation (std.Error) and Type I Error probability (p-value). Flow data were log transformed prior to modelling. FPA60 quantifies the area of floodplain inundated over the last 60 days (see Methods for full description of predictor calculation). Negative binomial distribution dispersion parameter (theta) = 2.41, standard error = 0.26.</w:t>
      </w:r>
    </w:p>
    <w:tbl>
      <w:tblPr>
        <w:tblStyle w:val="GridTable1Light-Accent3"/>
        <w:tblW w:w="7217" w:type="dxa"/>
        <w:jc w:val="center"/>
        <w:tblLook w:val="04A0" w:firstRow="1" w:lastRow="0" w:firstColumn="1" w:lastColumn="0" w:noHBand="0" w:noVBand="1"/>
      </w:tblPr>
      <w:tblGrid>
        <w:gridCol w:w="2916"/>
        <w:gridCol w:w="1433"/>
        <w:gridCol w:w="1434"/>
        <w:gridCol w:w="1434"/>
      </w:tblGrid>
      <w:tr w:rsidR="000D339D" w:rsidRPr="000D339D" w14:paraId="71367155" w14:textId="77777777" w:rsidTr="000D339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bottom w:val="single" w:sz="4" w:space="0" w:color="auto"/>
            </w:tcBorders>
          </w:tcPr>
          <w:p w14:paraId="073B768C" w14:textId="77777777" w:rsidR="000D339D" w:rsidRPr="000D339D" w:rsidRDefault="000D339D" w:rsidP="000D339D">
            <w:pPr>
              <w:pStyle w:val="TableHeading"/>
              <w:spacing w:before="0" w:after="0"/>
              <w:rPr>
                <w:b/>
                <w:bCs w:val="0"/>
                <w:szCs w:val="20"/>
              </w:rPr>
            </w:pPr>
            <w:r w:rsidRPr="000D339D">
              <w:rPr>
                <w:b/>
                <w:bCs w:val="0"/>
                <w:szCs w:val="20"/>
              </w:rPr>
              <w:t>Predictor</w:t>
            </w:r>
          </w:p>
        </w:tc>
        <w:tc>
          <w:tcPr>
            <w:tcW w:w="1433" w:type="dxa"/>
            <w:tcBorders>
              <w:top w:val="single" w:sz="4" w:space="0" w:color="auto"/>
              <w:bottom w:val="single" w:sz="4" w:space="0" w:color="auto"/>
            </w:tcBorders>
          </w:tcPr>
          <w:p w14:paraId="0F3F7D94"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Estimate</w:t>
            </w:r>
          </w:p>
        </w:tc>
        <w:tc>
          <w:tcPr>
            <w:tcW w:w="1434" w:type="dxa"/>
            <w:tcBorders>
              <w:top w:val="single" w:sz="4" w:space="0" w:color="auto"/>
              <w:bottom w:val="single" w:sz="4" w:space="0" w:color="auto"/>
            </w:tcBorders>
          </w:tcPr>
          <w:p w14:paraId="11C14A65"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Std. Error</w:t>
            </w:r>
          </w:p>
        </w:tc>
        <w:tc>
          <w:tcPr>
            <w:tcW w:w="1434" w:type="dxa"/>
            <w:tcBorders>
              <w:top w:val="single" w:sz="4" w:space="0" w:color="auto"/>
              <w:bottom w:val="single" w:sz="4" w:space="0" w:color="auto"/>
            </w:tcBorders>
          </w:tcPr>
          <w:p w14:paraId="3F4FBDF0"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i/>
                <w:iCs/>
                <w:szCs w:val="20"/>
              </w:rPr>
              <w:t>p</w:t>
            </w:r>
            <w:r w:rsidRPr="000D339D">
              <w:rPr>
                <w:b/>
                <w:bCs w:val="0"/>
                <w:szCs w:val="20"/>
              </w:rPr>
              <w:t>-value</w:t>
            </w:r>
          </w:p>
        </w:tc>
      </w:tr>
      <w:tr w:rsidR="000D339D" w:rsidRPr="000D339D" w14:paraId="1E6C60B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tcBorders>
          </w:tcPr>
          <w:p w14:paraId="50A6BF37" w14:textId="77777777" w:rsidR="000D339D" w:rsidRPr="000D339D" w:rsidRDefault="000D339D" w:rsidP="000D339D">
            <w:pPr>
              <w:pStyle w:val="TableHeading"/>
              <w:spacing w:before="0" w:after="0"/>
              <w:rPr>
                <w:szCs w:val="20"/>
              </w:rPr>
            </w:pPr>
            <w:r w:rsidRPr="000D339D">
              <w:rPr>
                <w:szCs w:val="20"/>
              </w:rPr>
              <w:t>(Intercept)</w:t>
            </w:r>
          </w:p>
        </w:tc>
        <w:tc>
          <w:tcPr>
            <w:tcW w:w="1433" w:type="dxa"/>
            <w:tcBorders>
              <w:top w:val="single" w:sz="4" w:space="0" w:color="auto"/>
            </w:tcBorders>
          </w:tcPr>
          <w:p w14:paraId="28028C3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1.38</w:t>
            </w:r>
          </w:p>
        </w:tc>
        <w:tc>
          <w:tcPr>
            <w:tcW w:w="1434" w:type="dxa"/>
            <w:tcBorders>
              <w:top w:val="single" w:sz="4" w:space="0" w:color="auto"/>
            </w:tcBorders>
          </w:tcPr>
          <w:p w14:paraId="04C97DF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2.98</w:t>
            </w:r>
          </w:p>
        </w:tc>
        <w:tc>
          <w:tcPr>
            <w:tcW w:w="1434" w:type="dxa"/>
            <w:tcBorders>
              <w:top w:val="single" w:sz="4" w:space="0" w:color="auto"/>
            </w:tcBorders>
          </w:tcPr>
          <w:p w14:paraId="40F1FC6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0.642</w:t>
            </w:r>
          </w:p>
        </w:tc>
      </w:tr>
      <w:tr w:rsidR="000D339D" w:rsidRPr="000D339D" w14:paraId="646D739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EC83FC0" w14:textId="77777777" w:rsidR="000D339D" w:rsidRPr="000D339D" w:rsidRDefault="000D339D" w:rsidP="000D339D">
            <w:pPr>
              <w:pStyle w:val="TableHeading"/>
              <w:spacing w:before="0" w:after="0"/>
              <w:rPr>
                <w:szCs w:val="20"/>
              </w:rPr>
            </w:pPr>
            <w:r w:rsidRPr="000D339D">
              <w:rPr>
                <w:szCs w:val="20"/>
              </w:rPr>
              <w:t>Month [Oct]</w:t>
            </w:r>
          </w:p>
        </w:tc>
        <w:tc>
          <w:tcPr>
            <w:tcW w:w="1433" w:type="dxa"/>
          </w:tcPr>
          <w:p w14:paraId="234283B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0.96</w:t>
            </w:r>
          </w:p>
        </w:tc>
        <w:tc>
          <w:tcPr>
            <w:tcW w:w="1434" w:type="dxa"/>
          </w:tcPr>
          <w:p w14:paraId="49C3CA9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0.34</w:t>
            </w:r>
          </w:p>
        </w:tc>
        <w:tc>
          <w:tcPr>
            <w:tcW w:w="1434" w:type="dxa"/>
          </w:tcPr>
          <w:p w14:paraId="773FC4C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0.004</w:t>
            </w:r>
          </w:p>
        </w:tc>
      </w:tr>
      <w:tr w:rsidR="000D339D" w:rsidRPr="000D339D" w14:paraId="5C9F9BB9"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5F84B96" w14:textId="77777777" w:rsidR="000D339D" w:rsidRPr="000D339D" w:rsidRDefault="000D339D" w:rsidP="000D339D">
            <w:pPr>
              <w:pStyle w:val="TableHeading"/>
              <w:spacing w:before="0" w:after="0"/>
              <w:rPr>
                <w:szCs w:val="20"/>
              </w:rPr>
            </w:pPr>
            <w:r w:rsidRPr="000D339D">
              <w:rPr>
                <w:szCs w:val="20"/>
              </w:rPr>
              <w:t>Month [Nov]</w:t>
            </w:r>
          </w:p>
        </w:tc>
        <w:tc>
          <w:tcPr>
            <w:tcW w:w="1433" w:type="dxa"/>
          </w:tcPr>
          <w:p w14:paraId="31788A4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1.52</w:t>
            </w:r>
          </w:p>
        </w:tc>
        <w:tc>
          <w:tcPr>
            <w:tcW w:w="1434" w:type="dxa"/>
          </w:tcPr>
          <w:p w14:paraId="785D253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0.41</w:t>
            </w:r>
          </w:p>
        </w:tc>
        <w:tc>
          <w:tcPr>
            <w:tcW w:w="1434" w:type="dxa"/>
          </w:tcPr>
          <w:p w14:paraId="2868EED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519F13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7225FE71" w14:textId="77777777" w:rsidR="000D339D" w:rsidRPr="000D339D" w:rsidRDefault="000D339D" w:rsidP="000D339D">
            <w:pPr>
              <w:pStyle w:val="TableHeading"/>
              <w:spacing w:before="0" w:after="0"/>
              <w:rPr>
                <w:szCs w:val="20"/>
              </w:rPr>
            </w:pPr>
            <w:r w:rsidRPr="000D339D">
              <w:rPr>
                <w:szCs w:val="20"/>
              </w:rPr>
              <w:t>Month [Dec]</w:t>
            </w:r>
          </w:p>
        </w:tc>
        <w:tc>
          <w:tcPr>
            <w:tcW w:w="1433" w:type="dxa"/>
          </w:tcPr>
          <w:p w14:paraId="369F270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1.34</w:t>
            </w:r>
          </w:p>
        </w:tc>
        <w:tc>
          <w:tcPr>
            <w:tcW w:w="1434" w:type="dxa"/>
          </w:tcPr>
          <w:p w14:paraId="12A8A8E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0.45</w:t>
            </w:r>
          </w:p>
        </w:tc>
        <w:tc>
          <w:tcPr>
            <w:tcW w:w="1434" w:type="dxa"/>
          </w:tcPr>
          <w:p w14:paraId="6B65A28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0.003</w:t>
            </w:r>
          </w:p>
        </w:tc>
      </w:tr>
      <w:tr w:rsidR="000D339D" w:rsidRPr="000D339D" w14:paraId="3C71110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F4867EF" w14:textId="77777777" w:rsidR="000D339D" w:rsidRPr="000D339D" w:rsidRDefault="000D339D" w:rsidP="000D339D">
            <w:pPr>
              <w:pStyle w:val="TableHeading"/>
              <w:spacing w:before="0" w:after="0"/>
              <w:rPr>
                <w:szCs w:val="20"/>
              </w:rPr>
            </w:pPr>
            <w:r w:rsidRPr="000D339D">
              <w:rPr>
                <w:szCs w:val="20"/>
              </w:rPr>
              <w:t>Month [Jan]</w:t>
            </w:r>
          </w:p>
        </w:tc>
        <w:tc>
          <w:tcPr>
            <w:tcW w:w="1433" w:type="dxa"/>
          </w:tcPr>
          <w:p w14:paraId="57C80D3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1.98</w:t>
            </w:r>
          </w:p>
        </w:tc>
        <w:tc>
          <w:tcPr>
            <w:tcW w:w="1434" w:type="dxa"/>
          </w:tcPr>
          <w:p w14:paraId="30AF1B0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0.51</w:t>
            </w:r>
          </w:p>
        </w:tc>
        <w:tc>
          <w:tcPr>
            <w:tcW w:w="1434" w:type="dxa"/>
          </w:tcPr>
          <w:p w14:paraId="48AD53B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5240652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8A653CA" w14:textId="77777777" w:rsidR="000D339D" w:rsidRPr="000D339D" w:rsidRDefault="000D339D" w:rsidP="000D339D">
            <w:pPr>
              <w:pStyle w:val="TableHeading"/>
              <w:spacing w:before="0" w:after="0"/>
              <w:rPr>
                <w:szCs w:val="20"/>
              </w:rPr>
            </w:pPr>
            <w:r w:rsidRPr="000D339D">
              <w:rPr>
                <w:szCs w:val="20"/>
              </w:rPr>
              <w:t>Mean daily flow (ML/d)</w:t>
            </w:r>
          </w:p>
        </w:tc>
        <w:tc>
          <w:tcPr>
            <w:tcW w:w="1433" w:type="dxa"/>
          </w:tcPr>
          <w:p w14:paraId="7FE952F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1.32</w:t>
            </w:r>
          </w:p>
        </w:tc>
        <w:tc>
          <w:tcPr>
            <w:tcW w:w="1434" w:type="dxa"/>
          </w:tcPr>
          <w:p w14:paraId="3520746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0.22</w:t>
            </w:r>
          </w:p>
        </w:tc>
        <w:tc>
          <w:tcPr>
            <w:tcW w:w="1434" w:type="dxa"/>
          </w:tcPr>
          <w:p w14:paraId="391E160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1819FE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B7696F7" w14:textId="77777777" w:rsidR="000D339D" w:rsidRPr="000D339D" w:rsidRDefault="000D339D" w:rsidP="000D339D">
            <w:pPr>
              <w:pStyle w:val="TableHeading"/>
              <w:spacing w:before="0" w:after="0"/>
              <w:rPr>
                <w:szCs w:val="20"/>
              </w:rPr>
            </w:pPr>
            <w:r w:rsidRPr="000D339D">
              <w:rPr>
                <w:szCs w:val="20"/>
              </w:rPr>
              <w:t>Lock 1 7km</w:t>
            </w:r>
          </w:p>
        </w:tc>
        <w:tc>
          <w:tcPr>
            <w:tcW w:w="1433" w:type="dxa"/>
          </w:tcPr>
          <w:p w14:paraId="5F8A41D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-5.0e-03</w:t>
            </w:r>
          </w:p>
        </w:tc>
        <w:tc>
          <w:tcPr>
            <w:tcW w:w="1434" w:type="dxa"/>
          </w:tcPr>
          <w:p w14:paraId="560DCE1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0.16</w:t>
            </w:r>
          </w:p>
        </w:tc>
        <w:tc>
          <w:tcPr>
            <w:tcW w:w="1434" w:type="dxa"/>
          </w:tcPr>
          <w:p w14:paraId="6AA75C0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0.975</w:t>
            </w:r>
          </w:p>
        </w:tc>
      </w:tr>
      <w:tr w:rsidR="000D339D" w:rsidRPr="000D339D" w14:paraId="209BA6A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4E03F54" w14:textId="77777777" w:rsidR="000D339D" w:rsidRPr="000D339D" w:rsidRDefault="000D339D" w:rsidP="000D339D">
            <w:pPr>
              <w:pStyle w:val="TableHeading"/>
              <w:spacing w:before="0" w:after="0"/>
              <w:rPr>
                <w:szCs w:val="20"/>
              </w:rPr>
            </w:pPr>
            <w:r w:rsidRPr="000D339D">
              <w:rPr>
                <w:szCs w:val="20"/>
              </w:rPr>
              <w:t>Lock 1 9km</w:t>
            </w:r>
          </w:p>
        </w:tc>
        <w:tc>
          <w:tcPr>
            <w:tcW w:w="1433" w:type="dxa"/>
          </w:tcPr>
          <w:p w14:paraId="39EA4E4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0.13</w:t>
            </w:r>
          </w:p>
        </w:tc>
        <w:tc>
          <w:tcPr>
            <w:tcW w:w="1434" w:type="dxa"/>
          </w:tcPr>
          <w:p w14:paraId="6CC9248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0.16</w:t>
            </w:r>
          </w:p>
        </w:tc>
        <w:tc>
          <w:tcPr>
            <w:tcW w:w="1434" w:type="dxa"/>
          </w:tcPr>
          <w:p w14:paraId="7B8B0DC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0.409</w:t>
            </w:r>
          </w:p>
        </w:tc>
      </w:tr>
      <w:tr w:rsidR="000D339D" w:rsidRPr="000D339D" w14:paraId="66BB08A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E55A3D9" w14:textId="77777777" w:rsidR="000D339D" w:rsidRPr="000D339D" w:rsidRDefault="000D339D" w:rsidP="000D339D">
            <w:pPr>
              <w:pStyle w:val="TableHeading"/>
              <w:spacing w:before="0" w:after="0"/>
              <w:rPr>
                <w:szCs w:val="20"/>
              </w:rPr>
            </w:pPr>
            <w:r w:rsidRPr="000D339D">
              <w:rPr>
                <w:szCs w:val="20"/>
              </w:rPr>
              <w:t>Lock 4 5km</w:t>
            </w:r>
          </w:p>
        </w:tc>
        <w:tc>
          <w:tcPr>
            <w:tcW w:w="1433" w:type="dxa"/>
          </w:tcPr>
          <w:p w14:paraId="067B786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0.39</w:t>
            </w:r>
          </w:p>
        </w:tc>
        <w:tc>
          <w:tcPr>
            <w:tcW w:w="1434" w:type="dxa"/>
          </w:tcPr>
          <w:p w14:paraId="49C5CBB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0.22</w:t>
            </w:r>
          </w:p>
        </w:tc>
        <w:tc>
          <w:tcPr>
            <w:tcW w:w="1434" w:type="dxa"/>
          </w:tcPr>
          <w:p w14:paraId="442551A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0.081</w:t>
            </w:r>
          </w:p>
        </w:tc>
      </w:tr>
      <w:tr w:rsidR="000D339D" w:rsidRPr="000D339D" w14:paraId="6EFBCA6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048C2D8" w14:textId="77777777" w:rsidR="000D339D" w:rsidRPr="000D339D" w:rsidRDefault="000D339D" w:rsidP="000D339D">
            <w:pPr>
              <w:pStyle w:val="TableHeading"/>
              <w:spacing w:before="0" w:after="0"/>
              <w:rPr>
                <w:szCs w:val="20"/>
              </w:rPr>
            </w:pPr>
            <w:r w:rsidRPr="000D339D">
              <w:rPr>
                <w:szCs w:val="20"/>
              </w:rPr>
              <w:t>Lock 6 5km</w:t>
            </w:r>
          </w:p>
        </w:tc>
        <w:tc>
          <w:tcPr>
            <w:tcW w:w="1433" w:type="dxa"/>
          </w:tcPr>
          <w:p w14:paraId="7267A4D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1.49</w:t>
            </w:r>
          </w:p>
        </w:tc>
        <w:tc>
          <w:tcPr>
            <w:tcW w:w="1434" w:type="dxa"/>
          </w:tcPr>
          <w:p w14:paraId="0D2AE9A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0.42</w:t>
            </w:r>
          </w:p>
        </w:tc>
        <w:tc>
          <w:tcPr>
            <w:tcW w:w="1434" w:type="dxa"/>
          </w:tcPr>
          <w:p w14:paraId="42526BB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464FCD03"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C900F8E" w14:textId="77777777" w:rsidR="000D339D" w:rsidRPr="000D339D" w:rsidRDefault="000D339D" w:rsidP="000D339D">
            <w:pPr>
              <w:pStyle w:val="TableHeading"/>
              <w:spacing w:before="0" w:after="0"/>
              <w:rPr>
                <w:szCs w:val="20"/>
              </w:rPr>
            </w:pPr>
            <w:r w:rsidRPr="000D339D">
              <w:rPr>
                <w:szCs w:val="20"/>
              </w:rPr>
              <w:t>Lock 6 7km</w:t>
            </w:r>
          </w:p>
        </w:tc>
        <w:tc>
          <w:tcPr>
            <w:tcW w:w="1433" w:type="dxa"/>
          </w:tcPr>
          <w:p w14:paraId="4DB1A17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1.42</w:t>
            </w:r>
          </w:p>
        </w:tc>
        <w:tc>
          <w:tcPr>
            <w:tcW w:w="1434" w:type="dxa"/>
          </w:tcPr>
          <w:p w14:paraId="328C14C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0.43</w:t>
            </w:r>
          </w:p>
        </w:tc>
        <w:tc>
          <w:tcPr>
            <w:tcW w:w="1434" w:type="dxa"/>
          </w:tcPr>
          <w:p w14:paraId="4305886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7C0125A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7E78B8E3" w14:textId="77777777" w:rsidR="000D339D" w:rsidRPr="000D339D" w:rsidRDefault="000D339D" w:rsidP="000D339D">
            <w:pPr>
              <w:pStyle w:val="TableHeading"/>
              <w:spacing w:before="0" w:after="0"/>
              <w:rPr>
                <w:szCs w:val="20"/>
              </w:rPr>
            </w:pPr>
            <w:r w:rsidRPr="000D339D">
              <w:rPr>
                <w:szCs w:val="20"/>
              </w:rPr>
              <w:t>Lock 6 9km</w:t>
            </w:r>
          </w:p>
        </w:tc>
        <w:tc>
          <w:tcPr>
            <w:tcW w:w="1433" w:type="dxa"/>
          </w:tcPr>
          <w:p w14:paraId="7859E3A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1.35</w:t>
            </w:r>
          </w:p>
        </w:tc>
        <w:tc>
          <w:tcPr>
            <w:tcW w:w="1434" w:type="dxa"/>
          </w:tcPr>
          <w:p w14:paraId="2B7EB1C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0.43</w:t>
            </w:r>
          </w:p>
        </w:tc>
        <w:tc>
          <w:tcPr>
            <w:tcW w:w="1434" w:type="dxa"/>
          </w:tcPr>
          <w:p w14:paraId="3676860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0.002</w:t>
            </w:r>
          </w:p>
        </w:tc>
      </w:tr>
      <w:tr w:rsidR="000D339D" w:rsidRPr="000D339D" w14:paraId="35525F86"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30EEA82" w14:textId="77777777" w:rsidR="000D339D" w:rsidRPr="000D339D" w:rsidRDefault="000D339D" w:rsidP="000D339D">
            <w:pPr>
              <w:pStyle w:val="TableHeading"/>
              <w:spacing w:before="0" w:after="0"/>
              <w:rPr>
                <w:szCs w:val="20"/>
              </w:rPr>
            </w:pPr>
            <w:r w:rsidRPr="000D339D">
              <w:rPr>
                <w:szCs w:val="20"/>
              </w:rPr>
              <w:t>Water year [2015]</w:t>
            </w:r>
          </w:p>
        </w:tc>
        <w:tc>
          <w:tcPr>
            <w:tcW w:w="1433" w:type="dxa"/>
          </w:tcPr>
          <w:p w14:paraId="7E4771E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-0.46</w:t>
            </w:r>
          </w:p>
        </w:tc>
        <w:tc>
          <w:tcPr>
            <w:tcW w:w="1434" w:type="dxa"/>
          </w:tcPr>
          <w:p w14:paraId="15E90A8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0.17</w:t>
            </w:r>
          </w:p>
        </w:tc>
        <w:tc>
          <w:tcPr>
            <w:tcW w:w="1434" w:type="dxa"/>
          </w:tcPr>
          <w:p w14:paraId="28468B1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0.008</w:t>
            </w:r>
          </w:p>
        </w:tc>
      </w:tr>
      <w:tr w:rsidR="000D339D" w:rsidRPr="000D339D" w14:paraId="703139B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42768AE" w14:textId="77777777" w:rsidR="000D339D" w:rsidRPr="000D339D" w:rsidRDefault="000D339D" w:rsidP="000D339D">
            <w:pPr>
              <w:pStyle w:val="TableHeading"/>
              <w:spacing w:before="0" w:after="0"/>
              <w:rPr>
                <w:szCs w:val="20"/>
              </w:rPr>
            </w:pPr>
            <w:r w:rsidRPr="000D339D">
              <w:rPr>
                <w:szCs w:val="20"/>
              </w:rPr>
              <w:t>Water year [2016]</w:t>
            </w:r>
          </w:p>
        </w:tc>
        <w:tc>
          <w:tcPr>
            <w:tcW w:w="1433" w:type="dxa"/>
          </w:tcPr>
          <w:p w14:paraId="66E79C3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-2.43</w:t>
            </w:r>
          </w:p>
        </w:tc>
        <w:tc>
          <w:tcPr>
            <w:tcW w:w="1434" w:type="dxa"/>
          </w:tcPr>
          <w:p w14:paraId="5E62103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0.41</w:t>
            </w:r>
          </w:p>
        </w:tc>
        <w:tc>
          <w:tcPr>
            <w:tcW w:w="1434" w:type="dxa"/>
          </w:tcPr>
          <w:p w14:paraId="7314634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4DBA217"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2B80E240" w14:textId="77777777" w:rsidR="000D339D" w:rsidRPr="000D339D" w:rsidRDefault="000D339D" w:rsidP="000D339D">
            <w:pPr>
              <w:pStyle w:val="TableHeading"/>
              <w:spacing w:before="0" w:after="0"/>
              <w:rPr>
                <w:szCs w:val="20"/>
              </w:rPr>
            </w:pPr>
            <w:r w:rsidRPr="000D339D">
              <w:rPr>
                <w:szCs w:val="20"/>
              </w:rPr>
              <w:t>Water year [2017]</w:t>
            </w:r>
          </w:p>
        </w:tc>
        <w:tc>
          <w:tcPr>
            <w:tcW w:w="1433" w:type="dxa"/>
          </w:tcPr>
          <w:p w14:paraId="0A747BF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-0.63</w:t>
            </w:r>
          </w:p>
        </w:tc>
        <w:tc>
          <w:tcPr>
            <w:tcW w:w="1434" w:type="dxa"/>
          </w:tcPr>
          <w:p w14:paraId="31C41D2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0.19</w:t>
            </w:r>
          </w:p>
        </w:tc>
        <w:tc>
          <w:tcPr>
            <w:tcW w:w="1434" w:type="dxa"/>
          </w:tcPr>
          <w:p w14:paraId="4B9F2F0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416352BA"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68E62CF0" w14:textId="77777777" w:rsidR="000D339D" w:rsidRPr="000D339D" w:rsidRDefault="000D339D" w:rsidP="000D339D">
            <w:pPr>
              <w:pStyle w:val="TableHeading"/>
              <w:spacing w:before="0" w:after="0"/>
              <w:rPr>
                <w:szCs w:val="20"/>
              </w:rPr>
            </w:pPr>
            <w:r w:rsidRPr="000D339D">
              <w:rPr>
                <w:szCs w:val="20"/>
              </w:rPr>
              <w:t>Water year [2019]</w:t>
            </w:r>
          </w:p>
        </w:tc>
        <w:tc>
          <w:tcPr>
            <w:tcW w:w="1433" w:type="dxa"/>
          </w:tcPr>
          <w:p w14:paraId="6156D23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-7.1e-03</w:t>
            </w:r>
          </w:p>
        </w:tc>
        <w:tc>
          <w:tcPr>
            <w:tcW w:w="1434" w:type="dxa"/>
          </w:tcPr>
          <w:p w14:paraId="5ACAAE4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0.28</w:t>
            </w:r>
          </w:p>
        </w:tc>
        <w:tc>
          <w:tcPr>
            <w:tcW w:w="1434" w:type="dxa"/>
          </w:tcPr>
          <w:p w14:paraId="2C8D3CD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0.980</w:t>
            </w:r>
          </w:p>
        </w:tc>
      </w:tr>
      <w:tr w:rsidR="000D339D" w:rsidRPr="000D339D" w14:paraId="14188DF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1A698EE0" w14:textId="77777777" w:rsidR="000D339D" w:rsidRPr="000D339D" w:rsidRDefault="000D339D" w:rsidP="000D339D">
            <w:pPr>
              <w:pStyle w:val="TableHeading"/>
              <w:spacing w:before="0" w:after="0"/>
              <w:rPr>
                <w:szCs w:val="20"/>
              </w:rPr>
            </w:pPr>
            <w:r w:rsidRPr="000D339D">
              <w:rPr>
                <w:szCs w:val="20"/>
              </w:rPr>
              <w:t>Water year [2020]</w:t>
            </w:r>
          </w:p>
        </w:tc>
        <w:tc>
          <w:tcPr>
            <w:tcW w:w="1433" w:type="dxa"/>
          </w:tcPr>
          <w:p w14:paraId="5E9AF10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-0.31</w:t>
            </w:r>
          </w:p>
        </w:tc>
        <w:tc>
          <w:tcPr>
            <w:tcW w:w="1434" w:type="dxa"/>
          </w:tcPr>
          <w:p w14:paraId="791D889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0.25</w:t>
            </w:r>
          </w:p>
        </w:tc>
        <w:tc>
          <w:tcPr>
            <w:tcW w:w="1434" w:type="dxa"/>
          </w:tcPr>
          <w:p w14:paraId="7D0DC3A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0.221</w:t>
            </w:r>
          </w:p>
        </w:tc>
      </w:tr>
      <w:tr w:rsidR="000D339D" w:rsidRPr="000D339D" w14:paraId="0C5125F6"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0D0A95D9" w14:textId="77777777" w:rsidR="000D339D" w:rsidRPr="000D339D" w:rsidRDefault="000D339D" w:rsidP="000D339D">
            <w:pPr>
              <w:pStyle w:val="TableHeading"/>
              <w:spacing w:before="0" w:after="0"/>
              <w:rPr>
                <w:szCs w:val="20"/>
              </w:rPr>
            </w:pPr>
            <w:r w:rsidRPr="000D339D">
              <w:rPr>
                <w:szCs w:val="20"/>
              </w:rPr>
              <w:t>Length of lotic</w:t>
            </w:r>
          </w:p>
        </w:tc>
        <w:tc>
          <w:tcPr>
            <w:tcW w:w="1433" w:type="dxa"/>
          </w:tcPr>
          <w:p w14:paraId="6A234EE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-0.38</w:t>
            </w:r>
          </w:p>
        </w:tc>
        <w:tc>
          <w:tcPr>
            <w:tcW w:w="1434" w:type="dxa"/>
          </w:tcPr>
          <w:p w14:paraId="67966F5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0.15</w:t>
            </w:r>
          </w:p>
        </w:tc>
        <w:tc>
          <w:tcPr>
            <w:tcW w:w="1434" w:type="dxa"/>
          </w:tcPr>
          <w:p w14:paraId="113A801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0.010</w:t>
            </w:r>
          </w:p>
        </w:tc>
      </w:tr>
      <w:tr w:rsidR="000D339D" w:rsidRPr="000D339D" w14:paraId="64A6D135"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202A10E8" w14:textId="77777777" w:rsidR="000D339D" w:rsidRPr="000D339D" w:rsidRDefault="000D339D" w:rsidP="000D339D">
            <w:pPr>
              <w:pStyle w:val="TableHeading"/>
              <w:spacing w:before="0" w:after="0"/>
              <w:rPr>
                <w:szCs w:val="20"/>
              </w:rPr>
            </w:pPr>
            <w:r w:rsidRPr="000D339D">
              <w:rPr>
                <w:szCs w:val="20"/>
              </w:rPr>
              <w:t>Temperature</w:t>
            </w:r>
          </w:p>
        </w:tc>
        <w:tc>
          <w:tcPr>
            <w:tcW w:w="1433" w:type="dxa"/>
          </w:tcPr>
          <w:p w14:paraId="08D7532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-0.39</w:t>
            </w:r>
          </w:p>
        </w:tc>
        <w:tc>
          <w:tcPr>
            <w:tcW w:w="1434" w:type="dxa"/>
          </w:tcPr>
          <w:p w14:paraId="479D9B7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0.12</w:t>
            </w:r>
          </w:p>
        </w:tc>
        <w:tc>
          <w:tcPr>
            <w:tcW w:w="1434" w:type="dxa"/>
          </w:tcPr>
          <w:p w14:paraId="0462FD9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0.002</w:t>
            </w:r>
          </w:p>
        </w:tc>
      </w:tr>
      <w:tr w:rsidR="000D339D" w:rsidRPr="000D339D" w14:paraId="6621DA7B"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6EB4D22A" w14:textId="77777777" w:rsidR="000D339D" w:rsidRPr="000D339D" w:rsidRDefault="000D339D" w:rsidP="000D339D">
            <w:pPr>
              <w:pStyle w:val="TableHeading"/>
              <w:spacing w:before="0" w:after="0"/>
              <w:rPr>
                <w:szCs w:val="20"/>
              </w:rPr>
            </w:pPr>
            <w:r w:rsidRPr="000D339D">
              <w:rPr>
                <w:szCs w:val="20"/>
              </w:rPr>
              <w:t>Electrical conductivity (EC)</w:t>
            </w:r>
          </w:p>
        </w:tc>
        <w:tc>
          <w:tcPr>
            <w:tcW w:w="1433" w:type="dxa"/>
          </w:tcPr>
          <w:p w14:paraId="29EF956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-0.05</w:t>
            </w:r>
          </w:p>
        </w:tc>
        <w:tc>
          <w:tcPr>
            <w:tcW w:w="1434" w:type="dxa"/>
          </w:tcPr>
          <w:p w14:paraId="6742C1D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0.01</w:t>
            </w:r>
          </w:p>
        </w:tc>
        <w:tc>
          <w:tcPr>
            <w:tcW w:w="1434" w:type="dxa"/>
          </w:tcPr>
          <w:p w14:paraId="07125A6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31A1876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BC79712" w14:textId="77777777" w:rsidR="000D339D" w:rsidRPr="000D339D" w:rsidRDefault="000D339D" w:rsidP="000D339D">
            <w:pPr>
              <w:pStyle w:val="TableHeading"/>
              <w:spacing w:before="0" w:after="0"/>
              <w:rPr>
                <w:szCs w:val="20"/>
              </w:rPr>
            </w:pPr>
            <w:r w:rsidRPr="000D339D">
              <w:rPr>
                <w:szCs w:val="20"/>
              </w:rPr>
              <w:t>10-day flow trend (dQ10)</w:t>
            </w:r>
          </w:p>
        </w:tc>
        <w:tc>
          <w:tcPr>
            <w:tcW w:w="1433" w:type="dxa"/>
          </w:tcPr>
          <w:p w14:paraId="72FB671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0.26</w:t>
            </w:r>
          </w:p>
        </w:tc>
        <w:tc>
          <w:tcPr>
            <w:tcW w:w="1434" w:type="dxa"/>
          </w:tcPr>
          <w:p w14:paraId="31AE466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0.16</w:t>
            </w:r>
          </w:p>
        </w:tc>
        <w:tc>
          <w:tcPr>
            <w:tcW w:w="1434" w:type="dxa"/>
          </w:tcPr>
          <w:p w14:paraId="05D0ADA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0.107</w:t>
            </w:r>
          </w:p>
        </w:tc>
      </w:tr>
      <w:tr w:rsidR="000D339D" w:rsidRPr="000D339D" w14:paraId="21CF898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1CD53232" w14:textId="77777777" w:rsidR="000D339D" w:rsidRPr="000D339D" w:rsidRDefault="000D339D" w:rsidP="000D339D">
            <w:pPr>
              <w:pStyle w:val="TableHeading"/>
              <w:spacing w:before="0" w:after="0"/>
              <w:rPr>
                <w:szCs w:val="20"/>
              </w:rPr>
            </w:pPr>
            <w:r w:rsidRPr="000D339D">
              <w:rPr>
                <w:szCs w:val="20"/>
              </w:rPr>
              <w:t>FPA60</w:t>
            </w:r>
          </w:p>
        </w:tc>
        <w:tc>
          <w:tcPr>
            <w:tcW w:w="1433" w:type="dxa"/>
          </w:tcPr>
          <w:p w14:paraId="39F37A9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9.5e-04</w:t>
            </w:r>
          </w:p>
        </w:tc>
        <w:tc>
          <w:tcPr>
            <w:tcW w:w="1434" w:type="dxa"/>
          </w:tcPr>
          <w:p w14:paraId="4CB29ED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3.1e-04</w:t>
            </w:r>
          </w:p>
        </w:tc>
        <w:tc>
          <w:tcPr>
            <w:tcW w:w="1434" w:type="dxa"/>
          </w:tcPr>
          <w:p w14:paraId="7B84697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0.002</w:t>
            </w:r>
          </w:p>
        </w:tc>
      </w:tr>
      <w:tr w:rsidR="000D339D" w:rsidRPr="000D339D" w14:paraId="41F0384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1DC8F0F" w14:textId="77777777" w:rsidR="000D339D" w:rsidRPr="000D339D" w:rsidRDefault="000D339D" w:rsidP="000D339D">
            <w:pPr>
              <w:pStyle w:val="TableHeading"/>
              <w:spacing w:before="0" w:after="0"/>
              <w:rPr>
                <w:szCs w:val="20"/>
              </w:rPr>
            </w:pPr>
            <w:r w:rsidRPr="000D339D">
              <w:rPr>
                <w:szCs w:val="20"/>
              </w:rPr>
              <w:t>Temperature:EC</w:t>
            </w:r>
          </w:p>
        </w:tc>
        <w:tc>
          <w:tcPr>
            <w:tcW w:w="1433" w:type="dxa"/>
          </w:tcPr>
          <w:p w14:paraId="75690C0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2.3e-03</w:t>
            </w:r>
          </w:p>
        </w:tc>
        <w:tc>
          <w:tcPr>
            <w:tcW w:w="1434" w:type="dxa"/>
          </w:tcPr>
          <w:p w14:paraId="5A00A4F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6.2e-04</w:t>
            </w:r>
          </w:p>
        </w:tc>
        <w:tc>
          <w:tcPr>
            <w:tcW w:w="1434" w:type="dxa"/>
          </w:tcPr>
          <w:p w14:paraId="65C4976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553214C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DBDBDB" w:themeColor="accent3" w:themeTint="66"/>
            </w:tcBorders>
          </w:tcPr>
          <w:p w14:paraId="37AD00E5" w14:textId="77777777" w:rsidR="000D339D" w:rsidRPr="000D339D" w:rsidRDefault="000D339D" w:rsidP="000D339D">
            <w:pPr>
              <w:pStyle w:val="TableHeading"/>
              <w:spacing w:before="0" w:after="0"/>
              <w:rPr>
                <w:szCs w:val="20"/>
              </w:rPr>
            </w:pPr>
            <w:r w:rsidRPr="000D339D">
              <w:rPr>
                <w:szCs w:val="20"/>
              </w:rPr>
              <w:t>EC:FPA60</w:t>
            </w:r>
          </w:p>
        </w:tc>
        <w:tc>
          <w:tcPr>
            <w:tcW w:w="1433" w:type="dxa"/>
            <w:tcBorders>
              <w:bottom w:val="single" w:sz="4" w:space="0" w:color="DBDBDB" w:themeColor="accent3" w:themeTint="66"/>
            </w:tcBorders>
          </w:tcPr>
          <w:p w14:paraId="0308350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-3.9e-06</w:t>
            </w:r>
          </w:p>
        </w:tc>
        <w:tc>
          <w:tcPr>
            <w:tcW w:w="1434" w:type="dxa"/>
            <w:tcBorders>
              <w:bottom w:val="single" w:sz="4" w:space="0" w:color="DBDBDB" w:themeColor="accent3" w:themeTint="66"/>
            </w:tcBorders>
          </w:tcPr>
          <w:p w14:paraId="6CE5F26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1.2e-06</w:t>
            </w:r>
          </w:p>
        </w:tc>
        <w:tc>
          <w:tcPr>
            <w:tcW w:w="1434" w:type="dxa"/>
            <w:tcBorders>
              <w:bottom w:val="single" w:sz="4" w:space="0" w:color="DBDBDB" w:themeColor="accent3" w:themeTint="66"/>
            </w:tcBorders>
          </w:tcPr>
          <w:p w14:paraId="4C90419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59D6E0A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auto"/>
            </w:tcBorders>
          </w:tcPr>
          <w:p w14:paraId="7D54E478" w14:textId="77777777" w:rsidR="000D339D" w:rsidRPr="000D339D" w:rsidRDefault="000D339D" w:rsidP="000D339D">
            <w:pPr>
              <w:pStyle w:val="TableHeading"/>
              <w:spacing w:before="0" w:after="0"/>
              <w:rPr>
                <w:szCs w:val="20"/>
              </w:rPr>
            </w:pPr>
            <w:r w:rsidRPr="000D339D">
              <w:rPr>
                <w:szCs w:val="20"/>
              </w:rPr>
              <w:t>dQ10:FPA60</w:t>
            </w:r>
          </w:p>
        </w:tc>
        <w:tc>
          <w:tcPr>
            <w:tcW w:w="1433" w:type="dxa"/>
            <w:tcBorders>
              <w:bottom w:val="single" w:sz="4" w:space="0" w:color="auto"/>
            </w:tcBorders>
          </w:tcPr>
          <w:p w14:paraId="3CCDD44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-1.8e-04</w:t>
            </w:r>
          </w:p>
        </w:tc>
        <w:tc>
          <w:tcPr>
            <w:tcW w:w="1434" w:type="dxa"/>
            <w:tcBorders>
              <w:bottom w:val="single" w:sz="4" w:space="0" w:color="auto"/>
            </w:tcBorders>
          </w:tcPr>
          <w:p w14:paraId="3F560F1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1.1e-04</w:t>
            </w:r>
          </w:p>
        </w:tc>
        <w:tc>
          <w:tcPr>
            <w:tcW w:w="1434" w:type="dxa"/>
            <w:tcBorders>
              <w:bottom w:val="single" w:sz="4" w:space="0" w:color="auto"/>
            </w:tcBorders>
          </w:tcPr>
          <w:p w14:paraId="638E015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0.079</w:t>
            </w:r>
          </w:p>
        </w:tc>
      </w:tr>
    </w:tbl>
    <w:p w14:paraId="75BA4977" w14:textId="77777777" w:rsidR="000D339D" w:rsidRDefault="000D339D" w:rsidP="000D339D">
      <w:pPr>
        <w:pStyle w:val="Caption"/>
      </w:pPr>
    </w:p>
    <w:p w14:paraId="73FDC9C3" w14:textId="77777777" w:rsidR="000D339D" w:rsidRDefault="000D339D">
      <w:pPr>
        <w:spacing w:before="0" w:after="160" w:line="259" w:lineRule="auto"/>
        <w:jc w:val="left"/>
        <w:rPr>
          <w:b/>
          <w:bCs/>
          <w:color w:val="auto"/>
          <w:sz w:val="20"/>
          <w:szCs w:val="18"/>
        </w:rPr>
      </w:pPr>
      <w:r>
        <w:br w:type="page"/>
      </w:r>
    </w:p>
    <w:p w14:paraId="2374D297" w14:textId="38D94899" w:rsidR="000D339D" w:rsidRPr="00DB1140" w:rsidRDefault="000D339D" w:rsidP="000D339D">
      <w:pPr>
        <w:pStyle w:val="Caption"/>
      </w:pPr>
      <w:r>
        <w:t>Table D</w:t>
      </w:r>
      <w:r w:rsidR="00DD27F8">
        <w:t>11</w:t>
      </w:r>
      <w:r>
        <w:t>. Results of negative binomial generalised linear model for spring microinvertebrate prey-species density (individuals per litre) showing selected predictors, estimated coefficients (Estimate), standard errors in estimation (std.Error) and Type I Error probability (</w:t>
      </w:r>
      <w:r w:rsidRPr="00011752">
        <w:rPr>
          <w:i/>
          <w:iCs/>
        </w:rPr>
        <w:t>p</w:t>
      </w:r>
      <w:r>
        <w:t>-value). Flow data were log transformed prior to modelling. FPA28 quantifies the area of floodplain inundated over the last 28 days (see Methods for full description of predictor calculation). Negative binomial distribution dispersion parameter (theta) = 3.07, standard error = 0.30.</w:t>
      </w:r>
    </w:p>
    <w:tbl>
      <w:tblPr>
        <w:tblStyle w:val="GridTable1Light-Accent3"/>
        <w:tblW w:w="7217" w:type="dxa"/>
        <w:jc w:val="center"/>
        <w:tblLook w:val="04A0" w:firstRow="1" w:lastRow="0" w:firstColumn="1" w:lastColumn="0" w:noHBand="0" w:noVBand="1"/>
      </w:tblPr>
      <w:tblGrid>
        <w:gridCol w:w="2916"/>
        <w:gridCol w:w="1433"/>
        <w:gridCol w:w="1434"/>
        <w:gridCol w:w="1434"/>
      </w:tblGrid>
      <w:tr w:rsidR="000D339D" w:rsidRPr="000D339D" w14:paraId="44A59D8E" w14:textId="77777777" w:rsidTr="000D339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bottom w:val="single" w:sz="4" w:space="0" w:color="auto"/>
            </w:tcBorders>
          </w:tcPr>
          <w:p w14:paraId="53BFAA9E" w14:textId="77777777" w:rsidR="000D339D" w:rsidRPr="000D339D" w:rsidRDefault="000D339D" w:rsidP="000D339D">
            <w:pPr>
              <w:pStyle w:val="TableHeading"/>
              <w:spacing w:before="0" w:after="0"/>
              <w:rPr>
                <w:b/>
                <w:bCs w:val="0"/>
                <w:szCs w:val="20"/>
              </w:rPr>
            </w:pPr>
            <w:r w:rsidRPr="000D339D">
              <w:rPr>
                <w:b/>
                <w:bCs w:val="0"/>
                <w:szCs w:val="20"/>
              </w:rPr>
              <w:t>Predictor</w:t>
            </w:r>
          </w:p>
        </w:tc>
        <w:tc>
          <w:tcPr>
            <w:tcW w:w="1433" w:type="dxa"/>
            <w:tcBorders>
              <w:top w:val="single" w:sz="4" w:space="0" w:color="auto"/>
              <w:bottom w:val="single" w:sz="4" w:space="0" w:color="auto"/>
            </w:tcBorders>
          </w:tcPr>
          <w:p w14:paraId="7B015F57"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Estimate</w:t>
            </w:r>
          </w:p>
        </w:tc>
        <w:tc>
          <w:tcPr>
            <w:tcW w:w="1434" w:type="dxa"/>
            <w:tcBorders>
              <w:top w:val="single" w:sz="4" w:space="0" w:color="auto"/>
              <w:bottom w:val="single" w:sz="4" w:space="0" w:color="auto"/>
            </w:tcBorders>
          </w:tcPr>
          <w:p w14:paraId="7EB374AD"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szCs w:val="20"/>
              </w:rPr>
              <w:t>Std. Error</w:t>
            </w:r>
          </w:p>
        </w:tc>
        <w:tc>
          <w:tcPr>
            <w:tcW w:w="1434" w:type="dxa"/>
            <w:tcBorders>
              <w:top w:val="single" w:sz="4" w:space="0" w:color="auto"/>
              <w:bottom w:val="single" w:sz="4" w:space="0" w:color="auto"/>
            </w:tcBorders>
          </w:tcPr>
          <w:p w14:paraId="45901C97" w14:textId="77777777" w:rsidR="000D339D" w:rsidRPr="000D339D" w:rsidRDefault="000D339D" w:rsidP="000D339D">
            <w:pPr>
              <w:pStyle w:val="TableHeading"/>
              <w:spacing w:before="0" w:after="0"/>
              <w:cnfStyle w:val="100000000000" w:firstRow="1" w:lastRow="0" w:firstColumn="0" w:lastColumn="0" w:oddVBand="0" w:evenVBand="0" w:oddHBand="0" w:evenHBand="0" w:firstRowFirstColumn="0" w:firstRowLastColumn="0" w:lastRowFirstColumn="0" w:lastRowLastColumn="0"/>
              <w:rPr>
                <w:b/>
                <w:bCs w:val="0"/>
                <w:szCs w:val="20"/>
              </w:rPr>
            </w:pPr>
            <w:r w:rsidRPr="000D339D">
              <w:rPr>
                <w:b/>
                <w:bCs w:val="0"/>
                <w:i/>
                <w:iCs/>
                <w:szCs w:val="20"/>
              </w:rPr>
              <w:t>p</w:t>
            </w:r>
            <w:r w:rsidRPr="000D339D">
              <w:rPr>
                <w:b/>
                <w:bCs w:val="0"/>
                <w:szCs w:val="20"/>
              </w:rPr>
              <w:t>-value</w:t>
            </w:r>
          </w:p>
        </w:tc>
      </w:tr>
      <w:tr w:rsidR="000D339D" w:rsidRPr="000D339D" w14:paraId="0F621D36"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top w:val="single" w:sz="4" w:space="0" w:color="auto"/>
            </w:tcBorders>
          </w:tcPr>
          <w:p w14:paraId="209A1C1E" w14:textId="77777777" w:rsidR="000D339D" w:rsidRPr="000D339D" w:rsidRDefault="000D339D" w:rsidP="000D339D">
            <w:pPr>
              <w:pStyle w:val="TableHeading"/>
              <w:spacing w:before="0" w:after="0"/>
              <w:rPr>
                <w:szCs w:val="20"/>
              </w:rPr>
            </w:pPr>
            <w:r w:rsidRPr="000D339D">
              <w:rPr>
                <w:szCs w:val="20"/>
              </w:rPr>
              <w:t>(Intercept)</w:t>
            </w:r>
          </w:p>
        </w:tc>
        <w:tc>
          <w:tcPr>
            <w:tcW w:w="1433" w:type="dxa"/>
            <w:tcBorders>
              <w:top w:val="single" w:sz="4" w:space="0" w:color="auto"/>
            </w:tcBorders>
          </w:tcPr>
          <w:p w14:paraId="533561F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-8.64</w:t>
            </w:r>
          </w:p>
        </w:tc>
        <w:tc>
          <w:tcPr>
            <w:tcW w:w="1434" w:type="dxa"/>
            <w:tcBorders>
              <w:top w:val="single" w:sz="4" w:space="0" w:color="auto"/>
            </w:tcBorders>
          </w:tcPr>
          <w:p w14:paraId="41FC545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3.14</w:t>
            </w:r>
          </w:p>
        </w:tc>
        <w:tc>
          <w:tcPr>
            <w:tcW w:w="1434" w:type="dxa"/>
            <w:tcBorders>
              <w:top w:val="single" w:sz="4" w:space="0" w:color="auto"/>
            </w:tcBorders>
          </w:tcPr>
          <w:p w14:paraId="083C610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0.006</w:t>
            </w:r>
          </w:p>
        </w:tc>
      </w:tr>
      <w:tr w:rsidR="000D339D" w:rsidRPr="000D339D" w14:paraId="4B07351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2075CC9" w14:textId="77777777" w:rsidR="000D339D" w:rsidRPr="000D339D" w:rsidRDefault="000D339D" w:rsidP="000D339D">
            <w:pPr>
              <w:pStyle w:val="TableHeading"/>
              <w:spacing w:before="0" w:after="0"/>
              <w:rPr>
                <w:szCs w:val="20"/>
              </w:rPr>
            </w:pPr>
            <w:r w:rsidRPr="000D339D">
              <w:rPr>
                <w:szCs w:val="20"/>
              </w:rPr>
              <w:t>Month [Oct]</w:t>
            </w:r>
          </w:p>
        </w:tc>
        <w:tc>
          <w:tcPr>
            <w:tcW w:w="1433" w:type="dxa"/>
          </w:tcPr>
          <w:p w14:paraId="2F7F5F6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-0.39</w:t>
            </w:r>
          </w:p>
        </w:tc>
        <w:tc>
          <w:tcPr>
            <w:tcW w:w="1434" w:type="dxa"/>
          </w:tcPr>
          <w:p w14:paraId="447B470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0.35</w:t>
            </w:r>
          </w:p>
        </w:tc>
        <w:tc>
          <w:tcPr>
            <w:tcW w:w="1434" w:type="dxa"/>
          </w:tcPr>
          <w:p w14:paraId="4860F79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0.258</w:t>
            </w:r>
          </w:p>
        </w:tc>
      </w:tr>
      <w:tr w:rsidR="000D339D" w:rsidRPr="000D339D" w14:paraId="7A87B56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6E8CC05E" w14:textId="77777777" w:rsidR="000D339D" w:rsidRPr="000D339D" w:rsidRDefault="000D339D" w:rsidP="000D339D">
            <w:pPr>
              <w:pStyle w:val="TableHeading"/>
              <w:spacing w:before="0" w:after="0"/>
              <w:rPr>
                <w:szCs w:val="20"/>
              </w:rPr>
            </w:pPr>
            <w:r w:rsidRPr="000D339D">
              <w:rPr>
                <w:szCs w:val="20"/>
              </w:rPr>
              <w:t>Month [Nov]</w:t>
            </w:r>
          </w:p>
        </w:tc>
        <w:tc>
          <w:tcPr>
            <w:tcW w:w="1433" w:type="dxa"/>
          </w:tcPr>
          <w:p w14:paraId="28BCD08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-2.18</w:t>
            </w:r>
          </w:p>
        </w:tc>
        <w:tc>
          <w:tcPr>
            <w:tcW w:w="1434" w:type="dxa"/>
          </w:tcPr>
          <w:p w14:paraId="6E97D68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0.42</w:t>
            </w:r>
          </w:p>
        </w:tc>
        <w:tc>
          <w:tcPr>
            <w:tcW w:w="1434" w:type="dxa"/>
          </w:tcPr>
          <w:p w14:paraId="520DE7F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24DCC33"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3483598" w14:textId="77777777" w:rsidR="000D339D" w:rsidRPr="000D339D" w:rsidRDefault="000D339D" w:rsidP="000D339D">
            <w:pPr>
              <w:pStyle w:val="TableHeading"/>
              <w:spacing w:before="0" w:after="0"/>
              <w:rPr>
                <w:szCs w:val="20"/>
              </w:rPr>
            </w:pPr>
            <w:r w:rsidRPr="000D339D">
              <w:rPr>
                <w:szCs w:val="20"/>
              </w:rPr>
              <w:t>Month [Dec]</w:t>
            </w:r>
          </w:p>
        </w:tc>
        <w:tc>
          <w:tcPr>
            <w:tcW w:w="1433" w:type="dxa"/>
          </w:tcPr>
          <w:p w14:paraId="443CF32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-1.84</w:t>
            </w:r>
          </w:p>
        </w:tc>
        <w:tc>
          <w:tcPr>
            <w:tcW w:w="1434" w:type="dxa"/>
          </w:tcPr>
          <w:p w14:paraId="71488DA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0.47</w:t>
            </w:r>
          </w:p>
        </w:tc>
        <w:tc>
          <w:tcPr>
            <w:tcW w:w="1434" w:type="dxa"/>
          </w:tcPr>
          <w:p w14:paraId="076E6CB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08B1EE90"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6D9F95F1" w14:textId="77777777" w:rsidR="000D339D" w:rsidRPr="000D339D" w:rsidRDefault="000D339D" w:rsidP="000D339D">
            <w:pPr>
              <w:pStyle w:val="TableHeading"/>
              <w:spacing w:before="0" w:after="0"/>
              <w:rPr>
                <w:szCs w:val="20"/>
              </w:rPr>
            </w:pPr>
            <w:r w:rsidRPr="000D339D">
              <w:rPr>
                <w:szCs w:val="20"/>
              </w:rPr>
              <w:t>Month [Jan]</w:t>
            </w:r>
          </w:p>
        </w:tc>
        <w:tc>
          <w:tcPr>
            <w:tcW w:w="1433" w:type="dxa"/>
          </w:tcPr>
          <w:p w14:paraId="1E48417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-2.13</w:t>
            </w:r>
          </w:p>
        </w:tc>
        <w:tc>
          <w:tcPr>
            <w:tcW w:w="1434" w:type="dxa"/>
          </w:tcPr>
          <w:p w14:paraId="5503BF3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0.53</w:t>
            </w:r>
          </w:p>
        </w:tc>
        <w:tc>
          <w:tcPr>
            <w:tcW w:w="1434" w:type="dxa"/>
          </w:tcPr>
          <w:p w14:paraId="0BCB135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56A6117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2D19CAC1" w14:textId="77777777" w:rsidR="000D339D" w:rsidRPr="000D339D" w:rsidRDefault="000D339D" w:rsidP="000D339D">
            <w:pPr>
              <w:pStyle w:val="TableHeading"/>
              <w:spacing w:before="0" w:after="0"/>
              <w:rPr>
                <w:szCs w:val="20"/>
              </w:rPr>
            </w:pPr>
            <w:r w:rsidRPr="000D339D">
              <w:rPr>
                <w:szCs w:val="20"/>
              </w:rPr>
              <w:t>Water year [2015]</w:t>
            </w:r>
          </w:p>
        </w:tc>
        <w:tc>
          <w:tcPr>
            <w:tcW w:w="1433" w:type="dxa"/>
          </w:tcPr>
          <w:p w14:paraId="518409A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-0.97</w:t>
            </w:r>
          </w:p>
        </w:tc>
        <w:tc>
          <w:tcPr>
            <w:tcW w:w="1434" w:type="dxa"/>
          </w:tcPr>
          <w:p w14:paraId="5174418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0.18</w:t>
            </w:r>
          </w:p>
        </w:tc>
        <w:tc>
          <w:tcPr>
            <w:tcW w:w="1434" w:type="dxa"/>
          </w:tcPr>
          <w:p w14:paraId="7403F39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1171E8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BF837D4" w14:textId="77777777" w:rsidR="000D339D" w:rsidRPr="000D339D" w:rsidRDefault="000D339D" w:rsidP="000D339D">
            <w:pPr>
              <w:pStyle w:val="TableHeading"/>
              <w:spacing w:before="0" w:after="0"/>
              <w:rPr>
                <w:szCs w:val="20"/>
              </w:rPr>
            </w:pPr>
            <w:r w:rsidRPr="000D339D">
              <w:rPr>
                <w:szCs w:val="20"/>
              </w:rPr>
              <w:t>Water year [2016]</w:t>
            </w:r>
          </w:p>
        </w:tc>
        <w:tc>
          <w:tcPr>
            <w:tcW w:w="1433" w:type="dxa"/>
          </w:tcPr>
          <w:p w14:paraId="3C828BB2"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-2.20</w:t>
            </w:r>
          </w:p>
        </w:tc>
        <w:tc>
          <w:tcPr>
            <w:tcW w:w="1434" w:type="dxa"/>
          </w:tcPr>
          <w:p w14:paraId="7735F0A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0.53</w:t>
            </w:r>
          </w:p>
        </w:tc>
        <w:tc>
          <w:tcPr>
            <w:tcW w:w="1434" w:type="dxa"/>
          </w:tcPr>
          <w:p w14:paraId="6B5EDB7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A2C7EBC"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EFC06D3" w14:textId="77777777" w:rsidR="000D339D" w:rsidRPr="000D339D" w:rsidRDefault="000D339D" w:rsidP="000D339D">
            <w:pPr>
              <w:pStyle w:val="TableHeading"/>
              <w:spacing w:before="0" w:after="0"/>
              <w:rPr>
                <w:szCs w:val="20"/>
              </w:rPr>
            </w:pPr>
            <w:r w:rsidRPr="000D339D">
              <w:rPr>
                <w:szCs w:val="20"/>
              </w:rPr>
              <w:t>Water year [2017]</w:t>
            </w:r>
          </w:p>
        </w:tc>
        <w:tc>
          <w:tcPr>
            <w:tcW w:w="1433" w:type="dxa"/>
          </w:tcPr>
          <w:p w14:paraId="059EB34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-0.49</w:t>
            </w:r>
          </w:p>
        </w:tc>
        <w:tc>
          <w:tcPr>
            <w:tcW w:w="1434" w:type="dxa"/>
          </w:tcPr>
          <w:p w14:paraId="34518B5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0.18</w:t>
            </w:r>
          </w:p>
        </w:tc>
        <w:tc>
          <w:tcPr>
            <w:tcW w:w="1434" w:type="dxa"/>
          </w:tcPr>
          <w:p w14:paraId="375B071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0.006</w:t>
            </w:r>
          </w:p>
        </w:tc>
      </w:tr>
      <w:tr w:rsidR="000D339D" w:rsidRPr="000D339D" w14:paraId="3D27491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806C9AA" w14:textId="77777777" w:rsidR="000D339D" w:rsidRPr="000D339D" w:rsidRDefault="000D339D" w:rsidP="000D339D">
            <w:pPr>
              <w:pStyle w:val="TableHeading"/>
              <w:spacing w:before="0" w:after="0"/>
              <w:rPr>
                <w:szCs w:val="20"/>
              </w:rPr>
            </w:pPr>
            <w:r w:rsidRPr="000D339D">
              <w:rPr>
                <w:szCs w:val="20"/>
              </w:rPr>
              <w:t>Water year [2019]</w:t>
            </w:r>
          </w:p>
        </w:tc>
        <w:tc>
          <w:tcPr>
            <w:tcW w:w="1433" w:type="dxa"/>
          </w:tcPr>
          <w:p w14:paraId="177350A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-0.81</w:t>
            </w:r>
          </w:p>
        </w:tc>
        <w:tc>
          <w:tcPr>
            <w:tcW w:w="1434" w:type="dxa"/>
          </w:tcPr>
          <w:p w14:paraId="3DEA04F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0.28</w:t>
            </w:r>
          </w:p>
        </w:tc>
        <w:tc>
          <w:tcPr>
            <w:tcW w:w="1434" w:type="dxa"/>
          </w:tcPr>
          <w:p w14:paraId="55CD399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0.004</w:t>
            </w:r>
          </w:p>
        </w:tc>
      </w:tr>
      <w:tr w:rsidR="000D339D" w:rsidRPr="000D339D" w14:paraId="3E106E1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272C057F" w14:textId="77777777" w:rsidR="000D339D" w:rsidRPr="000D339D" w:rsidRDefault="000D339D" w:rsidP="000D339D">
            <w:pPr>
              <w:pStyle w:val="TableHeading"/>
              <w:spacing w:before="0" w:after="0"/>
              <w:rPr>
                <w:szCs w:val="20"/>
              </w:rPr>
            </w:pPr>
            <w:r w:rsidRPr="000D339D">
              <w:rPr>
                <w:szCs w:val="20"/>
              </w:rPr>
              <w:t>Water year [2020]</w:t>
            </w:r>
          </w:p>
        </w:tc>
        <w:tc>
          <w:tcPr>
            <w:tcW w:w="1433" w:type="dxa"/>
          </w:tcPr>
          <w:p w14:paraId="5EDBA29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-1.29</w:t>
            </w:r>
          </w:p>
        </w:tc>
        <w:tc>
          <w:tcPr>
            <w:tcW w:w="1434" w:type="dxa"/>
          </w:tcPr>
          <w:p w14:paraId="2AF86ED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0.25</w:t>
            </w:r>
          </w:p>
        </w:tc>
        <w:tc>
          <w:tcPr>
            <w:tcW w:w="1434" w:type="dxa"/>
          </w:tcPr>
          <w:p w14:paraId="17C00F1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1CAAADEE"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175BC4FE" w14:textId="77777777" w:rsidR="000D339D" w:rsidRPr="000D339D" w:rsidRDefault="000D339D" w:rsidP="000D339D">
            <w:pPr>
              <w:pStyle w:val="TableHeading"/>
              <w:spacing w:before="0" w:after="0"/>
              <w:rPr>
                <w:szCs w:val="20"/>
              </w:rPr>
            </w:pPr>
            <w:r w:rsidRPr="000D339D">
              <w:rPr>
                <w:szCs w:val="20"/>
              </w:rPr>
              <w:t>Mean long term flow</w:t>
            </w:r>
          </w:p>
        </w:tc>
        <w:tc>
          <w:tcPr>
            <w:tcW w:w="1433" w:type="dxa"/>
          </w:tcPr>
          <w:p w14:paraId="36A101F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0.96</w:t>
            </w:r>
          </w:p>
        </w:tc>
        <w:tc>
          <w:tcPr>
            <w:tcW w:w="1434" w:type="dxa"/>
          </w:tcPr>
          <w:p w14:paraId="59D440D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0.29</w:t>
            </w:r>
          </w:p>
        </w:tc>
        <w:tc>
          <w:tcPr>
            <w:tcW w:w="1434" w:type="dxa"/>
          </w:tcPr>
          <w:p w14:paraId="3EC813C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0.001</w:t>
            </w:r>
          </w:p>
        </w:tc>
      </w:tr>
      <w:tr w:rsidR="000D339D" w:rsidRPr="000D339D" w14:paraId="6D6AA8AD"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ADF3CA1" w14:textId="77777777" w:rsidR="000D339D" w:rsidRPr="000D339D" w:rsidRDefault="000D339D" w:rsidP="000D339D">
            <w:pPr>
              <w:pStyle w:val="TableHeading"/>
              <w:spacing w:before="0" w:after="0"/>
              <w:rPr>
                <w:szCs w:val="20"/>
              </w:rPr>
            </w:pPr>
            <w:r w:rsidRPr="000D339D">
              <w:rPr>
                <w:szCs w:val="20"/>
              </w:rPr>
              <w:t>Length of lotic</w:t>
            </w:r>
          </w:p>
        </w:tc>
        <w:tc>
          <w:tcPr>
            <w:tcW w:w="1433" w:type="dxa"/>
          </w:tcPr>
          <w:p w14:paraId="4125DD0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-0.39</w:t>
            </w:r>
          </w:p>
        </w:tc>
        <w:tc>
          <w:tcPr>
            <w:tcW w:w="1434" w:type="dxa"/>
          </w:tcPr>
          <w:p w14:paraId="649D4F0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0.09</w:t>
            </w:r>
          </w:p>
        </w:tc>
        <w:tc>
          <w:tcPr>
            <w:tcW w:w="1434" w:type="dxa"/>
          </w:tcPr>
          <w:p w14:paraId="01EC9DB4"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&lt; 0.001</w:t>
            </w:r>
          </w:p>
        </w:tc>
      </w:tr>
      <w:tr w:rsidR="000D339D" w:rsidRPr="000D339D" w14:paraId="331BDA73"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2FD5EE16" w14:textId="77777777" w:rsidR="000D339D" w:rsidRPr="000D339D" w:rsidRDefault="000D339D" w:rsidP="000D339D">
            <w:pPr>
              <w:pStyle w:val="TableHeading"/>
              <w:spacing w:before="0" w:after="0"/>
              <w:rPr>
                <w:szCs w:val="20"/>
              </w:rPr>
            </w:pPr>
            <w:r w:rsidRPr="000D339D">
              <w:rPr>
                <w:szCs w:val="20"/>
              </w:rPr>
              <w:t>Temperature</w:t>
            </w:r>
          </w:p>
        </w:tc>
        <w:tc>
          <w:tcPr>
            <w:tcW w:w="1433" w:type="dxa"/>
          </w:tcPr>
          <w:p w14:paraId="3D1B888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0.35</w:t>
            </w:r>
          </w:p>
        </w:tc>
        <w:tc>
          <w:tcPr>
            <w:tcW w:w="1434" w:type="dxa"/>
          </w:tcPr>
          <w:p w14:paraId="64506D6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0.13</w:t>
            </w:r>
          </w:p>
        </w:tc>
        <w:tc>
          <w:tcPr>
            <w:tcW w:w="1434" w:type="dxa"/>
          </w:tcPr>
          <w:p w14:paraId="7C827051"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0.006</w:t>
            </w:r>
          </w:p>
        </w:tc>
      </w:tr>
      <w:tr w:rsidR="000D339D" w:rsidRPr="000D339D" w14:paraId="1F929448"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4E982D8A" w14:textId="77777777" w:rsidR="000D339D" w:rsidRPr="000D339D" w:rsidRDefault="000D339D" w:rsidP="000D339D">
            <w:pPr>
              <w:pStyle w:val="TableHeading"/>
              <w:spacing w:before="0" w:after="0"/>
              <w:rPr>
                <w:szCs w:val="20"/>
              </w:rPr>
            </w:pPr>
            <w:r w:rsidRPr="000D339D">
              <w:rPr>
                <w:szCs w:val="20"/>
              </w:rPr>
              <w:t>Electrical conductivity (EC)</w:t>
            </w:r>
          </w:p>
        </w:tc>
        <w:tc>
          <w:tcPr>
            <w:tcW w:w="1433" w:type="dxa"/>
          </w:tcPr>
          <w:p w14:paraId="3F17F71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0.03</w:t>
            </w:r>
          </w:p>
        </w:tc>
        <w:tc>
          <w:tcPr>
            <w:tcW w:w="1434" w:type="dxa"/>
          </w:tcPr>
          <w:p w14:paraId="156E7BFB"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0.01</w:t>
            </w:r>
          </w:p>
        </w:tc>
        <w:tc>
          <w:tcPr>
            <w:tcW w:w="1434" w:type="dxa"/>
          </w:tcPr>
          <w:p w14:paraId="4A970B1F"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0.035</w:t>
            </w:r>
          </w:p>
        </w:tc>
      </w:tr>
      <w:tr w:rsidR="000D339D" w:rsidRPr="000D339D" w14:paraId="327F276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54F56D6" w14:textId="77777777" w:rsidR="000D339D" w:rsidRPr="000D339D" w:rsidRDefault="000D339D" w:rsidP="000D339D">
            <w:pPr>
              <w:pStyle w:val="TableHeading"/>
              <w:spacing w:before="0" w:after="0"/>
              <w:rPr>
                <w:szCs w:val="20"/>
              </w:rPr>
            </w:pPr>
            <w:r w:rsidRPr="000D339D">
              <w:rPr>
                <w:szCs w:val="20"/>
              </w:rPr>
              <w:t>10-day flow trend (dQ10)</w:t>
            </w:r>
          </w:p>
        </w:tc>
        <w:tc>
          <w:tcPr>
            <w:tcW w:w="1433" w:type="dxa"/>
          </w:tcPr>
          <w:p w14:paraId="5FC330EC"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-1.75</w:t>
            </w:r>
          </w:p>
        </w:tc>
        <w:tc>
          <w:tcPr>
            <w:tcW w:w="1434" w:type="dxa"/>
          </w:tcPr>
          <w:p w14:paraId="5E38BE2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1.12</w:t>
            </w:r>
          </w:p>
        </w:tc>
        <w:tc>
          <w:tcPr>
            <w:tcW w:w="1434" w:type="dxa"/>
          </w:tcPr>
          <w:p w14:paraId="41E2BD26"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0.119</w:t>
            </w:r>
          </w:p>
        </w:tc>
      </w:tr>
      <w:tr w:rsidR="000D339D" w:rsidRPr="000D339D" w14:paraId="263A9B52"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5316A681" w14:textId="77777777" w:rsidR="000D339D" w:rsidRPr="000D339D" w:rsidRDefault="000D339D" w:rsidP="000D339D">
            <w:pPr>
              <w:pStyle w:val="TableHeading"/>
              <w:spacing w:before="0" w:after="0"/>
              <w:rPr>
                <w:szCs w:val="20"/>
              </w:rPr>
            </w:pPr>
            <w:r w:rsidRPr="000D339D">
              <w:rPr>
                <w:szCs w:val="20"/>
              </w:rPr>
              <w:t>FPA28</w:t>
            </w:r>
          </w:p>
        </w:tc>
        <w:tc>
          <w:tcPr>
            <w:tcW w:w="1433" w:type="dxa"/>
          </w:tcPr>
          <w:p w14:paraId="26FE7CC7"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-2.1e-04</w:t>
            </w:r>
          </w:p>
        </w:tc>
        <w:tc>
          <w:tcPr>
            <w:tcW w:w="1434" w:type="dxa"/>
          </w:tcPr>
          <w:p w14:paraId="0C05B6F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1.3e-04</w:t>
            </w:r>
          </w:p>
        </w:tc>
        <w:tc>
          <w:tcPr>
            <w:tcW w:w="1434" w:type="dxa"/>
          </w:tcPr>
          <w:p w14:paraId="5247C418"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0.104</w:t>
            </w:r>
          </w:p>
        </w:tc>
      </w:tr>
      <w:tr w:rsidR="000D339D" w:rsidRPr="000D339D" w14:paraId="6C3FF77F"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Pr>
          <w:p w14:paraId="31656105" w14:textId="77777777" w:rsidR="000D339D" w:rsidRPr="000D339D" w:rsidRDefault="000D339D" w:rsidP="000D339D">
            <w:pPr>
              <w:pStyle w:val="TableHeading"/>
              <w:spacing w:before="0" w:after="0"/>
              <w:rPr>
                <w:szCs w:val="20"/>
              </w:rPr>
            </w:pPr>
            <w:r w:rsidRPr="000D339D">
              <w:rPr>
                <w:szCs w:val="20"/>
              </w:rPr>
              <w:t>Temperature:EC</w:t>
            </w:r>
          </w:p>
        </w:tc>
        <w:tc>
          <w:tcPr>
            <w:tcW w:w="1433" w:type="dxa"/>
          </w:tcPr>
          <w:p w14:paraId="1947DA8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-1.3e-03</w:t>
            </w:r>
          </w:p>
        </w:tc>
        <w:tc>
          <w:tcPr>
            <w:tcW w:w="1434" w:type="dxa"/>
          </w:tcPr>
          <w:p w14:paraId="749835F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6.5e-04</w:t>
            </w:r>
          </w:p>
        </w:tc>
        <w:tc>
          <w:tcPr>
            <w:tcW w:w="1434" w:type="dxa"/>
          </w:tcPr>
          <w:p w14:paraId="0E5BA119"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0.053</w:t>
            </w:r>
          </w:p>
        </w:tc>
      </w:tr>
      <w:tr w:rsidR="000D339D" w:rsidRPr="000D339D" w14:paraId="1349DE85"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DBDBDB" w:themeColor="accent3" w:themeTint="66"/>
            </w:tcBorders>
          </w:tcPr>
          <w:p w14:paraId="6D06C4E9" w14:textId="77777777" w:rsidR="000D339D" w:rsidRPr="000D339D" w:rsidRDefault="000D339D" w:rsidP="000D339D">
            <w:pPr>
              <w:pStyle w:val="TableHeading"/>
              <w:spacing w:before="0" w:after="0"/>
              <w:rPr>
                <w:szCs w:val="20"/>
              </w:rPr>
            </w:pPr>
            <w:r w:rsidRPr="000D339D">
              <w:rPr>
                <w:szCs w:val="20"/>
              </w:rPr>
              <w:t>Temperature:dQ10</w:t>
            </w:r>
          </w:p>
        </w:tc>
        <w:tc>
          <w:tcPr>
            <w:tcW w:w="1433" w:type="dxa"/>
            <w:tcBorders>
              <w:bottom w:val="single" w:sz="4" w:space="0" w:color="DBDBDB" w:themeColor="accent3" w:themeTint="66"/>
            </w:tcBorders>
          </w:tcPr>
          <w:p w14:paraId="37BD0F90"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0.10</w:t>
            </w:r>
          </w:p>
        </w:tc>
        <w:tc>
          <w:tcPr>
            <w:tcW w:w="1434" w:type="dxa"/>
            <w:tcBorders>
              <w:bottom w:val="single" w:sz="4" w:space="0" w:color="DBDBDB" w:themeColor="accent3" w:themeTint="66"/>
            </w:tcBorders>
          </w:tcPr>
          <w:p w14:paraId="6B0AD6F5"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0.06</w:t>
            </w:r>
          </w:p>
        </w:tc>
        <w:tc>
          <w:tcPr>
            <w:tcW w:w="1434" w:type="dxa"/>
            <w:tcBorders>
              <w:bottom w:val="single" w:sz="4" w:space="0" w:color="DBDBDB" w:themeColor="accent3" w:themeTint="66"/>
            </w:tcBorders>
          </w:tcPr>
          <w:p w14:paraId="19E5786E"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0.059</w:t>
            </w:r>
          </w:p>
        </w:tc>
      </w:tr>
      <w:tr w:rsidR="000D339D" w:rsidRPr="000D339D" w14:paraId="004856F4" w14:textId="77777777" w:rsidTr="000D339D">
        <w:trPr>
          <w:trHeight w:val="340"/>
          <w:jc w:val="center"/>
        </w:trPr>
        <w:tc>
          <w:tcPr>
            <w:cnfStyle w:val="001000000000" w:firstRow="0" w:lastRow="0" w:firstColumn="1" w:lastColumn="0" w:oddVBand="0" w:evenVBand="0" w:oddHBand="0" w:evenHBand="0" w:firstRowFirstColumn="0" w:firstRowLastColumn="0" w:lastRowFirstColumn="0" w:lastRowLastColumn="0"/>
            <w:tcW w:w="2916" w:type="dxa"/>
            <w:tcBorders>
              <w:bottom w:val="single" w:sz="4" w:space="0" w:color="auto"/>
            </w:tcBorders>
          </w:tcPr>
          <w:p w14:paraId="13EA3D88" w14:textId="77777777" w:rsidR="000D339D" w:rsidRPr="000D339D" w:rsidRDefault="000D339D" w:rsidP="000D339D">
            <w:pPr>
              <w:pStyle w:val="TableHeading"/>
              <w:spacing w:before="0" w:after="0"/>
              <w:rPr>
                <w:szCs w:val="20"/>
              </w:rPr>
            </w:pPr>
            <w:r w:rsidRPr="000D339D">
              <w:rPr>
                <w:szCs w:val="20"/>
              </w:rPr>
              <w:t>dQ10:FPA28</w:t>
            </w:r>
          </w:p>
        </w:tc>
        <w:tc>
          <w:tcPr>
            <w:tcW w:w="1433" w:type="dxa"/>
            <w:tcBorders>
              <w:bottom w:val="single" w:sz="4" w:space="0" w:color="auto"/>
            </w:tcBorders>
          </w:tcPr>
          <w:p w14:paraId="1C473A23"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-4.4e-04</w:t>
            </w:r>
          </w:p>
        </w:tc>
        <w:tc>
          <w:tcPr>
            <w:tcW w:w="1434" w:type="dxa"/>
            <w:tcBorders>
              <w:bottom w:val="single" w:sz="4" w:space="0" w:color="auto"/>
            </w:tcBorders>
          </w:tcPr>
          <w:p w14:paraId="738E1F3D"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2.7e-04</w:t>
            </w:r>
          </w:p>
        </w:tc>
        <w:tc>
          <w:tcPr>
            <w:tcW w:w="1434" w:type="dxa"/>
            <w:tcBorders>
              <w:bottom w:val="single" w:sz="4" w:space="0" w:color="auto"/>
            </w:tcBorders>
          </w:tcPr>
          <w:p w14:paraId="2E514ECA" w14:textId="77777777" w:rsidR="000D339D" w:rsidRPr="000D339D" w:rsidRDefault="000D339D" w:rsidP="000D339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Cs w:val="20"/>
              </w:rPr>
            </w:pPr>
            <w:r w:rsidRPr="000D339D">
              <w:rPr>
                <w:szCs w:val="20"/>
              </w:rPr>
              <w:t>0.099</w:t>
            </w:r>
          </w:p>
        </w:tc>
      </w:tr>
    </w:tbl>
    <w:p w14:paraId="723C91A0" w14:textId="77777777" w:rsidR="000D339D" w:rsidRDefault="000D339D" w:rsidP="000D339D"/>
    <w:p w14:paraId="650EFEAE" w14:textId="57C8D4C4" w:rsidR="000022B1" w:rsidRPr="00424090" w:rsidRDefault="000022B1" w:rsidP="000022B1">
      <w:pPr>
        <w:rPr>
          <w:highlight w:val="yellow"/>
          <w:lang w:val="en-US" w:eastAsia="en-AU"/>
        </w:rPr>
      </w:pPr>
    </w:p>
    <w:p w14:paraId="22B54D51" w14:textId="77777777" w:rsidR="000022B1" w:rsidRPr="00424090" w:rsidRDefault="000022B1" w:rsidP="00D632F9">
      <w:pPr>
        <w:rPr>
          <w:highlight w:val="yellow"/>
        </w:rPr>
      </w:pPr>
    </w:p>
    <w:p w14:paraId="561AF903" w14:textId="4DA68761" w:rsidR="007F69C2" w:rsidRPr="00424090" w:rsidRDefault="007F69C2" w:rsidP="00D632F9">
      <w:pPr>
        <w:rPr>
          <w:highlight w:val="yellow"/>
        </w:rPr>
      </w:pPr>
    </w:p>
    <w:p w14:paraId="08A478A5" w14:textId="77777777" w:rsidR="007F69C2" w:rsidRPr="00424090" w:rsidRDefault="007F69C2">
      <w:pPr>
        <w:spacing w:before="0" w:after="160" w:line="259" w:lineRule="auto"/>
        <w:jc w:val="left"/>
        <w:rPr>
          <w:highlight w:val="yellow"/>
        </w:rPr>
      </w:pPr>
      <w:r w:rsidRPr="00424090">
        <w:rPr>
          <w:highlight w:val="yellow"/>
        </w:rPr>
        <w:br w:type="page"/>
      </w:r>
    </w:p>
    <w:p w14:paraId="29F2D80E" w14:textId="2EF993AE" w:rsidR="007F69C2" w:rsidRPr="00BE5181" w:rsidRDefault="007F69C2" w:rsidP="007F69C2">
      <w:pPr>
        <w:pStyle w:val="Caption"/>
        <w:rPr>
          <w:color w:val="44546A" w:themeColor="text2"/>
          <w:sz w:val="26"/>
          <w:szCs w:val="26"/>
        </w:rPr>
      </w:pPr>
      <w:r w:rsidRPr="00BE5181">
        <w:rPr>
          <w:color w:val="44546A" w:themeColor="text2"/>
          <w:sz w:val="26"/>
          <w:szCs w:val="26"/>
        </w:rPr>
        <w:t xml:space="preserve">Fish indicators – statistical outputs </w:t>
      </w:r>
    </w:p>
    <w:p w14:paraId="5A6BC5D2" w14:textId="02C2F7AB" w:rsidR="007F69C2" w:rsidRPr="00FF54F3" w:rsidRDefault="007F69C2" w:rsidP="007F69C2">
      <w:pPr>
        <w:pStyle w:val="Caption"/>
      </w:pPr>
      <w:bookmarkStart w:id="424" w:name="_Ref25065691"/>
      <w:r w:rsidRPr="00FF54F3">
        <w:t>Table</w:t>
      </w:r>
      <w:bookmarkEnd w:id="424"/>
      <w:r w:rsidRPr="00FF54F3">
        <w:rPr>
          <w:noProof/>
        </w:rPr>
        <w:t xml:space="preserve"> D1</w:t>
      </w:r>
      <w:r w:rsidR="00DD27F8">
        <w:rPr>
          <w:noProof/>
        </w:rPr>
        <w:t>2</w:t>
      </w:r>
      <w:r w:rsidRPr="00FF54F3">
        <w:t>. PERMANOVA pairwise comparison test results for golden perch electrofishing abundance (individuals per 90 second shot) in the gorge geomorphic zone (10 sites) of the Lower Murray River in autumn from 2015–202</w:t>
      </w:r>
      <w:r w:rsidR="00FF54F3" w:rsidRPr="00FF54F3">
        <w:t>1</w:t>
      </w:r>
      <w:r w:rsidRPr="00FF54F3">
        <w:t xml:space="preserve">. </w:t>
      </w:r>
      <w:r w:rsidRPr="00FF54F3">
        <w:rPr>
          <w:i/>
        </w:rPr>
        <w:t>P</w:t>
      </w:r>
      <w:r w:rsidRPr="00FF54F3">
        <w:t>-values presented in bold are significant comparisons, using Bonferroni corrected α = 0.</w:t>
      </w:r>
      <w:r w:rsidR="00D8380A" w:rsidRPr="00FF54F3">
        <w:t xml:space="preserve">0024 </w:t>
      </w:r>
      <w:r w:rsidRPr="00FF54F3">
        <w:t xml:space="preserve">(Narum 2006) for comparisons between years (fifteen comparisons).  </w:t>
      </w:r>
    </w:p>
    <w:tbl>
      <w:tblPr>
        <w:tblW w:w="0" w:type="auto"/>
        <w:jc w:val="center"/>
        <w:tblLook w:val="04A0" w:firstRow="1" w:lastRow="0" w:firstColumn="1" w:lastColumn="0" w:noHBand="0" w:noVBand="1"/>
      </w:tblPr>
      <w:tblGrid>
        <w:gridCol w:w="2252"/>
        <w:gridCol w:w="937"/>
        <w:gridCol w:w="1073"/>
      </w:tblGrid>
      <w:tr w:rsidR="00FF54F3" w:rsidRPr="0098654A" w14:paraId="0ADA3A6F" w14:textId="77777777" w:rsidTr="00FF54F3">
        <w:trPr>
          <w:trHeight w:val="340"/>
          <w:jc w:val="center"/>
        </w:trPr>
        <w:tc>
          <w:tcPr>
            <w:tcW w:w="2252" w:type="dxa"/>
            <w:tcBorders>
              <w:top w:val="single" w:sz="4" w:space="0" w:color="auto"/>
              <w:bottom w:val="single" w:sz="4" w:space="0" w:color="auto"/>
            </w:tcBorders>
          </w:tcPr>
          <w:p w14:paraId="34530D6F" w14:textId="174E37A3" w:rsidR="00FF54F3" w:rsidRPr="00FF54F3" w:rsidRDefault="00FF54F3" w:rsidP="00FF54F3">
            <w:pPr>
              <w:spacing w:before="0" w:after="0"/>
              <w:rPr>
                <w:b/>
                <w:sz w:val="20"/>
              </w:rPr>
            </w:pPr>
            <w:r w:rsidRPr="00FF54F3">
              <w:rPr>
                <w:b/>
                <w:sz w:val="20"/>
              </w:rPr>
              <w:t>Comparison</w:t>
            </w:r>
          </w:p>
        </w:tc>
        <w:tc>
          <w:tcPr>
            <w:tcW w:w="887" w:type="dxa"/>
            <w:tcBorders>
              <w:top w:val="single" w:sz="4" w:space="0" w:color="auto"/>
              <w:bottom w:val="single" w:sz="4" w:space="0" w:color="auto"/>
            </w:tcBorders>
          </w:tcPr>
          <w:p w14:paraId="7137267A" w14:textId="4C30A9C2" w:rsidR="00FF54F3" w:rsidRPr="00FF54F3" w:rsidRDefault="00FF54F3" w:rsidP="00FF54F3">
            <w:pPr>
              <w:spacing w:before="0" w:after="0"/>
              <w:rPr>
                <w:b/>
                <w:i/>
                <w:sz w:val="20"/>
              </w:rPr>
            </w:pPr>
            <w:r w:rsidRPr="00FF54F3">
              <w:rPr>
                <w:b/>
                <w:i/>
                <w:sz w:val="20"/>
              </w:rPr>
              <w:t>t</w:t>
            </w:r>
          </w:p>
        </w:tc>
        <w:tc>
          <w:tcPr>
            <w:tcW w:w="1073" w:type="dxa"/>
            <w:tcBorders>
              <w:top w:val="single" w:sz="4" w:space="0" w:color="auto"/>
              <w:bottom w:val="single" w:sz="4" w:space="0" w:color="auto"/>
            </w:tcBorders>
          </w:tcPr>
          <w:p w14:paraId="6BCBF746" w14:textId="01ED6746" w:rsidR="00FF54F3" w:rsidRPr="00FF54F3" w:rsidRDefault="00FF54F3" w:rsidP="00FF54F3">
            <w:pPr>
              <w:spacing w:before="0" w:after="0"/>
              <w:rPr>
                <w:b/>
                <w:i/>
                <w:sz w:val="20"/>
              </w:rPr>
            </w:pPr>
            <w:r w:rsidRPr="00FF54F3">
              <w:rPr>
                <w:b/>
                <w:i/>
                <w:sz w:val="20"/>
              </w:rPr>
              <w:t>P (perm)</w:t>
            </w:r>
          </w:p>
        </w:tc>
      </w:tr>
      <w:tr w:rsidR="00FF54F3" w:rsidRPr="0098654A" w14:paraId="646FD74A" w14:textId="77777777" w:rsidTr="001A502C">
        <w:trPr>
          <w:trHeight w:val="340"/>
          <w:jc w:val="center"/>
        </w:trPr>
        <w:tc>
          <w:tcPr>
            <w:tcW w:w="2252" w:type="dxa"/>
            <w:tcBorders>
              <w:top w:val="single" w:sz="4" w:space="0" w:color="auto"/>
            </w:tcBorders>
          </w:tcPr>
          <w:p w14:paraId="6AE18513" w14:textId="77777777" w:rsidR="00FF54F3" w:rsidRPr="0098654A" w:rsidRDefault="00FF54F3" w:rsidP="00FF54F3">
            <w:pPr>
              <w:spacing w:before="0" w:after="0"/>
              <w:rPr>
                <w:sz w:val="20"/>
              </w:rPr>
            </w:pPr>
            <w:r w:rsidRPr="0098654A">
              <w:rPr>
                <w:sz w:val="20"/>
              </w:rPr>
              <w:t>2015 vs. 2016</w:t>
            </w:r>
          </w:p>
        </w:tc>
        <w:tc>
          <w:tcPr>
            <w:tcW w:w="887" w:type="dxa"/>
            <w:tcBorders>
              <w:top w:val="single" w:sz="4" w:space="0" w:color="auto"/>
            </w:tcBorders>
          </w:tcPr>
          <w:p w14:paraId="68BB1D5D" w14:textId="135037D9" w:rsidR="00FF54F3" w:rsidRPr="00FF54F3" w:rsidRDefault="00FF54F3" w:rsidP="00FF54F3">
            <w:pPr>
              <w:spacing w:before="0" w:after="0"/>
              <w:rPr>
                <w:sz w:val="20"/>
              </w:rPr>
            </w:pPr>
            <w:r w:rsidRPr="00FF54F3">
              <w:rPr>
                <w:sz w:val="20"/>
              </w:rPr>
              <w:t>0.27262</w:t>
            </w:r>
          </w:p>
        </w:tc>
        <w:tc>
          <w:tcPr>
            <w:tcW w:w="1073" w:type="dxa"/>
            <w:tcBorders>
              <w:top w:val="single" w:sz="4" w:space="0" w:color="auto"/>
            </w:tcBorders>
          </w:tcPr>
          <w:p w14:paraId="6D62758A" w14:textId="1EFB91E3" w:rsidR="00FF54F3" w:rsidRPr="00FF54F3" w:rsidRDefault="00FF54F3" w:rsidP="00FF54F3">
            <w:pPr>
              <w:spacing w:before="0" w:after="0"/>
              <w:rPr>
                <w:sz w:val="20"/>
              </w:rPr>
            </w:pPr>
            <w:r w:rsidRPr="00FF54F3">
              <w:rPr>
                <w:sz w:val="20"/>
              </w:rPr>
              <w:t>0.8147</w:t>
            </w:r>
          </w:p>
        </w:tc>
      </w:tr>
      <w:tr w:rsidR="00FF54F3" w:rsidRPr="0098654A" w14:paraId="5E3EA27F" w14:textId="77777777" w:rsidTr="001A502C">
        <w:trPr>
          <w:trHeight w:val="340"/>
          <w:jc w:val="center"/>
        </w:trPr>
        <w:tc>
          <w:tcPr>
            <w:tcW w:w="2252" w:type="dxa"/>
          </w:tcPr>
          <w:p w14:paraId="31A30D26" w14:textId="77777777" w:rsidR="00FF54F3" w:rsidRPr="0098654A" w:rsidRDefault="00FF54F3" w:rsidP="00FF54F3">
            <w:pPr>
              <w:spacing w:before="0" w:after="0"/>
              <w:rPr>
                <w:sz w:val="20"/>
              </w:rPr>
            </w:pPr>
            <w:r w:rsidRPr="0098654A">
              <w:rPr>
                <w:sz w:val="20"/>
              </w:rPr>
              <w:t>2015 vs. 2017</w:t>
            </w:r>
          </w:p>
        </w:tc>
        <w:tc>
          <w:tcPr>
            <w:tcW w:w="887" w:type="dxa"/>
          </w:tcPr>
          <w:p w14:paraId="573C276C" w14:textId="29BF6260" w:rsidR="00FF54F3" w:rsidRPr="00FF54F3" w:rsidRDefault="00FF54F3" w:rsidP="00FF54F3">
            <w:pPr>
              <w:spacing w:before="0" w:after="0"/>
              <w:rPr>
                <w:sz w:val="20"/>
              </w:rPr>
            </w:pPr>
            <w:r w:rsidRPr="00FF54F3">
              <w:rPr>
                <w:sz w:val="20"/>
              </w:rPr>
              <w:t>1.4563</w:t>
            </w:r>
          </w:p>
        </w:tc>
        <w:tc>
          <w:tcPr>
            <w:tcW w:w="1073" w:type="dxa"/>
          </w:tcPr>
          <w:p w14:paraId="39C1320D" w14:textId="2DDE0FD0" w:rsidR="00FF54F3" w:rsidRPr="00FF54F3" w:rsidRDefault="00FF54F3" w:rsidP="00FF54F3">
            <w:pPr>
              <w:spacing w:before="0" w:after="0"/>
              <w:rPr>
                <w:b/>
                <w:bCs/>
                <w:sz w:val="20"/>
              </w:rPr>
            </w:pPr>
            <w:r w:rsidRPr="00FF54F3">
              <w:rPr>
                <w:sz w:val="20"/>
              </w:rPr>
              <w:t>0.1741</w:t>
            </w:r>
          </w:p>
        </w:tc>
      </w:tr>
      <w:tr w:rsidR="00FF54F3" w:rsidRPr="0098654A" w14:paraId="56428494" w14:textId="77777777" w:rsidTr="001A502C">
        <w:trPr>
          <w:trHeight w:val="340"/>
          <w:jc w:val="center"/>
        </w:trPr>
        <w:tc>
          <w:tcPr>
            <w:tcW w:w="2252" w:type="dxa"/>
          </w:tcPr>
          <w:p w14:paraId="23ECC040" w14:textId="77777777" w:rsidR="00FF54F3" w:rsidRPr="0098654A" w:rsidRDefault="00FF54F3" w:rsidP="00FF54F3">
            <w:pPr>
              <w:spacing w:before="0" w:after="0"/>
              <w:rPr>
                <w:sz w:val="20"/>
              </w:rPr>
            </w:pPr>
            <w:r w:rsidRPr="0098654A">
              <w:rPr>
                <w:sz w:val="20"/>
              </w:rPr>
              <w:t>2015 vs. 2018</w:t>
            </w:r>
          </w:p>
        </w:tc>
        <w:tc>
          <w:tcPr>
            <w:tcW w:w="887" w:type="dxa"/>
          </w:tcPr>
          <w:p w14:paraId="4C98101F" w14:textId="2456C65B" w:rsidR="00FF54F3" w:rsidRPr="00FF54F3" w:rsidRDefault="00FF54F3" w:rsidP="00FF54F3">
            <w:pPr>
              <w:spacing w:before="0" w:after="0"/>
              <w:rPr>
                <w:sz w:val="20"/>
              </w:rPr>
            </w:pPr>
            <w:r w:rsidRPr="00FF54F3">
              <w:rPr>
                <w:sz w:val="20"/>
              </w:rPr>
              <w:t>0.82529</w:t>
            </w:r>
          </w:p>
        </w:tc>
        <w:tc>
          <w:tcPr>
            <w:tcW w:w="1073" w:type="dxa"/>
          </w:tcPr>
          <w:p w14:paraId="00AF49EF" w14:textId="322466A5" w:rsidR="00FF54F3" w:rsidRPr="00FF54F3" w:rsidRDefault="00FF54F3" w:rsidP="00FF54F3">
            <w:pPr>
              <w:spacing w:before="0" w:after="0"/>
              <w:rPr>
                <w:sz w:val="20"/>
              </w:rPr>
            </w:pPr>
            <w:r w:rsidRPr="00FF54F3">
              <w:rPr>
                <w:sz w:val="20"/>
              </w:rPr>
              <w:t>0.4445</w:t>
            </w:r>
          </w:p>
        </w:tc>
      </w:tr>
      <w:tr w:rsidR="00FF54F3" w:rsidRPr="0098654A" w14:paraId="71BC8916" w14:textId="77777777" w:rsidTr="001A502C">
        <w:trPr>
          <w:trHeight w:val="340"/>
          <w:jc w:val="center"/>
        </w:trPr>
        <w:tc>
          <w:tcPr>
            <w:tcW w:w="2252" w:type="dxa"/>
          </w:tcPr>
          <w:p w14:paraId="50E518AD" w14:textId="77777777" w:rsidR="00FF54F3" w:rsidRPr="0098654A" w:rsidRDefault="00FF54F3" w:rsidP="00FF54F3">
            <w:pPr>
              <w:spacing w:before="0" w:after="0"/>
              <w:rPr>
                <w:sz w:val="20"/>
              </w:rPr>
            </w:pPr>
            <w:r w:rsidRPr="0098654A">
              <w:rPr>
                <w:sz w:val="20"/>
              </w:rPr>
              <w:t>2015 vs. 2019</w:t>
            </w:r>
          </w:p>
        </w:tc>
        <w:tc>
          <w:tcPr>
            <w:tcW w:w="887" w:type="dxa"/>
          </w:tcPr>
          <w:p w14:paraId="7FF088CC" w14:textId="6226971B" w:rsidR="00FF54F3" w:rsidRPr="00FF54F3" w:rsidRDefault="00FF54F3" w:rsidP="00FF54F3">
            <w:pPr>
              <w:spacing w:before="0" w:after="0"/>
              <w:rPr>
                <w:sz w:val="20"/>
              </w:rPr>
            </w:pPr>
            <w:r w:rsidRPr="00FF54F3">
              <w:rPr>
                <w:sz w:val="20"/>
              </w:rPr>
              <w:t>3.6323</w:t>
            </w:r>
          </w:p>
        </w:tc>
        <w:tc>
          <w:tcPr>
            <w:tcW w:w="1073" w:type="dxa"/>
          </w:tcPr>
          <w:p w14:paraId="49BD0626" w14:textId="29986BC5" w:rsidR="00FF54F3" w:rsidRPr="00FF54F3" w:rsidRDefault="00FF54F3" w:rsidP="00FF54F3">
            <w:pPr>
              <w:spacing w:before="0" w:after="0"/>
              <w:rPr>
                <w:b/>
                <w:bCs/>
                <w:sz w:val="20"/>
              </w:rPr>
            </w:pPr>
            <w:r w:rsidRPr="00FF54F3">
              <w:rPr>
                <w:b/>
                <w:bCs/>
                <w:sz w:val="20"/>
              </w:rPr>
              <w:t>0.0019</w:t>
            </w:r>
          </w:p>
        </w:tc>
      </w:tr>
      <w:tr w:rsidR="00FF54F3" w:rsidRPr="0098654A" w14:paraId="78BDB542" w14:textId="77777777" w:rsidTr="001A502C">
        <w:trPr>
          <w:trHeight w:val="340"/>
          <w:jc w:val="center"/>
        </w:trPr>
        <w:tc>
          <w:tcPr>
            <w:tcW w:w="2252" w:type="dxa"/>
            <w:shd w:val="clear" w:color="auto" w:fill="auto"/>
          </w:tcPr>
          <w:p w14:paraId="68E41683" w14:textId="77777777" w:rsidR="00FF54F3" w:rsidRPr="0098654A" w:rsidRDefault="00FF54F3" w:rsidP="00FF54F3">
            <w:pPr>
              <w:spacing w:before="0" w:after="0"/>
              <w:rPr>
                <w:sz w:val="20"/>
              </w:rPr>
            </w:pPr>
            <w:r w:rsidRPr="0098654A">
              <w:rPr>
                <w:sz w:val="20"/>
              </w:rPr>
              <w:t>2015 vs. 2020</w:t>
            </w:r>
          </w:p>
        </w:tc>
        <w:tc>
          <w:tcPr>
            <w:tcW w:w="887" w:type="dxa"/>
            <w:shd w:val="clear" w:color="auto" w:fill="auto"/>
          </w:tcPr>
          <w:p w14:paraId="114093CF" w14:textId="47547851" w:rsidR="00FF54F3" w:rsidRPr="00FF54F3" w:rsidRDefault="00FF54F3" w:rsidP="00FF54F3">
            <w:pPr>
              <w:spacing w:before="0" w:after="0"/>
              <w:rPr>
                <w:sz w:val="20"/>
              </w:rPr>
            </w:pPr>
            <w:r w:rsidRPr="00FF54F3">
              <w:rPr>
                <w:sz w:val="20"/>
              </w:rPr>
              <w:t>3.5222</w:t>
            </w:r>
          </w:p>
        </w:tc>
        <w:tc>
          <w:tcPr>
            <w:tcW w:w="1073" w:type="dxa"/>
            <w:shd w:val="clear" w:color="auto" w:fill="auto"/>
          </w:tcPr>
          <w:p w14:paraId="7573151B" w14:textId="0EB4629A" w:rsidR="00FF54F3" w:rsidRPr="00FF54F3" w:rsidRDefault="00FF54F3" w:rsidP="00FF54F3">
            <w:pPr>
              <w:spacing w:before="0" w:after="0"/>
              <w:rPr>
                <w:b/>
                <w:bCs/>
                <w:sz w:val="20"/>
              </w:rPr>
            </w:pPr>
            <w:r w:rsidRPr="00FF54F3">
              <w:rPr>
                <w:b/>
                <w:bCs/>
                <w:sz w:val="20"/>
              </w:rPr>
              <w:t>0.0022</w:t>
            </w:r>
          </w:p>
        </w:tc>
      </w:tr>
      <w:tr w:rsidR="00FF54F3" w:rsidRPr="0098654A" w14:paraId="16F36969" w14:textId="77777777" w:rsidTr="001A502C">
        <w:trPr>
          <w:trHeight w:val="340"/>
          <w:jc w:val="center"/>
        </w:trPr>
        <w:tc>
          <w:tcPr>
            <w:tcW w:w="2252" w:type="dxa"/>
            <w:shd w:val="clear" w:color="auto" w:fill="auto"/>
          </w:tcPr>
          <w:p w14:paraId="20DF90CD" w14:textId="77777777" w:rsidR="00FF54F3" w:rsidRPr="0098654A" w:rsidRDefault="00FF54F3" w:rsidP="00FF54F3">
            <w:pPr>
              <w:spacing w:before="0" w:after="0"/>
              <w:rPr>
                <w:sz w:val="20"/>
              </w:rPr>
            </w:pPr>
            <w:r w:rsidRPr="0098654A">
              <w:rPr>
                <w:sz w:val="20"/>
              </w:rPr>
              <w:t>2015 vs. 202</w:t>
            </w:r>
            <w:r>
              <w:rPr>
                <w:sz w:val="20"/>
              </w:rPr>
              <w:t>1</w:t>
            </w:r>
          </w:p>
        </w:tc>
        <w:tc>
          <w:tcPr>
            <w:tcW w:w="887" w:type="dxa"/>
            <w:shd w:val="clear" w:color="auto" w:fill="auto"/>
          </w:tcPr>
          <w:p w14:paraId="3BC2CAA3" w14:textId="1E9B2726" w:rsidR="00FF54F3" w:rsidRPr="00FF54F3" w:rsidRDefault="00FF54F3" w:rsidP="00FF54F3">
            <w:pPr>
              <w:spacing w:before="0" w:after="0"/>
              <w:rPr>
                <w:sz w:val="20"/>
              </w:rPr>
            </w:pPr>
            <w:r w:rsidRPr="00FF54F3">
              <w:rPr>
                <w:sz w:val="20"/>
              </w:rPr>
              <w:t>2.0927</w:t>
            </w:r>
          </w:p>
        </w:tc>
        <w:tc>
          <w:tcPr>
            <w:tcW w:w="1073" w:type="dxa"/>
            <w:shd w:val="clear" w:color="auto" w:fill="auto"/>
          </w:tcPr>
          <w:p w14:paraId="3AE4919A" w14:textId="58D9A665" w:rsidR="00FF54F3" w:rsidRPr="00FF54F3" w:rsidRDefault="00FF54F3" w:rsidP="00FF54F3">
            <w:pPr>
              <w:spacing w:before="0" w:after="0"/>
              <w:rPr>
                <w:b/>
                <w:bCs/>
                <w:sz w:val="20"/>
              </w:rPr>
            </w:pPr>
            <w:r w:rsidRPr="00FF54F3">
              <w:rPr>
                <w:sz w:val="20"/>
              </w:rPr>
              <w:t>0.0555</w:t>
            </w:r>
          </w:p>
        </w:tc>
      </w:tr>
      <w:tr w:rsidR="00FF54F3" w:rsidRPr="0098654A" w14:paraId="50E8729D" w14:textId="77777777" w:rsidTr="001A502C">
        <w:trPr>
          <w:trHeight w:val="340"/>
          <w:jc w:val="center"/>
        </w:trPr>
        <w:tc>
          <w:tcPr>
            <w:tcW w:w="2252" w:type="dxa"/>
            <w:shd w:val="clear" w:color="auto" w:fill="auto"/>
          </w:tcPr>
          <w:p w14:paraId="131FA2B6" w14:textId="77777777" w:rsidR="00FF54F3" w:rsidRPr="0098654A" w:rsidRDefault="00FF54F3" w:rsidP="00FF54F3">
            <w:pPr>
              <w:spacing w:before="0" w:after="0"/>
              <w:rPr>
                <w:sz w:val="20"/>
              </w:rPr>
            </w:pPr>
            <w:r w:rsidRPr="0098654A">
              <w:rPr>
                <w:sz w:val="20"/>
              </w:rPr>
              <w:t>2016 vs. 2017</w:t>
            </w:r>
          </w:p>
        </w:tc>
        <w:tc>
          <w:tcPr>
            <w:tcW w:w="887" w:type="dxa"/>
            <w:shd w:val="clear" w:color="auto" w:fill="auto"/>
          </w:tcPr>
          <w:p w14:paraId="3FB1D11F" w14:textId="6AE27585" w:rsidR="00FF54F3" w:rsidRPr="00FF54F3" w:rsidRDefault="00FF54F3" w:rsidP="00FF54F3">
            <w:pPr>
              <w:spacing w:before="0" w:after="0"/>
              <w:rPr>
                <w:sz w:val="20"/>
              </w:rPr>
            </w:pPr>
            <w:r w:rsidRPr="00FF54F3">
              <w:rPr>
                <w:sz w:val="20"/>
              </w:rPr>
              <w:t>1.6998</w:t>
            </w:r>
          </w:p>
        </w:tc>
        <w:tc>
          <w:tcPr>
            <w:tcW w:w="1073" w:type="dxa"/>
            <w:shd w:val="clear" w:color="auto" w:fill="auto"/>
          </w:tcPr>
          <w:p w14:paraId="23B06429" w14:textId="3F5261CF" w:rsidR="00FF54F3" w:rsidRPr="00FF54F3" w:rsidRDefault="00FF54F3" w:rsidP="00FF54F3">
            <w:pPr>
              <w:spacing w:before="0" w:after="0"/>
              <w:rPr>
                <w:sz w:val="20"/>
              </w:rPr>
            </w:pPr>
            <w:r w:rsidRPr="00FF54F3">
              <w:rPr>
                <w:sz w:val="20"/>
              </w:rPr>
              <w:t>0.1103</w:t>
            </w:r>
          </w:p>
        </w:tc>
      </w:tr>
      <w:tr w:rsidR="00FF54F3" w:rsidRPr="0098654A" w14:paraId="2447D122" w14:textId="77777777" w:rsidTr="001A502C">
        <w:trPr>
          <w:trHeight w:val="340"/>
          <w:jc w:val="center"/>
        </w:trPr>
        <w:tc>
          <w:tcPr>
            <w:tcW w:w="2252" w:type="dxa"/>
            <w:shd w:val="clear" w:color="auto" w:fill="auto"/>
          </w:tcPr>
          <w:p w14:paraId="0081D8D1" w14:textId="77777777" w:rsidR="00FF54F3" w:rsidRPr="0098654A" w:rsidRDefault="00FF54F3" w:rsidP="00FF54F3">
            <w:pPr>
              <w:spacing w:before="0" w:after="0"/>
              <w:rPr>
                <w:sz w:val="20"/>
              </w:rPr>
            </w:pPr>
            <w:r w:rsidRPr="0098654A">
              <w:rPr>
                <w:sz w:val="20"/>
              </w:rPr>
              <w:t>2016 vs. 2018</w:t>
            </w:r>
          </w:p>
        </w:tc>
        <w:tc>
          <w:tcPr>
            <w:tcW w:w="887" w:type="dxa"/>
            <w:shd w:val="clear" w:color="auto" w:fill="auto"/>
          </w:tcPr>
          <w:p w14:paraId="10676CFF" w14:textId="620803F9" w:rsidR="00FF54F3" w:rsidRPr="00FF54F3" w:rsidRDefault="00FF54F3" w:rsidP="00FF54F3">
            <w:pPr>
              <w:spacing w:before="0" w:after="0"/>
              <w:rPr>
                <w:sz w:val="20"/>
              </w:rPr>
            </w:pPr>
            <w:r w:rsidRPr="00FF54F3">
              <w:rPr>
                <w:sz w:val="20"/>
              </w:rPr>
              <w:t>0.69301</w:t>
            </w:r>
          </w:p>
        </w:tc>
        <w:tc>
          <w:tcPr>
            <w:tcW w:w="1073" w:type="dxa"/>
            <w:shd w:val="clear" w:color="auto" w:fill="auto"/>
          </w:tcPr>
          <w:p w14:paraId="6ACD2669" w14:textId="0EACEB2C" w:rsidR="00FF54F3" w:rsidRPr="00FF54F3" w:rsidRDefault="00FF54F3" w:rsidP="00FF54F3">
            <w:pPr>
              <w:spacing w:before="0" w:after="0"/>
              <w:rPr>
                <w:sz w:val="20"/>
              </w:rPr>
            </w:pPr>
            <w:r w:rsidRPr="00FF54F3">
              <w:rPr>
                <w:sz w:val="20"/>
              </w:rPr>
              <w:t>0.5202</w:t>
            </w:r>
          </w:p>
        </w:tc>
      </w:tr>
      <w:tr w:rsidR="00FF54F3" w:rsidRPr="0098654A" w14:paraId="682D9B92" w14:textId="77777777" w:rsidTr="001A502C">
        <w:trPr>
          <w:trHeight w:val="340"/>
          <w:jc w:val="center"/>
        </w:trPr>
        <w:tc>
          <w:tcPr>
            <w:tcW w:w="2252" w:type="dxa"/>
            <w:shd w:val="clear" w:color="auto" w:fill="auto"/>
          </w:tcPr>
          <w:p w14:paraId="722EC0EB" w14:textId="77777777" w:rsidR="00FF54F3" w:rsidRPr="0098654A" w:rsidRDefault="00FF54F3" w:rsidP="00FF54F3">
            <w:pPr>
              <w:spacing w:before="0" w:after="0"/>
              <w:rPr>
                <w:sz w:val="20"/>
              </w:rPr>
            </w:pPr>
            <w:r w:rsidRPr="0098654A">
              <w:rPr>
                <w:sz w:val="20"/>
              </w:rPr>
              <w:t>2016 vs. 2019</w:t>
            </w:r>
          </w:p>
        </w:tc>
        <w:tc>
          <w:tcPr>
            <w:tcW w:w="887" w:type="dxa"/>
            <w:shd w:val="clear" w:color="auto" w:fill="auto"/>
          </w:tcPr>
          <w:p w14:paraId="06ABE0B9" w14:textId="52FC1D3C" w:rsidR="00FF54F3" w:rsidRPr="00FF54F3" w:rsidRDefault="00FF54F3" w:rsidP="00FF54F3">
            <w:pPr>
              <w:spacing w:before="0" w:after="0"/>
              <w:rPr>
                <w:sz w:val="20"/>
              </w:rPr>
            </w:pPr>
            <w:r w:rsidRPr="00FF54F3">
              <w:rPr>
                <w:sz w:val="20"/>
              </w:rPr>
              <w:t>4.7217</w:t>
            </w:r>
          </w:p>
        </w:tc>
        <w:tc>
          <w:tcPr>
            <w:tcW w:w="1073" w:type="dxa"/>
            <w:shd w:val="clear" w:color="auto" w:fill="auto"/>
          </w:tcPr>
          <w:p w14:paraId="0AD8DBAC" w14:textId="1FB59838" w:rsidR="00FF54F3" w:rsidRPr="00FF54F3" w:rsidRDefault="00FF54F3" w:rsidP="00FF54F3">
            <w:pPr>
              <w:spacing w:before="0" w:after="0"/>
              <w:rPr>
                <w:b/>
                <w:bCs/>
                <w:sz w:val="20"/>
              </w:rPr>
            </w:pPr>
            <w:r w:rsidRPr="00FF54F3">
              <w:rPr>
                <w:b/>
                <w:bCs/>
                <w:sz w:val="20"/>
              </w:rPr>
              <w:t>0.0004</w:t>
            </w:r>
          </w:p>
        </w:tc>
      </w:tr>
      <w:tr w:rsidR="00FF54F3" w:rsidRPr="0098654A" w14:paraId="7CFEED34" w14:textId="77777777" w:rsidTr="001A502C">
        <w:trPr>
          <w:trHeight w:val="340"/>
          <w:jc w:val="center"/>
        </w:trPr>
        <w:tc>
          <w:tcPr>
            <w:tcW w:w="2252" w:type="dxa"/>
            <w:shd w:val="clear" w:color="auto" w:fill="auto"/>
          </w:tcPr>
          <w:p w14:paraId="38B6145E" w14:textId="77777777" w:rsidR="00FF54F3" w:rsidRPr="0098654A" w:rsidRDefault="00FF54F3" w:rsidP="00FF54F3">
            <w:pPr>
              <w:spacing w:before="0" w:after="0"/>
              <w:rPr>
                <w:sz w:val="20"/>
              </w:rPr>
            </w:pPr>
            <w:r w:rsidRPr="0098654A">
              <w:rPr>
                <w:sz w:val="20"/>
              </w:rPr>
              <w:t>2016 vs. 2020</w:t>
            </w:r>
          </w:p>
        </w:tc>
        <w:tc>
          <w:tcPr>
            <w:tcW w:w="887" w:type="dxa"/>
            <w:shd w:val="clear" w:color="auto" w:fill="auto"/>
          </w:tcPr>
          <w:p w14:paraId="3C383C4E" w14:textId="770B2368" w:rsidR="00FF54F3" w:rsidRPr="00FF54F3" w:rsidRDefault="00FF54F3" w:rsidP="00FF54F3">
            <w:pPr>
              <w:spacing w:before="0" w:after="0"/>
              <w:rPr>
                <w:sz w:val="20"/>
              </w:rPr>
            </w:pPr>
            <w:r w:rsidRPr="00FF54F3">
              <w:rPr>
                <w:sz w:val="20"/>
              </w:rPr>
              <w:t>4.3351</w:t>
            </w:r>
          </w:p>
        </w:tc>
        <w:tc>
          <w:tcPr>
            <w:tcW w:w="1073" w:type="dxa"/>
            <w:shd w:val="clear" w:color="auto" w:fill="auto"/>
          </w:tcPr>
          <w:p w14:paraId="546E543A" w14:textId="01594516" w:rsidR="00FF54F3" w:rsidRPr="00FF54F3" w:rsidRDefault="00FF54F3" w:rsidP="00FF54F3">
            <w:pPr>
              <w:spacing w:before="0" w:after="0"/>
              <w:rPr>
                <w:b/>
                <w:bCs/>
                <w:sz w:val="20"/>
              </w:rPr>
            </w:pPr>
            <w:r w:rsidRPr="00FF54F3">
              <w:rPr>
                <w:b/>
                <w:bCs/>
                <w:sz w:val="20"/>
              </w:rPr>
              <w:t>0.0006</w:t>
            </w:r>
          </w:p>
        </w:tc>
      </w:tr>
      <w:tr w:rsidR="00FF54F3" w:rsidRPr="0098654A" w14:paraId="282633CF" w14:textId="77777777" w:rsidTr="001A502C">
        <w:trPr>
          <w:trHeight w:val="340"/>
          <w:jc w:val="center"/>
        </w:trPr>
        <w:tc>
          <w:tcPr>
            <w:tcW w:w="2252" w:type="dxa"/>
            <w:shd w:val="clear" w:color="auto" w:fill="auto"/>
          </w:tcPr>
          <w:p w14:paraId="5ADEE4D7" w14:textId="77777777" w:rsidR="00FF54F3" w:rsidRPr="0098654A" w:rsidRDefault="00FF54F3" w:rsidP="00FF54F3">
            <w:pPr>
              <w:spacing w:before="0" w:after="0"/>
              <w:rPr>
                <w:sz w:val="20"/>
              </w:rPr>
            </w:pPr>
            <w:r w:rsidRPr="0098654A">
              <w:rPr>
                <w:sz w:val="20"/>
              </w:rPr>
              <w:t>201</w:t>
            </w:r>
            <w:r>
              <w:rPr>
                <w:sz w:val="20"/>
              </w:rPr>
              <w:t>6</w:t>
            </w:r>
            <w:r w:rsidRPr="0098654A">
              <w:rPr>
                <w:sz w:val="20"/>
              </w:rPr>
              <w:t xml:space="preserve"> vs. 202</w:t>
            </w:r>
            <w:r>
              <w:rPr>
                <w:sz w:val="20"/>
              </w:rPr>
              <w:t>1</w:t>
            </w:r>
          </w:p>
        </w:tc>
        <w:tc>
          <w:tcPr>
            <w:tcW w:w="887" w:type="dxa"/>
            <w:shd w:val="clear" w:color="auto" w:fill="auto"/>
          </w:tcPr>
          <w:p w14:paraId="33FDFD2C" w14:textId="42A83F11" w:rsidR="00FF54F3" w:rsidRPr="00FF54F3" w:rsidRDefault="00FF54F3" w:rsidP="00FF54F3">
            <w:pPr>
              <w:spacing w:before="0" w:after="0"/>
              <w:rPr>
                <w:sz w:val="20"/>
              </w:rPr>
            </w:pPr>
            <w:r w:rsidRPr="00FF54F3">
              <w:rPr>
                <w:sz w:val="20"/>
              </w:rPr>
              <w:t>2.3178</w:t>
            </w:r>
          </w:p>
        </w:tc>
        <w:tc>
          <w:tcPr>
            <w:tcW w:w="1073" w:type="dxa"/>
            <w:shd w:val="clear" w:color="auto" w:fill="auto"/>
          </w:tcPr>
          <w:p w14:paraId="31E65E7F" w14:textId="44C24302" w:rsidR="00FF54F3" w:rsidRPr="00FF54F3" w:rsidRDefault="00FF54F3" w:rsidP="00FF54F3">
            <w:pPr>
              <w:spacing w:before="0" w:after="0"/>
              <w:rPr>
                <w:sz w:val="20"/>
              </w:rPr>
            </w:pPr>
            <w:r w:rsidRPr="00FF54F3">
              <w:rPr>
                <w:sz w:val="20"/>
              </w:rPr>
              <w:t>0.036</w:t>
            </w:r>
          </w:p>
        </w:tc>
      </w:tr>
      <w:tr w:rsidR="00FF54F3" w:rsidRPr="0098654A" w14:paraId="2512994F" w14:textId="77777777" w:rsidTr="001A502C">
        <w:trPr>
          <w:trHeight w:val="340"/>
          <w:jc w:val="center"/>
        </w:trPr>
        <w:tc>
          <w:tcPr>
            <w:tcW w:w="2252" w:type="dxa"/>
            <w:shd w:val="clear" w:color="auto" w:fill="auto"/>
          </w:tcPr>
          <w:p w14:paraId="5C9E52C8" w14:textId="77777777" w:rsidR="00FF54F3" w:rsidRPr="0098654A" w:rsidRDefault="00FF54F3" w:rsidP="00FF54F3">
            <w:pPr>
              <w:spacing w:before="0" w:after="0"/>
              <w:rPr>
                <w:sz w:val="20"/>
              </w:rPr>
            </w:pPr>
            <w:r w:rsidRPr="0098654A">
              <w:rPr>
                <w:sz w:val="20"/>
              </w:rPr>
              <w:t>2017 vs. 2018</w:t>
            </w:r>
          </w:p>
        </w:tc>
        <w:tc>
          <w:tcPr>
            <w:tcW w:w="887" w:type="dxa"/>
            <w:shd w:val="clear" w:color="auto" w:fill="auto"/>
          </w:tcPr>
          <w:p w14:paraId="40DAA08B" w14:textId="45A80B13" w:rsidR="00FF54F3" w:rsidRPr="00FF54F3" w:rsidRDefault="00FF54F3" w:rsidP="00FF54F3">
            <w:pPr>
              <w:spacing w:before="0" w:after="0"/>
              <w:rPr>
                <w:sz w:val="20"/>
              </w:rPr>
            </w:pPr>
            <w:r w:rsidRPr="00FF54F3">
              <w:rPr>
                <w:sz w:val="20"/>
              </w:rPr>
              <w:t>0.8086</w:t>
            </w:r>
          </w:p>
        </w:tc>
        <w:tc>
          <w:tcPr>
            <w:tcW w:w="1073" w:type="dxa"/>
            <w:shd w:val="clear" w:color="auto" w:fill="auto"/>
          </w:tcPr>
          <w:p w14:paraId="1E4DBED4" w14:textId="3A92151C" w:rsidR="00FF54F3" w:rsidRPr="00FF54F3" w:rsidRDefault="00FF54F3" w:rsidP="00FF54F3">
            <w:pPr>
              <w:spacing w:before="0" w:after="0"/>
              <w:rPr>
                <w:b/>
                <w:bCs/>
                <w:sz w:val="20"/>
              </w:rPr>
            </w:pPr>
            <w:r w:rsidRPr="00FF54F3">
              <w:rPr>
                <w:sz w:val="20"/>
              </w:rPr>
              <w:t>0.449</w:t>
            </w:r>
          </w:p>
        </w:tc>
      </w:tr>
      <w:tr w:rsidR="00FF54F3" w:rsidRPr="0098654A" w14:paraId="7216CE41" w14:textId="77777777" w:rsidTr="001A502C">
        <w:trPr>
          <w:trHeight w:val="340"/>
          <w:jc w:val="center"/>
        </w:trPr>
        <w:tc>
          <w:tcPr>
            <w:tcW w:w="2252" w:type="dxa"/>
            <w:shd w:val="clear" w:color="auto" w:fill="auto"/>
          </w:tcPr>
          <w:p w14:paraId="55903787" w14:textId="77777777" w:rsidR="00FF54F3" w:rsidRPr="0098654A" w:rsidRDefault="00FF54F3" w:rsidP="00FF54F3">
            <w:pPr>
              <w:spacing w:before="0" w:after="0"/>
              <w:rPr>
                <w:sz w:val="20"/>
              </w:rPr>
            </w:pPr>
            <w:r w:rsidRPr="0098654A">
              <w:rPr>
                <w:sz w:val="20"/>
              </w:rPr>
              <w:t>2017 vs. 2019</w:t>
            </w:r>
          </w:p>
        </w:tc>
        <w:tc>
          <w:tcPr>
            <w:tcW w:w="887" w:type="dxa"/>
            <w:shd w:val="clear" w:color="auto" w:fill="auto"/>
          </w:tcPr>
          <w:p w14:paraId="18AF08FE" w14:textId="784E685D" w:rsidR="00FF54F3" w:rsidRPr="00FF54F3" w:rsidRDefault="00FF54F3" w:rsidP="00FF54F3">
            <w:pPr>
              <w:spacing w:before="0" w:after="0"/>
              <w:rPr>
                <w:sz w:val="20"/>
              </w:rPr>
            </w:pPr>
            <w:r w:rsidRPr="00FF54F3">
              <w:rPr>
                <w:sz w:val="20"/>
              </w:rPr>
              <w:t>2.1526</w:t>
            </w:r>
          </w:p>
        </w:tc>
        <w:tc>
          <w:tcPr>
            <w:tcW w:w="1073" w:type="dxa"/>
            <w:shd w:val="clear" w:color="auto" w:fill="auto"/>
          </w:tcPr>
          <w:p w14:paraId="0DF8AEAD" w14:textId="62A2441B" w:rsidR="00FF54F3" w:rsidRPr="00FF54F3" w:rsidRDefault="00FF54F3" w:rsidP="00FF54F3">
            <w:pPr>
              <w:spacing w:before="0" w:after="0"/>
              <w:rPr>
                <w:b/>
                <w:bCs/>
                <w:sz w:val="20"/>
              </w:rPr>
            </w:pPr>
            <w:r w:rsidRPr="00FF54F3">
              <w:rPr>
                <w:sz w:val="20"/>
              </w:rPr>
              <w:t>0.0605</w:t>
            </w:r>
          </w:p>
        </w:tc>
      </w:tr>
      <w:tr w:rsidR="00FF54F3" w:rsidRPr="0098654A" w14:paraId="0D14C0CD" w14:textId="77777777" w:rsidTr="001A502C">
        <w:trPr>
          <w:trHeight w:val="340"/>
          <w:jc w:val="center"/>
        </w:trPr>
        <w:tc>
          <w:tcPr>
            <w:tcW w:w="2252" w:type="dxa"/>
            <w:shd w:val="clear" w:color="auto" w:fill="auto"/>
          </w:tcPr>
          <w:p w14:paraId="6FF395D6" w14:textId="77777777" w:rsidR="00FF54F3" w:rsidRPr="0098654A" w:rsidRDefault="00FF54F3" w:rsidP="00FF54F3">
            <w:pPr>
              <w:spacing w:before="0" w:after="0"/>
              <w:rPr>
                <w:sz w:val="20"/>
              </w:rPr>
            </w:pPr>
            <w:r w:rsidRPr="0098654A">
              <w:rPr>
                <w:sz w:val="20"/>
              </w:rPr>
              <w:t>2017 vs. 2020</w:t>
            </w:r>
          </w:p>
        </w:tc>
        <w:tc>
          <w:tcPr>
            <w:tcW w:w="887" w:type="dxa"/>
            <w:shd w:val="clear" w:color="auto" w:fill="auto"/>
          </w:tcPr>
          <w:p w14:paraId="6EC82741" w14:textId="6DDC3036" w:rsidR="00FF54F3" w:rsidRPr="00FF54F3" w:rsidRDefault="00FF54F3" w:rsidP="00FF54F3">
            <w:pPr>
              <w:spacing w:before="0" w:after="0"/>
              <w:rPr>
                <w:sz w:val="20"/>
              </w:rPr>
            </w:pPr>
            <w:r w:rsidRPr="00FF54F3">
              <w:rPr>
                <w:sz w:val="20"/>
              </w:rPr>
              <w:t>1.8277</w:t>
            </w:r>
          </w:p>
        </w:tc>
        <w:tc>
          <w:tcPr>
            <w:tcW w:w="1073" w:type="dxa"/>
            <w:shd w:val="clear" w:color="auto" w:fill="auto"/>
          </w:tcPr>
          <w:p w14:paraId="0F96D3D7" w14:textId="350A0F9B" w:rsidR="00FF54F3" w:rsidRPr="00FF54F3" w:rsidRDefault="00FF54F3" w:rsidP="00FF54F3">
            <w:pPr>
              <w:spacing w:before="0" w:after="0"/>
              <w:rPr>
                <w:b/>
                <w:bCs/>
                <w:sz w:val="20"/>
              </w:rPr>
            </w:pPr>
            <w:r w:rsidRPr="00FF54F3">
              <w:rPr>
                <w:sz w:val="20"/>
              </w:rPr>
              <w:t>0.1121</w:t>
            </w:r>
          </w:p>
        </w:tc>
      </w:tr>
      <w:tr w:rsidR="00FF54F3" w:rsidRPr="0098654A" w14:paraId="6F0C6B6D" w14:textId="77777777" w:rsidTr="001A502C">
        <w:trPr>
          <w:trHeight w:val="340"/>
          <w:jc w:val="center"/>
        </w:trPr>
        <w:tc>
          <w:tcPr>
            <w:tcW w:w="2252" w:type="dxa"/>
            <w:shd w:val="clear" w:color="auto" w:fill="auto"/>
          </w:tcPr>
          <w:p w14:paraId="70353935" w14:textId="77777777" w:rsidR="00FF54F3" w:rsidRPr="0098654A" w:rsidRDefault="00FF54F3" w:rsidP="00FF54F3">
            <w:pPr>
              <w:spacing w:before="0" w:after="0"/>
              <w:rPr>
                <w:sz w:val="20"/>
              </w:rPr>
            </w:pPr>
            <w:r w:rsidRPr="0098654A">
              <w:rPr>
                <w:sz w:val="20"/>
              </w:rPr>
              <w:t>201</w:t>
            </w:r>
            <w:r>
              <w:rPr>
                <w:sz w:val="20"/>
              </w:rPr>
              <w:t>7</w:t>
            </w:r>
            <w:r w:rsidRPr="0098654A">
              <w:rPr>
                <w:sz w:val="20"/>
              </w:rPr>
              <w:t xml:space="preserve"> vs. 202</w:t>
            </w:r>
            <w:r>
              <w:rPr>
                <w:sz w:val="20"/>
              </w:rPr>
              <w:t>1</w:t>
            </w:r>
          </w:p>
        </w:tc>
        <w:tc>
          <w:tcPr>
            <w:tcW w:w="887" w:type="dxa"/>
            <w:shd w:val="clear" w:color="auto" w:fill="auto"/>
          </w:tcPr>
          <w:p w14:paraId="44E0A40F" w14:textId="1327851D" w:rsidR="00FF54F3" w:rsidRPr="00FF54F3" w:rsidRDefault="00FF54F3" w:rsidP="00FF54F3">
            <w:pPr>
              <w:spacing w:before="0" w:after="0"/>
              <w:rPr>
                <w:sz w:val="20"/>
              </w:rPr>
            </w:pPr>
            <w:r w:rsidRPr="00FF54F3">
              <w:rPr>
                <w:sz w:val="20"/>
              </w:rPr>
              <w:t>0.19128</w:t>
            </w:r>
          </w:p>
        </w:tc>
        <w:tc>
          <w:tcPr>
            <w:tcW w:w="1073" w:type="dxa"/>
            <w:shd w:val="clear" w:color="auto" w:fill="auto"/>
          </w:tcPr>
          <w:p w14:paraId="7902AC63" w14:textId="6905BBDB" w:rsidR="00FF54F3" w:rsidRPr="00FF54F3" w:rsidRDefault="00FF54F3" w:rsidP="00FF54F3">
            <w:pPr>
              <w:spacing w:before="0" w:after="0"/>
              <w:rPr>
                <w:sz w:val="20"/>
              </w:rPr>
            </w:pPr>
            <w:r w:rsidRPr="00FF54F3">
              <w:rPr>
                <w:sz w:val="20"/>
              </w:rPr>
              <w:t>0.8588</w:t>
            </w:r>
          </w:p>
        </w:tc>
      </w:tr>
      <w:tr w:rsidR="00FF54F3" w:rsidRPr="0098654A" w14:paraId="0BB6C87F" w14:textId="77777777" w:rsidTr="001A502C">
        <w:trPr>
          <w:trHeight w:val="340"/>
          <w:jc w:val="center"/>
        </w:trPr>
        <w:tc>
          <w:tcPr>
            <w:tcW w:w="2252" w:type="dxa"/>
            <w:shd w:val="clear" w:color="auto" w:fill="auto"/>
          </w:tcPr>
          <w:p w14:paraId="4A822956" w14:textId="77777777" w:rsidR="00FF54F3" w:rsidRPr="0098654A" w:rsidRDefault="00FF54F3" w:rsidP="00FF54F3">
            <w:pPr>
              <w:spacing w:before="0" w:after="0"/>
              <w:rPr>
                <w:sz w:val="20"/>
              </w:rPr>
            </w:pPr>
            <w:r w:rsidRPr="0098654A">
              <w:rPr>
                <w:sz w:val="20"/>
              </w:rPr>
              <w:t>2018 vs. 2019</w:t>
            </w:r>
          </w:p>
        </w:tc>
        <w:tc>
          <w:tcPr>
            <w:tcW w:w="887" w:type="dxa"/>
            <w:shd w:val="clear" w:color="auto" w:fill="auto"/>
          </w:tcPr>
          <w:p w14:paraId="7E78A214" w14:textId="7BA91E6D" w:rsidR="00FF54F3" w:rsidRPr="00FF54F3" w:rsidRDefault="00FF54F3" w:rsidP="00FF54F3">
            <w:pPr>
              <w:spacing w:before="0" w:after="0"/>
              <w:rPr>
                <w:sz w:val="20"/>
              </w:rPr>
            </w:pPr>
            <w:r w:rsidRPr="00FF54F3">
              <w:rPr>
                <w:sz w:val="20"/>
              </w:rPr>
              <w:t>2.8114</w:t>
            </w:r>
          </w:p>
        </w:tc>
        <w:tc>
          <w:tcPr>
            <w:tcW w:w="1073" w:type="dxa"/>
            <w:shd w:val="clear" w:color="auto" w:fill="auto"/>
          </w:tcPr>
          <w:p w14:paraId="74EED14C" w14:textId="21AE1843" w:rsidR="00FF54F3" w:rsidRPr="00FF54F3" w:rsidRDefault="00FF54F3" w:rsidP="00FF54F3">
            <w:pPr>
              <w:spacing w:before="0" w:after="0"/>
              <w:rPr>
                <w:sz w:val="20"/>
              </w:rPr>
            </w:pPr>
            <w:r w:rsidRPr="00FF54F3">
              <w:rPr>
                <w:sz w:val="20"/>
              </w:rPr>
              <w:t>0.0137</w:t>
            </w:r>
          </w:p>
        </w:tc>
      </w:tr>
      <w:tr w:rsidR="00FF54F3" w:rsidRPr="0098654A" w14:paraId="793EECB5" w14:textId="77777777" w:rsidTr="001A502C">
        <w:trPr>
          <w:trHeight w:val="340"/>
          <w:jc w:val="center"/>
        </w:trPr>
        <w:tc>
          <w:tcPr>
            <w:tcW w:w="2252" w:type="dxa"/>
            <w:shd w:val="clear" w:color="auto" w:fill="auto"/>
          </w:tcPr>
          <w:p w14:paraId="7E3678BD" w14:textId="77777777" w:rsidR="00FF54F3" w:rsidRPr="0098654A" w:rsidRDefault="00FF54F3" w:rsidP="00FF54F3">
            <w:pPr>
              <w:spacing w:before="0" w:after="0"/>
              <w:rPr>
                <w:sz w:val="20"/>
              </w:rPr>
            </w:pPr>
            <w:r w:rsidRPr="0098654A">
              <w:rPr>
                <w:sz w:val="20"/>
              </w:rPr>
              <w:t>2018 vs. 2020</w:t>
            </w:r>
          </w:p>
        </w:tc>
        <w:tc>
          <w:tcPr>
            <w:tcW w:w="887" w:type="dxa"/>
            <w:shd w:val="clear" w:color="auto" w:fill="auto"/>
          </w:tcPr>
          <w:p w14:paraId="0AC2EB3E" w14:textId="339DC7D5" w:rsidR="00FF54F3" w:rsidRPr="00FF54F3" w:rsidRDefault="00FF54F3" w:rsidP="00FF54F3">
            <w:pPr>
              <w:spacing w:before="0" w:after="0"/>
              <w:rPr>
                <w:sz w:val="20"/>
              </w:rPr>
            </w:pPr>
            <w:r w:rsidRPr="00FF54F3">
              <w:rPr>
                <w:sz w:val="20"/>
              </w:rPr>
              <w:t>2.729</w:t>
            </w:r>
          </w:p>
        </w:tc>
        <w:tc>
          <w:tcPr>
            <w:tcW w:w="1073" w:type="dxa"/>
            <w:shd w:val="clear" w:color="auto" w:fill="auto"/>
          </w:tcPr>
          <w:p w14:paraId="72C7514F" w14:textId="1982FB9E" w:rsidR="00FF54F3" w:rsidRPr="00FF54F3" w:rsidRDefault="00FF54F3" w:rsidP="00FF54F3">
            <w:pPr>
              <w:spacing w:before="0" w:after="0"/>
              <w:rPr>
                <w:sz w:val="20"/>
              </w:rPr>
            </w:pPr>
            <w:r w:rsidRPr="00FF54F3">
              <w:rPr>
                <w:sz w:val="20"/>
              </w:rPr>
              <w:t>0.017</w:t>
            </w:r>
          </w:p>
        </w:tc>
      </w:tr>
      <w:tr w:rsidR="00FF54F3" w:rsidRPr="0098654A" w14:paraId="1DCAA4EF" w14:textId="77777777" w:rsidTr="001A502C">
        <w:trPr>
          <w:trHeight w:val="340"/>
          <w:jc w:val="center"/>
        </w:trPr>
        <w:tc>
          <w:tcPr>
            <w:tcW w:w="2252" w:type="dxa"/>
            <w:shd w:val="clear" w:color="auto" w:fill="auto"/>
          </w:tcPr>
          <w:p w14:paraId="7E0BD1EA" w14:textId="77777777" w:rsidR="00FF54F3" w:rsidRPr="0098654A" w:rsidRDefault="00FF54F3" w:rsidP="00FF54F3">
            <w:pPr>
              <w:spacing w:before="0" w:after="0"/>
              <w:rPr>
                <w:sz w:val="20"/>
              </w:rPr>
            </w:pPr>
            <w:r w:rsidRPr="0098654A">
              <w:rPr>
                <w:sz w:val="20"/>
              </w:rPr>
              <w:t>201</w:t>
            </w:r>
            <w:r>
              <w:rPr>
                <w:sz w:val="20"/>
              </w:rPr>
              <w:t>8</w:t>
            </w:r>
            <w:r w:rsidRPr="0098654A">
              <w:rPr>
                <w:sz w:val="20"/>
              </w:rPr>
              <w:t xml:space="preserve"> vs. 202</w:t>
            </w:r>
            <w:r>
              <w:rPr>
                <w:sz w:val="20"/>
              </w:rPr>
              <w:t>1</w:t>
            </w:r>
          </w:p>
        </w:tc>
        <w:tc>
          <w:tcPr>
            <w:tcW w:w="887" w:type="dxa"/>
            <w:shd w:val="clear" w:color="auto" w:fill="auto"/>
          </w:tcPr>
          <w:p w14:paraId="2680E915" w14:textId="5D60FAD5" w:rsidR="00FF54F3" w:rsidRPr="00FF54F3" w:rsidRDefault="00FF54F3" w:rsidP="00FF54F3">
            <w:pPr>
              <w:spacing w:before="0" w:after="0"/>
              <w:rPr>
                <w:sz w:val="20"/>
              </w:rPr>
            </w:pPr>
            <w:r w:rsidRPr="00FF54F3">
              <w:rPr>
                <w:sz w:val="20"/>
              </w:rPr>
              <w:t>1.2362</w:t>
            </w:r>
          </w:p>
        </w:tc>
        <w:tc>
          <w:tcPr>
            <w:tcW w:w="1073" w:type="dxa"/>
            <w:shd w:val="clear" w:color="auto" w:fill="auto"/>
          </w:tcPr>
          <w:p w14:paraId="3A7A93D6" w14:textId="0F16737A" w:rsidR="00FF54F3" w:rsidRPr="00FF54F3" w:rsidRDefault="00FF54F3" w:rsidP="00FF54F3">
            <w:pPr>
              <w:spacing w:before="0" w:after="0"/>
              <w:rPr>
                <w:sz w:val="20"/>
              </w:rPr>
            </w:pPr>
            <w:r w:rsidRPr="00FF54F3">
              <w:rPr>
                <w:sz w:val="20"/>
              </w:rPr>
              <w:t>0.2508</w:t>
            </w:r>
          </w:p>
        </w:tc>
      </w:tr>
      <w:tr w:rsidR="00FF54F3" w:rsidRPr="00C01B82" w14:paraId="48DBACF9" w14:textId="77777777" w:rsidTr="001A502C">
        <w:trPr>
          <w:trHeight w:val="340"/>
          <w:jc w:val="center"/>
        </w:trPr>
        <w:tc>
          <w:tcPr>
            <w:tcW w:w="2252" w:type="dxa"/>
            <w:shd w:val="clear" w:color="auto" w:fill="auto"/>
          </w:tcPr>
          <w:p w14:paraId="022618C1" w14:textId="77777777" w:rsidR="00FF54F3" w:rsidRPr="0098654A" w:rsidRDefault="00FF54F3" w:rsidP="00FF54F3">
            <w:pPr>
              <w:spacing w:before="0" w:after="0"/>
              <w:rPr>
                <w:sz w:val="20"/>
              </w:rPr>
            </w:pPr>
            <w:r w:rsidRPr="0098654A">
              <w:rPr>
                <w:sz w:val="20"/>
              </w:rPr>
              <w:t>2019 vs. 2020</w:t>
            </w:r>
          </w:p>
        </w:tc>
        <w:tc>
          <w:tcPr>
            <w:tcW w:w="887" w:type="dxa"/>
            <w:shd w:val="clear" w:color="auto" w:fill="auto"/>
          </w:tcPr>
          <w:p w14:paraId="0A9052DF" w14:textId="4763DBB6" w:rsidR="00FF54F3" w:rsidRPr="00FF54F3" w:rsidRDefault="00FF54F3" w:rsidP="00FF54F3">
            <w:pPr>
              <w:spacing w:before="0" w:after="0"/>
              <w:rPr>
                <w:sz w:val="20"/>
              </w:rPr>
            </w:pPr>
            <w:r w:rsidRPr="00FF54F3">
              <w:rPr>
                <w:sz w:val="20"/>
              </w:rPr>
              <w:t>0.23709</w:t>
            </w:r>
          </w:p>
        </w:tc>
        <w:tc>
          <w:tcPr>
            <w:tcW w:w="1073" w:type="dxa"/>
            <w:shd w:val="clear" w:color="auto" w:fill="auto"/>
          </w:tcPr>
          <w:p w14:paraId="5DC7F5AD" w14:textId="1A072C93" w:rsidR="00FF54F3" w:rsidRPr="00FF54F3" w:rsidRDefault="00FF54F3" w:rsidP="00FF54F3">
            <w:pPr>
              <w:spacing w:before="0" w:after="0"/>
              <w:rPr>
                <w:sz w:val="20"/>
              </w:rPr>
            </w:pPr>
            <w:r w:rsidRPr="00FF54F3">
              <w:rPr>
                <w:sz w:val="20"/>
              </w:rPr>
              <w:t>0.8767</w:t>
            </w:r>
          </w:p>
        </w:tc>
      </w:tr>
      <w:tr w:rsidR="00FF54F3" w:rsidRPr="00C01B82" w14:paraId="2A36BBBF" w14:textId="77777777" w:rsidTr="001A502C">
        <w:trPr>
          <w:trHeight w:val="340"/>
          <w:jc w:val="center"/>
        </w:trPr>
        <w:tc>
          <w:tcPr>
            <w:tcW w:w="2252" w:type="dxa"/>
            <w:shd w:val="clear" w:color="auto" w:fill="auto"/>
          </w:tcPr>
          <w:p w14:paraId="2E87B535" w14:textId="77777777" w:rsidR="00FF54F3" w:rsidRPr="0098654A" w:rsidRDefault="00FF54F3" w:rsidP="00FF54F3">
            <w:pPr>
              <w:spacing w:before="0" w:after="0"/>
              <w:rPr>
                <w:sz w:val="20"/>
              </w:rPr>
            </w:pPr>
            <w:r w:rsidRPr="0098654A">
              <w:rPr>
                <w:sz w:val="20"/>
              </w:rPr>
              <w:t>201</w:t>
            </w:r>
            <w:r>
              <w:rPr>
                <w:sz w:val="20"/>
              </w:rPr>
              <w:t>9</w:t>
            </w:r>
            <w:r w:rsidRPr="0098654A">
              <w:rPr>
                <w:sz w:val="20"/>
              </w:rPr>
              <w:t xml:space="preserve"> vs. 202</w:t>
            </w:r>
            <w:r>
              <w:rPr>
                <w:sz w:val="20"/>
              </w:rPr>
              <w:t>1</w:t>
            </w:r>
          </w:p>
        </w:tc>
        <w:tc>
          <w:tcPr>
            <w:tcW w:w="887" w:type="dxa"/>
            <w:shd w:val="clear" w:color="auto" w:fill="auto"/>
          </w:tcPr>
          <w:p w14:paraId="273F898C" w14:textId="2D3AEAC6" w:rsidR="00FF54F3" w:rsidRPr="00FF54F3" w:rsidRDefault="00FF54F3" w:rsidP="00FF54F3">
            <w:pPr>
              <w:spacing w:before="0" w:after="0"/>
              <w:rPr>
                <w:sz w:val="20"/>
              </w:rPr>
            </w:pPr>
            <w:r w:rsidRPr="00FF54F3">
              <w:rPr>
                <w:sz w:val="20"/>
              </w:rPr>
              <w:t>1.887</w:t>
            </w:r>
          </w:p>
        </w:tc>
        <w:tc>
          <w:tcPr>
            <w:tcW w:w="1073" w:type="dxa"/>
            <w:shd w:val="clear" w:color="auto" w:fill="auto"/>
          </w:tcPr>
          <w:p w14:paraId="4B8C8ACA" w14:textId="601C70B9" w:rsidR="00FF54F3" w:rsidRPr="00FF54F3" w:rsidRDefault="00FF54F3" w:rsidP="00FF54F3">
            <w:pPr>
              <w:spacing w:before="0" w:after="0"/>
              <w:rPr>
                <w:sz w:val="20"/>
              </w:rPr>
            </w:pPr>
            <w:r w:rsidRPr="00FF54F3">
              <w:rPr>
                <w:sz w:val="20"/>
              </w:rPr>
              <w:t>0.0882</w:t>
            </w:r>
          </w:p>
        </w:tc>
      </w:tr>
      <w:tr w:rsidR="00FF54F3" w:rsidRPr="00C01B82" w14:paraId="691CB678" w14:textId="77777777" w:rsidTr="001A502C">
        <w:trPr>
          <w:trHeight w:val="340"/>
          <w:jc w:val="center"/>
        </w:trPr>
        <w:tc>
          <w:tcPr>
            <w:tcW w:w="2252" w:type="dxa"/>
            <w:tcBorders>
              <w:bottom w:val="single" w:sz="4" w:space="0" w:color="auto"/>
            </w:tcBorders>
            <w:shd w:val="clear" w:color="auto" w:fill="auto"/>
          </w:tcPr>
          <w:p w14:paraId="10CD6468" w14:textId="77777777" w:rsidR="00FF54F3" w:rsidRPr="0098654A" w:rsidRDefault="00FF54F3" w:rsidP="00FF54F3">
            <w:pPr>
              <w:spacing w:before="0" w:after="0"/>
              <w:rPr>
                <w:sz w:val="20"/>
              </w:rPr>
            </w:pPr>
            <w:r>
              <w:rPr>
                <w:sz w:val="20"/>
              </w:rPr>
              <w:t>2020 vs. 2021</w:t>
            </w:r>
          </w:p>
        </w:tc>
        <w:tc>
          <w:tcPr>
            <w:tcW w:w="887" w:type="dxa"/>
            <w:tcBorders>
              <w:bottom w:val="single" w:sz="4" w:space="0" w:color="auto"/>
            </w:tcBorders>
            <w:shd w:val="clear" w:color="auto" w:fill="auto"/>
          </w:tcPr>
          <w:p w14:paraId="3291B157" w14:textId="03BEB3BE" w:rsidR="00FF54F3" w:rsidRPr="00FF54F3" w:rsidRDefault="00FF54F3" w:rsidP="00FF54F3">
            <w:pPr>
              <w:spacing w:before="0" w:after="0"/>
              <w:rPr>
                <w:sz w:val="20"/>
              </w:rPr>
            </w:pPr>
            <w:r w:rsidRPr="00FF54F3">
              <w:rPr>
                <w:sz w:val="20"/>
              </w:rPr>
              <w:t>1.8059</w:t>
            </w:r>
          </w:p>
        </w:tc>
        <w:tc>
          <w:tcPr>
            <w:tcW w:w="1073" w:type="dxa"/>
            <w:tcBorders>
              <w:bottom w:val="single" w:sz="4" w:space="0" w:color="auto"/>
            </w:tcBorders>
            <w:shd w:val="clear" w:color="auto" w:fill="auto"/>
          </w:tcPr>
          <w:p w14:paraId="1A4D1BFE" w14:textId="5D000CDC" w:rsidR="00FF54F3" w:rsidRPr="00FF54F3" w:rsidRDefault="00FF54F3" w:rsidP="00FF54F3">
            <w:pPr>
              <w:spacing w:before="0" w:after="0"/>
              <w:rPr>
                <w:b/>
                <w:bCs/>
                <w:sz w:val="20"/>
              </w:rPr>
            </w:pPr>
            <w:r w:rsidRPr="00FF54F3">
              <w:rPr>
                <w:sz w:val="20"/>
              </w:rPr>
              <w:t>0.1007</w:t>
            </w:r>
          </w:p>
        </w:tc>
      </w:tr>
    </w:tbl>
    <w:p w14:paraId="4F39353B" w14:textId="77777777" w:rsidR="00FF54F3" w:rsidRPr="00FF54F3" w:rsidRDefault="00FF54F3" w:rsidP="00BE5181">
      <w:pPr>
        <w:rPr>
          <w:highlight w:val="yellow"/>
        </w:rPr>
      </w:pPr>
    </w:p>
    <w:p w14:paraId="2E691628" w14:textId="0CA405AF" w:rsidR="007F69C2" w:rsidRPr="0070463B" w:rsidRDefault="007F69C2" w:rsidP="004C3BA1">
      <w:pPr>
        <w:pStyle w:val="Captions"/>
        <w:rPr>
          <w:noProof/>
          <w:lang w:eastAsia="en-AU"/>
        </w:rPr>
      </w:pPr>
      <w:bookmarkStart w:id="425" w:name="_Ref61342506"/>
      <w:r w:rsidRPr="0070463B">
        <w:t>Table</w:t>
      </w:r>
      <w:bookmarkEnd w:id="425"/>
      <w:r w:rsidRPr="0070463B">
        <w:t xml:space="preserve"> D1</w:t>
      </w:r>
      <w:r w:rsidR="00DD27F8">
        <w:t>3</w:t>
      </w:r>
      <w:r w:rsidRPr="0070463B">
        <w:rPr>
          <w:noProof/>
          <w:lang w:eastAsia="en-AU"/>
        </w:rPr>
        <w:t xml:space="preserve">. Results of the model selection procedure for linear regression models fitted to Murray cod length–weight </w:t>
      </w:r>
      <w:r w:rsidR="006224A5">
        <w:rPr>
          <w:noProof/>
          <w:lang w:eastAsia="en-AU"/>
        </w:rPr>
        <w:t>reference</w:t>
      </w:r>
      <w:r w:rsidRPr="0070463B">
        <w:rPr>
          <w:noProof/>
          <w:lang w:eastAsia="en-AU"/>
        </w:rPr>
        <w:t xml:space="preserve"> data (2004–202</w:t>
      </w:r>
      <w:r w:rsidR="0070463B" w:rsidRPr="0070463B">
        <w:rPr>
          <w:noProof/>
          <w:lang w:eastAsia="en-AU"/>
        </w:rPr>
        <w:t>1</w:t>
      </w:r>
      <w:r w:rsidRPr="0070463B">
        <w:rPr>
          <w:noProof/>
          <w:lang w:eastAsia="en-AU"/>
        </w:rPr>
        <w:t>).</w:t>
      </w:r>
    </w:p>
    <w:tbl>
      <w:tblPr>
        <w:tblW w:w="0" w:type="auto"/>
        <w:jc w:val="center"/>
        <w:tblLook w:val="04A0" w:firstRow="1" w:lastRow="0" w:firstColumn="1" w:lastColumn="0" w:noHBand="0" w:noVBand="1"/>
      </w:tblPr>
      <w:tblGrid>
        <w:gridCol w:w="1346"/>
        <w:gridCol w:w="1159"/>
        <w:gridCol w:w="692"/>
        <w:gridCol w:w="1048"/>
        <w:gridCol w:w="1200"/>
      </w:tblGrid>
      <w:tr w:rsidR="007F69C2" w:rsidRPr="00424090" w14:paraId="2742FAA8" w14:textId="77777777" w:rsidTr="009F3C4C">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1083D0E7" w14:textId="77777777" w:rsidR="007F69C2" w:rsidRPr="00F72D0F" w:rsidRDefault="007F69C2" w:rsidP="009F3C4C">
            <w:pPr>
              <w:spacing w:after="0" w:line="240" w:lineRule="auto"/>
              <w:jc w:val="left"/>
              <w:rPr>
                <w:b/>
                <w:sz w:val="20"/>
                <w:lang w:eastAsia="en-AU"/>
              </w:rPr>
            </w:pPr>
            <w:r w:rsidRPr="00F72D0F">
              <w:rPr>
                <w:b/>
                <w:sz w:val="20"/>
                <w:lang w:eastAsia="en-AU"/>
              </w:rPr>
              <w:t>Model</w:t>
            </w:r>
          </w:p>
        </w:tc>
        <w:tc>
          <w:tcPr>
            <w:tcW w:w="0" w:type="auto"/>
            <w:tcBorders>
              <w:top w:val="single" w:sz="4" w:space="0" w:color="auto"/>
              <w:left w:val="nil"/>
              <w:bottom w:val="single" w:sz="4" w:space="0" w:color="auto"/>
              <w:right w:val="nil"/>
            </w:tcBorders>
            <w:shd w:val="clear" w:color="auto" w:fill="auto"/>
            <w:noWrap/>
            <w:vAlign w:val="bottom"/>
            <w:hideMark/>
          </w:tcPr>
          <w:p w14:paraId="2BF1F5A0" w14:textId="77777777" w:rsidR="007F69C2" w:rsidRPr="00F72D0F" w:rsidRDefault="007F69C2" w:rsidP="009F3C4C">
            <w:pPr>
              <w:spacing w:after="0" w:line="240" w:lineRule="auto"/>
              <w:jc w:val="center"/>
              <w:rPr>
                <w:rFonts w:cs="Calibri"/>
                <w:b/>
                <w:sz w:val="20"/>
                <w:lang w:eastAsia="en-AU"/>
              </w:rPr>
            </w:pPr>
            <w:r w:rsidRPr="00F72D0F">
              <w:rPr>
                <w:rFonts w:cs="Calibri"/>
                <w:b/>
                <w:sz w:val="20"/>
                <w:lang w:eastAsia="en-AU"/>
              </w:rPr>
              <w:t>AICc</w:t>
            </w:r>
          </w:p>
        </w:tc>
        <w:tc>
          <w:tcPr>
            <w:tcW w:w="0" w:type="auto"/>
            <w:tcBorders>
              <w:top w:val="single" w:sz="4" w:space="0" w:color="auto"/>
              <w:left w:val="nil"/>
              <w:bottom w:val="single" w:sz="4" w:space="0" w:color="auto"/>
              <w:right w:val="nil"/>
            </w:tcBorders>
            <w:vAlign w:val="bottom"/>
          </w:tcPr>
          <w:p w14:paraId="7C68CE71" w14:textId="77777777" w:rsidR="007F69C2" w:rsidRPr="00F72D0F" w:rsidRDefault="007F69C2" w:rsidP="009F3C4C">
            <w:pPr>
              <w:spacing w:after="0" w:line="240" w:lineRule="auto"/>
              <w:jc w:val="center"/>
              <w:rPr>
                <w:rFonts w:cs="Calibri"/>
                <w:b/>
                <w:sz w:val="20"/>
                <w:lang w:eastAsia="en-AU"/>
              </w:rPr>
            </w:pPr>
            <w:r w:rsidRPr="00F72D0F">
              <w:rPr>
                <w:rFonts w:cs="Calibri"/>
                <w:b/>
                <w:sz w:val="20"/>
                <w:lang w:eastAsia="en-AU"/>
              </w:rPr>
              <w:t>Npar</w:t>
            </w:r>
          </w:p>
        </w:tc>
        <w:tc>
          <w:tcPr>
            <w:tcW w:w="0" w:type="auto"/>
            <w:tcBorders>
              <w:top w:val="single" w:sz="4" w:space="0" w:color="auto"/>
              <w:left w:val="nil"/>
              <w:bottom w:val="single" w:sz="4" w:space="0" w:color="auto"/>
              <w:right w:val="nil"/>
            </w:tcBorders>
            <w:shd w:val="clear" w:color="auto" w:fill="auto"/>
            <w:noWrap/>
            <w:vAlign w:val="bottom"/>
            <w:hideMark/>
          </w:tcPr>
          <w:p w14:paraId="5BC4C4A7" w14:textId="77777777" w:rsidR="007F69C2" w:rsidRPr="00C156B9" w:rsidRDefault="007F69C2" w:rsidP="009F3C4C">
            <w:pPr>
              <w:spacing w:after="0" w:line="240" w:lineRule="auto"/>
              <w:jc w:val="center"/>
              <w:rPr>
                <w:rFonts w:cs="Calibri"/>
                <w:b/>
                <w:sz w:val="20"/>
                <w:lang w:eastAsia="en-AU"/>
              </w:rPr>
            </w:pPr>
            <w:r w:rsidRPr="00C156B9">
              <w:rPr>
                <w:rFonts w:cs="Calibri"/>
                <w:b/>
                <w:sz w:val="20"/>
                <w:lang w:eastAsia="en-AU"/>
              </w:rPr>
              <w:t>∆AICc</w:t>
            </w:r>
          </w:p>
        </w:tc>
        <w:tc>
          <w:tcPr>
            <w:tcW w:w="0" w:type="auto"/>
            <w:tcBorders>
              <w:top w:val="single" w:sz="4" w:space="0" w:color="auto"/>
              <w:left w:val="nil"/>
              <w:bottom w:val="single" w:sz="4" w:space="0" w:color="auto"/>
              <w:right w:val="nil"/>
            </w:tcBorders>
            <w:shd w:val="clear" w:color="auto" w:fill="auto"/>
            <w:noWrap/>
            <w:vAlign w:val="bottom"/>
            <w:hideMark/>
          </w:tcPr>
          <w:p w14:paraId="26B92166" w14:textId="77777777" w:rsidR="007F69C2" w:rsidRPr="00C156B9" w:rsidRDefault="007F69C2" w:rsidP="009F3C4C">
            <w:pPr>
              <w:spacing w:after="0" w:line="240" w:lineRule="auto"/>
              <w:jc w:val="center"/>
              <w:rPr>
                <w:rFonts w:cs="Calibri"/>
                <w:b/>
                <w:sz w:val="20"/>
                <w:lang w:eastAsia="en-AU"/>
              </w:rPr>
            </w:pPr>
            <w:r w:rsidRPr="00C156B9">
              <w:rPr>
                <w:rFonts w:cs="Calibri"/>
                <w:b/>
                <w:sz w:val="20"/>
                <w:lang w:eastAsia="en-AU"/>
              </w:rPr>
              <w:t>Likelihood</w:t>
            </w:r>
          </w:p>
        </w:tc>
      </w:tr>
      <w:tr w:rsidR="007F69C2" w:rsidRPr="00424090" w14:paraId="25FB28D8" w14:textId="77777777" w:rsidTr="009F3C4C">
        <w:trPr>
          <w:trHeight w:val="300"/>
          <w:jc w:val="center"/>
        </w:trPr>
        <w:tc>
          <w:tcPr>
            <w:tcW w:w="0" w:type="auto"/>
            <w:tcBorders>
              <w:top w:val="single" w:sz="4" w:space="0" w:color="auto"/>
              <w:left w:val="nil"/>
              <w:right w:val="nil"/>
            </w:tcBorders>
            <w:shd w:val="clear" w:color="auto" w:fill="auto"/>
            <w:noWrap/>
            <w:vAlign w:val="bottom"/>
          </w:tcPr>
          <w:p w14:paraId="4F96C623" w14:textId="77777777" w:rsidR="007F69C2" w:rsidRPr="00F72D0F" w:rsidRDefault="007F69C2" w:rsidP="009F3C4C">
            <w:pPr>
              <w:spacing w:after="0" w:line="240" w:lineRule="auto"/>
              <w:jc w:val="left"/>
              <w:rPr>
                <w:rFonts w:cs="Calibri"/>
                <w:sz w:val="20"/>
                <w:lang w:eastAsia="en-AU"/>
              </w:rPr>
            </w:pPr>
            <w:r w:rsidRPr="00F72D0F">
              <w:rPr>
                <w:rFonts w:cs="Calibri"/>
                <w:sz w:val="20"/>
                <w:lang w:eastAsia="en-AU"/>
              </w:rPr>
              <w:t>Exponential</w:t>
            </w:r>
          </w:p>
        </w:tc>
        <w:tc>
          <w:tcPr>
            <w:tcW w:w="0" w:type="auto"/>
            <w:tcBorders>
              <w:top w:val="single" w:sz="4" w:space="0" w:color="auto"/>
              <w:left w:val="nil"/>
              <w:right w:val="nil"/>
            </w:tcBorders>
            <w:shd w:val="clear" w:color="auto" w:fill="auto"/>
            <w:noWrap/>
          </w:tcPr>
          <w:p w14:paraId="663C1503" w14:textId="20DEC582" w:rsidR="007F69C2" w:rsidRPr="00F72D0F" w:rsidRDefault="00F72D0F" w:rsidP="009F3C4C">
            <w:pPr>
              <w:spacing w:after="0" w:line="240" w:lineRule="auto"/>
              <w:jc w:val="center"/>
              <w:rPr>
                <w:rFonts w:cs="Calibri"/>
                <w:sz w:val="20"/>
                <w:lang w:eastAsia="en-AU"/>
              </w:rPr>
            </w:pPr>
            <w:r w:rsidRPr="00F72D0F">
              <w:rPr>
                <w:sz w:val="20"/>
              </w:rPr>
              <w:t>65.7032</w:t>
            </w:r>
          </w:p>
        </w:tc>
        <w:tc>
          <w:tcPr>
            <w:tcW w:w="0" w:type="auto"/>
            <w:tcBorders>
              <w:top w:val="single" w:sz="4" w:space="0" w:color="auto"/>
              <w:left w:val="nil"/>
              <w:right w:val="nil"/>
            </w:tcBorders>
            <w:vAlign w:val="bottom"/>
          </w:tcPr>
          <w:p w14:paraId="29FF0E4D" w14:textId="77777777" w:rsidR="007F69C2" w:rsidRPr="00F72D0F" w:rsidRDefault="007F69C2" w:rsidP="009F3C4C">
            <w:pPr>
              <w:spacing w:after="0" w:line="240" w:lineRule="auto"/>
              <w:jc w:val="center"/>
              <w:rPr>
                <w:rFonts w:cs="Calibri"/>
                <w:sz w:val="20"/>
                <w:lang w:eastAsia="en-AU"/>
              </w:rPr>
            </w:pPr>
            <w:r w:rsidRPr="00F72D0F">
              <w:rPr>
                <w:rFonts w:cs="Calibri"/>
                <w:sz w:val="20"/>
                <w:lang w:eastAsia="en-AU"/>
              </w:rPr>
              <w:t>2</w:t>
            </w:r>
          </w:p>
        </w:tc>
        <w:tc>
          <w:tcPr>
            <w:tcW w:w="0" w:type="auto"/>
            <w:tcBorders>
              <w:top w:val="single" w:sz="4" w:space="0" w:color="auto"/>
              <w:left w:val="nil"/>
              <w:right w:val="nil"/>
            </w:tcBorders>
            <w:shd w:val="clear" w:color="auto" w:fill="auto"/>
            <w:noWrap/>
          </w:tcPr>
          <w:p w14:paraId="38D45D44" w14:textId="1D4BD270" w:rsidR="007F69C2" w:rsidRPr="00C156B9" w:rsidRDefault="00C156B9" w:rsidP="009F3C4C">
            <w:pPr>
              <w:spacing w:after="0" w:line="240" w:lineRule="auto"/>
              <w:jc w:val="center"/>
              <w:rPr>
                <w:rFonts w:cs="Calibri"/>
                <w:sz w:val="20"/>
                <w:lang w:eastAsia="en-AU"/>
              </w:rPr>
            </w:pPr>
            <w:r w:rsidRPr="00C156B9">
              <w:rPr>
                <w:sz w:val="20"/>
              </w:rPr>
              <w:t>465.1442</w:t>
            </w:r>
          </w:p>
        </w:tc>
        <w:tc>
          <w:tcPr>
            <w:tcW w:w="0" w:type="auto"/>
            <w:tcBorders>
              <w:top w:val="single" w:sz="4" w:space="0" w:color="auto"/>
              <w:left w:val="nil"/>
              <w:right w:val="nil"/>
            </w:tcBorders>
            <w:shd w:val="clear" w:color="auto" w:fill="auto"/>
            <w:noWrap/>
            <w:vAlign w:val="bottom"/>
          </w:tcPr>
          <w:p w14:paraId="460AC382" w14:textId="77777777" w:rsidR="007F69C2" w:rsidRPr="00C156B9" w:rsidRDefault="007F69C2" w:rsidP="009F3C4C">
            <w:pPr>
              <w:spacing w:after="0" w:line="240" w:lineRule="auto"/>
              <w:jc w:val="center"/>
              <w:rPr>
                <w:rFonts w:cs="Calibri"/>
                <w:sz w:val="20"/>
                <w:lang w:eastAsia="en-AU"/>
              </w:rPr>
            </w:pPr>
            <w:r w:rsidRPr="00C156B9">
              <w:rPr>
                <w:rFonts w:cs="Calibri"/>
                <w:sz w:val="20"/>
                <w:lang w:eastAsia="en-AU"/>
              </w:rPr>
              <w:t>&lt;0.001</w:t>
            </w:r>
          </w:p>
        </w:tc>
      </w:tr>
      <w:tr w:rsidR="007F69C2" w:rsidRPr="00424090" w14:paraId="3980DF44" w14:textId="77777777" w:rsidTr="009F3C4C">
        <w:trPr>
          <w:trHeight w:val="300"/>
          <w:jc w:val="center"/>
        </w:trPr>
        <w:tc>
          <w:tcPr>
            <w:tcW w:w="0" w:type="auto"/>
            <w:tcBorders>
              <w:left w:val="nil"/>
              <w:right w:val="nil"/>
            </w:tcBorders>
            <w:shd w:val="clear" w:color="auto" w:fill="auto"/>
            <w:noWrap/>
            <w:vAlign w:val="bottom"/>
          </w:tcPr>
          <w:p w14:paraId="2F5ABF69" w14:textId="77777777" w:rsidR="007F69C2" w:rsidRPr="00F72D0F" w:rsidRDefault="007F69C2" w:rsidP="009F3C4C">
            <w:pPr>
              <w:spacing w:after="0" w:line="240" w:lineRule="auto"/>
              <w:jc w:val="left"/>
              <w:rPr>
                <w:rFonts w:cs="Calibri"/>
                <w:sz w:val="20"/>
                <w:lang w:eastAsia="en-AU"/>
              </w:rPr>
            </w:pPr>
            <w:r w:rsidRPr="00F72D0F">
              <w:rPr>
                <w:rFonts w:cs="Calibri"/>
                <w:sz w:val="20"/>
                <w:lang w:eastAsia="en-AU"/>
              </w:rPr>
              <w:t>Linear</w:t>
            </w:r>
          </w:p>
        </w:tc>
        <w:tc>
          <w:tcPr>
            <w:tcW w:w="0" w:type="auto"/>
            <w:tcBorders>
              <w:left w:val="nil"/>
              <w:right w:val="nil"/>
            </w:tcBorders>
            <w:shd w:val="clear" w:color="auto" w:fill="auto"/>
            <w:noWrap/>
          </w:tcPr>
          <w:p w14:paraId="476DE9EC" w14:textId="00D4CDBC" w:rsidR="007F69C2" w:rsidRPr="00F72D0F" w:rsidRDefault="00F72D0F" w:rsidP="009F3C4C">
            <w:pPr>
              <w:spacing w:after="0" w:line="240" w:lineRule="auto"/>
              <w:jc w:val="center"/>
              <w:rPr>
                <w:sz w:val="20"/>
              </w:rPr>
            </w:pPr>
            <w:r w:rsidRPr="00F72D0F">
              <w:rPr>
                <w:sz w:val="20"/>
              </w:rPr>
              <w:t>1342.2360</w:t>
            </w:r>
          </w:p>
        </w:tc>
        <w:tc>
          <w:tcPr>
            <w:tcW w:w="0" w:type="auto"/>
            <w:tcBorders>
              <w:left w:val="nil"/>
              <w:right w:val="nil"/>
            </w:tcBorders>
            <w:vAlign w:val="bottom"/>
          </w:tcPr>
          <w:p w14:paraId="5EB3E736" w14:textId="77777777" w:rsidR="007F69C2" w:rsidRPr="00F72D0F" w:rsidRDefault="007F69C2" w:rsidP="009F3C4C">
            <w:pPr>
              <w:spacing w:after="0" w:line="240" w:lineRule="auto"/>
              <w:jc w:val="center"/>
              <w:rPr>
                <w:rFonts w:cs="Calibri"/>
                <w:sz w:val="20"/>
                <w:lang w:eastAsia="en-AU"/>
              </w:rPr>
            </w:pPr>
            <w:r w:rsidRPr="00F72D0F">
              <w:rPr>
                <w:rFonts w:cs="Calibri"/>
                <w:sz w:val="20"/>
                <w:lang w:eastAsia="en-AU"/>
              </w:rPr>
              <w:t>3</w:t>
            </w:r>
          </w:p>
        </w:tc>
        <w:tc>
          <w:tcPr>
            <w:tcW w:w="0" w:type="auto"/>
            <w:tcBorders>
              <w:left w:val="nil"/>
              <w:right w:val="nil"/>
            </w:tcBorders>
            <w:shd w:val="clear" w:color="auto" w:fill="auto"/>
            <w:noWrap/>
          </w:tcPr>
          <w:p w14:paraId="36B9F2B6" w14:textId="7EE55DDD" w:rsidR="007F69C2" w:rsidRPr="00C156B9" w:rsidRDefault="00C156B9" w:rsidP="009F3C4C">
            <w:pPr>
              <w:spacing w:after="0" w:line="240" w:lineRule="auto"/>
              <w:jc w:val="center"/>
              <w:rPr>
                <w:sz w:val="20"/>
              </w:rPr>
            </w:pPr>
            <w:r w:rsidRPr="00C156B9">
              <w:rPr>
                <w:sz w:val="20"/>
              </w:rPr>
              <w:t>1741.677</w:t>
            </w:r>
          </w:p>
        </w:tc>
        <w:tc>
          <w:tcPr>
            <w:tcW w:w="0" w:type="auto"/>
            <w:tcBorders>
              <w:left w:val="nil"/>
              <w:right w:val="nil"/>
            </w:tcBorders>
            <w:shd w:val="clear" w:color="auto" w:fill="auto"/>
            <w:noWrap/>
            <w:vAlign w:val="bottom"/>
          </w:tcPr>
          <w:p w14:paraId="16A0FFC5" w14:textId="77777777" w:rsidR="007F69C2" w:rsidRPr="00C156B9" w:rsidRDefault="007F69C2" w:rsidP="009F3C4C">
            <w:pPr>
              <w:spacing w:after="0" w:line="240" w:lineRule="auto"/>
              <w:jc w:val="center"/>
              <w:rPr>
                <w:rFonts w:cs="Calibri"/>
                <w:sz w:val="20"/>
                <w:lang w:eastAsia="en-AU"/>
              </w:rPr>
            </w:pPr>
            <w:r w:rsidRPr="00C156B9">
              <w:rPr>
                <w:rFonts w:cs="Calibri"/>
                <w:sz w:val="20"/>
                <w:lang w:eastAsia="en-AU"/>
              </w:rPr>
              <w:t>0</w:t>
            </w:r>
          </w:p>
        </w:tc>
      </w:tr>
      <w:tr w:rsidR="007F69C2" w:rsidRPr="00424090" w14:paraId="3E64BBF6" w14:textId="77777777" w:rsidTr="009F3C4C">
        <w:trPr>
          <w:trHeight w:val="300"/>
          <w:jc w:val="center"/>
        </w:trPr>
        <w:tc>
          <w:tcPr>
            <w:tcW w:w="0" w:type="auto"/>
            <w:tcBorders>
              <w:top w:val="nil"/>
              <w:left w:val="nil"/>
              <w:right w:val="nil"/>
            </w:tcBorders>
            <w:shd w:val="clear" w:color="auto" w:fill="auto"/>
            <w:noWrap/>
            <w:vAlign w:val="bottom"/>
          </w:tcPr>
          <w:p w14:paraId="2001FE1C" w14:textId="77777777" w:rsidR="007F69C2" w:rsidRPr="00F72D0F" w:rsidRDefault="007F69C2" w:rsidP="009F3C4C">
            <w:pPr>
              <w:spacing w:after="0" w:line="240" w:lineRule="auto"/>
              <w:jc w:val="left"/>
              <w:rPr>
                <w:rFonts w:cs="Calibri"/>
                <w:sz w:val="20"/>
                <w:lang w:eastAsia="en-AU"/>
              </w:rPr>
            </w:pPr>
            <w:r w:rsidRPr="00F72D0F">
              <w:rPr>
                <w:rFonts w:cs="Calibri"/>
                <w:sz w:val="20"/>
                <w:lang w:eastAsia="en-AU"/>
              </w:rPr>
              <w:t>Cubic</w:t>
            </w:r>
          </w:p>
        </w:tc>
        <w:tc>
          <w:tcPr>
            <w:tcW w:w="0" w:type="auto"/>
            <w:tcBorders>
              <w:top w:val="nil"/>
              <w:left w:val="nil"/>
              <w:right w:val="nil"/>
            </w:tcBorders>
            <w:shd w:val="clear" w:color="auto" w:fill="auto"/>
            <w:noWrap/>
          </w:tcPr>
          <w:p w14:paraId="077E39D0" w14:textId="404EECCF" w:rsidR="007F69C2" w:rsidRPr="00F72D0F" w:rsidRDefault="007F69C2" w:rsidP="009F3C4C">
            <w:pPr>
              <w:spacing w:after="0" w:line="240" w:lineRule="auto"/>
              <w:jc w:val="center"/>
              <w:rPr>
                <w:rFonts w:cs="Calibri"/>
                <w:sz w:val="20"/>
                <w:lang w:eastAsia="en-AU"/>
              </w:rPr>
            </w:pPr>
            <w:r w:rsidRPr="00F72D0F">
              <w:rPr>
                <w:sz w:val="20"/>
              </w:rPr>
              <w:t>-</w:t>
            </w:r>
            <w:r w:rsidR="00F72D0F">
              <w:rPr>
                <w:sz w:val="20"/>
              </w:rPr>
              <w:t>399.4410</w:t>
            </w:r>
          </w:p>
        </w:tc>
        <w:tc>
          <w:tcPr>
            <w:tcW w:w="0" w:type="auto"/>
            <w:tcBorders>
              <w:top w:val="nil"/>
              <w:left w:val="nil"/>
              <w:right w:val="nil"/>
            </w:tcBorders>
            <w:vAlign w:val="bottom"/>
          </w:tcPr>
          <w:p w14:paraId="107C988A" w14:textId="77777777" w:rsidR="007F69C2" w:rsidRPr="00F72D0F" w:rsidRDefault="007F69C2" w:rsidP="009F3C4C">
            <w:pPr>
              <w:spacing w:after="0" w:line="240" w:lineRule="auto"/>
              <w:jc w:val="center"/>
              <w:rPr>
                <w:rFonts w:cs="Calibri"/>
                <w:sz w:val="20"/>
                <w:lang w:eastAsia="en-AU"/>
              </w:rPr>
            </w:pPr>
            <w:r w:rsidRPr="00F72D0F">
              <w:rPr>
                <w:rFonts w:cs="Calibri"/>
                <w:sz w:val="20"/>
                <w:lang w:eastAsia="en-AU"/>
              </w:rPr>
              <w:t>5</w:t>
            </w:r>
          </w:p>
        </w:tc>
        <w:tc>
          <w:tcPr>
            <w:tcW w:w="0" w:type="auto"/>
            <w:tcBorders>
              <w:top w:val="nil"/>
              <w:left w:val="nil"/>
              <w:right w:val="nil"/>
            </w:tcBorders>
            <w:shd w:val="clear" w:color="auto" w:fill="auto"/>
            <w:noWrap/>
          </w:tcPr>
          <w:p w14:paraId="16F48D8C" w14:textId="77777777" w:rsidR="007F69C2" w:rsidRPr="00C156B9" w:rsidRDefault="007F69C2" w:rsidP="009F3C4C">
            <w:pPr>
              <w:spacing w:after="0" w:line="240" w:lineRule="auto"/>
              <w:jc w:val="center"/>
              <w:rPr>
                <w:rFonts w:cs="Calibri"/>
                <w:sz w:val="20"/>
                <w:lang w:eastAsia="en-AU"/>
              </w:rPr>
            </w:pPr>
            <w:r w:rsidRPr="00C156B9">
              <w:rPr>
                <w:sz w:val="20"/>
              </w:rPr>
              <w:t>0</w:t>
            </w:r>
          </w:p>
        </w:tc>
        <w:tc>
          <w:tcPr>
            <w:tcW w:w="0" w:type="auto"/>
            <w:tcBorders>
              <w:top w:val="nil"/>
              <w:left w:val="nil"/>
              <w:right w:val="nil"/>
            </w:tcBorders>
            <w:shd w:val="clear" w:color="auto" w:fill="auto"/>
            <w:noWrap/>
            <w:vAlign w:val="bottom"/>
          </w:tcPr>
          <w:p w14:paraId="3EE6FC2A" w14:textId="77777777" w:rsidR="007F69C2" w:rsidRPr="00C156B9" w:rsidRDefault="007F69C2" w:rsidP="009F3C4C">
            <w:pPr>
              <w:spacing w:after="0" w:line="240" w:lineRule="auto"/>
              <w:jc w:val="center"/>
              <w:rPr>
                <w:rFonts w:cs="Calibri"/>
                <w:sz w:val="20"/>
                <w:lang w:eastAsia="en-AU"/>
              </w:rPr>
            </w:pPr>
            <w:r w:rsidRPr="00C156B9">
              <w:rPr>
                <w:rFonts w:cs="Calibri"/>
                <w:sz w:val="20"/>
                <w:lang w:eastAsia="en-AU"/>
              </w:rPr>
              <w:t>1</w:t>
            </w:r>
          </w:p>
        </w:tc>
      </w:tr>
      <w:tr w:rsidR="007F69C2" w:rsidRPr="00424090" w14:paraId="384A7A16" w14:textId="77777777" w:rsidTr="009F3C4C">
        <w:trPr>
          <w:trHeight w:val="300"/>
          <w:jc w:val="center"/>
        </w:trPr>
        <w:tc>
          <w:tcPr>
            <w:tcW w:w="0" w:type="auto"/>
            <w:tcBorders>
              <w:top w:val="nil"/>
              <w:left w:val="nil"/>
              <w:bottom w:val="single" w:sz="4" w:space="0" w:color="auto"/>
              <w:right w:val="nil"/>
            </w:tcBorders>
            <w:shd w:val="clear" w:color="auto" w:fill="auto"/>
            <w:noWrap/>
            <w:vAlign w:val="bottom"/>
            <w:hideMark/>
          </w:tcPr>
          <w:p w14:paraId="398BAB01" w14:textId="77777777" w:rsidR="007F69C2" w:rsidRPr="00F72D0F" w:rsidRDefault="007F69C2" w:rsidP="009F3C4C">
            <w:pPr>
              <w:spacing w:after="0" w:line="240" w:lineRule="auto"/>
              <w:jc w:val="left"/>
              <w:rPr>
                <w:rFonts w:cs="Calibri"/>
                <w:sz w:val="20"/>
                <w:lang w:eastAsia="en-AU"/>
              </w:rPr>
            </w:pPr>
            <w:r w:rsidRPr="00F72D0F">
              <w:rPr>
                <w:rFonts w:cs="Calibri"/>
                <w:sz w:val="20"/>
                <w:lang w:eastAsia="en-AU"/>
              </w:rPr>
              <w:t>Qudratic</w:t>
            </w:r>
          </w:p>
        </w:tc>
        <w:tc>
          <w:tcPr>
            <w:tcW w:w="0" w:type="auto"/>
            <w:tcBorders>
              <w:top w:val="nil"/>
              <w:left w:val="nil"/>
              <w:bottom w:val="single" w:sz="4" w:space="0" w:color="auto"/>
              <w:right w:val="nil"/>
            </w:tcBorders>
            <w:shd w:val="clear" w:color="auto" w:fill="auto"/>
            <w:noWrap/>
            <w:hideMark/>
          </w:tcPr>
          <w:p w14:paraId="3E2C08A6" w14:textId="2EDF9A71" w:rsidR="007F69C2" w:rsidRPr="00F72D0F" w:rsidRDefault="007F69C2" w:rsidP="009F3C4C">
            <w:pPr>
              <w:spacing w:after="0" w:line="240" w:lineRule="auto"/>
              <w:jc w:val="center"/>
              <w:rPr>
                <w:rFonts w:cs="Calibri"/>
                <w:sz w:val="20"/>
                <w:lang w:eastAsia="en-AU"/>
              </w:rPr>
            </w:pPr>
            <w:r w:rsidRPr="00F72D0F">
              <w:rPr>
                <w:sz w:val="20"/>
              </w:rPr>
              <w:t>-</w:t>
            </w:r>
            <w:r w:rsidR="00F72D0F" w:rsidRPr="00F72D0F">
              <w:rPr>
                <w:sz w:val="20"/>
              </w:rPr>
              <w:t>38.5092</w:t>
            </w:r>
          </w:p>
        </w:tc>
        <w:tc>
          <w:tcPr>
            <w:tcW w:w="0" w:type="auto"/>
            <w:tcBorders>
              <w:top w:val="nil"/>
              <w:left w:val="nil"/>
              <w:bottom w:val="single" w:sz="4" w:space="0" w:color="auto"/>
              <w:right w:val="nil"/>
            </w:tcBorders>
            <w:vAlign w:val="bottom"/>
          </w:tcPr>
          <w:p w14:paraId="3A54A67D" w14:textId="77777777" w:rsidR="007F69C2" w:rsidRPr="00F72D0F" w:rsidRDefault="007F69C2" w:rsidP="009F3C4C">
            <w:pPr>
              <w:spacing w:after="0" w:line="240" w:lineRule="auto"/>
              <w:jc w:val="center"/>
              <w:rPr>
                <w:rFonts w:cs="Calibri"/>
                <w:sz w:val="20"/>
                <w:lang w:eastAsia="en-AU"/>
              </w:rPr>
            </w:pPr>
            <w:r w:rsidRPr="00F72D0F">
              <w:rPr>
                <w:rFonts w:cs="Calibri"/>
                <w:sz w:val="20"/>
                <w:lang w:eastAsia="en-AU"/>
              </w:rPr>
              <w:t>6</w:t>
            </w:r>
          </w:p>
        </w:tc>
        <w:tc>
          <w:tcPr>
            <w:tcW w:w="0" w:type="auto"/>
            <w:tcBorders>
              <w:top w:val="nil"/>
              <w:left w:val="nil"/>
              <w:bottom w:val="single" w:sz="4" w:space="0" w:color="auto"/>
              <w:right w:val="nil"/>
            </w:tcBorders>
            <w:shd w:val="clear" w:color="auto" w:fill="auto"/>
            <w:noWrap/>
            <w:hideMark/>
          </w:tcPr>
          <w:p w14:paraId="5C83EF9C" w14:textId="5334A157" w:rsidR="007F69C2" w:rsidRPr="00C156B9" w:rsidRDefault="00C156B9" w:rsidP="009F3C4C">
            <w:pPr>
              <w:spacing w:after="0" w:line="240" w:lineRule="auto"/>
              <w:jc w:val="center"/>
              <w:rPr>
                <w:rFonts w:cs="Calibri"/>
                <w:sz w:val="20"/>
                <w:lang w:eastAsia="en-AU"/>
              </w:rPr>
            </w:pPr>
            <w:r w:rsidRPr="00C156B9">
              <w:rPr>
                <w:sz w:val="20"/>
              </w:rPr>
              <w:t>360.9318</w:t>
            </w:r>
          </w:p>
        </w:tc>
        <w:tc>
          <w:tcPr>
            <w:tcW w:w="0" w:type="auto"/>
            <w:tcBorders>
              <w:top w:val="nil"/>
              <w:left w:val="nil"/>
              <w:bottom w:val="single" w:sz="4" w:space="0" w:color="auto"/>
              <w:right w:val="nil"/>
            </w:tcBorders>
            <w:shd w:val="clear" w:color="auto" w:fill="auto"/>
            <w:noWrap/>
            <w:vAlign w:val="bottom"/>
            <w:hideMark/>
          </w:tcPr>
          <w:p w14:paraId="4C8C2A95" w14:textId="77777777" w:rsidR="007F69C2" w:rsidRPr="00C156B9" w:rsidRDefault="007F69C2" w:rsidP="009F3C4C">
            <w:pPr>
              <w:spacing w:after="0" w:line="240" w:lineRule="auto"/>
              <w:jc w:val="center"/>
              <w:rPr>
                <w:rFonts w:cs="Calibri"/>
                <w:sz w:val="20"/>
                <w:lang w:eastAsia="en-AU"/>
              </w:rPr>
            </w:pPr>
            <w:r w:rsidRPr="00C156B9">
              <w:rPr>
                <w:rFonts w:cs="Calibri"/>
                <w:sz w:val="20"/>
                <w:lang w:eastAsia="en-AU"/>
              </w:rPr>
              <w:t>&lt;0.001</w:t>
            </w:r>
          </w:p>
        </w:tc>
      </w:tr>
    </w:tbl>
    <w:p w14:paraId="1689BEDC" w14:textId="77777777" w:rsidR="007F69C2" w:rsidRPr="00424090" w:rsidRDefault="007F69C2" w:rsidP="007F69C2">
      <w:pPr>
        <w:rPr>
          <w:highlight w:val="yellow"/>
        </w:rPr>
      </w:pPr>
      <w:bookmarkStart w:id="426" w:name="_Ref61342475"/>
    </w:p>
    <w:p w14:paraId="7B42E2CF" w14:textId="77777777" w:rsidR="00656EBF" w:rsidRPr="00424090" w:rsidRDefault="00656EBF" w:rsidP="004C3BA1">
      <w:pPr>
        <w:pStyle w:val="Captions"/>
        <w:rPr>
          <w:highlight w:val="yellow"/>
        </w:rPr>
      </w:pPr>
    </w:p>
    <w:p w14:paraId="4AC51243" w14:textId="77777777" w:rsidR="00656EBF" w:rsidRPr="00424090" w:rsidRDefault="00656EBF">
      <w:pPr>
        <w:spacing w:before="0" w:after="160" w:line="259" w:lineRule="auto"/>
        <w:jc w:val="left"/>
        <w:rPr>
          <w:rFonts w:eastAsia="MS Mincho" w:cs="Arial"/>
          <w:b/>
          <w:bCs/>
          <w:color w:val="auto"/>
          <w:kern w:val="0"/>
          <w:sz w:val="20"/>
          <w:highlight w:val="yellow"/>
          <w:lang w:val="en-US"/>
        </w:rPr>
      </w:pPr>
      <w:r w:rsidRPr="00424090">
        <w:rPr>
          <w:highlight w:val="yellow"/>
        </w:rPr>
        <w:br w:type="page"/>
      </w:r>
    </w:p>
    <w:p w14:paraId="526EA050" w14:textId="0B7AC4A6" w:rsidR="007F69C2" w:rsidRPr="00954AFC" w:rsidRDefault="007F69C2" w:rsidP="004C3BA1">
      <w:pPr>
        <w:pStyle w:val="Captions"/>
        <w:rPr>
          <w:noProof/>
          <w:lang w:eastAsia="en-AU"/>
        </w:rPr>
      </w:pPr>
      <w:r w:rsidRPr="00954AFC">
        <w:t>Table</w:t>
      </w:r>
      <w:bookmarkEnd w:id="426"/>
      <w:r w:rsidRPr="00954AFC">
        <w:t xml:space="preserve"> D1</w:t>
      </w:r>
      <w:r w:rsidR="00DD27F8">
        <w:t>4</w:t>
      </w:r>
      <w:r w:rsidRPr="00954AFC">
        <w:rPr>
          <w:noProof/>
          <w:lang w:eastAsia="en-AU"/>
        </w:rPr>
        <w:t>. PERMANOVA pairwise comparisons of the relative condition index (K</w:t>
      </w:r>
      <w:r w:rsidRPr="00954AFC">
        <w:rPr>
          <w:i/>
          <w:noProof/>
          <w:lang w:eastAsia="en-AU"/>
        </w:rPr>
        <w:t>rel</w:t>
      </w:r>
      <w:r w:rsidRPr="00954AFC">
        <w:rPr>
          <w:noProof/>
          <w:lang w:eastAsia="en-AU"/>
        </w:rPr>
        <w:t>) of YOY Murray cod between years (weir pools pooled). P-values presented in bold are significant comparisons (α = 0.05).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8"/>
        <w:gridCol w:w="2254"/>
        <w:gridCol w:w="2254"/>
      </w:tblGrid>
      <w:tr w:rsidR="007F69C2" w:rsidRPr="00954AFC" w14:paraId="5BE2CBC0" w14:textId="77777777" w:rsidTr="007F69C2">
        <w:trPr>
          <w:trHeight w:val="340"/>
          <w:tblHeader/>
          <w:jc w:val="center"/>
        </w:trPr>
        <w:tc>
          <w:tcPr>
            <w:tcW w:w="2778" w:type="dxa"/>
            <w:tcBorders>
              <w:top w:val="single" w:sz="4" w:space="0" w:color="auto"/>
              <w:bottom w:val="single" w:sz="4" w:space="0" w:color="auto"/>
            </w:tcBorders>
          </w:tcPr>
          <w:p w14:paraId="7908ED28" w14:textId="77777777" w:rsidR="007F69C2" w:rsidRPr="00954AFC" w:rsidRDefault="007F69C2" w:rsidP="009F3C4C">
            <w:pPr>
              <w:spacing w:line="240" w:lineRule="auto"/>
              <w:contextualSpacing/>
              <w:jc w:val="center"/>
              <w:rPr>
                <w:b/>
                <w:noProof/>
                <w:sz w:val="20"/>
                <w:lang w:eastAsia="en-AU"/>
              </w:rPr>
            </w:pPr>
            <w:r w:rsidRPr="00954AFC">
              <w:rPr>
                <w:b/>
                <w:noProof/>
                <w:sz w:val="20"/>
                <w:lang w:eastAsia="en-AU"/>
              </w:rPr>
              <w:t>Comparison</w:t>
            </w:r>
          </w:p>
        </w:tc>
        <w:tc>
          <w:tcPr>
            <w:tcW w:w="2254" w:type="dxa"/>
            <w:tcBorders>
              <w:top w:val="single" w:sz="4" w:space="0" w:color="auto"/>
              <w:bottom w:val="single" w:sz="4" w:space="0" w:color="auto"/>
            </w:tcBorders>
          </w:tcPr>
          <w:p w14:paraId="667F1E66" w14:textId="77777777" w:rsidR="007F69C2" w:rsidRPr="00954AFC" w:rsidRDefault="007F69C2" w:rsidP="009F3C4C">
            <w:pPr>
              <w:spacing w:line="240" w:lineRule="auto"/>
              <w:contextualSpacing/>
              <w:jc w:val="center"/>
              <w:rPr>
                <w:b/>
                <w:i/>
                <w:noProof/>
                <w:sz w:val="20"/>
                <w:lang w:eastAsia="en-AU"/>
              </w:rPr>
            </w:pPr>
            <w:r w:rsidRPr="00954AFC">
              <w:rPr>
                <w:b/>
                <w:i/>
                <w:noProof/>
                <w:sz w:val="20"/>
                <w:lang w:eastAsia="en-AU"/>
              </w:rPr>
              <w:t>t</w:t>
            </w:r>
          </w:p>
        </w:tc>
        <w:tc>
          <w:tcPr>
            <w:tcW w:w="2254" w:type="dxa"/>
            <w:tcBorders>
              <w:top w:val="single" w:sz="4" w:space="0" w:color="auto"/>
              <w:bottom w:val="single" w:sz="4" w:space="0" w:color="auto"/>
            </w:tcBorders>
          </w:tcPr>
          <w:p w14:paraId="35BE2D76" w14:textId="77777777" w:rsidR="007F69C2" w:rsidRPr="00954AFC" w:rsidRDefault="007F69C2" w:rsidP="009F3C4C">
            <w:pPr>
              <w:spacing w:line="240" w:lineRule="auto"/>
              <w:contextualSpacing/>
              <w:jc w:val="center"/>
              <w:rPr>
                <w:b/>
                <w:noProof/>
                <w:sz w:val="20"/>
                <w:lang w:eastAsia="en-AU"/>
              </w:rPr>
            </w:pPr>
            <w:r w:rsidRPr="00954AFC">
              <w:rPr>
                <w:b/>
                <w:i/>
                <w:noProof/>
                <w:sz w:val="20"/>
                <w:lang w:eastAsia="en-AU"/>
              </w:rPr>
              <w:t>p</w:t>
            </w:r>
            <w:r w:rsidRPr="00954AFC">
              <w:rPr>
                <w:b/>
                <w:noProof/>
                <w:sz w:val="20"/>
                <w:lang w:eastAsia="en-AU"/>
              </w:rPr>
              <w:t xml:space="preserve"> value</w:t>
            </w:r>
          </w:p>
        </w:tc>
      </w:tr>
      <w:tr w:rsidR="00954AFC" w:rsidRPr="00954AFC" w14:paraId="6067E75A" w14:textId="77777777" w:rsidTr="009F3C4C">
        <w:trPr>
          <w:trHeight w:val="283"/>
          <w:jc w:val="center"/>
        </w:trPr>
        <w:tc>
          <w:tcPr>
            <w:tcW w:w="2778" w:type="dxa"/>
            <w:tcBorders>
              <w:top w:val="single" w:sz="4" w:space="0" w:color="auto"/>
            </w:tcBorders>
          </w:tcPr>
          <w:p w14:paraId="26AF7452" w14:textId="4E9B9379" w:rsidR="00954AFC" w:rsidRPr="00954AFC" w:rsidRDefault="00954AFC" w:rsidP="00954AFC">
            <w:pPr>
              <w:spacing w:line="240" w:lineRule="auto"/>
              <w:contextualSpacing/>
              <w:jc w:val="center"/>
              <w:rPr>
                <w:b/>
                <w:noProof/>
                <w:sz w:val="20"/>
                <w:lang w:eastAsia="en-AU"/>
              </w:rPr>
            </w:pPr>
            <w:r w:rsidRPr="006A0C0D">
              <w:t>2015, 2016</w:t>
            </w:r>
          </w:p>
        </w:tc>
        <w:tc>
          <w:tcPr>
            <w:tcW w:w="2254" w:type="dxa"/>
            <w:tcBorders>
              <w:top w:val="single" w:sz="4" w:space="0" w:color="auto"/>
            </w:tcBorders>
          </w:tcPr>
          <w:p w14:paraId="340E3306" w14:textId="51250938" w:rsidR="00954AFC" w:rsidRPr="00954AFC" w:rsidRDefault="00954AFC" w:rsidP="00954AFC">
            <w:pPr>
              <w:spacing w:line="240" w:lineRule="auto"/>
              <w:contextualSpacing/>
              <w:jc w:val="center"/>
              <w:rPr>
                <w:b/>
                <w:noProof/>
                <w:sz w:val="20"/>
                <w:lang w:eastAsia="en-AU"/>
              </w:rPr>
            </w:pPr>
            <w:r w:rsidRPr="006A0C0D">
              <w:t>0.394</w:t>
            </w:r>
          </w:p>
        </w:tc>
        <w:tc>
          <w:tcPr>
            <w:tcW w:w="2254" w:type="dxa"/>
            <w:tcBorders>
              <w:top w:val="single" w:sz="4" w:space="0" w:color="auto"/>
            </w:tcBorders>
          </w:tcPr>
          <w:p w14:paraId="1FC840BA" w14:textId="5D3159D3" w:rsidR="00954AFC" w:rsidRPr="00954AFC" w:rsidRDefault="00954AFC" w:rsidP="00954AFC">
            <w:pPr>
              <w:spacing w:line="240" w:lineRule="auto"/>
              <w:contextualSpacing/>
              <w:jc w:val="center"/>
              <w:rPr>
                <w:b/>
                <w:noProof/>
                <w:sz w:val="20"/>
                <w:lang w:eastAsia="en-AU"/>
              </w:rPr>
            </w:pPr>
            <w:r w:rsidRPr="006A0C0D">
              <w:t>0.700</w:t>
            </w:r>
          </w:p>
        </w:tc>
      </w:tr>
      <w:tr w:rsidR="00954AFC" w:rsidRPr="00954AFC" w14:paraId="26C56C7F" w14:textId="77777777" w:rsidTr="009F3C4C">
        <w:trPr>
          <w:trHeight w:val="283"/>
          <w:jc w:val="center"/>
        </w:trPr>
        <w:tc>
          <w:tcPr>
            <w:tcW w:w="2778" w:type="dxa"/>
          </w:tcPr>
          <w:p w14:paraId="0D2341FD" w14:textId="15C1C9FE" w:rsidR="00954AFC" w:rsidRPr="00954AFC" w:rsidRDefault="00954AFC" w:rsidP="00954AFC">
            <w:pPr>
              <w:spacing w:line="240" w:lineRule="auto"/>
              <w:contextualSpacing/>
              <w:jc w:val="center"/>
              <w:rPr>
                <w:b/>
                <w:noProof/>
                <w:sz w:val="20"/>
                <w:lang w:eastAsia="en-AU"/>
              </w:rPr>
            </w:pPr>
            <w:r w:rsidRPr="006A0C0D">
              <w:t>2015, 2017</w:t>
            </w:r>
          </w:p>
        </w:tc>
        <w:tc>
          <w:tcPr>
            <w:tcW w:w="2254" w:type="dxa"/>
          </w:tcPr>
          <w:p w14:paraId="1CA735AB" w14:textId="22CAA2EA" w:rsidR="00954AFC" w:rsidRPr="00954AFC" w:rsidRDefault="00954AFC" w:rsidP="00954AFC">
            <w:pPr>
              <w:spacing w:line="240" w:lineRule="auto"/>
              <w:contextualSpacing/>
              <w:jc w:val="center"/>
              <w:rPr>
                <w:b/>
                <w:noProof/>
                <w:sz w:val="20"/>
                <w:lang w:eastAsia="en-AU"/>
              </w:rPr>
            </w:pPr>
            <w:r w:rsidRPr="006A0C0D">
              <w:t>2.961</w:t>
            </w:r>
          </w:p>
        </w:tc>
        <w:tc>
          <w:tcPr>
            <w:tcW w:w="2254" w:type="dxa"/>
          </w:tcPr>
          <w:p w14:paraId="55C2A1C9" w14:textId="6060B1E0" w:rsidR="00954AFC" w:rsidRPr="005859F0" w:rsidRDefault="00954AFC" w:rsidP="00954AFC">
            <w:pPr>
              <w:spacing w:line="240" w:lineRule="auto"/>
              <w:contextualSpacing/>
              <w:jc w:val="center"/>
              <w:rPr>
                <w:b/>
                <w:bCs/>
                <w:noProof/>
                <w:sz w:val="20"/>
                <w:lang w:eastAsia="en-AU"/>
              </w:rPr>
            </w:pPr>
            <w:r w:rsidRPr="005859F0">
              <w:rPr>
                <w:b/>
                <w:bCs/>
              </w:rPr>
              <w:t>0.011</w:t>
            </w:r>
          </w:p>
        </w:tc>
      </w:tr>
      <w:tr w:rsidR="00954AFC" w:rsidRPr="00954AFC" w14:paraId="46EBE242" w14:textId="77777777" w:rsidTr="009F3C4C">
        <w:trPr>
          <w:trHeight w:val="283"/>
          <w:jc w:val="center"/>
        </w:trPr>
        <w:tc>
          <w:tcPr>
            <w:tcW w:w="2778" w:type="dxa"/>
          </w:tcPr>
          <w:p w14:paraId="7EDFFAC2" w14:textId="7D0FC047" w:rsidR="00954AFC" w:rsidRPr="00954AFC" w:rsidRDefault="00954AFC" w:rsidP="00954AFC">
            <w:pPr>
              <w:spacing w:line="240" w:lineRule="auto"/>
              <w:contextualSpacing/>
              <w:jc w:val="center"/>
              <w:rPr>
                <w:b/>
                <w:noProof/>
                <w:sz w:val="20"/>
                <w:lang w:eastAsia="en-AU"/>
              </w:rPr>
            </w:pPr>
            <w:r w:rsidRPr="006A0C0D">
              <w:t>2015, 2018</w:t>
            </w:r>
          </w:p>
        </w:tc>
        <w:tc>
          <w:tcPr>
            <w:tcW w:w="2254" w:type="dxa"/>
          </w:tcPr>
          <w:p w14:paraId="71A3CE46" w14:textId="0655882E" w:rsidR="00954AFC" w:rsidRPr="00954AFC" w:rsidRDefault="00954AFC" w:rsidP="00954AFC">
            <w:pPr>
              <w:spacing w:line="240" w:lineRule="auto"/>
              <w:contextualSpacing/>
              <w:jc w:val="center"/>
              <w:rPr>
                <w:b/>
                <w:noProof/>
                <w:sz w:val="20"/>
                <w:lang w:eastAsia="en-AU"/>
              </w:rPr>
            </w:pPr>
            <w:r w:rsidRPr="006A0C0D">
              <w:t>1.695</w:t>
            </w:r>
          </w:p>
        </w:tc>
        <w:tc>
          <w:tcPr>
            <w:tcW w:w="2254" w:type="dxa"/>
          </w:tcPr>
          <w:p w14:paraId="342D3F8D" w14:textId="730C83AE" w:rsidR="00954AFC" w:rsidRPr="00954AFC" w:rsidRDefault="00954AFC" w:rsidP="00954AFC">
            <w:pPr>
              <w:spacing w:line="240" w:lineRule="auto"/>
              <w:contextualSpacing/>
              <w:jc w:val="center"/>
              <w:rPr>
                <w:noProof/>
                <w:sz w:val="20"/>
                <w:lang w:eastAsia="en-AU"/>
              </w:rPr>
            </w:pPr>
            <w:r w:rsidRPr="006A0C0D">
              <w:t>0.108</w:t>
            </w:r>
          </w:p>
        </w:tc>
      </w:tr>
      <w:tr w:rsidR="00954AFC" w:rsidRPr="00954AFC" w14:paraId="2A6C266D" w14:textId="77777777" w:rsidTr="009F3C4C">
        <w:trPr>
          <w:trHeight w:val="283"/>
          <w:jc w:val="center"/>
        </w:trPr>
        <w:tc>
          <w:tcPr>
            <w:tcW w:w="2778" w:type="dxa"/>
          </w:tcPr>
          <w:p w14:paraId="6253D63E" w14:textId="1300DDD0" w:rsidR="00954AFC" w:rsidRPr="00954AFC" w:rsidRDefault="00954AFC" w:rsidP="00954AFC">
            <w:pPr>
              <w:spacing w:line="240" w:lineRule="auto"/>
              <w:contextualSpacing/>
              <w:jc w:val="center"/>
              <w:rPr>
                <w:b/>
                <w:noProof/>
                <w:sz w:val="20"/>
                <w:lang w:eastAsia="en-AU"/>
              </w:rPr>
            </w:pPr>
            <w:r w:rsidRPr="006A0C0D">
              <w:t>2015, 2019</w:t>
            </w:r>
          </w:p>
        </w:tc>
        <w:tc>
          <w:tcPr>
            <w:tcW w:w="2254" w:type="dxa"/>
          </w:tcPr>
          <w:p w14:paraId="454EE150" w14:textId="70CEE3B4" w:rsidR="00954AFC" w:rsidRPr="00954AFC" w:rsidRDefault="00954AFC" w:rsidP="00954AFC">
            <w:pPr>
              <w:spacing w:line="240" w:lineRule="auto"/>
              <w:contextualSpacing/>
              <w:jc w:val="center"/>
              <w:rPr>
                <w:b/>
                <w:noProof/>
                <w:sz w:val="20"/>
                <w:lang w:eastAsia="en-AU"/>
              </w:rPr>
            </w:pPr>
            <w:r w:rsidRPr="006A0C0D">
              <w:t>1.100</w:t>
            </w:r>
          </w:p>
        </w:tc>
        <w:tc>
          <w:tcPr>
            <w:tcW w:w="2254" w:type="dxa"/>
          </w:tcPr>
          <w:p w14:paraId="7E269D44" w14:textId="14EE25A9" w:rsidR="00954AFC" w:rsidRPr="00954AFC" w:rsidRDefault="00954AFC" w:rsidP="00954AFC">
            <w:pPr>
              <w:spacing w:line="240" w:lineRule="auto"/>
              <w:contextualSpacing/>
              <w:jc w:val="center"/>
              <w:rPr>
                <w:noProof/>
                <w:sz w:val="20"/>
                <w:lang w:eastAsia="en-AU"/>
              </w:rPr>
            </w:pPr>
            <w:r w:rsidRPr="006A0C0D">
              <w:t>0.278</w:t>
            </w:r>
          </w:p>
        </w:tc>
      </w:tr>
      <w:tr w:rsidR="00954AFC" w:rsidRPr="00954AFC" w14:paraId="06ED815F" w14:textId="77777777" w:rsidTr="009F3C4C">
        <w:trPr>
          <w:trHeight w:val="283"/>
          <w:jc w:val="center"/>
        </w:trPr>
        <w:tc>
          <w:tcPr>
            <w:tcW w:w="2778" w:type="dxa"/>
          </w:tcPr>
          <w:p w14:paraId="120AECA8" w14:textId="79EC03A3" w:rsidR="00954AFC" w:rsidRPr="00954AFC" w:rsidRDefault="00954AFC" w:rsidP="00954AFC">
            <w:pPr>
              <w:spacing w:line="240" w:lineRule="auto"/>
              <w:contextualSpacing/>
              <w:jc w:val="center"/>
              <w:rPr>
                <w:b/>
                <w:noProof/>
                <w:sz w:val="20"/>
                <w:lang w:eastAsia="en-AU"/>
              </w:rPr>
            </w:pPr>
            <w:r w:rsidRPr="006A0C0D">
              <w:t>2015, 2020</w:t>
            </w:r>
          </w:p>
        </w:tc>
        <w:tc>
          <w:tcPr>
            <w:tcW w:w="2254" w:type="dxa"/>
          </w:tcPr>
          <w:p w14:paraId="4825A054" w14:textId="379A5A63" w:rsidR="00954AFC" w:rsidRPr="00954AFC" w:rsidRDefault="00954AFC" w:rsidP="00954AFC">
            <w:pPr>
              <w:spacing w:line="240" w:lineRule="auto"/>
              <w:contextualSpacing/>
              <w:jc w:val="center"/>
              <w:rPr>
                <w:b/>
                <w:noProof/>
                <w:sz w:val="20"/>
                <w:lang w:eastAsia="en-AU"/>
              </w:rPr>
            </w:pPr>
            <w:r w:rsidRPr="006A0C0D">
              <w:t>0.346</w:t>
            </w:r>
          </w:p>
        </w:tc>
        <w:tc>
          <w:tcPr>
            <w:tcW w:w="2254" w:type="dxa"/>
          </w:tcPr>
          <w:p w14:paraId="6684924D" w14:textId="4F6D14D2" w:rsidR="00954AFC" w:rsidRPr="00954AFC" w:rsidRDefault="00954AFC" w:rsidP="00954AFC">
            <w:pPr>
              <w:spacing w:line="240" w:lineRule="auto"/>
              <w:contextualSpacing/>
              <w:jc w:val="center"/>
              <w:rPr>
                <w:noProof/>
                <w:sz w:val="20"/>
                <w:lang w:eastAsia="en-AU"/>
              </w:rPr>
            </w:pPr>
            <w:r w:rsidRPr="006A0C0D">
              <w:t>0.735</w:t>
            </w:r>
          </w:p>
        </w:tc>
      </w:tr>
      <w:tr w:rsidR="00954AFC" w:rsidRPr="00954AFC" w14:paraId="51C25F66" w14:textId="77777777" w:rsidTr="009F3C4C">
        <w:trPr>
          <w:trHeight w:val="283"/>
          <w:jc w:val="center"/>
        </w:trPr>
        <w:tc>
          <w:tcPr>
            <w:tcW w:w="2778" w:type="dxa"/>
          </w:tcPr>
          <w:p w14:paraId="216E399F" w14:textId="6274D6FB" w:rsidR="00954AFC" w:rsidRPr="00954AFC" w:rsidRDefault="00954AFC" w:rsidP="00954AFC">
            <w:pPr>
              <w:spacing w:line="240" w:lineRule="auto"/>
              <w:contextualSpacing/>
              <w:jc w:val="center"/>
            </w:pPr>
            <w:r w:rsidRPr="006A0C0D">
              <w:t>2015, 2021</w:t>
            </w:r>
          </w:p>
        </w:tc>
        <w:tc>
          <w:tcPr>
            <w:tcW w:w="2254" w:type="dxa"/>
          </w:tcPr>
          <w:p w14:paraId="1CA548D4" w14:textId="36E05529" w:rsidR="00954AFC" w:rsidRPr="00954AFC" w:rsidRDefault="00954AFC" w:rsidP="00954AFC">
            <w:pPr>
              <w:spacing w:line="240" w:lineRule="auto"/>
              <w:contextualSpacing/>
              <w:jc w:val="center"/>
            </w:pPr>
            <w:r w:rsidRPr="006A0C0D">
              <w:t>1.350</w:t>
            </w:r>
          </w:p>
        </w:tc>
        <w:tc>
          <w:tcPr>
            <w:tcW w:w="2254" w:type="dxa"/>
          </w:tcPr>
          <w:p w14:paraId="0BE7AC1C" w14:textId="5EDB6CAE" w:rsidR="00954AFC" w:rsidRPr="00954AFC" w:rsidRDefault="00954AFC" w:rsidP="00954AFC">
            <w:pPr>
              <w:spacing w:line="240" w:lineRule="auto"/>
              <w:contextualSpacing/>
              <w:jc w:val="center"/>
            </w:pPr>
            <w:r w:rsidRPr="006A0C0D">
              <w:t>0.198</w:t>
            </w:r>
          </w:p>
        </w:tc>
      </w:tr>
      <w:tr w:rsidR="00954AFC" w:rsidRPr="00954AFC" w14:paraId="335538E5" w14:textId="77777777" w:rsidTr="009F3C4C">
        <w:trPr>
          <w:trHeight w:val="283"/>
          <w:jc w:val="center"/>
        </w:trPr>
        <w:tc>
          <w:tcPr>
            <w:tcW w:w="2778" w:type="dxa"/>
          </w:tcPr>
          <w:p w14:paraId="6088D47B" w14:textId="4E1995BD" w:rsidR="00954AFC" w:rsidRPr="00954AFC" w:rsidRDefault="00954AFC" w:rsidP="00954AFC">
            <w:pPr>
              <w:spacing w:line="240" w:lineRule="auto"/>
              <w:contextualSpacing/>
              <w:jc w:val="center"/>
              <w:rPr>
                <w:b/>
                <w:noProof/>
                <w:sz w:val="20"/>
                <w:lang w:eastAsia="en-AU"/>
              </w:rPr>
            </w:pPr>
            <w:r w:rsidRPr="006A0C0D">
              <w:t>2016, 2017</w:t>
            </w:r>
          </w:p>
        </w:tc>
        <w:tc>
          <w:tcPr>
            <w:tcW w:w="2254" w:type="dxa"/>
          </w:tcPr>
          <w:p w14:paraId="7C4C4AA5" w14:textId="73BFCFAC" w:rsidR="00954AFC" w:rsidRPr="00954AFC" w:rsidRDefault="00954AFC" w:rsidP="00954AFC">
            <w:pPr>
              <w:spacing w:line="240" w:lineRule="auto"/>
              <w:contextualSpacing/>
              <w:jc w:val="center"/>
              <w:rPr>
                <w:b/>
                <w:noProof/>
                <w:sz w:val="20"/>
                <w:lang w:eastAsia="en-AU"/>
              </w:rPr>
            </w:pPr>
            <w:r w:rsidRPr="006A0C0D">
              <w:t>4.084</w:t>
            </w:r>
          </w:p>
        </w:tc>
        <w:tc>
          <w:tcPr>
            <w:tcW w:w="2254" w:type="dxa"/>
          </w:tcPr>
          <w:p w14:paraId="15D8A596" w14:textId="26363BE5" w:rsidR="00954AFC" w:rsidRPr="005859F0" w:rsidRDefault="00954AFC" w:rsidP="00954AFC">
            <w:pPr>
              <w:spacing w:line="240" w:lineRule="auto"/>
              <w:contextualSpacing/>
              <w:jc w:val="center"/>
              <w:rPr>
                <w:b/>
                <w:bCs/>
                <w:noProof/>
                <w:sz w:val="20"/>
                <w:lang w:eastAsia="en-AU"/>
              </w:rPr>
            </w:pPr>
            <w:r w:rsidRPr="005859F0">
              <w:rPr>
                <w:b/>
                <w:bCs/>
              </w:rPr>
              <w:t>0.001</w:t>
            </w:r>
          </w:p>
        </w:tc>
      </w:tr>
      <w:tr w:rsidR="00954AFC" w:rsidRPr="00954AFC" w14:paraId="58AB74FD" w14:textId="77777777" w:rsidTr="009F3C4C">
        <w:trPr>
          <w:trHeight w:val="283"/>
          <w:jc w:val="center"/>
        </w:trPr>
        <w:tc>
          <w:tcPr>
            <w:tcW w:w="2778" w:type="dxa"/>
          </w:tcPr>
          <w:p w14:paraId="67747504" w14:textId="097CA4AE" w:rsidR="00954AFC" w:rsidRPr="00954AFC" w:rsidRDefault="00954AFC" w:rsidP="00954AFC">
            <w:pPr>
              <w:spacing w:line="240" w:lineRule="auto"/>
              <w:contextualSpacing/>
              <w:jc w:val="center"/>
              <w:rPr>
                <w:b/>
                <w:noProof/>
                <w:sz w:val="20"/>
                <w:lang w:eastAsia="en-AU"/>
              </w:rPr>
            </w:pPr>
            <w:r w:rsidRPr="006A0C0D">
              <w:t>2016, 2018</w:t>
            </w:r>
          </w:p>
        </w:tc>
        <w:tc>
          <w:tcPr>
            <w:tcW w:w="2254" w:type="dxa"/>
          </w:tcPr>
          <w:p w14:paraId="79BA13C2" w14:textId="0BD457A9" w:rsidR="00954AFC" w:rsidRPr="00954AFC" w:rsidRDefault="00954AFC" w:rsidP="00954AFC">
            <w:pPr>
              <w:spacing w:line="240" w:lineRule="auto"/>
              <w:contextualSpacing/>
              <w:jc w:val="center"/>
              <w:rPr>
                <w:b/>
                <w:noProof/>
                <w:sz w:val="20"/>
                <w:lang w:eastAsia="en-AU"/>
              </w:rPr>
            </w:pPr>
            <w:r w:rsidRPr="006A0C0D">
              <w:t>1.661</w:t>
            </w:r>
          </w:p>
        </w:tc>
        <w:tc>
          <w:tcPr>
            <w:tcW w:w="2254" w:type="dxa"/>
          </w:tcPr>
          <w:p w14:paraId="7294FC99" w14:textId="11C1F19D" w:rsidR="00954AFC" w:rsidRPr="00954AFC" w:rsidRDefault="00954AFC" w:rsidP="00954AFC">
            <w:pPr>
              <w:spacing w:line="240" w:lineRule="auto"/>
              <w:contextualSpacing/>
              <w:jc w:val="center"/>
              <w:rPr>
                <w:noProof/>
                <w:sz w:val="20"/>
                <w:lang w:eastAsia="en-AU"/>
              </w:rPr>
            </w:pPr>
            <w:r w:rsidRPr="006A0C0D">
              <w:t>0.107</w:t>
            </w:r>
          </w:p>
        </w:tc>
      </w:tr>
      <w:tr w:rsidR="00954AFC" w:rsidRPr="00954AFC" w14:paraId="53091362" w14:textId="77777777" w:rsidTr="009F3C4C">
        <w:trPr>
          <w:trHeight w:val="283"/>
          <w:jc w:val="center"/>
        </w:trPr>
        <w:tc>
          <w:tcPr>
            <w:tcW w:w="2778" w:type="dxa"/>
          </w:tcPr>
          <w:p w14:paraId="44B3EE0B" w14:textId="464F8750" w:rsidR="00954AFC" w:rsidRPr="00954AFC" w:rsidRDefault="00954AFC" w:rsidP="00954AFC">
            <w:pPr>
              <w:spacing w:line="240" w:lineRule="auto"/>
              <w:contextualSpacing/>
              <w:jc w:val="center"/>
              <w:rPr>
                <w:b/>
                <w:noProof/>
                <w:sz w:val="20"/>
                <w:lang w:eastAsia="en-AU"/>
              </w:rPr>
            </w:pPr>
            <w:r w:rsidRPr="006A0C0D">
              <w:t>2016, 2019</w:t>
            </w:r>
          </w:p>
        </w:tc>
        <w:tc>
          <w:tcPr>
            <w:tcW w:w="2254" w:type="dxa"/>
          </w:tcPr>
          <w:p w14:paraId="45BFF78F" w14:textId="4A008AF7" w:rsidR="00954AFC" w:rsidRPr="00954AFC" w:rsidRDefault="00954AFC" w:rsidP="00954AFC">
            <w:pPr>
              <w:spacing w:line="240" w:lineRule="auto"/>
              <w:contextualSpacing/>
              <w:jc w:val="center"/>
              <w:rPr>
                <w:b/>
                <w:noProof/>
                <w:sz w:val="20"/>
                <w:lang w:eastAsia="en-AU"/>
              </w:rPr>
            </w:pPr>
            <w:r w:rsidRPr="006A0C0D">
              <w:t>1.643</w:t>
            </w:r>
          </w:p>
        </w:tc>
        <w:tc>
          <w:tcPr>
            <w:tcW w:w="2254" w:type="dxa"/>
          </w:tcPr>
          <w:p w14:paraId="70890170" w14:textId="59B85192" w:rsidR="00954AFC" w:rsidRPr="00954AFC" w:rsidRDefault="00954AFC" w:rsidP="00954AFC">
            <w:pPr>
              <w:spacing w:line="240" w:lineRule="auto"/>
              <w:contextualSpacing/>
              <w:jc w:val="center"/>
              <w:rPr>
                <w:noProof/>
                <w:sz w:val="20"/>
                <w:lang w:eastAsia="en-AU"/>
              </w:rPr>
            </w:pPr>
            <w:r w:rsidRPr="006A0C0D">
              <w:t>0.106</w:t>
            </w:r>
          </w:p>
        </w:tc>
      </w:tr>
      <w:tr w:rsidR="00954AFC" w:rsidRPr="00954AFC" w14:paraId="425B2DB2" w14:textId="77777777" w:rsidTr="009F3C4C">
        <w:trPr>
          <w:trHeight w:val="283"/>
          <w:jc w:val="center"/>
        </w:trPr>
        <w:tc>
          <w:tcPr>
            <w:tcW w:w="2778" w:type="dxa"/>
          </w:tcPr>
          <w:p w14:paraId="1E396D72" w14:textId="16174FF1" w:rsidR="00954AFC" w:rsidRPr="00954AFC" w:rsidRDefault="00954AFC" w:rsidP="00954AFC">
            <w:pPr>
              <w:spacing w:line="240" w:lineRule="auto"/>
              <w:contextualSpacing/>
              <w:jc w:val="center"/>
              <w:rPr>
                <w:b/>
                <w:noProof/>
                <w:sz w:val="20"/>
                <w:lang w:eastAsia="en-AU"/>
              </w:rPr>
            </w:pPr>
            <w:r w:rsidRPr="006A0C0D">
              <w:t>2016, 2020</w:t>
            </w:r>
          </w:p>
        </w:tc>
        <w:tc>
          <w:tcPr>
            <w:tcW w:w="2254" w:type="dxa"/>
          </w:tcPr>
          <w:p w14:paraId="1C2875E6" w14:textId="3D6F242D" w:rsidR="00954AFC" w:rsidRPr="00954AFC" w:rsidRDefault="00954AFC" w:rsidP="00954AFC">
            <w:pPr>
              <w:spacing w:line="240" w:lineRule="auto"/>
              <w:contextualSpacing/>
              <w:jc w:val="center"/>
              <w:rPr>
                <w:b/>
                <w:noProof/>
                <w:sz w:val="20"/>
                <w:lang w:eastAsia="en-AU"/>
              </w:rPr>
            </w:pPr>
            <w:r w:rsidRPr="006A0C0D">
              <w:t>0.005</w:t>
            </w:r>
          </w:p>
        </w:tc>
        <w:tc>
          <w:tcPr>
            <w:tcW w:w="2254" w:type="dxa"/>
          </w:tcPr>
          <w:p w14:paraId="573FB6F8" w14:textId="7E23CFEB" w:rsidR="00954AFC" w:rsidRPr="00954AFC" w:rsidRDefault="00954AFC" w:rsidP="00954AFC">
            <w:pPr>
              <w:spacing w:line="240" w:lineRule="auto"/>
              <w:contextualSpacing/>
              <w:jc w:val="center"/>
              <w:rPr>
                <w:noProof/>
                <w:sz w:val="20"/>
                <w:lang w:eastAsia="en-AU"/>
              </w:rPr>
            </w:pPr>
            <w:r w:rsidRPr="006A0C0D">
              <w:t>0.997</w:t>
            </w:r>
          </w:p>
        </w:tc>
      </w:tr>
      <w:tr w:rsidR="00954AFC" w:rsidRPr="00954AFC" w14:paraId="7DC15EF4" w14:textId="77777777" w:rsidTr="009F3C4C">
        <w:trPr>
          <w:trHeight w:val="283"/>
          <w:jc w:val="center"/>
        </w:trPr>
        <w:tc>
          <w:tcPr>
            <w:tcW w:w="2778" w:type="dxa"/>
          </w:tcPr>
          <w:p w14:paraId="72266B19" w14:textId="0E7C5E42" w:rsidR="00954AFC" w:rsidRPr="00954AFC" w:rsidRDefault="00954AFC" w:rsidP="00954AFC">
            <w:pPr>
              <w:spacing w:line="240" w:lineRule="auto"/>
              <w:contextualSpacing/>
              <w:jc w:val="center"/>
            </w:pPr>
            <w:r w:rsidRPr="006A0C0D">
              <w:t>2016, 2021</w:t>
            </w:r>
          </w:p>
        </w:tc>
        <w:tc>
          <w:tcPr>
            <w:tcW w:w="2254" w:type="dxa"/>
          </w:tcPr>
          <w:p w14:paraId="46E7870E" w14:textId="1E560D7F" w:rsidR="00954AFC" w:rsidRPr="00954AFC" w:rsidRDefault="00954AFC" w:rsidP="00954AFC">
            <w:pPr>
              <w:spacing w:line="240" w:lineRule="auto"/>
              <w:contextualSpacing/>
              <w:jc w:val="center"/>
            </w:pPr>
            <w:r w:rsidRPr="006A0C0D">
              <w:t>2.110</w:t>
            </w:r>
          </w:p>
        </w:tc>
        <w:tc>
          <w:tcPr>
            <w:tcW w:w="2254" w:type="dxa"/>
          </w:tcPr>
          <w:p w14:paraId="3B35105C" w14:textId="3C7324B6" w:rsidR="00954AFC" w:rsidRPr="005859F0" w:rsidRDefault="00954AFC" w:rsidP="00954AFC">
            <w:pPr>
              <w:spacing w:line="240" w:lineRule="auto"/>
              <w:contextualSpacing/>
              <w:jc w:val="center"/>
              <w:rPr>
                <w:b/>
                <w:bCs/>
              </w:rPr>
            </w:pPr>
            <w:r w:rsidRPr="005859F0">
              <w:rPr>
                <w:b/>
                <w:bCs/>
              </w:rPr>
              <w:t>0.042</w:t>
            </w:r>
          </w:p>
        </w:tc>
      </w:tr>
      <w:tr w:rsidR="00954AFC" w:rsidRPr="00954AFC" w14:paraId="256640C1" w14:textId="77777777" w:rsidTr="009F3C4C">
        <w:trPr>
          <w:trHeight w:val="283"/>
          <w:jc w:val="center"/>
        </w:trPr>
        <w:tc>
          <w:tcPr>
            <w:tcW w:w="2778" w:type="dxa"/>
          </w:tcPr>
          <w:p w14:paraId="3EF4EB31" w14:textId="3E54D277" w:rsidR="00954AFC" w:rsidRPr="00954AFC" w:rsidRDefault="00954AFC" w:rsidP="00954AFC">
            <w:pPr>
              <w:spacing w:line="240" w:lineRule="auto"/>
              <w:contextualSpacing/>
              <w:jc w:val="center"/>
              <w:rPr>
                <w:b/>
                <w:noProof/>
                <w:sz w:val="20"/>
                <w:lang w:eastAsia="en-AU"/>
              </w:rPr>
            </w:pPr>
            <w:r w:rsidRPr="006A0C0D">
              <w:t>2017, 2018</w:t>
            </w:r>
          </w:p>
        </w:tc>
        <w:tc>
          <w:tcPr>
            <w:tcW w:w="2254" w:type="dxa"/>
          </w:tcPr>
          <w:p w14:paraId="54EF955C" w14:textId="402860D7" w:rsidR="00954AFC" w:rsidRPr="00954AFC" w:rsidRDefault="00954AFC" w:rsidP="00954AFC">
            <w:pPr>
              <w:spacing w:line="240" w:lineRule="auto"/>
              <w:contextualSpacing/>
              <w:jc w:val="center"/>
              <w:rPr>
                <w:b/>
                <w:noProof/>
                <w:sz w:val="20"/>
                <w:lang w:eastAsia="en-AU"/>
              </w:rPr>
            </w:pPr>
            <w:r w:rsidRPr="006A0C0D">
              <w:t>4.763</w:t>
            </w:r>
          </w:p>
        </w:tc>
        <w:tc>
          <w:tcPr>
            <w:tcW w:w="2254" w:type="dxa"/>
          </w:tcPr>
          <w:p w14:paraId="0641CD1B" w14:textId="7B89ACFC" w:rsidR="00954AFC" w:rsidRPr="005859F0" w:rsidRDefault="00954AFC" w:rsidP="00954AFC">
            <w:pPr>
              <w:spacing w:line="240" w:lineRule="auto"/>
              <w:contextualSpacing/>
              <w:jc w:val="center"/>
              <w:rPr>
                <w:b/>
                <w:bCs/>
                <w:noProof/>
                <w:sz w:val="20"/>
                <w:lang w:eastAsia="en-AU"/>
              </w:rPr>
            </w:pPr>
            <w:r w:rsidRPr="005859F0">
              <w:rPr>
                <w:b/>
                <w:bCs/>
              </w:rPr>
              <w:t>0.000</w:t>
            </w:r>
          </w:p>
        </w:tc>
      </w:tr>
      <w:tr w:rsidR="00954AFC" w:rsidRPr="00954AFC" w14:paraId="3C0CB1FE" w14:textId="77777777" w:rsidTr="009F3C4C">
        <w:trPr>
          <w:trHeight w:val="283"/>
          <w:jc w:val="center"/>
        </w:trPr>
        <w:tc>
          <w:tcPr>
            <w:tcW w:w="2778" w:type="dxa"/>
          </w:tcPr>
          <w:p w14:paraId="5ECEEB93" w14:textId="7CE8572F" w:rsidR="00954AFC" w:rsidRPr="00954AFC" w:rsidRDefault="00954AFC" w:rsidP="00954AFC">
            <w:pPr>
              <w:spacing w:line="240" w:lineRule="auto"/>
              <w:contextualSpacing/>
              <w:jc w:val="center"/>
              <w:rPr>
                <w:b/>
                <w:noProof/>
                <w:sz w:val="20"/>
                <w:lang w:eastAsia="en-AU"/>
              </w:rPr>
            </w:pPr>
            <w:r w:rsidRPr="006A0C0D">
              <w:t>2017, 2019</w:t>
            </w:r>
          </w:p>
        </w:tc>
        <w:tc>
          <w:tcPr>
            <w:tcW w:w="2254" w:type="dxa"/>
          </w:tcPr>
          <w:p w14:paraId="433060D6" w14:textId="70692F5D" w:rsidR="00954AFC" w:rsidRPr="00954AFC" w:rsidRDefault="00954AFC" w:rsidP="00954AFC">
            <w:pPr>
              <w:spacing w:line="240" w:lineRule="auto"/>
              <w:contextualSpacing/>
              <w:jc w:val="center"/>
              <w:rPr>
                <w:b/>
                <w:noProof/>
                <w:sz w:val="20"/>
                <w:lang w:eastAsia="en-AU"/>
              </w:rPr>
            </w:pPr>
            <w:r w:rsidRPr="006A0C0D">
              <w:t>1.756</w:t>
            </w:r>
          </w:p>
        </w:tc>
        <w:tc>
          <w:tcPr>
            <w:tcW w:w="2254" w:type="dxa"/>
          </w:tcPr>
          <w:p w14:paraId="31FFC3F1" w14:textId="6B601C74" w:rsidR="00954AFC" w:rsidRPr="00954AFC" w:rsidRDefault="00954AFC" w:rsidP="00954AFC">
            <w:pPr>
              <w:spacing w:line="240" w:lineRule="auto"/>
              <w:contextualSpacing/>
              <w:jc w:val="center"/>
              <w:rPr>
                <w:noProof/>
                <w:sz w:val="20"/>
                <w:lang w:eastAsia="en-AU"/>
              </w:rPr>
            </w:pPr>
            <w:r w:rsidRPr="006A0C0D">
              <w:t>0.088</w:t>
            </w:r>
          </w:p>
        </w:tc>
      </w:tr>
      <w:tr w:rsidR="00954AFC" w:rsidRPr="00954AFC" w14:paraId="5C34317D" w14:textId="77777777" w:rsidTr="009F3C4C">
        <w:trPr>
          <w:trHeight w:val="283"/>
          <w:jc w:val="center"/>
        </w:trPr>
        <w:tc>
          <w:tcPr>
            <w:tcW w:w="2778" w:type="dxa"/>
          </w:tcPr>
          <w:p w14:paraId="4E153504" w14:textId="1B595FC1" w:rsidR="00954AFC" w:rsidRPr="00954AFC" w:rsidRDefault="00954AFC" w:rsidP="00954AFC">
            <w:pPr>
              <w:spacing w:line="240" w:lineRule="auto"/>
              <w:contextualSpacing/>
              <w:jc w:val="center"/>
              <w:rPr>
                <w:b/>
                <w:noProof/>
                <w:sz w:val="20"/>
                <w:lang w:eastAsia="en-AU"/>
              </w:rPr>
            </w:pPr>
            <w:r w:rsidRPr="006A0C0D">
              <w:t>2017, 2020</w:t>
            </w:r>
          </w:p>
        </w:tc>
        <w:tc>
          <w:tcPr>
            <w:tcW w:w="2254" w:type="dxa"/>
          </w:tcPr>
          <w:p w14:paraId="1E9FA8D5" w14:textId="7F4CC871" w:rsidR="00954AFC" w:rsidRPr="00954AFC" w:rsidRDefault="00954AFC" w:rsidP="00954AFC">
            <w:pPr>
              <w:spacing w:line="240" w:lineRule="auto"/>
              <w:contextualSpacing/>
              <w:jc w:val="center"/>
              <w:rPr>
                <w:b/>
                <w:noProof/>
                <w:sz w:val="20"/>
                <w:lang w:eastAsia="en-AU"/>
              </w:rPr>
            </w:pPr>
            <w:r w:rsidRPr="006A0C0D">
              <w:t>3.039</w:t>
            </w:r>
          </w:p>
        </w:tc>
        <w:tc>
          <w:tcPr>
            <w:tcW w:w="2254" w:type="dxa"/>
          </w:tcPr>
          <w:p w14:paraId="6E1CA6B4" w14:textId="417B491F" w:rsidR="00954AFC" w:rsidRPr="005859F0" w:rsidRDefault="00954AFC" w:rsidP="00954AFC">
            <w:pPr>
              <w:spacing w:line="240" w:lineRule="auto"/>
              <w:contextualSpacing/>
              <w:jc w:val="center"/>
              <w:rPr>
                <w:b/>
                <w:bCs/>
                <w:noProof/>
                <w:sz w:val="20"/>
                <w:lang w:eastAsia="en-AU"/>
              </w:rPr>
            </w:pPr>
            <w:r w:rsidRPr="005859F0">
              <w:rPr>
                <w:b/>
                <w:bCs/>
              </w:rPr>
              <w:t>0.005</w:t>
            </w:r>
          </w:p>
        </w:tc>
      </w:tr>
      <w:tr w:rsidR="00954AFC" w:rsidRPr="00954AFC" w14:paraId="6758AD8E" w14:textId="77777777" w:rsidTr="009F3C4C">
        <w:trPr>
          <w:trHeight w:val="283"/>
          <w:jc w:val="center"/>
        </w:trPr>
        <w:tc>
          <w:tcPr>
            <w:tcW w:w="2778" w:type="dxa"/>
          </w:tcPr>
          <w:p w14:paraId="6ECB7FE8" w14:textId="6F16C9B1" w:rsidR="00954AFC" w:rsidRPr="00954AFC" w:rsidRDefault="00954AFC" w:rsidP="00954AFC">
            <w:pPr>
              <w:spacing w:line="240" w:lineRule="auto"/>
              <w:contextualSpacing/>
              <w:jc w:val="center"/>
            </w:pPr>
            <w:r w:rsidRPr="006A0C0D">
              <w:t>2017, 2021</w:t>
            </w:r>
          </w:p>
        </w:tc>
        <w:tc>
          <w:tcPr>
            <w:tcW w:w="2254" w:type="dxa"/>
          </w:tcPr>
          <w:p w14:paraId="0FF6CBC3" w14:textId="578C1256" w:rsidR="00954AFC" w:rsidRPr="00954AFC" w:rsidRDefault="00954AFC" w:rsidP="00954AFC">
            <w:pPr>
              <w:spacing w:line="240" w:lineRule="auto"/>
              <w:contextualSpacing/>
              <w:jc w:val="center"/>
            </w:pPr>
            <w:r w:rsidRPr="006A0C0D">
              <w:t>2.049</w:t>
            </w:r>
          </w:p>
        </w:tc>
        <w:tc>
          <w:tcPr>
            <w:tcW w:w="2254" w:type="dxa"/>
          </w:tcPr>
          <w:p w14:paraId="09F3C1A6" w14:textId="5D50B90B" w:rsidR="00954AFC" w:rsidRPr="00954AFC" w:rsidRDefault="00954AFC" w:rsidP="00954AFC">
            <w:pPr>
              <w:spacing w:line="240" w:lineRule="auto"/>
              <w:contextualSpacing/>
              <w:jc w:val="center"/>
              <w:rPr>
                <w:b/>
                <w:bCs/>
              </w:rPr>
            </w:pPr>
            <w:r w:rsidRPr="006A0C0D">
              <w:t>0.057</w:t>
            </w:r>
          </w:p>
        </w:tc>
      </w:tr>
      <w:tr w:rsidR="00954AFC" w:rsidRPr="00954AFC" w14:paraId="4B78BBF0" w14:textId="77777777" w:rsidTr="009F3C4C">
        <w:trPr>
          <w:trHeight w:val="283"/>
          <w:jc w:val="center"/>
        </w:trPr>
        <w:tc>
          <w:tcPr>
            <w:tcW w:w="2778" w:type="dxa"/>
          </w:tcPr>
          <w:p w14:paraId="595B6A0A" w14:textId="7E65F7B0" w:rsidR="00954AFC" w:rsidRPr="00954AFC" w:rsidRDefault="00954AFC" w:rsidP="00954AFC">
            <w:pPr>
              <w:spacing w:line="240" w:lineRule="auto"/>
              <w:contextualSpacing/>
              <w:jc w:val="center"/>
              <w:rPr>
                <w:b/>
                <w:noProof/>
                <w:sz w:val="20"/>
                <w:lang w:eastAsia="en-AU"/>
              </w:rPr>
            </w:pPr>
            <w:r w:rsidRPr="006A0C0D">
              <w:t>2018, 2019</w:t>
            </w:r>
          </w:p>
        </w:tc>
        <w:tc>
          <w:tcPr>
            <w:tcW w:w="2254" w:type="dxa"/>
          </w:tcPr>
          <w:p w14:paraId="22FFF579" w14:textId="210F6E8C" w:rsidR="00954AFC" w:rsidRPr="00954AFC" w:rsidRDefault="00954AFC" w:rsidP="00954AFC">
            <w:pPr>
              <w:spacing w:line="240" w:lineRule="auto"/>
              <w:contextualSpacing/>
              <w:jc w:val="center"/>
              <w:rPr>
                <w:b/>
                <w:noProof/>
                <w:sz w:val="20"/>
                <w:lang w:eastAsia="en-AU"/>
              </w:rPr>
            </w:pPr>
            <w:r w:rsidRPr="006A0C0D">
              <w:t>2.710</w:t>
            </w:r>
          </w:p>
        </w:tc>
        <w:tc>
          <w:tcPr>
            <w:tcW w:w="2254" w:type="dxa"/>
          </w:tcPr>
          <w:p w14:paraId="5078F5C1" w14:textId="6648B1B1" w:rsidR="00954AFC" w:rsidRPr="005859F0" w:rsidRDefault="00954AFC" w:rsidP="00954AFC">
            <w:pPr>
              <w:spacing w:line="240" w:lineRule="auto"/>
              <w:contextualSpacing/>
              <w:jc w:val="center"/>
              <w:rPr>
                <w:b/>
                <w:bCs/>
                <w:noProof/>
                <w:sz w:val="20"/>
                <w:lang w:eastAsia="en-AU"/>
              </w:rPr>
            </w:pPr>
            <w:r w:rsidRPr="005859F0">
              <w:rPr>
                <w:b/>
                <w:bCs/>
              </w:rPr>
              <w:t>0.011</w:t>
            </w:r>
          </w:p>
        </w:tc>
      </w:tr>
      <w:tr w:rsidR="00954AFC" w:rsidRPr="00954AFC" w14:paraId="4024FC66" w14:textId="77777777" w:rsidTr="009F3C4C">
        <w:trPr>
          <w:trHeight w:val="283"/>
          <w:jc w:val="center"/>
        </w:trPr>
        <w:tc>
          <w:tcPr>
            <w:tcW w:w="2778" w:type="dxa"/>
          </w:tcPr>
          <w:p w14:paraId="71CEC352" w14:textId="5A0F67DC" w:rsidR="00954AFC" w:rsidRPr="00954AFC" w:rsidRDefault="00954AFC" w:rsidP="00954AFC">
            <w:pPr>
              <w:spacing w:line="240" w:lineRule="auto"/>
              <w:contextualSpacing/>
              <w:jc w:val="center"/>
              <w:rPr>
                <w:b/>
                <w:noProof/>
                <w:sz w:val="20"/>
                <w:lang w:eastAsia="en-AU"/>
              </w:rPr>
            </w:pPr>
            <w:r w:rsidRPr="006A0C0D">
              <w:t>2018, 2020</w:t>
            </w:r>
          </w:p>
        </w:tc>
        <w:tc>
          <w:tcPr>
            <w:tcW w:w="2254" w:type="dxa"/>
          </w:tcPr>
          <w:p w14:paraId="24281887" w14:textId="3878D9AC" w:rsidR="00954AFC" w:rsidRPr="00954AFC" w:rsidRDefault="00954AFC" w:rsidP="00954AFC">
            <w:pPr>
              <w:spacing w:line="240" w:lineRule="auto"/>
              <w:contextualSpacing/>
              <w:jc w:val="center"/>
              <w:rPr>
                <w:b/>
                <w:noProof/>
                <w:sz w:val="20"/>
                <w:lang w:eastAsia="en-AU"/>
              </w:rPr>
            </w:pPr>
            <w:r w:rsidRPr="006A0C0D">
              <w:t>1.348</w:t>
            </w:r>
          </w:p>
        </w:tc>
        <w:tc>
          <w:tcPr>
            <w:tcW w:w="2254" w:type="dxa"/>
          </w:tcPr>
          <w:p w14:paraId="3141B0B6" w14:textId="2A29A0A1" w:rsidR="00954AFC" w:rsidRPr="00954AFC" w:rsidRDefault="00954AFC" w:rsidP="00954AFC">
            <w:pPr>
              <w:spacing w:line="240" w:lineRule="auto"/>
              <w:contextualSpacing/>
              <w:jc w:val="center"/>
              <w:rPr>
                <w:b/>
                <w:noProof/>
                <w:sz w:val="20"/>
                <w:lang w:eastAsia="en-AU"/>
              </w:rPr>
            </w:pPr>
            <w:r w:rsidRPr="006A0C0D">
              <w:t>0.183</w:t>
            </w:r>
          </w:p>
        </w:tc>
      </w:tr>
      <w:tr w:rsidR="00954AFC" w:rsidRPr="00954AFC" w14:paraId="4523D238" w14:textId="77777777" w:rsidTr="009F3C4C">
        <w:trPr>
          <w:trHeight w:val="283"/>
          <w:jc w:val="center"/>
        </w:trPr>
        <w:tc>
          <w:tcPr>
            <w:tcW w:w="2778" w:type="dxa"/>
          </w:tcPr>
          <w:p w14:paraId="61BA2205" w14:textId="25A1B1AC" w:rsidR="00954AFC" w:rsidRPr="00954AFC" w:rsidRDefault="00954AFC" w:rsidP="00954AFC">
            <w:pPr>
              <w:spacing w:line="240" w:lineRule="auto"/>
              <w:contextualSpacing/>
              <w:jc w:val="center"/>
            </w:pPr>
            <w:r w:rsidRPr="006A0C0D">
              <w:t>2018, 2021</w:t>
            </w:r>
          </w:p>
        </w:tc>
        <w:tc>
          <w:tcPr>
            <w:tcW w:w="2254" w:type="dxa"/>
          </w:tcPr>
          <w:p w14:paraId="3CB81440" w14:textId="292CF841" w:rsidR="00954AFC" w:rsidRPr="00954AFC" w:rsidRDefault="00954AFC" w:rsidP="00954AFC">
            <w:pPr>
              <w:spacing w:line="240" w:lineRule="auto"/>
              <w:contextualSpacing/>
              <w:jc w:val="center"/>
            </w:pPr>
            <w:r w:rsidRPr="006A0C0D">
              <w:t>3.286</w:t>
            </w:r>
          </w:p>
        </w:tc>
        <w:tc>
          <w:tcPr>
            <w:tcW w:w="2254" w:type="dxa"/>
          </w:tcPr>
          <w:p w14:paraId="7CEDAD71" w14:textId="5C37E5E8" w:rsidR="00954AFC" w:rsidRPr="005859F0" w:rsidRDefault="00954AFC" w:rsidP="00954AFC">
            <w:pPr>
              <w:spacing w:line="240" w:lineRule="auto"/>
              <w:contextualSpacing/>
              <w:jc w:val="center"/>
              <w:rPr>
                <w:b/>
                <w:bCs/>
              </w:rPr>
            </w:pPr>
            <w:r w:rsidRPr="005859F0">
              <w:rPr>
                <w:b/>
                <w:bCs/>
              </w:rPr>
              <w:t>0.004</w:t>
            </w:r>
          </w:p>
        </w:tc>
      </w:tr>
      <w:tr w:rsidR="00954AFC" w:rsidRPr="00954AFC" w14:paraId="1726556A" w14:textId="77777777" w:rsidTr="00BE5181">
        <w:trPr>
          <w:trHeight w:val="283"/>
          <w:jc w:val="center"/>
        </w:trPr>
        <w:tc>
          <w:tcPr>
            <w:tcW w:w="2778" w:type="dxa"/>
          </w:tcPr>
          <w:p w14:paraId="65F3BD6E" w14:textId="15217A4A" w:rsidR="00954AFC" w:rsidRPr="00954AFC" w:rsidRDefault="00954AFC" w:rsidP="00954AFC">
            <w:pPr>
              <w:spacing w:line="240" w:lineRule="auto"/>
              <w:contextualSpacing/>
              <w:jc w:val="center"/>
              <w:rPr>
                <w:b/>
                <w:noProof/>
                <w:sz w:val="20"/>
                <w:lang w:eastAsia="en-AU"/>
              </w:rPr>
            </w:pPr>
            <w:r w:rsidRPr="006A0C0D">
              <w:t>2019, 2020</w:t>
            </w:r>
          </w:p>
        </w:tc>
        <w:tc>
          <w:tcPr>
            <w:tcW w:w="2254" w:type="dxa"/>
          </w:tcPr>
          <w:p w14:paraId="52B6FFC6" w14:textId="4F0767BD" w:rsidR="00954AFC" w:rsidRPr="00954AFC" w:rsidRDefault="00954AFC" w:rsidP="00954AFC">
            <w:pPr>
              <w:spacing w:line="240" w:lineRule="auto"/>
              <w:contextualSpacing/>
              <w:jc w:val="center"/>
              <w:rPr>
                <w:b/>
                <w:noProof/>
                <w:sz w:val="20"/>
                <w:lang w:eastAsia="en-AU"/>
              </w:rPr>
            </w:pPr>
            <w:r w:rsidRPr="006A0C0D">
              <w:t>2.014</w:t>
            </w:r>
          </w:p>
        </w:tc>
        <w:tc>
          <w:tcPr>
            <w:tcW w:w="2254" w:type="dxa"/>
          </w:tcPr>
          <w:p w14:paraId="517F2E76" w14:textId="757D1861" w:rsidR="00954AFC" w:rsidRPr="005859F0" w:rsidRDefault="00954AFC" w:rsidP="00954AFC">
            <w:pPr>
              <w:spacing w:line="240" w:lineRule="auto"/>
              <w:contextualSpacing/>
              <w:jc w:val="center"/>
              <w:rPr>
                <w:b/>
                <w:bCs/>
                <w:noProof/>
                <w:sz w:val="20"/>
                <w:lang w:eastAsia="en-AU"/>
              </w:rPr>
            </w:pPr>
            <w:r w:rsidRPr="005859F0">
              <w:rPr>
                <w:b/>
                <w:bCs/>
              </w:rPr>
              <w:t>0.043</w:t>
            </w:r>
          </w:p>
        </w:tc>
      </w:tr>
      <w:tr w:rsidR="00954AFC" w:rsidRPr="00954AFC" w14:paraId="53B2BC58" w14:textId="77777777" w:rsidTr="00767427">
        <w:trPr>
          <w:trHeight w:val="283"/>
          <w:jc w:val="center"/>
        </w:trPr>
        <w:tc>
          <w:tcPr>
            <w:tcW w:w="2778" w:type="dxa"/>
          </w:tcPr>
          <w:p w14:paraId="06442738" w14:textId="0CEB77CC" w:rsidR="00954AFC" w:rsidRPr="00954AFC" w:rsidRDefault="00954AFC" w:rsidP="00954AFC">
            <w:pPr>
              <w:spacing w:line="240" w:lineRule="auto"/>
              <w:contextualSpacing/>
              <w:jc w:val="center"/>
            </w:pPr>
            <w:r w:rsidRPr="006A0C0D">
              <w:t>2019, 2021</w:t>
            </w:r>
          </w:p>
        </w:tc>
        <w:tc>
          <w:tcPr>
            <w:tcW w:w="2254" w:type="dxa"/>
          </w:tcPr>
          <w:p w14:paraId="7FA13614" w14:textId="2C92581F" w:rsidR="00954AFC" w:rsidRPr="00954AFC" w:rsidRDefault="00954AFC" w:rsidP="00954AFC">
            <w:pPr>
              <w:spacing w:line="240" w:lineRule="auto"/>
              <w:contextualSpacing/>
              <w:jc w:val="center"/>
            </w:pPr>
            <w:r w:rsidRPr="006A0C0D">
              <w:t>0.156</w:t>
            </w:r>
          </w:p>
        </w:tc>
        <w:tc>
          <w:tcPr>
            <w:tcW w:w="2254" w:type="dxa"/>
          </w:tcPr>
          <w:p w14:paraId="66A499F2" w14:textId="37567DF6" w:rsidR="00954AFC" w:rsidRPr="00954AFC" w:rsidRDefault="00954AFC" w:rsidP="00954AFC">
            <w:pPr>
              <w:spacing w:line="240" w:lineRule="auto"/>
              <w:contextualSpacing/>
              <w:jc w:val="center"/>
            </w:pPr>
            <w:r w:rsidRPr="006A0C0D">
              <w:t>0.878</w:t>
            </w:r>
          </w:p>
        </w:tc>
      </w:tr>
      <w:tr w:rsidR="00954AFC" w:rsidRPr="00424090" w14:paraId="3499F884" w14:textId="77777777" w:rsidTr="009F3C4C">
        <w:trPr>
          <w:trHeight w:val="283"/>
          <w:jc w:val="center"/>
        </w:trPr>
        <w:tc>
          <w:tcPr>
            <w:tcW w:w="2778" w:type="dxa"/>
            <w:tcBorders>
              <w:bottom w:val="single" w:sz="4" w:space="0" w:color="auto"/>
            </w:tcBorders>
          </w:tcPr>
          <w:p w14:paraId="0664960C" w14:textId="6A12AA5E" w:rsidR="00954AFC" w:rsidRPr="00954AFC" w:rsidRDefault="00954AFC" w:rsidP="00954AFC">
            <w:pPr>
              <w:spacing w:line="240" w:lineRule="auto"/>
              <w:contextualSpacing/>
              <w:jc w:val="center"/>
            </w:pPr>
            <w:r w:rsidRPr="006A0C0D">
              <w:t>2020, 2021</w:t>
            </w:r>
          </w:p>
        </w:tc>
        <w:tc>
          <w:tcPr>
            <w:tcW w:w="2254" w:type="dxa"/>
            <w:tcBorders>
              <w:bottom w:val="single" w:sz="4" w:space="0" w:color="auto"/>
            </w:tcBorders>
          </w:tcPr>
          <w:p w14:paraId="5BDCF272" w14:textId="5DF1B6CA" w:rsidR="00954AFC" w:rsidRPr="00954AFC" w:rsidRDefault="00954AFC" w:rsidP="00954AFC">
            <w:pPr>
              <w:spacing w:line="240" w:lineRule="auto"/>
              <w:contextualSpacing/>
              <w:jc w:val="center"/>
            </w:pPr>
            <w:r w:rsidRPr="006A0C0D">
              <w:t>1.600</w:t>
            </w:r>
          </w:p>
        </w:tc>
        <w:tc>
          <w:tcPr>
            <w:tcW w:w="2254" w:type="dxa"/>
            <w:tcBorders>
              <w:bottom w:val="single" w:sz="4" w:space="0" w:color="auto"/>
            </w:tcBorders>
          </w:tcPr>
          <w:p w14:paraId="464DE012" w14:textId="641FFB9B" w:rsidR="00954AFC" w:rsidRPr="00954AFC" w:rsidRDefault="00954AFC" w:rsidP="00954AFC">
            <w:pPr>
              <w:spacing w:line="240" w:lineRule="auto"/>
              <w:contextualSpacing/>
              <w:jc w:val="center"/>
            </w:pPr>
            <w:r w:rsidRPr="006A0C0D">
              <w:t>0.117</w:t>
            </w:r>
          </w:p>
        </w:tc>
      </w:tr>
    </w:tbl>
    <w:p w14:paraId="04325D93" w14:textId="77777777" w:rsidR="009A4875" w:rsidRPr="00424090" w:rsidRDefault="009A4875" w:rsidP="009A4875">
      <w:pPr>
        <w:rPr>
          <w:highlight w:val="yellow"/>
        </w:rPr>
      </w:pPr>
      <w:bookmarkStart w:id="427" w:name="_Ref63949008"/>
    </w:p>
    <w:p w14:paraId="758BCD3C" w14:textId="7FD6D601" w:rsidR="009A4875" w:rsidRPr="00A939DC" w:rsidRDefault="009A4875" w:rsidP="004C3BA1">
      <w:pPr>
        <w:pStyle w:val="Captions"/>
        <w:rPr>
          <w:noProof/>
          <w:lang w:eastAsia="en-AU"/>
        </w:rPr>
      </w:pPr>
      <w:r w:rsidRPr="00A939DC">
        <w:t>Table</w:t>
      </w:r>
      <w:bookmarkEnd w:id="427"/>
      <w:r w:rsidRPr="00A939DC">
        <w:t xml:space="preserve"> D1</w:t>
      </w:r>
      <w:r w:rsidR="00DD27F8">
        <w:t>5</w:t>
      </w:r>
      <w:r w:rsidRPr="00A939DC">
        <w:rPr>
          <w:noProof/>
          <w:lang w:eastAsia="en-AU"/>
        </w:rPr>
        <w:t xml:space="preserve">. Results of the model selection procedure for linear regression models fitted to </w:t>
      </w:r>
      <w:r w:rsidR="00852BAB" w:rsidRPr="00A939DC">
        <w:rPr>
          <w:noProof/>
          <w:lang w:eastAsia="en-AU"/>
        </w:rPr>
        <w:t>20</w:t>
      </w:r>
      <w:r w:rsidR="00D1081F" w:rsidRPr="00A939DC">
        <w:rPr>
          <w:noProof/>
          <w:lang w:eastAsia="en-AU"/>
        </w:rPr>
        <w:t>17–20</w:t>
      </w:r>
      <w:r w:rsidR="00852BAB" w:rsidRPr="00A939DC">
        <w:rPr>
          <w:noProof/>
          <w:lang w:eastAsia="en-AU"/>
        </w:rPr>
        <w:t>21</w:t>
      </w:r>
      <w:r w:rsidRPr="00A939DC">
        <w:rPr>
          <w:noProof/>
          <w:lang w:eastAsia="en-AU"/>
        </w:rPr>
        <w:t xml:space="preserve"> Murray cod age–length data.</w:t>
      </w:r>
    </w:p>
    <w:tbl>
      <w:tblPr>
        <w:tblW w:w="0" w:type="auto"/>
        <w:jc w:val="center"/>
        <w:tblLook w:val="04A0" w:firstRow="1" w:lastRow="0" w:firstColumn="1" w:lastColumn="0" w:noHBand="0" w:noVBand="1"/>
      </w:tblPr>
      <w:tblGrid>
        <w:gridCol w:w="1706"/>
        <w:gridCol w:w="973"/>
        <w:gridCol w:w="692"/>
        <w:gridCol w:w="857"/>
        <w:gridCol w:w="1200"/>
      </w:tblGrid>
      <w:tr w:rsidR="009A4875" w:rsidRPr="00A939DC" w14:paraId="682CC368" w14:textId="77777777" w:rsidTr="009F3C4C">
        <w:trPr>
          <w:trHeight w:val="300"/>
          <w:jc w:val="center"/>
        </w:trPr>
        <w:tc>
          <w:tcPr>
            <w:tcW w:w="0" w:type="auto"/>
            <w:tcBorders>
              <w:top w:val="single" w:sz="4" w:space="0" w:color="auto"/>
              <w:left w:val="nil"/>
              <w:bottom w:val="single" w:sz="4" w:space="0" w:color="auto"/>
              <w:right w:val="nil"/>
            </w:tcBorders>
            <w:shd w:val="clear" w:color="auto" w:fill="auto"/>
            <w:noWrap/>
            <w:vAlign w:val="bottom"/>
            <w:hideMark/>
          </w:tcPr>
          <w:p w14:paraId="0F4D6BC3" w14:textId="77777777" w:rsidR="009A4875" w:rsidRPr="00A939DC" w:rsidRDefault="009A4875" w:rsidP="009F3C4C">
            <w:pPr>
              <w:spacing w:after="0" w:line="240" w:lineRule="auto"/>
              <w:jc w:val="left"/>
              <w:rPr>
                <w:b/>
                <w:sz w:val="20"/>
                <w:szCs w:val="21"/>
                <w:lang w:eastAsia="en-AU"/>
              </w:rPr>
            </w:pPr>
            <w:r w:rsidRPr="00A939DC">
              <w:rPr>
                <w:b/>
                <w:sz w:val="20"/>
                <w:szCs w:val="21"/>
                <w:lang w:eastAsia="en-AU"/>
              </w:rPr>
              <w:t>Model</w:t>
            </w:r>
          </w:p>
        </w:tc>
        <w:tc>
          <w:tcPr>
            <w:tcW w:w="0" w:type="auto"/>
            <w:tcBorders>
              <w:top w:val="single" w:sz="4" w:space="0" w:color="auto"/>
              <w:left w:val="nil"/>
              <w:bottom w:val="single" w:sz="4" w:space="0" w:color="auto"/>
              <w:right w:val="nil"/>
            </w:tcBorders>
            <w:shd w:val="clear" w:color="auto" w:fill="auto"/>
            <w:noWrap/>
            <w:vAlign w:val="bottom"/>
            <w:hideMark/>
          </w:tcPr>
          <w:p w14:paraId="282BE026" w14:textId="77777777" w:rsidR="009A4875" w:rsidRPr="00A939DC" w:rsidRDefault="009A4875" w:rsidP="009F3C4C">
            <w:pPr>
              <w:spacing w:after="0" w:line="240" w:lineRule="auto"/>
              <w:jc w:val="center"/>
              <w:rPr>
                <w:rFonts w:cs="Calibri"/>
                <w:b/>
                <w:noProof/>
                <w:sz w:val="20"/>
                <w:szCs w:val="21"/>
                <w:lang w:eastAsia="en-AU"/>
              </w:rPr>
            </w:pPr>
            <w:r w:rsidRPr="00A939DC">
              <w:rPr>
                <w:rFonts w:cs="Calibri"/>
                <w:b/>
                <w:noProof/>
                <w:sz w:val="20"/>
                <w:szCs w:val="21"/>
                <w:lang w:eastAsia="en-AU"/>
              </w:rPr>
              <w:t>AICc</w:t>
            </w:r>
          </w:p>
        </w:tc>
        <w:tc>
          <w:tcPr>
            <w:tcW w:w="0" w:type="auto"/>
            <w:tcBorders>
              <w:top w:val="single" w:sz="4" w:space="0" w:color="auto"/>
              <w:left w:val="nil"/>
              <w:bottom w:val="single" w:sz="4" w:space="0" w:color="auto"/>
              <w:right w:val="nil"/>
            </w:tcBorders>
            <w:vAlign w:val="bottom"/>
          </w:tcPr>
          <w:p w14:paraId="3642D025" w14:textId="77777777" w:rsidR="009A4875" w:rsidRPr="00A939DC" w:rsidRDefault="009A4875" w:rsidP="009F3C4C">
            <w:pPr>
              <w:spacing w:after="0" w:line="240" w:lineRule="auto"/>
              <w:jc w:val="center"/>
              <w:rPr>
                <w:rFonts w:cs="Calibri"/>
                <w:b/>
                <w:sz w:val="20"/>
                <w:szCs w:val="21"/>
                <w:lang w:eastAsia="en-AU"/>
              </w:rPr>
            </w:pPr>
            <w:r w:rsidRPr="00A939DC">
              <w:rPr>
                <w:rFonts w:cs="Calibri"/>
                <w:b/>
                <w:sz w:val="20"/>
                <w:szCs w:val="21"/>
                <w:lang w:eastAsia="en-AU"/>
              </w:rPr>
              <w:t>Npar</w:t>
            </w:r>
          </w:p>
        </w:tc>
        <w:tc>
          <w:tcPr>
            <w:tcW w:w="0" w:type="auto"/>
            <w:tcBorders>
              <w:top w:val="single" w:sz="4" w:space="0" w:color="auto"/>
              <w:left w:val="nil"/>
              <w:bottom w:val="single" w:sz="4" w:space="0" w:color="auto"/>
              <w:right w:val="nil"/>
            </w:tcBorders>
            <w:shd w:val="clear" w:color="auto" w:fill="auto"/>
            <w:noWrap/>
            <w:vAlign w:val="bottom"/>
            <w:hideMark/>
          </w:tcPr>
          <w:p w14:paraId="3C37FA14" w14:textId="77777777" w:rsidR="009A4875" w:rsidRPr="00A939DC" w:rsidRDefault="009A4875" w:rsidP="009F3C4C">
            <w:pPr>
              <w:spacing w:after="0" w:line="240" w:lineRule="auto"/>
              <w:jc w:val="center"/>
              <w:rPr>
                <w:rFonts w:cs="Calibri"/>
                <w:b/>
                <w:sz w:val="20"/>
                <w:szCs w:val="21"/>
                <w:lang w:eastAsia="en-AU"/>
              </w:rPr>
            </w:pPr>
            <w:r w:rsidRPr="00A939DC">
              <w:rPr>
                <w:rFonts w:cs="Calibri"/>
                <w:b/>
                <w:sz w:val="20"/>
                <w:szCs w:val="21"/>
                <w:lang w:eastAsia="en-AU"/>
              </w:rPr>
              <w:t>∆AICc</w:t>
            </w:r>
          </w:p>
        </w:tc>
        <w:tc>
          <w:tcPr>
            <w:tcW w:w="0" w:type="auto"/>
            <w:tcBorders>
              <w:top w:val="single" w:sz="4" w:space="0" w:color="auto"/>
              <w:left w:val="nil"/>
              <w:bottom w:val="single" w:sz="4" w:space="0" w:color="auto"/>
              <w:right w:val="nil"/>
            </w:tcBorders>
            <w:shd w:val="clear" w:color="auto" w:fill="auto"/>
            <w:noWrap/>
            <w:vAlign w:val="bottom"/>
            <w:hideMark/>
          </w:tcPr>
          <w:p w14:paraId="4A81948D" w14:textId="77777777" w:rsidR="009A4875" w:rsidRPr="00A939DC" w:rsidRDefault="009A4875" w:rsidP="009F3C4C">
            <w:pPr>
              <w:spacing w:after="0" w:line="240" w:lineRule="auto"/>
              <w:jc w:val="center"/>
              <w:rPr>
                <w:rFonts w:cs="Calibri"/>
                <w:b/>
                <w:sz w:val="20"/>
                <w:szCs w:val="21"/>
                <w:lang w:eastAsia="en-AU"/>
              </w:rPr>
            </w:pPr>
            <w:r w:rsidRPr="00A939DC">
              <w:rPr>
                <w:rFonts w:cs="Calibri"/>
                <w:b/>
                <w:sz w:val="20"/>
                <w:szCs w:val="21"/>
                <w:lang w:eastAsia="en-AU"/>
              </w:rPr>
              <w:t>Likelihood</w:t>
            </w:r>
          </w:p>
        </w:tc>
      </w:tr>
      <w:tr w:rsidR="00D1081F" w:rsidRPr="00A939DC" w14:paraId="1CE4B211" w14:textId="77777777" w:rsidTr="00D35016">
        <w:trPr>
          <w:trHeight w:val="300"/>
          <w:jc w:val="center"/>
        </w:trPr>
        <w:tc>
          <w:tcPr>
            <w:tcW w:w="0" w:type="auto"/>
            <w:tcBorders>
              <w:top w:val="single" w:sz="4" w:space="0" w:color="auto"/>
              <w:left w:val="nil"/>
              <w:bottom w:val="nil"/>
              <w:right w:val="nil"/>
            </w:tcBorders>
            <w:shd w:val="clear" w:color="auto" w:fill="auto"/>
            <w:noWrap/>
            <w:vAlign w:val="bottom"/>
          </w:tcPr>
          <w:p w14:paraId="185152FC" w14:textId="77777777" w:rsidR="00D1081F" w:rsidRPr="00A939DC" w:rsidRDefault="00D1081F" w:rsidP="00D1081F">
            <w:pPr>
              <w:spacing w:after="0" w:line="240" w:lineRule="auto"/>
              <w:jc w:val="left"/>
              <w:rPr>
                <w:rFonts w:cs="Calibri"/>
                <w:sz w:val="20"/>
                <w:szCs w:val="21"/>
                <w:lang w:eastAsia="en-AU"/>
              </w:rPr>
            </w:pPr>
            <w:r w:rsidRPr="00A939DC">
              <w:rPr>
                <w:rFonts w:cs="Calibri"/>
                <w:sz w:val="20"/>
                <w:szCs w:val="21"/>
                <w:lang w:eastAsia="en-AU"/>
              </w:rPr>
              <w:t>Linear</w:t>
            </w:r>
          </w:p>
        </w:tc>
        <w:tc>
          <w:tcPr>
            <w:tcW w:w="0" w:type="auto"/>
            <w:tcBorders>
              <w:top w:val="single" w:sz="4" w:space="0" w:color="auto"/>
              <w:left w:val="nil"/>
              <w:bottom w:val="nil"/>
              <w:right w:val="nil"/>
            </w:tcBorders>
            <w:shd w:val="clear" w:color="auto" w:fill="auto"/>
            <w:noWrap/>
          </w:tcPr>
          <w:p w14:paraId="02E95E19" w14:textId="1E55A420" w:rsidR="00D1081F" w:rsidRPr="00A939DC" w:rsidRDefault="00D1081F" w:rsidP="00D1081F">
            <w:pPr>
              <w:spacing w:after="0" w:line="240" w:lineRule="auto"/>
              <w:jc w:val="center"/>
              <w:rPr>
                <w:rFonts w:cs="Calibri"/>
                <w:sz w:val="20"/>
                <w:szCs w:val="21"/>
                <w:lang w:eastAsia="en-AU"/>
              </w:rPr>
            </w:pPr>
            <w:r w:rsidRPr="00A939DC">
              <w:t>588.302</w:t>
            </w:r>
          </w:p>
        </w:tc>
        <w:tc>
          <w:tcPr>
            <w:tcW w:w="0" w:type="auto"/>
            <w:tcBorders>
              <w:top w:val="single" w:sz="4" w:space="0" w:color="auto"/>
              <w:left w:val="nil"/>
              <w:bottom w:val="nil"/>
              <w:right w:val="nil"/>
            </w:tcBorders>
            <w:vAlign w:val="bottom"/>
          </w:tcPr>
          <w:p w14:paraId="4DCBA2AC" w14:textId="77777777" w:rsidR="00D1081F" w:rsidRPr="00A939DC" w:rsidRDefault="00D1081F" w:rsidP="00D1081F">
            <w:pPr>
              <w:spacing w:after="0" w:line="240" w:lineRule="auto"/>
              <w:jc w:val="center"/>
              <w:rPr>
                <w:rFonts w:cs="Calibri"/>
                <w:sz w:val="20"/>
                <w:szCs w:val="21"/>
                <w:lang w:eastAsia="en-AU"/>
              </w:rPr>
            </w:pPr>
            <w:r w:rsidRPr="00A939DC">
              <w:rPr>
                <w:rFonts w:cs="Calibri"/>
                <w:sz w:val="20"/>
                <w:szCs w:val="21"/>
                <w:lang w:eastAsia="en-AU"/>
              </w:rPr>
              <w:t>1</w:t>
            </w:r>
          </w:p>
        </w:tc>
        <w:tc>
          <w:tcPr>
            <w:tcW w:w="0" w:type="auto"/>
            <w:tcBorders>
              <w:top w:val="single" w:sz="4" w:space="0" w:color="auto"/>
              <w:left w:val="nil"/>
              <w:bottom w:val="nil"/>
              <w:right w:val="nil"/>
            </w:tcBorders>
            <w:shd w:val="clear" w:color="auto" w:fill="auto"/>
            <w:noWrap/>
          </w:tcPr>
          <w:p w14:paraId="182C862B" w14:textId="25AE892C" w:rsidR="00D1081F" w:rsidRPr="00A939DC" w:rsidRDefault="00D1081F" w:rsidP="00D1081F">
            <w:pPr>
              <w:spacing w:after="0" w:line="240" w:lineRule="auto"/>
              <w:jc w:val="center"/>
              <w:rPr>
                <w:rFonts w:cs="Calibri"/>
                <w:sz w:val="20"/>
                <w:szCs w:val="21"/>
                <w:lang w:eastAsia="en-AU"/>
              </w:rPr>
            </w:pPr>
            <w:r w:rsidRPr="00A939DC">
              <w:t>16.576</w:t>
            </w:r>
          </w:p>
        </w:tc>
        <w:tc>
          <w:tcPr>
            <w:tcW w:w="0" w:type="auto"/>
            <w:tcBorders>
              <w:top w:val="single" w:sz="4" w:space="0" w:color="auto"/>
              <w:left w:val="nil"/>
              <w:bottom w:val="nil"/>
              <w:right w:val="nil"/>
            </w:tcBorders>
            <w:shd w:val="clear" w:color="auto" w:fill="auto"/>
            <w:noWrap/>
          </w:tcPr>
          <w:p w14:paraId="7F23D664" w14:textId="76CF676E" w:rsidR="00D1081F" w:rsidRPr="00A939DC" w:rsidRDefault="00D1081F" w:rsidP="00D1081F">
            <w:pPr>
              <w:spacing w:after="0" w:line="240" w:lineRule="auto"/>
              <w:jc w:val="center"/>
              <w:rPr>
                <w:rFonts w:cs="Calibri"/>
                <w:sz w:val="20"/>
                <w:szCs w:val="21"/>
                <w:lang w:eastAsia="en-AU"/>
              </w:rPr>
            </w:pPr>
            <w:r w:rsidRPr="00A939DC">
              <w:t>&lt;0.001</w:t>
            </w:r>
          </w:p>
        </w:tc>
      </w:tr>
      <w:tr w:rsidR="00D1081F" w:rsidRPr="00A939DC" w14:paraId="5B0373E2" w14:textId="77777777" w:rsidTr="00D35016">
        <w:trPr>
          <w:trHeight w:val="300"/>
          <w:jc w:val="center"/>
        </w:trPr>
        <w:tc>
          <w:tcPr>
            <w:tcW w:w="0" w:type="auto"/>
            <w:tcBorders>
              <w:top w:val="nil"/>
              <w:left w:val="nil"/>
              <w:right w:val="nil"/>
            </w:tcBorders>
            <w:shd w:val="clear" w:color="auto" w:fill="auto"/>
            <w:noWrap/>
            <w:vAlign w:val="bottom"/>
          </w:tcPr>
          <w:p w14:paraId="0C8FF3D8" w14:textId="77777777" w:rsidR="00D1081F" w:rsidRPr="00A939DC" w:rsidRDefault="00D1081F" w:rsidP="00D1081F">
            <w:pPr>
              <w:spacing w:after="0" w:line="240" w:lineRule="auto"/>
              <w:jc w:val="left"/>
              <w:rPr>
                <w:rFonts w:cs="Calibri"/>
                <w:sz w:val="20"/>
                <w:szCs w:val="21"/>
                <w:lang w:eastAsia="en-AU"/>
              </w:rPr>
            </w:pPr>
            <w:r w:rsidRPr="00A939DC">
              <w:rPr>
                <w:rFonts w:cs="Calibri"/>
                <w:sz w:val="20"/>
                <w:szCs w:val="21"/>
                <w:lang w:eastAsia="en-AU"/>
              </w:rPr>
              <w:t>Gompertz</w:t>
            </w:r>
          </w:p>
        </w:tc>
        <w:tc>
          <w:tcPr>
            <w:tcW w:w="0" w:type="auto"/>
            <w:tcBorders>
              <w:top w:val="nil"/>
              <w:left w:val="nil"/>
              <w:right w:val="nil"/>
            </w:tcBorders>
            <w:shd w:val="clear" w:color="auto" w:fill="auto"/>
            <w:noWrap/>
          </w:tcPr>
          <w:p w14:paraId="098A6BC1" w14:textId="1F431ADE" w:rsidR="00D1081F" w:rsidRPr="00A939DC" w:rsidRDefault="00D1081F" w:rsidP="00D1081F">
            <w:pPr>
              <w:spacing w:after="0" w:line="240" w:lineRule="auto"/>
              <w:jc w:val="center"/>
              <w:rPr>
                <w:rFonts w:cs="Calibri"/>
                <w:sz w:val="20"/>
                <w:szCs w:val="21"/>
                <w:lang w:eastAsia="en-AU"/>
              </w:rPr>
            </w:pPr>
            <w:r w:rsidRPr="00A939DC">
              <w:t>571.726</w:t>
            </w:r>
          </w:p>
        </w:tc>
        <w:tc>
          <w:tcPr>
            <w:tcW w:w="0" w:type="auto"/>
            <w:tcBorders>
              <w:top w:val="nil"/>
              <w:left w:val="nil"/>
              <w:right w:val="nil"/>
            </w:tcBorders>
            <w:vAlign w:val="bottom"/>
          </w:tcPr>
          <w:p w14:paraId="1E548D21" w14:textId="77777777" w:rsidR="00D1081F" w:rsidRPr="00A939DC" w:rsidRDefault="00D1081F" w:rsidP="00D1081F">
            <w:pPr>
              <w:spacing w:after="0" w:line="240" w:lineRule="auto"/>
              <w:jc w:val="center"/>
              <w:rPr>
                <w:rFonts w:cs="Calibri"/>
                <w:sz w:val="20"/>
                <w:szCs w:val="21"/>
                <w:lang w:eastAsia="en-AU"/>
              </w:rPr>
            </w:pPr>
            <w:r w:rsidRPr="00A939DC">
              <w:rPr>
                <w:rFonts w:cs="Calibri"/>
                <w:sz w:val="20"/>
                <w:szCs w:val="21"/>
                <w:lang w:eastAsia="en-AU"/>
              </w:rPr>
              <w:t>3</w:t>
            </w:r>
          </w:p>
        </w:tc>
        <w:tc>
          <w:tcPr>
            <w:tcW w:w="0" w:type="auto"/>
            <w:tcBorders>
              <w:top w:val="nil"/>
              <w:left w:val="nil"/>
              <w:right w:val="nil"/>
            </w:tcBorders>
            <w:shd w:val="clear" w:color="auto" w:fill="auto"/>
            <w:noWrap/>
          </w:tcPr>
          <w:p w14:paraId="2CB6DF71" w14:textId="7ED02DDC" w:rsidR="00D1081F" w:rsidRPr="00A939DC" w:rsidRDefault="00D1081F" w:rsidP="00D1081F">
            <w:pPr>
              <w:spacing w:after="0" w:line="240" w:lineRule="auto"/>
              <w:jc w:val="center"/>
              <w:rPr>
                <w:rFonts w:cs="Calibri"/>
                <w:sz w:val="20"/>
                <w:szCs w:val="21"/>
                <w:lang w:eastAsia="en-AU"/>
              </w:rPr>
            </w:pPr>
            <w:r w:rsidRPr="00A939DC">
              <w:t>0</w:t>
            </w:r>
          </w:p>
        </w:tc>
        <w:tc>
          <w:tcPr>
            <w:tcW w:w="0" w:type="auto"/>
            <w:tcBorders>
              <w:top w:val="nil"/>
              <w:left w:val="nil"/>
              <w:right w:val="nil"/>
            </w:tcBorders>
            <w:shd w:val="clear" w:color="auto" w:fill="auto"/>
            <w:noWrap/>
          </w:tcPr>
          <w:p w14:paraId="7EA6AB38" w14:textId="477066D0" w:rsidR="00D1081F" w:rsidRPr="00A939DC" w:rsidRDefault="00D1081F" w:rsidP="00D1081F">
            <w:pPr>
              <w:spacing w:after="0" w:line="240" w:lineRule="auto"/>
              <w:jc w:val="center"/>
              <w:rPr>
                <w:rFonts w:cs="Calibri"/>
                <w:sz w:val="20"/>
                <w:szCs w:val="21"/>
                <w:lang w:eastAsia="en-AU"/>
              </w:rPr>
            </w:pPr>
            <w:r w:rsidRPr="00A939DC">
              <w:t>1.000</w:t>
            </w:r>
          </w:p>
        </w:tc>
      </w:tr>
      <w:tr w:rsidR="00D1081F" w:rsidRPr="00424090" w14:paraId="66A44672" w14:textId="77777777" w:rsidTr="00D35016">
        <w:trPr>
          <w:trHeight w:val="300"/>
          <w:jc w:val="center"/>
        </w:trPr>
        <w:tc>
          <w:tcPr>
            <w:tcW w:w="0" w:type="auto"/>
            <w:tcBorders>
              <w:top w:val="nil"/>
              <w:left w:val="nil"/>
              <w:bottom w:val="single" w:sz="4" w:space="0" w:color="auto"/>
              <w:right w:val="nil"/>
            </w:tcBorders>
            <w:shd w:val="clear" w:color="auto" w:fill="auto"/>
            <w:noWrap/>
            <w:vAlign w:val="bottom"/>
          </w:tcPr>
          <w:p w14:paraId="2E819EB6" w14:textId="77777777" w:rsidR="00D1081F" w:rsidRPr="00A939DC" w:rsidRDefault="00D1081F" w:rsidP="00D1081F">
            <w:pPr>
              <w:spacing w:after="0" w:line="240" w:lineRule="auto"/>
              <w:jc w:val="left"/>
              <w:rPr>
                <w:rFonts w:cs="Calibri"/>
                <w:sz w:val="20"/>
                <w:szCs w:val="21"/>
                <w:lang w:eastAsia="en-AU"/>
              </w:rPr>
            </w:pPr>
            <w:r w:rsidRPr="00A939DC">
              <w:rPr>
                <w:rFonts w:cs="Calibri"/>
                <w:sz w:val="20"/>
                <w:szCs w:val="21"/>
                <w:lang w:eastAsia="en-AU"/>
              </w:rPr>
              <w:t>Von Bertalanffy</w:t>
            </w:r>
          </w:p>
        </w:tc>
        <w:tc>
          <w:tcPr>
            <w:tcW w:w="0" w:type="auto"/>
            <w:tcBorders>
              <w:top w:val="nil"/>
              <w:left w:val="nil"/>
              <w:bottom w:val="single" w:sz="4" w:space="0" w:color="auto"/>
              <w:right w:val="nil"/>
            </w:tcBorders>
            <w:shd w:val="clear" w:color="auto" w:fill="auto"/>
            <w:noWrap/>
          </w:tcPr>
          <w:p w14:paraId="3DB27E64" w14:textId="2BAEC6E5" w:rsidR="00D1081F" w:rsidRPr="00A939DC" w:rsidRDefault="00D1081F" w:rsidP="00D1081F">
            <w:pPr>
              <w:spacing w:after="0" w:line="240" w:lineRule="auto"/>
              <w:jc w:val="center"/>
              <w:rPr>
                <w:rFonts w:cs="Calibri"/>
                <w:sz w:val="20"/>
                <w:szCs w:val="21"/>
                <w:lang w:eastAsia="en-AU"/>
              </w:rPr>
            </w:pPr>
            <w:r w:rsidRPr="00A939DC">
              <w:t>590.061</w:t>
            </w:r>
          </w:p>
        </w:tc>
        <w:tc>
          <w:tcPr>
            <w:tcW w:w="0" w:type="auto"/>
            <w:tcBorders>
              <w:top w:val="nil"/>
              <w:left w:val="nil"/>
              <w:bottom w:val="single" w:sz="4" w:space="0" w:color="auto"/>
              <w:right w:val="nil"/>
            </w:tcBorders>
            <w:vAlign w:val="bottom"/>
          </w:tcPr>
          <w:p w14:paraId="03A786BE" w14:textId="77777777" w:rsidR="00D1081F" w:rsidRPr="00A939DC" w:rsidRDefault="00D1081F" w:rsidP="00D1081F">
            <w:pPr>
              <w:spacing w:after="0" w:line="240" w:lineRule="auto"/>
              <w:jc w:val="center"/>
              <w:rPr>
                <w:rFonts w:cs="Calibri"/>
                <w:sz w:val="20"/>
                <w:szCs w:val="21"/>
                <w:lang w:eastAsia="en-AU"/>
              </w:rPr>
            </w:pPr>
            <w:r w:rsidRPr="00A939DC">
              <w:rPr>
                <w:rFonts w:cs="Calibri"/>
                <w:sz w:val="20"/>
                <w:szCs w:val="21"/>
                <w:lang w:eastAsia="en-AU"/>
              </w:rPr>
              <w:t>2</w:t>
            </w:r>
          </w:p>
        </w:tc>
        <w:tc>
          <w:tcPr>
            <w:tcW w:w="0" w:type="auto"/>
            <w:tcBorders>
              <w:top w:val="nil"/>
              <w:left w:val="nil"/>
              <w:bottom w:val="single" w:sz="4" w:space="0" w:color="auto"/>
              <w:right w:val="nil"/>
            </w:tcBorders>
            <w:shd w:val="clear" w:color="auto" w:fill="auto"/>
            <w:noWrap/>
          </w:tcPr>
          <w:p w14:paraId="4CE8D448" w14:textId="33D1213F" w:rsidR="00D1081F" w:rsidRPr="00A939DC" w:rsidRDefault="00D1081F" w:rsidP="00D1081F">
            <w:pPr>
              <w:spacing w:after="0" w:line="240" w:lineRule="auto"/>
              <w:jc w:val="center"/>
              <w:rPr>
                <w:rFonts w:cs="Calibri"/>
                <w:sz w:val="20"/>
                <w:szCs w:val="21"/>
                <w:lang w:eastAsia="en-AU"/>
              </w:rPr>
            </w:pPr>
            <w:r w:rsidRPr="00A939DC">
              <w:t>18.336</w:t>
            </w:r>
          </w:p>
        </w:tc>
        <w:tc>
          <w:tcPr>
            <w:tcW w:w="0" w:type="auto"/>
            <w:tcBorders>
              <w:top w:val="nil"/>
              <w:left w:val="nil"/>
              <w:bottom w:val="single" w:sz="4" w:space="0" w:color="auto"/>
              <w:right w:val="nil"/>
            </w:tcBorders>
            <w:shd w:val="clear" w:color="auto" w:fill="auto"/>
            <w:noWrap/>
          </w:tcPr>
          <w:p w14:paraId="1B249CE9" w14:textId="1DDE7284" w:rsidR="00D1081F" w:rsidRPr="00A939DC" w:rsidRDefault="00D1081F" w:rsidP="00D1081F">
            <w:pPr>
              <w:spacing w:after="0" w:line="240" w:lineRule="auto"/>
              <w:jc w:val="center"/>
              <w:rPr>
                <w:rFonts w:cs="Calibri"/>
                <w:sz w:val="20"/>
                <w:szCs w:val="21"/>
                <w:lang w:eastAsia="en-AU"/>
              </w:rPr>
            </w:pPr>
            <w:r w:rsidRPr="00A939DC">
              <w:t>&lt;0.001</w:t>
            </w:r>
          </w:p>
        </w:tc>
      </w:tr>
    </w:tbl>
    <w:p w14:paraId="4A6DE8E1" w14:textId="77777777" w:rsidR="009A4875" w:rsidRPr="00424090" w:rsidRDefault="009A4875" w:rsidP="009A4875">
      <w:pPr>
        <w:rPr>
          <w:highlight w:val="yellow"/>
        </w:rPr>
      </w:pPr>
      <w:bookmarkStart w:id="428" w:name="_Ref61350662"/>
      <w:bookmarkStart w:id="429" w:name="_Ref57899744"/>
    </w:p>
    <w:p w14:paraId="71DB3C9B" w14:textId="77777777" w:rsidR="006D117A" w:rsidRDefault="006D117A" w:rsidP="004C3BA1">
      <w:pPr>
        <w:pStyle w:val="Captions"/>
      </w:pPr>
    </w:p>
    <w:p w14:paraId="5B5F4C67" w14:textId="77777777" w:rsidR="006D117A" w:rsidRDefault="006D117A">
      <w:pPr>
        <w:spacing w:before="0" w:after="160" w:line="259" w:lineRule="auto"/>
        <w:jc w:val="left"/>
        <w:rPr>
          <w:rFonts w:eastAsia="MS Mincho" w:cs="Arial"/>
          <w:b/>
          <w:bCs/>
          <w:color w:val="auto"/>
          <w:kern w:val="0"/>
          <w:sz w:val="20"/>
          <w:lang w:val="en-US"/>
        </w:rPr>
      </w:pPr>
      <w:r>
        <w:br w:type="page"/>
      </w:r>
    </w:p>
    <w:p w14:paraId="2E871F4F" w14:textId="6FDCE0C5" w:rsidR="009A4875" w:rsidRPr="00A35D33" w:rsidRDefault="009A4875" w:rsidP="004C3BA1">
      <w:pPr>
        <w:pStyle w:val="Captions"/>
        <w:rPr>
          <w:noProof/>
          <w:lang w:eastAsia="en-AU"/>
        </w:rPr>
      </w:pPr>
      <w:r w:rsidRPr="00A35D33">
        <w:t>Table</w:t>
      </w:r>
      <w:bookmarkEnd w:id="428"/>
      <w:r w:rsidRPr="00A35D33">
        <w:t xml:space="preserve"> D1</w:t>
      </w:r>
      <w:r w:rsidR="00DD27F8">
        <w:t>6</w:t>
      </w:r>
      <w:r w:rsidRPr="00A35D33">
        <w:rPr>
          <w:noProof/>
          <w:lang w:eastAsia="en-AU"/>
        </w:rPr>
        <w:t xml:space="preserve">. PERMANOVA main test comparisons of </w:t>
      </w:r>
      <w:r w:rsidRPr="00D60FCE">
        <w:rPr>
          <w:noProof/>
          <w:lang w:eastAsia="en-AU"/>
        </w:rPr>
        <w:t xml:space="preserve">Murray cod catch-per-unit-effort (CPUE) between years and weir pools for non-targeted electrofishing. </w:t>
      </w:r>
      <w:r w:rsidR="00F8380C" w:rsidRPr="00D60FCE">
        <w:rPr>
          <w:noProof/>
          <w:lang w:eastAsia="en-AU"/>
        </w:rPr>
        <w:t>P-values presented in bold are significant comparisons (α = 0.05).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660"/>
        <w:gridCol w:w="1225"/>
        <w:gridCol w:w="39"/>
        <w:gridCol w:w="2091"/>
        <w:gridCol w:w="39"/>
      </w:tblGrid>
      <w:tr w:rsidR="009A4875" w:rsidRPr="00A35D33" w14:paraId="664E3575" w14:textId="77777777" w:rsidTr="00C40B3C">
        <w:trPr>
          <w:trHeight w:val="340"/>
          <w:jc w:val="center"/>
        </w:trPr>
        <w:tc>
          <w:tcPr>
            <w:tcW w:w="2324" w:type="dxa"/>
            <w:tcBorders>
              <w:top w:val="single" w:sz="4" w:space="0" w:color="auto"/>
              <w:bottom w:val="single" w:sz="4" w:space="0" w:color="auto"/>
            </w:tcBorders>
          </w:tcPr>
          <w:p w14:paraId="10C8DE09" w14:textId="77777777" w:rsidR="009A4875" w:rsidRPr="00A35D33" w:rsidRDefault="009A4875" w:rsidP="009F3C4C">
            <w:pPr>
              <w:spacing w:line="240" w:lineRule="auto"/>
              <w:contextualSpacing/>
              <w:jc w:val="left"/>
              <w:rPr>
                <w:b/>
                <w:noProof/>
                <w:sz w:val="20"/>
                <w:lang w:eastAsia="en-AU"/>
              </w:rPr>
            </w:pPr>
            <w:r w:rsidRPr="00A35D33">
              <w:rPr>
                <w:b/>
                <w:noProof/>
                <w:sz w:val="20"/>
                <w:lang w:eastAsia="en-AU"/>
              </w:rPr>
              <w:t>Factor</w:t>
            </w:r>
          </w:p>
        </w:tc>
        <w:tc>
          <w:tcPr>
            <w:tcW w:w="660" w:type="dxa"/>
            <w:tcBorders>
              <w:top w:val="single" w:sz="4" w:space="0" w:color="auto"/>
              <w:bottom w:val="single" w:sz="4" w:space="0" w:color="auto"/>
            </w:tcBorders>
          </w:tcPr>
          <w:p w14:paraId="04FACBED" w14:textId="77777777" w:rsidR="009A4875" w:rsidRPr="00A35D33" w:rsidRDefault="009A4875" w:rsidP="009F3C4C">
            <w:pPr>
              <w:spacing w:line="240" w:lineRule="auto"/>
              <w:contextualSpacing/>
              <w:jc w:val="center"/>
              <w:rPr>
                <w:b/>
                <w:iCs/>
                <w:noProof/>
                <w:sz w:val="20"/>
                <w:lang w:eastAsia="en-AU"/>
              </w:rPr>
            </w:pPr>
            <w:r w:rsidRPr="00A35D33">
              <w:rPr>
                <w:b/>
                <w:iCs/>
                <w:noProof/>
                <w:sz w:val="20"/>
                <w:lang w:eastAsia="en-AU"/>
              </w:rPr>
              <w:t>df</w:t>
            </w:r>
          </w:p>
        </w:tc>
        <w:tc>
          <w:tcPr>
            <w:tcW w:w="1264" w:type="dxa"/>
            <w:gridSpan w:val="2"/>
            <w:tcBorders>
              <w:top w:val="single" w:sz="4" w:space="0" w:color="auto"/>
              <w:bottom w:val="single" w:sz="4" w:space="0" w:color="auto"/>
            </w:tcBorders>
          </w:tcPr>
          <w:p w14:paraId="246DEF9B" w14:textId="77777777" w:rsidR="009A4875" w:rsidRPr="00A35D33" w:rsidRDefault="009A4875" w:rsidP="009F3C4C">
            <w:pPr>
              <w:spacing w:line="240" w:lineRule="auto"/>
              <w:contextualSpacing/>
              <w:jc w:val="center"/>
              <w:rPr>
                <w:b/>
                <w:i/>
                <w:noProof/>
                <w:sz w:val="20"/>
                <w:lang w:eastAsia="en-AU"/>
              </w:rPr>
            </w:pPr>
            <w:r w:rsidRPr="00A35D33">
              <w:rPr>
                <w:b/>
                <w:i/>
                <w:noProof/>
                <w:sz w:val="20"/>
                <w:lang w:eastAsia="en-AU"/>
              </w:rPr>
              <w:t>Pseudo-F</w:t>
            </w:r>
          </w:p>
        </w:tc>
        <w:tc>
          <w:tcPr>
            <w:tcW w:w="2130" w:type="dxa"/>
            <w:gridSpan w:val="2"/>
            <w:tcBorders>
              <w:top w:val="single" w:sz="4" w:space="0" w:color="auto"/>
              <w:bottom w:val="single" w:sz="4" w:space="0" w:color="auto"/>
            </w:tcBorders>
          </w:tcPr>
          <w:p w14:paraId="288DE31A" w14:textId="77777777" w:rsidR="009A4875" w:rsidRPr="00A35D33" w:rsidRDefault="009A4875" w:rsidP="009F3C4C">
            <w:pPr>
              <w:spacing w:line="240" w:lineRule="auto"/>
              <w:contextualSpacing/>
              <w:jc w:val="center"/>
              <w:rPr>
                <w:b/>
                <w:noProof/>
                <w:sz w:val="20"/>
                <w:lang w:eastAsia="en-AU"/>
              </w:rPr>
            </w:pPr>
            <w:r w:rsidRPr="00A35D33">
              <w:rPr>
                <w:b/>
                <w:i/>
                <w:noProof/>
                <w:sz w:val="20"/>
                <w:lang w:eastAsia="en-AU"/>
              </w:rPr>
              <w:t>p</w:t>
            </w:r>
            <w:r w:rsidRPr="00A35D33">
              <w:rPr>
                <w:b/>
                <w:noProof/>
                <w:sz w:val="20"/>
                <w:lang w:eastAsia="en-AU"/>
              </w:rPr>
              <w:t xml:space="preserve"> value</w:t>
            </w:r>
          </w:p>
        </w:tc>
      </w:tr>
      <w:tr w:rsidR="0074459B" w:rsidRPr="00A35D33" w14:paraId="55DAF29D" w14:textId="77777777" w:rsidTr="00C40B3C">
        <w:trPr>
          <w:trHeight w:val="283"/>
          <w:jc w:val="center"/>
        </w:trPr>
        <w:tc>
          <w:tcPr>
            <w:tcW w:w="2324" w:type="dxa"/>
            <w:tcBorders>
              <w:top w:val="single" w:sz="4" w:space="0" w:color="auto"/>
            </w:tcBorders>
          </w:tcPr>
          <w:p w14:paraId="6165C19D" w14:textId="77777777" w:rsidR="0074459B" w:rsidRPr="00A35D33" w:rsidRDefault="0074459B" w:rsidP="0074459B">
            <w:pPr>
              <w:spacing w:line="240" w:lineRule="auto"/>
              <w:contextualSpacing/>
              <w:jc w:val="left"/>
              <w:rPr>
                <w:bCs/>
                <w:noProof/>
                <w:sz w:val="20"/>
                <w:lang w:eastAsia="en-AU"/>
              </w:rPr>
            </w:pPr>
            <w:r w:rsidRPr="00A35D33">
              <w:rPr>
                <w:bCs/>
                <w:noProof/>
                <w:sz w:val="20"/>
                <w:lang w:eastAsia="en-AU"/>
              </w:rPr>
              <w:t>Year</w:t>
            </w:r>
          </w:p>
        </w:tc>
        <w:tc>
          <w:tcPr>
            <w:tcW w:w="660" w:type="dxa"/>
            <w:tcBorders>
              <w:top w:val="single" w:sz="4" w:space="0" w:color="auto"/>
            </w:tcBorders>
          </w:tcPr>
          <w:p w14:paraId="17C18465" w14:textId="5DAD42D2" w:rsidR="0074459B" w:rsidRPr="00A35D33" w:rsidRDefault="0074459B" w:rsidP="0074459B">
            <w:pPr>
              <w:spacing w:line="240" w:lineRule="auto"/>
              <w:contextualSpacing/>
              <w:jc w:val="center"/>
              <w:rPr>
                <w:bCs/>
                <w:noProof/>
                <w:sz w:val="20"/>
                <w:lang w:eastAsia="en-AU"/>
              </w:rPr>
            </w:pPr>
            <w:r w:rsidRPr="001D4B7C">
              <w:t>6</w:t>
            </w:r>
          </w:p>
        </w:tc>
        <w:tc>
          <w:tcPr>
            <w:tcW w:w="1264" w:type="dxa"/>
            <w:gridSpan w:val="2"/>
            <w:tcBorders>
              <w:top w:val="single" w:sz="4" w:space="0" w:color="auto"/>
            </w:tcBorders>
          </w:tcPr>
          <w:p w14:paraId="7600E0CB" w14:textId="437C1B43" w:rsidR="0074459B" w:rsidRPr="00A35D33" w:rsidRDefault="0074459B" w:rsidP="0074459B">
            <w:pPr>
              <w:spacing w:line="240" w:lineRule="auto"/>
              <w:contextualSpacing/>
              <w:jc w:val="center"/>
              <w:rPr>
                <w:b/>
                <w:noProof/>
                <w:sz w:val="20"/>
                <w:lang w:eastAsia="en-AU"/>
              </w:rPr>
            </w:pPr>
            <w:r w:rsidRPr="001D4B7C">
              <w:t>2.359</w:t>
            </w:r>
          </w:p>
        </w:tc>
        <w:tc>
          <w:tcPr>
            <w:tcW w:w="2130" w:type="dxa"/>
            <w:gridSpan w:val="2"/>
            <w:tcBorders>
              <w:top w:val="single" w:sz="4" w:space="0" w:color="auto"/>
            </w:tcBorders>
          </w:tcPr>
          <w:p w14:paraId="1ABCBE3D" w14:textId="1B8B2724" w:rsidR="0074459B" w:rsidRPr="0074459B" w:rsidRDefault="0074459B" w:rsidP="0074459B">
            <w:pPr>
              <w:spacing w:line="240" w:lineRule="auto"/>
              <w:contextualSpacing/>
              <w:jc w:val="center"/>
              <w:rPr>
                <w:b/>
                <w:bCs/>
                <w:noProof/>
                <w:sz w:val="20"/>
                <w:lang w:eastAsia="en-AU"/>
              </w:rPr>
            </w:pPr>
            <w:r w:rsidRPr="0074459B">
              <w:rPr>
                <w:b/>
                <w:bCs/>
              </w:rPr>
              <w:t>0.041</w:t>
            </w:r>
          </w:p>
        </w:tc>
      </w:tr>
      <w:tr w:rsidR="0074459B" w:rsidRPr="00424090" w14:paraId="78871B21" w14:textId="77777777" w:rsidTr="009D478A">
        <w:trPr>
          <w:trHeight w:val="283"/>
          <w:jc w:val="center"/>
        </w:trPr>
        <w:tc>
          <w:tcPr>
            <w:tcW w:w="2324" w:type="dxa"/>
          </w:tcPr>
          <w:p w14:paraId="137775E7" w14:textId="77777777" w:rsidR="0074459B" w:rsidRPr="00A35D33" w:rsidRDefault="0074459B" w:rsidP="0074459B">
            <w:pPr>
              <w:spacing w:line="240" w:lineRule="auto"/>
              <w:contextualSpacing/>
              <w:jc w:val="left"/>
              <w:rPr>
                <w:bCs/>
                <w:noProof/>
                <w:sz w:val="20"/>
                <w:lang w:eastAsia="en-AU"/>
              </w:rPr>
            </w:pPr>
            <w:r w:rsidRPr="00A35D33">
              <w:rPr>
                <w:bCs/>
                <w:noProof/>
                <w:sz w:val="20"/>
                <w:lang w:eastAsia="en-AU"/>
              </w:rPr>
              <w:t>Residuals</w:t>
            </w:r>
          </w:p>
        </w:tc>
        <w:tc>
          <w:tcPr>
            <w:tcW w:w="660" w:type="dxa"/>
          </w:tcPr>
          <w:p w14:paraId="68F2D6AA" w14:textId="18428E61" w:rsidR="0074459B" w:rsidRPr="00A35D33" w:rsidRDefault="0074459B" w:rsidP="0074459B">
            <w:pPr>
              <w:spacing w:line="240" w:lineRule="auto"/>
              <w:contextualSpacing/>
              <w:jc w:val="center"/>
              <w:rPr>
                <w:bCs/>
                <w:noProof/>
                <w:sz w:val="20"/>
                <w:lang w:eastAsia="en-AU"/>
              </w:rPr>
            </w:pPr>
            <w:r w:rsidRPr="001D4B7C">
              <w:t>63</w:t>
            </w:r>
          </w:p>
        </w:tc>
        <w:tc>
          <w:tcPr>
            <w:tcW w:w="1264" w:type="dxa"/>
            <w:gridSpan w:val="2"/>
          </w:tcPr>
          <w:p w14:paraId="472216FE" w14:textId="4C5CCCB8" w:rsidR="0074459B" w:rsidRPr="00A35D33" w:rsidRDefault="0074459B" w:rsidP="0074459B">
            <w:pPr>
              <w:spacing w:line="240" w:lineRule="auto"/>
              <w:contextualSpacing/>
              <w:jc w:val="center"/>
              <w:rPr>
                <w:b/>
                <w:noProof/>
                <w:sz w:val="20"/>
                <w:lang w:eastAsia="en-AU"/>
              </w:rPr>
            </w:pPr>
            <w:r w:rsidRPr="001D4B7C">
              <w:t xml:space="preserve">        </w:t>
            </w:r>
          </w:p>
        </w:tc>
        <w:tc>
          <w:tcPr>
            <w:tcW w:w="2130" w:type="dxa"/>
            <w:gridSpan w:val="2"/>
          </w:tcPr>
          <w:p w14:paraId="01D8E2F2" w14:textId="1F269280" w:rsidR="0074459B" w:rsidRPr="00A35D33" w:rsidRDefault="0074459B" w:rsidP="0074459B">
            <w:pPr>
              <w:spacing w:line="240" w:lineRule="auto"/>
              <w:contextualSpacing/>
              <w:jc w:val="center"/>
              <w:rPr>
                <w:b/>
                <w:noProof/>
                <w:sz w:val="20"/>
                <w:lang w:eastAsia="en-AU"/>
              </w:rPr>
            </w:pPr>
            <w:r w:rsidRPr="001D4B7C">
              <w:t xml:space="preserve">       </w:t>
            </w:r>
          </w:p>
        </w:tc>
      </w:tr>
      <w:tr w:rsidR="00C40B3C" w:rsidRPr="00C42101" w14:paraId="34FDD73F" w14:textId="77777777" w:rsidTr="00C40B3C">
        <w:trPr>
          <w:gridAfter w:val="1"/>
          <w:wAfter w:w="39" w:type="dxa"/>
          <w:trHeight w:val="283"/>
          <w:jc w:val="center"/>
        </w:trPr>
        <w:tc>
          <w:tcPr>
            <w:tcW w:w="2324" w:type="dxa"/>
            <w:tcBorders>
              <w:bottom w:val="single" w:sz="4" w:space="0" w:color="auto"/>
            </w:tcBorders>
          </w:tcPr>
          <w:p w14:paraId="545182B3" w14:textId="77777777" w:rsidR="00C40B3C" w:rsidRPr="00C42101" w:rsidRDefault="00C40B3C" w:rsidP="00AC679D">
            <w:pPr>
              <w:spacing w:line="240" w:lineRule="auto"/>
              <w:contextualSpacing/>
              <w:jc w:val="left"/>
              <w:rPr>
                <w:b/>
                <w:noProof/>
                <w:sz w:val="20"/>
                <w:lang w:eastAsia="en-AU"/>
              </w:rPr>
            </w:pPr>
          </w:p>
        </w:tc>
        <w:tc>
          <w:tcPr>
            <w:tcW w:w="660" w:type="dxa"/>
            <w:tcBorders>
              <w:bottom w:val="single" w:sz="4" w:space="0" w:color="auto"/>
            </w:tcBorders>
          </w:tcPr>
          <w:p w14:paraId="560FE465" w14:textId="77777777" w:rsidR="00C40B3C" w:rsidRPr="00C42101" w:rsidRDefault="00C40B3C" w:rsidP="00AC679D">
            <w:pPr>
              <w:spacing w:line="240" w:lineRule="auto"/>
              <w:contextualSpacing/>
              <w:jc w:val="center"/>
              <w:rPr>
                <w:b/>
                <w:noProof/>
                <w:sz w:val="20"/>
                <w:lang w:eastAsia="en-AU"/>
              </w:rPr>
            </w:pPr>
          </w:p>
        </w:tc>
        <w:tc>
          <w:tcPr>
            <w:tcW w:w="1225" w:type="dxa"/>
            <w:tcBorders>
              <w:bottom w:val="single" w:sz="4" w:space="0" w:color="auto"/>
            </w:tcBorders>
          </w:tcPr>
          <w:p w14:paraId="3AB9C897" w14:textId="77777777" w:rsidR="00C40B3C" w:rsidRPr="00C42101" w:rsidRDefault="00C40B3C" w:rsidP="00AC679D">
            <w:pPr>
              <w:spacing w:line="240" w:lineRule="auto"/>
              <w:contextualSpacing/>
              <w:jc w:val="center"/>
              <w:rPr>
                <w:b/>
                <w:noProof/>
                <w:sz w:val="20"/>
                <w:lang w:eastAsia="en-AU"/>
              </w:rPr>
            </w:pPr>
          </w:p>
        </w:tc>
        <w:tc>
          <w:tcPr>
            <w:tcW w:w="2130" w:type="dxa"/>
            <w:gridSpan w:val="2"/>
            <w:tcBorders>
              <w:bottom w:val="single" w:sz="4" w:space="0" w:color="auto"/>
            </w:tcBorders>
          </w:tcPr>
          <w:p w14:paraId="045110CA" w14:textId="77777777" w:rsidR="00C40B3C" w:rsidRPr="00C42101" w:rsidRDefault="00C40B3C" w:rsidP="00AC679D">
            <w:pPr>
              <w:spacing w:line="240" w:lineRule="auto"/>
              <w:contextualSpacing/>
              <w:jc w:val="center"/>
              <w:rPr>
                <w:b/>
                <w:noProof/>
                <w:sz w:val="20"/>
                <w:lang w:eastAsia="en-AU"/>
              </w:rPr>
            </w:pPr>
          </w:p>
        </w:tc>
      </w:tr>
      <w:tr w:rsidR="00C40B3C" w:rsidRPr="00C42101" w14:paraId="05AD6343" w14:textId="77777777" w:rsidTr="00C40B3C">
        <w:trPr>
          <w:gridAfter w:val="1"/>
          <w:wAfter w:w="39" w:type="dxa"/>
          <w:trHeight w:val="283"/>
          <w:jc w:val="center"/>
        </w:trPr>
        <w:tc>
          <w:tcPr>
            <w:tcW w:w="2324" w:type="dxa"/>
            <w:tcBorders>
              <w:top w:val="single" w:sz="4" w:space="0" w:color="auto"/>
              <w:bottom w:val="single" w:sz="4" w:space="0" w:color="auto"/>
            </w:tcBorders>
          </w:tcPr>
          <w:p w14:paraId="093758C4" w14:textId="77777777" w:rsidR="00C40B3C" w:rsidRPr="00C42101" w:rsidRDefault="00C40B3C" w:rsidP="00AC679D">
            <w:pPr>
              <w:spacing w:line="240" w:lineRule="auto"/>
              <w:contextualSpacing/>
              <w:jc w:val="center"/>
              <w:rPr>
                <w:b/>
                <w:noProof/>
                <w:sz w:val="20"/>
                <w:lang w:eastAsia="en-AU"/>
              </w:rPr>
            </w:pPr>
            <w:r w:rsidRPr="00C42101">
              <w:rPr>
                <w:b/>
                <w:noProof/>
                <w:sz w:val="20"/>
                <w:lang w:eastAsia="en-AU"/>
              </w:rPr>
              <w:t>Pairwise comparisons</w:t>
            </w:r>
          </w:p>
          <w:p w14:paraId="2B55189E" w14:textId="77777777" w:rsidR="00C40B3C" w:rsidRPr="00C42101" w:rsidRDefault="00C40B3C" w:rsidP="00AC679D">
            <w:pPr>
              <w:spacing w:line="240" w:lineRule="auto"/>
              <w:contextualSpacing/>
              <w:jc w:val="center"/>
              <w:rPr>
                <w:bCs/>
                <w:noProof/>
                <w:sz w:val="20"/>
                <w:lang w:eastAsia="en-AU"/>
              </w:rPr>
            </w:pPr>
            <w:r w:rsidRPr="00C42101">
              <w:rPr>
                <w:bCs/>
                <w:noProof/>
                <w:sz w:val="20"/>
                <w:lang w:eastAsia="en-AU"/>
              </w:rPr>
              <w:t>(between years)</w:t>
            </w:r>
          </w:p>
        </w:tc>
        <w:tc>
          <w:tcPr>
            <w:tcW w:w="660" w:type="dxa"/>
            <w:tcBorders>
              <w:top w:val="single" w:sz="4" w:space="0" w:color="auto"/>
              <w:bottom w:val="single" w:sz="4" w:space="0" w:color="auto"/>
            </w:tcBorders>
          </w:tcPr>
          <w:p w14:paraId="7A9E2ED3" w14:textId="77777777" w:rsidR="00C40B3C" w:rsidRPr="00C42101" w:rsidRDefault="00C40B3C" w:rsidP="00AC679D">
            <w:pPr>
              <w:spacing w:line="240" w:lineRule="auto"/>
              <w:contextualSpacing/>
              <w:jc w:val="center"/>
              <w:rPr>
                <w:b/>
                <w:i/>
                <w:noProof/>
                <w:sz w:val="20"/>
                <w:lang w:eastAsia="en-AU"/>
              </w:rPr>
            </w:pPr>
          </w:p>
        </w:tc>
        <w:tc>
          <w:tcPr>
            <w:tcW w:w="1225" w:type="dxa"/>
            <w:tcBorders>
              <w:top w:val="single" w:sz="4" w:space="0" w:color="auto"/>
              <w:bottom w:val="single" w:sz="4" w:space="0" w:color="auto"/>
            </w:tcBorders>
          </w:tcPr>
          <w:p w14:paraId="21775528" w14:textId="77777777" w:rsidR="00C40B3C" w:rsidRPr="00C42101" w:rsidRDefault="00C40B3C" w:rsidP="00AC679D">
            <w:pPr>
              <w:spacing w:line="240" w:lineRule="auto"/>
              <w:contextualSpacing/>
              <w:jc w:val="center"/>
              <w:rPr>
                <w:b/>
                <w:noProof/>
                <w:sz w:val="20"/>
                <w:lang w:eastAsia="en-AU"/>
              </w:rPr>
            </w:pPr>
            <w:r w:rsidRPr="00C42101">
              <w:rPr>
                <w:b/>
                <w:i/>
                <w:noProof/>
                <w:sz w:val="20"/>
                <w:lang w:eastAsia="en-AU"/>
              </w:rPr>
              <w:t>t</w:t>
            </w:r>
          </w:p>
        </w:tc>
        <w:tc>
          <w:tcPr>
            <w:tcW w:w="2130" w:type="dxa"/>
            <w:gridSpan w:val="2"/>
            <w:tcBorders>
              <w:top w:val="single" w:sz="4" w:space="0" w:color="auto"/>
              <w:bottom w:val="single" w:sz="4" w:space="0" w:color="auto"/>
            </w:tcBorders>
          </w:tcPr>
          <w:p w14:paraId="7A0AA6C9" w14:textId="77777777" w:rsidR="00C40B3C" w:rsidRPr="00C42101" w:rsidRDefault="00C40B3C" w:rsidP="00AC679D">
            <w:pPr>
              <w:spacing w:line="240" w:lineRule="auto"/>
              <w:contextualSpacing/>
              <w:jc w:val="center"/>
              <w:rPr>
                <w:b/>
                <w:noProof/>
                <w:sz w:val="20"/>
                <w:lang w:eastAsia="en-AU"/>
              </w:rPr>
            </w:pPr>
            <w:r w:rsidRPr="00C42101">
              <w:rPr>
                <w:b/>
                <w:i/>
                <w:noProof/>
                <w:sz w:val="20"/>
                <w:lang w:eastAsia="en-AU"/>
              </w:rPr>
              <w:t>p</w:t>
            </w:r>
            <w:r w:rsidRPr="00C42101">
              <w:rPr>
                <w:b/>
                <w:noProof/>
                <w:sz w:val="20"/>
                <w:lang w:eastAsia="en-AU"/>
              </w:rPr>
              <w:t xml:space="preserve"> value</w:t>
            </w:r>
          </w:p>
        </w:tc>
      </w:tr>
      <w:tr w:rsidR="0074459B" w:rsidRPr="00C42101" w14:paraId="28A300B2" w14:textId="77777777" w:rsidTr="00C40B3C">
        <w:trPr>
          <w:gridAfter w:val="1"/>
          <w:wAfter w:w="39" w:type="dxa"/>
          <w:trHeight w:val="283"/>
          <w:jc w:val="center"/>
        </w:trPr>
        <w:tc>
          <w:tcPr>
            <w:tcW w:w="2324" w:type="dxa"/>
            <w:vAlign w:val="bottom"/>
          </w:tcPr>
          <w:p w14:paraId="77576F0A" w14:textId="77777777" w:rsidR="0074459B" w:rsidRPr="00C42101" w:rsidRDefault="0074459B" w:rsidP="0074459B">
            <w:pPr>
              <w:spacing w:line="240" w:lineRule="auto"/>
              <w:contextualSpacing/>
              <w:jc w:val="center"/>
              <w:rPr>
                <w:sz w:val="20"/>
              </w:rPr>
            </w:pPr>
            <w:r w:rsidRPr="00C42101">
              <w:rPr>
                <w:rFonts w:cs="Calibri"/>
                <w:sz w:val="20"/>
              </w:rPr>
              <w:t>2015, 2016</w:t>
            </w:r>
          </w:p>
        </w:tc>
        <w:tc>
          <w:tcPr>
            <w:tcW w:w="660" w:type="dxa"/>
          </w:tcPr>
          <w:p w14:paraId="704BD9F3" w14:textId="77777777" w:rsidR="0074459B" w:rsidRPr="00C42101" w:rsidRDefault="0074459B" w:rsidP="0074459B">
            <w:pPr>
              <w:spacing w:line="240" w:lineRule="auto"/>
              <w:contextualSpacing/>
              <w:jc w:val="center"/>
              <w:rPr>
                <w:sz w:val="20"/>
              </w:rPr>
            </w:pPr>
          </w:p>
        </w:tc>
        <w:tc>
          <w:tcPr>
            <w:tcW w:w="1225" w:type="dxa"/>
          </w:tcPr>
          <w:p w14:paraId="28F54148" w14:textId="4EA9137E" w:rsidR="0074459B" w:rsidRPr="00C42101" w:rsidRDefault="0074459B" w:rsidP="0074459B">
            <w:pPr>
              <w:spacing w:line="240" w:lineRule="auto"/>
              <w:contextualSpacing/>
              <w:jc w:val="center"/>
              <w:rPr>
                <w:sz w:val="20"/>
              </w:rPr>
            </w:pPr>
            <w:r w:rsidRPr="001A3D7A">
              <w:t>0.735</w:t>
            </w:r>
          </w:p>
        </w:tc>
        <w:tc>
          <w:tcPr>
            <w:tcW w:w="2130" w:type="dxa"/>
            <w:gridSpan w:val="2"/>
          </w:tcPr>
          <w:p w14:paraId="63D62053" w14:textId="6D70BB80" w:rsidR="0074459B" w:rsidRPr="00C42101" w:rsidRDefault="0074459B" w:rsidP="0074459B">
            <w:pPr>
              <w:spacing w:line="240" w:lineRule="auto"/>
              <w:contextualSpacing/>
              <w:jc w:val="center"/>
              <w:rPr>
                <w:sz w:val="20"/>
              </w:rPr>
            </w:pPr>
            <w:r w:rsidRPr="001A3D7A">
              <w:t>0.539</w:t>
            </w:r>
          </w:p>
        </w:tc>
      </w:tr>
      <w:tr w:rsidR="0074459B" w:rsidRPr="00C42101" w14:paraId="59B24DCE" w14:textId="77777777" w:rsidTr="00C40B3C">
        <w:trPr>
          <w:gridAfter w:val="1"/>
          <w:wAfter w:w="39" w:type="dxa"/>
          <w:trHeight w:val="283"/>
          <w:jc w:val="center"/>
        </w:trPr>
        <w:tc>
          <w:tcPr>
            <w:tcW w:w="2324" w:type="dxa"/>
            <w:vAlign w:val="bottom"/>
          </w:tcPr>
          <w:p w14:paraId="105E7FC3"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2015, 2017</w:t>
            </w:r>
          </w:p>
        </w:tc>
        <w:tc>
          <w:tcPr>
            <w:tcW w:w="660" w:type="dxa"/>
          </w:tcPr>
          <w:p w14:paraId="1458202D" w14:textId="77777777" w:rsidR="0074459B" w:rsidRPr="00C42101" w:rsidRDefault="0074459B" w:rsidP="0074459B">
            <w:pPr>
              <w:spacing w:line="240" w:lineRule="auto"/>
              <w:contextualSpacing/>
              <w:jc w:val="center"/>
              <w:rPr>
                <w:sz w:val="20"/>
              </w:rPr>
            </w:pPr>
          </w:p>
        </w:tc>
        <w:tc>
          <w:tcPr>
            <w:tcW w:w="1225" w:type="dxa"/>
          </w:tcPr>
          <w:p w14:paraId="13D72B01" w14:textId="652DC2F4" w:rsidR="0074459B" w:rsidRPr="00C42101" w:rsidRDefault="0074459B" w:rsidP="0074459B">
            <w:pPr>
              <w:spacing w:line="240" w:lineRule="auto"/>
              <w:contextualSpacing/>
              <w:jc w:val="center"/>
              <w:rPr>
                <w:b/>
                <w:noProof/>
                <w:sz w:val="20"/>
                <w:lang w:eastAsia="en-AU"/>
              </w:rPr>
            </w:pPr>
            <w:r w:rsidRPr="001A3D7A">
              <w:t>2.734</w:t>
            </w:r>
          </w:p>
        </w:tc>
        <w:tc>
          <w:tcPr>
            <w:tcW w:w="2130" w:type="dxa"/>
            <w:gridSpan w:val="2"/>
          </w:tcPr>
          <w:p w14:paraId="409971DF" w14:textId="4949709B" w:rsidR="0074459B" w:rsidRPr="0074459B" w:rsidRDefault="0074459B" w:rsidP="0074459B">
            <w:pPr>
              <w:spacing w:line="240" w:lineRule="auto"/>
              <w:contextualSpacing/>
              <w:jc w:val="center"/>
              <w:rPr>
                <w:b/>
                <w:bCs/>
                <w:noProof/>
                <w:sz w:val="20"/>
                <w:lang w:eastAsia="en-AU"/>
              </w:rPr>
            </w:pPr>
            <w:r w:rsidRPr="0074459B">
              <w:rPr>
                <w:b/>
                <w:bCs/>
              </w:rPr>
              <w:t>0.021</w:t>
            </w:r>
          </w:p>
        </w:tc>
      </w:tr>
      <w:tr w:rsidR="0074459B" w:rsidRPr="00C42101" w14:paraId="33C6CE71" w14:textId="77777777" w:rsidTr="00C40B3C">
        <w:trPr>
          <w:gridAfter w:val="1"/>
          <w:wAfter w:w="39" w:type="dxa"/>
          <w:trHeight w:val="283"/>
          <w:jc w:val="center"/>
        </w:trPr>
        <w:tc>
          <w:tcPr>
            <w:tcW w:w="2324" w:type="dxa"/>
            <w:vAlign w:val="bottom"/>
          </w:tcPr>
          <w:p w14:paraId="7B8403F2" w14:textId="66E9BBF4" w:rsidR="0074459B" w:rsidRPr="00C42101" w:rsidRDefault="0074459B" w:rsidP="0074459B">
            <w:pPr>
              <w:spacing w:line="240" w:lineRule="auto"/>
              <w:contextualSpacing/>
              <w:jc w:val="center"/>
              <w:rPr>
                <w:rFonts w:cs="Calibri"/>
                <w:sz w:val="20"/>
              </w:rPr>
            </w:pPr>
            <w:r w:rsidRPr="00C42101">
              <w:rPr>
                <w:rFonts w:cs="Calibri"/>
                <w:sz w:val="20"/>
              </w:rPr>
              <w:t>2015, 2018</w:t>
            </w:r>
          </w:p>
        </w:tc>
        <w:tc>
          <w:tcPr>
            <w:tcW w:w="660" w:type="dxa"/>
          </w:tcPr>
          <w:p w14:paraId="129849E3" w14:textId="77777777" w:rsidR="0074459B" w:rsidRPr="00C42101" w:rsidRDefault="0074459B" w:rsidP="0074459B">
            <w:pPr>
              <w:spacing w:line="240" w:lineRule="auto"/>
              <w:contextualSpacing/>
              <w:jc w:val="center"/>
              <w:rPr>
                <w:sz w:val="20"/>
              </w:rPr>
            </w:pPr>
          </w:p>
        </w:tc>
        <w:tc>
          <w:tcPr>
            <w:tcW w:w="1225" w:type="dxa"/>
          </w:tcPr>
          <w:p w14:paraId="77573D63" w14:textId="23C3DFE2" w:rsidR="0074459B" w:rsidRPr="00C42101" w:rsidRDefault="0074459B" w:rsidP="0074459B">
            <w:pPr>
              <w:spacing w:line="240" w:lineRule="auto"/>
              <w:contextualSpacing/>
              <w:jc w:val="center"/>
              <w:rPr>
                <w:b/>
                <w:noProof/>
                <w:sz w:val="20"/>
                <w:lang w:eastAsia="en-AU"/>
              </w:rPr>
            </w:pPr>
            <w:r w:rsidRPr="001A3D7A">
              <w:t>0.942</w:t>
            </w:r>
          </w:p>
        </w:tc>
        <w:tc>
          <w:tcPr>
            <w:tcW w:w="2130" w:type="dxa"/>
            <w:gridSpan w:val="2"/>
          </w:tcPr>
          <w:p w14:paraId="68DAFA72" w14:textId="7B956329" w:rsidR="0074459B" w:rsidRPr="00C42101" w:rsidRDefault="0074459B" w:rsidP="0074459B">
            <w:pPr>
              <w:spacing w:line="240" w:lineRule="auto"/>
              <w:contextualSpacing/>
              <w:jc w:val="center"/>
              <w:rPr>
                <w:noProof/>
                <w:sz w:val="20"/>
                <w:lang w:eastAsia="en-AU"/>
              </w:rPr>
            </w:pPr>
            <w:r w:rsidRPr="001A3D7A">
              <w:t>0.379</w:t>
            </w:r>
          </w:p>
        </w:tc>
      </w:tr>
      <w:tr w:rsidR="0074459B" w:rsidRPr="00C42101" w14:paraId="122D769F" w14:textId="77777777" w:rsidTr="00C40B3C">
        <w:trPr>
          <w:gridAfter w:val="1"/>
          <w:wAfter w:w="39" w:type="dxa"/>
          <w:trHeight w:val="283"/>
          <w:jc w:val="center"/>
        </w:trPr>
        <w:tc>
          <w:tcPr>
            <w:tcW w:w="2324" w:type="dxa"/>
            <w:vAlign w:val="bottom"/>
          </w:tcPr>
          <w:p w14:paraId="285FB0DA"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2015, 2019</w:t>
            </w:r>
          </w:p>
        </w:tc>
        <w:tc>
          <w:tcPr>
            <w:tcW w:w="660" w:type="dxa"/>
          </w:tcPr>
          <w:p w14:paraId="7A106CF0" w14:textId="77777777" w:rsidR="0074459B" w:rsidRPr="00C42101" w:rsidRDefault="0074459B" w:rsidP="0074459B">
            <w:pPr>
              <w:spacing w:line="240" w:lineRule="auto"/>
              <w:contextualSpacing/>
              <w:jc w:val="center"/>
              <w:rPr>
                <w:sz w:val="20"/>
              </w:rPr>
            </w:pPr>
          </w:p>
        </w:tc>
        <w:tc>
          <w:tcPr>
            <w:tcW w:w="1225" w:type="dxa"/>
          </w:tcPr>
          <w:p w14:paraId="633039E8" w14:textId="7597776A" w:rsidR="0074459B" w:rsidRPr="00C42101" w:rsidRDefault="0074459B" w:rsidP="0074459B">
            <w:pPr>
              <w:spacing w:line="240" w:lineRule="auto"/>
              <w:contextualSpacing/>
              <w:jc w:val="center"/>
              <w:rPr>
                <w:b/>
                <w:noProof/>
                <w:sz w:val="20"/>
                <w:lang w:eastAsia="en-AU"/>
              </w:rPr>
            </w:pPr>
            <w:r w:rsidRPr="001A3D7A">
              <w:t>0.635</w:t>
            </w:r>
          </w:p>
        </w:tc>
        <w:tc>
          <w:tcPr>
            <w:tcW w:w="2130" w:type="dxa"/>
            <w:gridSpan w:val="2"/>
          </w:tcPr>
          <w:p w14:paraId="4C2A69E6" w14:textId="2A5EEA74" w:rsidR="0074459B" w:rsidRPr="00C42101" w:rsidRDefault="0074459B" w:rsidP="0074459B">
            <w:pPr>
              <w:spacing w:line="240" w:lineRule="auto"/>
              <w:contextualSpacing/>
              <w:jc w:val="center"/>
              <w:rPr>
                <w:noProof/>
                <w:sz w:val="20"/>
                <w:lang w:eastAsia="en-AU"/>
              </w:rPr>
            </w:pPr>
            <w:r w:rsidRPr="001A3D7A">
              <w:t>0.549</w:t>
            </w:r>
          </w:p>
        </w:tc>
      </w:tr>
      <w:tr w:rsidR="0074459B" w:rsidRPr="00C42101" w14:paraId="0B3D853B" w14:textId="77777777" w:rsidTr="00C40B3C">
        <w:trPr>
          <w:gridAfter w:val="1"/>
          <w:wAfter w:w="39" w:type="dxa"/>
          <w:trHeight w:val="283"/>
          <w:jc w:val="center"/>
        </w:trPr>
        <w:tc>
          <w:tcPr>
            <w:tcW w:w="2324" w:type="dxa"/>
            <w:vAlign w:val="bottom"/>
          </w:tcPr>
          <w:p w14:paraId="752C71F9"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2015, 2020</w:t>
            </w:r>
          </w:p>
        </w:tc>
        <w:tc>
          <w:tcPr>
            <w:tcW w:w="660" w:type="dxa"/>
          </w:tcPr>
          <w:p w14:paraId="451D50D9" w14:textId="77777777" w:rsidR="0074459B" w:rsidRPr="00C42101" w:rsidRDefault="0074459B" w:rsidP="0074459B">
            <w:pPr>
              <w:spacing w:line="240" w:lineRule="auto"/>
              <w:contextualSpacing/>
              <w:jc w:val="center"/>
              <w:rPr>
                <w:sz w:val="20"/>
              </w:rPr>
            </w:pPr>
          </w:p>
        </w:tc>
        <w:tc>
          <w:tcPr>
            <w:tcW w:w="1225" w:type="dxa"/>
          </w:tcPr>
          <w:p w14:paraId="10B3642F" w14:textId="5E4342D9" w:rsidR="0074459B" w:rsidRPr="00C42101" w:rsidRDefault="0074459B" w:rsidP="0074459B">
            <w:pPr>
              <w:spacing w:line="240" w:lineRule="auto"/>
              <w:contextualSpacing/>
              <w:jc w:val="center"/>
              <w:rPr>
                <w:b/>
                <w:noProof/>
                <w:sz w:val="20"/>
                <w:lang w:eastAsia="en-AU"/>
              </w:rPr>
            </w:pPr>
            <w:r w:rsidRPr="001A3D7A">
              <w:t>0.792</w:t>
            </w:r>
          </w:p>
        </w:tc>
        <w:tc>
          <w:tcPr>
            <w:tcW w:w="2130" w:type="dxa"/>
            <w:gridSpan w:val="2"/>
          </w:tcPr>
          <w:p w14:paraId="4D172043" w14:textId="1FCDE845" w:rsidR="0074459B" w:rsidRPr="00C42101" w:rsidRDefault="0074459B" w:rsidP="0074459B">
            <w:pPr>
              <w:spacing w:line="240" w:lineRule="auto"/>
              <w:contextualSpacing/>
              <w:jc w:val="center"/>
              <w:rPr>
                <w:noProof/>
                <w:sz w:val="20"/>
                <w:lang w:eastAsia="en-AU"/>
              </w:rPr>
            </w:pPr>
            <w:r w:rsidRPr="001A3D7A">
              <w:t>0.438</w:t>
            </w:r>
          </w:p>
        </w:tc>
      </w:tr>
      <w:tr w:rsidR="0074459B" w:rsidRPr="00C42101" w14:paraId="414F3FFA" w14:textId="77777777" w:rsidTr="00C40B3C">
        <w:trPr>
          <w:gridAfter w:val="1"/>
          <w:wAfter w:w="39" w:type="dxa"/>
          <w:trHeight w:val="283"/>
          <w:jc w:val="center"/>
        </w:trPr>
        <w:tc>
          <w:tcPr>
            <w:tcW w:w="2324" w:type="dxa"/>
            <w:vAlign w:val="bottom"/>
          </w:tcPr>
          <w:p w14:paraId="65F605BE" w14:textId="495193E9" w:rsidR="0074459B" w:rsidRPr="00C42101" w:rsidRDefault="0074459B" w:rsidP="0074459B">
            <w:pPr>
              <w:spacing w:line="240" w:lineRule="auto"/>
              <w:contextualSpacing/>
              <w:jc w:val="center"/>
              <w:rPr>
                <w:rFonts w:cs="Calibri"/>
                <w:sz w:val="20"/>
              </w:rPr>
            </w:pPr>
            <w:r w:rsidRPr="00C42101">
              <w:rPr>
                <w:rFonts w:cs="Calibri"/>
                <w:sz w:val="20"/>
              </w:rPr>
              <w:t>2015, 2021</w:t>
            </w:r>
          </w:p>
        </w:tc>
        <w:tc>
          <w:tcPr>
            <w:tcW w:w="660" w:type="dxa"/>
          </w:tcPr>
          <w:p w14:paraId="2A473A45" w14:textId="77777777" w:rsidR="0074459B" w:rsidRPr="00C42101" w:rsidRDefault="0074459B" w:rsidP="0074459B">
            <w:pPr>
              <w:spacing w:line="240" w:lineRule="auto"/>
              <w:contextualSpacing/>
              <w:jc w:val="center"/>
              <w:rPr>
                <w:sz w:val="20"/>
              </w:rPr>
            </w:pPr>
          </w:p>
        </w:tc>
        <w:tc>
          <w:tcPr>
            <w:tcW w:w="1225" w:type="dxa"/>
          </w:tcPr>
          <w:p w14:paraId="0993374C" w14:textId="75707353" w:rsidR="0074459B" w:rsidRPr="00C42101" w:rsidRDefault="0074459B" w:rsidP="0074459B">
            <w:pPr>
              <w:spacing w:line="240" w:lineRule="auto"/>
              <w:contextualSpacing/>
              <w:jc w:val="center"/>
              <w:rPr>
                <w:b/>
                <w:noProof/>
                <w:sz w:val="20"/>
                <w:lang w:eastAsia="en-AU"/>
              </w:rPr>
            </w:pPr>
            <w:r w:rsidRPr="001A3D7A">
              <w:t>1.548</w:t>
            </w:r>
          </w:p>
        </w:tc>
        <w:tc>
          <w:tcPr>
            <w:tcW w:w="2130" w:type="dxa"/>
            <w:gridSpan w:val="2"/>
          </w:tcPr>
          <w:p w14:paraId="6FBD03FF" w14:textId="415A4D88" w:rsidR="0074459B" w:rsidRPr="00C42101" w:rsidRDefault="0074459B" w:rsidP="0074459B">
            <w:pPr>
              <w:spacing w:line="240" w:lineRule="auto"/>
              <w:contextualSpacing/>
              <w:jc w:val="center"/>
              <w:rPr>
                <w:b/>
                <w:bCs/>
                <w:noProof/>
                <w:sz w:val="20"/>
                <w:lang w:eastAsia="en-AU"/>
              </w:rPr>
            </w:pPr>
            <w:r w:rsidRPr="001A3D7A">
              <w:t>0.124</w:t>
            </w:r>
          </w:p>
        </w:tc>
      </w:tr>
      <w:tr w:rsidR="0074459B" w:rsidRPr="00C42101" w14:paraId="6D3CC447" w14:textId="77777777" w:rsidTr="00C40B3C">
        <w:trPr>
          <w:gridAfter w:val="1"/>
          <w:wAfter w:w="39" w:type="dxa"/>
          <w:trHeight w:val="283"/>
          <w:jc w:val="center"/>
        </w:trPr>
        <w:tc>
          <w:tcPr>
            <w:tcW w:w="2324" w:type="dxa"/>
            <w:vAlign w:val="bottom"/>
          </w:tcPr>
          <w:p w14:paraId="522CE892"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2016, 2017</w:t>
            </w:r>
          </w:p>
        </w:tc>
        <w:tc>
          <w:tcPr>
            <w:tcW w:w="660" w:type="dxa"/>
          </w:tcPr>
          <w:p w14:paraId="1FE31576" w14:textId="77777777" w:rsidR="0074459B" w:rsidRPr="00C42101" w:rsidRDefault="0074459B" w:rsidP="0074459B">
            <w:pPr>
              <w:spacing w:line="240" w:lineRule="auto"/>
              <w:contextualSpacing/>
              <w:jc w:val="center"/>
              <w:rPr>
                <w:sz w:val="20"/>
              </w:rPr>
            </w:pPr>
          </w:p>
        </w:tc>
        <w:tc>
          <w:tcPr>
            <w:tcW w:w="1225" w:type="dxa"/>
          </w:tcPr>
          <w:p w14:paraId="65BB2356" w14:textId="539B9BB2" w:rsidR="0074459B" w:rsidRPr="00C42101" w:rsidRDefault="0074459B" w:rsidP="0074459B">
            <w:pPr>
              <w:spacing w:line="240" w:lineRule="auto"/>
              <w:contextualSpacing/>
              <w:jc w:val="center"/>
              <w:rPr>
                <w:b/>
                <w:noProof/>
                <w:sz w:val="20"/>
                <w:lang w:eastAsia="en-AU"/>
              </w:rPr>
            </w:pPr>
            <w:r w:rsidRPr="001A3D7A">
              <w:t>1.680</w:t>
            </w:r>
          </w:p>
        </w:tc>
        <w:tc>
          <w:tcPr>
            <w:tcW w:w="2130" w:type="dxa"/>
            <w:gridSpan w:val="2"/>
          </w:tcPr>
          <w:p w14:paraId="5747816B" w14:textId="01C7C9DE" w:rsidR="0074459B" w:rsidRPr="00C42101" w:rsidRDefault="0074459B" w:rsidP="0074459B">
            <w:pPr>
              <w:spacing w:line="240" w:lineRule="auto"/>
              <w:contextualSpacing/>
              <w:jc w:val="center"/>
              <w:rPr>
                <w:b/>
                <w:bCs/>
                <w:noProof/>
                <w:sz w:val="20"/>
                <w:lang w:eastAsia="en-AU"/>
              </w:rPr>
            </w:pPr>
            <w:r w:rsidRPr="001A3D7A">
              <w:t>0.139</w:t>
            </w:r>
          </w:p>
        </w:tc>
      </w:tr>
      <w:tr w:rsidR="0074459B" w:rsidRPr="00C42101" w14:paraId="1808418E" w14:textId="77777777" w:rsidTr="00C40B3C">
        <w:trPr>
          <w:gridAfter w:val="1"/>
          <w:wAfter w:w="39" w:type="dxa"/>
          <w:trHeight w:val="283"/>
          <w:jc w:val="center"/>
        </w:trPr>
        <w:tc>
          <w:tcPr>
            <w:tcW w:w="2324" w:type="dxa"/>
            <w:vAlign w:val="bottom"/>
          </w:tcPr>
          <w:p w14:paraId="43E8F8AD" w14:textId="013ABA86" w:rsidR="0074459B" w:rsidRPr="00C42101" w:rsidRDefault="0074459B" w:rsidP="0074459B">
            <w:pPr>
              <w:spacing w:line="240" w:lineRule="auto"/>
              <w:contextualSpacing/>
              <w:jc w:val="center"/>
              <w:rPr>
                <w:rFonts w:cs="Calibri"/>
                <w:sz w:val="20"/>
              </w:rPr>
            </w:pPr>
            <w:r w:rsidRPr="00C42101">
              <w:rPr>
                <w:rFonts w:cs="Calibri"/>
                <w:sz w:val="20"/>
              </w:rPr>
              <w:t>2016, 2018</w:t>
            </w:r>
          </w:p>
        </w:tc>
        <w:tc>
          <w:tcPr>
            <w:tcW w:w="660" w:type="dxa"/>
          </w:tcPr>
          <w:p w14:paraId="5B98D193" w14:textId="77777777" w:rsidR="0074459B" w:rsidRPr="00C42101" w:rsidRDefault="0074459B" w:rsidP="0074459B">
            <w:pPr>
              <w:spacing w:line="240" w:lineRule="auto"/>
              <w:contextualSpacing/>
              <w:jc w:val="center"/>
              <w:rPr>
                <w:sz w:val="20"/>
              </w:rPr>
            </w:pPr>
          </w:p>
        </w:tc>
        <w:tc>
          <w:tcPr>
            <w:tcW w:w="1225" w:type="dxa"/>
          </w:tcPr>
          <w:p w14:paraId="10ACCE3F" w14:textId="29638B79" w:rsidR="0074459B" w:rsidRPr="00C42101" w:rsidRDefault="0074459B" w:rsidP="0074459B">
            <w:pPr>
              <w:spacing w:line="240" w:lineRule="auto"/>
              <w:contextualSpacing/>
              <w:jc w:val="center"/>
              <w:rPr>
                <w:b/>
                <w:noProof/>
                <w:sz w:val="20"/>
                <w:lang w:eastAsia="en-AU"/>
              </w:rPr>
            </w:pPr>
            <w:r w:rsidRPr="001A3D7A">
              <w:t>0.127</w:t>
            </w:r>
          </w:p>
        </w:tc>
        <w:tc>
          <w:tcPr>
            <w:tcW w:w="2130" w:type="dxa"/>
            <w:gridSpan w:val="2"/>
          </w:tcPr>
          <w:p w14:paraId="5070F232" w14:textId="3FCC1D69" w:rsidR="0074459B" w:rsidRPr="00C42101" w:rsidRDefault="0074459B" w:rsidP="0074459B">
            <w:pPr>
              <w:spacing w:line="240" w:lineRule="auto"/>
              <w:contextualSpacing/>
              <w:jc w:val="center"/>
              <w:rPr>
                <w:b/>
                <w:bCs/>
                <w:noProof/>
                <w:sz w:val="20"/>
                <w:lang w:eastAsia="en-AU"/>
              </w:rPr>
            </w:pPr>
            <w:r w:rsidRPr="001A3D7A">
              <w:t>0.777</w:t>
            </w:r>
          </w:p>
        </w:tc>
      </w:tr>
      <w:tr w:rsidR="0074459B" w:rsidRPr="00C42101" w14:paraId="62C159FE" w14:textId="77777777" w:rsidTr="00C40B3C">
        <w:trPr>
          <w:gridAfter w:val="1"/>
          <w:wAfter w:w="39" w:type="dxa"/>
          <w:trHeight w:val="283"/>
          <w:jc w:val="center"/>
        </w:trPr>
        <w:tc>
          <w:tcPr>
            <w:tcW w:w="2324" w:type="dxa"/>
            <w:vAlign w:val="bottom"/>
          </w:tcPr>
          <w:p w14:paraId="4F42D2E6"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2016, 2019</w:t>
            </w:r>
          </w:p>
        </w:tc>
        <w:tc>
          <w:tcPr>
            <w:tcW w:w="660" w:type="dxa"/>
          </w:tcPr>
          <w:p w14:paraId="51A1AC2D" w14:textId="77777777" w:rsidR="0074459B" w:rsidRPr="00C42101" w:rsidRDefault="0074459B" w:rsidP="0074459B">
            <w:pPr>
              <w:spacing w:line="240" w:lineRule="auto"/>
              <w:contextualSpacing/>
              <w:jc w:val="center"/>
              <w:rPr>
                <w:sz w:val="20"/>
              </w:rPr>
            </w:pPr>
          </w:p>
        </w:tc>
        <w:tc>
          <w:tcPr>
            <w:tcW w:w="1225" w:type="dxa"/>
          </w:tcPr>
          <w:p w14:paraId="42572665" w14:textId="2041657F" w:rsidR="0074459B" w:rsidRPr="00C42101" w:rsidRDefault="0074459B" w:rsidP="0074459B">
            <w:pPr>
              <w:spacing w:line="240" w:lineRule="auto"/>
              <w:contextualSpacing/>
              <w:jc w:val="center"/>
              <w:rPr>
                <w:b/>
                <w:noProof/>
                <w:sz w:val="20"/>
                <w:lang w:eastAsia="en-AU"/>
              </w:rPr>
            </w:pPr>
            <w:r w:rsidRPr="001A3D7A">
              <w:t>1.235</w:t>
            </w:r>
          </w:p>
        </w:tc>
        <w:tc>
          <w:tcPr>
            <w:tcW w:w="2130" w:type="dxa"/>
            <w:gridSpan w:val="2"/>
          </w:tcPr>
          <w:p w14:paraId="2468C7AF" w14:textId="21005897" w:rsidR="0074459B" w:rsidRPr="00C42101" w:rsidRDefault="0074459B" w:rsidP="0074459B">
            <w:pPr>
              <w:spacing w:line="240" w:lineRule="auto"/>
              <w:contextualSpacing/>
              <w:jc w:val="center"/>
              <w:rPr>
                <w:noProof/>
                <w:sz w:val="20"/>
                <w:lang w:eastAsia="en-AU"/>
              </w:rPr>
            </w:pPr>
            <w:r w:rsidRPr="001A3D7A">
              <w:t>0.183</w:t>
            </w:r>
          </w:p>
        </w:tc>
      </w:tr>
      <w:tr w:rsidR="0074459B" w:rsidRPr="00C42101" w14:paraId="3230C9A9" w14:textId="77777777" w:rsidTr="00C40B3C">
        <w:trPr>
          <w:gridAfter w:val="1"/>
          <w:wAfter w:w="39" w:type="dxa"/>
          <w:trHeight w:val="283"/>
          <w:jc w:val="center"/>
        </w:trPr>
        <w:tc>
          <w:tcPr>
            <w:tcW w:w="2324" w:type="dxa"/>
            <w:vAlign w:val="bottom"/>
          </w:tcPr>
          <w:p w14:paraId="2EA641D0"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2016, 2020</w:t>
            </w:r>
          </w:p>
        </w:tc>
        <w:tc>
          <w:tcPr>
            <w:tcW w:w="660" w:type="dxa"/>
          </w:tcPr>
          <w:p w14:paraId="3B37888D" w14:textId="77777777" w:rsidR="0074459B" w:rsidRPr="00C42101" w:rsidRDefault="0074459B" w:rsidP="0074459B">
            <w:pPr>
              <w:spacing w:line="240" w:lineRule="auto"/>
              <w:contextualSpacing/>
              <w:jc w:val="center"/>
              <w:rPr>
                <w:sz w:val="20"/>
              </w:rPr>
            </w:pPr>
          </w:p>
        </w:tc>
        <w:tc>
          <w:tcPr>
            <w:tcW w:w="1225" w:type="dxa"/>
          </w:tcPr>
          <w:p w14:paraId="5C7E67B5" w14:textId="08DA9C96" w:rsidR="0074459B" w:rsidRPr="00C42101" w:rsidRDefault="0074459B" w:rsidP="0074459B">
            <w:pPr>
              <w:spacing w:line="240" w:lineRule="auto"/>
              <w:contextualSpacing/>
              <w:jc w:val="center"/>
              <w:rPr>
                <w:b/>
                <w:noProof/>
                <w:sz w:val="20"/>
                <w:lang w:eastAsia="en-AU"/>
              </w:rPr>
            </w:pPr>
            <w:r w:rsidRPr="001A3D7A">
              <w:t>1.266</w:t>
            </w:r>
          </w:p>
        </w:tc>
        <w:tc>
          <w:tcPr>
            <w:tcW w:w="2130" w:type="dxa"/>
            <w:gridSpan w:val="2"/>
          </w:tcPr>
          <w:p w14:paraId="785D6677" w14:textId="6EB0F728" w:rsidR="0074459B" w:rsidRPr="00C42101" w:rsidRDefault="0074459B" w:rsidP="0074459B">
            <w:pPr>
              <w:spacing w:line="240" w:lineRule="auto"/>
              <w:contextualSpacing/>
              <w:jc w:val="center"/>
              <w:rPr>
                <w:noProof/>
                <w:sz w:val="20"/>
                <w:lang w:eastAsia="en-AU"/>
              </w:rPr>
            </w:pPr>
            <w:r w:rsidRPr="001A3D7A">
              <w:t>0.203</w:t>
            </w:r>
          </w:p>
        </w:tc>
      </w:tr>
      <w:tr w:rsidR="0074459B" w:rsidRPr="00C42101" w14:paraId="253C4373" w14:textId="77777777" w:rsidTr="00C40B3C">
        <w:trPr>
          <w:gridAfter w:val="1"/>
          <w:wAfter w:w="39" w:type="dxa"/>
          <w:trHeight w:val="283"/>
          <w:jc w:val="center"/>
        </w:trPr>
        <w:tc>
          <w:tcPr>
            <w:tcW w:w="2324" w:type="dxa"/>
            <w:vAlign w:val="bottom"/>
          </w:tcPr>
          <w:p w14:paraId="1C9C2AFF" w14:textId="7CDA331A" w:rsidR="0074459B" w:rsidRPr="00C42101" w:rsidRDefault="0074459B" w:rsidP="0074459B">
            <w:pPr>
              <w:spacing w:line="240" w:lineRule="auto"/>
              <w:contextualSpacing/>
              <w:jc w:val="center"/>
              <w:rPr>
                <w:rFonts w:cs="Calibri"/>
                <w:sz w:val="20"/>
              </w:rPr>
            </w:pPr>
            <w:r w:rsidRPr="00C42101">
              <w:rPr>
                <w:rFonts w:cs="Calibri"/>
                <w:sz w:val="20"/>
              </w:rPr>
              <w:t>2016, 2021</w:t>
            </w:r>
          </w:p>
        </w:tc>
        <w:tc>
          <w:tcPr>
            <w:tcW w:w="660" w:type="dxa"/>
          </w:tcPr>
          <w:p w14:paraId="2E2A3927" w14:textId="77777777" w:rsidR="0074459B" w:rsidRPr="00C42101" w:rsidRDefault="0074459B" w:rsidP="0074459B">
            <w:pPr>
              <w:spacing w:line="240" w:lineRule="auto"/>
              <w:contextualSpacing/>
              <w:jc w:val="center"/>
              <w:rPr>
                <w:sz w:val="20"/>
              </w:rPr>
            </w:pPr>
          </w:p>
        </w:tc>
        <w:tc>
          <w:tcPr>
            <w:tcW w:w="1225" w:type="dxa"/>
          </w:tcPr>
          <w:p w14:paraId="24DF4FB5" w14:textId="197245AB" w:rsidR="0074459B" w:rsidRPr="00C42101" w:rsidRDefault="0074459B" w:rsidP="0074459B">
            <w:pPr>
              <w:spacing w:line="240" w:lineRule="auto"/>
              <w:contextualSpacing/>
              <w:jc w:val="center"/>
              <w:rPr>
                <w:b/>
                <w:noProof/>
                <w:sz w:val="20"/>
                <w:lang w:eastAsia="en-AU"/>
              </w:rPr>
            </w:pPr>
            <w:r w:rsidRPr="001A3D7A">
              <w:t>0.665</w:t>
            </w:r>
          </w:p>
        </w:tc>
        <w:tc>
          <w:tcPr>
            <w:tcW w:w="2130" w:type="dxa"/>
            <w:gridSpan w:val="2"/>
          </w:tcPr>
          <w:p w14:paraId="2601919F" w14:textId="7EB708F6" w:rsidR="0074459B" w:rsidRPr="00C42101" w:rsidRDefault="0074459B" w:rsidP="0074459B">
            <w:pPr>
              <w:spacing w:line="240" w:lineRule="auto"/>
              <w:contextualSpacing/>
              <w:jc w:val="center"/>
              <w:rPr>
                <w:noProof/>
                <w:sz w:val="20"/>
                <w:lang w:eastAsia="en-AU"/>
              </w:rPr>
            </w:pPr>
            <w:r w:rsidRPr="001A3D7A">
              <w:t>0.415</w:t>
            </w:r>
          </w:p>
        </w:tc>
      </w:tr>
      <w:tr w:rsidR="0074459B" w:rsidRPr="00C42101" w14:paraId="3C053763" w14:textId="77777777" w:rsidTr="00C40B3C">
        <w:trPr>
          <w:gridAfter w:val="1"/>
          <w:wAfter w:w="39" w:type="dxa"/>
          <w:trHeight w:val="283"/>
          <w:jc w:val="center"/>
        </w:trPr>
        <w:tc>
          <w:tcPr>
            <w:tcW w:w="2324" w:type="dxa"/>
            <w:vAlign w:val="bottom"/>
          </w:tcPr>
          <w:p w14:paraId="3F803580" w14:textId="2FDC6193" w:rsidR="0074459B" w:rsidRPr="00C42101" w:rsidRDefault="0074459B" w:rsidP="0074459B">
            <w:pPr>
              <w:spacing w:line="240" w:lineRule="auto"/>
              <w:contextualSpacing/>
              <w:jc w:val="center"/>
              <w:rPr>
                <w:rFonts w:cs="Calibri"/>
                <w:sz w:val="20"/>
              </w:rPr>
            </w:pPr>
            <w:r w:rsidRPr="00C42101">
              <w:rPr>
                <w:rFonts w:cs="Calibri"/>
                <w:sz w:val="20"/>
              </w:rPr>
              <w:t>2017, 2018</w:t>
            </w:r>
          </w:p>
        </w:tc>
        <w:tc>
          <w:tcPr>
            <w:tcW w:w="660" w:type="dxa"/>
          </w:tcPr>
          <w:p w14:paraId="34915122" w14:textId="77777777" w:rsidR="0074459B" w:rsidRPr="00C42101" w:rsidRDefault="0074459B" w:rsidP="0074459B">
            <w:pPr>
              <w:spacing w:line="240" w:lineRule="auto"/>
              <w:contextualSpacing/>
              <w:jc w:val="center"/>
              <w:rPr>
                <w:sz w:val="20"/>
              </w:rPr>
            </w:pPr>
          </w:p>
        </w:tc>
        <w:tc>
          <w:tcPr>
            <w:tcW w:w="1225" w:type="dxa"/>
          </w:tcPr>
          <w:p w14:paraId="45E252D4" w14:textId="78DF2CE4" w:rsidR="0074459B" w:rsidRPr="00C42101" w:rsidRDefault="0074459B" w:rsidP="0074459B">
            <w:pPr>
              <w:spacing w:line="240" w:lineRule="auto"/>
              <w:contextualSpacing/>
              <w:jc w:val="center"/>
              <w:rPr>
                <w:b/>
                <w:noProof/>
                <w:sz w:val="20"/>
                <w:lang w:eastAsia="en-AU"/>
              </w:rPr>
            </w:pPr>
            <w:r w:rsidRPr="001A3D7A">
              <w:t>1.654</w:t>
            </w:r>
          </w:p>
        </w:tc>
        <w:tc>
          <w:tcPr>
            <w:tcW w:w="2130" w:type="dxa"/>
            <w:gridSpan w:val="2"/>
          </w:tcPr>
          <w:p w14:paraId="169061D0" w14:textId="7811E934" w:rsidR="0074459B" w:rsidRPr="00C42101" w:rsidRDefault="0074459B" w:rsidP="0074459B">
            <w:pPr>
              <w:spacing w:line="240" w:lineRule="auto"/>
              <w:contextualSpacing/>
              <w:jc w:val="center"/>
              <w:rPr>
                <w:noProof/>
                <w:sz w:val="20"/>
                <w:lang w:eastAsia="en-AU"/>
              </w:rPr>
            </w:pPr>
            <w:r w:rsidRPr="001A3D7A">
              <w:t>0.149</w:t>
            </w:r>
          </w:p>
        </w:tc>
      </w:tr>
      <w:tr w:rsidR="0074459B" w:rsidRPr="00C42101" w14:paraId="3D4D0D53" w14:textId="77777777" w:rsidTr="00C40B3C">
        <w:trPr>
          <w:gridAfter w:val="1"/>
          <w:wAfter w:w="39" w:type="dxa"/>
          <w:trHeight w:val="283"/>
          <w:jc w:val="center"/>
        </w:trPr>
        <w:tc>
          <w:tcPr>
            <w:tcW w:w="2324" w:type="dxa"/>
            <w:vAlign w:val="bottom"/>
          </w:tcPr>
          <w:p w14:paraId="14B51790"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2017, 2019</w:t>
            </w:r>
          </w:p>
        </w:tc>
        <w:tc>
          <w:tcPr>
            <w:tcW w:w="660" w:type="dxa"/>
          </w:tcPr>
          <w:p w14:paraId="0255A783" w14:textId="77777777" w:rsidR="0074459B" w:rsidRPr="00C42101" w:rsidRDefault="0074459B" w:rsidP="0074459B">
            <w:pPr>
              <w:spacing w:line="240" w:lineRule="auto"/>
              <w:contextualSpacing/>
              <w:jc w:val="center"/>
              <w:rPr>
                <w:sz w:val="20"/>
              </w:rPr>
            </w:pPr>
          </w:p>
        </w:tc>
        <w:tc>
          <w:tcPr>
            <w:tcW w:w="1225" w:type="dxa"/>
          </w:tcPr>
          <w:p w14:paraId="2B0808E9" w14:textId="5B095ABE" w:rsidR="0074459B" w:rsidRPr="00C42101" w:rsidRDefault="0074459B" w:rsidP="0074459B">
            <w:pPr>
              <w:spacing w:line="240" w:lineRule="auto"/>
              <w:contextualSpacing/>
              <w:jc w:val="center"/>
              <w:rPr>
                <w:b/>
                <w:noProof/>
                <w:sz w:val="20"/>
                <w:lang w:eastAsia="en-AU"/>
              </w:rPr>
            </w:pPr>
            <w:r w:rsidRPr="001A3D7A">
              <w:t>3.168</w:t>
            </w:r>
          </w:p>
        </w:tc>
        <w:tc>
          <w:tcPr>
            <w:tcW w:w="2130" w:type="dxa"/>
            <w:gridSpan w:val="2"/>
          </w:tcPr>
          <w:p w14:paraId="6E4A8E96" w14:textId="23B8FD5D" w:rsidR="0074459B" w:rsidRPr="0074459B" w:rsidRDefault="0074459B" w:rsidP="0074459B">
            <w:pPr>
              <w:spacing w:line="240" w:lineRule="auto"/>
              <w:contextualSpacing/>
              <w:jc w:val="center"/>
              <w:rPr>
                <w:b/>
                <w:bCs/>
                <w:noProof/>
                <w:sz w:val="20"/>
                <w:lang w:eastAsia="en-AU"/>
              </w:rPr>
            </w:pPr>
            <w:r w:rsidRPr="0074459B">
              <w:rPr>
                <w:b/>
                <w:bCs/>
              </w:rPr>
              <w:t>0.011</w:t>
            </w:r>
          </w:p>
        </w:tc>
      </w:tr>
      <w:tr w:rsidR="0074459B" w:rsidRPr="00C42101" w14:paraId="143B0DBF" w14:textId="77777777" w:rsidTr="00C40B3C">
        <w:trPr>
          <w:gridAfter w:val="1"/>
          <w:wAfter w:w="39" w:type="dxa"/>
          <w:trHeight w:val="283"/>
          <w:jc w:val="center"/>
        </w:trPr>
        <w:tc>
          <w:tcPr>
            <w:tcW w:w="2324" w:type="dxa"/>
            <w:vAlign w:val="bottom"/>
          </w:tcPr>
          <w:p w14:paraId="5004F44E"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2017, 2020</w:t>
            </w:r>
          </w:p>
        </w:tc>
        <w:tc>
          <w:tcPr>
            <w:tcW w:w="660" w:type="dxa"/>
          </w:tcPr>
          <w:p w14:paraId="691D354A" w14:textId="77777777" w:rsidR="0074459B" w:rsidRPr="00C42101" w:rsidRDefault="0074459B" w:rsidP="0074459B">
            <w:pPr>
              <w:spacing w:line="240" w:lineRule="auto"/>
              <w:contextualSpacing/>
              <w:jc w:val="center"/>
              <w:rPr>
                <w:sz w:val="20"/>
              </w:rPr>
            </w:pPr>
          </w:p>
        </w:tc>
        <w:tc>
          <w:tcPr>
            <w:tcW w:w="1225" w:type="dxa"/>
          </w:tcPr>
          <w:p w14:paraId="209259BC" w14:textId="4CEBF642" w:rsidR="0074459B" w:rsidRPr="00C42101" w:rsidRDefault="0074459B" w:rsidP="0074459B">
            <w:pPr>
              <w:spacing w:line="240" w:lineRule="auto"/>
              <w:contextualSpacing/>
              <w:jc w:val="center"/>
              <w:rPr>
                <w:b/>
                <w:noProof/>
                <w:sz w:val="20"/>
                <w:lang w:eastAsia="en-AU"/>
              </w:rPr>
            </w:pPr>
            <w:r w:rsidRPr="001A3D7A">
              <w:t>2.741</w:t>
            </w:r>
          </w:p>
        </w:tc>
        <w:tc>
          <w:tcPr>
            <w:tcW w:w="2130" w:type="dxa"/>
            <w:gridSpan w:val="2"/>
          </w:tcPr>
          <w:p w14:paraId="298952D2" w14:textId="761715D4" w:rsidR="0074459B" w:rsidRPr="0074459B" w:rsidRDefault="0074459B" w:rsidP="0074459B">
            <w:pPr>
              <w:spacing w:line="240" w:lineRule="auto"/>
              <w:contextualSpacing/>
              <w:jc w:val="center"/>
              <w:rPr>
                <w:b/>
                <w:bCs/>
                <w:noProof/>
                <w:sz w:val="20"/>
                <w:lang w:eastAsia="en-AU"/>
              </w:rPr>
            </w:pPr>
            <w:r w:rsidRPr="0074459B">
              <w:rPr>
                <w:b/>
                <w:bCs/>
              </w:rPr>
              <w:t>0.017</w:t>
            </w:r>
          </w:p>
        </w:tc>
      </w:tr>
      <w:tr w:rsidR="0074459B" w:rsidRPr="00C42101" w14:paraId="36B32578" w14:textId="77777777" w:rsidTr="00C40B3C">
        <w:trPr>
          <w:gridAfter w:val="1"/>
          <w:wAfter w:w="39" w:type="dxa"/>
          <w:trHeight w:val="283"/>
          <w:jc w:val="center"/>
        </w:trPr>
        <w:tc>
          <w:tcPr>
            <w:tcW w:w="2324" w:type="dxa"/>
            <w:vAlign w:val="bottom"/>
          </w:tcPr>
          <w:p w14:paraId="6C1C085A" w14:textId="24DF3A91" w:rsidR="0074459B" w:rsidRPr="00C42101" w:rsidRDefault="0074459B" w:rsidP="0074459B">
            <w:pPr>
              <w:spacing w:line="240" w:lineRule="auto"/>
              <w:contextualSpacing/>
              <w:jc w:val="center"/>
              <w:rPr>
                <w:rFonts w:cs="Calibri"/>
                <w:sz w:val="20"/>
              </w:rPr>
            </w:pPr>
            <w:r w:rsidRPr="00C42101">
              <w:rPr>
                <w:rFonts w:cs="Calibri"/>
                <w:sz w:val="20"/>
              </w:rPr>
              <w:t>2017, 2021</w:t>
            </w:r>
          </w:p>
        </w:tc>
        <w:tc>
          <w:tcPr>
            <w:tcW w:w="660" w:type="dxa"/>
          </w:tcPr>
          <w:p w14:paraId="0A7961C1" w14:textId="77777777" w:rsidR="0074459B" w:rsidRPr="00C42101" w:rsidRDefault="0074459B" w:rsidP="0074459B">
            <w:pPr>
              <w:spacing w:line="240" w:lineRule="auto"/>
              <w:contextualSpacing/>
              <w:jc w:val="center"/>
              <w:rPr>
                <w:sz w:val="20"/>
              </w:rPr>
            </w:pPr>
          </w:p>
        </w:tc>
        <w:tc>
          <w:tcPr>
            <w:tcW w:w="1225" w:type="dxa"/>
          </w:tcPr>
          <w:p w14:paraId="6DA7E2BB" w14:textId="0B57399E" w:rsidR="0074459B" w:rsidRPr="00C42101" w:rsidRDefault="0074459B" w:rsidP="0074459B">
            <w:pPr>
              <w:spacing w:line="240" w:lineRule="auto"/>
              <w:contextualSpacing/>
              <w:jc w:val="center"/>
              <w:rPr>
                <w:b/>
                <w:noProof/>
                <w:sz w:val="20"/>
                <w:lang w:eastAsia="en-AU"/>
              </w:rPr>
            </w:pPr>
            <w:r w:rsidRPr="001A3D7A">
              <w:t>1.056</w:t>
            </w:r>
          </w:p>
        </w:tc>
        <w:tc>
          <w:tcPr>
            <w:tcW w:w="2130" w:type="dxa"/>
            <w:gridSpan w:val="2"/>
          </w:tcPr>
          <w:p w14:paraId="5CB213EC" w14:textId="30CE88B4" w:rsidR="0074459B" w:rsidRPr="00C42101" w:rsidRDefault="0074459B" w:rsidP="0074459B">
            <w:pPr>
              <w:spacing w:line="240" w:lineRule="auto"/>
              <w:contextualSpacing/>
              <w:jc w:val="center"/>
              <w:rPr>
                <w:b/>
                <w:bCs/>
                <w:noProof/>
                <w:sz w:val="20"/>
                <w:lang w:eastAsia="en-AU"/>
              </w:rPr>
            </w:pPr>
            <w:r w:rsidRPr="001A3D7A">
              <w:t>0.345</w:t>
            </w:r>
          </w:p>
        </w:tc>
      </w:tr>
      <w:tr w:rsidR="0074459B" w:rsidRPr="00C42101" w14:paraId="4A170962" w14:textId="77777777" w:rsidTr="00C40B3C">
        <w:trPr>
          <w:gridAfter w:val="1"/>
          <w:wAfter w:w="39" w:type="dxa"/>
          <w:trHeight w:val="283"/>
          <w:jc w:val="center"/>
        </w:trPr>
        <w:tc>
          <w:tcPr>
            <w:tcW w:w="2324" w:type="dxa"/>
            <w:vAlign w:val="bottom"/>
          </w:tcPr>
          <w:p w14:paraId="49CC7029" w14:textId="3D3CBD1E" w:rsidR="0074459B" w:rsidRPr="00C42101" w:rsidRDefault="0074459B" w:rsidP="0074459B">
            <w:pPr>
              <w:spacing w:line="240" w:lineRule="auto"/>
              <w:contextualSpacing/>
              <w:jc w:val="center"/>
              <w:rPr>
                <w:rFonts w:cs="Calibri"/>
                <w:sz w:val="20"/>
              </w:rPr>
            </w:pPr>
            <w:r w:rsidRPr="00C42101">
              <w:rPr>
                <w:rFonts w:cs="Calibri"/>
                <w:sz w:val="20"/>
              </w:rPr>
              <w:t>2018, 2019</w:t>
            </w:r>
          </w:p>
        </w:tc>
        <w:tc>
          <w:tcPr>
            <w:tcW w:w="660" w:type="dxa"/>
          </w:tcPr>
          <w:p w14:paraId="42F7C1FE" w14:textId="77777777" w:rsidR="0074459B" w:rsidRPr="00C42101" w:rsidRDefault="0074459B" w:rsidP="0074459B">
            <w:pPr>
              <w:spacing w:line="240" w:lineRule="auto"/>
              <w:contextualSpacing/>
              <w:jc w:val="center"/>
              <w:rPr>
                <w:sz w:val="20"/>
              </w:rPr>
            </w:pPr>
          </w:p>
        </w:tc>
        <w:tc>
          <w:tcPr>
            <w:tcW w:w="1225" w:type="dxa"/>
          </w:tcPr>
          <w:p w14:paraId="35D9F2BC" w14:textId="259B61AD" w:rsidR="0074459B" w:rsidRPr="00C42101" w:rsidRDefault="0074459B" w:rsidP="0074459B">
            <w:pPr>
              <w:spacing w:line="240" w:lineRule="auto"/>
              <w:contextualSpacing/>
              <w:jc w:val="center"/>
              <w:rPr>
                <w:b/>
                <w:noProof/>
                <w:sz w:val="20"/>
                <w:lang w:eastAsia="en-AU"/>
              </w:rPr>
            </w:pPr>
            <w:r w:rsidRPr="001A3D7A">
              <w:t>1.467</w:t>
            </w:r>
          </w:p>
        </w:tc>
        <w:tc>
          <w:tcPr>
            <w:tcW w:w="2130" w:type="dxa"/>
            <w:gridSpan w:val="2"/>
          </w:tcPr>
          <w:p w14:paraId="0541D863" w14:textId="55E14CBF" w:rsidR="0074459B" w:rsidRPr="00C42101" w:rsidRDefault="0074459B" w:rsidP="0074459B">
            <w:pPr>
              <w:spacing w:line="240" w:lineRule="auto"/>
              <w:contextualSpacing/>
              <w:jc w:val="center"/>
              <w:rPr>
                <w:b/>
                <w:bCs/>
                <w:noProof/>
                <w:sz w:val="20"/>
                <w:lang w:eastAsia="en-AU"/>
              </w:rPr>
            </w:pPr>
            <w:r w:rsidRPr="001A3D7A">
              <w:t>0.145</w:t>
            </w:r>
          </w:p>
        </w:tc>
      </w:tr>
      <w:tr w:rsidR="0074459B" w:rsidRPr="00C42101" w14:paraId="20F95129" w14:textId="77777777" w:rsidTr="00C40B3C">
        <w:trPr>
          <w:gridAfter w:val="1"/>
          <w:wAfter w:w="39" w:type="dxa"/>
          <w:trHeight w:val="283"/>
          <w:jc w:val="center"/>
        </w:trPr>
        <w:tc>
          <w:tcPr>
            <w:tcW w:w="2324" w:type="dxa"/>
            <w:vAlign w:val="bottom"/>
          </w:tcPr>
          <w:p w14:paraId="7F643E6D" w14:textId="3B0060CA" w:rsidR="0074459B" w:rsidRPr="00C42101" w:rsidRDefault="0074459B" w:rsidP="0074459B">
            <w:pPr>
              <w:spacing w:line="240" w:lineRule="auto"/>
              <w:contextualSpacing/>
              <w:jc w:val="center"/>
              <w:rPr>
                <w:rFonts w:cs="Calibri"/>
                <w:sz w:val="20"/>
              </w:rPr>
            </w:pPr>
            <w:r w:rsidRPr="00C42101">
              <w:rPr>
                <w:rFonts w:cs="Calibri"/>
                <w:sz w:val="20"/>
              </w:rPr>
              <w:t>2018, 2020</w:t>
            </w:r>
          </w:p>
        </w:tc>
        <w:tc>
          <w:tcPr>
            <w:tcW w:w="660" w:type="dxa"/>
          </w:tcPr>
          <w:p w14:paraId="43BBCD44" w14:textId="77777777" w:rsidR="0074459B" w:rsidRPr="00C42101" w:rsidRDefault="0074459B" w:rsidP="0074459B">
            <w:pPr>
              <w:spacing w:line="240" w:lineRule="auto"/>
              <w:contextualSpacing/>
              <w:jc w:val="center"/>
              <w:rPr>
                <w:sz w:val="20"/>
              </w:rPr>
            </w:pPr>
          </w:p>
        </w:tc>
        <w:tc>
          <w:tcPr>
            <w:tcW w:w="1225" w:type="dxa"/>
          </w:tcPr>
          <w:p w14:paraId="16BE7250" w14:textId="1A8FC78D" w:rsidR="0074459B" w:rsidRPr="00C42101" w:rsidRDefault="0074459B" w:rsidP="0074459B">
            <w:pPr>
              <w:spacing w:line="240" w:lineRule="auto"/>
              <w:contextualSpacing/>
              <w:jc w:val="center"/>
              <w:rPr>
                <w:b/>
                <w:noProof/>
                <w:sz w:val="20"/>
                <w:lang w:eastAsia="en-AU"/>
              </w:rPr>
            </w:pPr>
            <w:r w:rsidRPr="001A3D7A">
              <w:t>1.428</w:t>
            </w:r>
          </w:p>
        </w:tc>
        <w:tc>
          <w:tcPr>
            <w:tcW w:w="2130" w:type="dxa"/>
            <w:gridSpan w:val="2"/>
          </w:tcPr>
          <w:p w14:paraId="23341AEA" w14:textId="78FF41EF" w:rsidR="0074459B" w:rsidRPr="00C42101" w:rsidRDefault="0074459B" w:rsidP="0074459B">
            <w:pPr>
              <w:spacing w:line="240" w:lineRule="auto"/>
              <w:contextualSpacing/>
              <w:jc w:val="center"/>
              <w:rPr>
                <w:b/>
                <w:bCs/>
                <w:noProof/>
                <w:sz w:val="20"/>
                <w:lang w:eastAsia="en-AU"/>
              </w:rPr>
            </w:pPr>
            <w:r w:rsidRPr="001A3D7A">
              <w:t>0.158</w:t>
            </w:r>
          </w:p>
        </w:tc>
      </w:tr>
      <w:tr w:rsidR="0074459B" w:rsidRPr="00C42101" w14:paraId="63710E8C" w14:textId="77777777" w:rsidTr="00351524">
        <w:trPr>
          <w:gridAfter w:val="1"/>
          <w:wAfter w:w="39" w:type="dxa"/>
          <w:trHeight w:val="283"/>
          <w:jc w:val="center"/>
        </w:trPr>
        <w:tc>
          <w:tcPr>
            <w:tcW w:w="2324" w:type="dxa"/>
            <w:vAlign w:val="bottom"/>
          </w:tcPr>
          <w:p w14:paraId="3AF351F3" w14:textId="14F56F29" w:rsidR="0074459B" w:rsidRPr="00C42101" w:rsidRDefault="0074459B" w:rsidP="0074459B">
            <w:pPr>
              <w:spacing w:line="240" w:lineRule="auto"/>
              <w:contextualSpacing/>
              <w:jc w:val="center"/>
              <w:rPr>
                <w:rFonts w:cs="Calibri"/>
                <w:sz w:val="20"/>
              </w:rPr>
            </w:pPr>
            <w:r w:rsidRPr="00C42101">
              <w:rPr>
                <w:rFonts w:cs="Calibri"/>
                <w:sz w:val="20"/>
              </w:rPr>
              <w:t>2018, 2021</w:t>
            </w:r>
          </w:p>
        </w:tc>
        <w:tc>
          <w:tcPr>
            <w:tcW w:w="660" w:type="dxa"/>
          </w:tcPr>
          <w:p w14:paraId="239BB025" w14:textId="77777777" w:rsidR="0074459B" w:rsidRPr="00C42101" w:rsidRDefault="0074459B" w:rsidP="0074459B">
            <w:pPr>
              <w:spacing w:line="240" w:lineRule="auto"/>
              <w:contextualSpacing/>
              <w:jc w:val="center"/>
              <w:rPr>
                <w:sz w:val="20"/>
              </w:rPr>
            </w:pPr>
          </w:p>
        </w:tc>
        <w:tc>
          <w:tcPr>
            <w:tcW w:w="1225" w:type="dxa"/>
          </w:tcPr>
          <w:p w14:paraId="26C13F41" w14:textId="2B092D61" w:rsidR="0074459B" w:rsidRPr="00C42101" w:rsidRDefault="0074459B" w:rsidP="0074459B">
            <w:pPr>
              <w:spacing w:line="240" w:lineRule="auto"/>
              <w:contextualSpacing/>
              <w:jc w:val="center"/>
              <w:rPr>
                <w:b/>
                <w:noProof/>
                <w:sz w:val="20"/>
                <w:lang w:eastAsia="en-AU"/>
              </w:rPr>
            </w:pPr>
            <w:r w:rsidRPr="001A3D7A">
              <w:t>0.575</w:t>
            </w:r>
          </w:p>
        </w:tc>
        <w:tc>
          <w:tcPr>
            <w:tcW w:w="2130" w:type="dxa"/>
            <w:gridSpan w:val="2"/>
          </w:tcPr>
          <w:p w14:paraId="5EA462D9" w14:textId="28335C2A" w:rsidR="0074459B" w:rsidRPr="00C42101" w:rsidRDefault="0074459B" w:rsidP="0074459B">
            <w:pPr>
              <w:spacing w:line="240" w:lineRule="auto"/>
              <w:contextualSpacing/>
              <w:jc w:val="center"/>
              <w:rPr>
                <w:b/>
                <w:bCs/>
                <w:noProof/>
                <w:sz w:val="20"/>
                <w:lang w:eastAsia="en-AU"/>
              </w:rPr>
            </w:pPr>
            <w:r w:rsidRPr="001A3D7A">
              <w:t>0.443</w:t>
            </w:r>
          </w:p>
        </w:tc>
      </w:tr>
      <w:tr w:rsidR="0074459B" w:rsidRPr="00C42101" w14:paraId="33790D85" w14:textId="77777777" w:rsidTr="00351524">
        <w:trPr>
          <w:gridAfter w:val="1"/>
          <w:wAfter w:w="39" w:type="dxa"/>
          <w:trHeight w:val="283"/>
          <w:jc w:val="center"/>
        </w:trPr>
        <w:tc>
          <w:tcPr>
            <w:tcW w:w="2324" w:type="dxa"/>
            <w:vAlign w:val="bottom"/>
          </w:tcPr>
          <w:p w14:paraId="388B087E" w14:textId="77777777" w:rsidR="0074459B" w:rsidRPr="00C42101" w:rsidRDefault="0074459B" w:rsidP="0074459B">
            <w:pPr>
              <w:spacing w:line="240" w:lineRule="auto"/>
              <w:contextualSpacing/>
              <w:jc w:val="center"/>
              <w:rPr>
                <w:b/>
                <w:noProof/>
                <w:sz w:val="20"/>
                <w:lang w:eastAsia="en-AU"/>
              </w:rPr>
            </w:pPr>
            <w:r w:rsidRPr="00C42101">
              <w:rPr>
                <w:rFonts w:cs="Calibri"/>
                <w:sz w:val="20"/>
              </w:rPr>
              <w:t>2019, 2020</w:t>
            </w:r>
          </w:p>
        </w:tc>
        <w:tc>
          <w:tcPr>
            <w:tcW w:w="660" w:type="dxa"/>
          </w:tcPr>
          <w:p w14:paraId="48D194C7" w14:textId="77777777" w:rsidR="0074459B" w:rsidRPr="00C42101" w:rsidRDefault="0074459B" w:rsidP="0074459B">
            <w:pPr>
              <w:spacing w:line="240" w:lineRule="auto"/>
              <w:contextualSpacing/>
              <w:jc w:val="center"/>
              <w:rPr>
                <w:sz w:val="20"/>
              </w:rPr>
            </w:pPr>
          </w:p>
        </w:tc>
        <w:tc>
          <w:tcPr>
            <w:tcW w:w="1225" w:type="dxa"/>
          </w:tcPr>
          <w:p w14:paraId="2B456951" w14:textId="63FC6935" w:rsidR="0074459B" w:rsidRPr="00C42101" w:rsidRDefault="0074459B" w:rsidP="0074459B">
            <w:pPr>
              <w:spacing w:line="240" w:lineRule="auto"/>
              <w:contextualSpacing/>
              <w:jc w:val="center"/>
              <w:rPr>
                <w:b/>
                <w:noProof/>
                <w:sz w:val="20"/>
                <w:lang w:eastAsia="en-AU"/>
              </w:rPr>
            </w:pPr>
            <w:r w:rsidRPr="001A3D7A">
              <w:t>0.324</w:t>
            </w:r>
          </w:p>
        </w:tc>
        <w:tc>
          <w:tcPr>
            <w:tcW w:w="2130" w:type="dxa"/>
            <w:gridSpan w:val="2"/>
          </w:tcPr>
          <w:p w14:paraId="20E605CB" w14:textId="39EC54F6" w:rsidR="0074459B" w:rsidRPr="00C42101" w:rsidRDefault="0074459B" w:rsidP="0074459B">
            <w:pPr>
              <w:spacing w:line="240" w:lineRule="auto"/>
              <w:contextualSpacing/>
              <w:jc w:val="center"/>
              <w:rPr>
                <w:b/>
                <w:noProof/>
                <w:sz w:val="20"/>
                <w:lang w:eastAsia="en-AU"/>
              </w:rPr>
            </w:pPr>
            <w:r w:rsidRPr="001A3D7A">
              <w:t>0.765</w:t>
            </w:r>
          </w:p>
        </w:tc>
      </w:tr>
      <w:tr w:rsidR="0074459B" w:rsidRPr="00C42101" w14:paraId="74D51B7B" w14:textId="77777777" w:rsidTr="00351524">
        <w:trPr>
          <w:gridAfter w:val="1"/>
          <w:wAfter w:w="39" w:type="dxa"/>
          <w:trHeight w:val="283"/>
          <w:jc w:val="center"/>
        </w:trPr>
        <w:tc>
          <w:tcPr>
            <w:tcW w:w="2324" w:type="dxa"/>
            <w:vAlign w:val="bottom"/>
          </w:tcPr>
          <w:p w14:paraId="5CCD6EE1" w14:textId="4E031EC7" w:rsidR="0074459B" w:rsidRPr="00C42101" w:rsidRDefault="0074459B" w:rsidP="0074459B">
            <w:pPr>
              <w:spacing w:line="240" w:lineRule="auto"/>
              <w:contextualSpacing/>
              <w:jc w:val="center"/>
              <w:rPr>
                <w:rFonts w:cs="Calibri"/>
                <w:sz w:val="20"/>
              </w:rPr>
            </w:pPr>
            <w:r w:rsidRPr="00C42101">
              <w:rPr>
                <w:rFonts w:cs="Calibri"/>
                <w:sz w:val="20"/>
              </w:rPr>
              <w:t>2019, 2021</w:t>
            </w:r>
          </w:p>
        </w:tc>
        <w:tc>
          <w:tcPr>
            <w:tcW w:w="660" w:type="dxa"/>
          </w:tcPr>
          <w:p w14:paraId="50238554" w14:textId="77777777" w:rsidR="0074459B" w:rsidRPr="00C42101" w:rsidRDefault="0074459B" w:rsidP="0074459B">
            <w:pPr>
              <w:spacing w:line="240" w:lineRule="auto"/>
              <w:contextualSpacing/>
              <w:jc w:val="center"/>
              <w:rPr>
                <w:sz w:val="20"/>
              </w:rPr>
            </w:pPr>
          </w:p>
        </w:tc>
        <w:tc>
          <w:tcPr>
            <w:tcW w:w="1225" w:type="dxa"/>
          </w:tcPr>
          <w:p w14:paraId="7DBECE50" w14:textId="7ADDD495" w:rsidR="0074459B" w:rsidRPr="00C42101" w:rsidRDefault="0074459B" w:rsidP="0074459B">
            <w:pPr>
              <w:spacing w:line="240" w:lineRule="auto"/>
              <w:contextualSpacing/>
              <w:jc w:val="center"/>
              <w:rPr>
                <w:b/>
                <w:noProof/>
                <w:sz w:val="20"/>
                <w:lang w:eastAsia="en-AU"/>
              </w:rPr>
            </w:pPr>
            <w:r w:rsidRPr="001A3D7A">
              <w:t>2.035</w:t>
            </w:r>
          </w:p>
        </w:tc>
        <w:tc>
          <w:tcPr>
            <w:tcW w:w="2130" w:type="dxa"/>
            <w:gridSpan w:val="2"/>
          </w:tcPr>
          <w:p w14:paraId="1BFDDB5C" w14:textId="1DCED55F" w:rsidR="0074459B" w:rsidRPr="00C42101" w:rsidRDefault="0074459B" w:rsidP="0074459B">
            <w:pPr>
              <w:spacing w:line="240" w:lineRule="auto"/>
              <w:contextualSpacing/>
              <w:jc w:val="center"/>
              <w:rPr>
                <w:b/>
                <w:noProof/>
                <w:sz w:val="20"/>
                <w:lang w:eastAsia="en-AU"/>
              </w:rPr>
            </w:pPr>
            <w:r w:rsidRPr="001A3D7A">
              <w:t>0.060</w:t>
            </w:r>
          </w:p>
        </w:tc>
      </w:tr>
      <w:tr w:rsidR="0074459B" w:rsidRPr="00C42101" w14:paraId="7F4FDF95" w14:textId="77777777" w:rsidTr="00351524">
        <w:trPr>
          <w:gridAfter w:val="1"/>
          <w:wAfter w:w="39" w:type="dxa"/>
          <w:trHeight w:val="283"/>
          <w:jc w:val="center"/>
        </w:trPr>
        <w:tc>
          <w:tcPr>
            <w:tcW w:w="2324" w:type="dxa"/>
            <w:tcBorders>
              <w:bottom w:val="single" w:sz="4" w:space="0" w:color="auto"/>
            </w:tcBorders>
            <w:vAlign w:val="bottom"/>
          </w:tcPr>
          <w:p w14:paraId="18C3EB55" w14:textId="1D7FCFE0" w:rsidR="0074459B" w:rsidRPr="00C42101" w:rsidRDefault="0074459B" w:rsidP="0074459B">
            <w:pPr>
              <w:spacing w:line="240" w:lineRule="auto"/>
              <w:contextualSpacing/>
              <w:jc w:val="center"/>
              <w:rPr>
                <w:rFonts w:cs="Calibri"/>
                <w:sz w:val="20"/>
              </w:rPr>
            </w:pPr>
            <w:r w:rsidRPr="00C42101">
              <w:rPr>
                <w:rFonts w:cs="Calibri"/>
                <w:sz w:val="20"/>
              </w:rPr>
              <w:t>2020, 2021</w:t>
            </w:r>
          </w:p>
        </w:tc>
        <w:tc>
          <w:tcPr>
            <w:tcW w:w="660" w:type="dxa"/>
            <w:tcBorders>
              <w:bottom w:val="single" w:sz="4" w:space="0" w:color="auto"/>
            </w:tcBorders>
          </w:tcPr>
          <w:p w14:paraId="2F27D4FA" w14:textId="77777777" w:rsidR="0074459B" w:rsidRPr="00C42101" w:rsidRDefault="0074459B" w:rsidP="0074459B">
            <w:pPr>
              <w:spacing w:line="240" w:lineRule="auto"/>
              <w:contextualSpacing/>
              <w:jc w:val="center"/>
              <w:rPr>
                <w:sz w:val="20"/>
              </w:rPr>
            </w:pPr>
          </w:p>
        </w:tc>
        <w:tc>
          <w:tcPr>
            <w:tcW w:w="1225" w:type="dxa"/>
            <w:tcBorders>
              <w:bottom w:val="single" w:sz="4" w:space="0" w:color="auto"/>
            </w:tcBorders>
          </w:tcPr>
          <w:p w14:paraId="26223E08" w14:textId="7B801008" w:rsidR="0074459B" w:rsidRPr="00C42101" w:rsidRDefault="0074459B" w:rsidP="0074459B">
            <w:pPr>
              <w:spacing w:line="240" w:lineRule="auto"/>
              <w:contextualSpacing/>
              <w:jc w:val="center"/>
              <w:rPr>
                <w:b/>
                <w:noProof/>
                <w:sz w:val="20"/>
                <w:lang w:eastAsia="en-AU"/>
              </w:rPr>
            </w:pPr>
            <w:r w:rsidRPr="001A3D7A">
              <w:t>1.871</w:t>
            </w:r>
          </w:p>
        </w:tc>
        <w:tc>
          <w:tcPr>
            <w:tcW w:w="2130" w:type="dxa"/>
            <w:gridSpan w:val="2"/>
            <w:tcBorders>
              <w:bottom w:val="single" w:sz="4" w:space="0" w:color="auto"/>
            </w:tcBorders>
          </w:tcPr>
          <w:p w14:paraId="0AB29020" w14:textId="7EC633E1" w:rsidR="0074459B" w:rsidRPr="00C42101" w:rsidRDefault="0074459B" w:rsidP="0074459B">
            <w:pPr>
              <w:spacing w:line="240" w:lineRule="auto"/>
              <w:contextualSpacing/>
              <w:jc w:val="center"/>
              <w:rPr>
                <w:b/>
                <w:noProof/>
                <w:sz w:val="20"/>
                <w:lang w:eastAsia="en-AU"/>
              </w:rPr>
            </w:pPr>
            <w:r w:rsidRPr="001A3D7A">
              <w:t>0.082</w:t>
            </w:r>
          </w:p>
        </w:tc>
      </w:tr>
    </w:tbl>
    <w:p w14:paraId="7228AA30" w14:textId="77777777" w:rsidR="009A4875" w:rsidRPr="00C42101" w:rsidRDefault="009A4875" w:rsidP="004C3BA1">
      <w:pPr>
        <w:pStyle w:val="Captions"/>
      </w:pPr>
    </w:p>
    <w:p w14:paraId="6EE3DDF6" w14:textId="77777777" w:rsidR="00656EBF" w:rsidRPr="00424090" w:rsidRDefault="00656EBF" w:rsidP="004C3BA1">
      <w:pPr>
        <w:pStyle w:val="Captions"/>
        <w:rPr>
          <w:highlight w:val="yellow"/>
        </w:rPr>
      </w:pPr>
      <w:bookmarkStart w:id="430" w:name="_Ref61350656"/>
    </w:p>
    <w:p w14:paraId="0D065011" w14:textId="77777777" w:rsidR="00656EBF" w:rsidRPr="00424090" w:rsidRDefault="00656EBF">
      <w:pPr>
        <w:spacing w:before="0" w:after="160" w:line="259" w:lineRule="auto"/>
        <w:jc w:val="left"/>
        <w:rPr>
          <w:rFonts w:eastAsia="MS Mincho" w:cs="Arial"/>
          <w:b/>
          <w:bCs/>
          <w:color w:val="auto"/>
          <w:kern w:val="0"/>
          <w:sz w:val="20"/>
          <w:highlight w:val="yellow"/>
          <w:lang w:val="en-US"/>
        </w:rPr>
      </w:pPr>
      <w:r w:rsidRPr="00424090">
        <w:rPr>
          <w:highlight w:val="yellow"/>
        </w:rPr>
        <w:br w:type="page"/>
      </w:r>
    </w:p>
    <w:p w14:paraId="1D15E542" w14:textId="07A7DAFC" w:rsidR="009A4875" w:rsidRPr="002509E9" w:rsidRDefault="009A4875" w:rsidP="004C3BA1">
      <w:pPr>
        <w:pStyle w:val="Captions"/>
        <w:rPr>
          <w:noProof/>
          <w:lang w:eastAsia="en-AU"/>
        </w:rPr>
      </w:pPr>
      <w:r w:rsidRPr="002509E9">
        <w:t>Table</w:t>
      </w:r>
      <w:bookmarkEnd w:id="429"/>
      <w:bookmarkEnd w:id="430"/>
      <w:r w:rsidRPr="002509E9">
        <w:t xml:space="preserve"> D1</w:t>
      </w:r>
      <w:r w:rsidR="00DD27F8">
        <w:t>7</w:t>
      </w:r>
      <w:r w:rsidRPr="002509E9">
        <w:rPr>
          <w:noProof/>
          <w:lang w:eastAsia="en-AU"/>
        </w:rPr>
        <w:t>. PERMANOVA main test and pairwise comparisons of Murray cod catch-per-unit-effort (CPUE) between years and weir pools for targeted electrofishing. P-values presented in bold are significant comparisons (α = 0.05).</w:t>
      </w:r>
      <w:r w:rsidR="0074459B">
        <w:rPr>
          <w:noProof/>
          <w:lang w:eastAsia="en-AU"/>
        </w:rPr>
        <w:t xml:space="preserve"> * = demoninator is zero, i.e. CPUE was nil.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4"/>
        <w:gridCol w:w="660"/>
        <w:gridCol w:w="1225"/>
        <w:gridCol w:w="2130"/>
      </w:tblGrid>
      <w:tr w:rsidR="009A4875" w:rsidRPr="004E68C9" w14:paraId="3D8E70F3" w14:textId="77777777" w:rsidTr="00C72795">
        <w:trPr>
          <w:trHeight w:val="340"/>
          <w:jc w:val="center"/>
        </w:trPr>
        <w:tc>
          <w:tcPr>
            <w:tcW w:w="2324" w:type="dxa"/>
            <w:tcBorders>
              <w:top w:val="single" w:sz="4" w:space="0" w:color="auto"/>
              <w:bottom w:val="single" w:sz="4" w:space="0" w:color="auto"/>
            </w:tcBorders>
          </w:tcPr>
          <w:p w14:paraId="6C08C527" w14:textId="77777777" w:rsidR="009A4875" w:rsidRPr="004E68C9" w:rsidRDefault="009A4875" w:rsidP="009F3C4C">
            <w:pPr>
              <w:spacing w:line="240" w:lineRule="auto"/>
              <w:contextualSpacing/>
              <w:jc w:val="left"/>
              <w:rPr>
                <w:b/>
                <w:noProof/>
                <w:sz w:val="20"/>
                <w:lang w:eastAsia="en-AU"/>
              </w:rPr>
            </w:pPr>
            <w:r w:rsidRPr="004E68C9">
              <w:rPr>
                <w:b/>
                <w:noProof/>
                <w:sz w:val="20"/>
                <w:lang w:eastAsia="en-AU"/>
              </w:rPr>
              <w:t>Factor</w:t>
            </w:r>
          </w:p>
        </w:tc>
        <w:tc>
          <w:tcPr>
            <w:tcW w:w="660" w:type="dxa"/>
            <w:tcBorders>
              <w:top w:val="single" w:sz="4" w:space="0" w:color="auto"/>
              <w:bottom w:val="single" w:sz="4" w:space="0" w:color="auto"/>
            </w:tcBorders>
          </w:tcPr>
          <w:p w14:paraId="27806181" w14:textId="77777777" w:rsidR="009A4875" w:rsidRPr="004E68C9" w:rsidRDefault="009A4875" w:rsidP="009F3C4C">
            <w:pPr>
              <w:spacing w:line="240" w:lineRule="auto"/>
              <w:contextualSpacing/>
              <w:jc w:val="center"/>
              <w:rPr>
                <w:b/>
                <w:iCs/>
                <w:noProof/>
                <w:sz w:val="20"/>
                <w:lang w:eastAsia="en-AU"/>
              </w:rPr>
            </w:pPr>
            <w:r w:rsidRPr="004E68C9">
              <w:rPr>
                <w:b/>
                <w:iCs/>
                <w:noProof/>
                <w:sz w:val="20"/>
                <w:lang w:eastAsia="en-AU"/>
              </w:rPr>
              <w:t>df</w:t>
            </w:r>
          </w:p>
        </w:tc>
        <w:tc>
          <w:tcPr>
            <w:tcW w:w="1225" w:type="dxa"/>
            <w:tcBorders>
              <w:top w:val="single" w:sz="4" w:space="0" w:color="auto"/>
              <w:bottom w:val="single" w:sz="4" w:space="0" w:color="auto"/>
            </w:tcBorders>
          </w:tcPr>
          <w:p w14:paraId="032960EB" w14:textId="77777777" w:rsidR="009A4875" w:rsidRPr="004E68C9" w:rsidRDefault="009A4875" w:rsidP="009F3C4C">
            <w:pPr>
              <w:spacing w:line="240" w:lineRule="auto"/>
              <w:contextualSpacing/>
              <w:jc w:val="center"/>
              <w:rPr>
                <w:b/>
                <w:i/>
                <w:noProof/>
                <w:sz w:val="20"/>
                <w:lang w:eastAsia="en-AU"/>
              </w:rPr>
            </w:pPr>
            <w:r w:rsidRPr="004E68C9">
              <w:rPr>
                <w:b/>
                <w:i/>
                <w:noProof/>
                <w:sz w:val="20"/>
                <w:lang w:eastAsia="en-AU"/>
              </w:rPr>
              <w:t>Pseudo-F</w:t>
            </w:r>
          </w:p>
        </w:tc>
        <w:tc>
          <w:tcPr>
            <w:tcW w:w="2130" w:type="dxa"/>
            <w:tcBorders>
              <w:top w:val="single" w:sz="4" w:space="0" w:color="auto"/>
              <w:bottom w:val="single" w:sz="4" w:space="0" w:color="auto"/>
            </w:tcBorders>
          </w:tcPr>
          <w:p w14:paraId="6577BCAF" w14:textId="77777777" w:rsidR="009A4875" w:rsidRPr="004E68C9" w:rsidRDefault="009A4875" w:rsidP="009F3C4C">
            <w:pPr>
              <w:spacing w:line="240" w:lineRule="auto"/>
              <w:contextualSpacing/>
              <w:jc w:val="center"/>
              <w:rPr>
                <w:b/>
                <w:noProof/>
                <w:sz w:val="20"/>
                <w:lang w:eastAsia="en-AU"/>
              </w:rPr>
            </w:pPr>
            <w:r w:rsidRPr="004E68C9">
              <w:rPr>
                <w:b/>
                <w:i/>
                <w:noProof/>
                <w:sz w:val="20"/>
                <w:lang w:eastAsia="en-AU"/>
              </w:rPr>
              <w:t>p</w:t>
            </w:r>
            <w:r w:rsidRPr="004E68C9">
              <w:rPr>
                <w:b/>
                <w:noProof/>
                <w:sz w:val="20"/>
                <w:lang w:eastAsia="en-AU"/>
              </w:rPr>
              <w:t xml:space="preserve"> value</w:t>
            </w:r>
          </w:p>
        </w:tc>
      </w:tr>
      <w:tr w:rsidR="004E68C9" w:rsidRPr="004E68C9" w14:paraId="4CA39087" w14:textId="77777777" w:rsidTr="009D478A">
        <w:trPr>
          <w:trHeight w:val="283"/>
          <w:jc w:val="center"/>
        </w:trPr>
        <w:tc>
          <w:tcPr>
            <w:tcW w:w="2324" w:type="dxa"/>
            <w:tcBorders>
              <w:top w:val="single" w:sz="4" w:space="0" w:color="auto"/>
            </w:tcBorders>
          </w:tcPr>
          <w:p w14:paraId="1C8FEFEC" w14:textId="77777777" w:rsidR="004E68C9" w:rsidRPr="004E68C9" w:rsidRDefault="004E68C9" w:rsidP="004E68C9">
            <w:pPr>
              <w:spacing w:line="240" w:lineRule="auto"/>
              <w:contextualSpacing/>
              <w:jc w:val="left"/>
              <w:rPr>
                <w:bCs/>
                <w:noProof/>
                <w:sz w:val="20"/>
                <w:lang w:eastAsia="en-AU"/>
              </w:rPr>
            </w:pPr>
            <w:r w:rsidRPr="004E68C9">
              <w:rPr>
                <w:bCs/>
                <w:noProof/>
                <w:sz w:val="20"/>
                <w:lang w:eastAsia="en-AU"/>
              </w:rPr>
              <w:t>Year</w:t>
            </w:r>
          </w:p>
        </w:tc>
        <w:tc>
          <w:tcPr>
            <w:tcW w:w="660" w:type="dxa"/>
            <w:tcBorders>
              <w:top w:val="single" w:sz="4" w:space="0" w:color="auto"/>
            </w:tcBorders>
          </w:tcPr>
          <w:p w14:paraId="58F3FBD0" w14:textId="6936ED3F" w:rsidR="004E68C9" w:rsidRPr="004E68C9" w:rsidRDefault="004E68C9" w:rsidP="004E68C9">
            <w:pPr>
              <w:spacing w:line="240" w:lineRule="auto"/>
              <w:contextualSpacing/>
              <w:jc w:val="center"/>
              <w:rPr>
                <w:bCs/>
                <w:noProof/>
                <w:sz w:val="20"/>
                <w:lang w:eastAsia="en-AU"/>
              </w:rPr>
            </w:pPr>
            <w:r w:rsidRPr="004E68C9">
              <w:rPr>
                <w:sz w:val="20"/>
              </w:rPr>
              <w:t>7</w:t>
            </w:r>
          </w:p>
        </w:tc>
        <w:tc>
          <w:tcPr>
            <w:tcW w:w="1225" w:type="dxa"/>
            <w:tcBorders>
              <w:top w:val="single" w:sz="4" w:space="0" w:color="auto"/>
            </w:tcBorders>
          </w:tcPr>
          <w:p w14:paraId="2310348E" w14:textId="5F7FA3BF" w:rsidR="004E68C9" w:rsidRPr="004E68C9" w:rsidRDefault="004E68C9" w:rsidP="004E68C9">
            <w:pPr>
              <w:spacing w:line="240" w:lineRule="auto"/>
              <w:contextualSpacing/>
              <w:jc w:val="center"/>
              <w:rPr>
                <w:b/>
                <w:noProof/>
                <w:sz w:val="20"/>
                <w:lang w:eastAsia="en-AU"/>
              </w:rPr>
            </w:pPr>
            <w:r w:rsidRPr="004E68C9">
              <w:rPr>
                <w:sz w:val="20"/>
              </w:rPr>
              <w:t>7.318</w:t>
            </w:r>
          </w:p>
        </w:tc>
        <w:tc>
          <w:tcPr>
            <w:tcW w:w="2130" w:type="dxa"/>
            <w:tcBorders>
              <w:top w:val="single" w:sz="4" w:space="0" w:color="auto"/>
            </w:tcBorders>
          </w:tcPr>
          <w:p w14:paraId="3FBCE4D5" w14:textId="7D97235E" w:rsidR="004E68C9" w:rsidRPr="004E68C9" w:rsidRDefault="004E68C9" w:rsidP="004E68C9">
            <w:pPr>
              <w:spacing w:line="240" w:lineRule="auto"/>
              <w:contextualSpacing/>
              <w:jc w:val="center"/>
              <w:rPr>
                <w:b/>
                <w:bCs/>
                <w:noProof/>
                <w:sz w:val="20"/>
                <w:lang w:eastAsia="en-AU"/>
              </w:rPr>
            </w:pPr>
            <w:r w:rsidRPr="004E68C9">
              <w:rPr>
                <w:b/>
                <w:bCs/>
                <w:sz w:val="20"/>
              </w:rPr>
              <w:t>&lt;0.001</w:t>
            </w:r>
          </w:p>
        </w:tc>
      </w:tr>
      <w:tr w:rsidR="004E68C9" w:rsidRPr="004E68C9" w14:paraId="59C74462" w14:textId="77777777" w:rsidTr="009D478A">
        <w:trPr>
          <w:trHeight w:val="283"/>
          <w:jc w:val="center"/>
        </w:trPr>
        <w:tc>
          <w:tcPr>
            <w:tcW w:w="2324" w:type="dxa"/>
          </w:tcPr>
          <w:p w14:paraId="74593936" w14:textId="77777777" w:rsidR="004E68C9" w:rsidRPr="004E68C9" w:rsidRDefault="004E68C9" w:rsidP="004E68C9">
            <w:pPr>
              <w:spacing w:line="240" w:lineRule="auto"/>
              <w:contextualSpacing/>
              <w:jc w:val="left"/>
              <w:rPr>
                <w:bCs/>
                <w:noProof/>
                <w:sz w:val="20"/>
                <w:lang w:eastAsia="en-AU"/>
              </w:rPr>
            </w:pPr>
            <w:r w:rsidRPr="004E68C9">
              <w:rPr>
                <w:bCs/>
                <w:noProof/>
                <w:sz w:val="20"/>
                <w:lang w:eastAsia="en-AU"/>
              </w:rPr>
              <w:t>Residuals</w:t>
            </w:r>
          </w:p>
        </w:tc>
        <w:tc>
          <w:tcPr>
            <w:tcW w:w="660" w:type="dxa"/>
          </w:tcPr>
          <w:p w14:paraId="1DF4C435" w14:textId="3BA78377" w:rsidR="004E68C9" w:rsidRPr="004E68C9" w:rsidRDefault="004E68C9" w:rsidP="004E68C9">
            <w:pPr>
              <w:spacing w:line="240" w:lineRule="auto"/>
              <w:contextualSpacing/>
              <w:jc w:val="center"/>
              <w:rPr>
                <w:bCs/>
                <w:noProof/>
                <w:sz w:val="20"/>
                <w:lang w:eastAsia="en-AU"/>
              </w:rPr>
            </w:pPr>
            <w:r w:rsidRPr="004E68C9">
              <w:rPr>
                <w:sz w:val="20"/>
              </w:rPr>
              <w:t>22</w:t>
            </w:r>
          </w:p>
        </w:tc>
        <w:tc>
          <w:tcPr>
            <w:tcW w:w="1225" w:type="dxa"/>
          </w:tcPr>
          <w:p w14:paraId="5217D4D5" w14:textId="246B489E" w:rsidR="004E68C9" w:rsidRPr="004E68C9" w:rsidRDefault="004E68C9" w:rsidP="004E68C9">
            <w:pPr>
              <w:spacing w:line="240" w:lineRule="auto"/>
              <w:contextualSpacing/>
              <w:jc w:val="center"/>
              <w:rPr>
                <w:b/>
                <w:noProof/>
                <w:sz w:val="20"/>
                <w:lang w:eastAsia="en-AU"/>
              </w:rPr>
            </w:pPr>
            <w:r w:rsidRPr="004E68C9">
              <w:rPr>
                <w:sz w:val="20"/>
              </w:rPr>
              <w:t xml:space="preserve">        </w:t>
            </w:r>
          </w:p>
        </w:tc>
        <w:tc>
          <w:tcPr>
            <w:tcW w:w="2130" w:type="dxa"/>
          </w:tcPr>
          <w:p w14:paraId="774CD654" w14:textId="42CDADD0" w:rsidR="004E68C9" w:rsidRPr="004E68C9" w:rsidRDefault="004E68C9" w:rsidP="004E68C9">
            <w:pPr>
              <w:spacing w:line="240" w:lineRule="auto"/>
              <w:contextualSpacing/>
              <w:jc w:val="center"/>
              <w:rPr>
                <w:b/>
                <w:noProof/>
                <w:sz w:val="20"/>
                <w:lang w:eastAsia="en-AU"/>
              </w:rPr>
            </w:pPr>
            <w:r w:rsidRPr="004E68C9">
              <w:rPr>
                <w:sz w:val="20"/>
              </w:rPr>
              <w:t xml:space="preserve">       </w:t>
            </w:r>
          </w:p>
        </w:tc>
      </w:tr>
      <w:tr w:rsidR="009A4875" w:rsidRPr="004E68C9" w14:paraId="09B8611E" w14:textId="77777777" w:rsidTr="00C72795">
        <w:trPr>
          <w:trHeight w:val="283"/>
          <w:jc w:val="center"/>
        </w:trPr>
        <w:tc>
          <w:tcPr>
            <w:tcW w:w="2324" w:type="dxa"/>
            <w:tcBorders>
              <w:bottom w:val="single" w:sz="4" w:space="0" w:color="auto"/>
            </w:tcBorders>
          </w:tcPr>
          <w:p w14:paraId="4C9744C8" w14:textId="77777777" w:rsidR="009A4875" w:rsidRPr="004E68C9" w:rsidRDefault="009A4875" w:rsidP="009F3C4C">
            <w:pPr>
              <w:spacing w:line="240" w:lineRule="auto"/>
              <w:contextualSpacing/>
              <w:jc w:val="left"/>
              <w:rPr>
                <w:b/>
                <w:noProof/>
                <w:sz w:val="20"/>
                <w:lang w:eastAsia="en-AU"/>
              </w:rPr>
            </w:pPr>
          </w:p>
        </w:tc>
        <w:tc>
          <w:tcPr>
            <w:tcW w:w="660" w:type="dxa"/>
            <w:tcBorders>
              <w:bottom w:val="single" w:sz="4" w:space="0" w:color="auto"/>
            </w:tcBorders>
          </w:tcPr>
          <w:p w14:paraId="62369D0C" w14:textId="77777777" w:rsidR="009A4875" w:rsidRPr="004E68C9" w:rsidRDefault="009A4875" w:rsidP="009F3C4C">
            <w:pPr>
              <w:spacing w:line="240" w:lineRule="auto"/>
              <w:contextualSpacing/>
              <w:jc w:val="center"/>
              <w:rPr>
                <w:b/>
                <w:noProof/>
                <w:sz w:val="20"/>
                <w:lang w:eastAsia="en-AU"/>
              </w:rPr>
            </w:pPr>
          </w:p>
        </w:tc>
        <w:tc>
          <w:tcPr>
            <w:tcW w:w="1225" w:type="dxa"/>
            <w:tcBorders>
              <w:bottom w:val="single" w:sz="4" w:space="0" w:color="auto"/>
            </w:tcBorders>
          </w:tcPr>
          <w:p w14:paraId="6433C0E1" w14:textId="77777777" w:rsidR="009A4875" w:rsidRPr="004E68C9" w:rsidRDefault="009A4875" w:rsidP="009F3C4C">
            <w:pPr>
              <w:spacing w:line="240" w:lineRule="auto"/>
              <w:contextualSpacing/>
              <w:jc w:val="center"/>
              <w:rPr>
                <w:b/>
                <w:noProof/>
                <w:sz w:val="20"/>
                <w:lang w:eastAsia="en-AU"/>
              </w:rPr>
            </w:pPr>
          </w:p>
        </w:tc>
        <w:tc>
          <w:tcPr>
            <w:tcW w:w="2130" w:type="dxa"/>
            <w:tcBorders>
              <w:bottom w:val="single" w:sz="4" w:space="0" w:color="auto"/>
            </w:tcBorders>
          </w:tcPr>
          <w:p w14:paraId="307B6AAE" w14:textId="77777777" w:rsidR="009A4875" w:rsidRPr="004E68C9" w:rsidRDefault="009A4875" w:rsidP="009F3C4C">
            <w:pPr>
              <w:spacing w:line="240" w:lineRule="auto"/>
              <w:contextualSpacing/>
              <w:jc w:val="center"/>
              <w:rPr>
                <w:b/>
                <w:noProof/>
                <w:sz w:val="20"/>
                <w:lang w:eastAsia="en-AU"/>
              </w:rPr>
            </w:pPr>
          </w:p>
        </w:tc>
      </w:tr>
      <w:tr w:rsidR="009A4875" w:rsidRPr="004E68C9" w14:paraId="38F7C1F0" w14:textId="77777777" w:rsidTr="00C72795">
        <w:trPr>
          <w:trHeight w:val="283"/>
          <w:jc w:val="center"/>
        </w:trPr>
        <w:tc>
          <w:tcPr>
            <w:tcW w:w="2324" w:type="dxa"/>
            <w:tcBorders>
              <w:top w:val="single" w:sz="4" w:space="0" w:color="auto"/>
              <w:bottom w:val="single" w:sz="4" w:space="0" w:color="auto"/>
            </w:tcBorders>
          </w:tcPr>
          <w:p w14:paraId="01726F74" w14:textId="77777777" w:rsidR="009A4875" w:rsidRPr="004E68C9" w:rsidRDefault="009A4875" w:rsidP="009F3C4C">
            <w:pPr>
              <w:spacing w:line="240" w:lineRule="auto"/>
              <w:contextualSpacing/>
              <w:jc w:val="center"/>
              <w:rPr>
                <w:b/>
                <w:noProof/>
                <w:sz w:val="20"/>
                <w:lang w:eastAsia="en-AU"/>
              </w:rPr>
            </w:pPr>
            <w:r w:rsidRPr="004E68C9">
              <w:rPr>
                <w:b/>
                <w:noProof/>
                <w:sz w:val="20"/>
                <w:lang w:eastAsia="en-AU"/>
              </w:rPr>
              <w:t>Pairwise comparisons</w:t>
            </w:r>
          </w:p>
          <w:p w14:paraId="1E2A676B" w14:textId="77777777" w:rsidR="009A4875" w:rsidRPr="004E68C9" w:rsidRDefault="009A4875" w:rsidP="009F3C4C">
            <w:pPr>
              <w:spacing w:line="240" w:lineRule="auto"/>
              <w:contextualSpacing/>
              <w:jc w:val="center"/>
              <w:rPr>
                <w:bCs/>
                <w:noProof/>
                <w:sz w:val="20"/>
                <w:lang w:eastAsia="en-AU"/>
              </w:rPr>
            </w:pPr>
            <w:r w:rsidRPr="004E68C9">
              <w:rPr>
                <w:bCs/>
                <w:noProof/>
                <w:sz w:val="20"/>
                <w:lang w:eastAsia="en-AU"/>
              </w:rPr>
              <w:t>(between years)</w:t>
            </w:r>
          </w:p>
        </w:tc>
        <w:tc>
          <w:tcPr>
            <w:tcW w:w="660" w:type="dxa"/>
            <w:tcBorders>
              <w:top w:val="single" w:sz="4" w:space="0" w:color="auto"/>
              <w:bottom w:val="single" w:sz="4" w:space="0" w:color="auto"/>
            </w:tcBorders>
          </w:tcPr>
          <w:p w14:paraId="5BCE4924" w14:textId="77777777" w:rsidR="009A4875" w:rsidRPr="004E68C9" w:rsidRDefault="009A4875" w:rsidP="009F3C4C">
            <w:pPr>
              <w:spacing w:line="240" w:lineRule="auto"/>
              <w:contextualSpacing/>
              <w:jc w:val="center"/>
              <w:rPr>
                <w:b/>
                <w:i/>
                <w:noProof/>
                <w:sz w:val="20"/>
                <w:lang w:eastAsia="en-AU"/>
              </w:rPr>
            </w:pPr>
          </w:p>
        </w:tc>
        <w:tc>
          <w:tcPr>
            <w:tcW w:w="1225" w:type="dxa"/>
            <w:tcBorders>
              <w:top w:val="single" w:sz="4" w:space="0" w:color="auto"/>
              <w:bottom w:val="single" w:sz="4" w:space="0" w:color="auto"/>
            </w:tcBorders>
          </w:tcPr>
          <w:p w14:paraId="13D8C42F" w14:textId="77777777" w:rsidR="009A4875" w:rsidRPr="004E68C9" w:rsidRDefault="009A4875" w:rsidP="009F3C4C">
            <w:pPr>
              <w:spacing w:line="240" w:lineRule="auto"/>
              <w:contextualSpacing/>
              <w:jc w:val="center"/>
              <w:rPr>
                <w:b/>
                <w:noProof/>
                <w:sz w:val="20"/>
                <w:lang w:eastAsia="en-AU"/>
              </w:rPr>
            </w:pPr>
            <w:r w:rsidRPr="004E68C9">
              <w:rPr>
                <w:b/>
                <w:i/>
                <w:noProof/>
                <w:sz w:val="20"/>
                <w:lang w:eastAsia="en-AU"/>
              </w:rPr>
              <w:t>t</w:t>
            </w:r>
          </w:p>
        </w:tc>
        <w:tc>
          <w:tcPr>
            <w:tcW w:w="2130" w:type="dxa"/>
            <w:tcBorders>
              <w:top w:val="single" w:sz="4" w:space="0" w:color="auto"/>
              <w:bottom w:val="single" w:sz="4" w:space="0" w:color="auto"/>
            </w:tcBorders>
          </w:tcPr>
          <w:p w14:paraId="7DEAEFA0" w14:textId="77777777" w:rsidR="009A4875" w:rsidRPr="004E68C9" w:rsidRDefault="009A4875" w:rsidP="009F3C4C">
            <w:pPr>
              <w:spacing w:line="240" w:lineRule="auto"/>
              <w:contextualSpacing/>
              <w:jc w:val="center"/>
              <w:rPr>
                <w:b/>
                <w:noProof/>
                <w:sz w:val="20"/>
                <w:lang w:eastAsia="en-AU"/>
              </w:rPr>
            </w:pPr>
            <w:r w:rsidRPr="004E68C9">
              <w:rPr>
                <w:b/>
                <w:i/>
                <w:noProof/>
                <w:sz w:val="20"/>
                <w:lang w:eastAsia="en-AU"/>
              </w:rPr>
              <w:t>p</w:t>
            </w:r>
            <w:r w:rsidRPr="004E68C9">
              <w:rPr>
                <w:b/>
                <w:noProof/>
                <w:sz w:val="20"/>
                <w:lang w:eastAsia="en-AU"/>
              </w:rPr>
              <w:t xml:space="preserve"> value</w:t>
            </w:r>
          </w:p>
        </w:tc>
      </w:tr>
      <w:tr w:rsidR="0074459B" w:rsidRPr="004E68C9" w14:paraId="028FD95D" w14:textId="77777777" w:rsidTr="00C72795">
        <w:trPr>
          <w:trHeight w:val="283"/>
          <w:jc w:val="center"/>
        </w:trPr>
        <w:tc>
          <w:tcPr>
            <w:tcW w:w="2324" w:type="dxa"/>
            <w:tcBorders>
              <w:top w:val="single" w:sz="4" w:space="0" w:color="auto"/>
            </w:tcBorders>
            <w:vAlign w:val="bottom"/>
          </w:tcPr>
          <w:p w14:paraId="13D7F4EC" w14:textId="77777777" w:rsidR="0074459B" w:rsidRPr="004E68C9" w:rsidRDefault="0074459B" w:rsidP="0074459B">
            <w:pPr>
              <w:spacing w:line="240" w:lineRule="auto"/>
              <w:contextualSpacing/>
              <w:jc w:val="center"/>
              <w:rPr>
                <w:sz w:val="20"/>
              </w:rPr>
            </w:pPr>
            <w:r w:rsidRPr="004E68C9">
              <w:rPr>
                <w:rFonts w:cs="Calibri"/>
                <w:sz w:val="20"/>
              </w:rPr>
              <w:t>2013, 2014</w:t>
            </w:r>
          </w:p>
        </w:tc>
        <w:tc>
          <w:tcPr>
            <w:tcW w:w="660" w:type="dxa"/>
            <w:tcBorders>
              <w:top w:val="single" w:sz="4" w:space="0" w:color="auto"/>
            </w:tcBorders>
          </w:tcPr>
          <w:p w14:paraId="5EDBC851" w14:textId="77777777" w:rsidR="0074459B" w:rsidRPr="004E68C9" w:rsidRDefault="0074459B" w:rsidP="0074459B">
            <w:pPr>
              <w:spacing w:line="240" w:lineRule="auto"/>
              <w:contextualSpacing/>
              <w:jc w:val="center"/>
              <w:rPr>
                <w:sz w:val="20"/>
              </w:rPr>
            </w:pPr>
          </w:p>
        </w:tc>
        <w:tc>
          <w:tcPr>
            <w:tcW w:w="1225" w:type="dxa"/>
            <w:tcBorders>
              <w:top w:val="single" w:sz="4" w:space="0" w:color="auto"/>
            </w:tcBorders>
          </w:tcPr>
          <w:p w14:paraId="30A0A950" w14:textId="3B7125F7" w:rsidR="0074459B" w:rsidRPr="004E68C9" w:rsidRDefault="0074459B" w:rsidP="0074459B">
            <w:pPr>
              <w:spacing w:line="240" w:lineRule="auto"/>
              <w:contextualSpacing/>
              <w:jc w:val="center"/>
              <w:rPr>
                <w:sz w:val="20"/>
              </w:rPr>
            </w:pPr>
            <w:r w:rsidRPr="00FE558A">
              <w:t>*</w:t>
            </w:r>
          </w:p>
        </w:tc>
        <w:tc>
          <w:tcPr>
            <w:tcW w:w="2130" w:type="dxa"/>
            <w:tcBorders>
              <w:top w:val="single" w:sz="4" w:space="0" w:color="auto"/>
            </w:tcBorders>
          </w:tcPr>
          <w:p w14:paraId="1E8C2C65" w14:textId="3417F2FC" w:rsidR="0074459B" w:rsidRPr="004E68C9" w:rsidRDefault="0074459B" w:rsidP="0074459B">
            <w:pPr>
              <w:spacing w:line="240" w:lineRule="auto"/>
              <w:contextualSpacing/>
              <w:jc w:val="center"/>
              <w:rPr>
                <w:sz w:val="20"/>
              </w:rPr>
            </w:pPr>
            <w:r w:rsidRPr="00FE558A">
              <w:t xml:space="preserve">       </w:t>
            </w:r>
          </w:p>
        </w:tc>
      </w:tr>
      <w:tr w:rsidR="0074459B" w:rsidRPr="004E68C9" w14:paraId="03DD2E45" w14:textId="77777777" w:rsidTr="00C72795">
        <w:trPr>
          <w:trHeight w:val="283"/>
          <w:jc w:val="center"/>
        </w:trPr>
        <w:tc>
          <w:tcPr>
            <w:tcW w:w="2324" w:type="dxa"/>
            <w:vAlign w:val="bottom"/>
          </w:tcPr>
          <w:p w14:paraId="639280E0"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2013, 2015</w:t>
            </w:r>
          </w:p>
        </w:tc>
        <w:tc>
          <w:tcPr>
            <w:tcW w:w="660" w:type="dxa"/>
          </w:tcPr>
          <w:p w14:paraId="06670525" w14:textId="77777777" w:rsidR="0074459B" w:rsidRPr="004E68C9" w:rsidRDefault="0074459B" w:rsidP="0074459B">
            <w:pPr>
              <w:spacing w:line="240" w:lineRule="auto"/>
              <w:contextualSpacing/>
              <w:jc w:val="center"/>
              <w:rPr>
                <w:sz w:val="20"/>
              </w:rPr>
            </w:pPr>
          </w:p>
        </w:tc>
        <w:tc>
          <w:tcPr>
            <w:tcW w:w="1225" w:type="dxa"/>
          </w:tcPr>
          <w:p w14:paraId="393D18E9" w14:textId="21F33643" w:rsidR="0074459B" w:rsidRPr="004E68C9" w:rsidRDefault="0074459B" w:rsidP="0074459B">
            <w:pPr>
              <w:spacing w:line="240" w:lineRule="auto"/>
              <w:contextualSpacing/>
              <w:jc w:val="center"/>
              <w:rPr>
                <w:b/>
                <w:noProof/>
                <w:sz w:val="20"/>
                <w:lang w:eastAsia="en-AU"/>
              </w:rPr>
            </w:pPr>
            <w:r w:rsidRPr="00FE558A">
              <w:t>0.845</w:t>
            </w:r>
          </w:p>
        </w:tc>
        <w:tc>
          <w:tcPr>
            <w:tcW w:w="2130" w:type="dxa"/>
          </w:tcPr>
          <w:p w14:paraId="77F16C85" w14:textId="534A72DB" w:rsidR="0074459B" w:rsidRPr="004E68C9" w:rsidRDefault="0074459B" w:rsidP="0074459B">
            <w:pPr>
              <w:spacing w:line="240" w:lineRule="auto"/>
              <w:contextualSpacing/>
              <w:jc w:val="center"/>
              <w:rPr>
                <w:noProof/>
                <w:sz w:val="20"/>
                <w:lang w:eastAsia="en-AU"/>
              </w:rPr>
            </w:pPr>
            <w:r w:rsidRPr="00FE558A">
              <w:t>1.000</w:t>
            </w:r>
          </w:p>
        </w:tc>
      </w:tr>
      <w:tr w:rsidR="0074459B" w:rsidRPr="004E68C9" w14:paraId="3255FDD4" w14:textId="77777777" w:rsidTr="00C72795">
        <w:trPr>
          <w:trHeight w:val="283"/>
          <w:jc w:val="center"/>
        </w:trPr>
        <w:tc>
          <w:tcPr>
            <w:tcW w:w="2324" w:type="dxa"/>
            <w:vAlign w:val="bottom"/>
          </w:tcPr>
          <w:p w14:paraId="5744BB99"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2013, 2016</w:t>
            </w:r>
          </w:p>
        </w:tc>
        <w:tc>
          <w:tcPr>
            <w:tcW w:w="660" w:type="dxa"/>
          </w:tcPr>
          <w:p w14:paraId="02DDAEB5" w14:textId="77777777" w:rsidR="0074459B" w:rsidRPr="004E68C9" w:rsidRDefault="0074459B" w:rsidP="0074459B">
            <w:pPr>
              <w:spacing w:line="240" w:lineRule="auto"/>
              <w:contextualSpacing/>
              <w:jc w:val="center"/>
              <w:rPr>
                <w:sz w:val="20"/>
              </w:rPr>
            </w:pPr>
          </w:p>
        </w:tc>
        <w:tc>
          <w:tcPr>
            <w:tcW w:w="1225" w:type="dxa"/>
          </w:tcPr>
          <w:p w14:paraId="0D840C3B" w14:textId="2CDDAE47" w:rsidR="0074459B" w:rsidRPr="004E68C9" w:rsidRDefault="0074459B" w:rsidP="0074459B">
            <w:pPr>
              <w:spacing w:line="240" w:lineRule="auto"/>
              <w:contextualSpacing/>
              <w:jc w:val="center"/>
              <w:rPr>
                <w:b/>
                <w:noProof/>
                <w:sz w:val="20"/>
                <w:lang w:eastAsia="en-AU"/>
              </w:rPr>
            </w:pPr>
            <w:r w:rsidRPr="00FE558A">
              <w:t>1.454</w:t>
            </w:r>
          </w:p>
        </w:tc>
        <w:tc>
          <w:tcPr>
            <w:tcW w:w="2130" w:type="dxa"/>
          </w:tcPr>
          <w:p w14:paraId="1DD5E8F0" w14:textId="23B0EBAF" w:rsidR="0074459B" w:rsidRPr="004E68C9" w:rsidRDefault="0074459B" w:rsidP="0074459B">
            <w:pPr>
              <w:spacing w:line="240" w:lineRule="auto"/>
              <w:contextualSpacing/>
              <w:jc w:val="center"/>
              <w:rPr>
                <w:noProof/>
                <w:sz w:val="20"/>
                <w:lang w:eastAsia="en-AU"/>
              </w:rPr>
            </w:pPr>
            <w:r w:rsidRPr="00FE558A">
              <w:t>0.430</w:t>
            </w:r>
          </w:p>
        </w:tc>
      </w:tr>
      <w:tr w:rsidR="0074459B" w:rsidRPr="004E68C9" w14:paraId="52336572" w14:textId="77777777" w:rsidTr="00C72795">
        <w:trPr>
          <w:trHeight w:val="283"/>
          <w:jc w:val="center"/>
        </w:trPr>
        <w:tc>
          <w:tcPr>
            <w:tcW w:w="2324" w:type="dxa"/>
            <w:vAlign w:val="bottom"/>
          </w:tcPr>
          <w:p w14:paraId="27F78229"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2013, 2017</w:t>
            </w:r>
          </w:p>
        </w:tc>
        <w:tc>
          <w:tcPr>
            <w:tcW w:w="660" w:type="dxa"/>
          </w:tcPr>
          <w:p w14:paraId="5D49380F" w14:textId="77777777" w:rsidR="0074459B" w:rsidRPr="004E68C9" w:rsidRDefault="0074459B" w:rsidP="0074459B">
            <w:pPr>
              <w:spacing w:line="240" w:lineRule="auto"/>
              <w:contextualSpacing/>
              <w:jc w:val="center"/>
              <w:rPr>
                <w:sz w:val="20"/>
              </w:rPr>
            </w:pPr>
          </w:p>
        </w:tc>
        <w:tc>
          <w:tcPr>
            <w:tcW w:w="1225" w:type="dxa"/>
          </w:tcPr>
          <w:p w14:paraId="5CF87722" w14:textId="3846DAB4" w:rsidR="0074459B" w:rsidRPr="004E68C9" w:rsidRDefault="0074459B" w:rsidP="0074459B">
            <w:pPr>
              <w:spacing w:line="240" w:lineRule="auto"/>
              <w:contextualSpacing/>
              <w:jc w:val="center"/>
              <w:rPr>
                <w:b/>
                <w:noProof/>
                <w:sz w:val="20"/>
                <w:lang w:eastAsia="en-AU"/>
              </w:rPr>
            </w:pPr>
            <w:r w:rsidRPr="00FE558A">
              <w:t>*</w:t>
            </w:r>
          </w:p>
        </w:tc>
        <w:tc>
          <w:tcPr>
            <w:tcW w:w="2130" w:type="dxa"/>
          </w:tcPr>
          <w:p w14:paraId="42FF2B78" w14:textId="07F3A8C8" w:rsidR="0074459B" w:rsidRPr="004E68C9" w:rsidRDefault="0074459B" w:rsidP="0074459B">
            <w:pPr>
              <w:spacing w:line="240" w:lineRule="auto"/>
              <w:contextualSpacing/>
              <w:jc w:val="center"/>
              <w:rPr>
                <w:noProof/>
                <w:sz w:val="20"/>
                <w:lang w:eastAsia="en-AU"/>
              </w:rPr>
            </w:pPr>
            <w:r w:rsidRPr="00FE558A">
              <w:t xml:space="preserve">       </w:t>
            </w:r>
          </w:p>
        </w:tc>
      </w:tr>
      <w:tr w:rsidR="0074459B" w:rsidRPr="004E68C9" w14:paraId="030DFE7B" w14:textId="77777777" w:rsidTr="00C72795">
        <w:trPr>
          <w:trHeight w:val="283"/>
          <w:jc w:val="center"/>
        </w:trPr>
        <w:tc>
          <w:tcPr>
            <w:tcW w:w="2324" w:type="dxa"/>
            <w:vAlign w:val="bottom"/>
          </w:tcPr>
          <w:p w14:paraId="18C7B1DD"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2013, 2019</w:t>
            </w:r>
          </w:p>
        </w:tc>
        <w:tc>
          <w:tcPr>
            <w:tcW w:w="660" w:type="dxa"/>
          </w:tcPr>
          <w:p w14:paraId="3FFF30E5" w14:textId="77777777" w:rsidR="0074459B" w:rsidRPr="004E68C9" w:rsidRDefault="0074459B" w:rsidP="0074459B">
            <w:pPr>
              <w:spacing w:line="240" w:lineRule="auto"/>
              <w:contextualSpacing/>
              <w:jc w:val="center"/>
              <w:rPr>
                <w:sz w:val="20"/>
              </w:rPr>
            </w:pPr>
          </w:p>
        </w:tc>
        <w:tc>
          <w:tcPr>
            <w:tcW w:w="1225" w:type="dxa"/>
          </w:tcPr>
          <w:p w14:paraId="3C039137" w14:textId="461B68EC" w:rsidR="0074459B" w:rsidRPr="004E68C9" w:rsidRDefault="0074459B" w:rsidP="0074459B">
            <w:pPr>
              <w:spacing w:line="240" w:lineRule="auto"/>
              <w:contextualSpacing/>
              <w:jc w:val="center"/>
              <w:rPr>
                <w:b/>
                <w:noProof/>
                <w:sz w:val="20"/>
                <w:lang w:eastAsia="en-AU"/>
              </w:rPr>
            </w:pPr>
            <w:r w:rsidRPr="00FE558A">
              <w:t>2.000</w:t>
            </w:r>
          </w:p>
        </w:tc>
        <w:tc>
          <w:tcPr>
            <w:tcW w:w="2130" w:type="dxa"/>
          </w:tcPr>
          <w:p w14:paraId="6FE6C484" w14:textId="05062618" w:rsidR="0074459B" w:rsidRPr="004E68C9" w:rsidRDefault="0074459B" w:rsidP="0074459B">
            <w:pPr>
              <w:spacing w:line="240" w:lineRule="auto"/>
              <w:contextualSpacing/>
              <w:jc w:val="center"/>
              <w:rPr>
                <w:b/>
                <w:bCs/>
                <w:noProof/>
                <w:sz w:val="20"/>
                <w:lang w:eastAsia="en-AU"/>
              </w:rPr>
            </w:pPr>
            <w:r w:rsidRPr="00FE558A">
              <w:t>0.393</w:t>
            </w:r>
          </w:p>
        </w:tc>
      </w:tr>
      <w:tr w:rsidR="0074459B" w:rsidRPr="004E68C9" w14:paraId="11C08B4F" w14:textId="77777777" w:rsidTr="00C72795">
        <w:trPr>
          <w:trHeight w:val="283"/>
          <w:jc w:val="center"/>
        </w:trPr>
        <w:tc>
          <w:tcPr>
            <w:tcW w:w="2324" w:type="dxa"/>
            <w:vAlign w:val="bottom"/>
          </w:tcPr>
          <w:p w14:paraId="4AE87858"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2013, 2020</w:t>
            </w:r>
          </w:p>
        </w:tc>
        <w:tc>
          <w:tcPr>
            <w:tcW w:w="660" w:type="dxa"/>
          </w:tcPr>
          <w:p w14:paraId="535DA2A2" w14:textId="77777777" w:rsidR="0074459B" w:rsidRPr="004E68C9" w:rsidRDefault="0074459B" w:rsidP="0074459B">
            <w:pPr>
              <w:spacing w:line="240" w:lineRule="auto"/>
              <w:contextualSpacing/>
              <w:jc w:val="center"/>
              <w:rPr>
                <w:sz w:val="20"/>
              </w:rPr>
            </w:pPr>
          </w:p>
        </w:tc>
        <w:tc>
          <w:tcPr>
            <w:tcW w:w="1225" w:type="dxa"/>
          </w:tcPr>
          <w:p w14:paraId="4A350973" w14:textId="2F9753F1" w:rsidR="0074459B" w:rsidRPr="004E68C9" w:rsidRDefault="0074459B" w:rsidP="0074459B">
            <w:pPr>
              <w:spacing w:line="240" w:lineRule="auto"/>
              <w:contextualSpacing/>
              <w:jc w:val="center"/>
              <w:rPr>
                <w:b/>
                <w:noProof/>
                <w:sz w:val="20"/>
                <w:lang w:eastAsia="en-AU"/>
              </w:rPr>
            </w:pPr>
            <w:r w:rsidRPr="00FE558A">
              <w:t>8.407</w:t>
            </w:r>
          </w:p>
        </w:tc>
        <w:tc>
          <w:tcPr>
            <w:tcW w:w="2130" w:type="dxa"/>
          </w:tcPr>
          <w:p w14:paraId="6FB8707E" w14:textId="43CEF231" w:rsidR="0074459B" w:rsidRPr="0074459B" w:rsidRDefault="0074459B" w:rsidP="0074459B">
            <w:pPr>
              <w:spacing w:line="240" w:lineRule="auto"/>
              <w:contextualSpacing/>
              <w:jc w:val="center"/>
              <w:rPr>
                <w:b/>
                <w:bCs/>
                <w:noProof/>
                <w:sz w:val="20"/>
                <w:lang w:eastAsia="en-AU"/>
              </w:rPr>
            </w:pPr>
            <w:r w:rsidRPr="0074459B">
              <w:rPr>
                <w:b/>
                <w:bCs/>
              </w:rPr>
              <w:t>0.028</w:t>
            </w:r>
          </w:p>
        </w:tc>
      </w:tr>
      <w:tr w:rsidR="0074459B" w:rsidRPr="004E68C9" w14:paraId="3F7F3A6E" w14:textId="77777777" w:rsidTr="00C72795">
        <w:trPr>
          <w:trHeight w:val="283"/>
          <w:jc w:val="center"/>
        </w:trPr>
        <w:tc>
          <w:tcPr>
            <w:tcW w:w="2324" w:type="dxa"/>
            <w:vAlign w:val="bottom"/>
          </w:tcPr>
          <w:p w14:paraId="15B681E6" w14:textId="5C9582E4" w:rsidR="0074459B" w:rsidRPr="004E68C9" w:rsidRDefault="0074459B" w:rsidP="0074459B">
            <w:pPr>
              <w:spacing w:line="240" w:lineRule="auto"/>
              <w:contextualSpacing/>
              <w:jc w:val="center"/>
              <w:rPr>
                <w:rFonts w:cs="Calibri"/>
                <w:sz w:val="20"/>
              </w:rPr>
            </w:pPr>
            <w:r w:rsidRPr="004E68C9">
              <w:rPr>
                <w:rFonts w:cs="Calibri"/>
                <w:sz w:val="20"/>
              </w:rPr>
              <w:t>2013, 2021</w:t>
            </w:r>
          </w:p>
        </w:tc>
        <w:tc>
          <w:tcPr>
            <w:tcW w:w="660" w:type="dxa"/>
          </w:tcPr>
          <w:p w14:paraId="15A20496" w14:textId="77777777" w:rsidR="0074459B" w:rsidRPr="004E68C9" w:rsidRDefault="0074459B" w:rsidP="0074459B">
            <w:pPr>
              <w:spacing w:line="240" w:lineRule="auto"/>
              <w:contextualSpacing/>
              <w:jc w:val="center"/>
              <w:rPr>
                <w:sz w:val="20"/>
              </w:rPr>
            </w:pPr>
          </w:p>
        </w:tc>
        <w:tc>
          <w:tcPr>
            <w:tcW w:w="1225" w:type="dxa"/>
          </w:tcPr>
          <w:p w14:paraId="0396B288" w14:textId="01F05665" w:rsidR="0074459B" w:rsidRPr="004E68C9" w:rsidRDefault="0074459B" w:rsidP="0074459B">
            <w:pPr>
              <w:spacing w:line="240" w:lineRule="auto"/>
              <w:contextualSpacing/>
              <w:jc w:val="center"/>
              <w:rPr>
                <w:sz w:val="20"/>
              </w:rPr>
            </w:pPr>
            <w:r w:rsidRPr="00FE558A">
              <w:t>*</w:t>
            </w:r>
          </w:p>
        </w:tc>
        <w:tc>
          <w:tcPr>
            <w:tcW w:w="2130" w:type="dxa"/>
          </w:tcPr>
          <w:p w14:paraId="474BBC2F" w14:textId="372AF004" w:rsidR="0074459B" w:rsidRPr="004E68C9" w:rsidRDefault="0074459B" w:rsidP="0074459B">
            <w:pPr>
              <w:spacing w:line="240" w:lineRule="auto"/>
              <w:contextualSpacing/>
              <w:jc w:val="center"/>
              <w:rPr>
                <w:sz w:val="20"/>
              </w:rPr>
            </w:pPr>
            <w:r w:rsidRPr="00FE558A">
              <w:t xml:space="preserve">       </w:t>
            </w:r>
          </w:p>
        </w:tc>
      </w:tr>
      <w:tr w:rsidR="0074459B" w:rsidRPr="004E68C9" w14:paraId="4B771D84" w14:textId="77777777" w:rsidTr="00C72795">
        <w:trPr>
          <w:trHeight w:val="283"/>
          <w:jc w:val="center"/>
        </w:trPr>
        <w:tc>
          <w:tcPr>
            <w:tcW w:w="2324" w:type="dxa"/>
            <w:vAlign w:val="bottom"/>
          </w:tcPr>
          <w:p w14:paraId="22AD2127" w14:textId="77777777" w:rsidR="0074459B" w:rsidRPr="004E68C9" w:rsidRDefault="0074459B" w:rsidP="0074459B">
            <w:pPr>
              <w:spacing w:line="240" w:lineRule="auto"/>
              <w:contextualSpacing/>
              <w:jc w:val="center"/>
              <w:rPr>
                <w:sz w:val="20"/>
              </w:rPr>
            </w:pPr>
            <w:r w:rsidRPr="004E68C9">
              <w:rPr>
                <w:rFonts w:cs="Calibri"/>
                <w:sz w:val="20"/>
              </w:rPr>
              <w:t>2014, 2015</w:t>
            </w:r>
          </w:p>
        </w:tc>
        <w:tc>
          <w:tcPr>
            <w:tcW w:w="660" w:type="dxa"/>
          </w:tcPr>
          <w:p w14:paraId="66DDABA2" w14:textId="77777777" w:rsidR="0074459B" w:rsidRPr="004E68C9" w:rsidRDefault="0074459B" w:rsidP="0074459B">
            <w:pPr>
              <w:spacing w:line="240" w:lineRule="auto"/>
              <w:contextualSpacing/>
              <w:jc w:val="center"/>
              <w:rPr>
                <w:sz w:val="20"/>
              </w:rPr>
            </w:pPr>
          </w:p>
        </w:tc>
        <w:tc>
          <w:tcPr>
            <w:tcW w:w="1225" w:type="dxa"/>
          </w:tcPr>
          <w:p w14:paraId="610E5737" w14:textId="0368F51C" w:rsidR="0074459B" w:rsidRPr="004E68C9" w:rsidRDefault="0074459B" w:rsidP="0074459B">
            <w:pPr>
              <w:spacing w:line="240" w:lineRule="auto"/>
              <w:contextualSpacing/>
              <w:jc w:val="center"/>
              <w:rPr>
                <w:sz w:val="20"/>
              </w:rPr>
            </w:pPr>
            <w:r w:rsidRPr="00FE558A">
              <w:t>1.000</w:t>
            </w:r>
          </w:p>
        </w:tc>
        <w:tc>
          <w:tcPr>
            <w:tcW w:w="2130" w:type="dxa"/>
          </w:tcPr>
          <w:p w14:paraId="7E34D25C" w14:textId="67B2BE6C" w:rsidR="0074459B" w:rsidRPr="004E68C9" w:rsidRDefault="0074459B" w:rsidP="0074459B">
            <w:pPr>
              <w:spacing w:line="240" w:lineRule="auto"/>
              <w:contextualSpacing/>
              <w:jc w:val="center"/>
              <w:rPr>
                <w:sz w:val="20"/>
              </w:rPr>
            </w:pPr>
            <w:r w:rsidRPr="00FE558A">
              <w:t>1.000</w:t>
            </w:r>
          </w:p>
        </w:tc>
      </w:tr>
      <w:tr w:rsidR="0074459B" w:rsidRPr="004E68C9" w14:paraId="7F1DF725" w14:textId="77777777" w:rsidTr="00C72795">
        <w:trPr>
          <w:trHeight w:val="283"/>
          <w:jc w:val="center"/>
        </w:trPr>
        <w:tc>
          <w:tcPr>
            <w:tcW w:w="2324" w:type="dxa"/>
            <w:vAlign w:val="bottom"/>
          </w:tcPr>
          <w:p w14:paraId="33B421CD" w14:textId="77777777" w:rsidR="0074459B" w:rsidRPr="004E68C9" w:rsidRDefault="0074459B" w:rsidP="0074459B">
            <w:pPr>
              <w:spacing w:line="240" w:lineRule="auto"/>
              <w:contextualSpacing/>
              <w:jc w:val="center"/>
              <w:rPr>
                <w:sz w:val="20"/>
              </w:rPr>
            </w:pPr>
            <w:r w:rsidRPr="004E68C9">
              <w:rPr>
                <w:rFonts w:cs="Calibri"/>
                <w:sz w:val="20"/>
              </w:rPr>
              <w:t>2014, 2016</w:t>
            </w:r>
          </w:p>
        </w:tc>
        <w:tc>
          <w:tcPr>
            <w:tcW w:w="660" w:type="dxa"/>
          </w:tcPr>
          <w:p w14:paraId="20818EF0" w14:textId="77777777" w:rsidR="0074459B" w:rsidRPr="004E68C9" w:rsidRDefault="0074459B" w:rsidP="0074459B">
            <w:pPr>
              <w:spacing w:line="240" w:lineRule="auto"/>
              <w:contextualSpacing/>
              <w:jc w:val="center"/>
              <w:rPr>
                <w:sz w:val="20"/>
              </w:rPr>
            </w:pPr>
          </w:p>
        </w:tc>
        <w:tc>
          <w:tcPr>
            <w:tcW w:w="1225" w:type="dxa"/>
          </w:tcPr>
          <w:p w14:paraId="25556262" w14:textId="6B99EF04" w:rsidR="0074459B" w:rsidRPr="004E68C9" w:rsidRDefault="0074459B" w:rsidP="0074459B">
            <w:pPr>
              <w:spacing w:line="240" w:lineRule="auto"/>
              <w:contextualSpacing/>
              <w:jc w:val="center"/>
              <w:rPr>
                <w:sz w:val="20"/>
              </w:rPr>
            </w:pPr>
            <w:r w:rsidRPr="00FE558A">
              <w:t>1.720</w:t>
            </w:r>
          </w:p>
        </w:tc>
        <w:tc>
          <w:tcPr>
            <w:tcW w:w="2130" w:type="dxa"/>
          </w:tcPr>
          <w:p w14:paraId="57AC113B" w14:textId="622E280A" w:rsidR="0074459B" w:rsidRPr="004E68C9" w:rsidRDefault="0074459B" w:rsidP="0074459B">
            <w:pPr>
              <w:spacing w:line="240" w:lineRule="auto"/>
              <w:contextualSpacing/>
              <w:jc w:val="center"/>
              <w:rPr>
                <w:b/>
                <w:bCs/>
                <w:sz w:val="20"/>
              </w:rPr>
            </w:pPr>
            <w:r w:rsidRPr="00FE558A">
              <w:t>0.423</w:t>
            </w:r>
          </w:p>
        </w:tc>
      </w:tr>
      <w:tr w:rsidR="0074459B" w:rsidRPr="004E68C9" w14:paraId="40098927" w14:textId="77777777" w:rsidTr="00C72795">
        <w:trPr>
          <w:trHeight w:val="283"/>
          <w:jc w:val="center"/>
        </w:trPr>
        <w:tc>
          <w:tcPr>
            <w:tcW w:w="2324" w:type="dxa"/>
            <w:vAlign w:val="bottom"/>
          </w:tcPr>
          <w:p w14:paraId="3B9F4A2A" w14:textId="77777777" w:rsidR="0074459B" w:rsidRPr="004E68C9" w:rsidRDefault="0074459B" w:rsidP="0074459B">
            <w:pPr>
              <w:spacing w:line="240" w:lineRule="auto"/>
              <w:contextualSpacing/>
              <w:jc w:val="center"/>
              <w:rPr>
                <w:sz w:val="20"/>
              </w:rPr>
            </w:pPr>
            <w:r w:rsidRPr="004E68C9">
              <w:rPr>
                <w:rFonts w:cs="Calibri"/>
                <w:sz w:val="20"/>
              </w:rPr>
              <w:t>2014, 2017</w:t>
            </w:r>
          </w:p>
        </w:tc>
        <w:tc>
          <w:tcPr>
            <w:tcW w:w="660" w:type="dxa"/>
          </w:tcPr>
          <w:p w14:paraId="68ED13AF" w14:textId="77777777" w:rsidR="0074459B" w:rsidRPr="004E68C9" w:rsidRDefault="0074459B" w:rsidP="0074459B">
            <w:pPr>
              <w:spacing w:line="240" w:lineRule="auto"/>
              <w:contextualSpacing/>
              <w:jc w:val="center"/>
              <w:rPr>
                <w:sz w:val="20"/>
              </w:rPr>
            </w:pPr>
          </w:p>
        </w:tc>
        <w:tc>
          <w:tcPr>
            <w:tcW w:w="1225" w:type="dxa"/>
          </w:tcPr>
          <w:p w14:paraId="6A190606" w14:textId="16BA5DCF" w:rsidR="0074459B" w:rsidRPr="004E68C9" w:rsidRDefault="0074459B" w:rsidP="0074459B">
            <w:pPr>
              <w:spacing w:line="240" w:lineRule="auto"/>
              <w:contextualSpacing/>
              <w:jc w:val="center"/>
              <w:rPr>
                <w:sz w:val="20"/>
              </w:rPr>
            </w:pPr>
            <w:r w:rsidRPr="00FE558A">
              <w:t>*</w:t>
            </w:r>
          </w:p>
        </w:tc>
        <w:tc>
          <w:tcPr>
            <w:tcW w:w="2130" w:type="dxa"/>
          </w:tcPr>
          <w:p w14:paraId="5D091222" w14:textId="48044AA7" w:rsidR="0074459B" w:rsidRPr="004E68C9" w:rsidRDefault="0074459B" w:rsidP="0074459B">
            <w:pPr>
              <w:spacing w:line="240" w:lineRule="auto"/>
              <w:contextualSpacing/>
              <w:jc w:val="center"/>
              <w:rPr>
                <w:sz w:val="20"/>
              </w:rPr>
            </w:pPr>
            <w:r w:rsidRPr="00FE558A">
              <w:t xml:space="preserve">       </w:t>
            </w:r>
          </w:p>
        </w:tc>
      </w:tr>
      <w:tr w:rsidR="0074459B" w:rsidRPr="004E68C9" w14:paraId="64C1212E" w14:textId="77777777" w:rsidTr="00C72795">
        <w:trPr>
          <w:trHeight w:val="283"/>
          <w:jc w:val="center"/>
        </w:trPr>
        <w:tc>
          <w:tcPr>
            <w:tcW w:w="2324" w:type="dxa"/>
            <w:vAlign w:val="bottom"/>
          </w:tcPr>
          <w:p w14:paraId="48DF7F19" w14:textId="77777777" w:rsidR="0074459B" w:rsidRPr="004E68C9" w:rsidRDefault="0074459B" w:rsidP="0074459B">
            <w:pPr>
              <w:spacing w:line="240" w:lineRule="auto"/>
              <w:contextualSpacing/>
              <w:jc w:val="center"/>
              <w:rPr>
                <w:sz w:val="20"/>
              </w:rPr>
            </w:pPr>
            <w:r w:rsidRPr="004E68C9">
              <w:rPr>
                <w:rFonts w:cs="Calibri"/>
                <w:sz w:val="20"/>
              </w:rPr>
              <w:t>2014, 2019</w:t>
            </w:r>
          </w:p>
        </w:tc>
        <w:tc>
          <w:tcPr>
            <w:tcW w:w="660" w:type="dxa"/>
          </w:tcPr>
          <w:p w14:paraId="411BCB6E" w14:textId="77777777" w:rsidR="0074459B" w:rsidRPr="004E68C9" w:rsidRDefault="0074459B" w:rsidP="0074459B">
            <w:pPr>
              <w:spacing w:line="240" w:lineRule="auto"/>
              <w:contextualSpacing/>
              <w:jc w:val="center"/>
              <w:rPr>
                <w:sz w:val="20"/>
              </w:rPr>
            </w:pPr>
          </w:p>
        </w:tc>
        <w:tc>
          <w:tcPr>
            <w:tcW w:w="1225" w:type="dxa"/>
          </w:tcPr>
          <w:p w14:paraId="625823A2" w14:textId="00964442" w:rsidR="0074459B" w:rsidRPr="004E68C9" w:rsidRDefault="0074459B" w:rsidP="0074459B">
            <w:pPr>
              <w:spacing w:line="240" w:lineRule="auto"/>
              <w:contextualSpacing/>
              <w:jc w:val="center"/>
              <w:rPr>
                <w:sz w:val="20"/>
              </w:rPr>
            </w:pPr>
            <w:r w:rsidRPr="00FE558A">
              <w:t>2.390</w:t>
            </w:r>
          </w:p>
        </w:tc>
        <w:tc>
          <w:tcPr>
            <w:tcW w:w="2130" w:type="dxa"/>
          </w:tcPr>
          <w:p w14:paraId="6A5BF489" w14:textId="71117A1C" w:rsidR="0074459B" w:rsidRPr="004E68C9" w:rsidRDefault="0074459B" w:rsidP="0074459B">
            <w:pPr>
              <w:spacing w:line="240" w:lineRule="auto"/>
              <w:contextualSpacing/>
              <w:jc w:val="center"/>
              <w:rPr>
                <w:b/>
                <w:bCs/>
                <w:sz w:val="20"/>
              </w:rPr>
            </w:pPr>
            <w:r w:rsidRPr="00FE558A">
              <w:t>0.142</w:t>
            </w:r>
          </w:p>
        </w:tc>
      </w:tr>
      <w:tr w:rsidR="0074459B" w:rsidRPr="004E68C9" w14:paraId="6334E3FF" w14:textId="77777777" w:rsidTr="00C72795">
        <w:trPr>
          <w:trHeight w:val="283"/>
          <w:jc w:val="center"/>
        </w:trPr>
        <w:tc>
          <w:tcPr>
            <w:tcW w:w="2324" w:type="dxa"/>
            <w:vAlign w:val="bottom"/>
          </w:tcPr>
          <w:p w14:paraId="6022D3C0" w14:textId="77777777" w:rsidR="0074459B" w:rsidRPr="004E68C9" w:rsidRDefault="0074459B" w:rsidP="0074459B">
            <w:pPr>
              <w:spacing w:line="240" w:lineRule="auto"/>
              <w:contextualSpacing/>
              <w:jc w:val="center"/>
              <w:rPr>
                <w:sz w:val="20"/>
              </w:rPr>
            </w:pPr>
            <w:r w:rsidRPr="004E68C9">
              <w:rPr>
                <w:rFonts w:cs="Calibri"/>
                <w:sz w:val="20"/>
              </w:rPr>
              <w:t>2014, 2020</w:t>
            </w:r>
          </w:p>
        </w:tc>
        <w:tc>
          <w:tcPr>
            <w:tcW w:w="660" w:type="dxa"/>
          </w:tcPr>
          <w:p w14:paraId="33225820" w14:textId="77777777" w:rsidR="0074459B" w:rsidRPr="004E68C9" w:rsidRDefault="0074459B" w:rsidP="0074459B">
            <w:pPr>
              <w:spacing w:line="240" w:lineRule="auto"/>
              <w:contextualSpacing/>
              <w:jc w:val="center"/>
              <w:rPr>
                <w:sz w:val="20"/>
              </w:rPr>
            </w:pPr>
          </w:p>
        </w:tc>
        <w:tc>
          <w:tcPr>
            <w:tcW w:w="1225" w:type="dxa"/>
          </w:tcPr>
          <w:p w14:paraId="479B8244" w14:textId="303F67C8" w:rsidR="0074459B" w:rsidRPr="004E68C9" w:rsidRDefault="0074459B" w:rsidP="0074459B">
            <w:pPr>
              <w:spacing w:line="240" w:lineRule="auto"/>
              <w:contextualSpacing/>
              <w:jc w:val="center"/>
              <w:rPr>
                <w:sz w:val="20"/>
              </w:rPr>
            </w:pPr>
            <w:r w:rsidRPr="00FE558A">
              <w:t>9.948</w:t>
            </w:r>
          </w:p>
        </w:tc>
        <w:tc>
          <w:tcPr>
            <w:tcW w:w="2130" w:type="dxa"/>
          </w:tcPr>
          <w:p w14:paraId="33E13ED9" w14:textId="5CF53698" w:rsidR="0074459B" w:rsidRPr="0074459B" w:rsidRDefault="0074459B" w:rsidP="0074459B">
            <w:pPr>
              <w:spacing w:line="240" w:lineRule="auto"/>
              <w:contextualSpacing/>
              <w:jc w:val="center"/>
              <w:rPr>
                <w:b/>
                <w:bCs/>
                <w:sz w:val="20"/>
              </w:rPr>
            </w:pPr>
            <w:r w:rsidRPr="0074459B">
              <w:rPr>
                <w:b/>
                <w:bCs/>
              </w:rPr>
              <w:t>0.025</w:t>
            </w:r>
          </w:p>
        </w:tc>
      </w:tr>
      <w:tr w:rsidR="0074459B" w:rsidRPr="004E68C9" w14:paraId="4283DAB5" w14:textId="77777777" w:rsidTr="00C72795">
        <w:trPr>
          <w:trHeight w:val="283"/>
          <w:jc w:val="center"/>
        </w:trPr>
        <w:tc>
          <w:tcPr>
            <w:tcW w:w="2324" w:type="dxa"/>
            <w:vAlign w:val="bottom"/>
          </w:tcPr>
          <w:p w14:paraId="3CBA916C" w14:textId="6F15CC69" w:rsidR="0074459B" w:rsidRPr="004E68C9" w:rsidRDefault="0074459B" w:rsidP="0074459B">
            <w:pPr>
              <w:spacing w:line="240" w:lineRule="auto"/>
              <w:contextualSpacing/>
              <w:jc w:val="center"/>
              <w:rPr>
                <w:rFonts w:cs="Calibri"/>
                <w:sz w:val="20"/>
              </w:rPr>
            </w:pPr>
            <w:r w:rsidRPr="004E68C9">
              <w:rPr>
                <w:rFonts w:cs="Calibri"/>
                <w:sz w:val="20"/>
              </w:rPr>
              <w:t>2014, 2021</w:t>
            </w:r>
          </w:p>
        </w:tc>
        <w:tc>
          <w:tcPr>
            <w:tcW w:w="660" w:type="dxa"/>
          </w:tcPr>
          <w:p w14:paraId="5C69BF37" w14:textId="77777777" w:rsidR="0074459B" w:rsidRPr="004E68C9" w:rsidRDefault="0074459B" w:rsidP="0074459B">
            <w:pPr>
              <w:spacing w:line="240" w:lineRule="auto"/>
              <w:contextualSpacing/>
              <w:jc w:val="center"/>
              <w:rPr>
                <w:sz w:val="20"/>
              </w:rPr>
            </w:pPr>
          </w:p>
        </w:tc>
        <w:tc>
          <w:tcPr>
            <w:tcW w:w="1225" w:type="dxa"/>
          </w:tcPr>
          <w:p w14:paraId="5FD978CB" w14:textId="12BBB80F" w:rsidR="0074459B" w:rsidRPr="004E68C9" w:rsidRDefault="0074459B" w:rsidP="0074459B">
            <w:pPr>
              <w:spacing w:line="240" w:lineRule="auto"/>
              <w:contextualSpacing/>
              <w:jc w:val="center"/>
              <w:rPr>
                <w:sz w:val="20"/>
              </w:rPr>
            </w:pPr>
            <w:r w:rsidRPr="00FE558A">
              <w:t>*</w:t>
            </w:r>
          </w:p>
        </w:tc>
        <w:tc>
          <w:tcPr>
            <w:tcW w:w="2130" w:type="dxa"/>
          </w:tcPr>
          <w:p w14:paraId="34FBFF74" w14:textId="3FAB2AE5" w:rsidR="0074459B" w:rsidRPr="004E68C9" w:rsidRDefault="0074459B" w:rsidP="0074459B">
            <w:pPr>
              <w:spacing w:line="240" w:lineRule="auto"/>
              <w:contextualSpacing/>
              <w:jc w:val="center"/>
              <w:rPr>
                <w:b/>
                <w:bCs/>
                <w:sz w:val="20"/>
              </w:rPr>
            </w:pPr>
            <w:r w:rsidRPr="00FE558A">
              <w:t xml:space="preserve">       </w:t>
            </w:r>
          </w:p>
        </w:tc>
      </w:tr>
      <w:tr w:rsidR="0074459B" w:rsidRPr="004E68C9" w14:paraId="1A919E15" w14:textId="77777777" w:rsidTr="00C72795">
        <w:trPr>
          <w:trHeight w:val="283"/>
          <w:jc w:val="center"/>
        </w:trPr>
        <w:tc>
          <w:tcPr>
            <w:tcW w:w="2324" w:type="dxa"/>
            <w:vAlign w:val="bottom"/>
          </w:tcPr>
          <w:p w14:paraId="7F1B8D51" w14:textId="77777777" w:rsidR="0074459B" w:rsidRPr="004E68C9" w:rsidRDefault="0074459B" w:rsidP="0074459B">
            <w:pPr>
              <w:spacing w:line="240" w:lineRule="auto"/>
              <w:contextualSpacing/>
              <w:jc w:val="center"/>
              <w:rPr>
                <w:sz w:val="20"/>
              </w:rPr>
            </w:pPr>
            <w:r w:rsidRPr="004E68C9">
              <w:rPr>
                <w:rFonts w:cs="Calibri"/>
                <w:sz w:val="20"/>
              </w:rPr>
              <w:t>2015, 2016</w:t>
            </w:r>
          </w:p>
        </w:tc>
        <w:tc>
          <w:tcPr>
            <w:tcW w:w="660" w:type="dxa"/>
          </w:tcPr>
          <w:p w14:paraId="5F095AE7" w14:textId="77777777" w:rsidR="0074459B" w:rsidRPr="004E68C9" w:rsidRDefault="0074459B" w:rsidP="0074459B">
            <w:pPr>
              <w:spacing w:line="240" w:lineRule="auto"/>
              <w:contextualSpacing/>
              <w:jc w:val="center"/>
              <w:rPr>
                <w:sz w:val="20"/>
              </w:rPr>
            </w:pPr>
          </w:p>
        </w:tc>
        <w:tc>
          <w:tcPr>
            <w:tcW w:w="1225" w:type="dxa"/>
          </w:tcPr>
          <w:p w14:paraId="04F14123" w14:textId="2B521097" w:rsidR="0074459B" w:rsidRPr="004E68C9" w:rsidRDefault="0074459B" w:rsidP="0074459B">
            <w:pPr>
              <w:spacing w:line="240" w:lineRule="auto"/>
              <w:contextualSpacing/>
              <w:jc w:val="center"/>
              <w:rPr>
                <w:sz w:val="20"/>
              </w:rPr>
            </w:pPr>
            <w:r w:rsidRPr="00FE558A">
              <w:t>0.720</w:t>
            </w:r>
          </w:p>
        </w:tc>
        <w:tc>
          <w:tcPr>
            <w:tcW w:w="2130" w:type="dxa"/>
          </w:tcPr>
          <w:p w14:paraId="365CA0CD" w14:textId="43208EF3" w:rsidR="0074459B" w:rsidRPr="004E68C9" w:rsidRDefault="0074459B" w:rsidP="0074459B">
            <w:pPr>
              <w:spacing w:line="240" w:lineRule="auto"/>
              <w:contextualSpacing/>
              <w:jc w:val="center"/>
              <w:rPr>
                <w:sz w:val="20"/>
              </w:rPr>
            </w:pPr>
            <w:r w:rsidRPr="00FE558A">
              <w:t>0.714</w:t>
            </w:r>
          </w:p>
        </w:tc>
      </w:tr>
      <w:tr w:rsidR="0074459B" w:rsidRPr="004E68C9" w14:paraId="1BB63868" w14:textId="77777777" w:rsidTr="00C72795">
        <w:trPr>
          <w:trHeight w:val="283"/>
          <w:jc w:val="center"/>
        </w:trPr>
        <w:tc>
          <w:tcPr>
            <w:tcW w:w="2324" w:type="dxa"/>
            <w:vAlign w:val="bottom"/>
          </w:tcPr>
          <w:p w14:paraId="5F6A5BA7"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2015, 2017</w:t>
            </w:r>
          </w:p>
        </w:tc>
        <w:tc>
          <w:tcPr>
            <w:tcW w:w="660" w:type="dxa"/>
          </w:tcPr>
          <w:p w14:paraId="0E4AEF36" w14:textId="77777777" w:rsidR="0074459B" w:rsidRPr="004E68C9" w:rsidRDefault="0074459B" w:rsidP="0074459B">
            <w:pPr>
              <w:spacing w:line="240" w:lineRule="auto"/>
              <w:contextualSpacing/>
              <w:jc w:val="center"/>
              <w:rPr>
                <w:sz w:val="20"/>
              </w:rPr>
            </w:pPr>
          </w:p>
        </w:tc>
        <w:tc>
          <w:tcPr>
            <w:tcW w:w="1225" w:type="dxa"/>
          </w:tcPr>
          <w:p w14:paraId="6BC7A06A" w14:textId="7C2F5A29" w:rsidR="0074459B" w:rsidRPr="004E68C9" w:rsidRDefault="0074459B" w:rsidP="0074459B">
            <w:pPr>
              <w:spacing w:line="240" w:lineRule="auto"/>
              <w:contextualSpacing/>
              <w:jc w:val="center"/>
              <w:rPr>
                <w:b/>
                <w:noProof/>
                <w:sz w:val="20"/>
                <w:lang w:eastAsia="en-AU"/>
              </w:rPr>
            </w:pPr>
            <w:r w:rsidRPr="00FE558A">
              <w:t>0.845</w:t>
            </w:r>
          </w:p>
        </w:tc>
        <w:tc>
          <w:tcPr>
            <w:tcW w:w="2130" w:type="dxa"/>
          </w:tcPr>
          <w:p w14:paraId="6461EC61" w14:textId="652B4B84" w:rsidR="0074459B" w:rsidRPr="004E68C9" w:rsidRDefault="0074459B" w:rsidP="0074459B">
            <w:pPr>
              <w:spacing w:line="240" w:lineRule="auto"/>
              <w:contextualSpacing/>
              <w:jc w:val="center"/>
              <w:rPr>
                <w:noProof/>
                <w:sz w:val="20"/>
                <w:lang w:eastAsia="en-AU"/>
              </w:rPr>
            </w:pPr>
            <w:r w:rsidRPr="00FE558A">
              <w:t>1.000</w:t>
            </w:r>
          </w:p>
        </w:tc>
      </w:tr>
      <w:tr w:rsidR="0074459B" w:rsidRPr="004E68C9" w14:paraId="0E65C0E7" w14:textId="77777777" w:rsidTr="00C72795">
        <w:trPr>
          <w:trHeight w:val="283"/>
          <w:jc w:val="center"/>
        </w:trPr>
        <w:tc>
          <w:tcPr>
            <w:tcW w:w="2324" w:type="dxa"/>
            <w:vAlign w:val="bottom"/>
          </w:tcPr>
          <w:p w14:paraId="389EA83A"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2015, 2019</w:t>
            </w:r>
          </w:p>
        </w:tc>
        <w:tc>
          <w:tcPr>
            <w:tcW w:w="660" w:type="dxa"/>
          </w:tcPr>
          <w:p w14:paraId="39A8869F" w14:textId="77777777" w:rsidR="0074459B" w:rsidRPr="004E68C9" w:rsidRDefault="0074459B" w:rsidP="0074459B">
            <w:pPr>
              <w:spacing w:line="240" w:lineRule="auto"/>
              <w:contextualSpacing/>
              <w:jc w:val="center"/>
              <w:rPr>
                <w:sz w:val="20"/>
              </w:rPr>
            </w:pPr>
          </w:p>
        </w:tc>
        <w:tc>
          <w:tcPr>
            <w:tcW w:w="1225" w:type="dxa"/>
          </w:tcPr>
          <w:p w14:paraId="11415B87" w14:textId="2873BB7B" w:rsidR="0074459B" w:rsidRPr="004E68C9" w:rsidRDefault="0074459B" w:rsidP="0074459B">
            <w:pPr>
              <w:spacing w:line="240" w:lineRule="auto"/>
              <w:contextualSpacing/>
              <w:jc w:val="center"/>
              <w:rPr>
                <w:b/>
                <w:noProof/>
                <w:sz w:val="20"/>
                <w:lang w:eastAsia="en-AU"/>
              </w:rPr>
            </w:pPr>
            <w:r w:rsidRPr="00FE558A">
              <w:t>1.198</w:t>
            </w:r>
          </w:p>
        </w:tc>
        <w:tc>
          <w:tcPr>
            <w:tcW w:w="2130" w:type="dxa"/>
          </w:tcPr>
          <w:p w14:paraId="136114C0" w14:textId="4F85EA9B" w:rsidR="0074459B" w:rsidRPr="004E68C9" w:rsidRDefault="0074459B" w:rsidP="0074459B">
            <w:pPr>
              <w:spacing w:line="240" w:lineRule="auto"/>
              <w:contextualSpacing/>
              <w:jc w:val="center"/>
              <w:rPr>
                <w:noProof/>
                <w:sz w:val="20"/>
                <w:lang w:eastAsia="en-AU"/>
              </w:rPr>
            </w:pPr>
            <w:r w:rsidRPr="00FE558A">
              <w:t>0.257</w:t>
            </w:r>
          </w:p>
        </w:tc>
      </w:tr>
      <w:tr w:rsidR="0074459B" w:rsidRPr="004E68C9" w14:paraId="780E5DE5" w14:textId="77777777" w:rsidTr="00C72795">
        <w:trPr>
          <w:trHeight w:val="283"/>
          <w:jc w:val="center"/>
        </w:trPr>
        <w:tc>
          <w:tcPr>
            <w:tcW w:w="2324" w:type="dxa"/>
            <w:vAlign w:val="bottom"/>
          </w:tcPr>
          <w:p w14:paraId="70A60567"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2015, 2020</w:t>
            </w:r>
          </w:p>
        </w:tc>
        <w:tc>
          <w:tcPr>
            <w:tcW w:w="660" w:type="dxa"/>
          </w:tcPr>
          <w:p w14:paraId="2C2A360F" w14:textId="77777777" w:rsidR="0074459B" w:rsidRPr="004E68C9" w:rsidRDefault="0074459B" w:rsidP="0074459B">
            <w:pPr>
              <w:spacing w:line="240" w:lineRule="auto"/>
              <w:contextualSpacing/>
              <w:jc w:val="center"/>
              <w:rPr>
                <w:sz w:val="20"/>
              </w:rPr>
            </w:pPr>
          </w:p>
        </w:tc>
        <w:tc>
          <w:tcPr>
            <w:tcW w:w="1225" w:type="dxa"/>
          </w:tcPr>
          <w:p w14:paraId="6A6897D1" w14:textId="3787F068" w:rsidR="0074459B" w:rsidRPr="004E68C9" w:rsidRDefault="0074459B" w:rsidP="0074459B">
            <w:pPr>
              <w:spacing w:line="240" w:lineRule="auto"/>
              <w:contextualSpacing/>
              <w:jc w:val="center"/>
              <w:rPr>
                <w:b/>
                <w:noProof/>
                <w:sz w:val="20"/>
                <w:lang w:eastAsia="en-AU"/>
              </w:rPr>
            </w:pPr>
            <w:r w:rsidRPr="00FE558A">
              <w:t>4.076</w:t>
            </w:r>
          </w:p>
        </w:tc>
        <w:tc>
          <w:tcPr>
            <w:tcW w:w="2130" w:type="dxa"/>
          </w:tcPr>
          <w:p w14:paraId="499519DF" w14:textId="31C4B51C" w:rsidR="0074459B" w:rsidRPr="0074459B" w:rsidRDefault="0074459B" w:rsidP="0074459B">
            <w:pPr>
              <w:spacing w:line="240" w:lineRule="auto"/>
              <w:contextualSpacing/>
              <w:jc w:val="center"/>
              <w:rPr>
                <w:b/>
                <w:bCs/>
                <w:noProof/>
                <w:sz w:val="20"/>
                <w:lang w:eastAsia="en-AU"/>
              </w:rPr>
            </w:pPr>
            <w:r w:rsidRPr="0074459B">
              <w:rPr>
                <w:b/>
                <w:bCs/>
              </w:rPr>
              <w:t>0.029</w:t>
            </w:r>
          </w:p>
        </w:tc>
      </w:tr>
      <w:tr w:rsidR="0074459B" w:rsidRPr="004E68C9" w14:paraId="6949B476" w14:textId="77777777" w:rsidTr="00C72795">
        <w:trPr>
          <w:trHeight w:val="283"/>
          <w:jc w:val="center"/>
        </w:trPr>
        <w:tc>
          <w:tcPr>
            <w:tcW w:w="2324" w:type="dxa"/>
            <w:vAlign w:val="bottom"/>
          </w:tcPr>
          <w:p w14:paraId="5EF3CF49" w14:textId="6ECB5B70" w:rsidR="0074459B" w:rsidRPr="004E68C9" w:rsidRDefault="0074459B" w:rsidP="0074459B">
            <w:pPr>
              <w:spacing w:line="240" w:lineRule="auto"/>
              <w:contextualSpacing/>
              <w:jc w:val="center"/>
              <w:rPr>
                <w:rFonts w:cs="Calibri"/>
                <w:sz w:val="20"/>
              </w:rPr>
            </w:pPr>
            <w:r w:rsidRPr="004E68C9">
              <w:rPr>
                <w:rFonts w:cs="Calibri"/>
                <w:sz w:val="20"/>
              </w:rPr>
              <w:t>2015, 2021</w:t>
            </w:r>
          </w:p>
        </w:tc>
        <w:tc>
          <w:tcPr>
            <w:tcW w:w="660" w:type="dxa"/>
          </w:tcPr>
          <w:p w14:paraId="4A63F9B0" w14:textId="77777777" w:rsidR="0074459B" w:rsidRPr="004E68C9" w:rsidRDefault="0074459B" w:rsidP="0074459B">
            <w:pPr>
              <w:spacing w:line="240" w:lineRule="auto"/>
              <w:contextualSpacing/>
              <w:jc w:val="center"/>
              <w:rPr>
                <w:sz w:val="20"/>
              </w:rPr>
            </w:pPr>
          </w:p>
        </w:tc>
        <w:tc>
          <w:tcPr>
            <w:tcW w:w="1225" w:type="dxa"/>
          </w:tcPr>
          <w:p w14:paraId="786EAA6D" w14:textId="4D50DDD6" w:rsidR="0074459B" w:rsidRPr="004E68C9" w:rsidRDefault="0074459B" w:rsidP="0074459B">
            <w:pPr>
              <w:spacing w:line="240" w:lineRule="auto"/>
              <w:contextualSpacing/>
              <w:jc w:val="center"/>
              <w:rPr>
                <w:sz w:val="20"/>
              </w:rPr>
            </w:pPr>
            <w:r w:rsidRPr="00FE558A">
              <w:t>1.139</w:t>
            </w:r>
          </w:p>
        </w:tc>
        <w:tc>
          <w:tcPr>
            <w:tcW w:w="2130" w:type="dxa"/>
          </w:tcPr>
          <w:p w14:paraId="488D2177" w14:textId="6DDAE25F" w:rsidR="0074459B" w:rsidRPr="004E68C9" w:rsidRDefault="0074459B" w:rsidP="0074459B">
            <w:pPr>
              <w:spacing w:line="240" w:lineRule="auto"/>
              <w:contextualSpacing/>
              <w:jc w:val="center"/>
              <w:rPr>
                <w:sz w:val="20"/>
              </w:rPr>
            </w:pPr>
            <w:r w:rsidRPr="00FE558A">
              <w:t>0.441</w:t>
            </w:r>
          </w:p>
        </w:tc>
      </w:tr>
      <w:tr w:rsidR="0074459B" w:rsidRPr="004E68C9" w14:paraId="3E5F58C6" w14:textId="77777777" w:rsidTr="00C72795">
        <w:trPr>
          <w:trHeight w:val="283"/>
          <w:jc w:val="center"/>
        </w:trPr>
        <w:tc>
          <w:tcPr>
            <w:tcW w:w="2324" w:type="dxa"/>
            <w:vAlign w:val="bottom"/>
          </w:tcPr>
          <w:p w14:paraId="5A350AE2"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2016, 2017</w:t>
            </w:r>
          </w:p>
        </w:tc>
        <w:tc>
          <w:tcPr>
            <w:tcW w:w="660" w:type="dxa"/>
          </w:tcPr>
          <w:p w14:paraId="3FEF6122" w14:textId="77777777" w:rsidR="0074459B" w:rsidRPr="004E68C9" w:rsidRDefault="0074459B" w:rsidP="0074459B">
            <w:pPr>
              <w:spacing w:line="240" w:lineRule="auto"/>
              <w:contextualSpacing/>
              <w:jc w:val="center"/>
              <w:rPr>
                <w:sz w:val="20"/>
              </w:rPr>
            </w:pPr>
          </w:p>
        </w:tc>
        <w:tc>
          <w:tcPr>
            <w:tcW w:w="1225" w:type="dxa"/>
          </w:tcPr>
          <w:p w14:paraId="5D6E37CE" w14:textId="7335240F" w:rsidR="0074459B" w:rsidRPr="004E68C9" w:rsidRDefault="0074459B" w:rsidP="0074459B">
            <w:pPr>
              <w:spacing w:line="240" w:lineRule="auto"/>
              <w:contextualSpacing/>
              <w:jc w:val="center"/>
              <w:rPr>
                <w:b/>
                <w:noProof/>
                <w:sz w:val="20"/>
                <w:lang w:eastAsia="en-AU"/>
              </w:rPr>
            </w:pPr>
            <w:r w:rsidRPr="00FE558A">
              <w:t>1.454</w:t>
            </w:r>
          </w:p>
        </w:tc>
        <w:tc>
          <w:tcPr>
            <w:tcW w:w="2130" w:type="dxa"/>
          </w:tcPr>
          <w:p w14:paraId="685FCD99" w14:textId="3B0FDC27" w:rsidR="0074459B" w:rsidRPr="004E68C9" w:rsidRDefault="0074459B" w:rsidP="0074459B">
            <w:pPr>
              <w:spacing w:line="240" w:lineRule="auto"/>
              <w:contextualSpacing/>
              <w:jc w:val="center"/>
              <w:rPr>
                <w:b/>
                <w:bCs/>
                <w:noProof/>
                <w:sz w:val="20"/>
                <w:lang w:eastAsia="en-AU"/>
              </w:rPr>
            </w:pPr>
            <w:r w:rsidRPr="00FE558A">
              <w:t>0.429</w:t>
            </w:r>
          </w:p>
        </w:tc>
      </w:tr>
      <w:tr w:rsidR="0074459B" w:rsidRPr="004E68C9" w14:paraId="0AA1AD5E" w14:textId="77777777" w:rsidTr="00C72795">
        <w:trPr>
          <w:trHeight w:val="283"/>
          <w:jc w:val="center"/>
        </w:trPr>
        <w:tc>
          <w:tcPr>
            <w:tcW w:w="2324" w:type="dxa"/>
            <w:vAlign w:val="bottom"/>
          </w:tcPr>
          <w:p w14:paraId="6ADD76DF"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2016, 2019</w:t>
            </w:r>
          </w:p>
        </w:tc>
        <w:tc>
          <w:tcPr>
            <w:tcW w:w="660" w:type="dxa"/>
          </w:tcPr>
          <w:p w14:paraId="4D264C23" w14:textId="77777777" w:rsidR="0074459B" w:rsidRPr="004E68C9" w:rsidRDefault="0074459B" w:rsidP="0074459B">
            <w:pPr>
              <w:spacing w:line="240" w:lineRule="auto"/>
              <w:contextualSpacing/>
              <w:jc w:val="center"/>
              <w:rPr>
                <w:sz w:val="20"/>
              </w:rPr>
            </w:pPr>
          </w:p>
        </w:tc>
        <w:tc>
          <w:tcPr>
            <w:tcW w:w="1225" w:type="dxa"/>
          </w:tcPr>
          <w:p w14:paraId="5143AFC2" w14:textId="6F7FABC4" w:rsidR="0074459B" w:rsidRPr="004E68C9" w:rsidRDefault="0074459B" w:rsidP="0074459B">
            <w:pPr>
              <w:spacing w:line="240" w:lineRule="auto"/>
              <w:contextualSpacing/>
              <w:jc w:val="center"/>
              <w:rPr>
                <w:b/>
                <w:noProof/>
                <w:sz w:val="20"/>
                <w:lang w:eastAsia="en-AU"/>
              </w:rPr>
            </w:pPr>
            <w:r w:rsidRPr="00FE558A">
              <w:t>0.482</w:t>
            </w:r>
          </w:p>
        </w:tc>
        <w:tc>
          <w:tcPr>
            <w:tcW w:w="2130" w:type="dxa"/>
          </w:tcPr>
          <w:p w14:paraId="2CBA8589" w14:textId="25BB0615" w:rsidR="0074459B" w:rsidRPr="004E68C9" w:rsidRDefault="0074459B" w:rsidP="0074459B">
            <w:pPr>
              <w:spacing w:line="240" w:lineRule="auto"/>
              <w:contextualSpacing/>
              <w:jc w:val="center"/>
              <w:rPr>
                <w:noProof/>
                <w:sz w:val="20"/>
                <w:lang w:eastAsia="en-AU"/>
              </w:rPr>
            </w:pPr>
            <w:r w:rsidRPr="00FE558A">
              <w:t>0.653</w:t>
            </w:r>
          </w:p>
        </w:tc>
      </w:tr>
      <w:tr w:rsidR="0074459B" w:rsidRPr="004E68C9" w14:paraId="1890FE05" w14:textId="77777777" w:rsidTr="00C72795">
        <w:trPr>
          <w:trHeight w:val="283"/>
          <w:jc w:val="center"/>
        </w:trPr>
        <w:tc>
          <w:tcPr>
            <w:tcW w:w="2324" w:type="dxa"/>
            <w:vAlign w:val="bottom"/>
          </w:tcPr>
          <w:p w14:paraId="7784A565"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2016, 2020</w:t>
            </w:r>
          </w:p>
        </w:tc>
        <w:tc>
          <w:tcPr>
            <w:tcW w:w="660" w:type="dxa"/>
          </w:tcPr>
          <w:p w14:paraId="36CA0103" w14:textId="77777777" w:rsidR="0074459B" w:rsidRPr="004E68C9" w:rsidRDefault="0074459B" w:rsidP="0074459B">
            <w:pPr>
              <w:spacing w:line="240" w:lineRule="auto"/>
              <w:contextualSpacing/>
              <w:jc w:val="center"/>
              <w:rPr>
                <w:sz w:val="20"/>
              </w:rPr>
            </w:pPr>
          </w:p>
        </w:tc>
        <w:tc>
          <w:tcPr>
            <w:tcW w:w="1225" w:type="dxa"/>
          </w:tcPr>
          <w:p w14:paraId="7E95AA86" w14:textId="7C47CF30" w:rsidR="0074459B" w:rsidRPr="004E68C9" w:rsidRDefault="0074459B" w:rsidP="0074459B">
            <w:pPr>
              <w:spacing w:line="240" w:lineRule="auto"/>
              <w:contextualSpacing/>
              <w:jc w:val="center"/>
              <w:rPr>
                <w:b/>
                <w:noProof/>
                <w:sz w:val="20"/>
                <w:lang w:eastAsia="en-AU"/>
              </w:rPr>
            </w:pPr>
            <w:r w:rsidRPr="00FE558A">
              <w:t>2.571</w:t>
            </w:r>
          </w:p>
        </w:tc>
        <w:tc>
          <w:tcPr>
            <w:tcW w:w="2130" w:type="dxa"/>
          </w:tcPr>
          <w:p w14:paraId="4EBBE019" w14:textId="768340F3" w:rsidR="0074459B" w:rsidRPr="004E68C9" w:rsidRDefault="0074459B" w:rsidP="0074459B">
            <w:pPr>
              <w:spacing w:line="240" w:lineRule="auto"/>
              <w:contextualSpacing/>
              <w:jc w:val="center"/>
              <w:rPr>
                <w:noProof/>
                <w:sz w:val="20"/>
                <w:lang w:eastAsia="en-AU"/>
              </w:rPr>
            </w:pPr>
            <w:r w:rsidRPr="00FE558A">
              <w:t>0.057</w:t>
            </w:r>
          </w:p>
        </w:tc>
      </w:tr>
      <w:tr w:rsidR="0074459B" w:rsidRPr="004E68C9" w14:paraId="0E2BD93D" w14:textId="77777777" w:rsidTr="00C72795">
        <w:trPr>
          <w:trHeight w:val="283"/>
          <w:jc w:val="center"/>
        </w:trPr>
        <w:tc>
          <w:tcPr>
            <w:tcW w:w="2324" w:type="dxa"/>
            <w:vAlign w:val="bottom"/>
          </w:tcPr>
          <w:p w14:paraId="7D7901C4" w14:textId="0A7FC623" w:rsidR="0074459B" w:rsidRPr="004E68C9" w:rsidRDefault="0074459B" w:rsidP="0074459B">
            <w:pPr>
              <w:spacing w:line="240" w:lineRule="auto"/>
              <w:contextualSpacing/>
              <w:jc w:val="center"/>
              <w:rPr>
                <w:rFonts w:cs="Calibri"/>
                <w:sz w:val="20"/>
              </w:rPr>
            </w:pPr>
            <w:r w:rsidRPr="004E68C9">
              <w:rPr>
                <w:rFonts w:cs="Calibri"/>
                <w:sz w:val="20"/>
              </w:rPr>
              <w:t>2016, 2021</w:t>
            </w:r>
          </w:p>
        </w:tc>
        <w:tc>
          <w:tcPr>
            <w:tcW w:w="660" w:type="dxa"/>
          </w:tcPr>
          <w:p w14:paraId="2645CA58" w14:textId="77777777" w:rsidR="0074459B" w:rsidRPr="004E68C9" w:rsidRDefault="0074459B" w:rsidP="0074459B">
            <w:pPr>
              <w:spacing w:line="240" w:lineRule="auto"/>
              <w:contextualSpacing/>
              <w:jc w:val="center"/>
              <w:rPr>
                <w:sz w:val="20"/>
              </w:rPr>
            </w:pPr>
          </w:p>
        </w:tc>
        <w:tc>
          <w:tcPr>
            <w:tcW w:w="1225" w:type="dxa"/>
          </w:tcPr>
          <w:p w14:paraId="5E705B79" w14:textId="04EB24B5" w:rsidR="0074459B" w:rsidRPr="004E68C9" w:rsidRDefault="0074459B" w:rsidP="0074459B">
            <w:pPr>
              <w:spacing w:line="240" w:lineRule="auto"/>
              <w:contextualSpacing/>
              <w:jc w:val="center"/>
              <w:rPr>
                <w:sz w:val="20"/>
              </w:rPr>
            </w:pPr>
            <w:r w:rsidRPr="00FE558A">
              <w:t>1.958</w:t>
            </w:r>
          </w:p>
        </w:tc>
        <w:tc>
          <w:tcPr>
            <w:tcW w:w="2130" w:type="dxa"/>
          </w:tcPr>
          <w:p w14:paraId="17721211" w14:textId="35182856" w:rsidR="0074459B" w:rsidRPr="004E68C9" w:rsidRDefault="0074459B" w:rsidP="0074459B">
            <w:pPr>
              <w:spacing w:line="240" w:lineRule="auto"/>
              <w:contextualSpacing/>
              <w:jc w:val="center"/>
              <w:rPr>
                <w:sz w:val="20"/>
              </w:rPr>
            </w:pPr>
            <w:r w:rsidRPr="00FE558A">
              <w:t>0.167</w:t>
            </w:r>
          </w:p>
        </w:tc>
      </w:tr>
      <w:tr w:rsidR="0074459B" w:rsidRPr="004E68C9" w14:paraId="69F17D20" w14:textId="77777777" w:rsidTr="00C72795">
        <w:trPr>
          <w:trHeight w:val="283"/>
          <w:jc w:val="center"/>
        </w:trPr>
        <w:tc>
          <w:tcPr>
            <w:tcW w:w="2324" w:type="dxa"/>
            <w:vAlign w:val="bottom"/>
          </w:tcPr>
          <w:p w14:paraId="0D6DBE9E"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2017, 2019</w:t>
            </w:r>
          </w:p>
        </w:tc>
        <w:tc>
          <w:tcPr>
            <w:tcW w:w="660" w:type="dxa"/>
          </w:tcPr>
          <w:p w14:paraId="46365ABC" w14:textId="77777777" w:rsidR="0074459B" w:rsidRPr="004E68C9" w:rsidRDefault="0074459B" w:rsidP="0074459B">
            <w:pPr>
              <w:spacing w:line="240" w:lineRule="auto"/>
              <w:contextualSpacing/>
              <w:jc w:val="center"/>
              <w:rPr>
                <w:sz w:val="20"/>
              </w:rPr>
            </w:pPr>
          </w:p>
        </w:tc>
        <w:tc>
          <w:tcPr>
            <w:tcW w:w="1225" w:type="dxa"/>
          </w:tcPr>
          <w:p w14:paraId="2E43C600" w14:textId="24305A35" w:rsidR="0074459B" w:rsidRPr="004E68C9" w:rsidRDefault="0074459B" w:rsidP="0074459B">
            <w:pPr>
              <w:spacing w:line="240" w:lineRule="auto"/>
              <w:contextualSpacing/>
              <w:jc w:val="center"/>
              <w:rPr>
                <w:b/>
                <w:noProof/>
                <w:sz w:val="20"/>
                <w:lang w:eastAsia="en-AU"/>
              </w:rPr>
            </w:pPr>
            <w:r w:rsidRPr="00FE558A">
              <w:t>2.000</w:t>
            </w:r>
          </w:p>
        </w:tc>
        <w:tc>
          <w:tcPr>
            <w:tcW w:w="2130" w:type="dxa"/>
          </w:tcPr>
          <w:p w14:paraId="790FB075" w14:textId="460702FC" w:rsidR="0074459B" w:rsidRPr="004E68C9" w:rsidRDefault="0074459B" w:rsidP="0074459B">
            <w:pPr>
              <w:spacing w:line="240" w:lineRule="auto"/>
              <w:contextualSpacing/>
              <w:jc w:val="center"/>
              <w:rPr>
                <w:b/>
                <w:bCs/>
                <w:noProof/>
                <w:sz w:val="20"/>
                <w:lang w:eastAsia="en-AU"/>
              </w:rPr>
            </w:pPr>
            <w:r w:rsidRPr="00FE558A">
              <w:t>0.397</w:t>
            </w:r>
          </w:p>
        </w:tc>
      </w:tr>
      <w:tr w:rsidR="0074459B" w:rsidRPr="004E68C9" w14:paraId="5FF38E92" w14:textId="77777777" w:rsidTr="00C72795">
        <w:trPr>
          <w:trHeight w:val="283"/>
          <w:jc w:val="center"/>
        </w:trPr>
        <w:tc>
          <w:tcPr>
            <w:tcW w:w="2324" w:type="dxa"/>
            <w:vAlign w:val="bottom"/>
          </w:tcPr>
          <w:p w14:paraId="705A21F1"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2017, 2020</w:t>
            </w:r>
          </w:p>
        </w:tc>
        <w:tc>
          <w:tcPr>
            <w:tcW w:w="660" w:type="dxa"/>
          </w:tcPr>
          <w:p w14:paraId="4CD51B47" w14:textId="77777777" w:rsidR="0074459B" w:rsidRPr="004E68C9" w:rsidRDefault="0074459B" w:rsidP="0074459B">
            <w:pPr>
              <w:spacing w:line="240" w:lineRule="auto"/>
              <w:contextualSpacing/>
              <w:jc w:val="center"/>
              <w:rPr>
                <w:sz w:val="20"/>
              </w:rPr>
            </w:pPr>
          </w:p>
        </w:tc>
        <w:tc>
          <w:tcPr>
            <w:tcW w:w="1225" w:type="dxa"/>
          </w:tcPr>
          <w:p w14:paraId="26844F08" w14:textId="2309E232" w:rsidR="0074459B" w:rsidRPr="004E68C9" w:rsidRDefault="0074459B" w:rsidP="0074459B">
            <w:pPr>
              <w:spacing w:line="240" w:lineRule="auto"/>
              <w:contextualSpacing/>
              <w:jc w:val="center"/>
              <w:rPr>
                <w:b/>
                <w:noProof/>
                <w:sz w:val="20"/>
                <w:lang w:eastAsia="en-AU"/>
              </w:rPr>
            </w:pPr>
            <w:r w:rsidRPr="00FE558A">
              <w:t>8.407</w:t>
            </w:r>
          </w:p>
        </w:tc>
        <w:tc>
          <w:tcPr>
            <w:tcW w:w="2130" w:type="dxa"/>
          </w:tcPr>
          <w:p w14:paraId="3CD8B063" w14:textId="5E82D70F" w:rsidR="0074459B" w:rsidRPr="0074459B" w:rsidRDefault="0074459B" w:rsidP="0074459B">
            <w:pPr>
              <w:spacing w:line="240" w:lineRule="auto"/>
              <w:contextualSpacing/>
              <w:jc w:val="center"/>
              <w:rPr>
                <w:b/>
                <w:bCs/>
                <w:noProof/>
                <w:sz w:val="20"/>
                <w:lang w:eastAsia="en-AU"/>
              </w:rPr>
            </w:pPr>
            <w:r w:rsidRPr="0074459B">
              <w:rPr>
                <w:b/>
                <w:bCs/>
              </w:rPr>
              <w:t>0.030</w:t>
            </w:r>
          </w:p>
        </w:tc>
      </w:tr>
      <w:tr w:rsidR="0074459B" w:rsidRPr="004E68C9" w14:paraId="4D4BDD1F" w14:textId="77777777" w:rsidTr="00C72795">
        <w:trPr>
          <w:trHeight w:val="283"/>
          <w:jc w:val="center"/>
        </w:trPr>
        <w:tc>
          <w:tcPr>
            <w:tcW w:w="2324" w:type="dxa"/>
            <w:vAlign w:val="bottom"/>
          </w:tcPr>
          <w:p w14:paraId="18B2A8A5" w14:textId="6E702718" w:rsidR="0074459B" w:rsidRPr="004E68C9" w:rsidRDefault="0074459B" w:rsidP="0074459B">
            <w:pPr>
              <w:spacing w:line="240" w:lineRule="auto"/>
              <w:contextualSpacing/>
              <w:jc w:val="center"/>
              <w:rPr>
                <w:rFonts w:cs="Calibri"/>
                <w:sz w:val="20"/>
              </w:rPr>
            </w:pPr>
            <w:r w:rsidRPr="004E68C9">
              <w:rPr>
                <w:rFonts w:cs="Calibri"/>
                <w:sz w:val="20"/>
              </w:rPr>
              <w:t>2017, 2021</w:t>
            </w:r>
          </w:p>
        </w:tc>
        <w:tc>
          <w:tcPr>
            <w:tcW w:w="660" w:type="dxa"/>
          </w:tcPr>
          <w:p w14:paraId="18FC8694" w14:textId="77777777" w:rsidR="0074459B" w:rsidRPr="004E68C9" w:rsidRDefault="0074459B" w:rsidP="0074459B">
            <w:pPr>
              <w:spacing w:line="240" w:lineRule="auto"/>
              <w:contextualSpacing/>
              <w:jc w:val="center"/>
              <w:rPr>
                <w:sz w:val="20"/>
              </w:rPr>
            </w:pPr>
          </w:p>
        </w:tc>
        <w:tc>
          <w:tcPr>
            <w:tcW w:w="1225" w:type="dxa"/>
          </w:tcPr>
          <w:p w14:paraId="2AC39DEE" w14:textId="63EDCA7C" w:rsidR="0074459B" w:rsidRPr="004E68C9" w:rsidRDefault="0074459B" w:rsidP="0074459B">
            <w:pPr>
              <w:spacing w:line="240" w:lineRule="auto"/>
              <w:contextualSpacing/>
              <w:jc w:val="center"/>
              <w:rPr>
                <w:sz w:val="20"/>
              </w:rPr>
            </w:pPr>
            <w:r w:rsidRPr="00FE558A">
              <w:t>*</w:t>
            </w:r>
          </w:p>
        </w:tc>
        <w:tc>
          <w:tcPr>
            <w:tcW w:w="2130" w:type="dxa"/>
          </w:tcPr>
          <w:p w14:paraId="2D8E75D9" w14:textId="5B50144A" w:rsidR="0074459B" w:rsidRPr="004E68C9" w:rsidRDefault="0074459B" w:rsidP="0074459B">
            <w:pPr>
              <w:spacing w:line="240" w:lineRule="auto"/>
              <w:contextualSpacing/>
              <w:jc w:val="center"/>
              <w:rPr>
                <w:b/>
                <w:bCs/>
                <w:sz w:val="20"/>
              </w:rPr>
            </w:pPr>
            <w:r w:rsidRPr="00FE558A">
              <w:t xml:space="preserve">       </w:t>
            </w:r>
          </w:p>
        </w:tc>
      </w:tr>
      <w:tr w:rsidR="0074459B" w:rsidRPr="004E68C9" w14:paraId="7B66124E" w14:textId="77777777" w:rsidTr="002509E9">
        <w:trPr>
          <w:trHeight w:val="283"/>
          <w:jc w:val="center"/>
        </w:trPr>
        <w:tc>
          <w:tcPr>
            <w:tcW w:w="2324" w:type="dxa"/>
            <w:vAlign w:val="bottom"/>
          </w:tcPr>
          <w:p w14:paraId="1DB15141" w14:textId="77777777" w:rsidR="0074459B" w:rsidRPr="004E68C9" w:rsidRDefault="0074459B" w:rsidP="0074459B">
            <w:pPr>
              <w:spacing w:line="240" w:lineRule="auto"/>
              <w:contextualSpacing/>
              <w:jc w:val="center"/>
              <w:rPr>
                <w:b/>
                <w:noProof/>
                <w:sz w:val="20"/>
                <w:lang w:eastAsia="en-AU"/>
              </w:rPr>
            </w:pPr>
            <w:r w:rsidRPr="004E68C9">
              <w:rPr>
                <w:rFonts w:cs="Calibri"/>
                <w:sz w:val="20"/>
              </w:rPr>
              <w:t>2019, 2020</w:t>
            </w:r>
          </w:p>
        </w:tc>
        <w:tc>
          <w:tcPr>
            <w:tcW w:w="660" w:type="dxa"/>
          </w:tcPr>
          <w:p w14:paraId="3686F8C4" w14:textId="77777777" w:rsidR="0074459B" w:rsidRPr="004E68C9" w:rsidRDefault="0074459B" w:rsidP="0074459B">
            <w:pPr>
              <w:spacing w:line="240" w:lineRule="auto"/>
              <w:contextualSpacing/>
              <w:jc w:val="center"/>
              <w:rPr>
                <w:sz w:val="20"/>
              </w:rPr>
            </w:pPr>
          </w:p>
        </w:tc>
        <w:tc>
          <w:tcPr>
            <w:tcW w:w="1225" w:type="dxa"/>
          </w:tcPr>
          <w:p w14:paraId="73023BFC" w14:textId="3E0FE404" w:rsidR="0074459B" w:rsidRPr="004E68C9" w:rsidRDefault="0074459B" w:rsidP="0074459B">
            <w:pPr>
              <w:spacing w:line="240" w:lineRule="auto"/>
              <w:contextualSpacing/>
              <w:jc w:val="center"/>
              <w:rPr>
                <w:b/>
                <w:noProof/>
                <w:sz w:val="20"/>
                <w:lang w:eastAsia="en-AU"/>
              </w:rPr>
            </w:pPr>
            <w:r w:rsidRPr="00FE558A">
              <w:t>1.769</w:t>
            </w:r>
          </w:p>
        </w:tc>
        <w:tc>
          <w:tcPr>
            <w:tcW w:w="2130" w:type="dxa"/>
          </w:tcPr>
          <w:p w14:paraId="37C42902" w14:textId="7FA71C3E" w:rsidR="0074459B" w:rsidRPr="004E68C9" w:rsidRDefault="0074459B" w:rsidP="0074459B">
            <w:pPr>
              <w:spacing w:line="240" w:lineRule="auto"/>
              <w:contextualSpacing/>
              <w:jc w:val="center"/>
              <w:rPr>
                <w:b/>
                <w:noProof/>
                <w:sz w:val="20"/>
                <w:lang w:eastAsia="en-AU"/>
              </w:rPr>
            </w:pPr>
            <w:r w:rsidRPr="00FE558A">
              <w:t>0.115</w:t>
            </w:r>
          </w:p>
        </w:tc>
      </w:tr>
      <w:tr w:rsidR="0074459B" w:rsidRPr="004E68C9" w14:paraId="1272B954" w14:textId="77777777" w:rsidTr="002509E9">
        <w:trPr>
          <w:trHeight w:val="283"/>
          <w:jc w:val="center"/>
        </w:trPr>
        <w:tc>
          <w:tcPr>
            <w:tcW w:w="2324" w:type="dxa"/>
            <w:vAlign w:val="bottom"/>
          </w:tcPr>
          <w:p w14:paraId="11B9FE19" w14:textId="62E0D64C" w:rsidR="0074459B" w:rsidRPr="004E68C9" w:rsidRDefault="0074459B" w:rsidP="0074459B">
            <w:pPr>
              <w:spacing w:line="240" w:lineRule="auto"/>
              <w:contextualSpacing/>
              <w:jc w:val="center"/>
              <w:rPr>
                <w:rFonts w:cs="Calibri"/>
                <w:sz w:val="20"/>
              </w:rPr>
            </w:pPr>
            <w:r w:rsidRPr="004E68C9">
              <w:rPr>
                <w:rFonts w:cs="Calibri"/>
                <w:sz w:val="20"/>
              </w:rPr>
              <w:t>2019, 2021</w:t>
            </w:r>
          </w:p>
        </w:tc>
        <w:tc>
          <w:tcPr>
            <w:tcW w:w="660" w:type="dxa"/>
          </w:tcPr>
          <w:p w14:paraId="2755B6B0" w14:textId="77777777" w:rsidR="0074459B" w:rsidRPr="004E68C9" w:rsidRDefault="0074459B" w:rsidP="0074459B">
            <w:pPr>
              <w:spacing w:line="240" w:lineRule="auto"/>
              <w:contextualSpacing/>
              <w:jc w:val="center"/>
              <w:rPr>
                <w:sz w:val="20"/>
              </w:rPr>
            </w:pPr>
          </w:p>
        </w:tc>
        <w:tc>
          <w:tcPr>
            <w:tcW w:w="1225" w:type="dxa"/>
          </w:tcPr>
          <w:p w14:paraId="1E4E3ADB" w14:textId="3EABAB6B" w:rsidR="0074459B" w:rsidRPr="004E68C9" w:rsidRDefault="0074459B" w:rsidP="0074459B">
            <w:pPr>
              <w:spacing w:line="240" w:lineRule="auto"/>
              <w:contextualSpacing/>
              <w:jc w:val="center"/>
              <w:rPr>
                <w:sz w:val="20"/>
              </w:rPr>
            </w:pPr>
            <w:r w:rsidRPr="00FE558A">
              <w:t>2.738</w:t>
            </w:r>
          </w:p>
        </w:tc>
        <w:tc>
          <w:tcPr>
            <w:tcW w:w="2130" w:type="dxa"/>
          </w:tcPr>
          <w:p w14:paraId="3A34B0E3" w14:textId="4582518E" w:rsidR="0074459B" w:rsidRPr="004E68C9" w:rsidRDefault="0074459B" w:rsidP="0074459B">
            <w:pPr>
              <w:spacing w:line="240" w:lineRule="auto"/>
              <w:contextualSpacing/>
              <w:jc w:val="center"/>
              <w:rPr>
                <w:sz w:val="20"/>
              </w:rPr>
            </w:pPr>
            <w:r w:rsidRPr="00FE558A">
              <w:t>0.103</w:t>
            </w:r>
          </w:p>
        </w:tc>
      </w:tr>
      <w:tr w:rsidR="0074459B" w:rsidRPr="004E68C9" w14:paraId="3492810E" w14:textId="77777777" w:rsidTr="00C72795">
        <w:trPr>
          <w:trHeight w:val="283"/>
          <w:jc w:val="center"/>
        </w:trPr>
        <w:tc>
          <w:tcPr>
            <w:tcW w:w="2324" w:type="dxa"/>
            <w:tcBorders>
              <w:bottom w:val="single" w:sz="4" w:space="0" w:color="auto"/>
            </w:tcBorders>
            <w:vAlign w:val="bottom"/>
          </w:tcPr>
          <w:p w14:paraId="7B0C8038" w14:textId="668A1A8B" w:rsidR="0074459B" w:rsidRPr="004E68C9" w:rsidRDefault="0074459B" w:rsidP="0074459B">
            <w:pPr>
              <w:spacing w:line="240" w:lineRule="auto"/>
              <w:contextualSpacing/>
              <w:jc w:val="center"/>
              <w:rPr>
                <w:rFonts w:cs="Calibri"/>
                <w:sz w:val="20"/>
              </w:rPr>
            </w:pPr>
            <w:r w:rsidRPr="004E68C9">
              <w:rPr>
                <w:rFonts w:cs="Calibri"/>
                <w:sz w:val="20"/>
              </w:rPr>
              <w:t>2020, 2021</w:t>
            </w:r>
          </w:p>
        </w:tc>
        <w:tc>
          <w:tcPr>
            <w:tcW w:w="660" w:type="dxa"/>
            <w:tcBorders>
              <w:bottom w:val="single" w:sz="4" w:space="0" w:color="auto"/>
            </w:tcBorders>
          </w:tcPr>
          <w:p w14:paraId="299FDA82" w14:textId="77777777" w:rsidR="0074459B" w:rsidRPr="004E68C9" w:rsidRDefault="0074459B" w:rsidP="0074459B">
            <w:pPr>
              <w:spacing w:line="240" w:lineRule="auto"/>
              <w:contextualSpacing/>
              <w:jc w:val="center"/>
              <w:rPr>
                <w:sz w:val="20"/>
              </w:rPr>
            </w:pPr>
          </w:p>
        </w:tc>
        <w:tc>
          <w:tcPr>
            <w:tcW w:w="1225" w:type="dxa"/>
            <w:tcBorders>
              <w:bottom w:val="single" w:sz="4" w:space="0" w:color="auto"/>
            </w:tcBorders>
          </w:tcPr>
          <w:p w14:paraId="748E71EF" w14:textId="41454939" w:rsidR="0074459B" w:rsidRPr="004E68C9" w:rsidRDefault="0074459B" w:rsidP="0074459B">
            <w:pPr>
              <w:spacing w:line="240" w:lineRule="auto"/>
              <w:contextualSpacing/>
              <w:jc w:val="center"/>
              <w:rPr>
                <w:sz w:val="20"/>
              </w:rPr>
            </w:pPr>
            <w:r w:rsidRPr="00FE558A">
              <w:t>11.326</w:t>
            </w:r>
          </w:p>
        </w:tc>
        <w:tc>
          <w:tcPr>
            <w:tcW w:w="2130" w:type="dxa"/>
            <w:tcBorders>
              <w:bottom w:val="single" w:sz="4" w:space="0" w:color="auto"/>
            </w:tcBorders>
          </w:tcPr>
          <w:p w14:paraId="17B5CD52" w14:textId="7DFBBB28" w:rsidR="0074459B" w:rsidRPr="0074459B" w:rsidRDefault="0074459B" w:rsidP="0074459B">
            <w:pPr>
              <w:spacing w:line="240" w:lineRule="auto"/>
              <w:contextualSpacing/>
              <w:jc w:val="center"/>
              <w:rPr>
                <w:b/>
                <w:bCs/>
                <w:sz w:val="20"/>
              </w:rPr>
            </w:pPr>
            <w:r w:rsidRPr="0074459B">
              <w:rPr>
                <w:b/>
                <w:bCs/>
              </w:rPr>
              <w:t>0.008</w:t>
            </w:r>
          </w:p>
        </w:tc>
      </w:tr>
    </w:tbl>
    <w:p w14:paraId="25D212A9" w14:textId="59F3142F" w:rsidR="007F69C2" w:rsidRPr="00424090" w:rsidRDefault="007F69C2" w:rsidP="007F69C2">
      <w:pPr>
        <w:rPr>
          <w:highlight w:val="yellow"/>
        </w:rPr>
      </w:pPr>
    </w:p>
    <w:p w14:paraId="5A48ABA0" w14:textId="77777777" w:rsidR="00656EBF" w:rsidRPr="00424090" w:rsidRDefault="00656EBF" w:rsidP="00002263">
      <w:pPr>
        <w:pStyle w:val="Caption"/>
        <w:rPr>
          <w:highlight w:val="yellow"/>
        </w:rPr>
      </w:pPr>
      <w:bookmarkStart w:id="431" w:name="_Ref876903"/>
      <w:bookmarkStart w:id="432" w:name="_Toc3558398"/>
    </w:p>
    <w:p w14:paraId="0CB904D6" w14:textId="77777777" w:rsidR="00656EBF" w:rsidRPr="00424090" w:rsidRDefault="00656EBF">
      <w:pPr>
        <w:spacing w:before="0" w:after="160" w:line="259" w:lineRule="auto"/>
        <w:jc w:val="left"/>
        <w:rPr>
          <w:b/>
          <w:bCs/>
          <w:color w:val="auto"/>
          <w:sz w:val="20"/>
          <w:szCs w:val="18"/>
          <w:highlight w:val="yellow"/>
        </w:rPr>
      </w:pPr>
      <w:r w:rsidRPr="00424090">
        <w:rPr>
          <w:highlight w:val="yellow"/>
        </w:rPr>
        <w:br w:type="page"/>
      </w:r>
    </w:p>
    <w:p w14:paraId="07229765" w14:textId="4D889AF0" w:rsidR="00002263" w:rsidRPr="0098654A" w:rsidRDefault="00002263" w:rsidP="00002263">
      <w:pPr>
        <w:pStyle w:val="Caption"/>
      </w:pPr>
      <w:r w:rsidRPr="0098654A">
        <w:t>Table</w:t>
      </w:r>
      <w:bookmarkEnd w:id="431"/>
      <w:r w:rsidRPr="0098654A">
        <w:rPr>
          <w:noProof/>
        </w:rPr>
        <w:t xml:space="preserve"> D1</w:t>
      </w:r>
      <w:r w:rsidR="00DD27F8">
        <w:rPr>
          <w:noProof/>
        </w:rPr>
        <w:t>8</w:t>
      </w:r>
      <w:r w:rsidRPr="0098654A">
        <w:t>. PERMANOVA pairwise comparison test results for large- and small-bodied fish assemblages in the gorge geomorphic zone of the Lower Murray River from autumn 2015–202</w:t>
      </w:r>
      <w:r w:rsidR="0098654A">
        <w:t>1</w:t>
      </w:r>
      <w:r w:rsidRPr="0098654A">
        <w:t>.</w:t>
      </w:r>
      <w:bookmarkEnd w:id="432"/>
      <w:r w:rsidRPr="0098654A">
        <w:t xml:space="preserve"> </w:t>
      </w:r>
      <w:r w:rsidRPr="0098654A">
        <w:rPr>
          <w:i/>
        </w:rPr>
        <w:t>P</w:t>
      </w:r>
      <w:r w:rsidRPr="0098654A">
        <w:t>-values presented in bold are significant comparisons, using Bonferroni corrected α = 0.00</w:t>
      </w:r>
      <w:r w:rsidR="00301D26">
        <w:t>2</w:t>
      </w:r>
      <w:r w:rsidR="00D8380A">
        <w:t>4</w:t>
      </w:r>
      <w:r w:rsidRPr="0098654A">
        <w:t xml:space="preserve"> (Narum 2006) for comparisons between years (</w:t>
      </w:r>
      <w:r w:rsidR="00301D26">
        <w:t>twenty-one</w:t>
      </w:r>
      <w:r w:rsidR="00301D26" w:rsidRPr="0098654A">
        <w:t xml:space="preserve"> </w:t>
      </w:r>
      <w:r w:rsidRPr="0098654A">
        <w:t xml:space="preserve">comparisons).  </w:t>
      </w:r>
    </w:p>
    <w:tbl>
      <w:tblPr>
        <w:tblW w:w="0" w:type="auto"/>
        <w:jc w:val="center"/>
        <w:tblLook w:val="04A0" w:firstRow="1" w:lastRow="0" w:firstColumn="1" w:lastColumn="0" w:noHBand="0" w:noVBand="1"/>
      </w:tblPr>
      <w:tblGrid>
        <w:gridCol w:w="2252"/>
        <w:gridCol w:w="887"/>
        <w:gridCol w:w="1073"/>
        <w:gridCol w:w="1073"/>
        <w:gridCol w:w="1073"/>
      </w:tblGrid>
      <w:tr w:rsidR="00002263" w:rsidRPr="0098654A" w14:paraId="0FDF7EDD" w14:textId="77777777" w:rsidTr="009F3C4C">
        <w:trPr>
          <w:trHeight w:val="340"/>
          <w:jc w:val="center"/>
        </w:trPr>
        <w:tc>
          <w:tcPr>
            <w:tcW w:w="2252" w:type="dxa"/>
            <w:vMerge w:val="restart"/>
            <w:tcBorders>
              <w:top w:val="single" w:sz="4" w:space="0" w:color="auto"/>
              <w:bottom w:val="single" w:sz="4" w:space="0" w:color="auto"/>
            </w:tcBorders>
            <w:vAlign w:val="center"/>
          </w:tcPr>
          <w:p w14:paraId="5516A16E" w14:textId="77777777" w:rsidR="00002263" w:rsidRPr="0098654A" w:rsidRDefault="00002263" w:rsidP="009F3C4C">
            <w:pPr>
              <w:spacing w:before="0" w:after="0"/>
              <w:jc w:val="left"/>
              <w:rPr>
                <w:b/>
                <w:sz w:val="20"/>
              </w:rPr>
            </w:pPr>
            <w:r w:rsidRPr="0098654A">
              <w:rPr>
                <w:b/>
                <w:sz w:val="20"/>
              </w:rPr>
              <w:t>Comparison</w:t>
            </w:r>
          </w:p>
        </w:tc>
        <w:tc>
          <w:tcPr>
            <w:tcW w:w="1960" w:type="dxa"/>
            <w:gridSpan w:val="2"/>
            <w:tcBorders>
              <w:top w:val="single" w:sz="4" w:space="0" w:color="auto"/>
            </w:tcBorders>
          </w:tcPr>
          <w:p w14:paraId="603BEB73" w14:textId="77777777" w:rsidR="00002263" w:rsidRPr="0098654A" w:rsidRDefault="00002263" w:rsidP="009F3C4C">
            <w:pPr>
              <w:spacing w:before="0" w:after="0"/>
              <w:jc w:val="center"/>
              <w:rPr>
                <w:b/>
                <w:sz w:val="20"/>
              </w:rPr>
            </w:pPr>
            <w:r w:rsidRPr="0098654A">
              <w:rPr>
                <w:b/>
                <w:sz w:val="20"/>
              </w:rPr>
              <w:t>Large-bodied</w:t>
            </w:r>
          </w:p>
        </w:tc>
        <w:tc>
          <w:tcPr>
            <w:tcW w:w="2146" w:type="dxa"/>
            <w:gridSpan w:val="2"/>
            <w:tcBorders>
              <w:top w:val="single" w:sz="4" w:space="0" w:color="auto"/>
            </w:tcBorders>
          </w:tcPr>
          <w:p w14:paraId="75C48998" w14:textId="77777777" w:rsidR="00002263" w:rsidRPr="0098654A" w:rsidRDefault="00002263" w:rsidP="009F3C4C">
            <w:pPr>
              <w:spacing w:before="0" w:after="0"/>
              <w:jc w:val="center"/>
              <w:rPr>
                <w:b/>
                <w:sz w:val="20"/>
              </w:rPr>
            </w:pPr>
            <w:r w:rsidRPr="0098654A">
              <w:rPr>
                <w:b/>
                <w:sz w:val="20"/>
              </w:rPr>
              <w:t>Small-bodied</w:t>
            </w:r>
          </w:p>
        </w:tc>
      </w:tr>
      <w:tr w:rsidR="00002263" w:rsidRPr="0098654A" w14:paraId="69FC28A5" w14:textId="77777777" w:rsidTr="009F3C4C">
        <w:trPr>
          <w:trHeight w:val="340"/>
          <w:jc w:val="center"/>
        </w:trPr>
        <w:tc>
          <w:tcPr>
            <w:tcW w:w="2252" w:type="dxa"/>
            <w:vMerge/>
            <w:tcBorders>
              <w:bottom w:val="single" w:sz="4" w:space="0" w:color="auto"/>
            </w:tcBorders>
          </w:tcPr>
          <w:p w14:paraId="0C129478" w14:textId="77777777" w:rsidR="00002263" w:rsidRPr="0098654A" w:rsidRDefault="00002263" w:rsidP="009F3C4C">
            <w:pPr>
              <w:spacing w:before="0" w:after="0"/>
              <w:rPr>
                <w:sz w:val="20"/>
              </w:rPr>
            </w:pPr>
          </w:p>
        </w:tc>
        <w:tc>
          <w:tcPr>
            <w:tcW w:w="887" w:type="dxa"/>
            <w:tcBorders>
              <w:bottom w:val="single" w:sz="4" w:space="0" w:color="auto"/>
            </w:tcBorders>
          </w:tcPr>
          <w:p w14:paraId="3FD66B34" w14:textId="77777777" w:rsidR="00002263" w:rsidRPr="0098654A" w:rsidRDefault="00002263" w:rsidP="009F3C4C">
            <w:pPr>
              <w:spacing w:before="0" w:after="0"/>
              <w:rPr>
                <w:i/>
                <w:sz w:val="20"/>
              </w:rPr>
            </w:pPr>
            <w:r w:rsidRPr="0098654A">
              <w:rPr>
                <w:i/>
                <w:sz w:val="20"/>
              </w:rPr>
              <w:t>t</w:t>
            </w:r>
          </w:p>
        </w:tc>
        <w:tc>
          <w:tcPr>
            <w:tcW w:w="1073" w:type="dxa"/>
            <w:tcBorders>
              <w:bottom w:val="single" w:sz="4" w:space="0" w:color="auto"/>
            </w:tcBorders>
          </w:tcPr>
          <w:p w14:paraId="1FDB78CB" w14:textId="77777777" w:rsidR="00002263" w:rsidRPr="0098654A" w:rsidRDefault="00002263" w:rsidP="009F3C4C">
            <w:pPr>
              <w:spacing w:before="0" w:after="0"/>
              <w:rPr>
                <w:i/>
                <w:sz w:val="20"/>
              </w:rPr>
            </w:pPr>
            <w:r w:rsidRPr="0098654A">
              <w:rPr>
                <w:i/>
                <w:sz w:val="20"/>
              </w:rPr>
              <w:t>P (perm)</w:t>
            </w:r>
          </w:p>
        </w:tc>
        <w:tc>
          <w:tcPr>
            <w:tcW w:w="1073" w:type="dxa"/>
            <w:tcBorders>
              <w:bottom w:val="single" w:sz="4" w:space="0" w:color="auto"/>
            </w:tcBorders>
          </w:tcPr>
          <w:p w14:paraId="41B5C17D" w14:textId="77777777" w:rsidR="00002263" w:rsidRPr="0098654A" w:rsidRDefault="00002263" w:rsidP="009F3C4C">
            <w:pPr>
              <w:spacing w:before="0" w:after="0"/>
              <w:rPr>
                <w:i/>
                <w:sz w:val="20"/>
              </w:rPr>
            </w:pPr>
            <w:r w:rsidRPr="0098654A">
              <w:rPr>
                <w:i/>
                <w:sz w:val="20"/>
              </w:rPr>
              <w:t>t</w:t>
            </w:r>
          </w:p>
        </w:tc>
        <w:tc>
          <w:tcPr>
            <w:tcW w:w="1073" w:type="dxa"/>
            <w:tcBorders>
              <w:bottom w:val="single" w:sz="4" w:space="0" w:color="auto"/>
            </w:tcBorders>
          </w:tcPr>
          <w:p w14:paraId="74CCA5A9" w14:textId="77777777" w:rsidR="00002263" w:rsidRPr="0098654A" w:rsidRDefault="00002263" w:rsidP="009F3C4C">
            <w:pPr>
              <w:spacing w:before="0" w:after="0"/>
              <w:rPr>
                <w:i/>
                <w:sz w:val="20"/>
              </w:rPr>
            </w:pPr>
            <w:r w:rsidRPr="0098654A">
              <w:rPr>
                <w:i/>
                <w:sz w:val="20"/>
              </w:rPr>
              <w:t>P (perm)</w:t>
            </w:r>
          </w:p>
        </w:tc>
      </w:tr>
      <w:tr w:rsidR="00301D26" w:rsidRPr="0098654A" w14:paraId="483F9763" w14:textId="77777777" w:rsidTr="009F3C4C">
        <w:trPr>
          <w:trHeight w:val="340"/>
          <w:jc w:val="center"/>
        </w:trPr>
        <w:tc>
          <w:tcPr>
            <w:tcW w:w="2252" w:type="dxa"/>
            <w:tcBorders>
              <w:top w:val="single" w:sz="4" w:space="0" w:color="auto"/>
            </w:tcBorders>
          </w:tcPr>
          <w:p w14:paraId="09B043A5" w14:textId="77777777" w:rsidR="00301D26" w:rsidRPr="0098654A" w:rsidRDefault="00301D26" w:rsidP="00301D26">
            <w:pPr>
              <w:spacing w:before="0" w:after="0"/>
              <w:rPr>
                <w:sz w:val="20"/>
              </w:rPr>
            </w:pPr>
            <w:r w:rsidRPr="0098654A">
              <w:rPr>
                <w:sz w:val="20"/>
              </w:rPr>
              <w:t>2015 vs. 2016</w:t>
            </w:r>
          </w:p>
        </w:tc>
        <w:tc>
          <w:tcPr>
            <w:tcW w:w="887" w:type="dxa"/>
            <w:tcBorders>
              <w:top w:val="single" w:sz="4" w:space="0" w:color="auto"/>
            </w:tcBorders>
          </w:tcPr>
          <w:p w14:paraId="4A1FD487" w14:textId="473DD8A4" w:rsidR="00301D26" w:rsidRPr="00301D26" w:rsidRDefault="00301D26" w:rsidP="00301D26">
            <w:pPr>
              <w:spacing w:before="0" w:after="0"/>
              <w:rPr>
                <w:sz w:val="20"/>
              </w:rPr>
            </w:pPr>
            <w:r w:rsidRPr="00301D26">
              <w:rPr>
                <w:sz w:val="20"/>
              </w:rPr>
              <w:t>2.0305</w:t>
            </w:r>
          </w:p>
        </w:tc>
        <w:tc>
          <w:tcPr>
            <w:tcW w:w="1073" w:type="dxa"/>
            <w:tcBorders>
              <w:top w:val="single" w:sz="4" w:space="0" w:color="auto"/>
            </w:tcBorders>
          </w:tcPr>
          <w:p w14:paraId="422912BD" w14:textId="43A8458A" w:rsidR="00301D26" w:rsidRPr="00301D26" w:rsidRDefault="00301D26" w:rsidP="00301D26">
            <w:pPr>
              <w:spacing w:before="0" w:after="0"/>
              <w:rPr>
                <w:sz w:val="20"/>
              </w:rPr>
            </w:pPr>
            <w:r w:rsidRPr="00301D26">
              <w:rPr>
                <w:sz w:val="20"/>
              </w:rPr>
              <w:t>0.0063</w:t>
            </w:r>
          </w:p>
        </w:tc>
        <w:tc>
          <w:tcPr>
            <w:tcW w:w="1073" w:type="dxa"/>
            <w:tcBorders>
              <w:top w:val="single" w:sz="4" w:space="0" w:color="auto"/>
            </w:tcBorders>
          </w:tcPr>
          <w:p w14:paraId="3CC0B261" w14:textId="18E874B6" w:rsidR="00301D26" w:rsidRPr="00301D26" w:rsidRDefault="00301D26" w:rsidP="00301D26">
            <w:pPr>
              <w:spacing w:before="0" w:after="0"/>
              <w:rPr>
                <w:sz w:val="20"/>
              </w:rPr>
            </w:pPr>
            <w:r w:rsidRPr="00301D26">
              <w:rPr>
                <w:sz w:val="20"/>
              </w:rPr>
              <w:t>1.1526</w:t>
            </w:r>
          </w:p>
        </w:tc>
        <w:tc>
          <w:tcPr>
            <w:tcW w:w="1073" w:type="dxa"/>
            <w:tcBorders>
              <w:top w:val="single" w:sz="4" w:space="0" w:color="auto"/>
            </w:tcBorders>
          </w:tcPr>
          <w:p w14:paraId="47880549" w14:textId="200DFEA9" w:rsidR="00301D26" w:rsidRPr="00301D26" w:rsidRDefault="00301D26" w:rsidP="00301D26">
            <w:pPr>
              <w:spacing w:before="0" w:after="0"/>
              <w:rPr>
                <w:sz w:val="20"/>
              </w:rPr>
            </w:pPr>
            <w:r w:rsidRPr="00301D26">
              <w:rPr>
                <w:sz w:val="20"/>
              </w:rPr>
              <w:t>0.2411</w:t>
            </w:r>
          </w:p>
        </w:tc>
      </w:tr>
      <w:tr w:rsidR="00301D26" w:rsidRPr="0098654A" w14:paraId="73C42C0A" w14:textId="77777777" w:rsidTr="009F3C4C">
        <w:trPr>
          <w:trHeight w:val="340"/>
          <w:jc w:val="center"/>
        </w:trPr>
        <w:tc>
          <w:tcPr>
            <w:tcW w:w="2252" w:type="dxa"/>
          </w:tcPr>
          <w:p w14:paraId="4A9F90F3" w14:textId="77777777" w:rsidR="00301D26" w:rsidRPr="0098654A" w:rsidRDefault="00301D26" w:rsidP="00301D26">
            <w:pPr>
              <w:spacing w:before="0" w:after="0"/>
              <w:rPr>
                <w:sz w:val="20"/>
              </w:rPr>
            </w:pPr>
            <w:r w:rsidRPr="0098654A">
              <w:rPr>
                <w:sz w:val="20"/>
              </w:rPr>
              <w:t>2015 vs. 2017</w:t>
            </w:r>
          </w:p>
        </w:tc>
        <w:tc>
          <w:tcPr>
            <w:tcW w:w="887" w:type="dxa"/>
          </w:tcPr>
          <w:p w14:paraId="668887E7" w14:textId="430F55EF" w:rsidR="00301D26" w:rsidRPr="00301D26" w:rsidRDefault="00301D26" w:rsidP="00301D26">
            <w:pPr>
              <w:spacing w:before="0" w:after="0"/>
              <w:rPr>
                <w:sz w:val="20"/>
              </w:rPr>
            </w:pPr>
            <w:r w:rsidRPr="00301D26">
              <w:rPr>
                <w:sz w:val="20"/>
              </w:rPr>
              <w:t>3.5839</w:t>
            </w:r>
          </w:p>
        </w:tc>
        <w:tc>
          <w:tcPr>
            <w:tcW w:w="1073" w:type="dxa"/>
          </w:tcPr>
          <w:p w14:paraId="1ED289A7" w14:textId="195664DF" w:rsidR="00301D26" w:rsidRPr="00301D26" w:rsidRDefault="00301D26" w:rsidP="00301D26">
            <w:pPr>
              <w:spacing w:before="0" w:after="0"/>
              <w:rPr>
                <w:b/>
                <w:bCs/>
                <w:sz w:val="20"/>
              </w:rPr>
            </w:pPr>
            <w:r w:rsidRPr="00301D26">
              <w:rPr>
                <w:b/>
                <w:bCs/>
                <w:sz w:val="20"/>
              </w:rPr>
              <w:t>0.0003</w:t>
            </w:r>
          </w:p>
        </w:tc>
        <w:tc>
          <w:tcPr>
            <w:tcW w:w="1073" w:type="dxa"/>
          </w:tcPr>
          <w:p w14:paraId="0DF79241" w14:textId="202264A4" w:rsidR="00301D26" w:rsidRPr="00301D26" w:rsidRDefault="00301D26" w:rsidP="00301D26">
            <w:pPr>
              <w:spacing w:before="0" w:after="0"/>
              <w:rPr>
                <w:sz w:val="20"/>
              </w:rPr>
            </w:pPr>
            <w:r w:rsidRPr="00301D26">
              <w:rPr>
                <w:sz w:val="20"/>
              </w:rPr>
              <w:t>2.0765</w:t>
            </w:r>
          </w:p>
        </w:tc>
        <w:tc>
          <w:tcPr>
            <w:tcW w:w="1073" w:type="dxa"/>
          </w:tcPr>
          <w:p w14:paraId="6DB27F22" w14:textId="3CE98363" w:rsidR="00301D26" w:rsidRPr="00301D26" w:rsidRDefault="00301D26" w:rsidP="00301D26">
            <w:pPr>
              <w:spacing w:before="0" w:after="0"/>
              <w:rPr>
                <w:sz w:val="20"/>
              </w:rPr>
            </w:pPr>
            <w:r w:rsidRPr="00301D26">
              <w:rPr>
                <w:sz w:val="20"/>
              </w:rPr>
              <w:t>0.0144</w:t>
            </w:r>
          </w:p>
        </w:tc>
      </w:tr>
      <w:tr w:rsidR="00301D26" w:rsidRPr="0098654A" w14:paraId="04029062" w14:textId="77777777" w:rsidTr="009F3C4C">
        <w:trPr>
          <w:trHeight w:val="340"/>
          <w:jc w:val="center"/>
        </w:trPr>
        <w:tc>
          <w:tcPr>
            <w:tcW w:w="2252" w:type="dxa"/>
          </w:tcPr>
          <w:p w14:paraId="47DA8307" w14:textId="77777777" w:rsidR="00301D26" w:rsidRPr="0098654A" w:rsidRDefault="00301D26" w:rsidP="00301D26">
            <w:pPr>
              <w:spacing w:before="0" w:after="0"/>
              <w:rPr>
                <w:sz w:val="20"/>
              </w:rPr>
            </w:pPr>
            <w:r w:rsidRPr="0098654A">
              <w:rPr>
                <w:sz w:val="20"/>
              </w:rPr>
              <w:t>2015 vs. 2018</w:t>
            </w:r>
          </w:p>
        </w:tc>
        <w:tc>
          <w:tcPr>
            <w:tcW w:w="887" w:type="dxa"/>
          </w:tcPr>
          <w:p w14:paraId="24E18613" w14:textId="1E1C3EA4" w:rsidR="00301D26" w:rsidRPr="00301D26" w:rsidRDefault="00301D26" w:rsidP="00301D26">
            <w:pPr>
              <w:spacing w:before="0" w:after="0"/>
              <w:rPr>
                <w:sz w:val="20"/>
              </w:rPr>
            </w:pPr>
            <w:r w:rsidRPr="00301D26">
              <w:rPr>
                <w:sz w:val="20"/>
              </w:rPr>
              <w:t>1.7638</w:t>
            </w:r>
          </w:p>
        </w:tc>
        <w:tc>
          <w:tcPr>
            <w:tcW w:w="1073" w:type="dxa"/>
          </w:tcPr>
          <w:p w14:paraId="7AE15B45" w14:textId="4407565D" w:rsidR="00301D26" w:rsidRPr="00301D26" w:rsidRDefault="00301D26" w:rsidP="00301D26">
            <w:pPr>
              <w:spacing w:before="0" w:after="0"/>
              <w:rPr>
                <w:sz w:val="20"/>
              </w:rPr>
            </w:pPr>
            <w:r w:rsidRPr="00301D26">
              <w:rPr>
                <w:sz w:val="20"/>
              </w:rPr>
              <w:t>0.0368</w:t>
            </w:r>
          </w:p>
        </w:tc>
        <w:tc>
          <w:tcPr>
            <w:tcW w:w="1073" w:type="dxa"/>
          </w:tcPr>
          <w:p w14:paraId="32775423" w14:textId="02D665F5" w:rsidR="00301D26" w:rsidRPr="00301D26" w:rsidRDefault="00301D26" w:rsidP="00301D26">
            <w:pPr>
              <w:spacing w:before="0" w:after="0"/>
              <w:rPr>
                <w:sz w:val="20"/>
              </w:rPr>
            </w:pPr>
            <w:r w:rsidRPr="00301D26">
              <w:rPr>
                <w:sz w:val="20"/>
              </w:rPr>
              <w:t>1.207</w:t>
            </w:r>
          </w:p>
        </w:tc>
        <w:tc>
          <w:tcPr>
            <w:tcW w:w="1073" w:type="dxa"/>
          </w:tcPr>
          <w:p w14:paraId="26E3961D" w14:textId="2E47FFC9" w:rsidR="00301D26" w:rsidRPr="00301D26" w:rsidRDefault="00301D26" w:rsidP="00301D26">
            <w:pPr>
              <w:spacing w:before="0" w:after="0"/>
              <w:rPr>
                <w:sz w:val="20"/>
              </w:rPr>
            </w:pPr>
            <w:r w:rsidRPr="00301D26">
              <w:rPr>
                <w:sz w:val="20"/>
              </w:rPr>
              <w:t>0.2226</w:t>
            </w:r>
          </w:p>
        </w:tc>
      </w:tr>
      <w:tr w:rsidR="00301D26" w:rsidRPr="0098654A" w14:paraId="1E68473F" w14:textId="77777777" w:rsidTr="009F3C4C">
        <w:trPr>
          <w:trHeight w:val="340"/>
          <w:jc w:val="center"/>
        </w:trPr>
        <w:tc>
          <w:tcPr>
            <w:tcW w:w="2252" w:type="dxa"/>
          </w:tcPr>
          <w:p w14:paraId="7169BBC4" w14:textId="77777777" w:rsidR="00301D26" w:rsidRPr="0098654A" w:rsidRDefault="00301D26" w:rsidP="00301D26">
            <w:pPr>
              <w:spacing w:before="0" w:after="0"/>
              <w:rPr>
                <w:sz w:val="20"/>
              </w:rPr>
            </w:pPr>
            <w:r w:rsidRPr="0098654A">
              <w:rPr>
                <w:sz w:val="20"/>
              </w:rPr>
              <w:t>2015 vs. 2019</w:t>
            </w:r>
          </w:p>
        </w:tc>
        <w:tc>
          <w:tcPr>
            <w:tcW w:w="887" w:type="dxa"/>
          </w:tcPr>
          <w:p w14:paraId="005548F1" w14:textId="6D97240B" w:rsidR="00301D26" w:rsidRPr="00301D26" w:rsidRDefault="00301D26" w:rsidP="00301D26">
            <w:pPr>
              <w:spacing w:before="0" w:after="0"/>
              <w:rPr>
                <w:sz w:val="20"/>
              </w:rPr>
            </w:pPr>
            <w:r w:rsidRPr="00301D26">
              <w:rPr>
                <w:sz w:val="20"/>
              </w:rPr>
              <w:t>1.2874</w:t>
            </w:r>
          </w:p>
        </w:tc>
        <w:tc>
          <w:tcPr>
            <w:tcW w:w="1073" w:type="dxa"/>
          </w:tcPr>
          <w:p w14:paraId="62DBE70B" w14:textId="15E8CF47" w:rsidR="00301D26" w:rsidRPr="00301D26" w:rsidRDefault="00301D26" w:rsidP="00301D26">
            <w:pPr>
              <w:spacing w:before="0" w:after="0"/>
              <w:rPr>
                <w:sz w:val="20"/>
              </w:rPr>
            </w:pPr>
            <w:r w:rsidRPr="00301D26">
              <w:rPr>
                <w:sz w:val="20"/>
              </w:rPr>
              <w:t>0.1828</w:t>
            </w:r>
          </w:p>
        </w:tc>
        <w:tc>
          <w:tcPr>
            <w:tcW w:w="1073" w:type="dxa"/>
          </w:tcPr>
          <w:p w14:paraId="293B7242" w14:textId="14F78B8D" w:rsidR="00301D26" w:rsidRPr="00301D26" w:rsidRDefault="00301D26" w:rsidP="00301D26">
            <w:pPr>
              <w:spacing w:before="0" w:after="0"/>
              <w:rPr>
                <w:sz w:val="20"/>
              </w:rPr>
            </w:pPr>
            <w:r w:rsidRPr="00301D26">
              <w:rPr>
                <w:sz w:val="20"/>
              </w:rPr>
              <w:t>1.0302</w:t>
            </w:r>
          </w:p>
        </w:tc>
        <w:tc>
          <w:tcPr>
            <w:tcW w:w="1073" w:type="dxa"/>
          </w:tcPr>
          <w:p w14:paraId="689B06FF" w14:textId="6AB0B701" w:rsidR="00301D26" w:rsidRPr="00301D26" w:rsidRDefault="00301D26" w:rsidP="00301D26">
            <w:pPr>
              <w:spacing w:before="0" w:after="0"/>
              <w:rPr>
                <w:sz w:val="20"/>
              </w:rPr>
            </w:pPr>
            <w:r w:rsidRPr="00301D26">
              <w:rPr>
                <w:sz w:val="20"/>
              </w:rPr>
              <w:t>0.3376</w:t>
            </w:r>
          </w:p>
        </w:tc>
      </w:tr>
      <w:tr w:rsidR="00301D26" w:rsidRPr="0098654A" w14:paraId="44A2143B" w14:textId="77777777" w:rsidTr="009F3C4C">
        <w:trPr>
          <w:trHeight w:val="340"/>
          <w:jc w:val="center"/>
        </w:trPr>
        <w:tc>
          <w:tcPr>
            <w:tcW w:w="2252" w:type="dxa"/>
            <w:shd w:val="clear" w:color="auto" w:fill="auto"/>
          </w:tcPr>
          <w:p w14:paraId="2181F0DD" w14:textId="77777777" w:rsidR="00301D26" w:rsidRPr="0098654A" w:rsidRDefault="00301D26" w:rsidP="00301D26">
            <w:pPr>
              <w:spacing w:before="0" w:after="0"/>
              <w:rPr>
                <w:sz w:val="20"/>
              </w:rPr>
            </w:pPr>
            <w:r w:rsidRPr="0098654A">
              <w:rPr>
                <w:sz w:val="20"/>
              </w:rPr>
              <w:t>2015 vs. 2020</w:t>
            </w:r>
          </w:p>
        </w:tc>
        <w:tc>
          <w:tcPr>
            <w:tcW w:w="887" w:type="dxa"/>
            <w:shd w:val="clear" w:color="auto" w:fill="auto"/>
          </w:tcPr>
          <w:p w14:paraId="110211E0" w14:textId="730A3D58" w:rsidR="00301D26" w:rsidRPr="00301D26" w:rsidRDefault="00301D26" w:rsidP="00301D26">
            <w:pPr>
              <w:spacing w:before="0" w:after="0"/>
              <w:rPr>
                <w:sz w:val="20"/>
              </w:rPr>
            </w:pPr>
            <w:r w:rsidRPr="00301D26">
              <w:rPr>
                <w:sz w:val="20"/>
              </w:rPr>
              <w:t>1.4718</w:t>
            </w:r>
          </w:p>
        </w:tc>
        <w:tc>
          <w:tcPr>
            <w:tcW w:w="1073" w:type="dxa"/>
            <w:shd w:val="clear" w:color="auto" w:fill="auto"/>
          </w:tcPr>
          <w:p w14:paraId="17746BB6" w14:textId="37AACE1F" w:rsidR="00301D26" w:rsidRPr="00301D26" w:rsidRDefault="00301D26" w:rsidP="00301D26">
            <w:pPr>
              <w:spacing w:before="0" w:after="0"/>
              <w:rPr>
                <w:sz w:val="20"/>
              </w:rPr>
            </w:pPr>
            <w:r w:rsidRPr="00301D26">
              <w:rPr>
                <w:sz w:val="20"/>
              </w:rPr>
              <w:t>0.1007</w:t>
            </w:r>
          </w:p>
        </w:tc>
        <w:tc>
          <w:tcPr>
            <w:tcW w:w="1073" w:type="dxa"/>
            <w:shd w:val="clear" w:color="auto" w:fill="auto"/>
          </w:tcPr>
          <w:p w14:paraId="6854D478" w14:textId="26489648" w:rsidR="00301D26" w:rsidRPr="00301D26" w:rsidRDefault="00301D26" w:rsidP="00301D26">
            <w:pPr>
              <w:spacing w:before="0" w:after="0"/>
              <w:rPr>
                <w:sz w:val="20"/>
              </w:rPr>
            </w:pPr>
            <w:r w:rsidRPr="00301D26">
              <w:rPr>
                <w:sz w:val="20"/>
              </w:rPr>
              <w:t>1.2146</w:t>
            </w:r>
          </w:p>
        </w:tc>
        <w:tc>
          <w:tcPr>
            <w:tcW w:w="1073" w:type="dxa"/>
            <w:shd w:val="clear" w:color="auto" w:fill="auto"/>
          </w:tcPr>
          <w:p w14:paraId="1967F802" w14:textId="032A5729" w:rsidR="00301D26" w:rsidRPr="00301D26" w:rsidRDefault="00301D26" w:rsidP="00301D26">
            <w:pPr>
              <w:spacing w:before="0" w:after="0"/>
              <w:rPr>
                <w:sz w:val="20"/>
              </w:rPr>
            </w:pPr>
            <w:r w:rsidRPr="00301D26">
              <w:rPr>
                <w:sz w:val="20"/>
              </w:rPr>
              <w:t>0.2115</w:t>
            </w:r>
          </w:p>
        </w:tc>
      </w:tr>
      <w:tr w:rsidR="00301D26" w:rsidRPr="0098654A" w14:paraId="48D40FEB" w14:textId="77777777" w:rsidTr="009F3C4C">
        <w:trPr>
          <w:trHeight w:val="340"/>
          <w:jc w:val="center"/>
        </w:trPr>
        <w:tc>
          <w:tcPr>
            <w:tcW w:w="2252" w:type="dxa"/>
            <w:shd w:val="clear" w:color="auto" w:fill="auto"/>
          </w:tcPr>
          <w:p w14:paraId="54C50D27" w14:textId="35F6C416" w:rsidR="00301D26" w:rsidRPr="0098654A" w:rsidRDefault="00301D26" w:rsidP="00301D26">
            <w:pPr>
              <w:spacing w:before="0" w:after="0"/>
              <w:rPr>
                <w:sz w:val="20"/>
              </w:rPr>
            </w:pPr>
            <w:r w:rsidRPr="0098654A">
              <w:rPr>
                <w:sz w:val="20"/>
              </w:rPr>
              <w:t>2015 vs. 202</w:t>
            </w:r>
            <w:r>
              <w:rPr>
                <w:sz w:val="20"/>
              </w:rPr>
              <w:t>1</w:t>
            </w:r>
          </w:p>
        </w:tc>
        <w:tc>
          <w:tcPr>
            <w:tcW w:w="887" w:type="dxa"/>
            <w:shd w:val="clear" w:color="auto" w:fill="auto"/>
          </w:tcPr>
          <w:p w14:paraId="26966850" w14:textId="2EB23EA0" w:rsidR="00301D26" w:rsidRPr="00301D26" w:rsidRDefault="00301D26" w:rsidP="00301D26">
            <w:pPr>
              <w:spacing w:before="0" w:after="0"/>
              <w:rPr>
                <w:sz w:val="20"/>
              </w:rPr>
            </w:pPr>
            <w:r w:rsidRPr="00301D26">
              <w:rPr>
                <w:sz w:val="20"/>
              </w:rPr>
              <w:t>3.4391</w:t>
            </w:r>
          </w:p>
        </w:tc>
        <w:tc>
          <w:tcPr>
            <w:tcW w:w="1073" w:type="dxa"/>
            <w:shd w:val="clear" w:color="auto" w:fill="auto"/>
          </w:tcPr>
          <w:p w14:paraId="732C820D" w14:textId="07193EEB" w:rsidR="00301D26" w:rsidRPr="00301D26" w:rsidRDefault="00301D26" w:rsidP="00301D26">
            <w:pPr>
              <w:spacing w:before="0" w:after="0"/>
              <w:rPr>
                <w:b/>
                <w:bCs/>
                <w:sz w:val="20"/>
              </w:rPr>
            </w:pPr>
            <w:r w:rsidRPr="00301D26">
              <w:rPr>
                <w:b/>
                <w:bCs/>
                <w:sz w:val="20"/>
              </w:rPr>
              <w:t>0.0001</w:t>
            </w:r>
          </w:p>
        </w:tc>
        <w:tc>
          <w:tcPr>
            <w:tcW w:w="1073" w:type="dxa"/>
            <w:shd w:val="clear" w:color="auto" w:fill="auto"/>
          </w:tcPr>
          <w:p w14:paraId="0D862762" w14:textId="0A5E6C2E" w:rsidR="00301D26" w:rsidRPr="00301D26" w:rsidRDefault="00301D26" w:rsidP="00301D26">
            <w:pPr>
              <w:spacing w:before="0" w:after="0"/>
              <w:rPr>
                <w:sz w:val="20"/>
              </w:rPr>
            </w:pPr>
            <w:r w:rsidRPr="00301D26">
              <w:rPr>
                <w:sz w:val="20"/>
              </w:rPr>
              <w:t>1.2215</w:t>
            </w:r>
          </w:p>
        </w:tc>
        <w:tc>
          <w:tcPr>
            <w:tcW w:w="1073" w:type="dxa"/>
            <w:shd w:val="clear" w:color="auto" w:fill="auto"/>
          </w:tcPr>
          <w:p w14:paraId="6EA19B69" w14:textId="6368E199" w:rsidR="00301D26" w:rsidRPr="00301D26" w:rsidRDefault="00301D26" w:rsidP="00301D26">
            <w:pPr>
              <w:spacing w:before="0" w:after="0"/>
              <w:rPr>
                <w:sz w:val="20"/>
              </w:rPr>
            </w:pPr>
            <w:r w:rsidRPr="00301D26">
              <w:rPr>
                <w:sz w:val="20"/>
              </w:rPr>
              <w:t>0.2054</w:t>
            </w:r>
          </w:p>
        </w:tc>
      </w:tr>
      <w:tr w:rsidR="00301D26" w:rsidRPr="0098654A" w14:paraId="1B09DD24" w14:textId="77777777" w:rsidTr="009F3C4C">
        <w:trPr>
          <w:trHeight w:val="340"/>
          <w:jc w:val="center"/>
        </w:trPr>
        <w:tc>
          <w:tcPr>
            <w:tcW w:w="2252" w:type="dxa"/>
            <w:shd w:val="clear" w:color="auto" w:fill="auto"/>
          </w:tcPr>
          <w:p w14:paraId="18EEFB6B" w14:textId="77777777" w:rsidR="00301D26" w:rsidRPr="0098654A" w:rsidRDefault="00301D26" w:rsidP="00301D26">
            <w:pPr>
              <w:spacing w:before="0" w:after="0"/>
              <w:rPr>
                <w:sz w:val="20"/>
              </w:rPr>
            </w:pPr>
            <w:r w:rsidRPr="0098654A">
              <w:rPr>
                <w:sz w:val="20"/>
              </w:rPr>
              <w:t>2016 vs. 2017</w:t>
            </w:r>
          </w:p>
        </w:tc>
        <w:tc>
          <w:tcPr>
            <w:tcW w:w="887" w:type="dxa"/>
            <w:shd w:val="clear" w:color="auto" w:fill="auto"/>
          </w:tcPr>
          <w:p w14:paraId="23300580" w14:textId="11253848" w:rsidR="00301D26" w:rsidRPr="00301D26" w:rsidRDefault="00301D26" w:rsidP="00301D26">
            <w:pPr>
              <w:spacing w:before="0" w:after="0"/>
              <w:rPr>
                <w:sz w:val="20"/>
              </w:rPr>
            </w:pPr>
            <w:r w:rsidRPr="00301D26">
              <w:rPr>
                <w:sz w:val="20"/>
              </w:rPr>
              <w:t>2.2942</w:t>
            </w:r>
          </w:p>
        </w:tc>
        <w:tc>
          <w:tcPr>
            <w:tcW w:w="1073" w:type="dxa"/>
            <w:shd w:val="clear" w:color="auto" w:fill="auto"/>
          </w:tcPr>
          <w:p w14:paraId="044FB9E0" w14:textId="28C96E25" w:rsidR="00301D26" w:rsidRPr="00301D26" w:rsidRDefault="00301D26" w:rsidP="00301D26">
            <w:pPr>
              <w:spacing w:before="0" w:after="0"/>
              <w:rPr>
                <w:sz w:val="20"/>
              </w:rPr>
            </w:pPr>
            <w:r w:rsidRPr="00301D26">
              <w:rPr>
                <w:sz w:val="20"/>
              </w:rPr>
              <w:t>0.0039</w:t>
            </w:r>
          </w:p>
        </w:tc>
        <w:tc>
          <w:tcPr>
            <w:tcW w:w="1073" w:type="dxa"/>
            <w:shd w:val="clear" w:color="auto" w:fill="auto"/>
          </w:tcPr>
          <w:p w14:paraId="019A6699" w14:textId="2648BD47" w:rsidR="00301D26" w:rsidRPr="00301D26" w:rsidRDefault="00301D26" w:rsidP="00301D26">
            <w:pPr>
              <w:spacing w:before="0" w:after="0"/>
              <w:rPr>
                <w:sz w:val="20"/>
              </w:rPr>
            </w:pPr>
            <w:r w:rsidRPr="00301D26">
              <w:rPr>
                <w:sz w:val="20"/>
              </w:rPr>
              <w:t>3.7883</w:t>
            </w:r>
          </w:p>
        </w:tc>
        <w:tc>
          <w:tcPr>
            <w:tcW w:w="1073" w:type="dxa"/>
            <w:shd w:val="clear" w:color="auto" w:fill="auto"/>
          </w:tcPr>
          <w:p w14:paraId="1B5EB31B" w14:textId="317FAD74" w:rsidR="00301D26" w:rsidRPr="00301D26" w:rsidRDefault="00301D26" w:rsidP="00301D26">
            <w:pPr>
              <w:spacing w:before="0" w:after="0"/>
              <w:rPr>
                <w:b/>
                <w:bCs/>
                <w:sz w:val="20"/>
              </w:rPr>
            </w:pPr>
            <w:r w:rsidRPr="00301D26">
              <w:rPr>
                <w:b/>
                <w:bCs/>
                <w:sz w:val="20"/>
              </w:rPr>
              <w:t>0.0002</w:t>
            </w:r>
          </w:p>
        </w:tc>
      </w:tr>
      <w:tr w:rsidR="00301D26" w:rsidRPr="0098654A" w14:paraId="3C339A86" w14:textId="77777777" w:rsidTr="009F3C4C">
        <w:trPr>
          <w:trHeight w:val="340"/>
          <w:jc w:val="center"/>
        </w:trPr>
        <w:tc>
          <w:tcPr>
            <w:tcW w:w="2252" w:type="dxa"/>
            <w:shd w:val="clear" w:color="auto" w:fill="auto"/>
          </w:tcPr>
          <w:p w14:paraId="6475743F" w14:textId="77777777" w:rsidR="00301D26" w:rsidRPr="0098654A" w:rsidRDefault="00301D26" w:rsidP="00301D26">
            <w:pPr>
              <w:spacing w:before="0" w:after="0"/>
              <w:rPr>
                <w:sz w:val="20"/>
              </w:rPr>
            </w:pPr>
            <w:r w:rsidRPr="0098654A">
              <w:rPr>
                <w:sz w:val="20"/>
              </w:rPr>
              <w:t>2016 vs. 2018</w:t>
            </w:r>
          </w:p>
        </w:tc>
        <w:tc>
          <w:tcPr>
            <w:tcW w:w="887" w:type="dxa"/>
            <w:shd w:val="clear" w:color="auto" w:fill="auto"/>
          </w:tcPr>
          <w:p w14:paraId="08F985FF" w14:textId="7775899B" w:rsidR="00301D26" w:rsidRPr="00301D26" w:rsidRDefault="00301D26" w:rsidP="00301D26">
            <w:pPr>
              <w:spacing w:before="0" w:after="0"/>
              <w:rPr>
                <w:sz w:val="20"/>
              </w:rPr>
            </w:pPr>
            <w:r w:rsidRPr="00301D26">
              <w:rPr>
                <w:sz w:val="20"/>
              </w:rPr>
              <w:t>1.7945</w:t>
            </w:r>
          </w:p>
        </w:tc>
        <w:tc>
          <w:tcPr>
            <w:tcW w:w="1073" w:type="dxa"/>
            <w:shd w:val="clear" w:color="auto" w:fill="auto"/>
          </w:tcPr>
          <w:p w14:paraId="67962F0C" w14:textId="1DC3B3D3" w:rsidR="00301D26" w:rsidRPr="00301D26" w:rsidRDefault="00301D26" w:rsidP="00301D26">
            <w:pPr>
              <w:spacing w:before="0" w:after="0"/>
              <w:rPr>
                <w:sz w:val="20"/>
              </w:rPr>
            </w:pPr>
            <w:r w:rsidRPr="00301D26">
              <w:rPr>
                <w:sz w:val="20"/>
              </w:rPr>
              <w:t>0.0287</w:t>
            </w:r>
          </w:p>
        </w:tc>
        <w:tc>
          <w:tcPr>
            <w:tcW w:w="1073" w:type="dxa"/>
            <w:shd w:val="clear" w:color="auto" w:fill="auto"/>
          </w:tcPr>
          <w:p w14:paraId="0797CE08" w14:textId="21023FBC" w:rsidR="00301D26" w:rsidRPr="00301D26" w:rsidRDefault="00301D26" w:rsidP="00301D26">
            <w:pPr>
              <w:spacing w:before="0" w:after="0"/>
              <w:rPr>
                <w:sz w:val="20"/>
              </w:rPr>
            </w:pPr>
            <w:r w:rsidRPr="00301D26">
              <w:rPr>
                <w:sz w:val="20"/>
              </w:rPr>
              <w:t>0.81273</w:t>
            </w:r>
          </w:p>
        </w:tc>
        <w:tc>
          <w:tcPr>
            <w:tcW w:w="1073" w:type="dxa"/>
            <w:shd w:val="clear" w:color="auto" w:fill="auto"/>
          </w:tcPr>
          <w:p w14:paraId="65C7C73F" w14:textId="1FE80625" w:rsidR="00301D26" w:rsidRPr="00301D26" w:rsidRDefault="00301D26" w:rsidP="00301D26">
            <w:pPr>
              <w:spacing w:before="0" w:after="0"/>
              <w:rPr>
                <w:sz w:val="20"/>
              </w:rPr>
            </w:pPr>
            <w:r w:rsidRPr="00301D26">
              <w:rPr>
                <w:sz w:val="20"/>
              </w:rPr>
              <w:t>0.5826</w:t>
            </w:r>
          </w:p>
        </w:tc>
      </w:tr>
      <w:tr w:rsidR="00301D26" w:rsidRPr="0098654A" w14:paraId="3D55D14C" w14:textId="77777777" w:rsidTr="009F3C4C">
        <w:trPr>
          <w:trHeight w:val="340"/>
          <w:jc w:val="center"/>
        </w:trPr>
        <w:tc>
          <w:tcPr>
            <w:tcW w:w="2252" w:type="dxa"/>
            <w:shd w:val="clear" w:color="auto" w:fill="auto"/>
          </w:tcPr>
          <w:p w14:paraId="22BBC9F8" w14:textId="77777777" w:rsidR="00301D26" w:rsidRPr="0098654A" w:rsidRDefault="00301D26" w:rsidP="00301D26">
            <w:pPr>
              <w:spacing w:before="0" w:after="0"/>
              <w:rPr>
                <w:sz w:val="20"/>
              </w:rPr>
            </w:pPr>
            <w:r w:rsidRPr="0098654A">
              <w:rPr>
                <w:sz w:val="20"/>
              </w:rPr>
              <w:t>2016 vs. 2019</w:t>
            </w:r>
          </w:p>
        </w:tc>
        <w:tc>
          <w:tcPr>
            <w:tcW w:w="887" w:type="dxa"/>
            <w:shd w:val="clear" w:color="auto" w:fill="auto"/>
          </w:tcPr>
          <w:p w14:paraId="193FE6EB" w14:textId="78F76CB0" w:rsidR="00301D26" w:rsidRPr="00301D26" w:rsidRDefault="00301D26" w:rsidP="00301D26">
            <w:pPr>
              <w:spacing w:before="0" w:after="0"/>
              <w:rPr>
                <w:sz w:val="20"/>
              </w:rPr>
            </w:pPr>
            <w:r w:rsidRPr="00301D26">
              <w:rPr>
                <w:sz w:val="20"/>
              </w:rPr>
              <w:t>1.6992</w:t>
            </w:r>
          </w:p>
        </w:tc>
        <w:tc>
          <w:tcPr>
            <w:tcW w:w="1073" w:type="dxa"/>
            <w:shd w:val="clear" w:color="auto" w:fill="auto"/>
          </w:tcPr>
          <w:p w14:paraId="438A8536" w14:textId="06920601" w:rsidR="00301D26" w:rsidRPr="00301D26" w:rsidRDefault="00301D26" w:rsidP="00301D26">
            <w:pPr>
              <w:spacing w:before="0" w:after="0"/>
              <w:rPr>
                <w:sz w:val="20"/>
              </w:rPr>
            </w:pPr>
            <w:r w:rsidRPr="00301D26">
              <w:rPr>
                <w:sz w:val="20"/>
              </w:rPr>
              <w:t>0.0435</w:t>
            </w:r>
          </w:p>
        </w:tc>
        <w:tc>
          <w:tcPr>
            <w:tcW w:w="1073" w:type="dxa"/>
            <w:shd w:val="clear" w:color="auto" w:fill="auto"/>
          </w:tcPr>
          <w:p w14:paraId="3425392B" w14:textId="7C6DE4B5" w:rsidR="00301D26" w:rsidRPr="00301D26" w:rsidRDefault="00301D26" w:rsidP="00301D26">
            <w:pPr>
              <w:spacing w:before="0" w:after="0"/>
              <w:rPr>
                <w:sz w:val="20"/>
              </w:rPr>
            </w:pPr>
            <w:r w:rsidRPr="00301D26">
              <w:rPr>
                <w:sz w:val="20"/>
              </w:rPr>
              <w:t>1.7025</w:t>
            </w:r>
          </w:p>
        </w:tc>
        <w:tc>
          <w:tcPr>
            <w:tcW w:w="1073" w:type="dxa"/>
            <w:shd w:val="clear" w:color="auto" w:fill="auto"/>
          </w:tcPr>
          <w:p w14:paraId="130EE437" w14:textId="5DBE46F4" w:rsidR="00301D26" w:rsidRPr="00301D26" w:rsidRDefault="00301D26" w:rsidP="00301D26">
            <w:pPr>
              <w:spacing w:before="0" w:after="0"/>
              <w:rPr>
                <w:sz w:val="20"/>
              </w:rPr>
            </w:pPr>
            <w:r w:rsidRPr="00301D26">
              <w:rPr>
                <w:sz w:val="20"/>
              </w:rPr>
              <w:t>0.0453</w:t>
            </w:r>
          </w:p>
        </w:tc>
      </w:tr>
      <w:tr w:rsidR="00301D26" w:rsidRPr="0098654A" w14:paraId="7EC6CCDA" w14:textId="77777777" w:rsidTr="009F3C4C">
        <w:trPr>
          <w:trHeight w:val="340"/>
          <w:jc w:val="center"/>
        </w:trPr>
        <w:tc>
          <w:tcPr>
            <w:tcW w:w="2252" w:type="dxa"/>
            <w:shd w:val="clear" w:color="auto" w:fill="auto"/>
          </w:tcPr>
          <w:p w14:paraId="204B16BF" w14:textId="77777777" w:rsidR="00301D26" w:rsidRPr="0098654A" w:rsidRDefault="00301D26" w:rsidP="00301D26">
            <w:pPr>
              <w:spacing w:before="0" w:after="0"/>
              <w:rPr>
                <w:sz w:val="20"/>
              </w:rPr>
            </w:pPr>
            <w:r w:rsidRPr="0098654A">
              <w:rPr>
                <w:sz w:val="20"/>
              </w:rPr>
              <w:t>2016 vs. 2020</w:t>
            </w:r>
          </w:p>
        </w:tc>
        <w:tc>
          <w:tcPr>
            <w:tcW w:w="887" w:type="dxa"/>
            <w:shd w:val="clear" w:color="auto" w:fill="auto"/>
          </w:tcPr>
          <w:p w14:paraId="7BB45175" w14:textId="4A5E9B0B" w:rsidR="00301D26" w:rsidRPr="00301D26" w:rsidRDefault="00301D26" w:rsidP="00301D26">
            <w:pPr>
              <w:spacing w:before="0" w:after="0"/>
              <w:rPr>
                <w:sz w:val="20"/>
              </w:rPr>
            </w:pPr>
            <w:r w:rsidRPr="00301D26">
              <w:rPr>
                <w:sz w:val="20"/>
              </w:rPr>
              <w:t>2.6474</w:t>
            </w:r>
          </w:p>
        </w:tc>
        <w:tc>
          <w:tcPr>
            <w:tcW w:w="1073" w:type="dxa"/>
            <w:shd w:val="clear" w:color="auto" w:fill="auto"/>
          </w:tcPr>
          <w:p w14:paraId="4FA5FEEC" w14:textId="75C5B326" w:rsidR="00301D26" w:rsidRPr="00301D26" w:rsidRDefault="00301D26" w:rsidP="00301D26">
            <w:pPr>
              <w:spacing w:before="0" w:after="0"/>
              <w:rPr>
                <w:b/>
                <w:bCs/>
                <w:sz w:val="20"/>
              </w:rPr>
            </w:pPr>
            <w:r w:rsidRPr="00301D26">
              <w:rPr>
                <w:b/>
                <w:bCs/>
                <w:sz w:val="20"/>
              </w:rPr>
              <w:t>0.0022</w:t>
            </w:r>
          </w:p>
        </w:tc>
        <w:tc>
          <w:tcPr>
            <w:tcW w:w="1073" w:type="dxa"/>
            <w:shd w:val="clear" w:color="auto" w:fill="auto"/>
          </w:tcPr>
          <w:p w14:paraId="2E3182AC" w14:textId="24DB1F11" w:rsidR="00301D26" w:rsidRPr="00301D26" w:rsidRDefault="00301D26" w:rsidP="00301D26">
            <w:pPr>
              <w:spacing w:before="0" w:after="0"/>
              <w:rPr>
                <w:sz w:val="20"/>
              </w:rPr>
            </w:pPr>
            <w:r w:rsidRPr="00301D26">
              <w:rPr>
                <w:sz w:val="20"/>
              </w:rPr>
              <w:t>2.2132</w:t>
            </w:r>
          </w:p>
        </w:tc>
        <w:tc>
          <w:tcPr>
            <w:tcW w:w="1073" w:type="dxa"/>
            <w:shd w:val="clear" w:color="auto" w:fill="auto"/>
          </w:tcPr>
          <w:p w14:paraId="3C6EB948" w14:textId="0C4557D5" w:rsidR="00301D26" w:rsidRPr="00301D26" w:rsidRDefault="00301D26" w:rsidP="00301D26">
            <w:pPr>
              <w:spacing w:before="0" w:after="0"/>
              <w:rPr>
                <w:sz w:val="20"/>
              </w:rPr>
            </w:pPr>
            <w:r w:rsidRPr="00301D26">
              <w:rPr>
                <w:sz w:val="20"/>
              </w:rPr>
              <w:t>0.0101</w:t>
            </w:r>
          </w:p>
        </w:tc>
      </w:tr>
      <w:tr w:rsidR="00301D26" w:rsidRPr="0098654A" w14:paraId="7CF02291" w14:textId="77777777" w:rsidTr="009F3C4C">
        <w:trPr>
          <w:trHeight w:val="340"/>
          <w:jc w:val="center"/>
        </w:trPr>
        <w:tc>
          <w:tcPr>
            <w:tcW w:w="2252" w:type="dxa"/>
            <w:shd w:val="clear" w:color="auto" w:fill="auto"/>
          </w:tcPr>
          <w:p w14:paraId="36EF3D5C" w14:textId="68F2128E" w:rsidR="00301D26" w:rsidRPr="0098654A" w:rsidRDefault="00301D26" w:rsidP="00301D26">
            <w:pPr>
              <w:spacing w:before="0" w:after="0"/>
              <w:rPr>
                <w:sz w:val="20"/>
              </w:rPr>
            </w:pPr>
            <w:r w:rsidRPr="0098654A">
              <w:rPr>
                <w:sz w:val="20"/>
              </w:rPr>
              <w:t>201</w:t>
            </w:r>
            <w:r>
              <w:rPr>
                <w:sz w:val="20"/>
              </w:rPr>
              <w:t>6</w:t>
            </w:r>
            <w:r w:rsidRPr="0098654A">
              <w:rPr>
                <w:sz w:val="20"/>
              </w:rPr>
              <w:t xml:space="preserve"> vs. 202</w:t>
            </w:r>
            <w:r>
              <w:rPr>
                <w:sz w:val="20"/>
              </w:rPr>
              <w:t>1</w:t>
            </w:r>
          </w:p>
        </w:tc>
        <w:tc>
          <w:tcPr>
            <w:tcW w:w="887" w:type="dxa"/>
            <w:shd w:val="clear" w:color="auto" w:fill="auto"/>
          </w:tcPr>
          <w:p w14:paraId="1311C705" w14:textId="3C76A0A8" w:rsidR="00301D26" w:rsidRPr="00301D26" w:rsidRDefault="00301D26" w:rsidP="00301D26">
            <w:pPr>
              <w:spacing w:before="0" w:after="0"/>
              <w:rPr>
                <w:sz w:val="20"/>
              </w:rPr>
            </w:pPr>
            <w:r w:rsidRPr="00301D26">
              <w:rPr>
                <w:sz w:val="20"/>
              </w:rPr>
              <w:t>1.4695</w:t>
            </w:r>
          </w:p>
        </w:tc>
        <w:tc>
          <w:tcPr>
            <w:tcW w:w="1073" w:type="dxa"/>
            <w:shd w:val="clear" w:color="auto" w:fill="auto"/>
          </w:tcPr>
          <w:p w14:paraId="2C0CC111" w14:textId="2DFE1D95" w:rsidR="00301D26" w:rsidRPr="00301D26" w:rsidRDefault="00301D26" w:rsidP="00301D26">
            <w:pPr>
              <w:spacing w:before="0" w:after="0"/>
              <w:rPr>
                <w:sz w:val="20"/>
              </w:rPr>
            </w:pPr>
            <w:r w:rsidRPr="00301D26">
              <w:rPr>
                <w:sz w:val="20"/>
              </w:rPr>
              <w:t>0.0886</w:t>
            </w:r>
          </w:p>
        </w:tc>
        <w:tc>
          <w:tcPr>
            <w:tcW w:w="1073" w:type="dxa"/>
            <w:shd w:val="clear" w:color="auto" w:fill="auto"/>
          </w:tcPr>
          <w:p w14:paraId="00577023" w14:textId="5B473894" w:rsidR="00301D26" w:rsidRPr="00301D26" w:rsidRDefault="00301D26" w:rsidP="00301D26">
            <w:pPr>
              <w:spacing w:before="0" w:after="0"/>
              <w:rPr>
                <w:sz w:val="20"/>
              </w:rPr>
            </w:pPr>
            <w:r w:rsidRPr="00301D26">
              <w:rPr>
                <w:sz w:val="20"/>
              </w:rPr>
              <w:t>1.732</w:t>
            </w:r>
          </w:p>
        </w:tc>
        <w:tc>
          <w:tcPr>
            <w:tcW w:w="1073" w:type="dxa"/>
            <w:shd w:val="clear" w:color="auto" w:fill="auto"/>
          </w:tcPr>
          <w:p w14:paraId="3575A2B7" w14:textId="56527A6E" w:rsidR="00301D26" w:rsidRPr="00301D26" w:rsidRDefault="00301D26" w:rsidP="00301D26">
            <w:pPr>
              <w:spacing w:before="0" w:after="0"/>
              <w:rPr>
                <w:sz w:val="20"/>
              </w:rPr>
            </w:pPr>
            <w:r w:rsidRPr="00301D26">
              <w:rPr>
                <w:sz w:val="20"/>
              </w:rPr>
              <w:t>0.0433</w:t>
            </w:r>
          </w:p>
        </w:tc>
      </w:tr>
      <w:tr w:rsidR="00301D26" w:rsidRPr="0098654A" w14:paraId="2AE6D021" w14:textId="77777777" w:rsidTr="009F3C4C">
        <w:trPr>
          <w:trHeight w:val="340"/>
          <w:jc w:val="center"/>
        </w:trPr>
        <w:tc>
          <w:tcPr>
            <w:tcW w:w="2252" w:type="dxa"/>
            <w:shd w:val="clear" w:color="auto" w:fill="auto"/>
          </w:tcPr>
          <w:p w14:paraId="2BADD543" w14:textId="77777777" w:rsidR="00301D26" w:rsidRPr="0098654A" w:rsidRDefault="00301D26" w:rsidP="00301D26">
            <w:pPr>
              <w:spacing w:before="0" w:after="0"/>
              <w:rPr>
                <w:sz w:val="20"/>
              </w:rPr>
            </w:pPr>
            <w:r w:rsidRPr="0098654A">
              <w:rPr>
                <w:sz w:val="20"/>
              </w:rPr>
              <w:t>2017 vs. 2018</w:t>
            </w:r>
          </w:p>
        </w:tc>
        <w:tc>
          <w:tcPr>
            <w:tcW w:w="887" w:type="dxa"/>
            <w:shd w:val="clear" w:color="auto" w:fill="auto"/>
          </w:tcPr>
          <w:p w14:paraId="46DB2DCD" w14:textId="06596A86" w:rsidR="00301D26" w:rsidRPr="00301D26" w:rsidRDefault="00301D26" w:rsidP="00301D26">
            <w:pPr>
              <w:spacing w:before="0" w:after="0"/>
              <w:rPr>
                <w:sz w:val="20"/>
              </w:rPr>
            </w:pPr>
            <w:r w:rsidRPr="00301D26">
              <w:rPr>
                <w:sz w:val="20"/>
              </w:rPr>
              <w:t>2.6821</w:t>
            </w:r>
          </w:p>
        </w:tc>
        <w:tc>
          <w:tcPr>
            <w:tcW w:w="1073" w:type="dxa"/>
            <w:shd w:val="clear" w:color="auto" w:fill="auto"/>
          </w:tcPr>
          <w:p w14:paraId="6178EFBB" w14:textId="6BED7200" w:rsidR="00301D26" w:rsidRPr="00301D26" w:rsidRDefault="00301D26" w:rsidP="00301D26">
            <w:pPr>
              <w:spacing w:before="0" w:after="0"/>
              <w:rPr>
                <w:b/>
                <w:bCs/>
                <w:sz w:val="20"/>
              </w:rPr>
            </w:pPr>
            <w:r w:rsidRPr="00301D26">
              <w:rPr>
                <w:b/>
                <w:bCs/>
                <w:sz w:val="20"/>
              </w:rPr>
              <w:t>0.0011</w:t>
            </w:r>
          </w:p>
        </w:tc>
        <w:tc>
          <w:tcPr>
            <w:tcW w:w="1073" w:type="dxa"/>
            <w:shd w:val="clear" w:color="auto" w:fill="auto"/>
          </w:tcPr>
          <w:p w14:paraId="7791C61A" w14:textId="7F34216D" w:rsidR="00301D26" w:rsidRPr="00301D26" w:rsidRDefault="00301D26" w:rsidP="00301D26">
            <w:pPr>
              <w:spacing w:before="0" w:after="0"/>
              <w:rPr>
                <w:sz w:val="20"/>
              </w:rPr>
            </w:pPr>
            <w:r w:rsidRPr="00301D26">
              <w:rPr>
                <w:sz w:val="20"/>
              </w:rPr>
              <w:t>3.1583</w:t>
            </w:r>
          </w:p>
        </w:tc>
        <w:tc>
          <w:tcPr>
            <w:tcW w:w="1073" w:type="dxa"/>
            <w:shd w:val="clear" w:color="auto" w:fill="auto"/>
          </w:tcPr>
          <w:p w14:paraId="2E69C63D" w14:textId="1B2905A3" w:rsidR="00301D26" w:rsidRPr="00301D26" w:rsidRDefault="00301D26" w:rsidP="00301D26">
            <w:pPr>
              <w:spacing w:before="0" w:after="0"/>
              <w:rPr>
                <w:b/>
                <w:bCs/>
                <w:sz w:val="20"/>
              </w:rPr>
            </w:pPr>
            <w:r w:rsidRPr="00301D26">
              <w:rPr>
                <w:b/>
                <w:bCs/>
                <w:sz w:val="20"/>
              </w:rPr>
              <w:t>0.001</w:t>
            </w:r>
            <w:r w:rsidR="00010878">
              <w:rPr>
                <w:b/>
                <w:bCs/>
                <w:sz w:val="20"/>
              </w:rPr>
              <w:t>0</w:t>
            </w:r>
          </w:p>
        </w:tc>
      </w:tr>
      <w:tr w:rsidR="00301D26" w:rsidRPr="0098654A" w14:paraId="41452B11" w14:textId="77777777" w:rsidTr="009F3C4C">
        <w:trPr>
          <w:trHeight w:val="340"/>
          <w:jc w:val="center"/>
        </w:trPr>
        <w:tc>
          <w:tcPr>
            <w:tcW w:w="2252" w:type="dxa"/>
            <w:shd w:val="clear" w:color="auto" w:fill="auto"/>
          </w:tcPr>
          <w:p w14:paraId="73CB3DC7" w14:textId="77777777" w:rsidR="00301D26" w:rsidRPr="0098654A" w:rsidRDefault="00301D26" w:rsidP="00301D26">
            <w:pPr>
              <w:spacing w:before="0" w:after="0"/>
              <w:rPr>
                <w:sz w:val="20"/>
              </w:rPr>
            </w:pPr>
            <w:r w:rsidRPr="0098654A">
              <w:rPr>
                <w:sz w:val="20"/>
              </w:rPr>
              <w:t>2017 vs. 2019</w:t>
            </w:r>
          </w:p>
        </w:tc>
        <w:tc>
          <w:tcPr>
            <w:tcW w:w="887" w:type="dxa"/>
            <w:shd w:val="clear" w:color="auto" w:fill="auto"/>
          </w:tcPr>
          <w:p w14:paraId="570DF98C" w14:textId="7107F104" w:rsidR="00301D26" w:rsidRPr="00301D26" w:rsidRDefault="00301D26" w:rsidP="00301D26">
            <w:pPr>
              <w:spacing w:before="0" w:after="0"/>
              <w:rPr>
                <w:sz w:val="20"/>
              </w:rPr>
            </w:pPr>
            <w:r w:rsidRPr="00301D26">
              <w:rPr>
                <w:sz w:val="20"/>
              </w:rPr>
              <w:t>3.1843</w:t>
            </w:r>
          </w:p>
        </w:tc>
        <w:tc>
          <w:tcPr>
            <w:tcW w:w="1073" w:type="dxa"/>
            <w:shd w:val="clear" w:color="auto" w:fill="auto"/>
          </w:tcPr>
          <w:p w14:paraId="4E2B4C3F" w14:textId="5FC1E3AB" w:rsidR="00301D26" w:rsidRPr="00301D26" w:rsidRDefault="00301D26" w:rsidP="00301D26">
            <w:pPr>
              <w:spacing w:before="0" w:after="0"/>
              <w:rPr>
                <w:b/>
                <w:bCs/>
                <w:sz w:val="20"/>
              </w:rPr>
            </w:pPr>
            <w:r w:rsidRPr="00301D26">
              <w:rPr>
                <w:b/>
                <w:bCs/>
                <w:sz w:val="20"/>
              </w:rPr>
              <w:t>0.0006</w:t>
            </w:r>
          </w:p>
        </w:tc>
        <w:tc>
          <w:tcPr>
            <w:tcW w:w="1073" w:type="dxa"/>
            <w:shd w:val="clear" w:color="auto" w:fill="auto"/>
          </w:tcPr>
          <w:p w14:paraId="6E18E54D" w14:textId="32A4D976" w:rsidR="00301D26" w:rsidRPr="00301D26" w:rsidRDefault="00301D26" w:rsidP="00301D26">
            <w:pPr>
              <w:spacing w:before="0" w:after="0"/>
              <w:rPr>
                <w:sz w:val="20"/>
              </w:rPr>
            </w:pPr>
            <w:r w:rsidRPr="00301D26">
              <w:rPr>
                <w:sz w:val="20"/>
              </w:rPr>
              <w:t>1.9555</w:t>
            </w:r>
          </w:p>
        </w:tc>
        <w:tc>
          <w:tcPr>
            <w:tcW w:w="1073" w:type="dxa"/>
            <w:shd w:val="clear" w:color="auto" w:fill="auto"/>
          </w:tcPr>
          <w:p w14:paraId="4C21A1B3" w14:textId="5991B744" w:rsidR="00301D26" w:rsidRPr="00301D26" w:rsidRDefault="00301D26" w:rsidP="00301D26">
            <w:pPr>
              <w:spacing w:before="0" w:after="0"/>
              <w:rPr>
                <w:sz w:val="20"/>
              </w:rPr>
            </w:pPr>
            <w:r w:rsidRPr="00301D26">
              <w:rPr>
                <w:sz w:val="20"/>
              </w:rPr>
              <w:t>0.0206</w:t>
            </w:r>
          </w:p>
        </w:tc>
      </w:tr>
      <w:tr w:rsidR="00301D26" w:rsidRPr="0098654A" w14:paraId="173A8166" w14:textId="77777777" w:rsidTr="009F3C4C">
        <w:trPr>
          <w:trHeight w:val="340"/>
          <w:jc w:val="center"/>
        </w:trPr>
        <w:tc>
          <w:tcPr>
            <w:tcW w:w="2252" w:type="dxa"/>
            <w:shd w:val="clear" w:color="auto" w:fill="auto"/>
          </w:tcPr>
          <w:p w14:paraId="1591F941" w14:textId="77777777" w:rsidR="00301D26" w:rsidRPr="0098654A" w:rsidRDefault="00301D26" w:rsidP="00301D26">
            <w:pPr>
              <w:spacing w:before="0" w:after="0"/>
              <w:rPr>
                <w:sz w:val="20"/>
              </w:rPr>
            </w:pPr>
            <w:r w:rsidRPr="0098654A">
              <w:rPr>
                <w:sz w:val="20"/>
              </w:rPr>
              <w:t>2017 vs. 2020</w:t>
            </w:r>
          </w:p>
        </w:tc>
        <w:tc>
          <w:tcPr>
            <w:tcW w:w="887" w:type="dxa"/>
            <w:shd w:val="clear" w:color="auto" w:fill="auto"/>
          </w:tcPr>
          <w:p w14:paraId="1C13F06F" w14:textId="631E4F0F" w:rsidR="00301D26" w:rsidRPr="00301D26" w:rsidRDefault="00301D26" w:rsidP="00301D26">
            <w:pPr>
              <w:spacing w:before="0" w:after="0"/>
              <w:rPr>
                <w:sz w:val="20"/>
              </w:rPr>
            </w:pPr>
            <w:r w:rsidRPr="00301D26">
              <w:rPr>
                <w:sz w:val="20"/>
              </w:rPr>
              <w:t>3.218</w:t>
            </w:r>
          </w:p>
        </w:tc>
        <w:tc>
          <w:tcPr>
            <w:tcW w:w="1073" w:type="dxa"/>
            <w:shd w:val="clear" w:color="auto" w:fill="auto"/>
          </w:tcPr>
          <w:p w14:paraId="43FB802E" w14:textId="522F5BA1" w:rsidR="00301D26" w:rsidRPr="00301D26" w:rsidRDefault="00301D26" w:rsidP="00301D26">
            <w:pPr>
              <w:spacing w:before="0" w:after="0"/>
              <w:rPr>
                <w:b/>
                <w:bCs/>
                <w:sz w:val="20"/>
              </w:rPr>
            </w:pPr>
            <w:r w:rsidRPr="00301D26">
              <w:rPr>
                <w:b/>
                <w:bCs/>
                <w:sz w:val="20"/>
              </w:rPr>
              <w:t>0.0002</w:t>
            </w:r>
          </w:p>
        </w:tc>
        <w:tc>
          <w:tcPr>
            <w:tcW w:w="1073" w:type="dxa"/>
            <w:shd w:val="clear" w:color="auto" w:fill="auto"/>
          </w:tcPr>
          <w:p w14:paraId="227144D9" w14:textId="4E2F7ACA" w:rsidR="00301D26" w:rsidRPr="00301D26" w:rsidRDefault="00301D26" w:rsidP="00301D26">
            <w:pPr>
              <w:spacing w:before="0" w:after="0"/>
              <w:rPr>
                <w:sz w:val="20"/>
              </w:rPr>
            </w:pPr>
            <w:r w:rsidRPr="00301D26">
              <w:rPr>
                <w:sz w:val="20"/>
              </w:rPr>
              <w:t>2.8131</w:t>
            </w:r>
          </w:p>
        </w:tc>
        <w:tc>
          <w:tcPr>
            <w:tcW w:w="1073" w:type="dxa"/>
            <w:shd w:val="clear" w:color="auto" w:fill="auto"/>
          </w:tcPr>
          <w:p w14:paraId="6E6AEE07" w14:textId="56ACA9A3" w:rsidR="00301D26" w:rsidRPr="00301D26" w:rsidRDefault="00301D26" w:rsidP="00301D26">
            <w:pPr>
              <w:spacing w:before="0" w:after="0"/>
              <w:rPr>
                <w:b/>
                <w:bCs/>
                <w:sz w:val="20"/>
              </w:rPr>
            </w:pPr>
            <w:r w:rsidRPr="00301D26">
              <w:rPr>
                <w:b/>
                <w:bCs/>
                <w:sz w:val="20"/>
              </w:rPr>
              <w:t>0.0002</w:t>
            </w:r>
          </w:p>
        </w:tc>
      </w:tr>
      <w:tr w:rsidR="00301D26" w:rsidRPr="0098654A" w14:paraId="4725DDED" w14:textId="77777777" w:rsidTr="009F3C4C">
        <w:trPr>
          <w:trHeight w:val="340"/>
          <w:jc w:val="center"/>
        </w:trPr>
        <w:tc>
          <w:tcPr>
            <w:tcW w:w="2252" w:type="dxa"/>
            <w:shd w:val="clear" w:color="auto" w:fill="auto"/>
          </w:tcPr>
          <w:p w14:paraId="554662CB" w14:textId="7921C5AD" w:rsidR="00301D26" w:rsidRPr="0098654A" w:rsidRDefault="00301D26" w:rsidP="00301D26">
            <w:pPr>
              <w:spacing w:before="0" w:after="0"/>
              <w:rPr>
                <w:sz w:val="20"/>
              </w:rPr>
            </w:pPr>
            <w:r w:rsidRPr="0098654A">
              <w:rPr>
                <w:sz w:val="20"/>
              </w:rPr>
              <w:t>201</w:t>
            </w:r>
            <w:r>
              <w:rPr>
                <w:sz w:val="20"/>
              </w:rPr>
              <w:t>7</w:t>
            </w:r>
            <w:r w:rsidRPr="0098654A">
              <w:rPr>
                <w:sz w:val="20"/>
              </w:rPr>
              <w:t xml:space="preserve"> vs. 202</w:t>
            </w:r>
            <w:r>
              <w:rPr>
                <w:sz w:val="20"/>
              </w:rPr>
              <w:t>1</w:t>
            </w:r>
          </w:p>
        </w:tc>
        <w:tc>
          <w:tcPr>
            <w:tcW w:w="887" w:type="dxa"/>
            <w:shd w:val="clear" w:color="auto" w:fill="auto"/>
          </w:tcPr>
          <w:p w14:paraId="0848ED60" w14:textId="7DDB1F6D" w:rsidR="00301D26" w:rsidRPr="00301D26" w:rsidRDefault="00301D26" w:rsidP="00301D26">
            <w:pPr>
              <w:spacing w:before="0" w:after="0"/>
              <w:rPr>
                <w:sz w:val="20"/>
              </w:rPr>
            </w:pPr>
            <w:r w:rsidRPr="00301D26">
              <w:rPr>
                <w:sz w:val="20"/>
              </w:rPr>
              <w:t>3.0598</w:t>
            </w:r>
          </w:p>
        </w:tc>
        <w:tc>
          <w:tcPr>
            <w:tcW w:w="1073" w:type="dxa"/>
            <w:shd w:val="clear" w:color="auto" w:fill="auto"/>
          </w:tcPr>
          <w:p w14:paraId="70C7375E" w14:textId="5A51A709" w:rsidR="00301D26" w:rsidRPr="00D8380A" w:rsidRDefault="00301D26" w:rsidP="00301D26">
            <w:pPr>
              <w:spacing w:before="0" w:after="0"/>
              <w:rPr>
                <w:sz w:val="20"/>
              </w:rPr>
            </w:pPr>
            <w:r w:rsidRPr="00D8380A">
              <w:rPr>
                <w:sz w:val="20"/>
              </w:rPr>
              <w:t>0.0025</w:t>
            </w:r>
          </w:p>
        </w:tc>
        <w:tc>
          <w:tcPr>
            <w:tcW w:w="1073" w:type="dxa"/>
            <w:shd w:val="clear" w:color="auto" w:fill="auto"/>
          </w:tcPr>
          <w:p w14:paraId="25A3F388" w14:textId="38F4B3D9" w:rsidR="00301D26" w:rsidRPr="00301D26" w:rsidRDefault="00301D26" w:rsidP="00301D26">
            <w:pPr>
              <w:spacing w:before="0" w:after="0"/>
              <w:rPr>
                <w:sz w:val="20"/>
              </w:rPr>
            </w:pPr>
            <w:r w:rsidRPr="00301D26">
              <w:rPr>
                <w:sz w:val="20"/>
              </w:rPr>
              <w:t>3.2642</w:t>
            </w:r>
          </w:p>
        </w:tc>
        <w:tc>
          <w:tcPr>
            <w:tcW w:w="1073" w:type="dxa"/>
            <w:shd w:val="clear" w:color="auto" w:fill="auto"/>
          </w:tcPr>
          <w:p w14:paraId="1DC26EEB" w14:textId="1EA4594F" w:rsidR="00301D26" w:rsidRPr="00301D26" w:rsidRDefault="00301D26" w:rsidP="00301D26">
            <w:pPr>
              <w:spacing w:before="0" w:after="0"/>
              <w:rPr>
                <w:b/>
                <w:bCs/>
                <w:sz w:val="20"/>
              </w:rPr>
            </w:pPr>
            <w:r w:rsidRPr="00301D26">
              <w:rPr>
                <w:b/>
                <w:bCs/>
                <w:sz w:val="20"/>
              </w:rPr>
              <w:t>0.0003</w:t>
            </w:r>
          </w:p>
        </w:tc>
      </w:tr>
      <w:tr w:rsidR="00301D26" w:rsidRPr="0098654A" w14:paraId="3CF67CC4" w14:textId="77777777" w:rsidTr="009F3C4C">
        <w:trPr>
          <w:trHeight w:val="340"/>
          <w:jc w:val="center"/>
        </w:trPr>
        <w:tc>
          <w:tcPr>
            <w:tcW w:w="2252" w:type="dxa"/>
            <w:shd w:val="clear" w:color="auto" w:fill="auto"/>
          </w:tcPr>
          <w:p w14:paraId="3A82ED76" w14:textId="77777777" w:rsidR="00301D26" w:rsidRPr="0098654A" w:rsidRDefault="00301D26" w:rsidP="00301D26">
            <w:pPr>
              <w:spacing w:before="0" w:after="0"/>
              <w:rPr>
                <w:sz w:val="20"/>
              </w:rPr>
            </w:pPr>
            <w:r w:rsidRPr="0098654A">
              <w:rPr>
                <w:sz w:val="20"/>
              </w:rPr>
              <w:t>2018 vs. 2019</w:t>
            </w:r>
          </w:p>
        </w:tc>
        <w:tc>
          <w:tcPr>
            <w:tcW w:w="887" w:type="dxa"/>
            <w:shd w:val="clear" w:color="auto" w:fill="auto"/>
          </w:tcPr>
          <w:p w14:paraId="4BDCA5AD" w14:textId="57ED55ED" w:rsidR="00301D26" w:rsidRPr="00301D26" w:rsidRDefault="00301D26" w:rsidP="00301D26">
            <w:pPr>
              <w:spacing w:before="0" w:after="0"/>
              <w:rPr>
                <w:sz w:val="20"/>
              </w:rPr>
            </w:pPr>
            <w:r w:rsidRPr="00301D26">
              <w:rPr>
                <w:sz w:val="20"/>
              </w:rPr>
              <w:t>1.7619</w:t>
            </w:r>
          </w:p>
        </w:tc>
        <w:tc>
          <w:tcPr>
            <w:tcW w:w="1073" w:type="dxa"/>
            <w:shd w:val="clear" w:color="auto" w:fill="auto"/>
          </w:tcPr>
          <w:p w14:paraId="6ACCC792" w14:textId="5838B15F" w:rsidR="00301D26" w:rsidRPr="00301D26" w:rsidRDefault="00301D26" w:rsidP="00301D26">
            <w:pPr>
              <w:spacing w:before="0" w:after="0"/>
              <w:rPr>
                <w:sz w:val="20"/>
              </w:rPr>
            </w:pPr>
            <w:r w:rsidRPr="00301D26">
              <w:rPr>
                <w:sz w:val="20"/>
              </w:rPr>
              <w:t>0.0439</w:t>
            </w:r>
          </w:p>
        </w:tc>
        <w:tc>
          <w:tcPr>
            <w:tcW w:w="1073" w:type="dxa"/>
            <w:shd w:val="clear" w:color="auto" w:fill="auto"/>
          </w:tcPr>
          <w:p w14:paraId="4D111131" w14:textId="67EA1CF6" w:rsidR="00301D26" w:rsidRPr="00301D26" w:rsidRDefault="00301D26" w:rsidP="00301D26">
            <w:pPr>
              <w:spacing w:before="0" w:after="0"/>
              <w:rPr>
                <w:sz w:val="20"/>
              </w:rPr>
            </w:pPr>
            <w:r w:rsidRPr="00301D26">
              <w:rPr>
                <w:sz w:val="20"/>
              </w:rPr>
              <w:t>1.4932</w:t>
            </w:r>
          </w:p>
        </w:tc>
        <w:tc>
          <w:tcPr>
            <w:tcW w:w="1073" w:type="dxa"/>
            <w:shd w:val="clear" w:color="auto" w:fill="auto"/>
          </w:tcPr>
          <w:p w14:paraId="22CD6709" w14:textId="2F48B43D" w:rsidR="00301D26" w:rsidRPr="00301D26" w:rsidRDefault="00301D26" w:rsidP="00301D26">
            <w:pPr>
              <w:spacing w:before="0" w:after="0"/>
              <w:rPr>
                <w:sz w:val="20"/>
              </w:rPr>
            </w:pPr>
            <w:r w:rsidRPr="00301D26">
              <w:rPr>
                <w:sz w:val="20"/>
              </w:rPr>
              <w:t>0.0969</w:t>
            </w:r>
          </w:p>
        </w:tc>
      </w:tr>
      <w:tr w:rsidR="00301D26" w:rsidRPr="0098654A" w14:paraId="01D93440" w14:textId="77777777" w:rsidTr="009F3C4C">
        <w:trPr>
          <w:trHeight w:val="340"/>
          <w:jc w:val="center"/>
        </w:trPr>
        <w:tc>
          <w:tcPr>
            <w:tcW w:w="2252" w:type="dxa"/>
            <w:shd w:val="clear" w:color="auto" w:fill="auto"/>
          </w:tcPr>
          <w:p w14:paraId="571D4365" w14:textId="77777777" w:rsidR="00301D26" w:rsidRPr="0098654A" w:rsidRDefault="00301D26" w:rsidP="00301D26">
            <w:pPr>
              <w:spacing w:before="0" w:after="0"/>
              <w:rPr>
                <w:sz w:val="20"/>
              </w:rPr>
            </w:pPr>
            <w:r w:rsidRPr="0098654A">
              <w:rPr>
                <w:sz w:val="20"/>
              </w:rPr>
              <w:t>2018 vs. 2020</w:t>
            </w:r>
          </w:p>
        </w:tc>
        <w:tc>
          <w:tcPr>
            <w:tcW w:w="887" w:type="dxa"/>
            <w:shd w:val="clear" w:color="auto" w:fill="auto"/>
          </w:tcPr>
          <w:p w14:paraId="18AF4B84" w14:textId="2A3F6485" w:rsidR="00301D26" w:rsidRPr="00301D26" w:rsidRDefault="00301D26" w:rsidP="00301D26">
            <w:pPr>
              <w:spacing w:before="0" w:after="0"/>
              <w:rPr>
                <w:sz w:val="20"/>
              </w:rPr>
            </w:pPr>
            <w:r w:rsidRPr="00301D26">
              <w:rPr>
                <w:sz w:val="20"/>
              </w:rPr>
              <w:t>1.9635</w:t>
            </w:r>
          </w:p>
        </w:tc>
        <w:tc>
          <w:tcPr>
            <w:tcW w:w="1073" w:type="dxa"/>
            <w:shd w:val="clear" w:color="auto" w:fill="auto"/>
          </w:tcPr>
          <w:p w14:paraId="17F0C7EB" w14:textId="66900FDC" w:rsidR="00301D26" w:rsidRPr="00301D26" w:rsidRDefault="00301D26" w:rsidP="00301D26">
            <w:pPr>
              <w:spacing w:before="0" w:after="0"/>
              <w:rPr>
                <w:sz w:val="20"/>
              </w:rPr>
            </w:pPr>
            <w:r w:rsidRPr="00301D26">
              <w:rPr>
                <w:sz w:val="20"/>
              </w:rPr>
              <w:t>0.0225</w:t>
            </w:r>
          </w:p>
        </w:tc>
        <w:tc>
          <w:tcPr>
            <w:tcW w:w="1073" w:type="dxa"/>
            <w:shd w:val="clear" w:color="auto" w:fill="auto"/>
          </w:tcPr>
          <w:p w14:paraId="0B32485C" w14:textId="4A78DC8F" w:rsidR="00301D26" w:rsidRPr="00301D26" w:rsidRDefault="00301D26" w:rsidP="00301D26">
            <w:pPr>
              <w:spacing w:before="0" w:after="0"/>
              <w:rPr>
                <w:sz w:val="20"/>
              </w:rPr>
            </w:pPr>
            <w:r w:rsidRPr="00301D26">
              <w:rPr>
                <w:sz w:val="20"/>
              </w:rPr>
              <w:t>2.1635</w:t>
            </w:r>
          </w:p>
        </w:tc>
        <w:tc>
          <w:tcPr>
            <w:tcW w:w="1073" w:type="dxa"/>
            <w:shd w:val="clear" w:color="auto" w:fill="auto"/>
          </w:tcPr>
          <w:p w14:paraId="230E9790" w14:textId="6223B8F4" w:rsidR="00301D26" w:rsidRPr="00301D26" w:rsidRDefault="00301D26" w:rsidP="00301D26">
            <w:pPr>
              <w:spacing w:before="0" w:after="0"/>
              <w:rPr>
                <w:sz w:val="20"/>
              </w:rPr>
            </w:pPr>
            <w:r w:rsidRPr="00301D26">
              <w:rPr>
                <w:sz w:val="20"/>
              </w:rPr>
              <w:t>0.0121</w:t>
            </w:r>
          </w:p>
        </w:tc>
      </w:tr>
      <w:tr w:rsidR="00301D26" w:rsidRPr="0098654A" w14:paraId="6DF96913" w14:textId="77777777" w:rsidTr="009F3C4C">
        <w:trPr>
          <w:trHeight w:val="340"/>
          <w:jc w:val="center"/>
        </w:trPr>
        <w:tc>
          <w:tcPr>
            <w:tcW w:w="2252" w:type="dxa"/>
            <w:shd w:val="clear" w:color="auto" w:fill="auto"/>
          </w:tcPr>
          <w:p w14:paraId="61CA0769" w14:textId="37889DDF" w:rsidR="00301D26" w:rsidRPr="0098654A" w:rsidRDefault="00301D26" w:rsidP="00301D26">
            <w:pPr>
              <w:spacing w:before="0" w:after="0"/>
              <w:rPr>
                <w:sz w:val="20"/>
              </w:rPr>
            </w:pPr>
            <w:r w:rsidRPr="0098654A">
              <w:rPr>
                <w:sz w:val="20"/>
              </w:rPr>
              <w:t>201</w:t>
            </w:r>
            <w:r>
              <w:rPr>
                <w:sz w:val="20"/>
              </w:rPr>
              <w:t>8</w:t>
            </w:r>
            <w:r w:rsidRPr="0098654A">
              <w:rPr>
                <w:sz w:val="20"/>
              </w:rPr>
              <w:t xml:space="preserve"> vs. 202</w:t>
            </w:r>
            <w:r>
              <w:rPr>
                <w:sz w:val="20"/>
              </w:rPr>
              <w:t>1</w:t>
            </w:r>
          </w:p>
        </w:tc>
        <w:tc>
          <w:tcPr>
            <w:tcW w:w="887" w:type="dxa"/>
            <w:shd w:val="clear" w:color="auto" w:fill="auto"/>
          </w:tcPr>
          <w:p w14:paraId="1E8B3E5C" w14:textId="3FBD50E6" w:rsidR="00301D26" w:rsidRPr="00301D26" w:rsidRDefault="00301D26" w:rsidP="00301D26">
            <w:pPr>
              <w:spacing w:before="0" w:after="0"/>
              <w:rPr>
                <w:sz w:val="20"/>
              </w:rPr>
            </w:pPr>
            <w:r w:rsidRPr="00301D26">
              <w:rPr>
                <w:sz w:val="20"/>
              </w:rPr>
              <w:t>2.3149</w:t>
            </w:r>
          </w:p>
        </w:tc>
        <w:tc>
          <w:tcPr>
            <w:tcW w:w="1073" w:type="dxa"/>
            <w:shd w:val="clear" w:color="auto" w:fill="auto"/>
          </w:tcPr>
          <w:p w14:paraId="5EE40285" w14:textId="5CD5698F" w:rsidR="00301D26" w:rsidRPr="00301D26" w:rsidRDefault="00301D26" w:rsidP="00301D26">
            <w:pPr>
              <w:spacing w:before="0" w:after="0"/>
              <w:rPr>
                <w:sz w:val="20"/>
              </w:rPr>
            </w:pPr>
            <w:r w:rsidRPr="00301D26">
              <w:rPr>
                <w:sz w:val="20"/>
              </w:rPr>
              <w:t>0.0088</w:t>
            </w:r>
          </w:p>
        </w:tc>
        <w:tc>
          <w:tcPr>
            <w:tcW w:w="1073" w:type="dxa"/>
            <w:shd w:val="clear" w:color="auto" w:fill="auto"/>
          </w:tcPr>
          <w:p w14:paraId="6C41A3DF" w14:textId="0F7B4F39" w:rsidR="00301D26" w:rsidRPr="00301D26" w:rsidRDefault="00301D26" w:rsidP="00301D26">
            <w:pPr>
              <w:spacing w:before="0" w:after="0"/>
              <w:rPr>
                <w:sz w:val="20"/>
              </w:rPr>
            </w:pPr>
            <w:r w:rsidRPr="00301D26">
              <w:rPr>
                <w:sz w:val="20"/>
              </w:rPr>
              <w:t>1.7722</w:t>
            </w:r>
          </w:p>
        </w:tc>
        <w:tc>
          <w:tcPr>
            <w:tcW w:w="1073" w:type="dxa"/>
            <w:shd w:val="clear" w:color="auto" w:fill="auto"/>
          </w:tcPr>
          <w:p w14:paraId="2D389002" w14:textId="089AE460" w:rsidR="00301D26" w:rsidRPr="00301D26" w:rsidRDefault="00301D26" w:rsidP="00301D26">
            <w:pPr>
              <w:spacing w:before="0" w:after="0"/>
              <w:rPr>
                <w:sz w:val="20"/>
              </w:rPr>
            </w:pPr>
            <w:r w:rsidRPr="00301D26">
              <w:rPr>
                <w:sz w:val="20"/>
              </w:rPr>
              <w:t>0.0401</w:t>
            </w:r>
          </w:p>
        </w:tc>
      </w:tr>
      <w:tr w:rsidR="00301D26" w:rsidRPr="00C01B82" w14:paraId="51E0AE7A" w14:textId="77777777" w:rsidTr="00BE5181">
        <w:trPr>
          <w:trHeight w:val="340"/>
          <w:jc w:val="center"/>
        </w:trPr>
        <w:tc>
          <w:tcPr>
            <w:tcW w:w="2252" w:type="dxa"/>
            <w:shd w:val="clear" w:color="auto" w:fill="auto"/>
          </w:tcPr>
          <w:p w14:paraId="04B632ED" w14:textId="77777777" w:rsidR="00301D26" w:rsidRPr="0098654A" w:rsidRDefault="00301D26" w:rsidP="00301D26">
            <w:pPr>
              <w:spacing w:before="0" w:after="0"/>
              <w:rPr>
                <w:sz w:val="20"/>
              </w:rPr>
            </w:pPr>
            <w:r w:rsidRPr="0098654A">
              <w:rPr>
                <w:sz w:val="20"/>
              </w:rPr>
              <w:t>2019 vs. 2020</w:t>
            </w:r>
          </w:p>
        </w:tc>
        <w:tc>
          <w:tcPr>
            <w:tcW w:w="887" w:type="dxa"/>
            <w:shd w:val="clear" w:color="auto" w:fill="auto"/>
          </w:tcPr>
          <w:p w14:paraId="5CCC6000" w14:textId="599BAC41" w:rsidR="00301D26" w:rsidRPr="00301D26" w:rsidRDefault="00301D26" w:rsidP="00301D26">
            <w:pPr>
              <w:spacing w:before="0" w:after="0"/>
              <w:rPr>
                <w:sz w:val="20"/>
              </w:rPr>
            </w:pPr>
            <w:r w:rsidRPr="00301D26">
              <w:rPr>
                <w:sz w:val="20"/>
              </w:rPr>
              <w:t>1.6608</w:t>
            </w:r>
          </w:p>
        </w:tc>
        <w:tc>
          <w:tcPr>
            <w:tcW w:w="1073" w:type="dxa"/>
            <w:shd w:val="clear" w:color="auto" w:fill="auto"/>
          </w:tcPr>
          <w:p w14:paraId="278BCFC9" w14:textId="6E543F60" w:rsidR="00301D26" w:rsidRPr="00301D26" w:rsidRDefault="00301D26" w:rsidP="00301D26">
            <w:pPr>
              <w:spacing w:before="0" w:after="0"/>
              <w:rPr>
                <w:sz w:val="20"/>
              </w:rPr>
            </w:pPr>
            <w:r w:rsidRPr="00301D26">
              <w:rPr>
                <w:sz w:val="20"/>
              </w:rPr>
              <w:t>0.0714</w:t>
            </w:r>
          </w:p>
        </w:tc>
        <w:tc>
          <w:tcPr>
            <w:tcW w:w="1073" w:type="dxa"/>
            <w:shd w:val="clear" w:color="auto" w:fill="auto"/>
          </w:tcPr>
          <w:p w14:paraId="39AF1CE0" w14:textId="2F93E279" w:rsidR="00301D26" w:rsidRPr="00301D26" w:rsidRDefault="00301D26" w:rsidP="00301D26">
            <w:pPr>
              <w:spacing w:before="0" w:after="0"/>
              <w:rPr>
                <w:sz w:val="20"/>
              </w:rPr>
            </w:pPr>
            <w:r w:rsidRPr="00301D26">
              <w:rPr>
                <w:sz w:val="20"/>
              </w:rPr>
              <w:t>2.0557</w:t>
            </w:r>
          </w:p>
        </w:tc>
        <w:tc>
          <w:tcPr>
            <w:tcW w:w="1073" w:type="dxa"/>
            <w:shd w:val="clear" w:color="auto" w:fill="auto"/>
          </w:tcPr>
          <w:p w14:paraId="0DF38276" w14:textId="35CD42F9" w:rsidR="00301D26" w:rsidRPr="00301D26" w:rsidRDefault="00301D26" w:rsidP="00301D26">
            <w:pPr>
              <w:spacing w:before="0" w:after="0"/>
              <w:rPr>
                <w:sz w:val="20"/>
              </w:rPr>
            </w:pPr>
            <w:r w:rsidRPr="00301D26">
              <w:rPr>
                <w:sz w:val="20"/>
              </w:rPr>
              <w:t>0.0131</w:t>
            </w:r>
          </w:p>
        </w:tc>
      </w:tr>
      <w:tr w:rsidR="00301D26" w:rsidRPr="00C01B82" w14:paraId="03AC1527" w14:textId="77777777" w:rsidTr="00BE5181">
        <w:trPr>
          <w:trHeight w:val="340"/>
          <w:jc w:val="center"/>
        </w:trPr>
        <w:tc>
          <w:tcPr>
            <w:tcW w:w="2252" w:type="dxa"/>
            <w:shd w:val="clear" w:color="auto" w:fill="auto"/>
          </w:tcPr>
          <w:p w14:paraId="4184FF57" w14:textId="32F2FE23" w:rsidR="00301D26" w:rsidRPr="0098654A" w:rsidRDefault="00301D26" w:rsidP="00301D26">
            <w:pPr>
              <w:spacing w:before="0" w:after="0"/>
              <w:rPr>
                <w:sz w:val="20"/>
              </w:rPr>
            </w:pPr>
            <w:r w:rsidRPr="0098654A">
              <w:rPr>
                <w:sz w:val="20"/>
              </w:rPr>
              <w:t>201</w:t>
            </w:r>
            <w:r>
              <w:rPr>
                <w:sz w:val="20"/>
              </w:rPr>
              <w:t>9</w:t>
            </w:r>
            <w:r w:rsidRPr="0098654A">
              <w:rPr>
                <w:sz w:val="20"/>
              </w:rPr>
              <w:t xml:space="preserve"> vs. 202</w:t>
            </w:r>
            <w:r>
              <w:rPr>
                <w:sz w:val="20"/>
              </w:rPr>
              <w:t>1</w:t>
            </w:r>
          </w:p>
        </w:tc>
        <w:tc>
          <w:tcPr>
            <w:tcW w:w="887" w:type="dxa"/>
            <w:shd w:val="clear" w:color="auto" w:fill="auto"/>
          </w:tcPr>
          <w:p w14:paraId="264495F5" w14:textId="3110409C" w:rsidR="00301D26" w:rsidRPr="00301D26" w:rsidRDefault="00301D26" w:rsidP="00301D26">
            <w:pPr>
              <w:spacing w:before="0" w:after="0"/>
              <w:rPr>
                <w:sz w:val="20"/>
              </w:rPr>
            </w:pPr>
            <w:r w:rsidRPr="00301D26">
              <w:rPr>
                <w:sz w:val="20"/>
              </w:rPr>
              <w:t>2.2504</w:t>
            </w:r>
          </w:p>
        </w:tc>
        <w:tc>
          <w:tcPr>
            <w:tcW w:w="1073" w:type="dxa"/>
            <w:shd w:val="clear" w:color="auto" w:fill="auto"/>
          </w:tcPr>
          <w:p w14:paraId="30399A51" w14:textId="578B6887" w:rsidR="00301D26" w:rsidRPr="00301D26" w:rsidRDefault="00301D26" w:rsidP="00301D26">
            <w:pPr>
              <w:spacing w:before="0" w:after="0"/>
              <w:rPr>
                <w:sz w:val="20"/>
              </w:rPr>
            </w:pPr>
            <w:r w:rsidRPr="00301D26">
              <w:rPr>
                <w:sz w:val="20"/>
              </w:rPr>
              <w:t>0.0075</w:t>
            </w:r>
          </w:p>
        </w:tc>
        <w:tc>
          <w:tcPr>
            <w:tcW w:w="1073" w:type="dxa"/>
            <w:shd w:val="clear" w:color="auto" w:fill="auto"/>
          </w:tcPr>
          <w:p w14:paraId="2CE1E5C0" w14:textId="1E8F1084" w:rsidR="00301D26" w:rsidRPr="00301D26" w:rsidRDefault="00301D26" w:rsidP="00301D26">
            <w:pPr>
              <w:spacing w:before="0" w:after="0"/>
              <w:rPr>
                <w:sz w:val="20"/>
              </w:rPr>
            </w:pPr>
            <w:r w:rsidRPr="00301D26">
              <w:rPr>
                <w:sz w:val="20"/>
              </w:rPr>
              <w:t>2.057</w:t>
            </w:r>
          </w:p>
        </w:tc>
        <w:tc>
          <w:tcPr>
            <w:tcW w:w="1073" w:type="dxa"/>
            <w:shd w:val="clear" w:color="auto" w:fill="auto"/>
          </w:tcPr>
          <w:p w14:paraId="7137C5CC" w14:textId="71796B6C" w:rsidR="00301D26" w:rsidRPr="00301D26" w:rsidRDefault="00301D26" w:rsidP="00301D26">
            <w:pPr>
              <w:spacing w:before="0" w:after="0"/>
              <w:rPr>
                <w:sz w:val="20"/>
              </w:rPr>
            </w:pPr>
            <w:r w:rsidRPr="00301D26">
              <w:rPr>
                <w:sz w:val="20"/>
              </w:rPr>
              <w:t>0.0141</w:t>
            </w:r>
          </w:p>
        </w:tc>
      </w:tr>
      <w:tr w:rsidR="00301D26" w:rsidRPr="00C01B82" w14:paraId="5E36D158" w14:textId="77777777" w:rsidTr="009F3C4C">
        <w:trPr>
          <w:trHeight w:val="340"/>
          <w:jc w:val="center"/>
        </w:trPr>
        <w:tc>
          <w:tcPr>
            <w:tcW w:w="2252" w:type="dxa"/>
            <w:tcBorders>
              <w:bottom w:val="single" w:sz="4" w:space="0" w:color="auto"/>
            </w:tcBorders>
            <w:shd w:val="clear" w:color="auto" w:fill="auto"/>
          </w:tcPr>
          <w:p w14:paraId="131E12DA" w14:textId="1EE03F5D" w:rsidR="00301D26" w:rsidRPr="0098654A" w:rsidRDefault="00301D26" w:rsidP="00301D26">
            <w:pPr>
              <w:spacing w:before="0" w:after="0"/>
              <w:rPr>
                <w:sz w:val="20"/>
              </w:rPr>
            </w:pPr>
            <w:r>
              <w:rPr>
                <w:sz w:val="20"/>
              </w:rPr>
              <w:t>2020 vs. 2021</w:t>
            </w:r>
          </w:p>
        </w:tc>
        <w:tc>
          <w:tcPr>
            <w:tcW w:w="887" w:type="dxa"/>
            <w:tcBorders>
              <w:bottom w:val="single" w:sz="4" w:space="0" w:color="auto"/>
            </w:tcBorders>
            <w:shd w:val="clear" w:color="auto" w:fill="auto"/>
          </w:tcPr>
          <w:p w14:paraId="03C5F88F" w14:textId="1A35E44D" w:rsidR="00301D26" w:rsidRPr="00301D26" w:rsidRDefault="00301D26" w:rsidP="00301D26">
            <w:pPr>
              <w:spacing w:before="0" w:after="0"/>
              <w:rPr>
                <w:sz w:val="20"/>
              </w:rPr>
            </w:pPr>
            <w:r w:rsidRPr="00301D26">
              <w:rPr>
                <w:sz w:val="20"/>
              </w:rPr>
              <w:t>3.6386</w:t>
            </w:r>
          </w:p>
        </w:tc>
        <w:tc>
          <w:tcPr>
            <w:tcW w:w="1073" w:type="dxa"/>
            <w:tcBorders>
              <w:bottom w:val="single" w:sz="4" w:space="0" w:color="auto"/>
            </w:tcBorders>
            <w:shd w:val="clear" w:color="auto" w:fill="auto"/>
          </w:tcPr>
          <w:p w14:paraId="5CDD44BD" w14:textId="20842EF9" w:rsidR="00301D26" w:rsidRPr="00301D26" w:rsidRDefault="00301D26" w:rsidP="00301D26">
            <w:pPr>
              <w:spacing w:before="0" w:after="0"/>
              <w:rPr>
                <w:b/>
                <w:bCs/>
                <w:sz w:val="20"/>
              </w:rPr>
            </w:pPr>
            <w:r w:rsidRPr="00301D26">
              <w:rPr>
                <w:b/>
                <w:bCs/>
                <w:sz w:val="20"/>
              </w:rPr>
              <w:t>0.0007</w:t>
            </w:r>
          </w:p>
        </w:tc>
        <w:tc>
          <w:tcPr>
            <w:tcW w:w="1073" w:type="dxa"/>
            <w:tcBorders>
              <w:bottom w:val="single" w:sz="4" w:space="0" w:color="auto"/>
            </w:tcBorders>
            <w:shd w:val="clear" w:color="auto" w:fill="auto"/>
          </w:tcPr>
          <w:p w14:paraId="2FA2E8BE" w14:textId="5A1AF569" w:rsidR="00301D26" w:rsidRPr="00301D26" w:rsidRDefault="00301D26" w:rsidP="00301D26">
            <w:pPr>
              <w:spacing w:before="0" w:after="0"/>
              <w:rPr>
                <w:sz w:val="20"/>
              </w:rPr>
            </w:pPr>
            <w:r w:rsidRPr="00301D26">
              <w:rPr>
                <w:sz w:val="20"/>
              </w:rPr>
              <w:t>1.1674</w:t>
            </w:r>
          </w:p>
        </w:tc>
        <w:tc>
          <w:tcPr>
            <w:tcW w:w="1073" w:type="dxa"/>
            <w:tcBorders>
              <w:bottom w:val="single" w:sz="4" w:space="0" w:color="auto"/>
            </w:tcBorders>
            <w:shd w:val="clear" w:color="auto" w:fill="auto"/>
          </w:tcPr>
          <w:p w14:paraId="17C791F3" w14:textId="57459BA1" w:rsidR="00301D26" w:rsidRPr="00301D26" w:rsidRDefault="00301D26" w:rsidP="00301D26">
            <w:pPr>
              <w:spacing w:before="0" w:after="0"/>
              <w:rPr>
                <w:sz w:val="20"/>
              </w:rPr>
            </w:pPr>
            <w:r w:rsidRPr="00301D26">
              <w:rPr>
                <w:sz w:val="20"/>
              </w:rPr>
              <w:t>0.2428</w:t>
            </w:r>
          </w:p>
        </w:tc>
      </w:tr>
    </w:tbl>
    <w:p w14:paraId="33228073" w14:textId="2F9943FD" w:rsidR="00002263" w:rsidRDefault="00002263" w:rsidP="007F69C2">
      <w:pPr>
        <w:sectPr w:rsidR="00002263" w:rsidSect="005647FE">
          <w:pgSz w:w="11906" w:h="16838"/>
          <w:pgMar w:top="1440" w:right="1440" w:bottom="1440" w:left="1440" w:header="709" w:footer="709" w:gutter="0"/>
          <w:cols w:space="708"/>
          <w:docGrid w:linePitch="360"/>
        </w:sectPr>
      </w:pPr>
    </w:p>
    <w:p w14:paraId="32300E9D" w14:textId="169CE2BA" w:rsidR="004966C2" w:rsidRDefault="004966C2" w:rsidP="004966C2">
      <w:pPr>
        <w:pStyle w:val="Heading1"/>
        <w:numPr>
          <w:ilvl w:val="0"/>
          <w:numId w:val="0"/>
        </w:numPr>
        <w:ind w:left="851" w:hanging="851"/>
      </w:pPr>
      <w:bookmarkStart w:id="433" w:name="_Toc101963790"/>
      <w:bookmarkStart w:id="434" w:name="_Toc3558350"/>
      <w:r w:rsidRPr="004473EB">
        <w:t xml:space="preserve">Appendix </w:t>
      </w:r>
      <w:r>
        <w:t>E</w:t>
      </w:r>
      <w:r w:rsidRPr="004473EB">
        <w:t xml:space="preserve">: </w:t>
      </w:r>
      <w:r w:rsidR="005C3CDB">
        <w:t>Contingency monitoring: Seed bank assessment</w:t>
      </w:r>
      <w:bookmarkEnd w:id="433"/>
    </w:p>
    <w:p w14:paraId="012FE8A6" w14:textId="42D317C5" w:rsidR="005C3CDB" w:rsidRPr="005C3CDB" w:rsidRDefault="005C3CDB" w:rsidP="005C3CDB">
      <w:pPr>
        <w:rPr>
          <w:b/>
          <w:bCs/>
          <w:i/>
          <w:iCs/>
          <w:color w:val="44546A" w:themeColor="text2"/>
          <w:sz w:val="24"/>
          <w:szCs w:val="24"/>
        </w:rPr>
      </w:pPr>
      <w:r w:rsidRPr="005C3CDB">
        <w:rPr>
          <w:b/>
          <w:bCs/>
          <w:i/>
          <w:iCs/>
          <w:color w:val="44546A" w:themeColor="text2"/>
          <w:sz w:val="24"/>
          <w:szCs w:val="24"/>
          <w:lang w:val="en-US"/>
        </w:rPr>
        <w:t xml:space="preserve">Background </w:t>
      </w:r>
    </w:p>
    <w:p w14:paraId="6FF5BFEC" w14:textId="1535AB3B" w:rsidR="005C3CDB" w:rsidRDefault="005C3CDB" w:rsidP="005C3CDB">
      <w:pPr>
        <w:rPr>
          <w:lang w:val="en-US"/>
        </w:rPr>
      </w:pPr>
      <w:r w:rsidRPr="00366994">
        <w:rPr>
          <w:lang w:val="en-US"/>
        </w:rPr>
        <w:t xml:space="preserve">The soil seed bank is </w:t>
      </w:r>
      <w:r>
        <w:rPr>
          <w:lang w:val="en-US"/>
        </w:rPr>
        <w:t>the</w:t>
      </w:r>
      <w:r w:rsidRPr="00366994">
        <w:rPr>
          <w:lang w:val="en-US"/>
        </w:rPr>
        <w:t xml:space="preserve"> reserve</w:t>
      </w:r>
      <w:r>
        <w:rPr>
          <w:lang w:val="en-US"/>
        </w:rPr>
        <w:t>s</w:t>
      </w:r>
      <w:r w:rsidRPr="00366994">
        <w:rPr>
          <w:lang w:val="en-US"/>
        </w:rPr>
        <w:t xml:space="preserve"> of viable seeds found in and on the surface of the soil (Roberts 1981) including the associated litter (Simpson </w:t>
      </w:r>
      <w:r w:rsidRPr="00072448">
        <w:rPr>
          <w:i/>
          <w:iCs/>
          <w:lang w:val="en-US"/>
        </w:rPr>
        <w:t>et al.</w:t>
      </w:r>
      <w:r w:rsidRPr="00366994">
        <w:rPr>
          <w:lang w:val="en-US"/>
        </w:rPr>
        <w:t xml:space="preserve"> 1989). It is </w:t>
      </w:r>
      <w:r w:rsidRPr="000C357F">
        <w:t>recognised</w:t>
      </w:r>
      <w:r w:rsidRPr="00366994">
        <w:rPr>
          <w:lang w:val="en-US"/>
        </w:rPr>
        <w:t xml:space="preserve"> as a</w:t>
      </w:r>
      <w:r>
        <w:rPr>
          <w:lang w:val="en-US"/>
        </w:rPr>
        <w:t>n important</w:t>
      </w:r>
      <w:r w:rsidRPr="00366994">
        <w:rPr>
          <w:lang w:val="en-US"/>
        </w:rPr>
        <w:t xml:space="preserve"> component of the vegetation in wetland and floodplain ecosystems (Leck 1989), providing a refuge and mechanism for vegetation regeneration after disturbance (usually a drought or flooding event) (Brock </w:t>
      </w:r>
      <w:r w:rsidRPr="00072448">
        <w:rPr>
          <w:i/>
          <w:iCs/>
          <w:lang w:val="en-US"/>
        </w:rPr>
        <w:t>et al.</w:t>
      </w:r>
      <w:r w:rsidRPr="00366994">
        <w:rPr>
          <w:lang w:val="en-US"/>
        </w:rPr>
        <w:t xml:space="preserve"> 2003). However, only some species form a soil seed bank</w:t>
      </w:r>
      <w:r>
        <w:rPr>
          <w:lang w:val="en-US"/>
        </w:rPr>
        <w:t>.</w:t>
      </w:r>
      <w:r w:rsidRPr="00366994">
        <w:rPr>
          <w:lang w:val="en-US"/>
        </w:rPr>
        <w:t xml:space="preserve"> </w:t>
      </w:r>
      <w:r>
        <w:rPr>
          <w:lang w:val="en-US"/>
        </w:rPr>
        <w:t>Some s</w:t>
      </w:r>
      <w:r w:rsidRPr="00366994">
        <w:rPr>
          <w:lang w:val="en-US"/>
        </w:rPr>
        <w:t>pecies are serotinous</w:t>
      </w:r>
      <w:r>
        <w:rPr>
          <w:lang w:val="en-US"/>
        </w:rPr>
        <w:t xml:space="preserve"> (including the two dominant floodplain tree species on the Lower Murray River </w:t>
      </w:r>
      <w:r w:rsidR="00086886">
        <w:rPr>
          <w:lang w:val="en-US"/>
        </w:rPr>
        <w:t xml:space="preserve">(LMR) </w:t>
      </w:r>
      <w:r>
        <w:rPr>
          <w:lang w:val="en-US"/>
        </w:rPr>
        <w:t>Floodplain)</w:t>
      </w:r>
      <w:r w:rsidRPr="00366994">
        <w:rPr>
          <w:lang w:val="en-US"/>
        </w:rPr>
        <w:t xml:space="preserve">, where seeds are retained in a canopy seed bank (Jensen </w:t>
      </w:r>
      <w:r w:rsidRPr="00072448">
        <w:rPr>
          <w:i/>
          <w:iCs/>
          <w:lang w:val="en-US"/>
        </w:rPr>
        <w:t>et al.</w:t>
      </w:r>
      <w:r w:rsidRPr="00366994">
        <w:rPr>
          <w:lang w:val="en-US"/>
        </w:rPr>
        <w:t xml:space="preserve"> 2008) and released in response to an environmental trigger instead of spontaneously at seed maturation (Cruz </w:t>
      </w:r>
      <w:r w:rsidRPr="00072448">
        <w:rPr>
          <w:i/>
          <w:iCs/>
          <w:lang w:val="en-US"/>
        </w:rPr>
        <w:t>et al.</w:t>
      </w:r>
      <w:r w:rsidRPr="00366994">
        <w:rPr>
          <w:lang w:val="en-US"/>
        </w:rPr>
        <w:t xml:space="preserve"> 2019). Serotinous plant species include some </w:t>
      </w:r>
      <w:r w:rsidRPr="00366994">
        <w:rPr>
          <w:i/>
          <w:iCs/>
          <w:lang w:val="en-US"/>
        </w:rPr>
        <w:t xml:space="preserve">Melaleuca </w:t>
      </w:r>
      <w:r w:rsidRPr="00366994">
        <w:rPr>
          <w:lang w:val="en-US"/>
        </w:rPr>
        <w:t xml:space="preserve">(e.g. Holliday 2004, Hamilton-Brown </w:t>
      </w:r>
      <w:r w:rsidRPr="00072448">
        <w:rPr>
          <w:i/>
          <w:iCs/>
          <w:lang w:val="en-US"/>
        </w:rPr>
        <w:t>et al.</w:t>
      </w:r>
      <w:r w:rsidRPr="00366994">
        <w:rPr>
          <w:lang w:val="en-US"/>
        </w:rPr>
        <w:t xml:space="preserve"> 2019)</w:t>
      </w:r>
      <w:r w:rsidRPr="00366994">
        <w:rPr>
          <w:i/>
          <w:iCs/>
          <w:lang w:val="en-US"/>
        </w:rPr>
        <w:t xml:space="preserve"> </w:t>
      </w:r>
      <w:r w:rsidRPr="00366994">
        <w:rPr>
          <w:lang w:val="en-US"/>
        </w:rPr>
        <w:t xml:space="preserve">and </w:t>
      </w:r>
      <w:r w:rsidRPr="00366994">
        <w:rPr>
          <w:i/>
          <w:iCs/>
          <w:lang w:val="en-US"/>
        </w:rPr>
        <w:t xml:space="preserve">Eucalyptus </w:t>
      </w:r>
      <w:r w:rsidRPr="00366994">
        <w:rPr>
          <w:lang w:val="en-US"/>
        </w:rPr>
        <w:t xml:space="preserve">species (e.g. Colloff 2014). Seeds from aquatic and amphibious species are also dispersed </w:t>
      </w:r>
      <w:r>
        <w:rPr>
          <w:lang w:val="en-US"/>
        </w:rPr>
        <w:t>by different</w:t>
      </w:r>
      <w:r w:rsidRPr="00366994">
        <w:rPr>
          <w:lang w:val="en-US"/>
        </w:rPr>
        <w:t xml:space="preserve"> mechanisms, including anemochory (wind dispersal) (e.g. Finlayson </w:t>
      </w:r>
      <w:r w:rsidRPr="00072448">
        <w:rPr>
          <w:i/>
          <w:iCs/>
          <w:lang w:val="en-US"/>
        </w:rPr>
        <w:t>et al.</w:t>
      </w:r>
      <w:r w:rsidRPr="00366994">
        <w:rPr>
          <w:lang w:val="en-US"/>
        </w:rPr>
        <w:t xml:space="preserve"> 1983, Hocking </w:t>
      </w:r>
      <w:r w:rsidRPr="00072448">
        <w:rPr>
          <w:i/>
          <w:iCs/>
          <w:lang w:val="en-US"/>
        </w:rPr>
        <w:t>et al.</w:t>
      </w:r>
      <w:r w:rsidRPr="00366994">
        <w:rPr>
          <w:lang w:val="en-US"/>
        </w:rPr>
        <w:t xml:space="preserve"> 1983</w:t>
      </w:r>
      <w:r w:rsidR="008A03A0">
        <w:rPr>
          <w:lang w:val="en-US"/>
        </w:rPr>
        <w:t>;</w:t>
      </w:r>
      <w:r w:rsidRPr="00366994">
        <w:rPr>
          <w:lang w:val="en-US"/>
        </w:rPr>
        <w:t xml:space="preserve"> Soomers </w:t>
      </w:r>
      <w:r w:rsidRPr="00072448">
        <w:rPr>
          <w:i/>
          <w:iCs/>
          <w:lang w:val="en-US"/>
        </w:rPr>
        <w:t>et al.</w:t>
      </w:r>
      <w:r w:rsidRPr="00366994">
        <w:rPr>
          <w:lang w:val="en-US"/>
        </w:rPr>
        <w:t xml:space="preserve"> 2013), hydrochory (water dispersal) (e.g. Nilsson </w:t>
      </w:r>
      <w:r w:rsidRPr="00072448">
        <w:rPr>
          <w:i/>
          <w:iCs/>
          <w:lang w:val="en-US"/>
        </w:rPr>
        <w:t>et al.</w:t>
      </w:r>
      <w:r w:rsidRPr="00366994">
        <w:rPr>
          <w:lang w:val="en-US"/>
        </w:rPr>
        <w:t xml:space="preserve"> 1991</w:t>
      </w:r>
      <w:r w:rsidR="008A03A0">
        <w:rPr>
          <w:lang w:val="en-US"/>
        </w:rPr>
        <w:t>;</w:t>
      </w:r>
      <w:r w:rsidRPr="00366994">
        <w:rPr>
          <w:lang w:val="en-US"/>
        </w:rPr>
        <w:t xml:space="preserve"> Nilsson </w:t>
      </w:r>
      <w:r w:rsidRPr="00072448">
        <w:rPr>
          <w:i/>
          <w:iCs/>
          <w:lang w:val="en-US"/>
        </w:rPr>
        <w:t>et al.</w:t>
      </w:r>
      <w:r w:rsidRPr="00366994">
        <w:rPr>
          <w:lang w:val="en-US"/>
        </w:rPr>
        <w:t xml:space="preserve"> 2002</w:t>
      </w:r>
      <w:r w:rsidR="008A03A0">
        <w:rPr>
          <w:lang w:val="en-US"/>
        </w:rPr>
        <w:t>;</w:t>
      </w:r>
      <w:r w:rsidRPr="00366994">
        <w:rPr>
          <w:lang w:val="en-US"/>
        </w:rPr>
        <w:t xml:space="preserve"> Chambert and James 2009</w:t>
      </w:r>
      <w:r w:rsidR="008A03A0">
        <w:rPr>
          <w:lang w:val="en-US"/>
        </w:rPr>
        <w:t>;</w:t>
      </w:r>
      <w:r w:rsidRPr="00366994">
        <w:rPr>
          <w:lang w:val="en-US"/>
        </w:rPr>
        <w:t xml:space="preserve"> Favre-Bac </w:t>
      </w:r>
      <w:r w:rsidRPr="00072448">
        <w:rPr>
          <w:i/>
          <w:iCs/>
          <w:lang w:val="en-US"/>
        </w:rPr>
        <w:t>et al.</w:t>
      </w:r>
      <w:r w:rsidRPr="00366994">
        <w:rPr>
          <w:lang w:val="en-US"/>
        </w:rPr>
        <w:t xml:space="preserve"> 2017) and zoochory (animal dispersal) (e.g. Pollux 2011</w:t>
      </w:r>
      <w:r w:rsidR="008A03A0">
        <w:rPr>
          <w:lang w:val="en-US"/>
        </w:rPr>
        <w:t>;</w:t>
      </w:r>
      <w:r w:rsidRPr="00366994">
        <w:rPr>
          <w:lang w:val="en-US"/>
        </w:rPr>
        <w:t xml:space="preserve"> Raulings </w:t>
      </w:r>
      <w:r w:rsidRPr="00072448">
        <w:rPr>
          <w:i/>
          <w:iCs/>
          <w:lang w:val="en-US"/>
        </w:rPr>
        <w:t>et al.</w:t>
      </w:r>
      <w:r w:rsidRPr="00366994">
        <w:rPr>
          <w:lang w:val="en-US"/>
        </w:rPr>
        <w:t xml:space="preserve"> 2011</w:t>
      </w:r>
      <w:r w:rsidR="008A03A0">
        <w:rPr>
          <w:lang w:val="en-US"/>
        </w:rPr>
        <w:t>;</w:t>
      </w:r>
      <w:r w:rsidRPr="00366994">
        <w:rPr>
          <w:lang w:val="en-US"/>
        </w:rPr>
        <w:t xml:space="preserve"> Flaherty </w:t>
      </w:r>
      <w:r w:rsidRPr="00072448">
        <w:rPr>
          <w:i/>
          <w:iCs/>
          <w:lang w:val="en-US"/>
        </w:rPr>
        <w:t>et al.</w:t>
      </w:r>
      <w:r w:rsidRPr="00366994">
        <w:rPr>
          <w:lang w:val="en-US"/>
        </w:rPr>
        <w:t xml:space="preserve"> 2018). </w:t>
      </w:r>
      <w:r>
        <w:rPr>
          <w:lang w:val="en-US"/>
        </w:rPr>
        <w:t>Nevertheless, t</w:t>
      </w:r>
      <w:r w:rsidRPr="00366994">
        <w:rPr>
          <w:lang w:val="en-US"/>
        </w:rPr>
        <w:t xml:space="preserve">he soil seed bank remains a crucial regeneration mechanism for species to survive </w:t>
      </w:r>
      <w:r w:rsidRPr="00E804FB">
        <w:t>unfavourable</w:t>
      </w:r>
      <w:r w:rsidRPr="00366994">
        <w:rPr>
          <w:lang w:val="en-US"/>
        </w:rPr>
        <w:t xml:space="preserve"> conditions despite the evolution of serotiny and various dispersal </w:t>
      </w:r>
      <w:r>
        <w:rPr>
          <w:lang w:val="en-US"/>
        </w:rPr>
        <w:t>mechanisms</w:t>
      </w:r>
      <w:r w:rsidRPr="00366994">
        <w:rPr>
          <w:lang w:val="en-US"/>
        </w:rPr>
        <w:t xml:space="preserve">. </w:t>
      </w:r>
    </w:p>
    <w:p w14:paraId="12DE28AC" w14:textId="321DDB56" w:rsidR="00F223C8" w:rsidRDefault="00F223C8" w:rsidP="005C3CDB">
      <w:pPr>
        <w:rPr>
          <w:lang w:val="en-US"/>
        </w:rPr>
      </w:pPr>
      <w:r w:rsidRPr="00F223C8">
        <w:rPr>
          <w:lang w:val="en-US"/>
        </w:rPr>
        <w:t>Conditions on floodplains and riparian zones of arid systems are typically unfavourable for survival of vegetative propagules, often prevalent in many wetland species (e.g. Grace 1993), and are not a reliable means of persistence (Thompson 1992).  Therefore, a soil seed bank acts as the dominant resident source of propagules, allowing species to persist through unfavourable conditions by regenerating after disturbance when conditions become favourable (Brock and Casanova 1997; Casanova and Brock 1999).</w:t>
      </w:r>
    </w:p>
    <w:p w14:paraId="68D04500" w14:textId="1D8BC47E" w:rsidR="005C3CDB" w:rsidRPr="005C3CDB" w:rsidRDefault="005C3CDB" w:rsidP="005C3CDB">
      <w:r w:rsidRPr="00366994">
        <w:rPr>
          <w:lang w:val="en-US"/>
        </w:rPr>
        <w:t>Unlike systems that have predictable flooding regimes (e.g. tropical and temperate rivers and wetlands), arid and semi-arid systems have unpredictable wetting and drying events (Baskin &amp; Baskin 1998</w:t>
      </w:r>
      <w:r w:rsidR="008A03A0">
        <w:rPr>
          <w:lang w:val="en-US"/>
        </w:rPr>
        <w:t>;</w:t>
      </w:r>
      <w:r w:rsidRPr="00366994">
        <w:rPr>
          <w:lang w:val="en-US"/>
        </w:rPr>
        <w:t xml:space="preserve"> Leck &amp; Brock 2000</w:t>
      </w:r>
      <w:r w:rsidR="008A03A0">
        <w:rPr>
          <w:lang w:val="en-US"/>
        </w:rPr>
        <w:t>;</w:t>
      </w:r>
      <w:r w:rsidRPr="00366994">
        <w:rPr>
          <w:lang w:val="en-US"/>
        </w:rPr>
        <w:t xml:space="preserve"> Brock </w:t>
      </w:r>
      <w:r w:rsidRPr="00072448">
        <w:rPr>
          <w:i/>
          <w:iCs/>
          <w:lang w:val="en-US"/>
        </w:rPr>
        <w:t>et al.</w:t>
      </w:r>
      <w:r w:rsidRPr="00366994">
        <w:rPr>
          <w:lang w:val="en-US"/>
        </w:rPr>
        <w:t xml:space="preserve"> 2003). The high variability of hydrological regime in Australian arid rivers results in extended periods of low or no flow, hence long periods without inundation of the riparian zone and floodplain (Puckridge </w:t>
      </w:r>
      <w:r w:rsidRPr="00072448">
        <w:rPr>
          <w:i/>
          <w:iCs/>
          <w:lang w:val="en-US"/>
        </w:rPr>
        <w:t>et al.</w:t>
      </w:r>
      <w:r w:rsidRPr="00366994">
        <w:rPr>
          <w:lang w:val="en-US"/>
        </w:rPr>
        <w:t xml:space="preserve"> 1998</w:t>
      </w:r>
      <w:r w:rsidR="008A03A0">
        <w:rPr>
          <w:lang w:val="en-US"/>
        </w:rPr>
        <w:t>;</w:t>
      </w:r>
      <w:r w:rsidRPr="00366994">
        <w:rPr>
          <w:lang w:val="en-US"/>
        </w:rPr>
        <w:t xml:space="preserve"> Puckridge </w:t>
      </w:r>
      <w:r w:rsidRPr="00072448">
        <w:rPr>
          <w:i/>
          <w:iCs/>
          <w:lang w:val="en-US"/>
        </w:rPr>
        <w:t>et al.</w:t>
      </w:r>
      <w:r w:rsidRPr="00366994">
        <w:rPr>
          <w:lang w:val="en-US"/>
        </w:rPr>
        <w:t xml:space="preserve"> 2000). This is further exacerbated by anthropogenic pressures in the Murray </w:t>
      </w:r>
      <w:r w:rsidR="00086886">
        <w:rPr>
          <w:lang w:val="en-US"/>
        </w:rPr>
        <w:t xml:space="preserve">River </w:t>
      </w:r>
      <w:r w:rsidRPr="00366994">
        <w:rPr>
          <w:lang w:val="en-US"/>
        </w:rPr>
        <w:t xml:space="preserve">downstream of the Darling River junction, where ten low level (approximately 3 m head differential) weirs and tidal barrages regulate water levels over 90% of the time (e.g. Walker 1985). Weirs and barrages, coupled with extraction for irrigated agriculture and stock and domestic consumption, has resulted in water levels along the </w:t>
      </w:r>
      <w:r w:rsidR="00086886">
        <w:rPr>
          <w:lang w:val="en-US"/>
        </w:rPr>
        <w:t>LMR</w:t>
      </w:r>
      <w:r w:rsidRPr="00366994">
        <w:rPr>
          <w:lang w:val="en-US"/>
        </w:rPr>
        <w:t xml:space="preserve"> being largely stable, and has caused significantly lower annual flows (Maheshwari </w:t>
      </w:r>
      <w:r w:rsidRPr="00072448">
        <w:rPr>
          <w:i/>
          <w:iCs/>
          <w:lang w:val="en-US"/>
        </w:rPr>
        <w:t>et al.</w:t>
      </w:r>
      <w:r w:rsidRPr="00366994">
        <w:rPr>
          <w:lang w:val="en-US"/>
        </w:rPr>
        <w:t xml:space="preserve"> 1995</w:t>
      </w:r>
      <w:r w:rsidR="008A03A0">
        <w:rPr>
          <w:lang w:val="en-US"/>
        </w:rPr>
        <w:t>;</w:t>
      </w:r>
      <w:r w:rsidRPr="00366994">
        <w:rPr>
          <w:lang w:val="en-US"/>
        </w:rPr>
        <w:t xml:space="preserve"> Gippel and Blackham 2002). It has also resulted in reduced flooding frequency, duration and magnitude compared to the natural flow regime (Maheshwari </w:t>
      </w:r>
      <w:r w:rsidRPr="00072448">
        <w:rPr>
          <w:i/>
          <w:iCs/>
          <w:lang w:val="en-US"/>
        </w:rPr>
        <w:t>et al.</w:t>
      </w:r>
      <w:r w:rsidRPr="00366994">
        <w:rPr>
          <w:lang w:val="en-US"/>
        </w:rPr>
        <w:t xml:space="preserve"> 1995), causing the floodplain and riparian zones of arid rivers to be unfavourable for the majority of species most of the time (Nicol </w:t>
      </w:r>
      <w:r w:rsidRPr="00072448">
        <w:rPr>
          <w:i/>
          <w:iCs/>
          <w:lang w:val="en-US"/>
        </w:rPr>
        <w:t>et al.</w:t>
      </w:r>
      <w:r w:rsidRPr="00366994">
        <w:rPr>
          <w:lang w:val="en-US"/>
        </w:rPr>
        <w:t xml:space="preserve"> 2018</w:t>
      </w:r>
      <w:r w:rsidR="00D1667A">
        <w:rPr>
          <w:lang w:val="en-US"/>
        </w:rPr>
        <w:t>b</w:t>
      </w:r>
      <w:r w:rsidRPr="00366994">
        <w:rPr>
          <w:lang w:val="en-US"/>
        </w:rPr>
        <w:t xml:space="preserve">). </w:t>
      </w:r>
    </w:p>
    <w:p w14:paraId="6403038E" w14:textId="15FDC548" w:rsidR="005C3CDB" w:rsidRPr="005C3CDB" w:rsidRDefault="005C3CDB" w:rsidP="005C3CDB">
      <w:r w:rsidRPr="00366994">
        <w:t>Numerous studies have shown that the reintroduction of the variable water levels lost as a result of river regulation leads to an increase in regional biodiversity by providing opportunities for species adapted to fluctuating water levels to recruit (e.g. Brock and Casanova 1997</w:t>
      </w:r>
      <w:r w:rsidR="008A03A0">
        <w:t>;</w:t>
      </w:r>
      <w:r w:rsidRPr="00366994">
        <w:t xml:space="preserve"> Nielsen and Chick 1997</w:t>
      </w:r>
      <w:r w:rsidR="008A03A0">
        <w:t>;</w:t>
      </w:r>
      <w:r w:rsidRPr="00366994">
        <w:t xml:space="preserve"> Brock </w:t>
      </w:r>
      <w:r w:rsidRPr="00072448">
        <w:rPr>
          <w:i/>
          <w:iCs/>
        </w:rPr>
        <w:t>et al.</w:t>
      </w:r>
      <w:r w:rsidRPr="00366994">
        <w:t xml:space="preserve"> 2000</w:t>
      </w:r>
      <w:r w:rsidR="008A03A0">
        <w:t>;</w:t>
      </w:r>
      <w:r w:rsidRPr="00366994">
        <w:t xml:space="preserve"> Nicol </w:t>
      </w:r>
      <w:r w:rsidRPr="00072448">
        <w:rPr>
          <w:i/>
          <w:iCs/>
        </w:rPr>
        <w:t>et al.</w:t>
      </w:r>
      <w:r w:rsidRPr="00366994">
        <w:t xml:space="preserve"> 2003</w:t>
      </w:r>
      <w:r w:rsidR="008A03A0">
        <w:t>;</w:t>
      </w:r>
      <w:r w:rsidRPr="00366994">
        <w:t xml:space="preserve"> Siebentritt 2003). Therefore, restoration efforts in the </w:t>
      </w:r>
      <w:r w:rsidR="00086886">
        <w:t>LMR</w:t>
      </w:r>
      <w:r w:rsidRPr="00366994">
        <w:t xml:space="preserve"> system have focused on reinstating wetting and drying cycles by constructing small regulators to reinstate drying cycles in permanent wetlands, large regulators to temporarily raise the water level in anabranch systems that bypass a main channel weir, weir level manipulations (raising and lowering) and providing environmental flows. </w:t>
      </w:r>
    </w:p>
    <w:p w14:paraId="342DE8C0" w14:textId="621ED9F4" w:rsidR="00E844BD" w:rsidRPr="00366994" w:rsidRDefault="00E844BD" w:rsidP="00E844BD">
      <w:r>
        <w:t>This contingency monitoring component</w:t>
      </w:r>
      <w:r w:rsidRPr="00366994">
        <w:t xml:space="preserve"> aims to evaluate the effect of Commonwealth </w:t>
      </w:r>
      <w:r>
        <w:t>e</w:t>
      </w:r>
      <w:r w:rsidRPr="00366994">
        <w:t xml:space="preserve">nvironmental </w:t>
      </w:r>
      <w:r>
        <w:t>w</w:t>
      </w:r>
      <w:r w:rsidRPr="00366994">
        <w:t xml:space="preserve">ater on the resilience of the littoral plant community in the </w:t>
      </w:r>
      <w:r>
        <w:t>L</w:t>
      </w:r>
      <w:r w:rsidRPr="00366994">
        <w:t xml:space="preserve">ower Murray </w:t>
      </w:r>
      <w:r>
        <w:t>S</w:t>
      </w:r>
      <w:r w:rsidRPr="00366994">
        <w:t xml:space="preserve">elected </w:t>
      </w:r>
      <w:r>
        <w:t>A</w:t>
      </w:r>
      <w:r w:rsidRPr="00366994">
        <w:t xml:space="preserve">rea as part of the three-year </w:t>
      </w:r>
      <w:r>
        <w:t>CEWO</w:t>
      </w:r>
      <w:r w:rsidRPr="00366994">
        <w:t xml:space="preserve"> MER </w:t>
      </w:r>
      <w:r>
        <w:t>P</w:t>
      </w:r>
      <w:r w:rsidRPr="00366994">
        <w:t>roject. Resilience of plant communities is generally assessed by the composition of soil seed bank as it is the primary source of propagules for regeneration post-disturbance.</w:t>
      </w:r>
    </w:p>
    <w:p w14:paraId="1EB92CFC" w14:textId="77777777" w:rsidR="005C3CDB" w:rsidRPr="005C3CDB" w:rsidRDefault="005C3CDB" w:rsidP="005C3CDB">
      <w:pPr>
        <w:rPr>
          <w:i/>
          <w:iCs/>
          <w:u w:val="single"/>
          <w:lang w:val="en-US"/>
        </w:rPr>
      </w:pPr>
      <w:r w:rsidRPr="005C3CDB">
        <w:rPr>
          <w:i/>
          <w:iCs/>
          <w:u w:val="single"/>
          <w:lang w:val="en-US"/>
        </w:rPr>
        <w:t xml:space="preserve">Objectives </w:t>
      </w:r>
    </w:p>
    <w:p w14:paraId="40FF89F3" w14:textId="77777777" w:rsidR="005C3CDB" w:rsidRPr="00366994" w:rsidRDefault="005C3CDB" w:rsidP="005C3CDB">
      <w:r w:rsidRPr="00366994">
        <w:t>This project ha</w:t>
      </w:r>
      <w:r>
        <w:t>d</w:t>
      </w:r>
      <w:r w:rsidRPr="00366994">
        <w:t xml:space="preserve"> t</w:t>
      </w:r>
      <w:r>
        <w:t>wo</w:t>
      </w:r>
      <w:r w:rsidRPr="00366994">
        <w:t xml:space="preserve"> objectives:</w:t>
      </w:r>
    </w:p>
    <w:p w14:paraId="3822BE39" w14:textId="334FC5FE" w:rsidR="00E844BD" w:rsidRPr="00E844BD" w:rsidRDefault="00E844BD" w:rsidP="00E844BD">
      <w:pPr>
        <w:pStyle w:val="ListParagraph"/>
        <w:numPr>
          <w:ilvl w:val="0"/>
          <w:numId w:val="38"/>
        </w:numPr>
      </w:pPr>
      <w:r w:rsidRPr="00E844BD">
        <w:t>To assess the littoral zone soil seed bank of the three vegetation monitoring sites in the Lower Murray Selected Area.</w:t>
      </w:r>
    </w:p>
    <w:p w14:paraId="27E862E8" w14:textId="5B77073F" w:rsidR="00E844BD" w:rsidRPr="00E844BD" w:rsidRDefault="00E844BD" w:rsidP="00E844BD">
      <w:pPr>
        <w:pStyle w:val="ListParagraph"/>
        <w:numPr>
          <w:ilvl w:val="0"/>
          <w:numId w:val="38"/>
        </w:numPr>
      </w:pPr>
      <w:r w:rsidRPr="00E844BD">
        <w:t>To provide a quantitative baseline of the soil seed bank that can be compared to future seed bank assessments to evaluate the benefit of Commonwealth environmental water and the long-term evaluation question:  What did Commonwealth environmental water contribute to the resilience of littoral plant communities?</w:t>
      </w:r>
    </w:p>
    <w:p w14:paraId="3520295E" w14:textId="0329512C" w:rsidR="005C3CDB" w:rsidRPr="005C3CDB" w:rsidRDefault="005C3CDB" w:rsidP="005C3CDB">
      <w:pPr>
        <w:rPr>
          <w:b/>
          <w:bCs/>
          <w:i/>
          <w:iCs/>
          <w:color w:val="44546A" w:themeColor="text2"/>
          <w:sz w:val="24"/>
          <w:szCs w:val="24"/>
        </w:rPr>
      </w:pPr>
      <w:r>
        <w:rPr>
          <w:b/>
          <w:bCs/>
          <w:i/>
          <w:iCs/>
          <w:color w:val="44546A" w:themeColor="text2"/>
          <w:sz w:val="24"/>
          <w:szCs w:val="24"/>
          <w:lang w:val="en-US"/>
        </w:rPr>
        <w:t>Methods</w:t>
      </w:r>
      <w:r w:rsidRPr="005C3CDB">
        <w:rPr>
          <w:b/>
          <w:bCs/>
          <w:i/>
          <w:iCs/>
          <w:color w:val="44546A" w:themeColor="text2"/>
          <w:sz w:val="24"/>
          <w:szCs w:val="24"/>
          <w:lang w:val="en-US"/>
        </w:rPr>
        <w:t xml:space="preserve"> </w:t>
      </w:r>
    </w:p>
    <w:p w14:paraId="2DDFD956" w14:textId="77777777" w:rsidR="005C3CDB" w:rsidRPr="005C3CDB" w:rsidRDefault="005C3CDB" w:rsidP="005C3CDB">
      <w:pPr>
        <w:rPr>
          <w:i/>
          <w:iCs/>
          <w:u w:val="single"/>
          <w:lang w:val="en-US"/>
        </w:rPr>
      </w:pPr>
      <w:r w:rsidRPr="005C3CDB">
        <w:rPr>
          <w:i/>
          <w:iCs/>
          <w:u w:val="single"/>
          <w:lang w:val="en-US"/>
        </w:rPr>
        <w:t xml:space="preserve">Study sites </w:t>
      </w:r>
    </w:p>
    <w:p w14:paraId="0F5D9661" w14:textId="7F164119" w:rsidR="005C3CDB" w:rsidRDefault="005C3CDB" w:rsidP="005C3CDB">
      <w:pPr>
        <w:rPr>
          <w:i/>
          <w:iCs/>
          <w:u w:val="single"/>
          <w:lang w:val="en-US"/>
        </w:rPr>
      </w:pPr>
      <w:r w:rsidRPr="00366994">
        <w:rPr>
          <w:lang w:val="en-US"/>
        </w:rPr>
        <w:t xml:space="preserve">Soil samples were collected from the littoral zone in tailwaters downstream of Locks 1, 4 and 6 </w:t>
      </w:r>
      <w:r>
        <w:rPr>
          <w:lang w:val="en-US"/>
        </w:rPr>
        <w:t>(</w:t>
      </w:r>
      <w:r>
        <w:rPr>
          <w:lang w:val="en-US"/>
        </w:rPr>
        <w:fldChar w:fldCharType="begin"/>
      </w:r>
      <w:r>
        <w:rPr>
          <w:lang w:val="en-US"/>
        </w:rPr>
        <w:instrText xml:space="preserve"> REF _Ref469926522 \h </w:instrText>
      </w:r>
      <w:r>
        <w:rPr>
          <w:lang w:val="en-US"/>
        </w:rPr>
      </w:r>
      <w:r>
        <w:rPr>
          <w:lang w:val="en-US"/>
        </w:rPr>
        <w:fldChar w:fldCharType="separate"/>
      </w:r>
      <w:r w:rsidR="003C13F6">
        <w:t xml:space="preserve">Figure </w:t>
      </w:r>
      <w:r w:rsidR="003C13F6">
        <w:rPr>
          <w:noProof/>
        </w:rPr>
        <w:t>1</w:t>
      </w:r>
      <w:r>
        <w:rPr>
          <w:lang w:val="en-US"/>
        </w:rPr>
        <w:fldChar w:fldCharType="end"/>
      </w:r>
      <w:r>
        <w:rPr>
          <w:lang w:val="en-US"/>
        </w:rPr>
        <w:t xml:space="preserve">) </w:t>
      </w:r>
      <w:r w:rsidRPr="00366994">
        <w:t xml:space="preserve">in December 2019. Resampling will occur at the end of the </w:t>
      </w:r>
      <w:r w:rsidR="00787DA1" w:rsidRPr="00366994">
        <w:rPr>
          <w:szCs w:val="21"/>
        </w:rPr>
        <w:t xml:space="preserve">MER </w:t>
      </w:r>
      <w:r w:rsidR="00787DA1">
        <w:rPr>
          <w:szCs w:val="21"/>
        </w:rPr>
        <w:t>P</w:t>
      </w:r>
      <w:r w:rsidR="00787DA1" w:rsidRPr="00366994">
        <w:rPr>
          <w:szCs w:val="21"/>
        </w:rPr>
        <w:t xml:space="preserve">roject </w:t>
      </w:r>
      <w:r w:rsidRPr="00366994">
        <w:t>to enable comparison of the seed bank</w:t>
      </w:r>
      <w:r>
        <w:t xml:space="preserve"> and assessment of the long-term evaluation question</w:t>
      </w:r>
      <w:r w:rsidRPr="00366994">
        <w:t xml:space="preserve">. </w:t>
      </w:r>
    </w:p>
    <w:p w14:paraId="145EC07D" w14:textId="77777777" w:rsidR="005C3CDB" w:rsidRPr="005C3CDB" w:rsidRDefault="005C3CDB" w:rsidP="005C3CDB">
      <w:pPr>
        <w:rPr>
          <w:i/>
          <w:iCs/>
          <w:u w:val="single"/>
          <w:lang w:val="en-US"/>
        </w:rPr>
      </w:pPr>
      <w:r w:rsidRPr="005C3CDB">
        <w:rPr>
          <w:i/>
          <w:iCs/>
          <w:u w:val="single"/>
          <w:lang w:val="en-US"/>
        </w:rPr>
        <w:t xml:space="preserve">Sediment sampling protocol </w:t>
      </w:r>
    </w:p>
    <w:p w14:paraId="60854AF7" w14:textId="3A23DD97" w:rsidR="00270EA9" w:rsidRDefault="00787DA1" w:rsidP="00787DA1">
      <w:pPr>
        <w:rPr>
          <w:rFonts w:cstheme="minorHAnsi"/>
          <w:color w:val="222222"/>
          <w:shd w:val="clear" w:color="auto" w:fill="FFFFFF"/>
        </w:rPr>
      </w:pPr>
      <w:r w:rsidRPr="00366994">
        <w:rPr>
          <w:lang w:val="en-US"/>
        </w:rPr>
        <w:t>Six transects extending from normal pool level</w:t>
      </w:r>
      <w:r>
        <w:rPr>
          <w:lang w:val="en-US"/>
        </w:rPr>
        <w:t xml:space="preserve"> (NPL)</w:t>
      </w:r>
      <w:r w:rsidRPr="00366994">
        <w:rPr>
          <w:lang w:val="en-US"/>
        </w:rPr>
        <w:t xml:space="preserve"> to 2 m above </w:t>
      </w:r>
      <w:r>
        <w:rPr>
          <w:lang w:val="en-US"/>
        </w:rPr>
        <w:t>NPL</w:t>
      </w:r>
      <w:r w:rsidRPr="00366994">
        <w:rPr>
          <w:lang w:val="en-US"/>
        </w:rPr>
        <w:t xml:space="preserve"> were established on the riverbank at each site (</w:t>
      </w:r>
      <w:r w:rsidRPr="00366994">
        <w:rPr>
          <w:i/>
          <w:iCs/>
          <w:lang w:val="en-US"/>
        </w:rPr>
        <w:t>n</w:t>
      </w:r>
      <w:r w:rsidRPr="00366994">
        <w:rPr>
          <w:lang w:val="en-US"/>
        </w:rPr>
        <w:t xml:space="preserve"> = 6 transects per site</w:t>
      </w:r>
      <w:r w:rsidR="00404EDB">
        <w:rPr>
          <w:lang w:val="en-US"/>
        </w:rPr>
        <w:t>, Table E1)</w:t>
      </w:r>
      <w:r w:rsidRPr="00366994">
        <w:rPr>
          <w:lang w:val="en-US"/>
        </w:rPr>
        <w:t xml:space="preserve">. Soil samples to a depth of 5 cm at 20 cm vertical intervals from </w:t>
      </w:r>
      <w:r>
        <w:rPr>
          <w:lang w:val="en-US"/>
        </w:rPr>
        <w:t>NPL</w:t>
      </w:r>
      <w:r w:rsidRPr="00366994">
        <w:rPr>
          <w:lang w:val="en-US"/>
        </w:rPr>
        <w:t xml:space="preserve"> to 2 m above </w:t>
      </w:r>
      <w:r>
        <w:rPr>
          <w:lang w:val="en-US"/>
        </w:rPr>
        <w:t>NPL</w:t>
      </w:r>
      <w:r w:rsidRPr="00366994">
        <w:rPr>
          <w:lang w:val="en-US"/>
        </w:rPr>
        <w:t xml:space="preserve"> were taken with a spade along each transect. Seed bank samples were transported to </w:t>
      </w:r>
      <w:r>
        <w:rPr>
          <w:lang w:val="en-US"/>
        </w:rPr>
        <w:t>SARDI</w:t>
      </w:r>
      <w:r w:rsidRPr="00366994">
        <w:rPr>
          <w:lang w:val="en-US"/>
        </w:rPr>
        <w:t>, dried at 40</w:t>
      </w:r>
      <w:r w:rsidRPr="00366994">
        <w:rPr>
          <w:rFonts w:cstheme="minorHAnsi"/>
          <w:color w:val="222222"/>
          <w:shd w:val="clear" w:color="auto" w:fill="FFFFFF"/>
        </w:rPr>
        <w:t>°C to a constant weight and stored in sealed plastic containers.</w:t>
      </w:r>
    </w:p>
    <w:p w14:paraId="297FC449" w14:textId="77777777" w:rsidR="002727EF" w:rsidRDefault="002727EF">
      <w:pPr>
        <w:spacing w:before="0" w:after="160" w:line="259" w:lineRule="auto"/>
        <w:jc w:val="left"/>
        <w:rPr>
          <w:b/>
          <w:bCs/>
          <w:color w:val="auto"/>
          <w:szCs w:val="21"/>
        </w:rPr>
      </w:pPr>
      <w:r>
        <w:rPr>
          <w:szCs w:val="21"/>
        </w:rPr>
        <w:br w:type="page"/>
      </w:r>
    </w:p>
    <w:p w14:paraId="6C3D3065" w14:textId="7E55B5FC" w:rsidR="00404EDB" w:rsidRPr="00F76B22" w:rsidRDefault="00404EDB" w:rsidP="00404EDB">
      <w:pPr>
        <w:pStyle w:val="Caption"/>
        <w:jc w:val="left"/>
        <w:rPr>
          <w:b w:val="0"/>
          <w:bCs w:val="0"/>
          <w:i/>
          <w:iCs/>
          <w:sz w:val="21"/>
          <w:szCs w:val="21"/>
        </w:rPr>
      </w:pPr>
      <w:r>
        <w:rPr>
          <w:sz w:val="21"/>
          <w:szCs w:val="21"/>
        </w:rPr>
        <w:t xml:space="preserve">Table E1. </w:t>
      </w:r>
      <w:r w:rsidRPr="006960ED">
        <w:rPr>
          <w:sz w:val="21"/>
          <w:szCs w:val="21"/>
        </w:rPr>
        <w:t xml:space="preserve">GPS Coordinates of each transect sampled in tailwaters downstream of </w:t>
      </w:r>
      <w:r w:rsidR="002727EF">
        <w:rPr>
          <w:sz w:val="21"/>
          <w:szCs w:val="21"/>
        </w:rPr>
        <w:t>L</w:t>
      </w:r>
      <w:r w:rsidRPr="006960ED">
        <w:rPr>
          <w:sz w:val="21"/>
          <w:szCs w:val="21"/>
        </w:rPr>
        <w:t>ocks 1, 4 and 6.</w:t>
      </w:r>
      <w:r w:rsidRPr="00F76B22">
        <w:rPr>
          <w:sz w:val="21"/>
          <w:szCs w:val="21"/>
        </w:rPr>
        <w:t xml:space="preserve"> </w:t>
      </w:r>
    </w:p>
    <w:tbl>
      <w:tblPr>
        <w:tblStyle w:val="TableGrid"/>
        <w:tblW w:w="7508" w:type="dxa"/>
        <w:jc w:val="center"/>
        <w:tblLook w:val="04A0" w:firstRow="1" w:lastRow="0" w:firstColumn="1" w:lastColumn="0" w:noHBand="0" w:noVBand="1"/>
      </w:tblPr>
      <w:tblGrid>
        <w:gridCol w:w="1108"/>
        <w:gridCol w:w="1271"/>
        <w:gridCol w:w="1160"/>
        <w:gridCol w:w="1985"/>
        <w:gridCol w:w="1984"/>
      </w:tblGrid>
      <w:tr w:rsidR="00404EDB" w:rsidRPr="00366994" w14:paraId="1072E1F5" w14:textId="77777777" w:rsidTr="002727EF">
        <w:trPr>
          <w:trHeight w:val="340"/>
          <w:jc w:val="center"/>
        </w:trPr>
        <w:tc>
          <w:tcPr>
            <w:tcW w:w="1108" w:type="dxa"/>
            <w:noWrap/>
            <w:vAlign w:val="center"/>
            <w:hideMark/>
          </w:tcPr>
          <w:p w14:paraId="027681F7" w14:textId="77777777" w:rsidR="00404EDB" w:rsidRPr="00366994" w:rsidRDefault="00404EDB" w:rsidP="002727EF">
            <w:pPr>
              <w:spacing w:line="240" w:lineRule="auto"/>
              <w:contextualSpacing/>
              <w:jc w:val="center"/>
              <w:rPr>
                <w:rFonts w:cstheme="minorHAnsi"/>
                <w:b/>
                <w:bCs/>
                <w:szCs w:val="21"/>
              </w:rPr>
            </w:pPr>
            <w:r w:rsidRPr="00366994">
              <w:rPr>
                <w:rFonts w:cstheme="minorHAnsi"/>
                <w:b/>
                <w:bCs/>
                <w:szCs w:val="21"/>
              </w:rPr>
              <w:t>Site</w:t>
            </w:r>
          </w:p>
        </w:tc>
        <w:tc>
          <w:tcPr>
            <w:tcW w:w="1271" w:type="dxa"/>
            <w:noWrap/>
            <w:vAlign w:val="center"/>
            <w:hideMark/>
          </w:tcPr>
          <w:p w14:paraId="17648A2B" w14:textId="77777777" w:rsidR="00404EDB" w:rsidRPr="00366994" w:rsidRDefault="00404EDB" w:rsidP="002727EF">
            <w:pPr>
              <w:spacing w:line="240" w:lineRule="auto"/>
              <w:contextualSpacing/>
              <w:jc w:val="center"/>
              <w:rPr>
                <w:rFonts w:cstheme="minorHAnsi"/>
                <w:b/>
                <w:bCs/>
                <w:szCs w:val="21"/>
              </w:rPr>
            </w:pPr>
            <w:r w:rsidRPr="00366994">
              <w:rPr>
                <w:rFonts w:cstheme="minorHAnsi"/>
                <w:b/>
                <w:bCs/>
                <w:szCs w:val="21"/>
              </w:rPr>
              <w:t>Location</w:t>
            </w:r>
          </w:p>
        </w:tc>
        <w:tc>
          <w:tcPr>
            <w:tcW w:w="1160" w:type="dxa"/>
            <w:noWrap/>
            <w:vAlign w:val="center"/>
            <w:hideMark/>
          </w:tcPr>
          <w:p w14:paraId="07155843" w14:textId="77777777" w:rsidR="00404EDB" w:rsidRPr="00366994" w:rsidRDefault="00404EDB" w:rsidP="002727EF">
            <w:pPr>
              <w:spacing w:line="240" w:lineRule="auto"/>
              <w:contextualSpacing/>
              <w:jc w:val="center"/>
              <w:rPr>
                <w:rFonts w:cstheme="minorHAnsi"/>
                <w:b/>
                <w:bCs/>
                <w:szCs w:val="21"/>
              </w:rPr>
            </w:pPr>
            <w:r w:rsidRPr="00366994">
              <w:rPr>
                <w:rFonts w:cstheme="minorHAnsi"/>
                <w:b/>
                <w:bCs/>
                <w:szCs w:val="21"/>
              </w:rPr>
              <w:t>Transect</w:t>
            </w:r>
          </w:p>
        </w:tc>
        <w:tc>
          <w:tcPr>
            <w:tcW w:w="1985" w:type="dxa"/>
            <w:noWrap/>
            <w:vAlign w:val="center"/>
            <w:hideMark/>
          </w:tcPr>
          <w:p w14:paraId="58E7B524" w14:textId="77777777" w:rsidR="00404EDB" w:rsidRPr="00366994" w:rsidRDefault="00404EDB" w:rsidP="002727EF">
            <w:pPr>
              <w:spacing w:line="240" w:lineRule="auto"/>
              <w:contextualSpacing/>
              <w:jc w:val="center"/>
              <w:rPr>
                <w:rFonts w:cstheme="minorHAnsi"/>
                <w:b/>
                <w:bCs/>
                <w:szCs w:val="21"/>
              </w:rPr>
            </w:pPr>
            <w:r w:rsidRPr="00366994">
              <w:rPr>
                <w:rFonts w:cstheme="minorHAnsi"/>
                <w:b/>
                <w:bCs/>
                <w:szCs w:val="21"/>
              </w:rPr>
              <w:t>Latitude</w:t>
            </w:r>
          </w:p>
        </w:tc>
        <w:tc>
          <w:tcPr>
            <w:tcW w:w="1984" w:type="dxa"/>
            <w:noWrap/>
            <w:vAlign w:val="center"/>
            <w:hideMark/>
          </w:tcPr>
          <w:p w14:paraId="4C1D05C3" w14:textId="77777777" w:rsidR="00404EDB" w:rsidRPr="00366994" w:rsidRDefault="00404EDB" w:rsidP="002727EF">
            <w:pPr>
              <w:spacing w:line="240" w:lineRule="auto"/>
              <w:contextualSpacing/>
              <w:jc w:val="center"/>
              <w:rPr>
                <w:rFonts w:cstheme="minorHAnsi"/>
                <w:b/>
                <w:bCs/>
                <w:szCs w:val="21"/>
              </w:rPr>
            </w:pPr>
            <w:r w:rsidRPr="00366994">
              <w:rPr>
                <w:rFonts w:cstheme="minorHAnsi"/>
                <w:b/>
                <w:bCs/>
                <w:szCs w:val="21"/>
              </w:rPr>
              <w:t>Longitude</w:t>
            </w:r>
          </w:p>
        </w:tc>
      </w:tr>
      <w:tr w:rsidR="00404EDB" w:rsidRPr="00366994" w14:paraId="70DAAA72" w14:textId="77777777" w:rsidTr="002727EF">
        <w:trPr>
          <w:trHeight w:val="340"/>
          <w:jc w:val="center"/>
        </w:trPr>
        <w:tc>
          <w:tcPr>
            <w:tcW w:w="1108" w:type="dxa"/>
            <w:noWrap/>
            <w:hideMark/>
          </w:tcPr>
          <w:p w14:paraId="22533EDC"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L1-1</w:t>
            </w:r>
          </w:p>
        </w:tc>
        <w:tc>
          <w:tcPr>
            <w:tcW w:w="1271" w:type="dxa"/>
            <w:vMerge w:val="restart"/>
            <w:noWrap/>
            <w:vAlign w:val="center"/>
            <w:hideMark/>
          </w:tcPr>
          <w:p w14:paraId="6E9F4301"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Lock 1</w:t>
            </w:r>
          </w:p>
        </w:tc>
        <w:tc>
          <w:tcPr>
            <w:tcW w:w="1160" w:type="dxa"/>
            <w:noWrap/>
            <w:vAlign w:val="center"/>
            <w:hideMark/>
          </w:tcPr>
          <w:p w14:paraId="6EDA6955"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1</w:t>
            </w:r>
          </w:p>
        </w:tc>
        <w:tc>
          <w:tcPr>
            <w:tcW w:w="1985" w:type="dxa"/>
            <w:noWrap/>
            <w:hideMark/>
          </w:tcPr>
          <w:p w14:paraId="4C07D857"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-34.479019</w:t>
            </w:r>
          </w:p>
        </w:tc>
        <w:tc>
          <w:tcPr>
            <w:tcW w:w="1984" w:type="dxa"/>
            <w:noWrap/>
            <w:hideMark/>
          </w:tcPr>
          <w:p w14:paraId="64036230"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139.596311</w:t>
            </w:r>
          </w:p>
        </w:tc>
      </w:tr>
      <w:tr w:rsidR="00404EDB" w:rsidRPr="00366994" w14:paraId="7C927E34" w14:textId="77777777" w:rsidTr="002727EF">
        <w:trPr>
          <w:trHeight w:val="340"/>
          <w:jc w:val="center"/>
        </w:trPr>
        <w:tc>
          <w:tcPr>
            <w:tcW w:w="1108" w:type="dxa"/>
            <w:noWrap/>
            <w:hideMark/>
          </w:tcPr>
          <w:p w14:paraId="0FC9BD8B"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L1-2</w:t>
            </w:r>
          </w:p>
        </w:tc>
        <w:tc>
          <w:tcPr>
            <w:tcW w:w="1271" w:type="dxa"/>
            <w:vMerge/>
            <w:noWrap/>
            <w:hideMark/>
          </w:tcPr>
          <w:p w14:paraId="49794726"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4CAB6BD9"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2</w:t>
            </w:r>
          </w:p>
        </w:tc>
        <w:tc>
          <w:tcPr>
            <w:tcW w:w="1985" w:type="dxa"/>
            <w:noWrap/>
            <w:hideMark/>
          </w:tcPr>
          <w:p w14:paraId="67554503"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-34.477575</w:t>
            </w:r>
          </w:p>
        </w:tc>
        <w:tc>
          <w:tcPr>
            <w:tcW w:w="1984" w:type="dxa"/>
            <w:noWrap/>
            <w:hideMark/>
          </w:tcPr>
          <w:p w14:paraId="4D45747B"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139.598798</w:t>
            </w:r>
          </w:p>
        </w:tc>
      </w:tr>
      <w:tr w:rsidR="00404EDB" w:rsidRPr="00366994" w14:paraId="58DD082C" w14:textId="77777777" w:rsidTr="002727EF">
        <w:trPr>
          <w:trHeight w:val="340"/>
          <w:jc w:val="center"/>
        </w:trPr>
        <w:tc>
          <w:tcPr>
            <w:tcW w:w="1108" w:type="dxa"/>
            <w:noWrap/>
            <w:hideMark/>
          </w:tcPr>
          <w:p w14:paraId="1B0083D5"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L1-3</w:t>
            </w:r>
          </w:p>
        </w:tc>
        <w:tc>
          <w:tcPr>
            <w:tcW w:w="1271" w:type="dxa"/>
            <w:vMerge/>
            <w:noWrap/>
            <w:hideMark/>
          </w:tcPr>
          <w:p w14:paraId="7DCE4E6D"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6EA3B9CF"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3</w:t>
            </w:r>
          </w:p>
        </w:tc>
        <w:tc>
          <w:tcPr>
            <w:tcW w:w="1985" w:type="dxa"/>
            <w:noWrap/>
            <w:hideMark/>
          </w:tcPr>
          <w:p w14:paraId="1A1C311D"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-34.446681</w:t>
            </w:r>
          </w:p>
        </w:tc>
        <w:tc>
          <w:tcPr>
            <w:tcW w:w="1984" w:type="dxa"/>
            <w:noWrap/>
            <w:hideMark/>
          </w:tcPr>
          <w:p w14:paraId="4694E333"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139.609714</w:t>
            </w:r>
          </w:p>
        </w:tc>
      </w:tr>
      <w:tr w:rsidR="00404EDB" w:rsidRPr="00366994" w14:paraId="6FF1C531" w14:textId="77777777" w:rsidTr="002727EF">
        <w:trPr>
          <w:trHeight w:val="340"/>
          <w:jc w:val="center"/>
        </w:trPr>
        <w:tc>
          <w:tcPr>
            <w:tcW w:w="1108" w:type="dxa"/>
            <w:noWrap/>
            <w:hideMark/>
          </w:tcPr>
          <w:p w14:paraId="328F685C"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L1-4</w:t>
            </w:r>
          </w:p>
        </w:tc>
        <w:tc>
          <w:tcPr>
            <w:tcW w:w="1271" w:type="dxa"/>
            <w:vMerge/>
            <w:noWrap/>
            <w:hideMark/>
          </w:tcPr>
          <w:p w14:paraId="42A36C3C"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127C1955"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4</w:t>
            </w:r>
          </w:p>
        </w:tc>
        <w:tc>
          <w:tcPr>
            <w:tcW w:w="1985" w:type="dxa"/>
            <w:noWrap/>
            <w:hideMark/>
          </w:tcPr>
          <w:p w14:paraId="3DE49C0F"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-34.419635</w:t>
            </w:r>
          </w:p>
        </w:tc>
        <w:tc>
          <w:tcPr>
            <w:tcW w:w="1984" w:type="dxa"/>
            <w:noWrap/>
            <w:hideMark/>
          </w:tcPr>
          <w:p w14:paraId="0643BE8C"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139.613482</w:t>
            </w:r>
          </w:p>
        </w:tc>
      </w:tr>
      <w:tr w:rsidR="00404EDB" w:rsidRPr="00366994" w14:paraId="69821EA2" w14:textId="77777777" w:rsidTr="002727EF">
        <w:trPr>
          <w:trHeight w:val="340"/>
          <w:jc w:val="center"/>
        </w:trPr>
        <w:tc>
          <w:tcPr>
            <w:tcW w:w="1108" w:type="dxa"/>
            <w:noWrap/>
            <w:hideMark/>
          </w:tcPr>
          <w:p w14:paraId="2926DBD1"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L1-5</w:t>
            </w:r>
          </w:p>
        </w:tc>
        <w:tc>
          <w:tcPr>
            <w:tcW w:w="1271" w:type="dxa"/>
            <w:vMerge/>
            <w:noWrap/>
            <w:hideMark/>
          </w:tcPr>
          <w:p w14:paraId="52CBB3DF"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6BC04EC5"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5</w:t>
            </w:r>
          </w:p>
        </w:tc>
        <w:tc>
          <w:tcPr>
            <w:tcW w:w="1985" w:type="dxa"/>
            <w:noWrap/>
            <w:hideMark/>
          </w:tcPr>
          <w:p w14:paraId="4B9AD6D3"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-34.41855</w:t>
            </w:r>
          </w:p>
        </w:tc>
        <w:tc>
          <w:tcPr>
            <w:tcW w:w="1984" w:type="dxa"/>
            <w:noWrap/>
            <w:hideMark/>
          </w:tcPr>
          <w:p w14:paraId="0E302EDA"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139.61395</w:t>
            </w:r>
          </w:p>
        </w:tc>
      </w:tr>
      <w:tr w:rsidR="00404EDB" w:rsidRPr="00366994" w14:paraId="6976A195" w14:textId="77777777" w:rsidTr="002727EF">
        <w:trPr>
          <w:trHeight w:val="340"/>
          <w:jc w:val="center"/>
        </w:trPr>
        <w:tc>
          <w:tcPr>
            <w:tcW w:w="1108" w:type="dxa"/>
            <w:noWrap/>
            <w:hideMark/>
          </w:tcPr>
          <w:p w14:paraId="3FDE2AF5"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L1-6</w:t>
            </w:r>
          </w:p>
        </w:tc>
        <w:tc>
          <w:tcPr>
            <w:tcW w:w="1271" w:type="dxa"/>
            <w:vMerge/>
            <w:noWrap/>
            <w:hideMark/>
          </w:tcPr>
          <w:p w14:paraId="4922C761"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5647ADED"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6</w:t>
            </w:r>
          </w:p>
        </w:tc>
        <w:tc>
          <w:tcPr>
            <w:tcW w:w="1985" w:type="dxa"/>
            <w:noWrap/>
            <w:hideMark/>
          </w:tcPr>
          <w:p w14:paraId="16E84733"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-34.391968</w:t>
            </w:r>
          </w:p>
        </w:tc>
        <w:tc>
          <w:tcPr>
            <w:tcW w:w="1984" w:type="dxa"/>
            <w:noWrap/>
            <w:hideMark/>
          </w:tcPr>
          <w:p w14:paraId="68002ACB"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139.619028</w:t>
            </w:r>
          </w:p>
        </w:tc>
      </w:tr>
      <w:tr w:rsidR="00404EDB" w:rsidRPr="00366994" w14:paraId="149E9B7E" w14:textId="77777777" w:rsidTr="002727EF">
        <w:trPr>
          <w:trHeight w:val="340"/>
          <w:jc w:val="center"/>
        </w:trPr>
        <w:tc>
          <w:tcPr>
            <w:tcW w:w="1108" w:type="dxa"/>
            <w:noWrap/>
            <w:hideMark/>
          </w:tcPr>
          <w:p w14:paraId="0721CA4B"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L4-1</w:t>
            </w:r>
          </w:p>
        </w:tc>
        <w:tc>
          <w:tcPr>
            <w:tcW w:w="1271" w:type="dxa"/>
            <w:vMerge w:val="restart"/>
            <w:noWrap/>
            <w:vAlign w:val="center"/>
            <w:hideMark/>
          </w:tcPr>
          <w:p w14:paraId="365A47B5"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Lock 4</w:t>
            </w:r>
          </w:p>
        </w:tc>
        <w:tc>
          <w:tcPr>
            <w:tcW w:w="1160" w:type="dxa"/>
            <w:noWrap/>
            <w:vAlign w:val="center"/>
            <w:hideMark/>
          </w:tcPr>
          <w:p w14:paraId="407DC7E4"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1</w:t>
            </w:r>
          </w:p>
        </w:tc>
        <w:tc>
          <w:tcPr>
            <w:tcW w:w="1985" w:type="dxa"/>
            <w:noWrap/>
            <w:hideMark/>
          </w:tcPr>
          <w:p w14:paraId="346A4734"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-34.361848</w:t>
            </w:r>
          </w:p>
        </w:tc>
        <w:tc>
          <w:tcPr>
            <w:tcW w:w="1984" w:type="dxa"/>
            <w:noWrap/>
            <w:hideMark/>
          </w:tcPr>
          <w:p w14:paraId="6C3A5368"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140.565262</w:t>
            </w:r>
          </w:p>
        </w:tc>
      </w:tr>
      <w:tr w:rsidR="00404EDB" w:rsidRPr="00366994" w14:paraId="3E90B7E3" w14:textId="77777777" w:rsidTr="002727EF">
        <w:trPr>
          <w:trHeight w:val="340"/>
          <w:jc w:val="center"/>
        </w:trPr>
        <w:tc>
          <w:tcPr>
            <w:tcW w:w="1108" w:type="dxa"/>
            <w:noWrap/>
            <w:hideMark/>
          </w:tcPr>
          <w:p w14:paraId="23BFFB08"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L4-2</w:t>
            </w:r>
          </w:p>
        </w:tc>
        <w:tc>
          <w:tcPr>
            <w:tcW w:w="1271" w:type="dxa"/>
            <w:vMerge/>
            <w:noWrap/>
            <w:vAlign w:val="center"/>
            <w:hideMark/>
          </w:tcPr>
          <w:p w14:paraId="170E159C" w14:textId="77777777" w:rsidR="00404EDB" w:rsidRPr="00366994" w:rsidRDefault="00404EDB" w:rsidP="002727EF">
            <w:pPr>
              <w:spacing w:line="240" w:lineRule="auto"/>
              <w:contextualSpacing/>
              <w:jc w:val="center"/>
              <w:rPr>
                <w:rFonts w:cstheme="minorHAnsi"/>
                <w:szCs w:val="21"/>
              </w:rPr>
            </w:pPr>
          </w:p>
        </w:tc>
        <w:tc>
          <w:tcPr>
            <w:tcW w:w="1160" w:type="dxa"/>
            <w:noWrap/>
            <w:vAlign w:val="center"/>
            <w:hideMark/>
          </w:tcPr>
          <w:p w14:paraId="125FC1E3"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2</w:t>
            </w:r>
          </w:p>
        </w:tc>
        <w:tc>
          <w:tcPr>
            <w:tcW w:w="1985" w:type="dxa"/>
            <w:noWrap/>
            <w:hideMark/>
          </w:tcPr>
          <w:p w14:paraId="7E9DEE7D"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-34.355854</w:t>
            </w:r>
          </w:p>
        </w:tc>
        <w:tc>
          <w:tcPr>
            <w:tcW w:w="1984" w:type="dxa"/>
            <w:noWrap/>
            <w:hideMark/>
          </w:tcPr>
          <w:p w14:paraId="0BD32720"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140.576385</w:t>
            </w:r>
          </w:p>
        </w:tc>
      </w:tr>
      <w:tr w:rsidR="00404EDB" w:rsidRPr="00366994" w14:paraId="6094E15A" w14:textId="77777777" w:rsidTr="002727EF">
        <w:trPr>
          <w:trHeight w:val="340"/>
          <w:jc w:val="center"/>
        </w:trPr>
        <w:tc>
          <w:tcPr>
            <w:tcW w:w="1108" w:type="dxa"/>
            <w:noWrap/>
            <w:hideMark/>
          </w:tcPr>
          <w:p w14:paraId="50EB6152"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L4-3</w:t>
            </w:r>
          </w:p>
        </w:tc>
        <w:tc>
          <w:tcPr>
            <w:tcW w:w="1271" w:type="dxa"/>
            <w:vMerge/>
            <w:noWrap/>
            <w:vAlign w:val="center"/>
            <w:hideMark/>
          </w:tcPr>
          <w:p w14:paraId="7101692B" w14:textId="77777777" w:rsidR="00404EDB" w:rsidRPr="00366994" w:rsidRDefault="00404EDB" w:rsidP="002727EF">
            <w:pPr>
              <w:spacing w:line="240" w:lineRule="auto"/>
              <w:contextualSpacing/>
              <w:jc w:val="center"/>
              <w:rPr>
                <w:rFonts w:cstheme="minorHAnsi"/>
                <w:szCs w:val="21"/>
              </w:rPr>
            </w:pPr>
          </w:p>
        </w:tc>
        <w:tc>
          <w:tcPr>
            <w:tcW w:w="1160" w:type="dxa"/>
            <w:noWrap/>
            <w:vAlign w:val="center"/>
            <w:hideMark/>
          </w:tcPr>
          <w:p w14:paraId="5E2C836A"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3</w:t>
            </w:r>
          </w:p>
        </w:tc>
        <w:tc>
          <w:tcPr>
            <w:tcW w:w="1985" w:type="dxa"/>
            <w:noWrap/>
            <w:hideMark/>
          </w:tcPr>
          <w:p w14:paraId="6CBA6FD1"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-34.355763</w:t>
            </w:r>
          </w:p>
        </w:tc>
        <w:tc>
          <w:tcPr>
            <w:tcW w:w="1984" w:type="dxa"/>
            <w:noWrap/>
            <w:hideMark/>
          </w:tcPr>
          <w:p w14:paraId="47609DDC"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140.568069</w:t>
            </w:r>
          </w:p>
        </w:tc>
      </w:tr>
      <w:tr w:rsidR="00404EDB" w:rsidRPr="00366994" w14:paraId="668BE2E1" w14:textId="77777777" w:rsidTr="002727EF">
        <w:trPr>
          <w:trHeight w:val="340"/>
          <w:jc w:val="center"/>
        </w:trPr>
        <w:tc>
          <w:tcPr>
            <w:tcW w:w="1108" w:type="dxa"/>
            <w:noWrap/>
            <w:hideMark/>
          </w:tcPr>
          <w:p w14:paraId="4A963121"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L4-4</w:t>
            </w:r>
          </w:p>
        </w:tc>
        <w:tc>
          <w:tcPr>
            <w:tcW w:w="1271" w:type="dxa"/>
            <w:vMerge/>
            <w:noWrap/>
            <w:vAlign w:val="center"/>
            <w:hideMark/>
          </w:tcPr>
          <w:p w14:paraId="7EE7AD5B" w14:textId="77777777" w:rsidR="00404EDB" w:rsidRPr="00366994" w:rsidRDefault="00404EDB" w:rsidP="002727EF">
            <w:pPr>
              <w:spacing w:line="240" w:lineRule="auto"/>
              <w:contextualSpacing/>
              <w:jc w:val="center"/>
              <w:rPr>
                <w:rFonts w:cstheme="minorHAnsi"/>
                <w:szCs w:val="21"/>
              </w:rPr>
            </w:pPr>
          </w:p>
        </w:tc>
        <w:tc>
          <w:tcPr>
            <w:tcW w:w="1160" w:type="dxa"/>
            <w:noWrap/>
            <w:vAlign w:val="center"/>
            <w:hideMark/>
          </w:tcPr>
          <w:p w14:paraId="18F26B41"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4</w:t>
            </w:r>
          </w:p>
        </w:tc>
        <w:tc>
          <w:tcPr>
            <w:tcW w:w="1985" w:type="dxa"/>
            <w:noWrap/>
            <w:hideMark/>
          </w:tcPr>
          <w:p w14:paraId="2709655F"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-34.350657</w:t>
            </w:r>
          </w:p>
        </w:tc>
        <w:tc>
          <w:tcPr>
            <w:tcW w:w="1984" w:type="dxa"/>
            <w:noWrap/>
            <w:hideMark/>
          </w:tcPr>
          <w:p w14:paraId="2E82AF4D"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140.562584</w:t>
            </w:r>
          </w:p>
        </w:tc>
      </w:tr>
      <w:tr w:rsidR="00404EDB" w:rsidRPr="00366994" w14:paraId="7E8A5957" w14:textId="77777777" w:rsidTr="002727EF">
        <w:trPr>
          <w:trHeight w:val="340"/>
          <w:jc w:val="center"/>
        </w:trPr>
        <w:tc>
          <w:tcPr>
            <w:tcW w:w="1108" w:type="dxa"/>
            <w:noWrap/>
            <w:hideMark/>
          </w:tcPr>
          <w:p w14:paraId="1F8BBDA3"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L4-5</w:t>
            </w:r>
          </w:p>
        </w:tc>
        <w:tc>
          <w:tcPr>
            <w:tcW w:w="1271" w:type="dxa"/>
            <w:vMerge/>
            <w:noWrap/>
            <w:vAlign w:val="center"/>
            <w:hideMark/>
          </w:tcPr>
          <w:p w14:paraId="4EF6DF45" w14:textId="77777777" w:rsidR="00404EDB" w:rsidRPr="00366994" w:rsidRDefault="00404EDB" w:rsidP="002727EF">
            <w:pPr>
              <w:spacing w:line="240" w:lineRule="auto"/>
              <w:contextualSpacing/>
              <w:jc w:val="center"/>
              <w:rPr>
                <w:rFonts w:cstheme="minorHAnsi"/>
                <w:szCs w:val="21"/>
              </w:rPr>
            </w:pPr>
          </w:p>
        </w:tc>
        <w:tc>
          <w:tcPr>
            <w:tcW w:w="1160" w:type="dxa"/>
            <w:noWrap/>
            <w:vAlign w:val="center"/>
            <w:hideMark/>
          </w:tcPr>
          <w:p w14:paraId="6FE037B9"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5</w:t>
            </w:r>
          </w:p>
        </w:tc>
        <w:tc>
          <w:tcPr>
            <w:tcW w:w="1985" w:type="dxa"/>
            <w:noWrap/>
            <w:hideMark/>
          </w:tcPr>
          <w:p w14:paraId="07C6B65C"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-34.343043</w:t>
            </w:r>
          </w:p>
        </w:tc>
        <w:tc>
          <w:tcPr>
            <w:tcW w:w="1984" w:type="dxa"/>
            <w:noWrap/>
            <w:hideMark/>
          </w:tcPr>
          <w:p w14:paraId="6D4EAE87"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140.553056</w:t>
            </w:r>
          </w:p>
        </w:tc>
      </w:tr>
      <w:tr w:rsidR="00404EDB" w:rsidRPr="00366994" w14:paraId="34DBAD7F" w14:textId="77777777" w:rsidTr="002727EF">
        <w:trPr>
          <w:trHeight w:val="340"/>
          <w:jc w:val="center"/>
        </w:trPr>
        <w:tc>
          <w:tcPr>
            <w:tcW w:w="1108" w:type="dxa"/>
            <w:noWrap/>
            <w:hideMark/>
          </w:tcPr>
          <w:p w14:paraId="1C9258D1"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L4-6</w:t>
            </w:r>
          </w:p>
        </w:tc>
        <w:tc>
          <w:tcPr>
            <w:tcW w:w="1271" w:type="dxa"/>
            <w:vMerge/>
            <w:noWrap/>
            <w:vAlign w:val="center"/>
            <w:hideMark/>
          </w:tcPr>
          <w:p w14:paraId="3566074B" w14:textId="77777777" w:rsidR="00404EDB" w:rsidRPr="00366994" w:rsidRDefault="00404EDB" w:rsidP="002727EF">
            <w:pPr>
              <w:spacing w:line="240" w:lineRule="auto"/>
              <w:contextualSpacing/>
              <w:jc w:val="center"/>
              <w:rPr>
                <w:rFonts w:cstheme="minorHAnsi"/>
                <w:szCs w:val="21"/>
              </w:rPr>
            </w:pPr>
          </w:p>
        </w:tc>
        <w:tc>
          <w:tcPr>
            <w:tcW w:w="1160" w:type="dxa"/>
            <w:noWrap/>
            <w:vAlign w:val="center"/>
            <w:hideMark/>
          </w:tcPr>
          <w:p w14:paraId="26329905"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6</w:t>
            </w:r>
          </w:p>
        </w:tc>
        <w:tc>
          <w:tcPr>
            <w:tcW w:w="1985" w:type="dxa"/>
            <w:noWrap/>
            <w:hideMark/>
          </w:tcPr>
          <w:p w14:paraId="7E25274F"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-34.342492</w:t>
            </w:r>
          </w:p>
        </w:tc>
        <w:tc>
          <w:tcPr>
            <w:tcW w:w="1984" w:type="dxa"/>
            <w:noWrap/>
            <w:hideMark/>
          </w:tcPr>
          <w:p w14:paraId="72620160"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140.554519</w:t>
            </w:r>
          </w:p>
        </w:tc>
      </w:tr>
      <w:tr w:rsidR="00404EDB" w:rsidRPr="00366994" w14:paraId="164F90B1" w14:textId="77777777" w:rsidTr="002727EF">
        <w:trPr>
          <w:trHeight w:val="340"/>
          <w:jc w:val="center"/>
        </w:trPr>
        <w:tc>
          <w:tcPr>
            <w:tcW w:w="1108" w:type="dxa"/>
            <w:noWrap/>
            <w:hideMark/>
          </w:tcPr>
          <w:p w14:paraId="6A9BB115"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L6-1</w:t>
            </w:r>
          </w:p>
        </w:tc>
        <w:tc>
          <w:tcPr>
            <w:tcW w:w="1271" w:type="dxa"/>
            <w:vMerge w:val="restart"/>
            <w:noWrap/>
            <w:vAlign w:val="center"/>
            <w:hideMark/>
          </w:tcPr>
          <w:p w14:paraId="71E56B8F"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Lock 6</w:t>
            </w:r>
          </w:p>
        </w:tc>
        <w:tc>
          <w:tcPr>
            <w:tcW w:w="1160" w:type="dxa"/>
            <w:noWrap/>
            <w:vAlign w:val="center"/>
            <w:hideMark/>
          </w:tcPr>
          <w:p w14:paraId="095C5399"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1</w:t>
            </w:r>
          </w:p>
        </w:tc>
        <w:tc>
          <w:tcPr>
            <w:tcW w:w="1985" w:type="dxa"/>
            <w:noWrap/>
            <w:hideMark/>
          </w:tcPr>
          <w:p w14:paraId="35FFD7CB"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-34.021533</w:t>
            </w:r>
          </w:p>
        </w:tc>
        <w:tc>
          <w:tcPr>
            <w:tcW w:w="1984" w:type="dxa"/>
            <w:noWrap/>
            <w:hideMark/>
          </w:tcPr>
          <w:p w14:paraId="33065DF7"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140.867416</w:t>
            </w:r>
          </w:p>
        </w:tc>
      </w:tr>
      <w:tr w:rsidR="00404EDB" w:rsidRPr="00366994" w14:paraId="10D78B9E" w14:textId="77777777" w:rsidTr="002727EF">
        <w:trPr>
          <w:trHeight w:val="340"/>
          <w:jc w:val="center"/>
        </w:trPr>
        <w:tc>
          <w:tcPr>
            <w:tcW w:w="1108" w:type="dxa"/>
            <w:noWrap/>
            <w:hideMark/>
          </w:tcPr>
          <w:p w14:paraId="056EA67A"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L6-2</w:t>
            </w:r>
          </w:p>
        </w:tc>
        <w:tc>
          <w:tcPr>
            <w:tcW w:w="1271" w:type="dxa"/>
            <w:vMerge/>
            <w:noWrap/>
            <w:hideMark/>
          </w:tcPr>
          <w:p w14:paraId="00F55770"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5F28113E"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2</w:t>
            </w:r>
          </w:p>
        </w:tc>
        <w:tc>
          <w:tcPr>
            <w:tcW w:w="1985" w:type="dxa"/>
            <w:noWrap/>
            <w:hideMark/>
          </w:tcPr>
          <w:p w14:paraId="1F2A6226"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-34.01918</w:t>
            </w:r>
          </w:p>
        </w:tc>
        <w:tc>
          <w:tcPr>
            <w:tcW w:w="1984" w:type="dxa"/>
            <w:noWrap/>
            <w:hideMark/>
          </w:tcPr>
          <w:p w14:paraId="38041CF4"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140.876627</w:t>
            </w:r>
          </w:p>
        </w:tc>
      </w:tr>
      <w:tr w:rsidR="00404EDB" w:rsidRPr="00366994" w14:paraId="64913DE6" w14:textId="77777777" w:rsidTr="002727EF">
        <w:trPr>
          <w:trHeight w:val="340"/>
          <w:jc w:val="center"/>
        </w:trPr>
        <w:tc>
          <w:tcPr>
            <w:tcW w:w="1108" w:type="dxa"/>
            <w:noWrap/>
            <w:hideMark/>
          </w:tcPr>
          <w:p w14:paraId="3813F11C"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L6-3</w:t>
            </w:r>
          </w:p>
        </w:tc>
        <w:tc>
          <w:tcPr>
            <w:tcW w:w="1271" w:type="dxa"/>
            <w:vMerge/>
            <w:noWrap/>
            <w:hideMark/>
          </w:tcPr>
          <w:p w14:paraId="7015884D"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051AD69B"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3</w:t>
            </w:r>
          </w:p>
        </w:tc>
        <w:tc>
          <w:tcPr>
            <w:tcW w:w="1985" w:type="dxa"/>
            <w:noWrap/>
            <w:hideMark/>
          </w:tcPr>
          <w:p w14:paraId="71A7A9AF"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-34.016288</w:t>
            </w:r>
          </w:p>
        </w:tc>
        <w:tc>
          <w:tcPr>
            <w:tcW w:w="1984" w:type="dxa"/>
            <w:noWrap/>
            <w:hideMark/>
          </w:tcPr>
          <w:p w14:paraId="48259350"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140.88713</w:t>
            </w:r>
          </w:p>
        </w:tc>
      </w:tr>
      <w:tr w:rsidR="00404EDB" w:rsidRPr="00366994" w14:paraId="3D50C3CF" w14:textId="77777777" w:rsidTr="002727EF">
        <w:trPr>
          <w:trHeight w:val="340"/>
          <w:jc w:val="center"/>
        </w:trPr>
        <w:tc>
          <w:tcPr>
            <w:tcW w:w="1108" w:type="dxa"/>
            <w:noWrap/>
            <w:hideMark/>
          </w:tcPr>
          <w:p w14:paraId="33009897"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L6-4</w:t>
            </w:r>
          </w:p>
        </w:tc>
        <w:tc>
          <w:tcPr>
            <w:tcW w:w="1271" w:type="dxa"/>
            <w:vMerge/>
            <w:noWrap/>
            <w:hideMark/>
          </w:tcPr>
          <w:p w14:paraId="38EAB23F"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1EC4E91D"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4</w:t>
            </w:r>
          </w:p>
        </w:tc>
        <w:tc>
          <w:tcPr>
            <w:tcW w:w="1985" w:type="dxa"/>
            <w:noWrap/>
            <w:hideMark/>
          </w:tcPr>
          <w:p w14:paraId="032FC94B"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-33.997601</w:t>
            </w:r>
          </w:p>
        </w:tc>
        <w:tc>
          <w:tcPr>
            <w:tcW w:w="1984" w:type="dxa"/>
            <w:noWrap/>
            <w:hideMark/>
          </w:tcPr>
          <w:p w14:paraId="5B49E7DC"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140.879789</w:t>
            </w:r>
          </w:p>
        </w:tc>
      </w:tr>
      <w:tr w:rsidR="00404EDB" w:rsidRPr="00366994" w14:paraId="3BA3B216" w14:textId="77777777" w:rsidTr="002727EF">
        <w:trPr>
          <w:trHeight w:val="340"/>
          <w:jc w:val="center"/>
        </w:trPr>
        <w:tc>
          <w:tcPr>
            <w:tcW w:w="1108" w:type="dxa"/>
            <w:noWrap/>
            <w:hideMark/>
          </w:tcPr>
          <w:p w14:paraId="5E74A15B"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L6-5</w:t>
            </w:r>
          </w:p>
        </w:tc>
        <w:tc>
          <w:tcPr>
            <w:tcW w:w="1271" w:type="dxa"/>
            <w:vMerge/>
            <w:noWrap/>
            <w:hideMark/>
          </w:tcPr>
          <w:p w14:paraId="3B5F1300"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4968B2E7"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5</w:t>
            </w:r>
          </w:p>
        </w:tc>
        <w:tc>
          <w:tcPr>
            <w:tcW w:w="1985" w:type="dxa"/>
            <w:noWrap/>
            <w:hideMark/>
          </w:tcPr>
          <w:p w14:paraId="50A421D5"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-33.995581</w:t>
            </w:r>
          </w:p>
        </w:tc>
        <w:tc>
          <w:tcPr>
            <w:tcW w:w="1984" w:type="dxa"/>
            <w:noWrap/>
            <w:hideMark/>
          </w:tcPr>
          <w:p w14:paraId="43B2C105"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140.880611</w:t>
            </w:r>
          </w:p>
        </w:tc>
      </w:tr>
      <w:tr w:rsidR="00404EDB" w:rsidRPr="00366994" w14:paraId="748E953A" w14:textId="77777777" w:rsidTr="002727EF">
        <w:trPr>
          <w:trHeight w:val="340"/>
          <w:jc w:val="center"/>
        </w:trPr>
        <w:tc>
          <w:tcPr>
            <w:tcW w:w="1108" w:type="dxa"/>
            <w:noWrap/>
            <w:hideMark/>
          </w:tcPr>
          <w:p w14:paraId="11F3C498" w14:textId="77777777" w:rsidR="00404EDB" w:rsidRPr="00366994" w:rsidRDefault="00404EDB" w:rsidP="002727EF">
            <w:pPr>
              <w:spacing w:line="240" w:lineRule="auto"/>
              <w:contextualSpacing/>
              <w:rPr>
                <w:rFonts w:cstheme="minorHAnsi"/>
                <w:szCs w:val="21"/>
              </w:rPr>
            </w:pPr>
            <w:r w:rsidRPr="00366994">
              <w:rPr>
                <w:rFonts w:cstheme="minorHAnsi"/>
                <w:szCs w:val="21"/>
              </w:rPr>
              <w:t xml:space="preserve"> L6-6</w:t>
            </w:r>
          </w:p>
        </w:tc>
        <w:tc>
          <w:tcPr>
            <w:tcW w:w="1271" w:type="dxa"/>
            <w:vMerge/>
            <w:noWrap/>
            <w:hideMark/>
          </w:tcPr>
          <w:p w14:paraId="4FC9C373" w14:textId="77777777" w:rsidR="00404EDB" w:rsidRPr="00366994" w:rsidRDefault="00404EDB" w:rsidP="002727EF">
            <w:pPr>
              <w:spacing w:line="240" w:lineRule="auto"/>
              <w:contextualSpacing/>
              <w:rPr>
                <w:rFonts w:cstheme="minorHAnsi"/>
                <w:szCs w:val="21"/>
              </w:rPr>
            </w:pPr>
          </w:p>
        </w:tc>
        <w:tc>
          <w:tcPr>
            <w:tcW w:w="1160" w:type="dxa"/>
            <w:noWrap/>
            <w:vAlign w:val="center"/>
            <w:hideMark/>
          </w:tcPr>
          <w:p w14:paraId="0A5BF084" w14:textId="77777777" w:rsidR="00404EDB" w:rsidRPr="00366994" w:rsidRDefault="00404EDB" w:rsidP="002727EF">
            <w:pPr>
              <w:spacing w:line="240" w:lineRule="auto"/>
              <w:contextualSpacing/>
              <w:jc w:val="center"/>
              <w:rPr>
                <w:rFonts w:cstheme="minorHAnsi"/>
                <w:szCs w:val="21"/>
              </w:rPr>
            </w:pPr>
            <w:r w:rsidRPr="00366994">
              <w:rPr>
                <w:rFonts w:cstheme="minorHAnsi"/>
                <w:szCs w:val="21"/>
              </w:rPr>
              <w:t>6</w:t>
            </w:r>
          </w:p>
        </w:tc>
        <w:tc>
          <w:tcPr>
            <w:tcW w:w="1985" w:type="dxa"/>
            <w:noWrap/>
            <w:hideMark/>
          </w:tcPr>
          <w:p w14:paraId="0426B459"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-33.994623</w:t>
            </w:r>
          </w:p>
        </w:tc>
        <w:tc>
          <w:tcPr>
            <w:tcW w:w="1984" w:type="dxa"/>
            <w:noWrap/>
            <w:hideMark/>
          </w:tcPr>
          <w:p w14:paraId="5BE17D3E" w14:textId="77777777" w:rsidR="00404EDB" w:rsidRPr="00366994" w:rsidRDefault="00404EDB" w:rsidP="002727EF">
            <w:pPr>
              <w:spacing w:line="240" w:lineRule="auto"/>
              <w:contextualSpacing/>
              <w:jc w:val="right"/>
              <w:rPr>
                <w:rFonts w:cstheme="minorHAnsi"/>
                <w:szCs w:val="21"/>
              </w:rPr>
            </w:pPr>
            <w:r w:rsidRPr="00366994">
              <w:rPr>
                <w:rFonts w:cstheme="minorHAnsi"/>
                <w:szCs w:val="21"/>
              </w:rPr>
              <w:t>140.882183</w:t>
            </w:r>
          </w:p>
        </w:tc>
      </w:tr>
    </w:tbl>
    <w:p w14:paraId="1CFFCCE1" w14:textId="71AE33A7" w:rsidR="00404EDB" w:rsidRDefault="00404EDB" w:rsidP="00404EDB">
      <w:pPr>
        <w:rPr>
          <w:b/>
          <w:bCs/>
          <w:szCs w:val="21"/>
        </w:rPr>
      </w:pPr>
    </w:p>
    <w:p w14:paraId="33C43BD8" w14:textId="725F3950" w:rsidR="00787DA1" w:rsidRPr="00366994" w:rsidRDefault="00787DA1" w:rsidP="00787DA1">
      <w:pPr>
        <w:rPr>
          <w:lang w:val="en-US"/>
        </w:rPr>
      </w:pPr>
      <w:r w:rsidRPr="00366994">
        <w:rPr>
          <w:lang w:val="en-US"/>
        </w:rPr>
        <w:t>A sub-sample of 250 g of dried sediment from the seed bank samples were spread onto a base of 15 cm deep sandy loam (80% sand, 20% clay) contained in 20 cm diameter potting bags. In cases where a sub-sample of 250 g of dried sediment could not be obtained, the weight of seed bank samples used were recorded. Osmocote Plus</w:t>
      </w:r>
      <w:r w:rsidRPr="00366994">
        <w:rPr>
          <w:rFonts w:cstheme="minorHAnsi"/>
          <w:lang w:val="en-US"/>
        </w:rPr>
        <w:t>®</w:t>
      </w:r>
      <w:r w:rsidRPr="00366994">
        <w:rPr>
          <w:lang w:val="en-US"/>
        </w:rPr>
        <w:t>, a slow</w:t>
      </w:r>
      <w:r w:rsidR="006366FC">
        <w:rPr>
          <w:lang w:val="en-US"/>
        </w:rPr>
        <w:t xml:space="preserve"> </w:t>
      </w:r>
      <w:r w:rsidRPr="00366994">
        <w:rPr>
          <w:lang w:val="en-US"/>
        </w:rPr>
        <w:t>release fertiliser was added to each pot to give a nitrogen loading of 100</w:t>
      </w:r>
      <w:r>
        <w:rPr>
          <w:lang w:val="en-US"/>
        </w:rPr>
        <w:t> </w:t>
      </w:r>
      <w:r w:rsidRPr="00366994">
        <w:rPr>
          <w:lang w:val="en-US"/>
        </w:rPr>
        <w:t>g</w:t>
      </w:r>
      <w:r>
        <w:rPr>
          <w:lang w:val="en-US"/>
        </w:rPr>
        <w:t> </w:t>
      </w:r>
      <w:r w:rsidRPr="00366994">
        <w:rPr>
          <w:lang w:val="en-US"/>
        </w:rPr>
        <w:t>N</w:t>
      </w:r>
      <w:r>
        <w:rPr>
          <w:lang w:val="en-US"/>
        </w:rPr>
        <w:t> </w:t>
      </w:r>
      <w:r w:rsidRPr="00366994">
        <w:rPr>
          <w:lang w:val="en-US"/>
        </w:rPr>
        <w:t>m</w:t>
      </w:r>
      <w:r>
        <w:rPr>
          <w:vertAlign w:val="superscript"/>
          <w:lang w:val="en-US"/>
        </w:rPr>
        <w:noBreakHyphen/>
      </w:r>
      <w:r w:rsidRPr="00366994">
        <w:rPr>
          <w:vertAlign w:val="superscript"/>
          <w:lang w:val="en-US"/>
        </w:rPr>
        <w:t>2</w:t>
      </w:r>
      <w:r>
        <w:rPr>
          <w:lang w:val="en-US"/>
        </w:rPr>
        <w:t> </w:t>
      </w:r>
      <w:r w:rsidRPr="00366994">
        <w:rPr>
          <w:lang w:val="en-US"/>
        </w:rPr>
        <w:t>year</w:t>
      </w:r>
      <w:r w:rsidRPr="00366994">
        <w:rPr>
          <w:vertAlign w:val="superscript"/>
          <w:lang w:val="en-US"/>
        </w:rPr>
        <w:t>-1</w:t>
      </w:r>
      <w:r w:rsidRPr="00366994">
        <w:rPr>
          <w:lang w:val="en-US"/>
        </w:rPr>
        <w:t>. Samples were subject</w:t>
      </w:r>
      <w:r>
        <w:rPr>
          <w:lang w:val="en-US"/>
        </w:rPr>
        <w:t>ed</w:t>
      </w:r>
      <w:r w:rsidRPr="00366994">
        <w:rPr>
          <w:lang w:val="en-US"/>
        </w:rPr>
        <w:t xml:space="preserve"> to continuous damp conditions for 16 weeks (4 January to 25 April 2021). To take local seed input and contamination of the sandy loam soil into consideration, ten blanks (pots containing only the sandy loam) were randomly placed amongst the samples. </w:t>
      </w:r>
    </w:p>
    <w:p w14:paraId="34AEF8CA" w14:textId="77777777" w:rsidR="005C3CDB" w:rsidRPr="005C3CDB" w:rsidRDefault="005C3CDB" w:rsidP="005C3CDB">
      <w:pPr>
        <w:rPr>
          <w:i/>
          <w:iCs/>
          <w:u w:val="single"/>
          <w:lang w:val="en-US"/>
        </w:rPr>
      </w:pPr>
      <w:r w:rsidRPr="005C3CDB">
        <w:rPr>
          <w:i/>
          <w:iCs/>
          <w:u w:val="single"/>
          <w:lang w:val="en-US"/>
        </w:rPr>
        <w:t xml:space="preserve">Seed bank assessment </w:t>
      </w:r>
    </w:p>
    <w:p w14:paraId="378B2683" w14:textId="060D407C" w:rsidR="005C3CDB" w:rsidRPr="00A07D86" w:rsidRDefault="005C3CDB" w:rsidP="005C3CDB">
      <w:pPr>
        <w:rPr>
          <w:lang w:val="en-US"/>
        </w:rPr>
      </w:pPr>
      <w:r w:rsidRPr="00366994">
        <w:rPr>
          <w:lang w:val="en-US"/>
        </w:rPr>
        <w:t>The germinable seed bank was assessed using the seedling emergence technique (sensu Brown 1992</w:t>
      </w:r>
      <w:r w:rsidR="008A03A0">
        <w:rPr>
          <w:lang w:val="en-US"/>
        </w:rPr>
        <w:t>;</w:t>
      </w:r>
      <w:r w:rsidRPr="00366994">
        <w:rPr>
          <w:lang w:val="en-US"/>
        </w:rPr>
        <w:t xml:space="preserve"> Gross 1990). Seedlings were removed at regular intervals when they could be identified. Seedlings were able to be identified from week 3 onwards (18</w:t>
      </w:r>
      <w:r w:rsidRPr="00366994">
        <w:rPr>
          <w:vertAlign w:val="superscript"/>
          <w:lang w:val="en-US"/>
        </w:rPr>
        <w:t>th</w:t>
      </w:r>
      <w:r w:rsidRPr="00366994">
        <w:rPr>
          <w:lang w:val="en-US"/>
        </w:rPr>
        <w:t xml:space="preserve"> January 2021). After 16 weeks, the number of germinants and species were collated, and converted to germinants m</w:t>
      </w:r>
      <w:r w:rsidRPr="00366994">
        <w:rPr>
          <w:vertAlign w:val="superscript"/>
          <w:lang w:val="en-US"/>
        </w:rPr>
        <w:t>-2</w:t>
      </w:r>
      <w:r w:rsidRPr="00366994">
        <w:rPr>
          <w:lang w:val="en-US"/>
        </w:rPr>
        <w:t xml:space="preserve"> using the following formula (Nicol </w:t>
      </w:r>
      <w:r w:rsidRPr="00072448">
        <w:rPr>
          <w:i/>
          <w:iCs/>
          <w:lang w:val="en-US"/>
        </w:rPr>
        <w:t>et al.</w:t>
      </w:r>
      <w:r w:rsidRPr="00366994">
        <w:rPr>
          <w:lang w:val="en-US"/>
        </w:rPr>
        <w:t xml:space="preserve"> 2003):</w:t>
      </w:r>
    </w:p>
    <w:p w14:paraId="70515437" w14:textId="77777777" w:rsidR="005C3CDB" w:rsidRPr="00A07D86" w:rsidRDefault="005C3CDB" w:rsidP="005C3CDB">
      <w:pPr>
        <w:rPr>
          <w:lang w:val="en-US"/>
        </w:rPr>
      </w:pPr>
      <w:r w:rsidRPr="00A07D86">
        <w:rPr>
          <w:lang w:val="en-US"/>
        </w:rPr>
        <w:t>No. germinants m</w:t>
      </w:r>
      <w:r w:rsidRPr="00A07D86">
        <w:rPr>
          <w:vertAlign w:val="superscript"/>
          <w:lang w:val="en-US"/>
        </w:rPr>
        <w:t>-2</w:t>
      </w:r>
      <w:r w:rsidRPr="00A07D86">
        <w:rPr>
          <w:lang w:val="en-US"/>
        </w:rPr>
        <w:t xml:space="preserve"> = (No. germinants x mass of soil to a depth of 5 cm m</w:t>
      </w:r>
      <w:r w:rsidRPr="00A07D86">
        <w:rPr>
          <w:vertAlign w:val="superscript"/>
          <w:lang w:val="en-US"/>
        </w:rPr>
        <w:t>-2</w:t>
      </w:r>
      <w:r w:rsidRPr="00A07D86">
        <w:rPr>
          <w:lang w:val="en-US"/>
        </w:rPr>
        <w:t>)/sample mass</w:t>
      </w:r>
    </w:p>
    <w:p w14:paraId="1548BF1C" w14:textId="77777777" w:rsidR="002727EF" w:rsidRDefault="002727EF" w:rsidP="005C3CDB">
      <w:pPr>
        <w:rPr>
          <w:i/>
          <w:iCs/>
          <w:u w:val="single"/>
          <w:lang w:val="en-US"/>
        </w:rPr>
      </w:pPr>
    </w:p>
    <w:p w14:paraId="5F61EEB9" w14:textId="77777777" w:rsidR="002727EF" w:rsidRDefault="002727EF">
      <w:pPr>
        <w:spacing w:before="0" w:after="160" w:line="259" w:lineRule="auto"/>
        <w:jc w:val="left"/>
        <w:rPr>
          <w:i/>
          <w:iCs/>
          <w:u w:val="single"/>
          <w:lang w:val="en-US"/>
        </w:rPr>
      </w:pPr>
      <w:r>
        <w:rPr>
          <w:i/>
          <w:iCs/>
          <w:u w:val="single"/>
          <w:lang w:val="en-US"/>
        </w:rPr>
        <w:br w:type="page"/>
      </w:r>
    </w:p>
    <w:p w14:paraId="7B18C002" w14:textId="508B9953" w:rsidR="005C3CDB" w:rsidRPr="005C3CDB" w:rsidRDefault="005C3CDB" w:rsidP="005C3CDB">
      <w:pPr>
        <w:rPr>
          <w:i/>
          <w:iCs/>
          <w:u w:val="single"/>
          <w:lang w:val="en-US"/>
        </w:rPr>
      </w:pPr>
      <w:r w:rsidRPr="005C3CDB">
        <w:rPr>
          <w:i/>
          <w:iCs/>
          <w:u w:val="single"/>
          <w:lang w:val="en-US"/>
        </w:rPr>
        <w:t xml:space="preserve">Plant identification and nomenclature </w:t>
      </w:r>
    </w:p>
    <w:p w14:paraId="7F8AFAA5" w14:textId="77777777" w:rsidR="005C3CDB" w:rsidRPr="00366994" w:rsidRDefault="005C3CDB" w:rsidP="005C3CDB">
      <w:r w:rsidRPr="00366994">
        <w:t xml:space="preserve">Plants were identified using keys in Jessop and Tolken (1986), Cunningham </w:t>
      </w:r>
      <w:r w:rsidRPr="00072448">
        <w:rPr>
          <w:i/>
          <w:iCs/>
        </w:rPr>
        <w:t>et al.</w:t>
      </w:r>
      <w:r w:rsidRPr="00366994">
        <w:t xml:space="preserve"> (1992) and Jessop </w:t>
      </w:r>
      <w:r w:rsidRPr="00072448">
        <w:rPr>
          <w:i/>
          <w:iCs/>
        </w:rPr>
        <w:t>et al.</w:t>
      </w:r>
      <w:r w:rsidRPr="00366994">
        <w:t xml:space="preserve"> (2006). In some cases, due to immature individuals or lack of floral structures, plants were identified to genus only. Nomenclature follows the Centre for Australian National Biodiversity Research and Council of Heads of Australasian Herbaria (2021).</w:t>
      </w:r>
    </w:p>
    <w:p w14:paraId="11BE77C4" w14:textId="77777777" w:rsidR="005C3CDB" w:rsidRPr="005C3CDB" w:rsidRDefault="005C3CDB" w:rsidP="005C3CDB">
      <w:pPr>
        <w:rPr>
          <w:i/>
          <w:iCs/>
          <w:u w:val="single"/>
          <w:lang w:val="en-US"/>
        </w:rPr>
      </w:pPr>
      <w:r w:rsidRPr="005C3CDB">
        <w:rPr>
          <w:i/>
          <w:iCs/>
          <w:u w:val="single"/>
          <w:lang w:val="en-US"/>
        </w:rPr>
        <w:t>Data analysis</w:t>
      </w:r>
    </w:p>
    <w:p w14:paraId="53055C5D" w14:textId="77777777" w:rsidR="005C3CDB" w:rsidRDefault="005C3CDB" w:rsidP="005C3CDB">
      <w:pPr>
        <w:rPr>
          <w:lang w:val="en-US"/>
        </w:rPr>
      </w:pPr>
      <w:r w:rsidRPr="00366994">
        <w:rPr>
          <w:lang w:val="en-US"/>
        </w:rPr>
        <w:t>Germinant density between sites and elevations was compared using two factor univariate PERMANOVA (Anderson and Ter Braak 2003). Floristic composition of the germinable seed bank between sites and elevations was compared with two factor multivariate PERMANOVA (Anderson and Ter Braak 2003)</w:t>
      </w:r>
      <w:r>
        <w:rPr>
          <w:lang w:val="en-US"/>
        </w:rPr>
        <w:t xml:space="preserve"> and</w:t>
      </w:r>
      <w:r w:rsidRPr="00366994">
        <w:rPr>
          <w:lang w:val="en-US"/>
        </w:rPr>
        <w:t xml:space="preserve"> nMDS ordination (McCune </w:t>
      </w:r>
      <w:r w:rsidRPr="005C3CDB">
        <w:rPr>
          <w:i/>
          <w:iCs/>
          <w:lang w:val="en-US"/>
        </w:rPr>
        <w:t>et al.</w:t>
      </w:r>
      <w:r w:rsidRPr="00366994">
        <w:rPr>
          <w:lang w:val="en-US"/>
        </w:rPr>
        <w:t xml:space="preserve"> 2002). </w:t>
      </w:r>
    </w:p>
    <w:p w14:paraId="0FB5448A" w14:textId="77777777" w:rsidR="005C3CDB" w:rsidRPr="005C3CDB" w:rsidRDefault="005C3CDB" w:rsidP="005C3CDB">
      <w:pPr>
        <w:rPr>
          <w:b/>
          <w:bCs/>
          <w:i/>
          <w:iCs/>
          <w:color w:val="44546A" w:themeColor="text2"/>
          <w:sz w:val="24"/>
          <w:szCs w:val="24"/>
          <w:lang w:eastAsia="en-AU"/>
        </w:rPr>
      </w:pPr>
      <w:bookmarkStart w:id="435" w:name="_Toc86909485"/>
      <w:r w:rsidRPr="005C3CDB">
        <w:rPr>
          <w:b/>
          <w:bCs/>
          <w:i/>
          <w:iCs/>
          <w:color w:val="44546A" w:themeColor="text2"/>
          <w:sz w:val="24"/>
          <w:szCs w:val="24"/>
          <w:lang w:eastAsia="en-AU"/>
        </w:rPr>
        <w:t>Results</w:t>
      </w:r>
      <w:bookmarkEnd w:id="435"/>
    </w:p>
    <w:p w14:paraId="38131310" w14:textId="3A205C38" w:rsidR="005C3CDB" w:rsidRPr="00072448" w:rsidRDefault="005C3CDB" w:rsidP="00072448">
      <w:pPr>
        <w:rPr>
          <w:i/>
          <w:iCs/>
          <w:u w:val="single"/>
          <w:lang w:eastAsia="en-AU"/>
        </w:rPr>
      </w:pPr>
      <w:r w:rsidRPr="00072448">
        <w:rPr>
          <w:i/>
          <w:iCs/>
          <w:u w:val="single"/>
          <w:lang w:eastAsia="en-AU"/>
        </w:rPr>
        <w:t xml:space="preserve">Germinable </w:t>
      </w:r>
      <w:r w:rsidR="00E844BD">
        <w:rPr>
          <w:i/>
          <w:iCs/>
          <w:u w:val="single"/>
          <w:lang w:eastAsia="en-AU"/>
        </w:rPr>
        <w:t>s</w:t>
      </w:r>
      <w:r w:rsidRPr="00072448">
        <w:rPr>
          <w:i/>
          <w:iCs/>
          <w:u w:val="single"/>
          <w:lang w:eastAsia="en-AU"/>
        </w:rPr>
        <w:t xml:space="preserve">eed </w:t>
      </w:r>
      <w:r w:rsidR="00E844BD">
        <w:rPr>
          <w:i/>
          <w:iCs/>
          <w:u w:val="single"/>
          <w:lang w:eastAsia="en-AU"/>
        </w:rPr>
        <w:t>b</w:t>
      </w:r>
      <w:r w:rsidRPr="00072448">
        <w:rPr>
          <w:i/>
          <w:iCs/>
          <w:u w:val="single"/>
          <w:lang w:eastAsia="en-AU"/>
        </w:rPr>
        <w:t xml:space="preserve">ank </w:t>
      </w:r>
      <w:r w:rsidR="00E844BD">
        <w:rPr>
          <w:i/>
          <w:iCs/>
          <w:u w:val="single"/>
          <w:lang w:eastAsia="en-AU"/>
        </w:rPr>
        <w:t>a</w:t>
      </w:r>
      <w:r w:rsidRPr="00072448">
        <w:rPr>
          <w:i/>
          <w:iCs/>
          <w:u w:val="single"/>
          <w:lang w:eastAsia="en-AU"/>
        </w:rPr>
        <w:t>bundance</w:t>
      </w:r>
    </w:p>
    <w:p w14:paraId="4ECF17BD" w14:textId="3499E4B6" w:rsidR="005C3CDB" w:rsidRDefault="005C3CDB" w:rsidP="00072448">
      <w:pPr>
        <w:rPr>
          <w:lang w:val="en-US"/>
        </w:rPr>
      </w:pPr>
      <w:r w:rsidRPr="00366994">
        <w:rPr>
          <w:lang w:val="en-US"/>
        </w:rPr>
        <w:t>Overall Lock 1 had the highest seedling density (5</w:t>
      </w:r>
      <w:r w:rsidR="00E844BD">
        <w:rPr>
          <w:lang w:val="en-US"/>
        </w:rPr>
        <w:t>,</w:t>
      </w:r>
      <w:r w:rsidRPr="00366994">
        <w:rPr>
          <w:lang w:val="en-US"/>
        </w:rPr>
        <w:t>489 germinants m</w:t>
      </w:r>
      <w:r w:rsidRPr="00366994">
        <w:rPr>
          <w:vertAlign w:val="superscript"/>
          <w:lang w:val="en-US"/>
        </w:rPr>
        <w:t>-2</w:t>
      </w:r>
      <w:r w:rsidRPr="00366994">
        <w:rPr>
          <w:lang w:val="en-US"/>
        </w:rPr>
        <w:t>), followed by Lock 6 (3</w:t>
      </w:r>
      <w:r w:rsidR="008F1D94">
        <w:rPr>
          <w:lang w:val="en-US"/>
        </w:rPr>
        <w:t>,</w:t>
      </w:r>
      <w:r w:rsidRPr="00366994">
        <w:rPr>
          <w:lang w:val="en-US"/>
        </w:rPr>
        <w:t>703 germinants m</w:t>
      </w:r>
      <w:r w:rsidRPr="00366994">
        <w:rPr>
          <w:vertAlign w:val="superscript"/>
          <w:lang w:val="en-US"/>
        </w:rPr>
        <w:t>-2</w:t>
      </w:r>
      <w:r>
        <w:rPr>
          <w:lang w:val="en-US"/>
        </w:rPr>
        <w:t xml:space="preserve">) </w:t>
      </w:r>
      <w:r w:rsidRPr="00366994">
        <w:rPr>
          <w:lang w:val="en-US"/>
        </w:rPr>
        <w:t>and then Lock 4 (1</w:t>
      </w:r>
      <w:r w:rsidR="00E844BD">
        <w:rPr>
          <w:lang w:val="en-US"/>
        </w:rPr>
        <w:t>,</w:t>
      </w:r>
      <w:r w:rsidRPr="00366994">
        <w:rPr>
          <w:lang w:val="en-US"/>
        </w:rPr>
        <w:t>128 germinants m</w:t>
      </w:r>
      <w:r w:rsidRPr="00366994">
        <w:rPr>
          <w:vertAlign w:val="superscript"/>
          <w:lang w:val="en-US"/>
        </w:rPr>
        <w:t>-2</w:t>
      </w:r>
      <w:r w:rsidRPr="00366994">
        <w:rPr>
          <w:lang w:val="en-US"/>
        </w:rPr>
        <w:t>)</w:t>
      </w:r>
      <w:r>
        <w:rPr>
          <w:lang w:val="en-US"/>
        </w:rPr>
        <w:t xml:space="preserve"> (</w:t>
      </w:r>
      <w:r w:rsidR="005E02A7">
        <w:rPr>
          <w:lang w:val="en-US"/>
        </w:rPr>
        <w:t>Figure E1</w:t>
      </w:r>
      <w:r>
        <w:rPr>
          <w:lang w:val="en-US"/>
        </w:rPr>
        <w:t xml:space="preserve">) but </w:t>
      </w:r>
      <w:r w:rsidRPr="00366994">
        <w:rPr>
          <w:lang w:val="en-US"/>
        </w:rPr>
        <w:t>Lock 6 recorded the highest of exotic</w:t>
      </w:r>
      <w:r>
        <w:rPr>
          <w:lang w:val="en-US"/>
        </w:rPr>
        <w:t xml:space="preserve"> germinant density</w:t>
      </w:r>
      <w:r w:rsidRPr="00366994">
        <w:rPr>
          <w:lang w:val="en-US"/>
        </w:rPr>
        <w:t xml:space="preserve"> (</w:t>
      </w:r>
      <w:r>
        <w:rPr>
          <w:lang w:val="en-US"/>
        </w:rPr>
        <w:t>predominantly</w:t>
      </w:r>
      <w:r w:rsidRPr="00366994">
        <w:rPr>
          <w:lang w:val="en-US"/>
        </w:rPr>
        <w:t xml:space="preserve"> </w:t>
      </w:r>
      <w:r w:rsidRPr="00366994">
        <w:rPr>
          <w:i/>
          <w:iCs/>
          <w:lang w:val="en-US"/>
        </w:rPr>
        <w:t>H</w:t>
      </w:r>
      <w:r>
        <w:rPr>
          <w:i/>
          <w:iCs/>
          <w:lang w:val="en-US"/>
        </w:rPr>
        <w:t>eliotropium</w:t>
      </w:r>
      <w:r w:rsidRPr="00366994">
        <w:rPr>
          <w:i/>
          <w:iCs/>
          <w:lang w:val="en-US"/>
        </w:rPr>
        <w:t xml:space="preserve"> curassavicum</w:t>
      </w:r>
      <w:r w:rsidRPr="00366994">
        <w:rPr>
          <w:lang w:val="en-US"/>
        </w:rPr>
        <w:t>)</w:t>
      </w:r>
      <w:r>
        <w:rPr>
          <w:lang w:val="en-US"/>
        </w:rPr>
        <w:t xml:space="preserve"> followed by Lock 1 then Lock 4. However, PERMANOVA detected no significant difference between sites, elevations, or a significant interaction </w:t>
      </w:r>
      <w:r w:rsidR="005E02A7">
        <w:rPr>
          <w:lang w:val="en-US"/>
        </w:rPr>
        <w:t>(Table E</w:t>
      </w:r>
      <w:r w:rsidR="00404EDB">
        <w:rPr>
          <w:lang w:val="en-US"/>
        </w:rPr>
        <w:t>2</w:t>
      </w:r>
      <w:r w:rsidR="005E02A7">
        <w:rPr>
          <w:lang w:val="en-US"/>
        </w:rPr>
        <w:t>)</w:t>
      </w:r>
      <w:r>
        <w:rPr>
          <w:lang w:val="en-US"/>
        </w:rPr>
        <w:t>.</w:t>
      </w:r>
    </w:p>
    <w:p w14:paraId="79CEA013" w14:textId="77777777" w:rsidR="005C3CDB" w:rsidRPr="00747908" w:rsidRDefault="005C3CDB" w:rsidP="005C3CDB">
      <w:pPr>
        <w:spacing w:line="360" w:lineRule="auto"/>
        <w:rPr>
          <w:b/>
          <w:bCs/>
          <w:szCs w:val="21"/>
        </w:rPr>
      </w:pPr>
    </w:p>
    <w:p w14:paraId="06DFE0C2" w14:textId="77777777" w:rsidR="005C3CDB" w:rsidRDefault="005C3CDB" w:rsidP="005C3CDB">
      <w:pPr>
        <w:keepNext/>
      </w:pPr>
      <w:r w:rsidRPr="00366994">
        <w:rPr>
          <w:noProof/>
          <w:szCs w:val="21"/>
        </w:rPr>
        <w:drawing>
          <wp:inline distT="0" distB="0" distL="0" distR="0" wp14:anchorId="7CFF3F01" wp14:editId="67210272">
            <wp:extent cx="5638394" cy="3415145"/>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698434" cy="3451511"/>
                    </a:xfrm>
                    <a:prstGeom prst="rect">
                      <a:avLst/>
                    </a:prstGeom>
                    <a:noFill/>
                    <a:ln>
                      <a:noFill/>
                    </a:ln>
                  </pic:spPr>
                </pic:pic>
              </a:graphicData>
            </a:graphic>
          </wp:inline>
        </w:drawing>
      </w:r>
    </w:p>
    <w:p w14:paraId="55BE1CA9" w14:textId="064804A5" w:rsidR="005C3CDB" w:rsidRDefault="005C3CDB" w:rsidP="005E02A7">
      <w:pPr>
        <w:pStyle w:val="Captions"/>
        <w:rPr>
          <w:i/>
          <w:iCs/>
        </w:rPr>
      </w:pPr>
      <w:bookmarkStart w:id="436" w:name="_Ref87279557"/>
      <w:bookmarkStart w:id="437" w:name="_Toc86911582"/>
      <w:r w:rsidRPr="00082708">
        <w:t>Figure</w:t>
      </w:r>
      <w:bookmarkEnd w:id="436"/>
      <w:r w:rsidR="005E02A7">
        <w:rPr>
          <w:i/>
          <w:iCs/>
        </w:rPr>
        <w:t xml:space="preserve"> </w:t>
      </w:r>
      <w:r w:rsidR="005E02A7">
        <w:t>E1</w:t>
      </w:r>
      <w:r w:rsidR="00072448">
        <w:t>.</w:t>
      </w:r>
      <w:r w:rsidRPr="00082708">
        <w:t xml:space="preserve"> Mean seedling density in the littoral zones downstream of </w:t>
      </w:r>
      <w:r w:rsidR="002727EF">
        <w:t>L</w:t>
      </w:r>
      <w:r w:rsidRPr="00082708">
        <w:t>ocks 1, 4 and 6 (error bars ± 1 standard error).</w:t>
      </w:r>
      <w:bookmarkEnd w:id="437"/>
    </w:p>
    <w:p w14:paraId="78A49D3B" w14:textId="77777777" w:rsidR="002727EF" w:rsidRDefault="002727EF" w:rsidP="005E02A7">
      <w:pPr>
        <w:pStyle w:val="Captions"/>
        <w:rPr>
          <w:sz w:val="21"/>
          <w:szCs w:val="21"/>
        </w:rPr>
      </w:pPr>
      <w:bookmarkStart w:id="438" w:name="_Ref87283564"/>
    </w:p>
    <w:p w14:paraId="1351E889" w14:textId="77777777" w:rsidR="002727EF" w:rsidRDefault="002727EF">
      <w:pPr>
        <w:spacing w:before="0" w:after="160" w:line="259" w:lineRule="auto"/>
        <w:jc w:val="left"/>
        <w:rPr>
          <w:rFonts w:eastAsia="MS Mincho" w:cs="Arial"/>
          <w:b/>
          <w:bCs/>
          <w:color w:val="auto"/>
          <w:kern w:val="0"/>
          <w:szCs w:val="21"/>
          <w:lang w:val="en-US"/>
        </w:rPr>
      </w:pPr>
      <w:r>
        <w:rPr>
          <w:szCs w:val="21"/>
        </w:rPr>
        <w:br w:type="page"/>
      </w:r>
    </w:p>
    <w:p w14:paraId="795E6358" w14:textId="774B57AB" w:rsidR="005C3CDB" w:rsidRPr="00747908" w:rsidRDefault="005C3CDB" w:rsidP="005E02A7">
      <w:pPr>
        <w:pStyle w:val="Captions"/>
        <w:rPr>
          <w:sz w:val="21"/>
          <w:szCs w:val="21"/>
        </w:rPr>
      </w:pPr>
      <w:r w:rsidRPr="00747908">
        <w:rPr>
          <w:sz w:val="21"/>
          <w:szCs w:val="21"/>
        </w:rPr>
        <w:t>Table</w:t>
      </w:r>
      <w:bookmarkEnd w:id="438"/>
      <w:r w:rsidR="005E02A7">
        <w:rPr>
          <w:szCs w:val="21"/>
        </w:rPr>
        <w:t xml:space="preserve"> E</w:t>
      </w:r>
      <w:r w:rsidR="00404EDB">
        <w:rPr>
          <w:szCs w:val="21"/>
        </w:rPr>
        <w:t>2</w:t>
      </w:r>
      <w:r w:rsidR="005E02A7">
        <w:rPr>
          <w:szCs w:val="21"/>
        </w:rPr>
        <w:t>.</w:t>
      </w:r>
      <w:r w:rsidRPr="00747908">
        <w:rPr>
          <w:sz w:val="21"/>
          <w:szCs w:val="21"/>
        </w:rPr>
        <w:t xml:space="preserve"> </w:t>
      </w:r>
      <w:r w:rsidRPr="00747908">
        <w:t xml:space="preserve">PERMANOVA results comparing </w:t>
      </w:r>
      <w:r>
        <w:t>germinant</w:t>
      </w:r>
      <w:r w:rsidRPr="00747908">
        <w:t xml:space="preserve"> at different elevations</w:t>
      </w:r>
      <w:r>
        <w:t xml:space="preserve"> in the littoral zone</w:t>
      </w:r>
      <w:r w:rsidRPr="00747908">
        <w:t xml:space="preserve"> at sites below Locks 1, 4 and 6 on the</w:t>
      </w:r>
      <w:r>
        <w:t xml:space="preserve"> Lower</w:t>
      </w:r>
      <w:r w:rsidRPr="00747908">
        <w:t xml:space="preserve"> Murray River.</w:t>
      </w:r>
    </w:p>
    <w:tbl>
      <w:tblPr>
        <w:tblStyle w:val="TableGrid"/>
        <w:tblW w:w="0" w:type="auto"/>
        <w:jc w:val="center"/>
        <w:tblLook w:val="04A0" w:firstRow="1" w:lastRow="0" w:firstColumn="1" w:lastColumn="0" w:noHBand="0" w:noVBand="1"/>
      </w:tblPr>
      <w:tblGrid>
        <w:gridCol w:w="1928"/>
        <w:gridCol w:w="1169"/>
        <w:gridCol w:w="1247"/>
        <w:gridCol w:w="992"/>
      </w:tblGrid>
      <w:tr w:rsidR="005C3CDB" w14:paraId="173E3A20" w14:textId="77777777" w:rsidTr="002727EF">
        <w:trPr>
          <w:jc w:val="center"/>
        </w:trPr>
        <w:tc>
          <w:tcPr>
            <w:tcW w:w="1928" w:type="dxa"/>
          </w:tcPr>
          <w:p w14:paraId="35163303" w14:textId="77777777" w:rsidR="005C3CDB" w:rsidRPr="005A707D" w:rsidRDefault="005C3CDB" w:rsidP="005E02A7">
            <w:pPr>
              <w:keepNext/>
              <w:spacing w:line="360" w:lineRule="auto"/>
              <w:contextualSpacing/>
              <w:rPr>
                <w:b/>
                <w:bCs/>
              </w:rPr>
            </w:pPr>
            <w:r w:rsidRPr="005A707D">
              <w:rPr>
                <w:b/>
                <w:bCs/>
              </w:rPr>
              <w:t>Factor</w:t>
            </w:r>
          </w:p>
        </w:tc>
        <w:tc>
          <w:tcPr>
            <w:tcW w:w="1169" w:type="dxa"/>
          </w:tcPr>
          <w:p w14:paraId="2FAFC04D" w14:textId="77777777" w:rsidR="005C3CDB" w:rsidRPr="005A707D" w:rsidRDefault="005C3CDB" w:rsidP="005E02A7">
            <w:pPr>
              <w:keepNext/>
              <w:spacing w:line="360" w:lineRule="auto"/>
              <w:contextualSpacing/>
              <w:rPr>
                <w:b/>
                <w:bCs/>
                <w:i/>
                <w:iCs/>
              </w:rPr>
            </w:pPr>
            <w:r w:rsidRPr="005A707D">
              <w:rPr>
                <w:b/>
                <w:bCs/>
                <w:i/>
                <w:iCs/>
              </w:rPr>
              <w:t>df</w:t>
            </w:r>
          </w:p>
        </w:tc>
        <w:tc>
          <w:tcPr>
            <w:tcW w:w="1247" w:type="dxa"/>
          </w:tcPr>
          <w:p w14:paraId="04710505" w14:textId="77777777" w:rsidR="005C3CDB" w:rsidRPr="005A707D" w:rsidRDefault="005C3CDB" w:rsidP="005E02A7">
            <w:pPr>
              <w:keepNext/>
              <w:spacing w:line="360" w:lineRule="auto"/>
              <w:contextualSpacing/>
              <w:rPr>
                <w:b/>
                <w:bCs/>
                <w:i/>
                <w:iCs/>
              </w:rPr>
            </w:pPr>
            <w:r w:rsidRPr="005A707D">
              <w:rPr>
                <w:b/>
                <w:bCs/>
                <w:i/>
                <w:iCs/>
              </w:rPr>
              <w:t>Pseudo-F</w:t>
            </w:r>
          </w:p>
        </w:tc>
        <w:tc>
          <w:tcPr>
            <w:tcW w:w="992" w:type="dxa"/>
          </w:tcPr>
          <w:p w14:paraId="7EDA4962" w14:textId="77777777" w:rsidR="005C3CDB" w:rsidRPr="005A707D" w:rsidRDefault="005C3CDB" w:rsidP="005E02A7">
            <w:pPr>
              <w:keepNext/>
              <w:spacing w:line="360" w:lineRule="auto"/>
              <w:contextualSpacing/>
              <w:rPr>
                <w:b/>
                <w:bCs/>
                <w:i/>
                <w:iCs/>
              </w:rPr>
            </w:pPr>
            <w:r w:rsidRPr="005A707D">
              <w:rPr>
                <w:b/>
                <w:bCs/>
                <w:i/>
                <w:iCs/>
              </w:rPr>
              <w:t>P</w:t>
            </w:r>
          </w:p>
        </w:tc>
      </w:tr>
      <w:tr w:rsidR="005C3CDB" w14:paraId="645C5CCF" w14:textId="77777777" w:rsidTr="002727EF">
        <w:trPr>
          <w:jc w:val="center"/>
        </w:trPr>
        <w:tc>
          <w:tcPr>
            <w:tcW w:w="1928" w:type="dxa"/>
          </w:tcPr>
          <w:p w14:paraId="4948AB7A" w14:textId="77777777" w:rsidR="005C3CDB" w:rsidRDefault="005C3CDB" w:rsidP="005E02A7">
            <w:pPr>
              <w:keepNext/>
              <w:spacing w:line="360" w:lineRule="auto"/>
              <w:contextualSpacing/>
            </w:pPr>
            <w:r>
              <w:t>Lock</w:t>
            </w:r>
          </w:p>
        </w:tc>
        <w:tc>
          <w:tcPr>
            <w:tcW w:w="1169" w:type="dxa"/>
          </w:tcPr>
          <w:p w14:paraId="03E73699" w14:textId="77777777" w:rsidR="005C3CDB" w:rsidRDefault="005C3CDB" w:rsidP="005E02A7">
            <w:pPr>
              <w:keepNext/>
              <w:spacing w:line="360" w:lineRule="auto"/>
              <w:contextualSpacing/>
            </w:pPr>
            <w:r>
              <w:t>2, 197</w:t>
            </w:r>
          </w:p>
        </w:tc>
        <w:tc>
          <w:tcPr>
            <w:tcW w:w="1247" w:type="dxa"/>
          </w:tcPr>
          <w:p w14:paraId="582645CD" w14:textId="77777777" w:rsidR="005C3CDB" w:rsidRDefault="005C3CDB" w:rsidP="005E02A7">
            <w:pPr>
              <w:keepNext/>
              <w:spacing w:line="360" w:lineRule="auto"/>
              <w:contextualSpacing/>
            </w:pPr>
            <w:r>
              <w:t>1.88</w:t>
            </w:r>
          </w:p>
        </w:tc>
        <w:tc>
          <w:tcPr>
            <w:tcW w:w="992" w:type="dxa"/>
          </w:tcPr>
          <w:p w14:paraId="4F50A87B" w14:textId="77777777" w:rsidR="005C3CDB" w:rsidRDefault="005C3CDB" w:rsidP="005E02A7">
            <w:pPr>
              <w:keepNext/>
              <w:spacing w:line="360" w:lineRule="auto"/>
              <w:contextualSpacing/>
            </w:pPr>
            <w:r>
              <w:t>0.131</w:t>
            </w:r>
          </w:p>
        </w:tc>
      </w:tr>
      <w:tr w:rsidR="005C3CDB" w14:paraId="348BC5B7" w14:textId="77777777" w:rsidTr="002727EF">
        <w:trPr>
          <w:jc w:val="center"/>
        </w:trPr>
        <w:tc>
          <w:tcPr>
            <w:tcW w:w="1928" w:type="dxa"/>
          </w:tcPr>
          <w:p w14:paraId="46616124" w14:textId="77777777" w:rsidR="005C3CDB" w:rsidRDefault="005C3CDB" w:rsidP="005E02A7">
            <w:pPr>
              <w:keepNext/>
              <w:spacing w:line="360" w:lineRule="auto"/>
              <w:contextualSpacing/>
            </w:pPr>
            <w:r>
              <w:t>Elevation</w:t>
            </w:r>
          </w:p>
        </w:tc>
        <w:tc>
          <w:tcPr>
            <w:tcW w:w="1169" w:type="dxa"/>
          </w:tcPr>
          <w:p w14:paraId="20D88A28" w14:textId="77777777" w:rsidR="005C3CDB" w:rsidRDefault="005C3CDB" w:rsidP="005E02A7">
            <w:pPr>
              <w:keepNext/>
              <w:spacing w:line="360" w:lineRule="auto"/>
              <w:contextualSpacing/>
            </w:pPr>
            <w:r>
              <w:t>10, 197</w:t>
            </w:r>
          </w:p>
        </w:tc>
        <w:tc>
          <w:tcPr>
            <w:tcW w:w="1247" w:type="dxa"/>
          </w:tcPr>
          <w:p w14:paraId="2E38DF79" w14:textId="77777777" w:rsidR="005C3CDB" w:rsidRDefault="005C3CDB" w:rsidP="005E02A7">
            <w:pPr>
              <w:keepNext/>
              <w:spacing w:line="360" w:lineRule="auto"/>
              <w:contextualSpacing/>
            </w:pPr>
            <w:r>
              <w:t>0.90</w:t>
            </w:r>
          </w:p>
        </w:tc>
        <w:tc>
          <w:tcPr>
            <w:tcW w:w="992" w:type="dxa"/>
          </w:tcPr>
          <w:p w14:paraId="56E1EE9C" w14:textId="77777777" w:rsidR="005C3CDB" w:rsidRDefault="005C3CDB" w:rsidP="005E02A7">
            <w:pPr>
              <w:keepNext/>
              <w:spacing w:line="360" w:lineRule="auto"/>
              <w:contextualSpacing/>
            </w:pPr>
            <w:r>
              <w:t>0.501</w:t>
            </w:r>
          </w:p>
        </w:tc>
      </w:tr>
      <w:tr w:rsidR="005C3CDB" w14:paraId="5D6488CE" w14:textId="77777777" w:rsidTr="002727EF">
        <w:trPr>
          <w:jc w:val="center"/>
        </w:trPr>
        <w:tc>
          <w:tcPr>
            <w:tcW w:w="1928" w:type="dxa"/>
          </w:tcPr>
          <w:p w14:paraId="712CDEA9" w14:textId="77777777" w:rsidR="005C3CDB" w:rsidRDefault="005C3CDB" w:rsidP="005E02A7">
            <w:pPr>
              <w:keepNext/>
              <w:spacing w:line="360" w:lineRule="auto"/>
              <w:contextualSpacing/>
            </w:pPr>
            <w:r>
              <w:t>Lock x Elevation</w:t>
            </w:r>
          </w:p>
        </w:tc>
        <w:tc>
          <w:tcPr>
            <w:tcW w:w="1169" w:type="dxa"/>
          </w:tcPr>
          <w:p w14:paraId="6166E9C9" w14:textId="77777777" w:rsidR="005C3CDB" w:rsidRDefault="005C3CDB" w:rsidP="005E02A7">
            <w:pPr>
              <w:keepNext/>
              <w:spacing w:line="360" w:lineRule="auto"/>
              <w:contextualSpacing/>
            </w:pPr>
            <w:r>
              <w:t>20, 197</w:t>
            </w:r>
          </w:p>
        </w:tc>
        <w:tc>
          <w:tcPr>
            <w:tcW w:w="1247" w:type="dxa"/>
          </w:tcPr>
          <w:p w14:paraId="4423AF8B" w14:textId="77777777" w:rsidR="005C3CDB" w:rsidRDefault="005C3CDB" w:rsidP="005E02A7">
            <w:pPr>
              <w:keepNext/>
              <w:spacing w:line="360" w:lineRule="auto"/>
              <w:contextualSpacing/>
            </w:pPr>
            <w:r>
              <w:t>1.11</w:t>
            </w:r>
          </w:p>
        </w:tc>
        <w:tc>
          <w:tcPr>
            <w:tcW w:w="992" w:type="dxa"/>
          </w:tcPr>
          <w:p w14:paraId="28123413" w14:textId="77777777" w:rsidR="005C3CDB" w:rsidRDefault="005C3CDB" w:rsidP="005E02A7">
            <w:pPr>
              <w:keepNext/>
              <w:spacing w:line="360" w:lineRule="auto"/>
              <w:contextualSpacing/>
            </w:pPr>
            <w:r>
              <w:t>0.284</w:t>
            </w:r>
          </w:p>
        </w:tc>
      </w:tr>
    </w:tbl>
    <w:p w14:paraId="7BB23E63" w14:textId="6EE3CE87" w:rsidR="005C3CDB" w:rsidRPr="00E844BD" w:rsidRDefault="005C3CDB" w:rsidP="00E844BD">
      <w:pPr>
        <w:rPr>
          <w:i/>
          <w:iCs/>
          <w:u w:val="single"/>
          <w:lang w:val="en-US"/>
        </w:rPr>
      </w:pPr>
      <w:r w:rsidRPr="00E844BD">
        <w:rPr>
          <w:i/>
          <w:iCs/>
          <w:u w:val="single"/>
          <w:lang w:val="en-US"/>
        </w:rPr>
        <w:t xml:space="preserve">Germinable </w:t>
      </w:r>
      <w:r w:rsidR="00E844BD">
        <w:rPr>
          <w:i/>
          <w:iCs/>
          <w:u w:val="single"/>
          <w:lang w:val="en-US"/>
        </w:rPr>
        <w:t>s</w:t>
      </w:r>
      <w:r w:rsidRPr="00E844BD">
        <w:rPr>
          <w:i/>
          <w:iCs/>
          <w:u w:val="single"/>
          <w:lang w:val="en-US"/>
        </w:rPr>
        <w:t xml:space="preserve">eed </w:t>
      </w:r>
      <w:r w:rsidR="00E844BD">
        <w:rPr>
          <w:i/>
          <w:iCs/>
          <w:u w:val="single"/>
          <w:lang w:val="en-US"/>
        </w:rPr>
        <w:t>b</w:t>
      </w:r>
      <w:r w:rsidRPr="00E844BD">
        <w:rPr>
          <w:i/>
          <w:iCs/>
          <w:u w:val="single"/>
          <w:lang w:val="en-US"/>
        </w:rPr>
        <w:t xml:space="preserve">ank </w:t>
      </w:r>
      <w:r w:rsidR="00E844BD">
        <w:rPr>
          <w:i/>
          <w:iCs/>
          <w:u w:val="single"/>
          <w:lang w:val="en-US"/>
        </w:rPr>
        <w:t>s</w:t>
      </w:r>
      <w:r w:rsidRPr="00E844BD">
        <w:rPr>
          <w:i/>
          <w:iCs/>
          <w:u w:val="single"/>
          <w:lang w:val="en-US"/>
        </w:rPr>
        <w:t xml:space="preserve">pecies </w:t>
      </w:r>
      <w:r w:rsidR="00E844BD">
        <w:rPr>
          <w:i/>
          <w:iCs/>
          <w:u w:val="single"/>
          <w:lang w:val="en-US"/>
        </w:rPr>
        <w:t>r</w:t>
      </w:r>
      <w:r w:rsidRPr="00E844BD">
        <w:rPr>
          <w:i/>
          <w:iCs/>
          <w:u w:val="single"/>
          <w:lang w:val="en-US"/>
        </w:rPr>
        <w:t xml:space="preserve">ichness </w:t>
      </w:r>
    </w:p>
    <w:p w14:paraId="0E003721" w14:textId="36A393B6" w:rsidR="005C3CDB" w:rsidRDefault="005C3CDB" w:rsidP="005C3CDB">
      <w:pPr>
        <w:rPr>
          <w:rFonts w:cs="Arial"/>
          <w:lang w:eastAsia="en-AU"/>
        </w:rPr>
      </w:pPr>
      <w:r w:rsidRPr="00366994">
        <w:rPr>
          <w:lang w:val="en-US"/>
        </w:rPr>
        <w:t xml:space="preserve">A total of 26 </w:t>
      </w:r>
      <w:r>
        <w:rPr>
          <w:lang w:val="en-US"/>
        </w:rPr>
        <w:t>taxa</w:t>
      </w:r>
      <w:r w:rsidRPr="00366994">
        <w:rPr>
          <w:lang w:val="en-US"/>
        </w:rPr>
        <w:t xml:space="preserve"> (including nine exotic species) were recorded across all sites and elevations</w:t>
      </w:r>
      <w:r w:rsidR="00AA33DC">
        <w:rPr>
          <w:lang w:val="en-US"/>
        </w:rPr>
        <w:t xml:space="preserve"> (Table E3)</w:t>
      </w:r>
      <w:r w:rsidRPr="00366994">
        <w:rPr>
          <w:lang w:val="en-US"/>
        </w:rPr>
        <w:t xml:space="preserve">. Downstream of Lock 1 </w:t>
      </w:r>
      <w:r>
        <w:rPr>
          <w:lang w:val="en-US"/>
        </w:rPr>
        <w:t>had</w:t>
      </w:r>
      <w:r w:rsidRPr="00366994">
        <w:rPr>
          <w:lang w:val="en-US"/>
        </w:rPr>
        <w:t xml:space="preserve"> the highest species richness with 18 taxa recorded (including five exotics), 16 </w:t>
      </w:r>
      <w:r>
        <w:rPr>
          <w:lang w:val="en-US"/>
        </w:rPr>
        <w:t>taxa</w:t>
      </w:r>
      <w:r w:rsidRPr="00366994">
        <w:rPr>
          <w:lang w:val="en-US"/>
        </w:rPr>
        <w:t xml:space="preserve"> (including 4 exotics) were recorded downstream of Lock 6 and 13 </w:t>
      </w:r>
      <w:r>
        <w:rPr>
          <w:lang w:val="en-US"/>
        </w:rPr>
        <w:t>taxa</w:t>
      </w:r>
      <w:r w:rsidRPr="00366994">
        <w:rPr>
          <w:lang w:val="en-US"/>
        </w:rPr>
        <w:t xml:space="preserve"> (including 6 exotics) were recorded downstream of Lock 4</w:t>
      </w:r>
      <w:r>
        <w:rPr>
          <w:lang w:val="en-US"/>
        </w:rPr>
        <w:t xml:space="preserve"> </w:t>
      </w:r>
      <w:r w:rsidR="005E02A7">
        <w:rPr>
          <w:lang w:val="en-US"/>
        </w:rPr>
        <w:t>(Figure E2)</w:t>
      </w:r>
      <w:r w:rsidRPr="00366994">
        <w:rPr>
          <w:lang w:val="en-US"/>
        </w:rPr>
        <w:t xml:space="preserve">. </w:t>
      </w:r>
      <w:r>
        <w:rPr>
          <w:lang w:val="en-US"/>
        </w:rPr>
        <w:t xml:space="preserve">Native taxa </w:t>
      </w:r>
      <w:r w:rsidRPr="00366994">
        <w:rPr>
          <w:lang w:val="en-US"/>
        </w:rPr>
        <w:t>recorded a</w:t>
      </w:r>
      <w:r>
        <w:rPr>
          <w:lang w:val="en-US"/>
        </w:rPr>
        <w:t>t</w:t>
      </w:r>
      <w:r w:rsidRPr="00366994">
        <w:rPr>
          <w:lang w:val="en-US"/>
        </w:rPr>
        <w:t xml:space="preserve"> all sites </w:t>
      </w:r>
      <w:r>
        <w:rPr>
          <w:lang w:val="en-US"/>
        </w:rPr>
        <w:t>were</w:t>
      </w:r>
      <w:r w:rsidRPr="00366994">
        <w:rPr>
          <w:lang w:val="en-US"/>
        </w:rPr>
        <w:t xml:space="preserve"> </w:t>
      </w:r>
      <w:r w:rsidRPr="00366994">
        <w:rPr>
          <w:i/>
          <w:iCs/>
          <w:lang w:val="en-US"/>
        </w:rPr>
        <w:t>Sphaeromorphaea littoralis</w:t>
      </w:r>
      <w:r w:rsidRPr="00366994">
        <w:rPr>
          <w:lang w:val="en-US"/>
        </w:rPr>
        <w:t xml:space="preserve">, </w:t>
      </w:r>
      <w:r w:rsidRPr="00366994">
        <w:rPr>
          <w:i/>
          <w:iCs/>
          <w:lang w:val="en-US"/>
        </w:rPr>
        <w:t>Stemodia florulenta</w:t>
      </w:r>
      <w:r w:rsidRPr="00366994">
        <w:rPr>
          <w:lang w:val="en-US"/>
        </w:rPr>
        <w:t>,</w:t>
      </w:r>
      <w:r>
        <w:rPr>
          <w:lang w:val="en-US"/>
        </w:rPr>
        <w:t xml:space="preserve"> </w:t>
      </w:r>
      <w:r w:rsidRPr="00227D8D">
        <w:rPr>
          <w:i/>
          <w:iCs/>
          <w:lang w:val="en-US"/>
        </w:rPr>
        <w:t>Sporobolus mitchelli, Einadia nutans, Centipeda minima</w:t>
      </w:r>
      <w:r>
        <w:rPr>
          <w:lang w:val="en-US"/>
        </w:rPr>
        <w:t>,</w:t>
      </w:r>
      <w:r w:rsidRPr="00366994">
        <w:rPr>
          <w:lang w:val="en-US"/>
        </w:rPr>
        <w:t xml:space="preserve"> </w:t>
      </w:r>
      <w:r w:rsidRPr="00366994">
        <w:rPr>
          <w:i/>
          <w:iCs/>
          <w:lang w:val="en-US"/>
        </w:rPr>
        <w:t>Cyperus gymnocaulos</w:t>
      </w:r>
      <w:r w:rsidRPr="00366994">
        <w:rPr>
          <w:lang w:val="en-US"/>
        </w:rPr>
        <w:t xml:space="preserve"> and </w:t>
      </w:r>
      <w:r w:rsidRPr="00366994">
        <w:rPr>
          <w:i/>
          <w:iCs/>
          <w:lang w:val="en-US"/>
        </w:rPr>
        <w:t>Alternanthera denticulata</w:t>
      </w:r>
      <w:r w:rsidRPr="00227D8D">
        <w:rPr>
          <w:i/>
          <w:iCs/>
          <w:lang w:val="en-US"/>
        </w:rPr>
        <w:t xml:space="preserve">. </w:t>
      </w:r>
      <w:r w:rsidRPr="00227D8D">
        <w:rPr>
          <w:lang w:val="en-US"/>
        </w:rPr>
        <w:t xml:space="preserve">The nine exotic taxa recorded were </w:t>
      </w:r>
      <w:r w:rsidRPr="00227D8D">
        <w:rPr>
          <w:i/>
          <w:iCs/>
          <w:lang w:val="en-US"/>
        </w:rPr>
        <w:t>Symphyotrichum subulatum</w:t>
      </w:r>
      <w:r w:rsidRPr="00227D8D">
        <w:rPr>
          <w:lang w:val="en-US"/>
        </w:rPr>
        <w:t xml:space="preserve">, </w:t>
      </w:r>
      <w:r w:rsidRPr="00227D8D">
        <w:rPr>
          <w:rFonts w:cs="Arial"/>
          <w:i/>
          <w:iCs/>
          <w:lang w:eastAsia="en-AU"/>
        </w:rPr>
        <w:t>Heliotropium curassavicum</w:t>
      </w:r>
      <w:r w:rsidRPr="00227D8D">
        <w:rPr>
          <w:rFonts w:cs="Arial"/>
          <w:lang w:eastAsia="en-AU"/>
        </w:rPr>
        <w:t xml:space="preserve">, </w:t>
      </w:r>
      <w:r w:rsidRPr="00227D8D">
        <w:rPr>
          <w:rFonts w:cs="Arial"/>
          <w:i/>
          <w:iCs/>
          <w:lang w:eastAsia="en-AU"/>
        </w:rPr>
        <w:t>Medicago</w:t>
      </w:r>
      <w:r w:rsidRPr="00227D8D">
        <w:rPr>
          <w:rFonts w:cs="Arial"/>
          <w:lang w:eastAsia="en-AU"/>
        </w:rPr>
        <w:t xml:space="preserve">, </w:t>
      </w:r>
      <w:r w:rsidRPr="00227D8D">
        <w:rPr>
          <w:rFonts w:cs="Arial"/>
          <w:i/>
          <w:iCs/>
          <w:lang w:eastAsia="en-AU"/>
        </w:rPr>
        <w:t>Spergularia marina</w:t>
      </w:r>
      <w:r>
        <w:rPr>
          <w:rFonts w:cs="Arial"/>
          <w:lang w:eastAsia="en-AU"/>
        </w:rPr>
        <w:t xml:space="preserve">, </w:t>
      </w:r>
      <w:r w:rsidRPr="008F287A">
        <w:rPr>
          <w:rFonts w:cs="Arial"/>
          <w:i/>
          <w:iCs/>
          <w:lang w:eastAsia="en-AU"/>
        </w:rPr>
        <w:t>Cotula coronopifolia</w:t>
      </w:r>
      <w:r>
        <w:rPr>
          <w:rFonts w:cs="Arial"/>
          <w:lang w:eastAsia="en-AU"/>
        </w:rPr>
        <w:t xml:space="preserve">, </w:t>
      </w:r>
      <w:r w:rsidRPr="00227D8D">
        <w:rPr>
          <w:rFonts w:cs="Arial"/>
          <w:i/>
          <w:iCs/>
          <w:lang w:eastAsia="en-AU"/>
        </w:rPr>
        <w:t>Sonchus</w:t>
      </w:r>
      <w:r>
        <w:rPr>
          <w:rFonts w:cs="Arial"/>
          <w:i/>
          <w:iCs/>
          <w:lang w:eastAsia="en-AU"/>
        </w:rPr>
        <w:t>,</w:t>
      </w:r>
      <w:r w:rsidRPr="00227D8D">
        <w:rPr>
          <w:rFonts w:cs="Arial"/>
          <w:i/>
          <w:iCs/>
          <w:lang w:eastAsia="en-AU"/>
        </w:rPr>
        <w:t xml:space="preserve"> Lolium</w:t>
      </w:r>
      <w:r>
        <w:rPr>
          <w:rFonts w:cs="Arial"/>
          <w:lang w:eastAsia="en-AU"/>
        </w:rPr>
        <w:t xml:space="preserve">, </w:t>
      </w:r>
      <w:r w:rsidRPr="00227D8D">
        <w:rPr>
          <w:rFonts w:cs="Arial"/>
          <w:i/>
          <w:iCs/>
          <w:lang w:eastAsia="en-AU"/>
        </w:rPr>
        <w:t>Verbena supina</w:t>
      </w:r>
      <w:r w:rsidRPr="00227D8D">
        <w:rPr>
          <w:rFonts w:cs="Arial"/>
          <w:lang w:eastAsia="en-AU"/>
        </w:rPr>
        <w:t xml:space="preserve">, and </w:t>
      </w:r>
      <w:r w:rsidRPr="00227D8D">
        <w:rPr>
          <w:rFonts w:cs="Arial"/>
          <w:i/>
          <w:iCs/>
          <w:lang w:eastAsia="en-AU"/>
        </w:rPr>
        <w:t>Xanthium strumarium</w:t>
      </w:r>
      <w:r>
        <w:rPr>
          <w:rFonts w:cs="Arial"/>
          <w:i/>
          <w:iCs/>
          <w:lang w:eastAsia="en-AU"/>
        </w:rPr>
        <w:t xml:space="preserve"> </w:t>
      </w:r>
      <w:r w:rsidR="00404EDB">
        <w:rPr>
          <w:rFonts w:cs="Arial"/>
          <w:lang w:eastAsia="en-AU"/>
        </w:rPr>
        <w:t>(Table E3)</w:t>
      </w:r>
      <w:r w:rsidRPr="00747908">
        <w:rPr>
          <w:rFonts w:cs="Arial"/>
          <w:lang w:eastAsia="en-AU"/>
        </w:rPr>
        <w:t xml:space="preserve">. </w:t>
      </w:r>
    </w:p>
    <w:p w14:paraId="5EE0AF25" w14:textId="77777777" w:rsidR="00190C43" w:rsidRDefault="00190C43" w:rsidP="00404EDB">
      <w:pPr>
        <w:pStyle w:val="Caption"/>
        <w:rPr>
          <w:sz w:val="21"/>
          <w:szCs w:val="21"/>
        </w:rPr>
        <w:sectPr w:rsidR="00190C43" w:rsidSect="005E02A7">
          <w:pgSz w:w="11906" w:h="16838"/>
          <w:pgMar w:top="1440" w:right="1440" w:bottom="1440" w:left="1440" w:header="708" w:footer="708" w:gutter="0"/>
          <w:cols w:space="708"/>
          <w:docGrid w:linePitch="360"/>
        </w:sectPr>
      </w:pPr>
    </w:p>
    <w:p w14:paraId="06F3A1E3" w14:textId="5C8469EE" w:rsidR="00404EDB" w:rsidRPr="00404EDB" w:rsidRDefault="00404EDB" w:rsidP="00404EDB">
      <w:pPr>
        <w:pStyle w:val="Caption"/>
        <w:rPr>
          <w:rFonts w:cstheme="minorHAnsi"/>
          <w:color w:val="000000" w:themeColor="text1"/>
          <w:sz w:val="21"/>
          <w:szCs w:val="21"/>
        </w:rPr>
      </w:pPr>
      <w:r>
        <w:rPr>
          <w:sz w:val="21"/>
          <w:szCs w:val="21"/>
        </w:rPr>
        <w:t>Table E3.</w:t>
      </w:r>
      <w:r w:rsidRPr="00F76B22">
        <w:rPr>
          <w:sz w:val="21"/>
          <w:szCs w:val="21"/>
        </w:rPr>
        <w:t xml:space="preserve"> </w:t>
      </w:r>
      <w:r w:rsidRPr="006960ED">
        <w:rPr>
          <w:rFonts w:cstheme="minorHAnsi"/>
          <w:color w:val="000000" w:themeColor="text1"/>
          <w:sz w:val="21"/>
          <w:szCs w:val="21"/>
        </w:rPr>
        <w:t xml:space="preserve">List of species recorded in the germinable seed bank, including family and life history strategy and conservation status in South Australia (*denotes exotic species, ** denotes proclaimed pest plant in South Australia).  </w:t>
      </w:r>
    </w:p>
    <w:tbl>
      <w:tblPr>
        <w:tblW w:w="13088" w:type="dxa"/>
        <w:tblLook w:val="04A0" w:firstRow="1" w:lastRow="0" w:firstColumn="1" w:lastColumn="0" w:noHBand="0" w:noVBand="1"/>
      </w:tblPr>
      <w:tblGrid>
        <w:gridCol w:w="3256"/>
        <w:gridCol w:w="2080"/>
        <w:gridCol w:w="2314"/>
        <w:gridCol w:w="2409"/>
        <w:gridCol w:w="1045"/>
        <w:gridCol w:w="992"/>
        <w:gridCol w:w="992"/>
      </w:tblGrid>
      <w:tr w:rsidR="00404EDB" w:rsidRPr="00190C43" w14:paraId="69DF0332" w14:textId="77777777" w:rsidTr="00190C43">
        <w:trPr>
          <w:trHeight w:val="283"/>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7EB05"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Taxon</w:t>
            </w:r>
          </w:p>
        </w:tc>
        <w:tc>
          <w:tcPr>
            <w:tcW w:w="2080" w:type="dxa"/>
            <w:tcBorders>
              <w:top w:val="single" w:sz="4" w:space="0" w:color="auto"/>
              <w:left w:val="nil"/>
              <w:bottom w:val="single" w:sz="4" w:space="0" w:color="auto"/>
              <w:right w:val="single" w:sz="4" w:space="0" w:color="auto"/>
            </w:tcBorders>
          </w:tcPr>
          <w:p w14:paraId="28FFEA45"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Family</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B2F88"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Life History Strategy</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14:paraId="19EB65C7"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Conservation Status</w:t>
            </w:r>
          </w:p>
        </w:tc>
        <w:tc>
          <w:tcPr>
            <w:tcW w:w="1045" w:type="dxa"/>
            <w:tcBorders>
              <w:top w:val="single" w:sz="4" w:space="0" w:color="auto"/>
              <w:left w:val="nil"/>
              <w:bottom w:val="single" w:sz="4" w:space="0" w:color="auto"/>
              <w:right w:val="single" w:sz="4" w:space="0" w:color="auto"/>
            </w:tcBorders>
            <w:shd w:val="clear" w:color="auto" w:fill="auto"/>
            <w:noWrap/>
            <w:vAlign w:val="bottom"/>
            <w:hideMark/>
          </w:tcPr>
          <w:p w14:paraId="76AC3006"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 xml:space="preserve">Lock 1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46BB40E1"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Lock 4</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8B4C465" w14:textId="77777777" w:rsidR="00404EDB" w:rsidRPr="00190C43" w:rsidRDefault="00404EDB" w:rsidP="00190C43">
            <w:pPr>
              <w:spacing w:after="0" w:line="240" w:lineRule="auto"/>
              <w:contextualSpacing/>
              <w:jc w:val="center"/>
              <w:rPr>
                <w:rFonts w:cs="Arial"/>
                <w:b/>
                <w:bCs/>
                <w:sz w:val="20"/>
                <w:lang w:eastAsia="en-AU"/>
              </w:rPr>
            </w:pPr>
            <w:r w:rsidRPr="00190C43">
              <w:rPr>
                <w:rFonts w:cs="Arial"/>
                <w:b/>
                <w:bCs/>
                <w:sz w:val="20"/>
                <w:lang w:eastAsia="en-AU"/>
              </w:rPr>
              <w:t>Lock 6</w:t>
            </w:r>
          </w:p>
        </w:tc>
      </w:tr>
      <w:tr w:rsidR="00404EDB" w:rsidRPr="00190C43" w14:paraId="1EB8CDA4"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B8A9152"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Alternanthera denticulata</w:t>
            </w:r>
          </w:p>
        </w:tc>
        <w:tc>
          <w:tcPr>
            <w:tcW w:w="2080" w:type="dxa"/>
            <w:tcBorders>
              <w:top w:val="single" w:sz="4" w:space="0" w:color="auto"/>
              <w:left w:val="nil"/>
              <w:bottom w:val="single" w:sz="4" w:space="0" w:color="auto"/>
              <w:right w:val="single" w:sz="4" w:space="0" w:color="auto"/>
            </w:tcBorders>
          </w:tcPr>
          <w:p w14:paraId="7DF5CFCD"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Amarathaceae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5A31E395"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hideMark/>
          </w:tcPr>
          <w:p w14:paraId="46F4AB90"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hideMark/>
          </w:tcPr>
          <w:p w14:paraId="33668463"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7EF191F8"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1479C64A"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5ED224BC"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32B5CE5E"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Atriplex lindleyi</w:t>
            </w:r>
          </w:p>
        </w:tc>
        <w:tc>
          <w:tcPr>
            <w:tcW w:w="2080" w:type="dxa"/>
            <w:tcBorders>
              <w:top w:val="single" w:sz="4" w:space="0" w:color="auto"/>
              <w:left w:val="nil"/>
              <w:bottom w:val="single" w:sz="4" w:space="0" w:color="auto"/>
              <w:right w:val="single" w:sz="4" w:space="0" w:color="auto"/>
            </w:tcBorders>
          </w:tcPr>
          <w:p w14:paraId="03BAB20F" w14:textId="77777777" w:rsidR="00404EDB" w:rsidRPr="00190C43" w:rsidRDefault="00404EDB" w:rsidP="00190C43">
            <w:pPr>
              <w:spacing w:after="0" w:line="240" w:lineRule="auto"/>
              <w:contextualSpacing/>
              <w:rPr>
                <w:rFonts w:cstheme="minorHAnsi"/>
                <w:sz w:val="20"/>
              </w:rPr>
            </w:pPr>
            <w:r w:rsidRPr="00190C43">
              <w:rPr>
                <w:rFonts w:cstheme="minorHAnsi"/>
                <w:sz w:val="20"/>
              </w:rPr>
              <w:t>Chenopodiaceae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2C4DAEFC"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3B3EC29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auto"/>
            <w:noWrap/>
          </w:tcPr>
          <w:p w14:paraId="71BC6B9A"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6478F518"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0F5F8731"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08AEEE10"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3ED83A81"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Brachyscome paludicola</w:t>
            </w:r>
          </w:p>
        </w:tc>
        <w:tc>
          <w:tcPr>
            <w:tcW w:w="2080" w:type="dxa"/>
            <w:tcBorders>
              <w:top w:val="single" w:sz="4" w:space="0" w:color="auto"/>
              <w:left w:val="nil"/>
              <w:bottom w:val="single" w:sz="4" w:space="0" w:color="auto"/>
              <w:right w:val="single" w:sz="4" w:space="0" w:color="auto"/>
            </w:tcBorders>
          </w:tcPr>
          <w:p w14:paraId="08494A86" w14:textId="77777777" w:rsidR="00404EDB" w:rsidRPr="00190C43" w:rsidRDefault="00404EDB" w:rsidP="00190C43">
            <w:pPr>
              <w:spacing w:after="0" w:line="240" w:lineRule="auto"/>
              <w:contextualSpacing/>
              <w:rPr>
                <w:rFonts w:cstheme="minorHAnsi"/>
                <w:sz w:val="20"/>
              </w:rPr>
            </w:pPr>
            <w:r w:rsidRPr="00190C43">
              <w:rPr>
                <w:rFonts w:cstheme="minorHAnsi"/>
                <w:sz w:val="20"/>
              </w:rPr>
              <w:t>Asteraceae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7EBC9A1E"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 or perennial</w:t>
            </w:r>
          </w:p>
        </w:tc>
        <w:tc>
          <w:tcPr>
            <w:tcW w:w="2409" w:type="dxa"/>
            <w:tcBorders>
              <w:top w:val="nil"/>
              <w:left w:val="nil"/>
              <w:bottom w:val="single" w:sz="4" w:space="0" w:color="auto"/>
              <w:right w:val="single" w:sz="4" w:space="0" w:color="auto"/>
            </w:tcBorders>
            <w:shd w:val="clear" w:color="auto" w:fill="auto"/>
            <w:noWrap/>
            <w:vAlign w:val="bottom"/>
          </w:tcPr>
          <w:p w14:paraId="24716DE1"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2E9129A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11F8C2F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0F5D4864"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14C150D4"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39EF8519"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Centipeda minima</w:t>
            </w:r>
          </w:p>
        </w:tc>
        <w:tc>
          <w:tcPr>
            <w:tcW w:w="2080" w:type="dxa"/>
            <w:tcBorders>
              <w:top w:val="single" w:sz="4" w:space="0" w:color="auto"/>
              <w:left w:val="nil"/>
              <w:bottom w:val="single" w:sz="4" w:space="0" w:color="auto"/>
              <w:right w:val="single" w:sz="4" w:space="0" w:color="auto"/>
            </w:tcBorders>
          </w:tcPr>
          <w:p w14:paraId="34D1ED25"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Asteraceae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74836ED8"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hideMark/>
          </w:tcPr>
          <w:p w14:paraId="71403C77"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hideMark/>
          </w:tcPr>
          <w:p w14:paraId="485CA5E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hideMark/>
          </w:tcPr>
          <w:p w14:paraId="25566950"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hideMark/>
          </w:tcPr>
          <w:p w14:paraId="7F12F155"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2867F440"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57468DBC"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Cotula coropifolia*</w:t>
            </w:r>
          </w:p>
        </w:tc>
        <w:tc>
          <w:tcPr>
            <w:tcW w:w="2080" w:type="dxa"/>
            <w:tcBorders>
              <w:top w:val="single" w:sz="4" w:space="0" w:color="auto"/>
              <w:left w:val="nil"/>
              <w:bottom w:val="single" w:sz="4" w:space="0" w:color="auto"/>
              <w:right w:val="single" w:sz="4" w:space="0" w:color="auto"/>
            </w:tcBorders>
          </w:tcPr>
          <w:p w14:paraId="48B85264" w14:textId="77777777" w:rsidR="00404EDB" w:rsidRPr="00190C43" w:rsidRDefault="00404EDB" w:rsidP="00190C43">
            <w:pPr>
              <w:spacing w:after="0" w:line="240" w:lineRule="auto"/>
              <w:contextualSpacing/>
              <w:rPr>
                <w:rFonts w:cstheme="minorHAnsi"/>
                <w:sz w:val="20"/>
              </w:rPr>
            </w:pPr>
            <w:r w:rsidRPr="00190C43">
              <w:rPr>
                <w:rFonts w:cstheme="minorHAnsi"/>
                <w:sz w:val="20"/>
              </w:rPr>
              <w:t>Asteraceae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623DB22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73E84440" w14:textId="77777777" w:rsidR="00404EDB" w:rsidRPr="00190C43" w:rsidRDefault="00404EDB" w:rsidP="00190C43">
            <w:pPr>
              <w:spacing w:after="0" w:line="240" w:lineRule="auto"/>
              <w:contextualSpacing/>
              <w:rPr>
                <w:rFonts w:cs="Arial"/>
                <w:sz w:val="20"/>
                <w:lang w:eastAsia="en-AU"/>
              </w:rPr>
            </w:pPr>
          </w:p>
        </w:tc>
        <w:tc>
          <w:tcPr>
            <w:tcW w:w="1045" w:type="dxa"/>
            <w:tcBorders>
              <w:top w:val="nil"/>
              <w:left w:val="nil"/>
              <w:bottom w:val="single" w:sz="4" w:space="0" w:color="auto"/>
              <w:right w:val="single" w:sz="4" w:space="0" w:color="auto"/>
            </w:tcBorders>
            <w:shd w:val="clear" w:color="auto" w:fill="92D050"/>
            <w:noWrap/>
          </w:tcPr>
          <w:p w14:paraId="308F5365"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057F252F"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79C2273B"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3502B291"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371211CB"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Crassula helmsii</w:t>
            </w:r>
          </w:p>
        </w:tc>
        <w:tc>
          <w:tcPr>
            <w:tcW w:w="2080" w:type="dxa"/>
            <w:tcBorders>
              <w:top w:val="single" w:sz="4" w:space="0" w:color="auto"/>
              <w:left w:val="nil"/>
              <w:bottom w:val="single" w:sz="4" w:space="0" w:color="auto"/>
              <w:right w:val="single" w:sz="4" w:space="0" w:color="auto"/>
            </w:tcBorders>
          </w:tcPr>
          <w:p w14:paraId="4B416AB8" w14:textId="77777777" w:rsidR="00404EDB" w:rsidRPr="00190C43" w:rsidRDefault="00404EDB" w:rsidP="00190C43">
            <w:pPr>
              <w:spacing w:after="0" w:line="240" w:lineRule="auto"/>
              <w:contextualSpacing/>
              <w:rPr>
                <w:rFonts w:cstheme="minorHAnsi"/>
                <w:sz w:val="20"/>
              </w:rPr>
            </w:pPr>
            <w:r w:rsidRPr="00190C43">
              <w:rPr>
                <w:rFonts w:cstheme="minorHAnsi"/>
                <w:sz w:val="20"/>
              </w:rPr>
              <w:t>Crassulaceae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27A7E3BF"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6ED8D420"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auto"/>
            <w:noWrap/>
          </w:tcPr>
          <w:p w14:paraId="0F4EC33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5BA4DF7D"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5F1EA091"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518254B2"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438940FD"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Cyperus gymnocaulos</w:t>
            </w:r>
          </w:p>
        </w:tc>
        <w:tc>
          <w:tcPr>
            <w:tcW w:w="2080" w:type="dxa"/>
            <w:tcBorders>
              <w:top w:val="single" w:sz="4" w:space="0" w:color="auto"/>
              <w:left w:val="nil"/>
              <w:bottom w:val="single" w:sz="4" w:space="0" w:color="auto"/>
              <w:right w:val="single" w:sz="4" w:space="0" w:color="auto"/>
            </w:tcBorders>
          </w:tcPr>
          <w:p w14:paraId="038EFB5C"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Cyperaceae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1F4DBCE9"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hideMark/>
          </w:tcPr>
          <w:p w14:paraId="0454EAE0"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hideMark/>
          </w:tcPr>
          <w:p w14:paraId="48C337A4"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043A6520"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4F46283C"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496A639A"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0FF814C6"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Dysphania pumilio</w:t>
            </w:r>
          </w:p>
        </w:tc>
        <w:tc>
          <w:tcPr>
            <w:tcW w:w="2080" w:type="dxa"/>
            <w:tcBorders>
              <w:top w:val="single" w:sz="4" w:space="0" w:color="auto"/>
              <w:left w:val="nil"/>
              <w:bottom w:val="single" w:sz="4" w:space="0" w:color="auto"/>
              <w:right w:val="single" w:sz="4" w:space="0" w:color="auto"/>
            </w:tcBorders>
          </w:tcPr>
          <w:p w14:paraId="3B4196D1" w14:textId="77777777" w:rsidR="00404EDB" w:rsidRPr="00190C43" w:rsidRDefault="00404EDB" w:rsidP="00190C43">
            <w:pPr>
              <w:spacing w:after="0" w:line="240" w:lineRule="auto"/>
              <w:contextualSpacing/>
              <w:rPr>
                <w:rFonts w:cstheme="minorHAnsi"/>
                <w:sz w:val="20"/>
              </w:rPr>
            </w:pPr>
            <w:r w:rsidRPr="00190C43">
              <w:rPr>
                <w:rFonts w:cstheme="minorHAnsi"/>
                <w:sz w:val="20"/>
              </w:rPr>
              <w:t>Chenopodiaceae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5E43B42E"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tcPr>
          <w:p w14:paraId="666423E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auto"/>
            <w:noWrap/>
          </w:tcPr>
          <w:p w14:paraId="2AC20A91"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711C389C"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62B4B401"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3DAC91D3"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117BF19A"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 xml:space="preserve">Einadia nutans </w:t>
            </w:r>
          </w:p>
        </w:tc>
        <w:tc>
          <w:tcPr>
            <w:tcW w:w="2080" w:type="dxa"/>
            <w:tcBorders>
              <w:top w:val="single" w:sz="4" w:space="0" w:color="auto"/>
              <w:left w:val="nil"/>
              <w:bottom w:val="single" w:sz="4" w:space="0" w:color="auto"/>
              <w:right w:val="single" w:sz="4" w:space="0" w:color="auto"/>
            </w:tcBorders>
          </w:tcPr>
          <w:p w14:paraId="5AF04E93"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Chenopodiaceae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50034EFE"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29FA4E33"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0296D1E6"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6EFF1016"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4A190A4A"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18583D12"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2063166F"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 xml:space="preserve">Eucalyptus camaldulensis </w:t>
            </w:r>
          </w:p>
        </w:tc>
        <w:tc>
          <w:tcPr>
            <w:tcW w:w="2080" w:type="dxa"/>
            <w:tcBorders>
              <w:top w:val="single" w:sz="4" w:space="0" w:color="auto"/>
              <w:left w:val="nil"/>
              <w:bottom w:val="single" w:sz="4" w:space="0" w:color="auto"/>
              <w:right w:val="single" w:sz="4" w:space="0" w:color="auto"/>
            </w:tcBorders>
          </w:tcPr>
          <w:p w14:paraId="14605E71"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Myrtaceae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5013DEC8"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25566E4F"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auto"/>
            <w:noWrap/>
          </w:tcPr>
          <w:p w14:paraId="7FD28365"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4A07AA75"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23233295"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33611C00"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0C2BA532"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Euphorbia drummondii</w:t>
            </w:r>
          </w:p>
        </w:tc>
        <w:tc>
          <w:tcPr>
            <w:tcW w:w="2080" w:type="dxa"/>
            <w:tcBorders>
              <w:top w:val="single" w:sz="4" w:space="0" w:color="auto"/>
              <w:left w:val="nil"/>
              <w:bottom w:val="single" w:sz="4" w:space="0" w:color="auto"/>
              <w:right w:val="single" w:sz="4" w:space="0" w:color="auto"/>
            </w:tcBorders>
          </w:tcPr>
          <w:p w14:paraId="016D37D9" w14:textId="77777777" w:rsidR="00404EDB" w:rsidRPr="00190C43" w:rsidRDefault="00404EDB" w:rsidP="00190C43">
            <w:pPr>
              <w:spacing w:after="0" w:line="240" w:lineRule="auto"/>
              <w:contextualSpacing/>
              <w:rPr>
                <w:rFonts w:cstheme="minorHAnsi"/>
                <w:sz w:val="20"/>
              </w:rPr>
            </w:pPr>
            <w:r w:rsidRPr="00190C43">
              <w:rPr>
                <w:rFonts w:cstheme="minorHAnsi"/>
                <w:sz w:val="20"/>
              </w:rPr>
              <w:t>Euphorbiaceae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56043AA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7B4AE2B2"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02E7BDA7"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0F63743B"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756EB6A0"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63E7371B"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2F7BF9DA"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Heliotropium curassavicum*</w:t>
            </w:r>
          </w:p>
        </w:tc>
        <w:tc>
          <w:tcPr>
            <w:tcW w:w="2080" w:type="dxa"/>
            <w:tcBorders>
              <w:top w:val="single" w:sz="4" w:space="0" w:color="auto"/>
              <w:left w:val="nil"/>
              <w:bottom w:val="single" w:sz="4" w:space="0" w:color="auto"/>
              <w:right w:val="single" w:sz="4" w:space="0" w:color="auto"/>
            </w:tcBorders>
          </w:tcPr>
          <w:p w14:paraId="422CEF78"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Boraginaceae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50EBAF2D"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hideMark/>
          </w:tcPr>
          <w:p w14:paraId="7CAC305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 </w:t>
            </w:r>
          </w:p>
        </w:tc>
        <w:tc>
          <w:tcPr>
            <w:tcW w:w="1045" w:type="dxa"/>
            <w:tcBorders>
              <w:top w:val="nil"/>
              <w:left w:val="nil"/>
              <w:bottom w:val="single" w:sz="4" w:space="0" w:color="auto"/>
              <w:right w:val="single" w:sz="4" w:space="0" w:color="auto"/>
            </w:tcBorders>
            <w:shd w:val="clear" w:color="auto" w:fill="92D050"/>
            <w:noWrap/>
            <w:hideMark/>
          </w:tcPr>
          <w:p w14:paraId="74C7F92F"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36AF7018"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036C117A"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5D13001B"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3839F315"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Limosella australis</w:t>
            </w:r>
          </w:p>
        </w:tc>
        <w:tc>
          <w:tcPr>
            <w:tcW w:w="2080" w:type="dxa"/>
            <w:tcBorders>
              <w:top w:val="single" w:sz="4" w:space="0" w:color="auto"/>
              <w:left w:val="nil"/>
              <w:bottom w:val="single" w:sz="4" w:space="0" w:color="auto"/>
              <w:right w:val="single" w:sz="4" w:space="0" w:color="auto"/>
            </w:tcBorders>
          </w:tcPr>
          <w:p w14:paraId="222F322A" w14:textId="77777777" w:rsidR="00404EDB" w:rsidRPr="00190C43" w:rsidRDefault="00404EDB" w:rsidP="00190C43">
            <w:pPr>
              <w:spacing w:after="0" w:line="240" w:lineRule="auto"/>
              <w:contextualSpacing/>
              <w:jc w:val="center"/>
              <w:rPr>
                <w:rFonts w:cstheme="minorHAnsi"/>
                <w:sz w:val="20"/>
                <w:lang w:eastAsia="en-AU"/>
              </w:rPr>
            </w:pPr>
            <w:r w:rsidRPr="00190C43">
              <w:rPr>
                <w:rFonts w:cstheme="minorHAnsi"/>
                <w:sz w:val="20"/>
                <w:lang w:eastAsia="en-AU"/>
              </w:rPr>
              <w:t>Scrophulariaceae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07A43E51"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42F760B9"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274674FF"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550321AB"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742F7E73"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4AFAB42E"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3CF7EF3D"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Lolium*</w:t>
            </w:r>
          </w:p>
        </w:tc>
        <w:tc>
          <w:tcPr>
            <w:tcW w:w="2080" w:type="dxa"/>
            <w:tcBorders>
              <w:top w:val="single" w:sz="4" w:space="0" w:color="auto"/>
              <w:left w:val="nil"/>
              <w:bottom w:val="single" w:sz="4" w:space="0" w:color="auto"/>
              <w:right w:val="single" w:sz="4" w:space="0" w:color="auto"/>
            </w:tcBorders>
          </w:tcPr>
          <w:p w14:paraId="0EA1D26D"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lang w:eastAsia="en-AU"/>
              </w:rPr>
              <w:t>Poaceae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71125C3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tcPr>
          <w:p w14:paraId="686881CB" w14:textId="77777777" w:rsidR="00404EDB" w:rsidRPr="00190C43" w:rsidRDefault="00404EDB" w:rsidP="00190C43">
            <w:pPr>
              <w:spacing w:after="0" w:line="240" w:lineRule="auto"/>
              <w:contextualSpacing/>
              <w:rPr>
                <w:rFonts w:cs="Arial"/>
                <w:sz w:val="20"/>
                <w:lang w:eastAsia="en-AU"/>
              </w:rPr>
            </w:pPr>
          </w:p>
        </w:tc>
        <w:tc>
          <w:tcPr>
            <w:tcW w:w="1045" w:type="dxa"/>
            <w:tcBorders>
              <w:top w:val="nil"/>
              <w:left w:val="nil"/>
              <w:bottom w:val="single" w:sz="4" w:space="0" w:color="auto"/>
              <w:right w:val="single" w:sz="4" w:space="0" w:color="auto"/>
            </w:tcBorders>
            <w:shd w:val="clear" w:color="auto" w:fill="92D050"/>
            <w:noWrap/>
          </w:tcPr>
          <w:p w14:paraId="0C484475"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4B76EBB5"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2C3D693B"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54169253"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EDF27F3"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Medicago</w:t>
            </w:r>
            <w:r w:rsidRPr="00190C43">
              <w:rPr>
                <w:rFonts w:cs="Arial"/>
                <w:sz w:val="20"/>
                <w:lang w:eastAsia="en-AU"/>
              </w:rPr>
              <w:t>*</w:t>
            </w:r>
          </w:p>
        </w:tc>
        <w:tc>
          <w:tcPr>
            <w:tcW w:w="2080" w:type="dxa"/>
            <w:tcBorders>
              <w:top w:val="single" w:sz="4" w:space="0" w:color="auto"/>
              <w:left w:val="nil"/>
              <w:bottom w:val="single" w:sz="4" w:space="0" w:color="auto"/>
              <w:right w:val="single" w:sz="4" w:space="0" w:color="auto"/>
            </w:tcBorders>
          </w:tcPr>
          <w:p w14:paraId="220C4396"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lang w:eastAsia="en-AU"/>
              </w:rPr>
              <w:t>Fabaceae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4B898EB5"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hideMark/>
          </w:tcPr>
          <w:p w14:paraId="77349EF3"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 </w:t>
            </w:r>
          </w:p>
        </w:tc>
        <w:tc>
          <w:tcPr>
            <w:tcW w:w="1045" w:type="dxa"/>
            <w:tcBorders>
              <w:top w:val="nil"/>
              <w:left w:val="nil"/>
              <w:bottom w:val="single" w:sz="4" w:space="0" w:color="auto"/>
              <w:right w:val="single" w:sz="4" w:space="0" w:color="auto"/>
            </w:tcBorders>
            <w:shd w:val="clear" w:color="auto" w:fill="92D050"/>
            <w:noWrap/>
            <w:hideMark/>
          </w:tcPr>
          <w:p w14:paraId="38C2D161"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auto"/>
            <w:noWrap/>
            <w:hideMark/>
          </w:tcPr>
          <w:p w14:paraId="24E74EE1"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58C9E301"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6B514678"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00F868C0"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Persicaria lapathifolia</w:t>
            </w:r>
          </w:p>
        </w:tc>
        <w:tc>
          <w:tcPr>
            <w:tcW w:w="2080" w:type="dxa"/>
            <w:tcBorders>
              <w:top w:val="single" w:sz="4" w:space="0" w:color="auto"/>
              <w:left w:val="nil"/>
              <w:bottom w:val="single" w:sz="4" w:space="0" w:color="auto"/>
              <w:right w:val="single" w:sz="4" w:space="0" w:color="auto"/>
            </w:tcBorders>
          </w:tcPr>
          <w:p w14:paraId="54D7451F"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Polygonaceae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61839904"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hideMark/>
          </w:tcPr>
          <w:p w14:paraId="10922332"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hideMark/>
          </w:tcPr>
          <w:p w14:paraId="515CE87D"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auto"/>
            <w:noWrap/>
            <w:hideMark/>
          </w:tcPr>
          <w:p w14:paraId="744FED81"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auto"/>
            <w:noWrap/>
            <w:hideMark/>
          </w:tcPr>
          <w:p w14:paraId="395775DC"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4775A287"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280969B9"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Rumex bidens</w:t>
            </w:r>
          </w:p>
        </w:tc>
        <w:tc>
          <w:tcPr>
            <w:tcW w:w="2080" w:type="dxa"/>
            <w:tcBorders>
              <w:top w:val="single" w:sz="4" w:space="0" w:color="auto"/>
              <w:left w:val="nil"/>
              <w:bottom w:val="single" w:sz="4" w:space="0" w:color="auto"/>
              <w:right w:val="single" w:sz="4" w:space="0" w:color="auto"/>
            </w:tcBorders>
          </w:tcPr>
          <w:p w14:paraId="0C29A910" w14:textId="77777777" w:rsidR="00404EDB" w:rsidRPr="00190C43" w:rsidRDefault="00404EDB" w:rsidP="00190C43">
            <w:pPr>
              <w:spacing w:after="0" w:line="240" w:lineRule="auto"/>
              <w:contextualSpacing/>
              <w:rPr>
                <w:rFonts w:cstheme="minorHAnsi"/>
                <w:sz w:val="20"/>
              </w:rPr>
            </w:pPr>
            <w:r w:rsidRPr="00190C43">
              <w:rPr>
                <w:rFonts w:cstheme="minorHAnsi"/>
                <w:sz w:val="20"/>
              </w:rPr>
              <w:t>Polygonaceae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35478FE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tcPr>
          <w:p w14:paraId="1568302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590C8B48"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514822B2"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auto"/>
            <w:noWrap/>
          </w:tcPr>
          <w:p w14:paraId="5767E2D3"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23589E9B"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06E8E1C6"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Sonchus oleraceus*</w:t>
            </w:r>
          </w:p>
        </w:tc>
        <w:tc>
          <w:tcPr>
            <w:tcW w:w="2080" w:type="dxa"/>
            <w:tcBorders>
              <w:top w:val="single" w:sz="4" w:space="0" w:color="auto"/>
              <w:left w:val="nil"/>
              <w:bottom w:val="single" w:sz="4" w:space="0" w:color="auto"/>
              <w:right w:val="single" w:sz="4" w:space="0" w:color="auto"/>
            </w:tcBorders>
          </w:tcPr>
          <w:p w14:paraId="2F2A1C68" w14:textId="77777777" w:rsidR="00404EDB" w:rsidRPr="00190C43" w:rsidRDefault="00404EDB" w:rsidP="00190C43">
            <w:pPr>
              <w:spacing w:after="0" w:line="240" w:lineRule="auto"/>
              <w:contextualSpacing/>
              <w:rPr>
                <w:rFonts w:cstheme="minorHAnsi"/>
                <w:sz w:val="20"/>
              </w:rPr>
            </w:pPr>
            <w:r w:rsidRPr="00190C43">
              <w:rPr>
                <w:rFonts w:cstheme="minorHAnsi"/>
                <w:sz w:val="20"/>
              </w:rPr>
              <w:t>Asteraceae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7D909373"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nil"/>
              <w:left w:val="nil"/>
              <w:bottom w:val="single" w:sz="4" w:space="0" w:color="auto"/>
              <w:right w:val="single" w:sz="4" w:space="0" w:color="auto"/>
            </w:tcBorders>
            <w:shd w:val="clear" w:color="auto" w:fill="auto"/>
            <w:noWrap/>
            <w:vAlign w:val="bottom"/>
          </w:tcPr>
          <w:p w14:paraId="2E75A288"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auto"/>
            <w:noWrap/>
          </w:tcPr>
          <w:p w14:paraId="71E909B4"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1426377A"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192B0B2E"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33EF37AC"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19C9714F"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 xml:space="preserve">Sphaeromorphaea littoralis </w:t>
            </w:r>
          </w:p>
        </w:tc>
        <w:tc>
          <w:tcPr>
            <w:tcW w:w="2080" w:type="dxa"/>
            <w:tcBorders>
              <w:top w:val="single" w:sz="4" w:space="0" w:color="auto"/>
              <w:left w:val="nil"/>
              <w:bottom w:val="single" w:sz="4" w:space="0" w:color="auto"/>
              <w:right w:val="single" w:sz="4" w:space="0" w:color="auto"/>
            </w:tcBorders>
          </w:tcPr>
          <w:p w14:paraId="600CA4BC"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Asteraceae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6018B39C"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 or perennial</w:t>
            </w:r>
          </w:p>
        </w:tc>
        <w:tc>
          <w:tcPr>
            <w:tcW w:w="2409" w:type="dxa"/>
            <w:tcBorders>
              <w:top w:val="nil"/>
              <w:left w:val="nil"/>
              <w:bottom w:val="single" w:sz="4" w:space="0" w:color="auto"/>
              <w:right w:val="single" w:sz="4" w:space="0" w:color="auto"/>
            </w:tcBorders>
            <w:shd w:val="clear" w:color="auto" w:fill="auto"/>
            <w:noWrap/>
            <w:vAlign w:val="bottom"/>
          </w:tcPr>
          <w:p w14:paraId="2EAF566B"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17930C2F"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7F471B39"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65EC43BB"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5F500F2B"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7B379A0C"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Spergularia marina*</w:t>
            </w:r>
          </w:p>
        </w:tc>
        <w:tc>
          <w:tcPr>
            <w:tcW w:w="2080" w:type="dxa"/>
            <w:tcBorders>
              <w:top w:val="single" w:sz="4" w:space="0" w:color="auto"/>
              <w:left w:val="nil"/>
              <w:bottom w:val="single" w:sz="4" w:space="0" w:color="auto"/>
              <w:right w:val="single" w:sz="4" w:space="0" w:color="auto"/>
            </w:tcBorders>
          </w:tcPr>
          <w:p w14:paraId="1F1DB306" w14:textId="77777777" w:rsidR="00404EDB" w:rsidRPr="00190C43" w:rsidRDefault="00404EDB" w:rsidP="00190C43">
            <w:pPr>
              <w:spacing w:after="0" w:line="240" w:lineRule="auto"/>
              <w:contextualSpacing/>
              <w:rPr>
                <w:rFonts w:cstheme="minorHAnsi"/>
                <w:sz w:val="20"/>
              </w:rPr>
            </w:pPr>
            <w:r w:rsidRPr="00190C43">
              <w:rPr>
                <w:rFonts w:cstheme="minorHAnsi"/>
                <w:sz w:val="20"/>
              </w:rPr>
              <w:t>Caryophyllaceae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5169BFF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 or perennial</w:t>
            </w:r>
          </w:p>
        </w:tc>
        <w:tc>
          <w:tcPr>
            <w:tcW w:w="2409" w:type="dxa"/>
            <w:tcBorders>
              <w:top w:val="nil"/>
              <w:left w:val="nil"/>
              <w:bottom w:val="single" w:sz="4" w:space="0" w:color="auto"/>
              <w:right w:val="single" w:sz="4" w:space="0" w:color="auto"/>
            </w:tcBorders>
            <w:shd w:val="clear" w:color="auto" w:fill="auto"/>
            <w:noWrap/>
            <w:vAlign w:val="bottom"/>
          </w:tcPr>
          <w:p w14:paraId="60F6A8A5" w14:textId="77777777" w:rsidR="00404EDB" w:rsidRPr="00190C43" w:rsidRDefault="00404EDB" w:rsidP="00190C43">
            <w:pPr>
              <w:spacing w:after="0" w:line="240" w:lineRule="auto"/>
              <w:contextualSpacing/>
              <w:rPr>
                <w:rFonts w:cs="Arial"/>
                <w:sz w:val="20"/>
                <w:lang w:eastAsia="en-AU"/>
              </w:rPr>
            </w:pPr>
          </w:p>
        </w:tc>
        <w:tc>
          <w:tcPr>
            <w:tcW w:w="1045" w:type="dxa"/>
            <w:tcBorders>
              <w:top w:val="nil"/>
              <w:left w:val="nil"/>
              <w:bottom w:val="single" w:sz="4" w:space="0" w:color="auto"/>
              <w:right w:val="single" w:sz="4" w:space="0" w:color="auto"/>
            </w:tcBorders>
            <w:shd w:val="clear" w:color="auto" w:fill="92D050"/>
            <w:noWrap/>
          </w:tcPr>
          <w:p w14:paraId="71B09F13"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1FD393A4"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12D3B83F"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4554F968"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14:paraId="1D62CD00"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Sporobolus mitchellii</w:t>
            </w:r>
          </w:p>
        </w:tc>
        <w:tc>
          <w:tcPr>
            <w:tcW w:w="2080" w:type="dxa"/>
            <w:tcBorders>
              <w:top w:val="single" w:sz="4" w:space="0" w:color="auto"/>
              <w:left w:val="nil"/>
              <w:bottom w:val="single" w:sz="4" w:space="0" w:color="auto"/>
              <w:right w:val="single" w:sz="4" w:space="0" w:color="auto"/>
            </w:tcBorders>
          </w:tcPr>
          <w:p w14:paraId="725F2D72"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Poaceae</w:t>
            </w:r>
          </w:p>
        </w:tc>
        <w:tc>
          <w:tcPr>
            <w:tcW w:w="2314" w:type="dxa"/>
            <w:tcBorders>
              <w:top w:val="nil"/>
              <w:left w:val="single" w:sz="4" w:space="0" w:color="auto"/>
              <w:bottom w:val="single" w:sz="4" w:space="0" w:color="auto"/>
              <w:right w:val="single" w:sz="4" w:space="0" w:color="auto"/>
            </w:tcBorders>
            <w:shd w:val="clear" w:color="auto" w:fill="auto"/>
            <w:noWrap/>
            <w:vAlign w:val="bottom"/>
            <w:hideMark/>
          </w:tcPr>
          <w:p w14:paraId="485F7450"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nil"/>
              <w:left w:val="nil"/>
              <w:bottom w:val="single" w:sz="4" w:space="0" w:color="auto"/>
              <w:right w:val="single" w:sz="4" w:space="0" w:color="auto"/>
            </w:tcBorders>
            <w:shd w:val="clear" w:color="auto" w:fill="auto"/>
            <w:noWrap/>
            <w:vAlign w:val="bottom"/>
            <w:hideMark/>
          </w:tcPr>
          <w:p w14:paraId="10FDEB52"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hideMark/>
          </w:tcPr>
          <w:p w14:paraId="78395C7D"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4B9E0DFD"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nil"/>
              <w:left w:val="nil"/>
              <w:bottom w:val="single" w:sz="4" w:space="0" w:color="auto"/>
              <w:right w:val="single" w:sz="4" w:space="0" w:color="auto"/>
            </w:tcBorders>
            <w:shd w:val="clear" w:color="auto" w:fill="92D050"/>
            <w:noWrap/>
            <w:hideMark/>
          </w:tcPr>
          <w:p w14:paraId="098B7004"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r>
      <w:tr w:rsidR="00404EDB" w:rsidRPr="00190C43" w14:paraId="059675AF" w14:textId="77777777" w:rsidTr="00190C43">
        <w:trPr>
          <w:trHeight w:val="283"/>
        </w:trPr>
        <w:tc>
          <w:tcPr>
            <w:tcW w:w="3256" w:type="dxa"/>
            <w:tcBorders>
              <w:top w:val="nil"/>
              <w:left w:val="single" w:sz="4" w:space="0" w:color="auto"/>
              <w:bottom w:val="single" w:sz="4" w:space="0" w:color="auto"/>
              <w:right w:val="single" w:sz="4" w:space="0" w:color="auto"/>
            </w:tcBorders>
            <w:shd w:val="clear" w:color="auto" w:fill="auto"/>
            <w:noWrap/>
            <w:vAlign w:val="bottom"/>
          </w:tcPr>
          <w:p w14:paraId="67F0EE35"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 xml:space="preserve">Stemodia florulenta </w:t>
            </w:r>
          </w:p>
        </w:tc>
        <w:tc>
          <w:tcPr>
            <w:tcW w:w="2080" w:type="dxa"/>
            <w:tcBorders>
              <w:top w:val="single" w:sz="4" w:space="0" w:color="auto"/>
              <w:left w:val="nil"/>
              <w:bottom w:val="single" w:sz="4" w:space="0" w:color="auto"/>
              <w:right w:val="single" w:sz="4" w:space="0" w:color="auto"/>
            </w:tcBorders>
          </w:tcPr>
          <w:p w14:paraId="20EF68E2"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lang w:eastAsia="en-AU"/>
              </w:rPr>
              <w:t>Scrophulariaceae</w:t>
            </w:r>
          </w:p>
        </w:tc>
        <w:tc>
          <w:tcPr>
            <w:tcW w:w="2314" w:type="dxa"/>
            <w:tcBorders>
              <w:top w:val="nil"/>
              <w:left w:val="single" w:sz="4" w:space="0" w:color="auto"/>
              <w:bottom w:val="single" w:sz="4" w:space="0" w:color="auto"/>
              <w:right w:val="single" w:sz="4" w:space="0" w:color="auto"/>
            </w:tcBorders>
            <w:shd w:val="clear" w:color="auto" w:fill="auto"/>
            <w:noWrap/>
            <w:vAlign w:val="bottom"/>
          </w:tcPr>
          <w:p w14:paraId="1B9762B9"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 or perennial</w:t>
            </w:r>
          </w:p>
        </w:tc>
        <w:tc>
          <w:tcPr>
            <w:tcW w:w="2409" w:type="dxa"/>
            <w:tcBorders>
              <w:top w:val="nil"/>
              <w:left w:val="nil"/>
              <w:bottom w:val="single" w:sz="4" w:space="0" w:color="auto"/>
              <w:right w:val="single" w:sz="4" w:space="0" w:color="auto"/>
            </w:tcBorders>
            <w:shd w:val="clear" w:color="auto" w:fill="auto"/>
            <w:noWrap/>
            <w:vAlign w:val="bottom"/>
          </w:tcPr>
          <w:p w14:paraId="19B304A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nil"/>
              <w:left w:val="nil"/>
              <w:bottom w:val="single" w:sz="4" w:space="0" w:color="auto"/>
              <w:right w:val="single" w:sz="4" w:space="0" w:color="auto"/>
            </w:tcBorders>
            <w:shd w:val="clear" w:color="auto" w:fill="92D050"/>
            <w:noWrap/>
          </w:tcPr>
          <w:p w14:paraId="03C69CB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7577D43A"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nil"/>
              <w:left w:val="nil"/>
              <w:bottom w:val="single" w:sz="4" w:space="0" w:color="auto"/>
              <w:right w:val="single" w:sz="4" w:space="0" w:color="auto"/>
            </w:tcBorders>
            <w:shd w:val="clear" w:color="auto" w:fill="92D050"/>
            <w:noWrap/>
          </w:tcPr>
          <w:p w14:paraId="11159F8C"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7FA0EEB0" w14:textId="77777777" w:rsidTr="00190C43">
        <w:trPr>
          <w:trHeight w:val="283"/>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2D7A69"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Symphyotrichum subulatum</w:t>
            </w:r>
            <w:r w:rsidRPr="00190C43" w:rsidDel="00836CFF">
              <w:rPr>
                <w:rFonts w:cs="Arial"/>
                <w:i/>
                <w:iCs/>
                <w:sz w:val="20"/>
                <w:lang w:eastAsia="en-AU"/>
              </w:rPr>
              <w:t xml:space="preserve"> </w:t>
            </w:r>
            <w:r w:rsidRPr="00190C43">
              <w:rPr>
                <w:rFonts w:cs="Arial"/>
                <w:i/>
                <w:iCs/>
                <w:sz w:val="20"/>
                <w:lang w:eastAsia="en-AU"/>
              </w:rPr>
              <w:t>*</w:t>
            </w:r>
          </w:p>
        </w:tc>
        <w:tc>
          <w:tcPr>
            <w:tcW w:w="2080" w:type="dxa"/>
            <w:tcBorders>
              <w:top w:val="single" w:sz="4" w:space="0" w:color="auto"/>
              <w:left w:val="nil"/>
              <w:bottom w:val="single" w:sz="4" w:space="0" w:color="auto"/>
              <w:right w:val="single" w:sz="4" w:space="0" w:color="auto"/>
            </w:tcBorders>
          </w:tcPr>
          <w:p w14:paraId="03BE050F" w14:textId="77777777" w:rsidR="00404EDB" w:rsidRPr="00190C43" w:rsidRDefault="00404EDB" w:rsidP="00190C43">
            <w:pPr>
              <w:spacing w:after="0" w:line="240" w:lineRule="auto"/>
              <w:contextualSpacing/>
              <w:rPr>
                <w:rFonts w:cstheme="minorHAnsi"/>
                <w:sz w:val="20"/>
              </w:rPr>
            </w:pPr>
            <w:r w:rsidRPr="00190C43">
              <w:rPr>
                <w:rFonts w:cstheme="minorHAnsi"/>
                <w:sz w:val="20"/>
              </w:rPr>
              <w:t>Asteraceae</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D4CE1E"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1DF41B2F"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 </w:t>
            </w:r>
          </w:p>
        </w:tc>
        <w:tc>
          <w:tcPr>
            <w:tcW w:w="1045" w:type="dxa"/>
            <w:tcBorders>
              <w:top w:val="single" w:sz="4" w:space="0" w:color="auto"/>
              <w:left w:val="nil"/>
              <w:bottom w:val="single" w:sz="4" w:space="0" w:color="auto"/>
              <w:right w:val="single" w:sz="4" w:space="0" w:color="auto"/>
            </w:tcBorders>
            <w:shd w:val="clear" w:color="auto" w:fill="92D050"/>
            <w:noWrap/>
          </w:tcPr>
          <w:p w14:paraId="38C39C16" w14:textId="77777777" w:rsidR="00404EDB" w:rsidRPr="00190C43" w:rsidRDefault="00404EDB" w:rsidP="00190C43">
            <w:pPr>
              <w:spacing w:after="0" w:line="240" w:lineRule="auto"/>
              <w:contextualSpacing/>
              <w:jc w:val="center"/>
              <w:rPr>
                <w:rFonts w:cs="Arial"/>
                <w:sz w:val="20"/>
                <w:lang w:eastAsia="en-AU"/>
              </w:rPr>
            </w:pPr>
            <w:r w:rsidRPr="00190C43">
              <w:rPr>
                <w:rFonts w:cs="Arial"/>
                <w:sz w:val="20"/>
                <w:lang w:eastAsia="en-AU"/>
              </w:rPr>
              <w:t> </w:t>
            </w:r>
          </w:p>
        </w:tc>
        <w:tc>
          <w:tcPr>
            <w:tcW w:w="992" w:type="dxa"/>
            <w:tcBorders>
              <w:top w:val="single" w:sz="4" w:space="0" w:color="auto"/>
              <w:left w:val="nil"/>
              <w:bottom w:val="single" w:sz="4" w:space="0" w:color="auto"/>
              <w:right w:val="single" w:sz="4" w:space="0" w:color="auto"/>
            </w:tcBorders>
            <w:shd w:val="clear" w:color="auto" w:fill="auto"/>
            <w:noWrap/>
          </w:tcPr>
          <w:p w14:paraId="4347D2CE"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auto"/>
            <w:noWrap/>
          </w:tcPr>
          <w:p w14:paraId="356F085F"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736DCF6E" w14:textId="77777777" w:rsidTr="00190C43">
        <w:trPr>
          <w:trHeight w:val="283"/>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F1CF65"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Typha domingensis</w:t>
            </w:r>
          </w:p>
        </w:tc>
        <w:tc>
          <w:tcPr>
            <w:tcW w:w="2080" w:type="dxa"/>
            <w:tcBorders>
              <w:top w:val="single" w:sz="4" w:space="0" w:color="auto"/>
              <w:left w:val="nil"/>
              <w:bottom w:val="single" w:sz="4" w:space="0" w:color="auto"/>
              <w:right w:val="single" w:sz="4" w:space="0" w:color="auto"/>
            </w:tcBorders>
            <w:vAlign w:val="bottom"/>
          </w:tcPr>
          <w:p w14:paraId="66AE4076" w14:textId="77777777" w:rsidR="00404EDB" w:rsidRPr="00190C43" w:rsidRDefault="00404EDB" w:rsidP="00190C43">
            <w:pPr>
              <w:spacing w:after="0" w:line="240" w:lineRule="auto"/>
              <w:contextualSpacing/>
              <w:rPr>
                <w:rFonts w:cstheme="minorHAnsi"/>
                <w:sz w:val="20"/>
              </w:rPr>
            </w:pPr>
            <w:r w:rsidRPr="00190C43">
              <w:rPr>
                <w:rFonts w:cstheme="minorHAnsi"/>
                <w:sz w:val="20"/>
              </w:rPr>
              <w:t>Typhaceae</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EBE8DA"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650C1F3"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Least concern</w:t>
            </w:r>
          </w:p>
        </w:tc>
        <w:tc>
          <w:tcPr>
            <w:tcW w:w="1045" w:type="dxa"/>
            <w:tcBorders>
              <w:top w:val="single" w:sz="4" w:space="0" w:color="auto"/>
              <w:left w:val="nil"/>
              <w:bottom w:val="single" w:sz="4" w:space="0" w:color="auto"/>
              <w:right w:val="single" w:sz="4" w:space="0" w:color="auto"/>
            </w:tcBorders>
            <w:shd w:val="clear" w:color="auto" w:fill="auto"/>
            <w:noWrap/>
          </w:tcPr>
          <w:p w14:paraId="632D3714"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auto"/>
            <w:noWrap/>
          </w:tcPr>
          <w:p w14:paraId="58A6F61F"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92D050"/>
            <w:noWrap/>
          </w:tcPr>
          <w:p w14:paraId="183CE6C5"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59E8F2BF" w14:textId="77777777" w:rsidTr="00190C43">
        <w:trPr>
          <w:trHeight w:val="283"/>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BB42F"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Verbena supina*</w:t>
            </w:r>
          </w:p>
        </w:tc>
        <w:tc>
          <w:tcPr>
            <w:tcW w:w="2080" w:type="dxa"/>
            <w:tcBorders>
              <w:top w:val="single" w:sz="4" w:space="0" w:color="auto"/>
              <w:left w:val="nil"/>
              <w:bottom w:val="single" w:sz="4" w:space="0" w:color="auto"/>
              <w:right w:val="single" w:sz="4" w:space="0" w:color="auto"/>
            </w:tcBorders>
            <w:vAlign w:val="bottom"/>
          </w:tcPr>
          <w:p w14:paraId="79FC4769"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 xml:space="preserve">Verbenaceae </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4C8D44"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Perennial</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39D448F0" w14:textId="77777777" w:rsidR="00404EDB" w:rsidRPr="00190C43" w:rsidRDefault="00404EDB" w:rsidP="00190C43">
            <w:pPr>
              <w:spacing w:after="0" w:line="240" w:lineRule="auto"/>
              <w:contextualSpacing/>
              <w:rPr>
                <w:rFonts w:cs="Arial"/>
                <w:sz w:val="20"/>
                <w:lang w:eastAsia="en-AU"/>
              </w:rPr>
            </w:pPr>
          </w:p>
        </w:tc>
        <w:tc>
          <w:tcPr>
            <w:tcW w:w="1045" w:type="dxa"/>
            <w:tcBorders>
              <w:top w:val="single" w:sz="4" w:space="0" w:color="auto"/>
              <w:left w:val="nil"/>
              <w:bottom w:val="single" w:sz="4" w:space="0" w:color="auto"/>
              <w:right w:val="single" w:sz="4" w:space="0" w:color="auto"/>
            </w:tcBorders>
            <w:shd w:val="clear" w:color="auto" w:fill="auto"/>
            <w:noWrap/>
          </w:tcPr>
          <w:p w14:paraId="1FFEF3DC"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92D050"/>
            <w:noWrap/>
          </w:tcPr>
          <w:p w14:paraId="12DDFC24"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auto"/>
            <w:noWrap/>
          </w:tcPr>
          <w:p w14:paraId="691EB3E9" w14:textId="77777777" w:rsidR="00404EDB" w:rsidRPr="00190C43" w:rsidRDefault="00404EDB" w:rsidP="00190C43">
            <w:pPr>
              <w:spacing w:after="0" w:line="240" w:lineRule="auto"/>
              <w:contextualSpacing/>
              <w:jc w:val="center"/>
              <w:rPr>
                <w:rFonts w:cs="Arial"/>
                <w:sz w:val="20"/>
                <w:lang w:eastAsia="en-AU"/>
              </w:rPr>
            </w:pPr>
          </w:p>
        </w:tc>
      </w:tr>
      <w:tr w:rsidR="00404EDB" w:rsidRPr="00190C43" w14:paraId="0565BB7A" w14:textId="77777777" w:rsidTr="00190C43">
        <w:trPr>
          <w:trHeight w:val="283"/>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B561F3" w14:textId="77777777" w:rsidR="00404EDB" w:rsidRPr="00190C43" w:rsidRDefault="00404EDB" w:rsidP="00190C43">
            <w:pPr>
              <w:spacing w:after="0" w:line="240" w:lineRule="auto"/>
              <w:contextualSpacing/>
              <w:rPr>
                <w:rFonts w:cs="Arial"/>
                <w:i/>
                <w:iCs/>
                <w:sz w:val="20"/>
                <w:lang w:eastAsia="en-AU"/>
              </w:rPr>
            </w:pPr>
            <w:r w:rsidRPr="00190C43">
              <w:rPr>
                <w:rFonts w:cs="Arial"/>
                <w:i/>
                <w:iCs/>
                <w:sz w:val="20"/>
                <w:lang w:eastAsia="en-AU"/>
              </w:rPr>
              <w:t>Xanthium occidentale**</w:t>
            </w:r>
          </w:p>
        </w:tc>
        <w:tc>
          <w:tcPr>
            <w:tcW w:w="2080" w:type="dxa"/>
            <w:tcBorders>
              <w:top w:val="single" w:sz="4" w:space="0" w:color="auto"/>
              <w:left w:val="nil"/>
              <w:bottom w:val="single" w:sz="4" w:space="0" w:color="auto"/>
              <w:right w:val="single" w:sz="4" w:space="0" w:color="auto"/>
            </w:tcBorders>
          </w:tcPr>
          <w:p w14:paraId="417B9BF1" w14:textId="77777777" w:rsidR="00404EDB" w:rsidRPr="00190C43" w:rsidRDefault="00404EDB" w:rsidP="00190C43">
            <w:pPr>
              <w:spacing w:after="0" w:line="240" w:lineRule="auto"/>
              <w:contextualSpacing/>
              <w:rPr>
                <w:rFonts w:cstheme="minorHAnsi"/>
                <w:sz w:val="20"/>
                <w:lang w:eastAsia="en-AU"/>
              </w:rPr>
            </w:pPr>
            <w:r w:rsidRPr="00190C43">
              <w:rPr>
                <w:rFonts w:cstheme="minorHAnsi"/>
                <w:sz w:val="20"/>
              </w:rPr>
              <w:t>Asteraceae</w:t>
            </w:r>
          </w:p>
        </w:tc>
        <w:tc>
          <w:tcPr>
            <w:tcW w:w="23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1A3F46" w14:textId="77777777" w:rsidR="00404EDB" w:rsidRPr="00190C43" w:rsidRDefault="00404EDB" w:rsidP="00190C43">
            <w:pPr>
              <w:spacing w:after="0" w:line="240" w:lineRule="auto"/>
              <w:contextualSpacing/>
              <w:rPr>
                <w:rFonts w:cs="Arial"/>
                <w:sz w:val="20"/>
                <w:lang w:eastAsia="en-AU"/>
              </w:rPr>
            </w:pPr>
            <w:r w:rsidRPr="00190C43">
              <w:rPr>
                <w:rFonts w:cs="Arial"/>
                <w:sz w:val="20"/>
                <w:lang w:eastAsia="en-AU"/>
              </w:rPr>
              <w:t>Annual</w:t>
            </w:r>
          </w:p>
        </w:tc>
        <w:tc>
          <w:tcPr>
            <w:tcW w:w="2409" w:type="dxa"/>
            <w:tcBorders>
              <w:top w:val="single" w:sz="4" w:space="0" w:color="auto"/>
              <w:left w:val="nil"/>
              <w:bottom w:val="single" w:sz="4" w:space="0" w:color="auto"/>
              <w:right w:val="single" w:sz="4" w:space="0" w:color="auto"/>
            </w:tcBorders>
            <w:shd w:val="clear" w:color="auto" w:fill="auto"/>
            <w:noWrap/>
            <w:vAlign w:val="bottom"/>
          </w:tcPr>
          <w:p w14:paraId="0FFA284A" w14:textId="77777777" w:rsidR="00404EDB" w:rsidRPr="00190C43" w:rsidRDefault="00404EDB" w:rsidP="00190C43">
            <w:pPr>
              <w:spacing w:after="0" w:line="240" w:lineRule="auto"/>
              <w:contextualSpacing/>
              <w:rPr>
                <w:rFonts w:cs="Arial"/>
                <w:sz w:val="20"/>
                <w:lang w:eastAsia="en-AU"/>
              </w:rPr>
            </w:pPr>
          </w:p>
        </w:tc>
        <w:tc>
          <w:tcPr>
            <w:tcW w:w="1045" w:type="dxa"/>
            <w:tcBorders>
              <w:top w:val="single" w:sz="4" w:space="0" w:color="auto"/>
              <w:left w:val="nil"/>
              <w:bottom w:val="single" w:sz="4" w:space="0" w:color="auto"/>
              <w:right w:val="single" w:sz="4" w:space="0" w:color="auto"/>
            </w:tcBorders>
            <w:shd w:val="clear" w:color="auto" w:fill="auto"/>
            <w:noWrap/>
          </w:tcPr>
          <w:p w14:paraId="0AE859C8"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92D050"/>
            <w:noWrap/>
          </w:tcPr>
          <w:p w14:paraId="0EC8F84B" w14:textId="77777777" w:rsidR="00404EDB" w:rsidRPr="00190C43" w:rsidRDefault="00404EDB" w:rsidP="00190C43">
            <w:pPr>
              <w:spacing w:after="0" w:line="240" w:lineRule="auto"/>
              <w:contextualSpacing/>
              <w:jc w:val="center"/>
              <w:rPr>
                <w:rFonts w:cs="Arial"/>
                <w:sz w:val="20"/>
                <w:lang w:eastAsia="en-AU"/>
              </w:rPr>
            </w:pPr>
          </w:p>
        </w:tc>
        <w:tc>
          <w:tcPr>
            <w:tcW w:w="992" w:type="dxa"/>
            <w:tcBorders>
              <w:top w:val="single" w:sz="4" w:space="0" w:color="auto"/>
              <w:left w:val="nil"/>
              <w:bottom w:val="single" w:sz="4" w:space="0" w:color="auto"/>
              <w:right w:val="single" w:sz="4" w:space="0" w:color="auto"/>
            </w:tcBorders>
            <w:shd w:val="clear" w:color="auto" w:fill="auto"/>
            <w:noWrap/>
          </w:tcPr>
          <w:p w14:paraId="4EEA1649" w14:textId="77777777" w:rsidR="00404EDB" w:rsidRPr="00190C43" w:rsidRDefault="00404EDB" w:rsidP="00190C43">
            <w:pPr>
              <w:spacing w:after="0" w:line="240" w:lineRule="auto"/>
              <w:contextualSpacing/>
              <w:jc w:val="center"/>
              <w:rPr>
                <w:rFonts w:cs="Arial"/>
                <w:sz w:val="20"/>
                <w:lang w:eastAsia="en-AU"/>
              </w:rPr>
            </w:pPr>
          </w:p>
        </w:tc>
      </w:tr>
    </w:tbl>
    <w:p w14:paraId="1C1E96CE" w14:textId="77777777" w:rsidR="00190C43" w:rsidRDefault="00190C43" w:rsidP="005C3CDB">
      <w:pPr>
        <w:rPr>
          <w:iCs/>
          <w:lang w:val="en-US"/>
        </w:rPr>
        <w:sectPr w:rsidR="00190C43" w:rsidSect="00190C43">
          <w:pgSz w:w="16838" w:h="11906" w:orient="landscape"/>
          <w:pgMar w:top="1440" w:right="1440" w:bottom="1440" w:left="1440" w:header="709" w:footer="709" w:gutter="0"/>
          <w:cols w:space="708"/>
          <w:docGrid w:linePitch="360"/>
        </w:sectPr>
      </w:pPr>
    </w:p>
    <w:p w14:paraId="7D4D27AC" w14:textId="6CABF68E" w:rsidR="00404EDB" w:rsidRPr="00E844BD" w:rsidRDefault="00404EDB" w:rsidP="005C3CDB">
      <w:pPr>
        <w:rPr>
          <w:iCs/>
          <w:lang w:val="en-US"/>
        </w:rPr>
      </w:pPr>
    </w:p>
    <w:p w14:paraId="394FB812" w14:textId="77777777" w:rsidR="005C3CDB" w:rsidRDefault="005C3CDB" w:rsidP="005C3CDB">
      <w:pPr>
        <w:keepNext/>
      </w:pPr>
      <w:r w:rsidRPr="00366994">
        <w:rPr>
          <w:noProof/>
          <w:szCs w:val="21"/>
        </w:rPr>
        <w:drawing>
          <wp:inline distT="0" distB="0" distL="0" distR="0" wp14:anchorId="7867BDA1" wp14:editId="3EE2D11C">
            <wp:extent cx="5562600" cy="3141827"/>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69648" cy="3145808"/>
                    </a:xfrm>
                    <a:prstGeom prst="rect">
                      <a:avLst/>
                    </a:prstGeom>
                    <a:noFill/>
                    <a:ln>
                      <a:noFill/>
                    </a:ln>
                  </pic:spPr>
                </pic:pic>
              </a:graphicData>
            </a:graphic>
          </wp:inline>
        </w:drawing>
      </w:r>
    </w:p>
    <w:p w14:paraId="42554BD2" w14:textId="1B03BBD0" w:rsidR="005C3CDB" w:rsidRDefault="005C3CDB" w:rsidP="00E844BD">
      <w:pPr>
        <w:pStyle w:val="Captions"/>
        <w:rPr>
          <w:i/>
          <w:iCs/>
        </w:rPr>
      </w:pPr>
      <w:bookmarkStart w:id="439" w:name="_Ref87282483"/>
      <w:bookmarkStart w:id="440" w:name="_Toc86911583"/>
      <w:r w:rsidRPr="00082708">
        <w:t>Figure</w:t>
      </w:r>
      <w:bookmarkEnd w:id="439"/>
      <w:r w:rsidR="00E844BD">
        <w:t xml:space="preserve"> E2.</w:t>
      </w:r>
      <w:r w:rsidRPr="00082708">
        <w:t xml:space="preserve"> Native, exotic and total species richness </w:t>
      </w:r>
      <w:r>
        <w:t xml:space="preserve">of the germinable soil seed banks </w:t>
      </w:r>
      <w:r w:rsidRPr="00082708">
        <w:t xml:space="preserve">in the littoral zones downstream </w:t>
      </w:r>
      <w:r w:rsidR="002727EF">
        <w:t>L</w:t>
      </w:r>
      <w:r w:rsidRPr="00082708">
        <w:t>ocks 1, 4 and 6.</w:t>
      </w:r>
      <w:bookmarkEnd w:id="440"/>
    </w:p>
    <w:p w14:paraId="5D4A9147" w14:textId="2D76F648" w:rsidR="005C3CDB" w:rsidRPr="00E844BD" w:rsidRDefault="005C3CDB" w:rsidP="00E844BD">
      <w:pPr>
        <w:rPr>
          <w:i/>
          <w:iCs/>
          <w:u w:val="single"/>
          <w:lang w:eastAsia="en-AU"/>
        </w:rPr>
      </w:pPr>
      <w:r w:rsidRPr="00E844BD">
        <w:rPr>
          <w:i/>
          <w:iCs/>
          <w:u w:val="single"/>
          <w:lang w:eastAsia="en-AU"/>
        </w:rPr>
        <w:t xml:space="preserve">Germinable </w:t>
      </w:r>
      <w:r w:rsidR="00E844BD">
        <w:rPr>
          <w:i/>
          <w:iCs/>
          <w:u w:val="single"/>
          <w:lang w:eastAsia="en-AU"/>
        </w:rPr>
        <w:t>s</w:t>
      </w:r>
      <w:r w:rsidRPr="00E844BD">
        <w:rPr>
          <w:i/>
          <w:iCs/>
          <w:u w:val="single"/>
          <w:lang w:eastAsia="en-AU"/>
        </w:rPr>
        <w:t xml:space="preserve">eed </w:t>
      </w:r>
      <w:r w:rsidR="00E844BD">
        <w:rPr>
          <w:i/>
          <w:iCs/>
          <w:u w:val="single"/>
          <w:lang w:eastAsia="en-AU"/>
        </w:rPr>
        <w:t>b</w:t>
      </w:r>
      <w:r w:rsidRPr="00E844BD">
        <w:rPr>
          <w:i/>
          <w:iCs/>
          <w:u w:val="single"/>
          <w:lang w:eastAsia="en-AU"/>
        </w:rPr>
        <w:t xml:space="preserve">ank </w:t>
      </w:r>
      <w:r w:rsidR="00E844BD">
        <w:rPr>
          <w:i/>
          <w:iCs/>
          <w:u w:val="single"/>
          <w:lang w:eastAsia="en-AU"/>
        </w:rPr>
        <w:t>c</w:t>
      </w:r>
      <w:r w:rsidRPr="00E844BD">
        <w:rPr>
          <w:i/>
          <w:iCs/>
          <w:u w:val="single"/>
          <w:lang w:eastAsia="en-AU"/>
        </w:rPr>
        <w:t xml:space="preserve">omposition </w:t>
      </w:r>
    </w:p>
    <w:p w14:paraId="10B43068" w14:textId="7C25E3FF" w:rsidR="005C3CDB" w:rsidRDefault="005C3CDB" w:rsidP="00E844BD">
      <w:pPr>
        <w:rPr>
          <w:lang w:val="en-US"/>
        </w:rPr>
      </w:pPr>
      <w:r w:rsidRPr="00366994">
        <w:rPr>
          <w:i/>
          <w:lang w:val="en-US"/>
        </w:rPr>
        <w:t>Sphaeromorphaea littoralis</w:t>
      </w:r>
      <w:r w:rsidRPr="00E40F46" w:rsidDel="005609BA">
        <w:rPr>
          <w:i/>
          <w:lang w:val="en-US"/>
        </w:rPr>
        <w:t xml:space="preserve"> </w:t>
      </w:r>
      <w:r w:rsidRPr="00E40F46">
        <w:rPr>
          <w:lang w:val="en-US"/>
        </w:rPr>
        <w:t>ha</w:t>
      </w:r>
      <w:r>
        <w:rPr>
          <w:lang w:val="en-US"/>
        </w:rPr>
        <w:t>d</w:t>
      </w:r>
      <w:r w:rsidRPr="00E40F46">
        <w:rPr>
          <w:lang w:val="en-US"/>
        </w:rPr>
        <w:t xml:space="preserve"> the highest abundance</w:t>
      </w:r>
      <w:r>
        <w:rPr>
          <w:lang w:val="en-US"/>
        </w:rPr>
        <w:t xml:space="preserve"> of the native species recorded</w:t>
      </w:r>
      <w:r w:rsidRPr="00E40F46">
        <w:rPr>
          <w:lang w:val="en-US"/>
        </w:rPr>
        <w:t xml:space="preserve">, followed by </w:t>
      </w:r>
      <w:r w:rsidRPr="00E40F46">
        <w:rPr>
          <w:i/>
          <w:lang w:val="en-US"/>
        </w:rPr>
        <w:t>C</w:t>
      </w:r>
      <w:r>
        <w:rPr>
          <w:i/>
          <w:lang w:val="en-US"/>
        </w:rPr>
        <w:t>yperus</w:t>
      </w:r>
      <w:r w:rsidRPr="00E40F46">
        <w:rPr>
          <w:i/>
          <w:lang w:val="en-US"/>
        </w:rPr>
        <w:t xml:space="preserve"> gymnocaulos</w:t>
      </w:r>
      <w:r w:rsidRPr="00E40F46">
        <w:rPr>
          <w:lang w:val="en-US"/>
        </w:rPr>
        <w:t xml:space="preserve"> </w:t>
      </w:r>
      <w:r>
        <w:rPr>
          <w:lang w:val="en-US"/>
        </w:rPr>
        <w:t>then</w:t>
      </w:r>
      <w:r w:rsidRPr="00E40F46">
        <w:rPr>
          <w:lang w:val="en-US"/>
        </w:rPr>
        <w:t xml:space="preserve"> </w:t>
      </w:r>
      <w:r w:rsidRPr="00E40F46">
        <w:rPr>
          <w:i/>
          <w:lang w:val="en-US"/>
        </w:rPr>
        <w:t>Persicaria lapathifolia</w:t>
      </w:r>
      <w:r w:rsidRPr="00E40F46">
        <w:rPr>
          <w:lang w:val="en-US"/>
        </w:rPr>
        <w:t xml:space="preserve">. Lock 1 recorded the highest </w:t>
      </w:r>
      <w:r>
        <w:rPr>
          <w:lang w:val="en-US"/>
        </w:rPr>
        <w:t>germinant density</w:t>
      </w:r>
      <w:r w:rsidRPr="00366994">
        <w:rPr>
          <w:lang w:val="en-US"/>
        </w:rPr>
        <w:t xml:space="preserve"> </w:t>
      </w:r>
      <w:r>
        <w:rPr>
          <w:lang w:val="en-US"/>
        </w:rPr>
        <w:t xml:space="preserve">the </w:t>
      </w:r>
      <w:r w:rsidR="00E844BD">
        <w:rPr>
          <w:lang w:val="en-US"/>
        </w:rPr>
        <w:t>aforementioned</w:t>
      </w:r>
      <w:r w:rsidRPr="00E40F46">
        <w:rPr>
          <w:lang w:val="en-US"/>
        </w:rPr>
        <w:t xml:space="preserve"> species </w:t>
      </w:r>
      <w:r>
        <w:rPr>
          <w:lang w:val="en-US"/>
        </w:rPr>
        <w:t>with</w:t>
      </w:r>
      <w:r w:rsidRPr="00E40F46">
        <w:rPr>
          <w:lang w:val="en-US"/>
        </w:rPr>
        <w:t xml:space="preserve"> </w:t>
      </w:r>
      <w:r w:rsidRPr="00E40F46">
        <w:rPr>
          <w:i/>
          <w:lang w:val="en-US"/>
        </w:rPr>
        <w:t>P</w:t>
      </w:r>
      <w:r>
        <w:rPr>
          <w:i/>
          <w:lang w:val="en-US"/>
        </w:rPr>
        <w:t>ersicaria</w:t>
      </w:r>
      <w:r w:rsidRPr="00E40F46">
        <w:rPr>
          <w:i/>
          <w:lang w:val="en-US"/>
        </w:rPr>
        <w:t xml:space="preserve"> lapathifolia </w:t>
      </w:r>
      <w:r>
        <w:rPr>
          <w:lang w:val="en-US"/>
        </w:rPr>
        <w:t xml:space="preserve">only </w:t>
      </w:r>
      <w:r w:rsidRPr="00E40F46">
        <w:rPr>
          <w:lang w:val="en-US"/>
        </w:rPr>
        <w:t xml:space="preserve">recorded </w:t>
      </w:r>
      <w:r w:rsidR="002727EF">
        <w:rPr>
          <w:lang w:val="en-US"/>
        </w:rPr>
        <w:t>below Lock</w:t>
      </w:r>
      <w:r w:rsidRPr="00E40F46">
        <w:rPr>
          <w:lang w:val="en-US"/>
        </w:rPr>
        <w:t xml:space="preserve"> </w:t>
      </w:r>
      <w:r>
        <w:rPr>
          <w:lang w:val="en-US"/>
        </w:rPr>
        <w:t>1</w:t>
      </w:r>
      <w:r w:rsidRPr="00E40F46">
        <w:rPr>
          <w:lang w:val="en-US"/>
        </w:rPr>
        <w:t xml:space="preserve">. </w:t>
      </w:r>
    </w:p>
    <w:p w14:paraId="6BB1B090" w14:textId="587E1FD0" w:rsidR="005C3CDB" w:rsidRDefault="005C3CDB" w:rsidP="00E844BD">
      <w:pPr>
        <w:rPr>
          <w:lang w:eastAsia="en-AU"/>
        </w:rPr>
      </w:pPr>
      <w:r w:rsidRPr="00E40F46">
        <w:rPr>
          <w:lang w:eastAsia="en-AU"/>
        </w:rPr>
        <w:t xml:space="preserve">Among all exotics, </w:t>
      </w:r>
      <w:r w:rsidRPr="00366994">
        <w:rPr>
          <w:i/>
          <w:iCs/>
          <w:lang w:val="en-US"/>
        </w:rPr>
        <w:t>H</w:t>
      </w:r>
      <w:r>
        <w:rPr>
          <w:i/>
          <w:iCs/>
          <w:lang w:val="en-US"/>
        </w:rPr>
        <w:t>eliotropium</w:t>
      </w:r>
      <w:r w:rsidRPr="00E40F46">
        <w:rPr>
          <w:i/>
          <w:iCs/>
          <w:lang w:eastAsia="en-AU"/>
        </w:rPr>
        <w:t xml:space="preserve"> curassavicum </w:t>
      </w:r>
      <w:r w:rsidRPr="00E40F46">
        <w:rPr>
          <w:lang w:eastAsia="en-AU"/>
        </w:rPr>
        <w:t xml:space="preserve">followed by </w:t>
      </w:r>
      <w:r w:rsidRPr="00E40F46">
        <w:rPr>
          <w:i/>
          <w:iCs/>
          <w:lang w:eastAsia="en-AU"/>
        </w:rPr>
        <w:t>Medicago</w:t>
      </w:r>
      <w:r w:rsidRPr="00E40F46">
        <w:rPr>
          <w:lang w:eastAsia="en-AU"/>
        </w:rPr>
        <w:t xml:space="preserve"> were recorded </w:t>
      </w:r>
      <w:r>
        <w:rPr>
          <w:lang w:eastAsia="en-AU"/>
        </w:rPr>
        <w:t xml:space="preserve">the </w:t>
      </w:r>
      <w:r w:rsidRPr="00E40F46">
        <w:rPr>
          <w:lang w:eastAsia="en-AU"/>
        </w:rPr>
        <w:t>most across all sites</w:t>
      </w:r>
      <w:r>
        <w:rPr>
          <w:lang w:eastAsia="en-AU"/>
        </w:rPr>
        <w:t>, with</w:t>
      </w:r>
      <w:r w:rsidRPr="00E40F46">
        <w:rPr>
          <w:lang w:eastAsia="en-AU"/>
        </w:rPr>
        <w:t xml:space="preserve"> </w:t>
      </w:r>
      <w:r w:rsidRPr="00366994">
        <w:rPr>
          <w:i/>
          <w:iCs/>
          <w:lang w:val="en-US"/>
        </w:rPr>
        <w:t>H</w:t>
      </w:r>
      <w:r>
        <w:rPr>
          <w:i/>
          <w:iCs/>
          <w:lang w:val="en-US"/>
        </w:rPr>
        <w:t>eliotropium</w:t>
      </w:r>
      <w:r w:rsidRPr="00E40F46" w:rsidDel="005609BA">
        <w:rPr>
          <w:i/>
          <w:iCs/>
          <w:lang w:eastAsia="en-AU"/>
        </w:rPr>
        <w:t xml:space="preserve"> </w:t>
      </w:r>
      <w:r w:rsidRPr="00E40F46">
        <w:rPr>
          <w:i/>
          <w:iCs/>
          <w:lang w:eastAsia="en-AU"/>
        </w:rPr>
        <w:t>curassavicum</w:t>
      </w:r>
      <w:r w:rsidRPr="00E40F46">
        <w:rPr>
          <w:lang w:eastAsia="en-AU"/>
        </w:rPr>
        <w:t xml:space="preserve"> most abundant </w:t>
      </w:r>
      <w:r w:rsidR="002727EF">
        <w:rPr>
          <w:lang w:eastAsia="en-AU"/>
        </w:rPr>
        <w:t>below Lock</w:t>
      </w:r>
      <w:r w:rsidRPr="00E40F46">
        <w:rPr>
          <w:lang w:eastAsia="en-AU"/>
        </w:rPr>
        <w:t xml:space="preserve"> 6</w:t>
      </w:r>
      <w:r>
        <w:rPr>
          <w:lang w:eastAsia="en-AU"/>
        </w:rPr>
        <w:t xml:space="preserve"> and</w:t>
      </w:r>
      <w:r w:rsidRPr="00E40F46">
        <w:rPr>
          <w:lang w:eastAsia="en-AU"/>
        </w:rPr>
        <w:t xml:space="preserve"> </w:t>
      </w:r>
      <w:r w:rsidRPr="00E40F46">
        <w:rPr>
          <w:i/>
          <w:iCs/>
          <w:lang w:eastAsia="en-AU"/>
        </w:rPr>
        <w:t>Medicago</w:t>
      </w:r>
      <w:r>
        <w:rPr>
          <w:i/>
          <w:iCs/>
          <w:lang w:eastAsia="en-AU"/>
        </w:rPr>
        <w:t xml:space="preserve"> </w:t>
      </w:r>
      <w:r w:rsidR="002727EF">
        <w:rPr>
          <w:lang w:eastAsia="en-AU"/>
        </w:rPr>
        <w:t>below Lock</w:t>
      </w:r>
      <w:r w:rsidRPr="00E40F46">
        <w:rPr>
          <w:lang w:eastAsia="en-AU"/>
        </w:rPr>
        <w:t xml:space="preserve"> </w:t>
      </w:r>
      <w:r>
        <w:rPr>
          <w:lang w:eastAsia="en-AU"/>
        </w:rPr>
        <w:t>1</w:t>
      </w:r>
      <w:r w:rsidRPr="00E40F46">
        <w:rPr>
          <w:lang w:eastAsia="en-AU"/>
        </w:rPr>
        <w:t>.</w:t>
      </w:r>
      <w:r w:rsidRPr="00366994">
        <w:rPr>
          <w:lang w:eastAsia="en-AU"/>
        </w:rPr>
        <w:t xml:space="preserve"> </w:t>
      </w:r>
    </w:p>
    <w:p w14:paraId="1ACF79A7" w14:textId="787BC8B2" w:rsidR="005C3CDB" w:rsidRDefault="005C3CDB" w:rsidP="00E844BD">
      <w:pPr>
        <w:rPr>
          <w:lang w:eastAsia="en-AU"/>
        </w:rPr>
      </w:pPr>
      <w:r w:rsidRPr="00DA3652">
        <w:rPr>
          <w:i/>
          <w:iCs/>
          <w:lang w:eastAsia="en-AU"/>
        </w:rPr>
        <w:t>Cyperus gymnocaulos</w:t>
      </w:r>
      <w:r>
        <w:rPr>
          <w:lang w:eastAsia="en-AU"/>
        </w:rPr>
        <w:t xml:space="preserve"> was most abundant </w:t>
      </w:r>
      <w:r w:rsidR="002727EF">
        <w:rPr>
          <w:lang w:eastAsia="en-AU"/>
        </w:rPr>
        <w:t>below Lock</w:t>
      </w:r>
      <w:r>
        <w:rPr>
          <w:lang w:eastAsia="en-AU"/>
        </w:rPr>
        <w:t xml:space="preserve"> 1 but also found </w:t>
      </w:r>
      <w:r w:rsidR="002727EF">
        <w:rPr>
          <w:lang w:eastAsia="en-AU"/>
        </w:rPr>
        <w:t>below Lock</w:t>
      </w:r>
      <w:r>
        <w:rPr>
          <w:lang w:eastAsia="en-AU"/>
        </w:rPr>
        <w:t xml:space="preserve">s 4 and 6. </w:t>
      </w:r>
      <w:r w:rsidRPr="00366994">
        <w:rPr>
          <w:i/>
          <w:iCs/>
          <w:lang w:val="en-US"/>
        </w:rPr>
        <w:t>Sphaeromorphaea littoralis</w:t>
      </w:r>
      <w:r w:rsidRPr="00E40F46" w:rsidDel="005609BA">
        <w:rPr>
          <w:i/>
          <w:iCs/>
          <w:lang w:val="en-US"/>
        </w:rPr>
        <w:t xml:space="preserve"> </w:t>
      </w:r>
      <w:r>
        <w:rPr>
          <w:lang w:eastAsia="en-AU"/>
        </w:rPr>
        <w:t xml:space="preserve">was more abundant </w:t>
      </w:r>
      <w:r w:rsidR="002727EF">
        <w:rPr>
          <w:lang w:eastAsia="en-AU"/>
        </w:rPr>
        <w:t>below Lock</w:t>
      </w:r>
      <w:r>
        <w:rPr>
          <w:lang w:eastAsia="en-AU"/>
        </w:rPr>
        <w:t xml:space="preserve"> 1 and 4 but also present </w:t>
      </w:r>
      <w:r w:rsidR="002727EF">
        <w:rPr>
          <w:lang w:eastAsia="en-AU"/>
        </w:rPr>
        <w:t>below Lock</w:t>
      </w:r>
      <w:r>
        <w:rPr>
          <w:lang w:eastAsia="en-AU"/>
        </w:rPr>
        <w:t xml:space="preserve"> 6. </w:t>
      </w:r>
      <w:r w:rsidRPr="00B22880">
        <w:rPr>
          <w:i/>
          <w:iCs/>
          <w:lang w:eastAsia="en-AU"/>
        </w:rPr>
        <w:t>Spergularia marina</w:t>
      </w:r>
      <w:r>
        <w:rPr>
          <w:lang w:eastAsia="en-AU"/>
        </w:rPr>
        <w:t xml:space="preserve"> was widespread across all sites and elevations. </w:t>
      </w:r>
      <w:r w:rsidRPr="00DA3652">
        <w:rPr>
          <w:i/>
          <w:iCs/>
          <w:lang w:eastAsia="en-AU"/>
        </w:rPr>
        <w:t>Stemodia florulenta</w:t>
      </w:r>
      <w:r>
        <w:rPr>
          <w:lang w:eastAsia="en-AU"/>
        </w:rPr>
        <w:t xml:space="preserve"> was recorded across all sites but more abundant </w:t>
      </w:r>
      <w:r w:rsidR="002727EF">
        <w:rPr>
          <w:lang w:eastAsia="en-AU"/>
        </w:rPr>
        <w:t>below Lock</w:t>
      </w:r>
      <w:r>
        <w:rPr>
          <w:lang w:eastAsia="en-AU"/>
        </w:rPr>
        <w:t xml:space="preserve"> 4. </w:t>
      </w:r>
    </w:p>
    <w:p w14:paraId="247AC087" w14:textId="3D01757C" w:rsidR="005C3CDB" w:rsidRDefault="005C3CDB" w:rsidP="00E844BD">
      <w:pPr>
        <w:rPr>
          <w:lang w:eastAsia="en-AU"/>
        </w:rPr>
      </w:pPr>
      <w:r>
        <w:rPr>
          <w:lang w:eastAsia="en-AU"/>
        </w:rPr>
        <w:t xml:space="preserve">PERMANOVA comparing the germinable soil seed bank between sites and elevations detected significant differences between sites, elevations and a significant interaction indicating the differences were not consistent across elevations at each site </w:t>
      </w:r>
      <w:r w:rsidR="00E844BD">
        <w:rPr>
          <w:lang w:eastAsia="en-AU"/>
        </w:rPr>
        <w:t>(Table E</w:t>
      </w:r>
      <w:r w:rsidR="00404EDB">
        <w:rPr>
          <w:lang w:eastAsia="en-AU"/>
        </w:rPr>
        <w:t>4</w:t>
      </w:r>
      <w:r w:rsidR="00E844BD">
        <w:rPr>
          <w:lang w:eastAsia="en-AU"/>
        </w:rPr>
        <w:t>)</w:t>
      </w:r>
      <w:r>
        <w:rPr>
          <w:lang w:eastAsia="en-AU"/>
        </w:rPr>
        <w:t>.</w:t>
      </w:r>
    </w:p>
    <w:p w14:paraId="0FBF0525" w14:textId="77777777" w:rsidR="00190C43" w:rsidRDefault="00190C43" w:rsidP="00E844BD">
      <w:pPr>
        <w:pStyle w:val="Captions"/>
      </w:pPr>
      <w:bookmarkStart w:id="441" w:name="_Ref87284012"/>
      <w:bookmarkStart w:id="442" w:name="_Toc86930552"/>
    </w:p>
    <w:p w14:paraId="4545F551" w14:textId="77777777" w:rsidR="00190C43" w:rsidRDefault="00190C43" w:rsidP="00E844BD">
      <w:pPr>
        <w:pStyle w:val="Captions"/>
      </w:pPr>
    </w:p>
    <w:p w14:paraId="7FD76DBB" w14:textId="77777777" w:rsidR="00190C43" w:rsidRDefault="00190C43" w:rsidP="00E844BD">
      <w:pPr>
        <w:pStyle w:val="Captions"/>
      </w:pPr>
    </w:p>
    <w:p w14:paraId="4DABDCC6" w14:textId="77777777" w:rsidR="00190C43" w:rsidRDefault="00190C43" w:rsidP="00E844BD">
      <w:pPr>
        <w:pStyle w:val="Captions"/>
      </w:pPr>
    </w:p>
    <w:p w14:paraId="4A298A93" w14:textId="77777777" w:rsidR="00190C43" w:rsidRDefault="00190C43" w:rsidP="00E844BD">
      <w:pPr>
        <w:pStyle w:val="Captions"/>
      </w:pPr>
    </w:p>
    <w:p w14:paraId="1438D21D" w14:textId="55416E19" w:rsidR="005C3CDB" w:rsidRPr="005A707D" w:rsidRDefault="005C3CDB" w:rsidP="00E844BD">
      <w:pPr>
        <w:pStyle w:val="Captions"/>
        <w:rPr>
          <w:i/>
          <w:iCs/>
        </w:rPr>
      </w:pPr>
      <w:r w:rsidRPr="005A707D">
        <w:t>Table</w:t>
      </w:r>
      <w:bookmarkEnd w:id="441"/>
      <w:r w:rsidR="00E844BD">
        <w:t xml:space="preserve"> E</w:t>
      </w:r>
      <w:r w:rsidR="00404EDB">
        <w:t>4</w:t>
      </w:r>
      <w:r w:rsidR="00E844BD">
        <w:t>.</w:t>
      </w:r>
      <w:r w:rsidRPr="005A707D">
        <w:t xml:space="preserve"> PERMANOVA results comparing the </w:t>
      </w:r>
      <w:r>
        <w:t xml:space="preserve">germinable soil </w:t>
      </w:r>
      <w:r w:rsidRPr="005A707D">
        <w:t>seed bank composition at different elevations at sites below Locks 1, 4 and 6 on the</w:t>
      </w:r>
      <w:r>
        <w:t xml:space="preserve"> Lower</w:t>
      </w:r>
      <w:r w:rsidRPr="005A707D">
        <w:t xml:space="preserve"> Murray</w:t>
      </w:r>
      <w:r>
        <w:t xml:space="preserve"> River</w:t>
      </w:r>
      <w:r w:rsidRPr="005A707D">
        <w:t>.</w:t>
      </w:r>
      <w:bookmarkEnd w:id="442"/>
    </w:p>
    <w:tbl>
      <w:tblPr>
        <w:tblStyle w:val="TableGrid"/>
        <w:tblW w:w="0" w:type="auto"/>
        <w:jc w:val="center"/>
        <w:tblLook w:val="04A0" w:firstRow="1" w:lastRow="0" w:firstColumn="1" w:lastColumn="0" w:noHBand="0" w:noVBand="1"/>
      </w:tblPr>
      <w:tblGrid>
        <w:gridCol w:w="2041"/>
        <w:gridCol w:w="1027"/>
        <w:gridCol w:w="1247"/>
        <w:gridCol w:w="851"/>
      </w:tblGrid>
      <w:tr w:rsidR="005C3CDB" w14:paraId="6F263690" w14:textId="77777777" w:rsidTr="002727EF">
        <w:trPr>
          <w:jc w:val="center"/>
        </w:trPr>
        <w:tc>
          <w:tcPr>
            <w:tcW w:w="2041" w:type="dxa"/>
          </w:tcPr>
          <w:p w14:paraId="62E1588F" w14:textId="77777777" w:rsidR="005C3CDB" w:rsidRPr="005A707D" w:rsidRDefault="005C3CDB" w:rsidP="005E02A7">
            <w:pPr>
              <w:keepNext/>
              <w:spacing w:line="360" w:lineRule="auto"/>
              <w:contextualSpacing/>
              <w:rPr>
                <w:b/>
                <w:bCs/>
              </w:rPr>
            </w:pPr>
            <w:r w:rsidRPr="005A707D">
              <w:rPr>
                <w:b/>
                <w:bCs/>
              </w:rPr>
              <w:t>Factor</w:t>
            </w:r>
          </w:p>
        </w:tc>
        <w:tc>
          <w:tcPr>
            <w:tcW w:w="1027" w:type="dxa"/>
          </w:tcPr>
          <w:p w14:paraId="7A0F3E5D" w14:textId="77777777" w:rsidR="005C3CDB" w:rsidRPr="005A707D" w:rsidRDefault="005C3CDB" w:rsidP="005E02A7">
            <w:pPr>
              <w:keepNext/>
              <w:spacing w:line="360" w:lineRule="auto"/>
              <w:contextualSpacing/>
              <w:rPr>
                <w:b/>
                <w:bCs/>
                <w:i/>
                <w:iCs/>
              </w:rPr>
            </w:pPr>
            <w:r w:rsidRPr="005A707D">
              <w:rPr>
                <w:b/>
                <w:bCs/>
                <w:i/>
                <w:iCs/>
              </w:rPr>
              <w:t>df</w:t>
            </w:r>
          </w:p>
        </w:tc>
        <w:tc>
          <w:tcPr>
            <w:tcW w:w="1247" w:type="dxa"/>
          </w:tcPr>
          <w:p w14:paraId="35D85C83" w14:textId="77777777" w:rsidR="005C3CDB" w:rsidRPr="005A707D" w:rsidRDefault="005C3CDB" w:rsidP="005E02A7">
            <w:pPr>
              <w:keepNext/>
              <w:spacing w:line="360" w:lineRule="auto"/>
              <w:contextualSpacing/>
              <w:rPr>
                <w:b/>
                <w:bCs/>
                <w:i/>
                <w:iCs/>
              </w:rPr>
            </w:pPr>
            <w:r w:rsidRPr="005A707D">
              <w:rPr>
                <w:b/>
                <w:bCs/>
                <w:i/>
                <w:iCs/>
              </w:rPr>
              <w:t>Pseudo-F</w:t>
            </w:r>
          </w:p>
        </w:tc>
        <w:tc>
          <w:tcPr>
            <w:tcW w:w="851" w:type="dxa"/>
          </w:tcPr>
          <w:p w14:paraId="4861E8A1" w14:textId="77777777" w:rsidR="005C3CDB" w:rsidRPr="005A707D" w:rsidRDefault="005C3CDB" w:rsidP="005E02A7">
            <w:pPr>
              <w:keepNext/>
              <w:spacing w:line="360" w:lineRule="auto"/>
              <w:contextualSpacing/>
              <w:rPr>
                <w:b/>
                <w:bCs/>
                <w:i/>
                <w:iCs/>
              </w:rPr>
            </w:pPr>
            <w:r w:rsidRPr="005A707D">
              <w:rPr>
                <w:b/>
                <w:bCs/>
                <w:i/>
                <w:iCs/>
              </w:rPr>
              <w:t>P</w:t>
            </w:r>
          </w:p>
        </w:tc>
      </w:tr>
      <w:tr w:rsidR="005C3CDB" w14:paraId="622A54BC" w14:textId="77777777" w:rsidTr="002727EF">
        <w:trPr>
          <w:jc w:val="center"/>
        </w:trPr>
        <w:tc>
          <w:tcPr>
            <w:tcW w:w="2041" w:type="dxa"/>
          </w:tcPr>
          <w:p w14:paraId="2808167E" w14:textId="77777777" w:rsidR="005C3CDB" w:rsidRDefault="005C3CDB" w:rsidP="005E02A7">
            <w:pPr>
              <w:keepNext/>
              <w:spacing w:line="360" w:lineRule="auto"/>
              <w:contextualSpacing/>
            </w:pPr>
            <w:r>
              <w:t>Lock</w:t>
            </w:r>
          </w:p>
        </w:tc>
        <w:tc>
          <w:tcPr>
            <w:tcW w:w="1027" w:type="dxa"/>
          </w:tcPr>
          <w:p w14:paraId="5953B411" w14:textId="77777777" w:rsidR="005C3CDB" w:rsidRDefault="005C3CDB" w:rsidP="005E02A7">
            <w:pPr>
              <w:keepNext/>
              <w:spacing w:line="360" w:lineRule="auto"/>
              <w:contextualSpacing/>
            </w:pPr>
            <w:r>
              <w:t>2, 197</w:t>
            </w:r>
          </w:p>
        </w:tc>
        <w:tc>
          <w:tcPr>
            <w:tcW w:w="1247" w:type="dxa"/>
          </w:tcPr>
          <w:p w14:paraId="7B2FD746" w14:textId="77777777" w:rsidR="005C3CDB" w:rsidRDefault="005C3CDB" w:rsidP="005E02A7">
            <w:pPr>
              <w:keepNext/>
              <w:spacing w:line="360" w:lineRule="auto"/>
              <w:contextualSpacing/>
            </w:pPr>
            <w:r>
              <w:t>3.51</w:t>
            </w:r>
          </w:p>
        </w:tc>
        <w:tc>
          <w:tcPr>
            <w:tcW w:w="851" w:type="dxa"/>
          </w:tcPr>
          <w:p w14:paraId="7562963B" w14:textId="77777777" w:rsidR="005C3CDB" w:rsidRDefault="005C3CDB" w:rsidP="005E02A7">
            <w:pPr>
              <w:keepNext/>
              <w:spacing w:line="360" w:lineRule="auto"/>
              <w:contextualSpacing/>
            </w:pPr>
            <w:r>
              <w:t>0.002</w:t>
            </w:r>
          </w:p>
        </w:tc>
      </w:tr>
      <w:tr w:rsidR="005C3CDB" w14:paraId="0F10A567" w14:textId="77777777" w:rsidTr="002727EF">
        <w:trPr>
          <w:jc w:val="center"/>
        </w:trPr>
        <w:tc>
          <w:tcPr>
            <w:tcW w:w="2041" w:type="dxa"/>
          </w:tcPr>
          <w:p w14:paraId="0D01A184" w14:textId="77777777" w:rsidR="005C3CDB" w:rsidRDefault="005C3CDB" w:rsidP="005E02A7">
            <w:pPr>
              <w:keepNext/>
              <w:spacing w:line="360" w:lineRule="auto"/>
              <w:contextualSpacing/>
            </w:pPr>
            <w:r>
              <w:t>Elevation</w:t>
            </w:r>
          </w:p>
        </w:tc>
        <w:tc>
          <w:tcPr>
            <w:tcW w:w="1027" w:type="dxa"/>
          </w:tcPr>
          <w:p w14:paraId="129E0A0A" w14:textId="77777777" w:rsidR="005C3CDB" w:rsidRDefault="005C3CDB" w:rsidP="005E02A7">
            <w:pPr>
              <w:keepNext/>
              <w:spacing w:line="360" w:lineRule="auto"/>
              <w:contextualSpacing/>
            </w:pPr>
            <w:r>
              <w:t>10, 197</w:t>
            </w:r>
          </w:p>
        </w:tc>
        <w:tc>
          <w:tcPr>
            <w:tcW w:w="1247" w:type="dxa"/>
          </w:tcPr>
          <w:p w14:paraId="53F3E73E" w14:textId="77777777" w:rsidR="005C3CDB" w:rsidRDefault="005C3CDB" w:rsidP="005E02A7">
            <w:pPr>
              <w:keepNext/>
              <w:spacing w:line="360" w:lineRule="auto"/>
              <w:contextualSpacing/>
            </w:pPr>
            <w:r>
              <w:t>2.19</w:t>
            </w:r>
          </w:p>
        </w:tc>
        <w:tc>
          <w:tcPr>
            <w:tcW w:w="851" w:type="dxa"/>
          </w:tcPr>
          <w:p w14:paraId="4EFB058C" w14:textId="77777777" w:rsidR="005C3CDB" w:rsidRDefault="005C3CDB" w:rsidP="005E02A7">
            <w:pPr>
              <w:keepNext/>
              <w:spacing w:line="360" w:lineRule="auto"/>
              <w:contextualSpacing/>
            </w:pPr>
            <w:r>
              <w:t>0.001</w:t>
            </w:r>
          </w:p>
        </w:tc>
      </w:tr>
      <w:tr w:rsidR="005C3CDB" w14:paraId="7A85C417" w14:textId="77777777" w:rsidTr="002727EF">
        <w:trPr>
          <w:jc w:val="center"/>
        </w:trPr>
        <w:tc>
          <w:tcPr>
            <w:tcW w:w="2041" w:type="dxa"/>
          </w:tcPr>
          <w:p w14:paraId="0CA61638" w14:textId="77777777" w:rsidR="005C3CDB" w:rsidRDefault="005C3CDB" w:rsidP="005E02A7">
            <w:pPr>
              <w:keepNext/>
              <w:spacing w:line="360" w:lineRule="auto"/>
              <w:contextualSpacing/>
            </w:pPr>
            <w:r>
              <w:t>Lock x Elevation</w:t>
            </w:r>
          </w:p>
        </w:tc>
        <w:tc>
          <w:tcPr>
            <w:tcW w:w="1027" w:type="dxa"/>
          </w:tcPr>
          <w:p w14:paraId="5AAF25DA" w14:textId="77777777" w:rsidR="005C3CDB" w:rsidRDefault="005C3CDB" w:rsidP="005E02A7">
            <w:pPr>
              <w:keepNext/>
              <w:spacing w:line="360" w:lineRule="auto"/>
              <w:contextualSpacing/>
            </w:pPr>
            <w:r>
              <w:t>20, 197</w:t>
            </w:r>
          </w:p>
        </w:tc>
        <w:tc>
          <w:tcPr>
            <w:tcW w:w="1247" w:type="dxa"/>
          </w:tcPr>
          <w:p w14:paraId="0C4C0F4A" w14:textId="77777777" w:rsidR="005C3CDB" w:rsidRDefault="005C3CDB" w:rsidP="005E02A7">
            <w:pPr>
              <w:keepNext/>
              <w:spacing w:line="360" w:lineRule="auto"/>
              <w:contextualSpacing/>
            </w:pPr>
            <w:r>
              <w:t>1.30</w:t>
            </w:r>
          </w:p>
        </w:tc>
        <w:tc>
          <w:tcPr>
            <w:tcW w:w="851" w:type="dxa"/>
          </w:tcPr>
          <w:p w14:paraId="5CF33D5B" w14:textId="77777777" w:rsidR="005C3CDB" w:rsidRDefault="005C3CDB" w:rsidP="005E02A7">
            <w:pPr>
              <w:keepNext/>
              <w:spacing w:line="360" w:lineRule="auto"/>
              <w:contextualSpacing/>
            </w:pPr>
            <w:r>
              <w:t>0.032</w:t>
            </w:r>
          </w:p>
        </w:tc>
      </w:tr>
    </w:tbl>
    <w:p w14:paraId="06F77775" w14:textId="77777777" w:rsidR="002727EF" w:rsidRDefault="002727EF" w:rsidP="00E844BD"/>
    <w:p w14:paraId="64E3BAB1" w14:textId="27A94C99" w:rsidR="002727EF" w:rsidRDefault="00F223C8" w:rsidP="00E844BD">
      <w:r w:rsidRPr="00F223C8">
        <w:t>Despite the significant differences between sites and elevations, nMDS ordinations comparing the germinable soil seed bank composition between elevations at each site showed no clear patterns with respect to elevation. Hence, there was no zonation of the littoral zone soil seed bank with respect to elevation downstream of Locks 1, 4 and 6 (Figure E3).</w:t>
      </w:r>
    </w:p>
    <w:p w14:paraId="24EC484D" w14:textId="77777777" w:rsidR="00F223C8" w:rsidRPr="00AA2CAD" w:rsidRDefault="00F223C8" w:rsidP="00E844BD">
      <w:pPr>
        <w:rPr>
          <w:i/>
          <w:iCs/>
        </w:rPr>
      </w:pPr>
    </w:p>
    <w:p w14:paraId="11B14E7A" w14:textId="77777777" w:rsidR="005C3CDB" w:rsidRDefault="005C3CDB" w:rsidP="005C3CDB">
      <w:pPr>
        <w:keepNext/>
        <w:spacing w:line="360" w:lineRule="auto"/>
      </w:pPr>
      <w:r w:rsidRPr="005D0F4E">
        <w:rPr>
          <w:noProof/>
        </w:rPr>
        <w:drawing>
          <wp:inline distT="0" distB="0" distL="0" distR="0" wp14:anchorId="1E7CF052" wp14:editId="3A1C48C4">
            <wp:extent cx="5805055" cy="403798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472"/>
                    <a:stretch/>
                  </pic:blipFill>
                  <pic:spPr bwMode="auto">
                    <a:xfrm>
                      <a:off x="0" y="0"/>
                      <a:ext cx="5813363" cy="4043767"/>
                    </a:xfrm>
                    <a:prstGeom prst="rect">
                      <a:avLst/>
                    </a:prstGeom>
                    <a:noFill/>
                    <a:ln>
                      <a:noFill/>
                    </a:ln>
                    <a:extLst>
                      <a:ext uri="{53640926-AAD7-44D8-BBD7-CCE9431645EC}">
                        <a14:shadowObscured xmlns:a14="http://schemas.microsoft.com/office/drawing/2010/main"/>
                      </a:ext>
                    </a:extLst>
                  </pic:spPr>
                </pic:pic>
              </a:graphicData>
            </a:graphic>
          </wp:inline>
        </w:drawing>
      </w:r>
    </w:p>
    <w:p w14:paraId="011A0284" w14:textId="708520CE" w:rsidR="00190C43" w:rsidRDefault="005C3CDB" w:rsidP="002727EF">
      <w:pPr>
        <w:pStyle w:val="Captions"/>
      </w:pPr>
      <w:bookmarkStart w:id="443" w:name="_Ref87282677"/>
      <w:r w:rsidRPr="005D0F4E">
        <w:t>Figure</w:t>
      </w:r>
      <w:bookmarkEnd w:id="443"/>
      <w:r w:rsidR="00E844BD">
        <w:t xml:space="preserve"> E3.</w:t>
      </w:r>
      <w:r w:rsidRPr="005D0F4E">
        <w:t xml:space="preserve"> NMS ordination comparing germinable seed bank composition at all sampled elevations downstream a) Lock 1 b) Lock 4 and c) Lock 6 sites</w:t>
      </w:r>
      <w:r w:rsidRPr="00420ED3">
        <w:t>.</w:t>
      </w:r>
      <w:bookmarkStart w:id="444" w:name="_Toc86909486"/>
    </w:p>
    <w:p w14:paraId="3E486A22" w14:textId="77777777" w:rsidR="002727EF" w:rsidRPr="002727EF" w:rsidRDefault="002727EF" w:rsidP="002727EF">
      <w:pPr>
        <w:rPr>
          <w:lang w:val="en-US" w:eastAsia="en-AU"/>
        </w:rPr>
      </w:pPr>
    </w:p>
    <w:p w14:paraId="0A6C9CF1" w14:textId="1D7090E6" w:rsidR="005C3CDB" w:rsidRPr="00E844BD" w:rsidRDefault="00E844BD" w:rsidP="00E844BD">
      <w:pPr>
        <w:rPr>
          <w:b/>
          <w:bCs/>
          <w:i/>
          <w:iCs/>
          <w:color w:val="44546A" w:themeColor="text2"/>
          <w:sz w:val="24"/>
          <w:szCs w:val="24"/>
        </w:rPr>
      </w:pPr>
      <w:r w:rsidRPr="00EB2994">
        <w:rPr>
          <w:b/>
          <w:bCs/>
          <w:i/>
          <w:iCs/>
          <w:color w:val="44546A" w:themeColor="text2"/>
          <w:sz w:val="24"/>
          <w:szCs w:val="24"/>
        </w:rPr>
        <w:t>Discussion</w:t>
      </w:r>
      <w:bookmarkEnd w:id="444"/>
      <w:r w:rsidR="008B34FC" w:rsidRPr="00EB2994">
        <w:rPr>
          <w:b/>
          <w:bCs/>
          <w:i/>
          <w:iCs/>
          <w:color w:val="44546A" w:themeColor="text2"/>
          <w:sz w:val="24"/>
          <w:szCs w:val="24"/>
        </w:rPr>
        <w:t xml:space="preserve"> and management implications</w:t>
      </w:r>
    </w:p>
    <w:p w14:paraId="2F821B97" w14:textId="7FEEC410" w:rsidR="00E844BD" w:rsidRDefault="00E844BD" w:rsidP="00E844BD">
      <w:r w:rsidRPr="00366994">
        <w:t xml:space="preserve">Results showed that there </w:t>
      </w:r>
      <w:r>
        <w:t>wa</w:t>
      </w:r>
      <w:r w:rsidRPr="00366994">
        <w:t>s a</w:t>
      </w:r>
      <w:r>
        <w:t xml:space="preserve"> viable soil</w:t>
      </w:r>
      <w:r w:rsidRPr="00366994">
        <w:t xml:space="preserve"> seed bank in the littoral zone capable of regenerating after disturbance,</w:t>
      </w:r>
      <w:r>
        <w:t xml:space="preserve"> but</w:t>
      </w:r>
      <w:r w:rsidRPr="00366994">
        <w:t xml:space="preserve"> several pest </w:t>
      </w:r>
      <w:r>
        <w:t>species were also present. However,</w:t>
      </w:r>
      <w:r w:rsidRPr="00366994">
        <w:t xml:space="preserve"> the seed bank of the</w:t>
      </w:r>
      <w:r>
        <w:t xml:space="preserve"> littoral zone of</w:t>
      </w:r>
      <w:r w:rsidRPr="00366994">
        <w:t xml:space="preserve"> Lower Murray </w:t>
      </w:r>
      <w:r>
        <w:t xml:space="preserve">River </w:t>
      </w:r>
      <w:r w:rsidRPr="00366994">
        <w:t>is depauperate compared to similar systems such as the Chowilla Floodplain or the Menindee Lakes where seed densities of 50,000 to 100,000 seeds</w:t>
      </w:r>
      <w:r>
        <w:t xml:space="preserve"> </w:t>
      </w:r>
      <w:r w:rsidRPr="00366994">
        <w:t>m</w:t>
      </w:r>
      <w:r>
        <w:rPr>
          <w:vertAlign w:val="superscript"/>
        </w:rPr>
        <w:t>-2</w:t>
      </w:r>
      <w:r w:rsidRPr="00366994">
        <w:t xml:space="preserve"> and 30 to 60 native species have been commonly recorded</w:t>
      </w:r>
      <w:r>
        <w:t xml:space="preserve"> (Table E</w:t>
      </w:r>
      <w:r w:rsidR="00404EDB">
        <w:t>5</w:t>
      </w:r>
      <w:r>
        <w:t>)</w:t>
      </w:r>
      <w:r w:rsidRPr="00366994">
        <w:t>.</w:t>
      </w:r>
      <w:r w:rsidRPr="00984BA2">
        <w:t xml:space="preserve"> </w:t>
      </w:r>
    </w:p>
    <w:p w14:paraId="2D692BBA" w14:textId="145E7043" w:rsidR="00E844BD" w:rsidRPr="00082708" w:rsidRDefault="00E844BD" w:rsidP="00E844BD">
      <w:pPr>
        <w:pStyle w:val="Captions"/>
        <w:rPr>
          <w:i/>
          <w:iCs/>
        </w:rPr>
      </w:pPr>
      <w:bookmarkStart w:id="445" w:name="_Toc86930553"/>
      <w:r w:rsidRPr="00082708">
        <w:t xml:space="preserve">Table </w:t>
      </w:r>
      <w:r w:rsidRPr="00E844BD">
        <w:t>E</w:t>
      </w:r>
      <w:r w:rsidR="00404EDB">
        <w:t>5</w:t>
      </w:r>
      <w:bookmarkEnd w:id="445"/>
      <w:r w:rsidR="008F1D94">
        <w:rPr>
          <w:i/>
          <w:iCs/>
        </w:rPr>
        <w:t xml:space="preserve">. </w:t>
      </w:r>
      <w:r w:rsidR="008F1D94" w:rsidRPr="00082708">
        <w:t>Maximum seed density (to 5 cm depth) and species richness reported for arid/semi-arid wetlands in eastern Australia (*wetlands sampled from the Lower Lakes were historically permanent but dry when sampled due to low water levels between 2007 and 2010).</w:t>
      </w:r>
    </w:p>
    <w:tbl>
      <w:tblPr>
        <w:tblStyle w:val="TableGrid"/>
        <w:tblW w:w="5000" w:type="pct"/>
        <w:tblLook w:val="04A0" w:firstRow="1" w:lastRow="0" w:firstColumn="1" w:lastColumn="0" w:noHBand="0" w:noVBand="1"/>
      </w:tblPr>
      <w:tblGrid>
        <w:gridCol w:w="1891"/>
        <w:gridCol w:w="1342"/>
        <w:gridCol w:w="1457"/>
        <w:gridCol w:w="1542"/>
        <w:gridCol w:w="1134"/>
        <w:gridCol w:w="1650"/>
      </w:tblGrid>
      <w:tr w:rsidR="008F1D94" w:rsidRPr="002727EF" w14:paraId="19F7DED8" w14:textId="77777777" w:rsidTr="00904C65">
        <w:trPr>
          <w:trHeight w:val="624"/>
        </w:trPr>
        <w:tc>
          <w:tcPr>
            <w:tcW w:w="1049" w:type="pct"/>
          </w:tcPr>
          <w:p w14:paraId="2A936BF7" w14:textId="77777777" w:rsidR="008F1D94" w:rsidRPr="002727EF" w:rsidRDefault="008F1D94" w:rsidP="00904C65">
            <w:pPr>
              <w:spacing w:line="240" w:lineRule="auto"/>
              <w:contextualSpacing/>
              <w:jc w:val="center"/>
              <w:rPr>
                <w:rFonts w:cs="Arial"/>
                <w:b/>
                <w:sz w:val="20"/>
              </w:rPr>
            </w:pPr>
            <w:r w:rsidRPr="002727EF">
              <w:rPr>
                <w:rFonts w:cs="Arial"/>
                <w:b/>
                <w:sz w:val="20"/>
              </w:rPr>
              <w:t>Wetland</w:t>
            </w:r>
          </w:p>
        </w:tc>
        <w:tc>
          <w:tcPr>
            <w:tcW w:w="744" w:type="pct"/>
          </w:tcPr>
          <w:p w14:paraId="74A1B0BA" w14:textId="77777777" w:rsidR="008F1D94" w:rsidRPr="002727EF" w:rsidRDefault="008F1D94" w:rsidP="00904C65">
            <w:pPr>
              <w:spacing w:line="240" w:lineRule="auto"/>
              <w:contextualSpacing/>
              <w:jc w:val="center"/>
              <w:rPr>
                <w:rFonts w:cs="Arial"/>
                <w:b/>
                <w:sz w:val="20"/>
              </w:rPr>
            </w:pPr>
            <w:r w:rsidRPr="002727EF">
              <w:rPr>
                <w:rFonts w:cs="Arial"/>
                <w:b/>
                <w:sz w:val="20"/>
              </w:rPr>
              <w:t>Region</w:t>
            </w:r>
          </w:p>
        </w:tc>
        <w:tc>
          <w:tcPr>
            <w:tcW w:w="808" w:type="pct"/>
          </w:tcPr>
          <w:p w14:paraId="7A05D324" w14:textId="77777777" w:rsidR="008F1D94" w:rsidRPr="002727EF" w:rsidRDefault="008F1D94" w:rsidP="00904C65">
            <w:pPr>
              <w:spacing w:line="240" w:lineRule="auto"/>
              <w:contextualSpacing/>
              <w:jc w:val="center"/>
              <w:rPr>
                <w:rFonts w:cs="Arial"/>
                <w:b/>
                <w:sz w:val="20"/>
              </w:rPr>
            </w:pPr>
            <w:r w:rsidRPr="002727EF">
              <w:rPr>
                <w:rFonts w:cs="Arial"/>
                <w:b/>
                <w:sz w:val="20"/>
              </w:rPr>
              <w:t>Hydrological regime</w:t>
            </w:r>
          </w:p>
        </w:tc>
        <w:tc>
          <w:tcPr>
            <w:tcW w:w="855" w:type="pct"/>
          </w:tcPr>
          <w:p w14:paraId="4C820AC8" w14:textId="77777777" w:rsidR="008F1D94" w:rsidRPr="002727EF" w:rsidRDefault="008F1D94" w:rsidP="00904C65">
            <w:pPr>
              <w:spacing w:line="240" w:lineRule="auto"/>
              <w:contextualSpacing/>
              <w:jc w:val="center"/>
              <w:rPr>
                <w:rFonts w:cs="Arial"/>
                <w:b/>
                <w:sz w:val="20"/>
              </w:rPr>
            </w:pPr>
            <w:r w:rsidRPr="002727EF">
              <w:rPr>
                <w:rFonts w:cs="Arial"/>
                <w:b/>
                <w:sz w:val="20"/>
              </w:rPr>
              <w:t>Maximum recorded seed density (seeds m</w:t>
            </w:r>
            <w:r w:rsidRPr="002727EF">
              <w:rPr>
                <w:rFonts w:cs="Arial"/>
                <w:b/>
                <w:sz w:val="20"/>
                <w:vertAlign w:val="superscript"/>
              </w:rPr>
              <w:t>-2</w:t>
            </w:r>
            <w:r w:rsidRPr="002727EF">
              <w:rPr>
                <w:rFonts w:cs="Arial"/>
                <w:b/>
                <w:sz w:val="20"/>
              </w:rPr>
              <w:t>)</w:t>
            </w:r>
          </w:p>
        </w:tc>
        <w:tc>
          <w:tcPr>
            <w:tcW w:w="629" w:type="pct"/>
          </w:tcPr>
          <w:p w14:paraId="33E47A7E" w14:textId="77777777" w:rsidR="008F1D94" w:rsidRPr="002727EF" w:rsidRDefault="008F1D94" w:rsidP="00904C65">
            <w:pPr>
              <w:spacing w:line="240" w:lineRule="auto"/>
              <w:contextualSpacing/>
              <w:jc w:val="center"/>
              <w:rPr>
                <w:rFonts w:cs="Arial"/>
                <w:b/>
                <w:sz w:val="20"/>
              </w:rPr>
            </w:pPr>
            <w:r w:rsidRPr="002727EF">
              <w:rPr>
                <w:rFonts w:cs="Arial"/>
                <w:b/>
                <w:sz w:val="20"/>
              </w:rPr>
              <w:t>Species Richness</w:t>
            </w:r>
          </w:p>
        </w:tc>
        <w:tc>
          <w:tcPr>
            <w:tcW w:w="915" w:type="pct"/>
          </w:tcPr>
          <w:p w14:paraId="5F3BF376" w14:textId="77777777" w:rsidR="008F1D94" w:rsidRPr="002727EF" w:rsidRDefault="008F1D94" w:rsidP="00904C65">
            <w:pPr>
              <w:spacing w:line="240" w:lineRule="auto"/>
              <w:contextualSpacing/>
              <w:jc w:val="center"/>
              <w:rPr>
                <w:rFonts w:cs="Arial"/>
                <w:b/>
                <w:sz w:val="20"/>
              </w:rPr>
            </w:pPr>
            <w:r w:rsidRPr="002727EF">
              <w:rPr>
                <w:rFonts w:cs="Arial"/>
                <w:b/>
                <w:sz w:val="20"/>
              </w:rPr>
              <w:t>Reference</w:t>
            </w:r>
          </w:p>
        </w:tc>
      </w:tr>
      <w:tr w:rsidR="008F1D94" w:rsidRPr="002727EF" w14:paraId="063B84B9" w14:textId="77777777" w:rsidTr="00904C65">
        <w:trPr>
          <w:trHeight w:val="624"/>
        </w:trPr>
        <w:tc>
          <w:tcPr>
            <w:tcW w:w="1049" w:type="pct"/>
          </w:tcPr>
          <w:p w14:paraId="552CCA4D" w14:textId="77777777" w:rsidR="008F1D94" w:rsidRPr="002727EF" w:rsidRDefault="008F1D94" w:rsidP="00904C65">
            <w:pPr>
              <w:spacing w:line="240" w:lineRule="auto"/>
              <w:contextualSpacing/>
              <w:rPr>
                <w:rFonts w:cs="Arial"/>
                <w:sz w:val="20"/>
              </w:rPr>
            </w:pPr>
            <w:r w:rsidRPr="002727EF">
              <w:rPr>
                <w:rFonts w:cs="Arial"/>
                <w:sz w:val="20"/>
              </w:rPr>
              <w:t>Menindee Lakes</w:t>
            </w:r>
          </w:p>
        </w:tc>
        <w:tc>
          <w:tcPr>
            <w:tcW w:w="744" w:type="pct"/>
          </w:tcPr>
          <w:p w14:paraId="3259D0E7" w14:textId="77777777" w:rsidR="008F1D94" w:rsidRPr="002727EF" w:rsidRDefault="008F1D94" w:rsidP="00904C65">
            <w:pPr>
              <w:spacing w:line="240" w:lineRule="auto"/>
              <w:contextualSpacing/>
              <w:rPr>
                <w:rFonts w:cs="Arial"/>
                <w:sz w:val="20"/>
              </w:rPr>
            </w:pPr>
            <w:r w:rsidRPr="002727EF">
              <w:rPr>
                <w:rFonts w:cs="Arial"/>
                <w:sz w:val="20"/>
              </w:rPr>
              <w:t>Lower Darling River</w:t>
            </w:r>
          </w:p>
        </w:tc>
        <w:tc>
          <w:tcPr>
            <w:tcW w:w="808" w:type="pct"/>
          </w:tcPr>
          <w:p w14:paraId="3AAFFB18"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0C40A502" w14:textId="77777777" w:rsidR="008F1D94" w:rsidRPr="002727EF" w:rsidRDefault="008F1D94" w:rsidP="00904C65">
            <w:pPr>
              <w:spacing w:line="240" w:lineRule="auto"/>
              <w:contextualSpacing/>
              <w:jc w:val="center"/>
              <w:rPr>
                <w:rFonts w:cs="Arial"/>
                <w:sz w:val="20"/>
              </w:rPr>
            </w:pPr>
            <w:r w:rsidRPr="002727EF">
              <w:rPr>
                <w:rFonts w:cs="Arial"/>
                <w:sz w:val="20"/>
              </w:rPr>
              <w:t>75,000</w:t>
            </w:r>
          </w:p>
        </w:tc>
        <w:tc>
          <w:tcPr>
            <w:tcW w:w="629" w:type="pct"/>
          </w:tcPr>
          <w:p w14:paraId="2706F6AD" w14:textId="77777777" w:rsidR="008F1D94" w:rsidRPr="002727EF" w:rsidRDefault="008F1D94" w:rsidP="00904C65">
            <w:pPr>
              <w:spacing w:line="240" w:lineRule="auto"/>
              <w:contextualSpacing/>
              <w:jc w:val="center"/>
              <w:rPr>
                <w:rFonts w:cs="Arial"/>
                <w:sz w:val="20"/>
              </w:rPr>
            </w:pPr>
            <w:r w:rsidRPr="002727EF">
              <w:rPr>
                <w:rFonts w:cs="Arial"/>
                <w:sz w:val="20"/>
              </w:rPr>
              <w:t>59</w:t>
            </w:r>
          </w:p>
        </w:tc>
        <w:tc>
          <w:tcPr>
            <w:tcW w:w="915" w:type="pct"/>
          </w:tcPr>
          <w:p w14:paraId="5132001F" w14:textId="77777777" w:rsidR="008F1D94" w:rsidRPr="002727EF" w:rsidRDefault="008F1D94" w:rsidP="00904C65">
            <w:pPr>
              <w:spacing w:line="240" w:lineRule="auto"/>
              <w:contextualSpacing/>
              <w:rPr>
                <w:rFonts w:cs="Arial"/>
                <w:sz w:val="20"/>
              </w:rPr>
            </w:pPr>
            <w:r w:rsidRPr="002727EF">
              <w:rPr>
                <w:rFonts w:cs="Arial"/>
                <w:noProof/>
                <w:sz w:val="20"/>
              </w:rPr>
              <w:t>Nicol 2004</w:t>
            </w:r>
          </w:p>
        </w:tc>
      </w:tr>
      <w:tr w:rsidR="008F1D94" w:rsidRPr="002727EF" w14:paraId="6DA529A4" w14:textId="77777777" w:rsidTr="00904C65">
        <w:trPr>
          <w:trHeight w:val="624"/>
        </w:trPr>
        <w:tc>
          <w:tcPr>
            <w:tcW w:w="1049" w:type="pct"/>
          </w:tcPr>
          <w:p w14:paraId="345F706B" w14:textId="77777777" w:rsidR="008F1D94" w:rsidRPr="002727EF" w:rsidRDefault="008F1D94" w:rsidP="00904C65">
            <w:pPr>
              <w:spacing w:line="240" w:lineRule="auto"/>
              <w:contextualSpacing/>
              <w:rPr>
                <w:rFonts w:cs="Arial"/>
                <w:sz w:val="20"/>
              </w:rPr>
            </w:pPr>
            <w:r w:rsidRPr="002727EF">
              <w:rPr>
                <w:rFonts w:cs="Arial"/>
                <w:sz w:val="20"/>
              </w:rPr>
              <w:t>Thegoa Lagoon</w:t>
            </w:r>
          </w:p>
        </w:tc>
        <w:tc>
          <w:tcPr>
            <w:tcW w:w="744" w:type="pct"/>
          </w:tcPr>
          <w:p w14:paraId="4C689016" w14:textId="531F4C25" w:rsidR="008F1D94" w:rsidRPr="002727EF" w:rsidRDefault="008F1D94" w:rsidP="00904C65">
            <w:pPr>
              <w:spacing w:line="240" w:lineRule="auto"/>
              <w:contextualSpacing/>
              <w:rPr>
                <w:rFonts w:cs="Arial"/>
                <w:sz w:val="20"/>
              </w:rPr>
            </w:pPr>
            <w:r w:rsidRPr="002727EF">
              <w:rPr>
                <w:rFonts w:cs="Arial"/>
                <w:sz w:val="20"/>
              </w:rPr>
              <w:t>Lower</w:t>
            </w:r>
            <w:r>
              <w:rPr>
                <w:rFonts w:cs="Arial"/>
                <w:sz w:val="20"/>
              </w:rPr>
              <w:t xml:space="preserve"> </w:t>
            </w:r>
            <w:r w:rsidRPr="002727EF">
              <w:rPr>
                <w:rFonts w:cs="Arial"/>
                <w:sz w:val="20"/>
              </w:rPr>
              <w:t xml:space="preserve">Murray River </w:t>
            </w:r>
          </w:p>
        </w:tc>
        <w:tc>
          <w:tcPr>
            <w:tcW w:w="808" w:type="pct"/>
          </w:tcPr>
          <w:p w14:paraId="626C8650"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7869A199" w14:textId="77777777" w:rsidR="008F1D94" w:rsidRPr="002727EF" w:rsidRDefault="008F1D94" w:rsidP="00904C65">
            <w:pPr>
              <w:spacing w:line="240" w:lineRule="auto"/>
              <w:contextualSpacing/>
              <w:jc w:val="center"/>
              <w:rPr>
                <w:rFonts w:cs="Arial"/>
                <w:sz w:val="20"/>
              </w:rPr>
            </w:pPr>
            <w:r w:rsidRPr="002727EF">
              <w:rPr>
                <w:rFonts w:cs="Arial"/>
                <w:sz w:val="20"/>
              </w:rPr>
              <w:t>37,683</w:t>
            </w:r>
          </w:p>
        </w:tc>
        <w:tc>
          <w:tcPr>
            <w:tcW w:w="629" w:type="pct"/>
          </w:tcPr>
          <w:p w14:paraId="07695210" w14:textId="77777777" w:rsidR="008F1D94" w:rsidRPr="002727EF" w:rsidRDefault="008F1D94" w:rsidP="00904C65">
            <w:pPr>
              <w:spacing w:line="240" w:lineRule="auto"/>
              <w:contextualSpacing/>
              <w:jc w:val="center"/>
              <w:rPr>
                <w:rFonts w:cs="Arial"/>
                <w:sz w:val="20"/>
              </w:rPr>
            </w:pPr>
            <w:r w:rsidRPr="002727EF">
              <w:rPr>
                <w:rFonts w:cs="Arial"/>
                <w:sz w:val="20"/>
              </w:rPr>
              <w:t>21</w:t>
            </w:r>
          </w:p>
        </w:tc>
        <w:tc>
          <w:tcPr>
            <w:tcW w:w="915" w:type="pct"/>
          </w:tcPr>
          <w:p w14:paraId="6E7DDD71" w14:textId="77777777" w:rsidR="008F1D94" w:rsidRPr="002727EF" w:rsidRDefault="008F1D94" w:rsidP="00904C65">
            <w:pPr>
              <w:spacing w:line="240" w:lineRule="auto"/>
              <w:contextualSpacing/>
              <w:rPr>
                <w:rFonts w:cs="Arial"/>
                <w:sz w:val="20"/>
              </w:rPr>
            </w:pPr>
            <w:r w:rsidRPr="002727EF">
              <w:rPr>
                <w:rFonts w:cs="Arial"/>
                <w:noProof/>
                <w:sz w:val="20"/>
              </w:rPr>
              <w:t>Nicol</w:t>
            </w:r>
            <w:r w:rsidRPr="002727EF">
              <w:rPr>
                <w:rFonts w:cs="Arial"/>
                <w:i/>
                <w:noProof/>
                <w:sz w:val="20"/>
              </w:rPr>
              <w:t xml:space="preserve"> et al.</w:t>
            </w:r>
            <w:r w:rsidRPr="002727EF">
              <w:rPr>
                <w:rFonts w:cs="Arial"/>
                <w:noProof/>
                <w:sz w:val="20"/>
              </w:rPr>
              <w:t xml:space="preserve"> 2007</w:t>
            </w:r>
          </w:p>
        </w:tc>
      </w:tr>
      <w:tr w:rsidR="008F1D94" w:rsidRPr="002727EF" w14:paraId="5CFD0FCA" w14:textId="77777777" w:rsidTr="00904C65">
        <w:trPr>
          <w:trHeight w:val="624"/>
        </w:trPr>
        <w:tc>
          <w:tcPr>
            <w:tcW w:w="1049" w:type="pct"/>
          </w:tcPr>
          <w:p w14:paraId="743B6080" w14:textId="77777777" w:rsidR="008F1D94" w:rsidRPr="002727EF" w:rsidRDefault="008F1D94" w:rsidP="00904C65">
            <w:pPr>
              <w:spacing w:line="240" w:lineRule="auto"/>
              <w:contextualSpacing/>
              <w:rPr>
                <w:rFonts w:cs="Arial"/>
                <w:sz w:val="20"/>
              </w:rPr>
            </w:pPr>
            <w:r w:rsidRPr="002727EF">
              <w:rPr>
                <w:rFonts w:cs="Arial"/>
                <w:sz w:val="20"/>
              </w:rPr>
              <w:t>Goolwa Channel, lower Finniss River and lower Currency Creek</w:t>
            </w:r>
          </w:p>
        </w:tc>
        <w:tc>
          <w:tcPr>
            <w:tcW w:w="744" w:type="pct"/>
          </w:tcPr>
          <w:p w14:paraId="24F20C4E" w14:textId="77777777" w:rsidR="008F1D94" w:rsidRPr="002727EF" w:rsidRDefault="008F1D94" w:rsidP="00904C65">
            <w:pPr>
              <w:spacing w:line="240" w:lineRule="auto"/>
              <w:contextualSpacing/>
              <w:rPr>
                <w:rFonts w:cs="Arial"/>
                <w:sz w:val="20"/>
              </w:rPr>
            </w:pPr>
            <w:r w:rsidRPr="002727EF">
              <w:rPr>
                <w:rFonts w:cs="Arial"/>
                <w:sz w:val="20"/>
              </w:rPr>
              <w:t>Lower Lakes</w:t>
            </w:r>
          </w:p>
        </w:tc>
        <w:tc>
          <w:tcPr>
            <w:tcW w:w="808" w:type="pct"/>
          </w:tcPr>
          <w:p w14:paraId="74CEE546" w14:textId="77777777" w:rsidR="008F1D94" w:rsidRPr="002727EF" w:rsidRDefault="008F1D94" w:rsidP="00904C65">
            <w:pPr>
              <w:spacing w:line="240" w:lineRule="auto"/>
              <w:contextualSpacing/>
              <w:rPr>
                <w:rFonts w:cs="Arial"/>
                <w:sz w:val="20"/>
              </w:rPr>
            </w:pPr>
            <w:r w:rsidRPr="002727EF">
              <w:rPr>
                <w:rFonts w:cs="Arial"/>
                <w:sz w:val="20"/>
              </w:rPr>
              <w:t>Permanent*</w:t>
            </w:r>
          </w:p>
        </w:tc>
        <w:tc>
          <w:tcPr>
            <w:tcW w:w="855" w:type="pct"/>
          </w:tcPr>
          <w:p w14:paraId="403E9F92" w14:textId="77777777" w:rsidR="008F1D94" w:rsidRPr="002727EF" w:rsidRDefault="008F1D94" w:rsidP="00904C65">
            <w:pPr>
              <w:spacing w:line="240" w:lineRule="auto"/>
              <w:contextualSpacing/>
              <w:jc w:val="center"/>
              <w:rPr>
                <w:rFonts w:cs="Arial"/>
                <w:sz w:val="20"/>
              </w:rPr>
            </w:pPr>
            <w:r w:rsidRPr="002727EF">
              <w:rPr>
                <w:rFonts w:cs="Arial"/>
                <w:sz w:val="20"/>
              </w:rPr>
              <w:t>14,182</w:t>
            </w:r>
          </w:p>
        </w:tc>
        <w:tc>
          <w:tcPr>
            <w:tcW w:w="629" w:type="pct"/>
          </w:tcPr>
          <w:p w14:paraId="3D7C88AB" w14:textId="77777777" w:rsidR="008F1D94" w:rsidRPr="002727EF" w:rsidRDefault="008F1D94" w:rsidP="00904C65">
            <w:pPr>
              <w:spacing w:line="240" w:lineRule="auto"/>
              <w:contextualSpacing/>
              <w:jc w:val="center"/>
              <w:rPr>
                <w:rFonts w:cs="Arial"/>
                <w:sz w:val="20"/>
              </w:rPr>
            </w:pPr>
            <w:r w:rsidRPr="002727EF">
              <w:rPr>
                <w:rFonts w:cs="Arial"/>
                <w:sz w:val="20"/>
              </w:rPr>
              <w:t>57</w:t>
            </w:r>
          </w:p>
        </w:tc>
        <w:tc>
          <w:tcPr>
            <w:tcW w:w="915" w:type="pct"/>
          </w:tcPr>
          <w:p w14:paraId="6D93DFC9" w14:textId="77777777" w:rsidR="008F1D94" w:rsidRPr="002727EF" w:rsidRDefault="008F1D94" w:rsidP="00904C65">
            <w:pPr>
              <w:spacing w:line="240" w:lineRule="auto"/>
              <w:contextualSpacing/>
              <w:rPr>
                <w:rFonts w:cs="Arial"/>
                <w:sz w:val="20"/>
              </w:rPr>
            </w:pPr>
            <w:r w:rsidRPr="002727EF">
              <w:rPr>
                <w:rFonts w:cs="Arial"/>
                <w:noProof/>
                <w:sz w:val="20"/>
              </w:rPr>
              <w:t>Nicol and Ward 2010</w:t>
            </w:r>
          </w:p>
        </w:tc>
      </w:tr>
      <w:tr w:rsidR="008F1D94" w:rsidRPr="002727EF" w14:paraId="2FC82827" w14:textId="77777777" w:rsidTr="00904C65">
        <w:trPr>
          <w:trHeight w:val="624"/>
        </w:trPr>
        <w:tc>
          <w:tcPr>
            <w:tcW w:w="1049" w:type="pct"/>
          </w:tcPr>
          <w:p w14:paraId="73539644" w14:textId="77777777" w:rsidR="008F1D94" w:rsidRPr="002727EF" w:rsidRDefault="008F1D94" w:rsidP="00904C65">
            <w:pPr>
              <w:spacing w:line="240" w:lineRule="auto"/>
              <w:contextualSpacing/>
              <w:rPr>
                <w:rFonts w:cs="Arial"/>
                <w:sz w:val="20"/>
              </w:rPr>
            </w:pPr>
            <w:r w:rsidRPr="002727EF">
              <w:rPr>
                <w:rFonts w:cs="Arial"/>
                <w:sz w:val="20"/>
              </w:rPr>
              <w:t>Chowilla Floodplain</w:t>
            </w:r>
          </w:p>
        </w:tc>
        <w:tc>
          <w:tcPr>
            <w:tcW w:w="744" w:type="pct"/>
          </w:tcPr>
          <w:p w14:paraId="68B89F65" w14:textId="37743F12" w:rsidR="008F1D94" w:rsidRPr="002727EF" w:rsidRDefault="008F1D94" w:rsidP="00904C65">
            <w:pPr>
              <w:spacing w:line="240" w:lineRule="auto"/>
              <w:contextualSpacing/>
              <w:rPr>
                <w:rFonts w:cs="Arial"/>
                <w:sz w:val="20"/>
              </w:rPr>
            </w:pPr>
            <w:r w:rsidRPr="002727EF">
              <w:rPr>
                <w:rFonts w:cs="Arial"/>
                <w:sz w:val="20"/>
              </w:rPr>
              <w:t>Lower Murray</w:t>
            </w:r>
            <w:r w:rsidR="00BD0534">
              <w:rPr>
                <w:rFonts w:cs="Arial"/>
                <w:sz w:val="20"/>
              </w:rPr>
              <w:t xml:space="preserve"> River</w:t>
            </w:r>
          </w:p>
        </w:tc>
        <w:tc>
          <w:tcPr>
            <w:tcW w:w="808" w:type="pct"/>
          </w:tcPr>
          <w:p w14:paraId="0DC7C6BA" w14:textId="77777777" w:rsidR="008F1D94" w:rsidRPr="002727EF" w:rsidRDefault="008F1D94" w:rsidP="00904C65">
            <w:pPr>
              <w:spacing w:line="240" w:lineRule="auto"/>
              <w:contextualSpacing/>
              <w:rPr>
                <w:rFonts w:cs="Arial"/>
                <w:sz w:val="20"/>
              </w:rPr>
            </w:pPr>
            <w:r w:rsidRPr="002727EF">
              <w:rPr>
                <w:rFonts w:cs="Arial"/>
                <w:sz w:val="20"/>
              </w:rPr>
              <w:t>Ephemeral</w:t>
            </w:r>
          </w:p>
        </w:tc>
        <w:tc>
          <w:tcPr>
            <w:tcW w:w="855" w:type="pct"/>
          </w:tcPr>
          <w:p w14:paraId="441F89AA" w14:textId="77777777" w:rsidR="008F1D94" w:rsidRPr="002727EF" w:rsidRDefault="008F1D94" w:rsidP="00904C65">
            <w:pPr>
              <w:spacing w:line="240" w:lineRule="auto"/>
              <w:contextualSpacing/>
              <w:jc w:val="center"/>
              <w:rPr>
                <w:rFonts w:cs="Arial"/>
                <w:sz w:val="20"/>
              </w:rPr>
            </w:pPr>
            <w:r w:rsidRPr="002727EF">
              <w:rPr>
                <w:rFonts w:cs="Arial"/>
                <w:sz w:val="20"/>
              </w:rPr>
              <w:t>102,000</w:t>
            </w:r>
          </w:p>
        </w:tc>
        <w:tc>
          <w:tcPr>
            <w:tcW w:w="629" w:type="pct"/>
          </w:tcPr>
          <w:p w14:paraId="08F10C2A" w14:textId="77777777" w:rsidR="008F1D94" w:rsidRPr="002727EF" w:rsidRDefault="008F1D94" w:rsidP="00904C65">
            <w:pPr>
              <w:spacing w:line="240" w:lineRule="auto"/>
              <w:contextualSpacing/>
              <w:jc w:val="center"/>
              <w:rPr>
                <w:rFonts w:cs="Arial"/>
                <w:sz w:val="20"/>
              </w:rPr>
            </w:pPr>
            <w:r w:rsidRPr="002727EF">
              <w:rPr>
                <w:rFonts w:cs="Arial"/>
                <w:sz w:val="20"/>
              </w:rPr>
              <w:t>61</w:t>
            </w:r>
          </w:p>
        </w:tc>
        <w:tc>
          <w:tcPr>
            <w:tcW w:w="915" w:type="pct"/>
          </w:tcPr>
          <w:p w14:paraId="226C4CB9" w14:textId="77777777" w:rsidR="008F1D94" w:rsidRPr="002727EF" w:rsidRDefault="008F1D94" w:rsidP="00904C65">
            <w:pPr>
              <w:spacing w:line="240" w:lineRule="auto"/>
              <w:contextualSpacing/>
              <w:rPr>
                <w:rFonts w:cs="Arial"/>
                <w:sz w:val="20"/>
              </w:rPr>
            </w:pPr>
            <w:r w:rsidRPr="002727EF">
              <w:rPr>
                <w:rFonts w:cs="Arial"/>
                <w:noProof/>
                <w:sz w:val="20"/>
              </w:rPr>
              <w:t xml:space="preserve">Kelly 2017; Skinner 2017; Gibbs </w:t>
            </w:r>
            <w:r w:rsidRPr="002727EF">
              <w:rPr>
                <w:rFonts w:cs="Arial"/>
                <w:i/>
                <w:iCs/>
                <w:noProof/>
                <w:sz w:val="20"/>
              </w:rPr>
              <w:t>et al.</w:t>
            </w:r>
            <w:r w:rsidRPr="002727EF">
              <w:rPr>
                <w:rFonts w:cs="Arial"/>
                <w:noProof/>
                <w:sz w:val="20"/>
              </w:rPr>
              <w:t xml:space="preserve"> 2020</w:t>
            </w:r>
          </w:p>
        </w:tc>
      </w:tr>
      <w:tr w:rsidR="008F1D94" w:rsidRPr="002727EF" w14:paraId="043E9878" w14:textId="77777777" w:rsidTr="00904C65">
        <w:trPr>
          <w:trHeight w:val="624"/>
        </w:trPr>
        <w:tc>
          <w:tcPr>
            <w:tcW w:w="1049" w:type="pct"/>
          </w:tcPr>
          <w:p w14:paraId="2CB93CEE" w14:textId="77777777" w:rsidR="008F1D94" w:rsidRPr="002727EF" w:rsidRDefault="008F1D94" w:rsidP="00904C65">
            <w:pPr>
              <w:spacing w:line="240" w:lineRule="auto"/>
              <w:contextualSpacing/>
              <w:rPr>
                <w:rFonts w:cs="Arial"/>
                <w:sz w:val="20"/>
              </w:rPr>
            </w:pPr>
            <w:r w:rsidRPr="002727EF">
              <w:rPr>
                <w:rFonts w:cs="Arial"/>
                <w:sz w:val="20"/>
              </w:rPr>
              <w:t>Bool Lagoon</w:t>
            </w:r>
          </w:p>
        </w:tc>
        <w:tc>
          <w:tcPr>
            <w:tcW w:w="744" w:type="pct"/>
          </w:tcPr>
          <w:p w14:paraId="59634B5A" w14:textId="77777777" w:rsidR="008F1D94" w:rsidRPr="002727EF" w:rsidRDefault="008F1D94" w:rsidP="00904C65">
            <w:pPr>
              <w:spacing w:line="240" w:lineRule="auto"/>
              <w:contextualSpacing/>
              <w:rPr>
                <w:rFonts w:cs="Arial"/>
                <w:sz w:val="20"/>
              </w:rPr>
            </w:pPr>
            <w:r w:rsidRPr="002727EF">
              <w:rPr>
                <w:rFonts w:cs="Arial"/>
                <w:sz w:val="20"/>
              </w:rPr>
              <w:t>South East of South Australia</w:t>
            </w:r>
          </w:p>
        </w:tc>
        <w:tc>
          <w:tcPr>
            <w:tcW w:w="808" w:type="pct"/>
          </w:tcPr>
          <w:p w14:paraId="514EB42E"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5363258C" w14:textId="77777777" w:rsidR="008F1D94" w:rsidRPr="002727EF" w:rsidRDefault="008F1D94" w:rsidP="00904C65">
            <w:pPr>
              <w:spacing w:line="240" w:lineRule="auto"/>
              <w:contextualSpacing/>
              <w:jc w:val="center"/>
              <w:rPr>
                <w:rFonts w:cs="Arial"/>
                <w:sz w:val="20"/>
              </w:rPr>
            </w:pPr>
            <w:r w:rsidRPr="002727EF">
              <w:rPr>
                <w:rFonts w:cs="Arial"/>
                <w:sz w:val="20"/>
              </w:rPr>
              <w:t>78,000</w:t>
            </w:r>
          </w:p>
        </w:tc>
        <w:tc>
          <w:tcPr>
            <w:tcW w:w="629" w:type="pct"/>
          </w:tcPr>
          <w:p w14:paraId="1DA447B9" w14:textId="77777777" w:rsidR="008F1D94" w:rsidRPr="002727EF" w:rsidRDefault="008F1D94" w:rsidP="00904C65">
            <w:pPr>
              <w:spacing w:line="240" w:lineRule="auto"/>
              <w:contextualSpacing/>
              <w:jc w:val="center"/>
              <w:rPr>
                <w:rFonts w:cs="Arial"/>
                <w:sz w:val="20"/>
              </w:rPr>
            </w:pPr>
            <w:r w:rsidRPr="002727EF">
              <w:rPr>
                <w:rFonts w:cs="Arial"/>
                <w:sz w:val="20"/>
              </w:rPr>
              <w:t>31</w:t>
            </w:r>
          </w:p>
        </w:tc>
        <w:tc>
          <w:tcPr>
            <w:tcW w:w="915" w:type="pct"/>
          </w:tcPr>
          <w:p w14:paraId="42605235" w14:textId="77777777" w:rsidR="008F1D94" w:rsidRPr="002727EF" w:rsidRDefault="008F1D94" w:rsidP="00904C65">
            <w:pPr>
              <w:spacing w:line="240" w:lineRule="auto"/>
              <w:contextualSpacing/>
              <w:rPr>
                <w:rFonts w:cs="Arial"/>
                <w:sz w:val="20"/>
              </w:rPr>
            </w:pPr>
            <w:r w:rsidRPr="002727EF">
              <w:rPr>
                <w:rFonts w:cs="Arial"/>
                <w:noProof/>
                <w:sz w:val="20"/>
              </w:rPr>
              <w:t>Nicol</w:t>
            </w:r>
            <w:r w:rsidRPr="002727EF">
              <w:rPr>
                <w:rFonts w:cs="Arial"/>
                <w:i/>
                <w:noProof/>
                <w:sz w:val="20"/>
              </w:rPr>
              <w:t xml:space="preserve"> et al.</w:t>
            </w:r>
            <w:r w:rsidRPr="002727EF">
              <w:rPr>
                <w:rFonts w:cs="Arial"/>
                <w:noProof/>
                <w:sz w:val="20"/>
              </w:rPr>
              <w:t xml:space="preserve"> 2003</w:t>
            </w:r>
          </w:p>
        </w:tc>
      </w:tr>
      <w:tr w:rsidR="008F1D94" w:rsidRPr="002727EF" w14:paraId="296434DB" w14:textId="77777777" w:rsidTr="00904C65">
        <w:trPr>
          <w:trHeight w:val="624"/>
        </w:trPr>
        <w:tc>
          <w:tcPr>
            <w:tcW w:w="1049" w:type="pct"/>
          </w:tcPr>
          <w:p w14:paraId="706BE591" w14:textId="77777777" w:rsidR="008F1D94" w:rsidRPr="002727EF" w:rsidRDefault="008F1D94" w:rsidP="00904C65">
            <w:pPr>
              <w:spacing w:line="240" w:lineRule="auto"/>
              <w:contextualSpacing/>
              <w:rPr>
                <w:rFonts w:cs="Arial"/>
                <w:sz w:val="20"/>
              </w:rPr>
            </w:pPr>
            <w:r w:rsidRPr="002727EF">
              <w:rPr>
                <w:rFonts w:cs="Arial"/>
                <w:sz w:val="20"/>
              </w:rPr>
              <w:t>Channel Country, Cooper Creek</w:t>
            </w:r>
          </w:p>
        </w:tc>
        <w:tc>
          <w:tcPr>
            <w:tcW w:w="744" w:type="pct"/>
          </w:tcPr>
          <w:p w14:paraId="7652F1CB" w14:textId="77777777" w:rsidR="008F1D94" w:rsidRPr="002727EF" w:rsidRDefault="008F1D94" w:rsidP="00904C65">
            <w:pPr>
              <w:spacing w:line="240" w:lineRule="auto"/>
              <w:contextualSpacing/>
              <w:rPr>
                <w:rFonts w:cs="Arial"/>
                <w:sz w:val="20"/>
              </w:rPr>
            </w:pPr>
            <w:r w:rsidRPr="002727EF">
              <w:rPr>
                <w:rFonts w:cs="Arial"/>
                <w:sz w:val="20"/>
              </w:rPr>
              <w:t>Lake Eyre Basin</w:t>
            </w:r>
          </w:p>
        </w:tc>
        <w:tc>
          <w:tcPr>
            <w:tcW w:w="808" w:type="pct"/>
          </w:tcPr>
          <w:p w14:paraId="6712FE57"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5EB44AB6" w14:textId="77777777" w:rsidR="008F1D94" w:rsidRPr="002727EF" w:rsidRDefault="008F1D94" w:rsidP="00904C65">
            <w:pPr>
              <w:spacing w:line="240" w:lineRule="auto"/>
              <w:contextualSpacing/>
              <w:jc w:val="center"/>
              <w:rPr>
                <w:rFonts w:cs="Arial"/>
                <w:sz w:val="20"/>
              </w:rPr>
            </w:pPr>
            <w:r w:rsidRPr="002727EF">
              <w:rPr>
                <w:rFonts w:cs="Arial"/>
                <w:sz w:val="20"/>
              </w:rPr>
              <w:t>23,000</w:t>
            </w:r>
          </w:p>
        </w:tc>
        <w:tc>
          <w:tcPr>
            <w:tcW w:w="629" w:type="pct"/>
          </w:tcPr>
          <w:p w14:paraId="45A312AA" w14:textId="77777777" w:rsidR="008F1D94" w:rsidRPr="002727EF" w:rsidRDefault="008F1D94" w:rsidP="00904C65">
            <w:pPr>
              <w:spacing w:line="240" w:lineRule="auto"/>
              <w:contextualSpacing/>
              <w:jc w:val="center"/>
              <w:rPr>
                <w:rFonts w:cs="Arial"/>
                <w:sz w:val="20"/>
              </w:rPr>
            </w:pPr>
            <w:r w:rsidRPr="002727EF">
              <w:rPr>
                <w:rFonts w:cs="Arial"/>
                <w:sz w:val="20"/>
              </w:rPr>
              <w:t>56</w:t>
            </w:r>
          </w:p>
        </w:tc>
        <w:tc>
          <w:tcPr>
            <w:tcW w:w="915" w:type="pct"/>
          </w:tcPr>
          <w:p w14:paraId="1C0FE8D7" w14:textId="77777777" w:rsidR="008F1D94" w:rsidRPr="002727EF" w:rsidRDefault="008F1D94" w:rsidP="00904C65">
            <w:pPr>
              <w:spacing w:line="240" w:lineRule="auto"/>
              <w:contextualSpacing/>
              <w:rPr>
                <w:rFonts w:cs="Arial"/>
                <w:sz w:val="20"/>
              </w:rPr>
            </w:pPr>
            <w:r w:rsidRPr="002727EF">
              <w:rPr>
                <w:rFonts w:cs="Arial"/>
                <w:noProof/>
                <w:sz w:val="20"/>
              </w:rPr>
              <w:t>Capon and Brock 2006</w:t>
            </w:r>
          </w:p>
        </w:tc>
      </w:tr>
      <w:tr w:rsidR="008F1D94" w:rsidRPr="002727EF" w14:paraId="4E9DDF78" w14:textId="77777777" w:rsidTr="00904C65">
        <w:trPr>
          <w:trHeight w:val="624"/>
        </w:trPr>
        <w:tc>
          <w:tcPr>
            <w:tcW w:w="1049" w:type="pct"/>
          </w:tcPr>
          <w:p w14:paraId="044C8A9B" w14:textId="77777777" w:rsidR="008F1D94" w:rsidRPr="002727EF" w:rsidRDefault="008F1D94" w:rsidP="00904C65">
            <w:pPr>
              <w:spacing w:line="240" w:lineRule="auto"/>
              <w:contextualSpacing/>
              <w:rPr>
                <w:rFonts w:cs="Arial"/>
                <w:sz w:val="20"/>
              </w:rPr>
            </w:pPr>
            <w:r w:rsidRPr="002727EF">
              <w:rPr>
                <w:rFonts w:cs="Arial"/>
                <w:sz w:val="20"/>
              </w:rPr>
              <w:t>Narran Lakes</w:t>
            </w:r>
          </w:p>
        </w:tc>
        <w:tc>
          <w:tcPr>
            <w:tcW w:w="744" w:type="pct"/>
          </w:tcPr>
          <w:p w14:paraId="076E1602" w14:textId="77777777" w:rsidR="008F1D94" w:rsidRPr="002727EF" w:rsidRDefault="008F1D94" w:rsidP="00904C65">
            <w:pPr>
              <w:spacing w:line="240" w:lineRule="auto"/>
              <w:contextualSpacing/>
              <w:rPr>
                <w:rFonts w:cs="Arial"/>
                <w:sz w:val="20"/>
              </w:rPr>
            </w:pPr>
            <w:r w:rsidRPr="002727EF">
              <w:rPr>
                <w:rFonts w:cs="Arial"/>
                <w:sz w:val="20"/>
              </w:rPr>
              <w:t>Lower Balonne Floodplain</w:t>
            </w:r>
          </w:p>
        </w:tc>
        <w:tc>
          <w:tcPr>
            <w:tcW w:w="808" w:type="pct"/>
          </w:tcPr>
          <w:p w14:paraId="254EF8F6"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61B1AB9D" w14:textId="77777777" w:rsidR="008F1D94" w:rsidRPr="002727EF" w:rsidRDefault="008F1D94" w:rsidP="00904C65">
            <w:pPr>
              <w:spacing w:line="240" w:lineRule="auto"/>
              <w:contextualSpacing/>
              <w:jc w:val="center"/>
              <w:rPr>
                <w:rFonts w:cs="Arial"/>
                <w:sz w:val="20"/>
              </w:rPr>
            </w:pPr>
            <w:r w:rsidRPr="002727EF">
              <w:rPr>
                <w:rFonts w:cs="Arial"/>
                <w:sz w:val="20"/>
              </w:rPr>
              <w:t>16,000</w:t>
            </w:r>
          </w:p>
        </w:tc>
        <w:tc>
          <w:tcPr>
            <w:tcW w:w="629" w:type="pct"/>
          </w:tcPr>
          <w:p w14:paraId="7811935A" w14:textId="77777777" w:rsidR="008F1D94" w:rsidRPr="002727EF" w:rsidRDefault="008F1D94" w:rsidP="00904C65">
            <w:pPr>
              <w:spacing w:line="240" w:lineRule="auto"/>
              <w:contextualSpacing/>
              <w:jc w:val="center"/>
              <w:rPr>
                <w:rFonts w:cs="Arial"/>
                <w:sz w:val="20"/>
              </w:rPr>
            </w:pPr>
            <w:r w:rsidRPr="002727EF">
              <w:rPr>
                <w:rFonts w:cs="Arial"/>
                <w:sz w:val="20"/>
              </w:rPr>
              <w:t>77</w:t>
            </w:r>
          </w:p>
        </w:tc>
        <w:tc>
          <w:tcPr>
            <w:tcW w:w="915" w:type="pct"/>
          </w:tcPr>
          <w:p w14:paraId="554EE46C" w14:textId="77777777" w:rsidR="008F1D94" w:rsidRPr="002727EF" w:rsidRDefault="008F1D94" w:rsidP="00904C65">
            <w:pPr>
              <w:spacing w:line="240" w:lineRule="auto"/>
              <w:contextualSpacing/>
              <w:rPr>
                <w:rFonts w:cs="Arial"/>
                <w:sz w:val="20"/>
              </w:rPr>
            </w:pPr>
            <w:r w:rsidRPr="002727EF">
              <w:rPr>
                <w:rFonts w:cs="Arial"/>
                <w:noProof/>
                <w:sz w:val="20"/>
              </w:rPr>
              <w:t>James</w:t>
            </w:r>
            <w:r w:rsidRPr="002727EF">
              <w:rPr>
                <w:rFonts w:cs="Arial"/>
                <w:i/>
                <w:noProof/>
                <w:sz w:val="20"/>
              </w:rPr>
              <w:t xml:space="preserve"> et al.</w:t>
            </w:r>
            <w:r w:rsidRPr="002727EF">
              <w:rPr>
                <w:rFonts w:cs="Arial"/>
                <w:noProof/>
                <w:sz w:val="20"/>
              </w:rPr>
              <w:t xml:space="preserve"> 2007</w:t>
            </w:r>
          </w:p>
        </w:tc>
      </w:tr>
      <w:tr w:rsidR="008F1D94" w:rsidRPr="002727EF" w14:paraId="46128EE7" w14:textId="77777777" w:rsidTr="00904C65">
        <w:trPr>
          <w:trHeight w:val="624"/>
        </w:trPr>
        <w:tc>
          <w:tcPr>
            <w:tcW w:w="1049" w:type="pct"/>
          </w:tcPr>
          <w:p w14:paraId="1992EF70" w14:textId="77777777" w:rsidR="008F1D94" w:rsidRPr="002727EF" w:rsidRDefault="008F1D94" w:rsidP="00904C65">
            <w:pPr>
              <w:spacing w:line="240" w:lineRule="auto"/>
              <w:contextualSpacing/>
              <w:rPr>
                <w:rFonts w:cs="Arial"/>
                <w:sz w:val="20"/>
              </w:rPr>
            </w:pPr>
            <w:r w:rsidRPr="002727EF">
              <w:rPr>
                <w:rFonts w:cs="Arial"/>
                <w:sz w:val="20"/>
              </w:rPr>
              <w:t>Goulburn River Tributaries</w:t>
            </w:r>
          </w:p>
        </w:tc>
        <w:tc>
          <w:tcPr>
            <w:tcW w:w="744" w:type="pct"/>
          </w:tcPr>
          <w:p w14:paraId="34F8644B" w14:textId="77777777" w:rsidR="008F1D94" w:rsidRPr="002727EF" w:rsidRDefault="008F1D94" w:rsidP="00904C65">
            <w:pPr>
              <w:spacing w:line="240" w:lineRule="auto"/>
              <w:contextualSpacing/>
              <w:rPr>
                <w:rFonts w:cs="Arial"/>
                <w:sz w:val="20"/>
              </w:rPr>
            </w:pPr>
            <w:r w:rsidRPr="002727EF">
              <w:rPr>
                <w:rFonts w:cs="Arial"/>
                <w:sz w:val="20"/>
              </w:rPr>
              <w:t>Goulburn Catchment</w:t>
            </w:r>
          </w:p>
        </w:tc>
        <w:tc>
          <w:tcPr>
            <w:tcW w:w="808" w:type="pct"/>
          </w:tcPr>
          <w:p w14:paraId="382C6B76" w14:textId="77777777" w:rsidR="008F1D94" w:rsidRPr="002727EF" w:rsidRDefault="008F1D94" w:rsidP="00904C65">
            <w:pPr>
              <w:spacing w:line="240" w:lineRule="auto"/>
              <w:contextualSpacing/>
              <w:rPr>
                <w:rFonts w:cs="Arial"/>
                <w:sz w:val="20"/>
              </w:rPr>
            </w:pPr>
            <w:r w:rsidRPr="002727EF">
              <w:rPr>
                <w:rFonts w:cs="Arial"/>
                <w:sz w:val="20"/>
              </w:rPr>
              <w:t>Temporary/</w:t>
            </w:r>
          </w:p>
          <w:p w14:paraId="1B235C05" w14:textId="77777777" w:rsidR="008F1D94" w:rsidRPr="002727EF" w:rsidRDefault="008F1D94" w:rsidP="00904C65">
            <w:pPr>
              <w:spacing w:line="240" w:lineRule="auto"/>
              <w:contextualSpacing/>
              <w:rPr>
                <w:rFonts w:cs="Arial"/>
                <w:sz w:val="20"/>
              </w:rPr>
            </w:pPr>
            <w:r w:rsidRPr="002727EF">
              <w:rPr>
                <w:rFonts w:cs="Arial"/>
                <w:sz w:val="20"/>
              </w:rPr>
              <w:t>Permanent</w:t>
            </w:r>
          </w:p>
        </w:tc>
        <w:tc>
          <w:tcPr>
            <w:tcW w:w="855" w:type="pct"/>
          </w:tcPr>
          <w:p w14:paraId="368DF09A" w14:textId="77777777" w:rsidR="008F1D94" w:rsidRPr="002727EF" w:rsidRDefault="008F1D94" w:rsidP="00904C65">
            <w:pPr>
              <w:spacing w:line="240" w:lineRule="auto"/>
              <w:contextualSpacing/>
              <w:jc w:val="center"/>
              <w:rPr>
                <w:rFonts w:cs="Arial"/>
                <w:sz w:val="20"/>
              </w:rPr>
            </w:pPr>
            <w:r w:rsidRPr="002727EF">
              <w:rPr>
                <w:rFonts w:cs="Arial"/>
                <w:sz w:val="20"/>
              </w:rPr>
              <w:t>27,000</w:t>
            </w:r>
          </w:p>
        </w:tc>
        <w:tc>
          <w:tcPr>
            <w:tcW w:w="629" w:type="pct"/>
          </w:tcPr>
          <w:p w14:paraId="7E54140A" w14:textId="77777777" w:rsidR="008F1D94" w:rsidRPr="002727EF" w:rsidRDefault="008F1D94" w:rsidP="00904C65">
            <w:pPr>
              <w:spacing w:line="240" w:lineRule="auto"/>
              <w:contextualSpacing/>
              <w:jc w:val="center"/>
              <w:rPr>
                <w:rFonts w:cs="Arial"/>
                <w:sz w:val="20"/>
              </w:rPr>
            </w:pPr>
            <w:r w:rsidRPr="002727EF">
              <w:rPr>
                <w:rFonts w:cs="Arial"/>
                <w:sz w:val="20"/>
              </w:rPr>
              <w:t>55</w:t>
            </w:r>
          </w:p>
        </w:tc>
        <w:tc>
          <w:tcPr>
            <w:tcW w:w="915" w:type="pct"/>
          </w:tcPr>
          <w:p w14:paraId="7A91CA80" w14:textId="77777777" w:rsidR="008F1D94" w:rsidRPr="002727EF" w:rsidRDefault="008F1D94" w:rsidP="00904C65">
            <w:pPr>
              <w:spacing w:line="240" w:lineRule="auto"/>
              <w:contextualSpacing/>
              <w:rPr>
                <w:rFonts w:cs="Arial"/>
                <w:sz w:val="20"/>
              </w:rPr>
            </w:pPr>
            <w:r w:rsidRPr="002727EF">
              <w:rPr>
                <w:rFonts w:cs="Arial"/>
                <w:noProof/>
                <w:sz w:val="20"/>
              </w:rPr>
              <w:t>Williams</w:t>
            </w:r>
            <w:r w:rsidRPr="002727EF">
              <w:rPr>
                <w:rFonts w:cs="Arial"/>
                <w:i/>
                <w:noProof/>
                <w:sz w:val="20"/>
              </w:rPr>
              <w:t xml:space="preserve"> et al.</w:t>
            </w:r>
            <w:r w:rsidRPr="002727EF">
              <w:rPr>
                <w:rFonts w:cs="Arial"/>
                <w:noProof/>
                <w:sz w:val="20"/>
              </w:rPr>
              <w:t xml:space="preserve"> 2008</w:t>
            </w:r>
          </w:p>
        </w:tc>
      </w:tr>
      <w:tr w:rsidR="008F1D94" w:rsidRPr="002727EF" w14:paraId="73BA392C" w14:textId="77777777" w:rsidTr="00904C65">
        <w:trPr>
          <w:trHeight w:val="624"/>
        </w:trPr>
        <w:tc>
          <w:tcPr>
            <w:tcW w:w="1049" w:type="pct"/>
          </w:tcPr>
          <w:p w14:paraId="51011E3E" w14:textId="77777777" w:rsidR="008F1D94" w:rsidRPr="002727EF" w:rsidRDefault="008F1D94" w:rsidP="00904C65">
            <w:pPr>
              <w:spacing w:line="240" w:lineRule="auto"/>
              <w:contextualSpacing/>
              <w:rPr>
                <w:rFonts w:cs="Arial"/>
                <w:sz w:val="20"/>
              </w:rPr>
            </w:pPr>
            <w:r w:rsidRPr="002727EF">
              <w:rPr>
                <w:rFonts w:cs="Arial"/>
                <w:sz w:val="20"/>
              </w:rPr>
              <w:t>Wannon River</w:t>
            </w:r>
          </w:p>
        </w:tc>
        <w:tc>
          <w:tcPr>
            <w:tcW w:w="744" w:type="pct"/>
          </w:tcPr>
          <w:p w14:paraId="32F200B3" w14:textId="77777777" w:rsidR="008F1D94" w:rsidRPr="002727EF" w:rsidRDefault="008F1D94" w:rsidP="00904C65">
            <w:pPr>
              <w:spacing w:line="240" w:lineRule="auto"/>
              <w:contextualSpacing/>
              <w:rPr>
                <w:rFonts w:cs="Arial"/>
                <w:sz w:val="20"/>
              </w:rPr>
            </w:pPr>
            <w:r w:rsidRPr="002727EF">
              <w:rPr>
                <w:rFonts w:cs="Arial"/>
                <w:sz w:val="20"/>
              </w:rPr>
              <w:t>Victorian Volcanic Plain</w:t>
            </w:r>
          </w:p>
        </w:tc>
        <w:tc>
          <w:tcPr>
            <w:tcW w:w="808" w:type="pct"/>
          </w:tcPr>
          <w:p w14:paraId="09119425" w14:textId="77777777" w:rsidR="008F1D94" w:rsidRPr="002727EF" w:rsidRDefault="008F1D94" w:rsidP="00904C65">
            <w:pPr>
              <w:spacing w:line="240" w:lineRule="auto"/>
              <w:contextualSpacing/>
              <w:rPr>
                <w:rFonts w:cs="Arial"/>
                <w:sz w:val="20"/>
              </w:rPr>
            </w:pPr>
            <w:r w:rsidRPr="002727EF">
              <w:rPr>
                <w:rFonts w:cs="Arial"/>
                <w:sz w:val="20"/>
              </w:rPr>
              <w:t>Temporary</w:t>
            </w:r>
          </w:p>
        </w:tc>
        <w:tc>
          <w:tcPr>
            <w:tcW w:w="855" w:type="pct"/>
          </w:tcPr>
          <w:p w14:paraId="026CFD00" w14:textId="77777777" w:rsidR="008F1D94" w:rsidRPr="002727EF" w:rsidRDefault="008F1D94" w:rsidP="00904C65">
            <w:pPr>
              <w:spacing w:line="240" w:lineRule="auto"/>
              <w:contextualSpacing/>
              <w:jc w:val="center"/>
              <w:rPr>
                <w:rFonts w:cs="Arial"/>
                <w:sz w:val="20"/>
              </w:rPr>
            </w:pPr>
            <w:r w:rsidRPr="002727EF">
              <w:rPr>
                <w:rFonts w:cs="Arial"/>
                <w:sz w:val="20"/>
              </w:rPr>
              <w:t>Not recorded</w:t>
            </w:r>
          </w:p>
        </w:tc>
        <w:tc>
          <w:tcPr>
            <w:tcW w:w="629" w:type="pct"/>
          </w:tcPr>
          <w:p w14:paraId="2A32AD43" w14:textId="77777777" w:rsidR="008F1D94" w:rsidRPr="002727EF" w:rsidRDefault="008F1D94" w:rsidP="00904C65">
            <w:pPr>
              <w:spacing w:line="240" w:lineRule="auto"/>
              <w:contextualSpacing/>
              <w:jc w:val="center"/>
              <w:rPr>
                <w:rFonts w:cs="Arial"/>
                <w:sz w:val="20"/>
              </w:rPr>
            </w:pPr>
            <w:r w:rsidRPr="002727EF">
              <w:rPr>
                <w:rFonts w:cs="Arial"/>
                <w:sz w:val="20"/>
              </w:rPr>
              <w:t>69</w:t>
            </w:r>
          </w:p>
        </w:tc>
        <w:tc>
          <w:tcPr>
            <w:tcW w:w="915" w:type="pct"/>
          </w:tcPr>
          <w:p w14:paraId="752DA906" w14:textId="77777777" w:rsidR="008F1D94" w:rsidRPr="002727EF" w:rsidRDefault="008F1D94" w:rsidP="00904C65">
            <w:pPr>
              <w:spacing w:line="240" w:lineRule="auto"/>
              <w:contextualSpacing/>
              <w:rPr>
                <w:rFonts w:cs="Arial"/>
                <w:sz w:val="20"/>
              </w:rPr>
            </w:pPr>
            <w:r w:rsidRPr="002727EF">
              <w:rPr>
                <w:rFonts w:cs="Arial"/>
                <w:noProof/>
                <w:sz w:val="20"/>
              </w:rPr>
              <w:t>Casanova 2015</w:t>
            </w:r>
          </w:p>
        </w:tc>
      </w:tr>
      <w:tr w:rsidR="008F1D94" w:rsidRPr="002727EF" w14:paraId="4100C480" w14:textId="77777777" w:rsidTr="00904C65">
        <w:trPr>
          <w:trHeight w:val="624"/>
        </w:trPr>
        <w:tc>
          <w:tcPr>
            <w:tcW w:w="1049" w:type="pct"/>
          </w:tcPr>
          <w:p w14:paraId="4A303FB3" w14:textId="77777777" w:rsidR="008F1D94" w:rsidRPr="002727EF" w:rsidRDefault="008F1D94" w:rsidP="00904C65">
            <w:pPr>
              <w:spacing w:line="240" w:lineRule="auto"/>
              <w:contextualSpacing/>
              <w:rPr>
                <w:rFonts w:cs="Arial"/>
                <w:sz w:val="20"/>
              </w:rPr>
            </w:pPr>
            <w:r>
              <w:rPr>
                <w:rFonts w:cs="Arial"/>
                <w:sz w:val="20"/>
              </w:rPr>
              <w:t>Lower Murray River littoral zone</w:t>
            </w:r>
          </w:p>
        </w:tc>
        <w:tc>
          <w:tcPr>
            <w:tcW w:w="744" w:type="pct"/>
          </w:tcPr>
          <w:p w14:paraId="38089377" w14:textId="77777777" w:rsidR="008F1D94" w:rsidRPr="002727EF" w:rsidRDefault="008F1D94" w:rsidP="00904C65">
            <w:pPr>
              <w:spacing w:line="240" w:lineRule="auto"/>
              <w:contextualSpacing/>
              <w:rPr>
                <w:rFonts w:cs="Arial"/>
                <w:sz w:val="20"/>
              </w:rPr>
            </w:pPr>
            <w:r w:rsidRPr="002727EF">
              <w:rPr>
                <w:rFonts w:cs="Arial"/>
                <w:sz w:val="20"/>
              </w:rPr>
              <w:t>Lower</w:t>
            </w:r>
            <w:r>
              <w:rPr>
                <w:rFonts w:cs="Arial"/>
                <w:sz w:val="20"/>
              </w:rPr>
              <w:t xml:space="preserve"> </w:t>
            </w:r>
            <w:r w:rsidRPr="002727EF">
              <w:rPr>
                <w:rFonts w:cs="Arial"/>
                <w:sz w:val="20"/>
              </w:rPr>
              <w:t>Murray River</w:t>
            </w:r>
          </w:p>
        </w:tc>
        <w:tc>
          <w:tcPr>
            <w:tcW w:w="808" w:type="pct"/>
          </w:tcPr>
          <w:p w14:paraId="3C0E031D" w14:textId="77777777" w:rsidR="008F1D94" w:rsidRPr="002727EF" w:rsidRDefault="008F1D94" w:rsidP="00904C65">
            <w:pPr>
              <w:spacing w:line="240" w:lineRule="auto"/>
              <w:contextualSpacing/>
              <w:rPr>
                <w:rFonts w:cs="Arial"/>
                <w:sz w:val="20"/>
              </w:rPr>
            </w:pPr>
            <w:r>
              <w:rPr>
                <w:rFonts w:cs="Arial"/>
                <w:sz w:val="20"/>
              </w:rPr>
              <w:t>Temporary</w:t>
            </w:r>
          </w:p>
        </w:tc>
        <w:tc>
          <w:tcPr>
            <w:tcW w:w="855" w:type="pct"/>
          </w:tcPr>
          <w:p w14:paraId="009A42EF" w14:textId="77777777" w:rsidR="008F1D94" w:rsidRPr="002727EF" w:rsidRDefault="008F1D94" w:rsidP="00904C65">
            <w:pPr>
              <w:spacing w:line="240" w:lineRule="auto"/>
              <w:contextualSpacing/>
              <w:jc w:val="center"/>
              <w:rPr>
                <w:rFonts w:cs="Arial"/>
                <w:sz w:val="20"/>
              </w:rPr>
            </w:pPr>
            <w:r w:rsidRPr="000241FC">
              <w:rPr>
                <w:rFonts w:cs="Arial"/>
                <w:sz w:val="20"/>
              </w:rPr>
              <w:t>5,489</w:t>
            </w:r>
          </w:p>
        </w:tc>
        <w:tc>
          <w:tcPr>
            <w:tcW w:w="629" w:type="pct"/>
          </w:tcPr>
          <w:p w14:paraId="390684AB" w14:textId="77777777" w:rsidR="008F1D94" w:rsidRPr="002727EF" w:rsidRDefault="008F1D94" w:rsidP="00904C65">
            <w:pPr>
              <w:spacing w:line="240" w:lineRule="auto"/>
              <w:contextualSpacing/>
              <w:jc w:val="center"/>
              <w:rPr>
                <w:rFonts w:cs="Arial"/>
                <w:sz w:val="20"/>
              </w:rPr>
            </w:pPr>
            <w:r>
              <w:rPr>
                <w:rFonts w:cs="Arial"/>
                <w:sz w:val="20"/>
              </w:rPr>
              <w:t>26</w:t>
            </w:r>
          </w:p>
        </w:tc>
        <w:tc>
          <w:tcPr>
            <w:tcW w:w="915" w:type="pct"/>
          </w:tcPr>
          <w:p w14:paraId="4A1C76A7" w14:textId="77777777" w:rsidR="008F1D94" w:rsidRPr="002727EF" w:rsidRDefault="008F1D94" w:rsidP="00904C65">
            <w:pPr>
              <w:spacing w:line="240" w:lineRule="auto"/>
              <w:contextualSpacing/>
              <w:rPr>
                <w:rFonts w:cs="Arial"/>
                <w:noProof/>
                <w:sz w:val="20"/>
              </w:rPr>
            </w:pPr>
            <w:r>
              <w:rPr>
                <w:rFonts w:cs="Arial"/>
                <w:noProof/>
                <w:sz w:val="20"/>
              </w:rPr>
              <w:t>Current study</w:t>
            </w:r>
          </w:p>
        </w:tc>
      </w:tr>
    </w:tbl>
    <w:p w14:paraId="702F4ADF" w14:textId="77777777" w:rsidR="00E844BD" w:rsidRPr="00EB2994" w:rsidRDefault="00E844BD" w:rsidP="00E844BD">
      <w:pPr>
        <w:rPr>
          <w:rFonts w:cs="Arial"/>
        </w:rPr>
      </w:pPr>
      <w:r>
        <w:t xml:space="preserve">Results also showed the soil seed bank was highly patchy with variable distribution across sites and elevations and no zonation with respect to elevation. This contrasts with the extant vegetation, which showed distinct zonation with respect to elevation at each site (Ye </w:t>
      </w:r>
      <w:r w:rsidRPr="00C62294">
        <w:rPr>
          <w:i/>
          <w:iCs/>
        </w:rPr>
        <w:t>et al.</w:t>
      </w:r>
      <w:r>
        <w:t xml:space="preserve"> 2021). It is unclear why the zonation in the extant vegetation has not translated to the soil seed bank; however, hydrology provides an environmental filter (sensu van der Valk 1981) that spatially and temporally promotes or restricts recruitment of species and </w:t>
      </w:r>
      <w:r w:rsidRPr="00EB2994">
        <w:t xml:space="preserve">has probably caused the zonation observed in the extant vegetation (sensu Nicol </w:t>
      </w:r>
      <w:r w:rsidRPr="00EB2994">
        <w:rPr>
          <w:i/>
          <w:iCs/>
        </w:rPr>
        <w:t>et al.</w:t>
      </w:r>
      <w:r w:rsidRPr="00EB2994">
        <w:t xml:space="preserve"> 2003). </w:t>
      </w:r>
    </w:p>
    <w:p w14:paraId="12C40C11" w14:textId="64E752D0" w:rsidR="00E844BD" w:rsidRPr="00EB2994" w:rsidRDefault="00E844BD" w:rsidP="00E844BD">
      <w:r w:rsidRPr="00EB2994">
        <w:t>These data have provided a quantitative baseline</w:t>
      </w:r>
      <w:r w:rsidR="008B34FC" w:rsidRPr="00EB2994">
        <w:t xml:space="preserve"> data on seed banks of the littoral vegetation</w:t>
      </w:r>
      <w:r w:rsidRPr="00EB2994">
        <w:t xml:space="preserve"> </w:t>
      </w:r>
      <w:r w:rsidR="008B34FC" w:rsidRPr="00EB2994">
        <w:t xml:space="preserve">for future evaluation of the </w:t>
      </w:r>
      <w:r w:rsidRPr="00EB2994">
        <w:t xml:space="preserve">contribution of environmental water to vegetation resilience in the Lower Murray River. </w:t>
      </w:r>
      <w:r w:rsidR="008B34FC" w:rsidRPr="00EB2994">
        <w:t xml:space="preserve">This could be achieved by </w:t>
      </w:r>
      <w:r w:rsidRPr="00EB2994">
        <w:t>comparison of the soil seed bank across the elevation gradient in the littoral zone</w:t>
      </w:r>
      <w:r w:rsidR="008B34FC" w:rsidRPr="00EB2994">
        <w:t xml:space="preserve"> in future monitoring</w:t>
      </w:r>
      <w:r w:rsidRPr="00EB2994">
        <w:t xml:space="preserve">. </w:t>
      </w:r>
      <w:bookmarkStart w:id="446" w:name="_Toc86909488"/>
    </w:p>
    <w:p w14:paraId="2B6D7365" w14:textId="77777777" w:rsidR="00E844BD" w:rsidRPr="00E844BD" w:rsidRDefault="00E844BD" w:rsidP="00E844BD">
      <w:pPr>
        <w:rPr>
          <w:b/>
          <w:bCs/>
          <w:i/>
          <w:iCs/>
          <w:color w:val="44546A" w:themeColor="text2"/>
          <w:sz w:val="24"/>
          <w:szCs w:val="24"/>
        </w:rPr>
      </w:pPr>
      <w:bookmarkStart w:id="447" w:name="_Toc86909489"/>
      <w:bookmarkEnd w:id="446"/>
      <w:r w:rsidRPr="00EB2994">
        <w:rPr>
          <w:b/>
          <w:bCs/>
          <w:i/>
          <w:iCs/>
          <w:color w:val="44546A" w:themeColor="text2"/>
          <w:sz w:val="24"/>
          <w:szCs w:val="24"/>
        </w:rPr>
        <w:t>Conclusions</w:t>
      </w:r>
      <w:bookmarkEnd w:id="447"/>
    </w:p>
    <w:p w14:paraId="4C14B1E9" w14:textId="18099FC9" w:rsidR="00E844BD" w:rsidRDefault="00E844BD" w:rsidP="00E844BD">
      <w:pPr>
        <w:rPr>
          <w:lang w:val="en-US"/>
        </w:rPr>
      </w:pPr>
      <w:r>
        <w:rPr>
          <w:lang w:val="en-US"/>
        </w:rPr>
        <w:t xml:space="preserve">This study provides baseline data on seed banks and the resilience of the littoral plant community in the Lower Murray River. It has shown that the existing seed bank is depauperate and that there is no zonation of the germinable seed bank across elevations. This study can be used as a comparison for future seed bank assessments to evaluate the benefits of environmental water and to answer the long-term evaluation question: </w:t>
      </w:r>
      <w:r w:rsidRPr="00CB0E2F">
        <w:t xml:space="preserve">What did </w:t>
      </w:r>
      <w:r>
        <w:t>Commonwealth environmental water</w:t>
      </w:r>
      <w:r w:rsidRPr="00CB0E2F">
        <w:t xml:space="preserve"> contribute to the resilience of littoral plant communities?</w:t>
      </w:r>
    </w:p>
    <w:p w14:paraId="4D8BFC39" w14:textId="77777777" w:rsidR="005C3CDB" w:rsidRPr="00B96960" w:rsidRDefault="005C3CDB" w:rsidP="005C3CDB">
      <w:pPr>
        <w:pStyle w:val="EndNoteBibliography"/>
        <w:spacing w:before="240" w:after="0" w:line="360" w:lineRule="auto"/>
        <w:rPr>
          <w:rFonts w:ascii="Century Gothic" w:hAnsi="Century Gothic" w:cstheme="minorHAnsi"/>
          <w:szCs w:val="21"/>
        </w:rPr>
      </w:pPr>
    </w:p>
    <w:p w14:paraId="0E57F4BF" w14:textId="77777777" w:rsidR="005C3CDB" w:rsidRPr="00366994" w:rsidRDefault="005C3CDB" w:rsidP="005C3CDB">
      <w:pPr>
        <w:pStyle w:val="EndNoteBibliography"/>
        <w:spacing w:before="240" w:after="0" w:line="360" w:lineRule="auto"/>
        <w:jc w:val="left"/>
        <w:rPr>
          <w:rFonts w:ascii="Century Gothic" w:hAnsi="Century Gothic" w:cstheme="minorHAnsi"/>
          <w:szCs w:val="21"/>
        </w:rPr>
      </w:pPr>
    </w:p>
    <w:p w14:paraId="5F54F54A" w14:textId="77777777" w:rsidR="005C3CDB" w:rsidRPr="00366994" w:rsidRDefault="005C3CDB" w:rsidP="005C3CDB">
      <w:pPr>
        <w:pStyle w:val="EndNoteBibliography"/>
        <w:spacing w:before="240" w:after="0" w:line="360" w:lineRule="auto"/>
        <w:jc w:val="left"/>
        <w:rPr>
          <w:rFonts w:ascii="Century Gothic" w:hAnsi="Century Gothic" w:cstheme="minorHAnsi"/>
          <w:szCs w:val="21"/>
        </w:rPr>
      </w:pPr>
    </w:p>
    <w:p w14:paraId="5952F0AC" w14:textId="77777777" w:rsidR="005C3CDB" w:rsidRPr="00366994" w:rsidRDefault="005C3CDB" w:rsidP="005C3CDB">
      <w:pPr>
        <w:spacing w:line="480" w:lineRule="auto"/>
        <w:rPr>
          <w:rFonts w:cstheme="minorHAnsi"/>
          <w:b/>
          <w:bCs/>
          <w:szCs w:val="21"/>
        </w:rPr>
        <w:sectPr w:rsidR="005C3CDB" w:rsidRPr="00366994" w:rsidSect="005E02A7">
          <w:pgSz w:w="11906" w:h="16838"/>
          <w:pgMar w:top="1440" w:right="1440" w:bottom="1440" w:left="1440" w:header="708" w:footer="708" w:gutter="0"/>
          <w:cols w:space="708"/>
          <w:docGrid w:linePitch="360"/>
        </w:sectPr>
      </w:pPr>
    </w:p>
    <w:p w14:paraId="4FAA2964" w14:textId="3E9B52EC" w:rsidR="001922D0" w:rsidRPr="00EA0232" w:rsidRDefault="001922D0" w:rsidP="00707C9D">
      <w:pPr>
        <w:pStyle w:val="Heading1"/>
        <w:numPr>
          <w:ilvl w:val="0"/>
          <w:numId w:val="0"/>
        </w:numPr>
        <w:ind w:left="851" w:hanging="851"/>
      </w:pPr>
      <w:bookmarkStart w:id="448" w:name="_Toc101963791"/>
      <w:r w:rsidRPr="00EA0232">
        <w:t>Acronyms</w:t>
      </w:r>
      <w:bookmarkEnd w:id="434"/>
      <w:bookmarkEnd w:id="448"/>
    </w:p>
    <w:tbl>
      <w:tblPr>
        <w:tblW w:w="0" w:type="auto"/>
        <w:tblInd w:w="91" w:type="dxa"/>
        <w:tblLayout w:type="fixed"/>
        <w:tblLook w:val="04A0" w:firstRow="1" w:lastRow="0" w:firstColumn="1" w:lastColumn="0" w:noHBand="0" w:noVBand="1"/>
      </w:tblPr>
      <w:tblGrid>
        <w:gridCol w:w="1327"/>
        <w:gridCol w:w="7602"/>
      </w:tblGrid>
      <w:tr w:rsidR="001922D0" w:rsidRPr="004E0E6F" w14:paraId="672281D1" w14:textId="77777777" w:rsidTr="00D632F9">
        <w:trPr>
          <w:trHeight w:val="300"/>
        </w:trPr>
        <w:tc>
          <w:tcPr>
            <w:tcW w:w="1327" w:type="dxa"/>
            <w:tcBorders>
              <w:top w:val="nil"/>
              <w:left w:val="nil"/>
              <w:bottom w:val="nil"/>
              <w:right w:val="nil"/>
            </w:tcBorders>
            <w:shd w:val="clear" w:color="auto" w:fill="auto"/>
            <w:noWrap/>
          </w:tcPr>
          <w:p w14:paraId="4E02B4DF"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AHD</w:t>
            </w:r>
          </w:p>
        </w:tc>
        <w:tc>
          <w:tcPr>
            <w:tcW w:w="7602" w:type="dxa"/>
            <w:tcBorders>
              <w:top w:val="nil"/>
              <w:left w:val="nil"/>
              <w:bottom w:val="nil"/>
              <w:right w:val="nil"/>
            </w:tcBorders>
            <w:shd w:val="clear" w:color="auto" w:fill="auto"/>
            <w:noWrap/>
          </w:tcPr>
          <w:p w14:paraId="58E1BD28" w14:textId="77777777" w:rsidR="001922D0" w:rsidRPr="004E0E6F" w:rsidRDefault="001922D0" w:rsidP="00D632F9">
            <w:pPr>
              <w:spacing w:after="0" w:line="240" w:lineRule="auto"/>
              <w:rPr>
                <w:rFonts w:cs="Calibri"/>
                <w:color w:val="222222"/>
                <w:sz w:val="19"/>
                <w:szCs w:val="19"/>
              </w:rPr>
            </w:pPr>
            <w:r w:rsidRPr="004E0E6F">
              <w:rPr>
                <w:rFonts w:cs="Calibri"/>
                <w:color w:val="222222"/>
                <w:sz w:val="19"/>
                <w:szCs w:val="19"/>
              </w:rPr>
              <w:t>Australian Height Datum</w:t>
            </w:r>
          </w:p>
        </w:tc>
      </w:tr>
      <w:tr w:rsidR="001922D0" w:rsidRPr="004E0E6F" w14:paraId="7802DBAB" w14:textId="77777777" w:rsidTr="00D632F9">
        <w:trPr>
          <w:trHeight w:val="300"/>
        </w:trPr>
        <w:tc>
          <w:tcPr>
            <w:tcW w:w="1327" w:type="dxa"/>
            <w:tcBorders>
              <w:top w:val="nil"/>
              <w:left w:val="nil"/>
              <w:bottom w:val="nil"/>
              <w:right w:val="nil"/>
            </w:tcBorders>
            <w:shd w:val="clear" w:color="auto" w:fill="auto"/>
            <w:noWrap/>
            <w:hideMark/>
          </w:tcPr>
          <w:p w14:paraId="31DB2A6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w:t>
            </w:r>
          </w:p>
        </w:tc>
        <w:tc>
          <w:tcPr>
            <w:tcW w:w="7602" w:type="dxa"/>
            <w:tcBorders>
              <w:top w:val="nil"/>
              <w:left w:val="nil"/>
              <w:bottom w:val="nil"/>
              <w:right w:val="nil"/>
            </w:tcBorders>
            <w:shd w:val="clear" w:color="auto" w:fill="auto"/>
            <w:noWrap/>
            <w:hideMark/>
          </w:tcPr>
          <w:p w14:paraId="3FF6BECF"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w:t>
            </w:r>
          </w:p>
        </w:tc>
      </w:tr>
      <w:tr w:rsidR="001922D0" w:rsidRPr="004E0E6F" w14:paraId="14293B53" w14:textId="77777777" w:rsidTr="00D632F9">
        <w:trPr>
          <w:trHeight w:val="300"/>
        </w:trPr>
        <w:tc>
          <w:tcPr>
            <w:tcW w:w="1327" w:type="dxa"/>
            <w:tcBorders>
              <w:top w:val="nil"/>
              <w:left w:val="nil"/>
              <w:bottom w:val="nil"/>
              <w:right w:val="nil"/>
            </w:tcBorders>
            <w:shd w:val="clear" w:color="auto" w:fill="auto"/>
            <w:noWrap/>
          </w:tcPr>
          <w:p w14:paraId="20B2327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CEWO</w:t>
            </w:r>
          </w:p>
        </w:tc>
        <w:tc>
          <w:tcPr>
            <w:tcW w:w="7602" w:type="dxa"/>
            <w:tcBorders>
              <w:top w:val="nil"/>
              <w:left w:val="nil"/>
              <w:bottom w:val="nil"/>
              <w:right w:val="nil"/>
            </w:tcBorders>
            <w:shd w:val="clear" w:color="auto" w:fill="auto"/>
            <w:noWrap/>
          </w:tcPr>
          <w:p w14:paraId="6F470F77"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 Office</w:t>
            </w:r>
          </w:p>
        </w:tc>
      </w:tr>
      <w:tr w:rsidR="00FE3EAD" w:rsidRPr="004E0E6F" w14:paraId="468082E2" w14:textId="77777777" w:rsidTr="00D632F9">
        <w:trPr>
          <w:trHeight w:val="300"/>
        </w:trPr>
        <w:tc>
          <w:tcPr>
            <w:tcW w:w="1327" w:type="dxa"/>
            <w:tcBorders>
              <w:top w:val="nil"/>
              <w:left w:val="nil"/>
              <w:bottom w:val="nil"/>
              <w:right w:val="nil"/>
            </w:tcBorders>
            <w:shd w:val="clear" w:color="auto" w:fill="auto"/>
            <w:noWrap/>
          </w:tcPr>
          <w:p w14:paraId="600BA351" w14:textId="40EB27C4" w:rsidR="00FE3EAD" w:rsidRPr="004E0E6F" w:rsidRDefault="00FE3EAD" w:rsidP="00D632F9">
            <w:pPr>
              <w:spacing w:after="0" w:line="240" w:lineRule="auto"/>
              <w:rPr>
                <w:rFonts w:cs="Calibri"/>
                <w:b/>
                <w:bCs/>
                <w:color w:val="E46D0A"/>
                <w:sz w:val="19"/>
                <w:szCs w:val="19"/>
              </w:rPr>
            </w:pPr>
            <w:r>
              <w:rPr>
                <w:rFonts w:cs="Calibri"/>
                <w:b/>
                <w:bCs/>
                <w:color w:val="E46D0A"/>
                <w:sz w:val="19"/>
                <w:szCs w:val="19"/>
              </w:rPr>
              <w:t>CLLMM</w:t>
            </w:r>
          </w:p>
        </w:tc>
        <w:tc>
          <w:tcPr>
            <w:tcW w:w="7602" w:type="dxa"/>
            <w:tcBorders>
              <w:top w:val="nil"/>
              <w:left w:val="nil"/>
              <w:bottom w:val="nil"/>
              <w:right w:val="nil"/>
            </w:tcBorders>
            <w:shd w:val="clear" w:color="auto" w:fill="auto"/>
            <w:noWrap/>
          </w:tcPr>
          <w:p w14:paraId="3985364A" w14:textId="0600D038" w:rsidR="00FE3EAD" w:rsidRPr="004E0E6F" w:rsidRDefault="00240C43" w:rsidP="00D632F9">
            <w:pPr>
              <w:spacing w:after="0" w:line="240" w:lineRule="auto"/>
              <w:rPr>
                <w:rFonts w:cs="Calibri"/>
                <w:sz w:val="19"/>
                <w:szCs w:val="19"/>
              </w:rPr>
            </w:pPr>
            <w:r>
              <w:rPr>
                <w:rFonts w:cs="Calibri"/>
                <w:sz w:val="19"/>
                <w:szCs w:val="19"/>
              </w:rPr>
              <w:t>Coorong, Lower Lakes and Murray Mouth</w:t>
            </w:r>
          </w:p>
        </w:tc>
      </w:tr>
      <w:tr w:rsidR="001922D0" w:rsidRPr="004E0E6F" w14:paraId="21E48A49" w14:textId="77777777" w:rsidTr="00D632F9">
        <w:trPr>
          <w:trHeight w:val="300"/>
        </w:trPr>
        <w:tc>
          <w:tcPr>
            <w:tcW w:w="1327" w:type="dxa"/>
            <w:tcBorders>
              <w:top w:val="nil"/>
              <w:left w:val="nil"/>
              <w:bottom w:val="nil"/>
              <w:right w:val="nil"/>
            </w:tcBorders>
            <w:shd w:val="clear" w:color="auto" w:fill="auto"/>
            <w:noWrap/>
          </w:tcPr>
          <w:p w14:paraId="0CD592A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DEW</w:t>
            </w:r>
          </w:p>
        </w:tc>
        <w:tc>
          <w:tcPr>
            <w:tcW w:w="7602" w:type="dxa"/>
            <w:tcBorders>
              <w:top w:val="nil"/>
              <w:left w:val="nil"/>
              <w:bottom w:val="nil"/>
              <w:right w:val="nil"/>
            </w:tcBorders>
            <w:shd w:val="clear" w:color="auto" w:fill="auto"/>
            <w:noWrap/>
          </w:tcPr>
          <w:p w14:paraId="7866FC28" w14:textId="77777777" w:rsidR="001922D0" w:rsidRPr="004E0E6F" w:rsidRDefault="001922D0" w:rsidP="00D632F9">
            <w:pPr>
              <w:spacing w:after="0" w:line="240" w:lineRule="auto"/>
              <w:rPr>
                <w:rFonts w:cs="Calibri"/>
                <w:sz w:val="19"/>
                <w:szCs w:val="19"/>
              </w:rPr>
            </w:pPr>
            <w:r w:rsidRPr="004E0E6F">
              <w:rPr>
                <w:rFonts w:cs="Calibri"/>
                <w:sz w:val="19"/>
                <w:szCs w:val="19"/>
              </w:rPr>
              <w:t>Department for Environment and Water</w:t>
            </w:r>
          </w:p>
        </w:tc>
      </w:tr>
      <w:tr w:rsidR="001922D0" w:rsidRPr="004E0E6F" w14:paraId="0F7759F3" w14:textId="77777777" w:rsidTr="00D632F9">
        <w:trPr>
          <w:trHeight w:val="300"/>
        </w:trPr>
        <w:tc>
          <w:tcPr>
            <w:tcW w:w="1327" w:type="dxa"/>
            <w:tcBorders>
              <w:top w:val="nil"/>
              <w:left w:val="nil"/>
              <w:bottom w:val="nil"/>
              <w:right w:val="nil"/>
            </w:tcBorders>
            <w:shd w:val="clear" w:color="auto" w:fill="auto"/>
            <w:noWrap/>
          </w:tcPr>
          <w:p w14:paraId="5799E0D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DOC</w:t>
            </w:r>
          </w:p>
        </w:tc>
        <w:tc>
          <w:tcPr>
            <w:tcW w:w="7602" w:type="dxa"/>
            <w:tcBorders>
              <w:top w:val="nil"/>
              <w:left w:val="nil"/>
              <w:bottom w:val="nil"/>
              <w:right w:val="nil"/>
            </w:tcBorders>
            <w:shd w:val="clear" w:color="auto" w:fill="auto"/>
            <w:noWrap/>
          </w:tcPr>
          <w:p w14:paraId="4552AB03" w14:textId="77777777" w:rsidR="001922D0" w:rsidRPr="004E0E6F" w:rsidRDefault="001922D0" w:rsidP="00D632F9">
            <w:pPr>
              <w:spacing w:after="0" w:line="240" w:lineRule="auto"/>
              <w:rPr>
                <w:rFonts w:cs="Calibri"/>
                <w:sz w:val="19"/>
                <w:szCs w:val="19"/>
              </w:rPr>
            </w:pPr>
            <w:r w:rsidRPr="004E0E6F">
              <w:rPr>
                <w:rFonts w:cs="Calibri"/>
                <w:sz w:val="19"/>
                <w:szCs w:val="19"/>
              </w:rPr>
              <w:t>Dissolved organic carbon</w:t>
            </w:r>
          </w:p>
        </w:tc>
      </w:tr>
      <w:tr w:rsidR="001922D0" w:rsidRPr="004E0E6F" w14:paraId="757316A8" w14:textId="77777777" w:rsidTr="00D632F9">
        <w:trPr>
          <w:trHeight w:val="300"/>
        </w:trPr>
        <w:tc>
          <w:tcPr>
            <w:tcW w:w="1327" w:type="dxa"/>
            <w:tcBorders>
              <w:top w:val="nil"/>
              <w:left w:val="nil"/>
              <w:bottom w:val="nil"/>
              <w:right w:val="nil"/>
            </w:tcBorders>
            <w:shd w:val="clear" w:color="auto" w:fill="auto"/>
            <w:noWrap/>
          </w:tcPr>
          <w:p w14:paraId="70C27A2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ENP</w:t>
            </w:r>
          </w:p>
        </w:tc>
        <w:tc>
          <w:tcPr>
            <w:tcW w:w="7602" w:type="dxa"/>
            <w:tcBorders>
              <w:top w:val="nil"/>
              <w:left w:val="nil"/>
              <w:bottom w:val="nil"/>
              <w:right w:val="nil"/>
            </w:tcBorders>
            <w:shd w:val="clear" w:color="auto" w:fill="auto"/>
            <w:noWrap/>
          </w:tcPr>
          <w:p w14:paraId="6FD5BAFB" w14:textId="77777777" w:rsidR="001922D0" w:rsidRPr="004E0E6F" w:rsidRDefault="001922D0" w:rsidP="00D632F9">
            <w:pPr>
              <w:spacing w:after="0" w:line="240" w:lineRule="auto"/>
              <w:rPr>
                <w:rFonts w:cs="Calibri"/>
                <w:sz w:val="19"/>
                <w:szCs w:val="19"/>
              </w:rPr>
            </w:pPr>
            <w:r w:rsidRPr="004E0E6F">
              <w:rPr>
                <w:rFonts w:cs="Calibri"/>
                <w:sz w:val="19"/>
                <w:szCs w:val="19"/>
              </w:rPr>
              <w:t>Ecosystem net production</w:t>
            </w:r>
          </w:p>
        </w:tc>
      </w:tr>
      <w:tr w:rsidR="001922D0" w:rsidRPr="004E0E6F" w14:paraId="7EF56761" w14:textId="77777777" w:rsidTr="00D632F9">
        <w:trPr>
          <w:trHeight w:val="300"/>
        </w:trPr>
        <w:tc>
          <w:tcPr>
            <w:tcW w:w="1327" w:type="dxa"/>
            <w:tcBorders>
              <w:top w:val="nil"/>
              <w:left w:val="nil"/>
              <w:bottom w:val="nil"/>
              <w:right w:val="nil"/>
            </w:tcBorders>
            <w:shd w:val="clear" w:color="auto" w:fill="auto"/>
            <w:noWrap/>
          </w:tcPr>
          <w:p w14:paraId="5B3925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ER</w:t>
            </w:r>
          </w:p>
        </w:tc>
        <w:tc>
          <w:tcPr>
            <w:tcW w:w="7602" w:type="dxa"/>
            <w:tcBorders>
              <w:top w:val="nil"/>
              <w:left w:val="nil"/>
              <w:bottom w:val="nil"/>
              <w:right w:val="nil"/>
            </w:tcBorders>
            <w:shd w:val="clear" w:color="auto" w:fill="auto"/>
            <w:noWrap/>
          </w:tcPr>
          <w:p w14:paraId="3A5C38A2" w14:textId="77777777" w:rsidR="001922D0" w:rsidRPr="004E0E6F" w:rsidRDefault="001922D0" w:rsidP="00D632F9">
            <w:pPr>
              <w:spacing w:after="0" w:line="240" w:lineRule="auto"/>
              <w:rPr>
                <w:rFonts w:cs="Calibri"/>
                <w:sz w:val="19"/>
                <w:szCs w:val="19"/>
              </w:rPr>
            </w:pPr>
            <w:r w:rsidRPr="004E0E6F">
              <w:rPr>
                <w:rFonts w:cs="Calibri"/>
                <w:sz w:val="19"/>
                <w:szCs w:val="19"/>
              </w:rPr>
              <w:t>Ecosystem respiration</w:t>
            </w:r>
          </w:p>
        </w:tc>
      </w:tr>
      <w:tr w:rsidR="001922D0" w:rsidRPr="004E0E6F" w14:paraId="634C6016" w14:textId="77777777" w:rsidTr="00D632F9">
        <w:trPr>
          <w:trHeight w:val="300"/>
        </w:trPr>
        <w:tc>
          <w:tcPr>
            <w:tcW w:w="1327" w:type="dxa"/>
            <w:tcBorders>
              <w:top w:val="nil"/>
              <w:left w:val="nil"/>
              <w:bottom w:val="nil"/>
              <w:right w:val="nil"/>
            </w:tcBorders>
            <w:shd w:val="clear" w:color="auto" w:fill="auto"/>
            <w:noWrap/>
          </w:tcPr>
          <w:p w14:paraId="278BEDD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GPP</w:t>
            </w:r>
          </w:p>
        </w:tc>
        <w:tc>
          <w:tcPr>
            <w:tcW w:w="7602" w:type="dxa"/>
            <w:tcBorders>
              <w:top w:val="nil"/>
              <w:left w:val="nil"/>
              <w:bottom w:val="nil"/>
              <w:right w:val="nil"/>
            </w:tcBorders>
            <w:shd w:val="clear" w:color="auto" w:fill="auto"/>
            <w:noWrap/>
          </w:tcPr>
          <w:p w14:paraId="3E30702E" w14:textId="77777777" w:rsidR="001922D0" w:rsidRPr="004E0E6F" w:rsidRDefault="001922D0" w:rsidP="00D632F9">
            <w:pPr>
              <w:spacing w:after="0" w:line="240" w:lineRule="auto"/>
              <w:rPr>
                <w:rFonts w:cs="Calibri"/>
                <w:sz w:val="19"/>
                <w:szCs w:val="19"/>
              </w:rPr>
            </w:pPr>
            <w:r w:rsidRPr="004E0E6F">
              <w:rPr>
                <w:rFonts w:cs="Calibri"/>
                <w:sz w:val="19"/>
                <w:szCs w:val="19"/>
              </w:rPr>
              <w:t>Gross primary production</w:t>
            </w:r>
          </w:p>
        </w:tc>
      </w:tr>
      <w:tr w:rsidR="001922D0" w:rsidRPr="004E0E6F" w14:paraId="3AB81539" w14:textId="77777777" w:rsidTr="00D632F9">
        <w:trPr>
          <w:trHeight w:val="300"/>
        </w:trPr>
        <w:tc>
          <w:tcPr>
            <w:tcW w:w="1327" w:type="dxa"/>
            <w:tcBorders>
              <w:top w:val="nil"/>
              <w:left w:val="nil"/>
              <w:bottom w:val="nil"/>
              <w:right w:val="nil"/>
            </w:tcBorders>
            <w:shd w:val="clear" w:color="auto" w:fill="auto"/>
            <w:noWrap/>
          </w:tcPr>
          <w:p w14:paraId="040F21DC"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LMR</w:t>
            </w:r>
          </w:p>
        </w:tc>
        <w:tc>
          <w:tcPr>
            <w:tcW w:w="7602" w:type="dxa"/>
            <w:tcBorders>
              <w:top w:val="nil"/>
              <w:left w:val="nil"/>
              <w:bottom w:val="nil"/>
              <w:right w:val="nil"/>
            </w:tcBorders>
            <w:shd w:val="clear" w:color="auto" w:fill="auto"/>
            <w:noWrap/>
          </w:tcPr>
          <w:p w14:paraId="53929DAF" w14:textId="77777777" w:rsidR="001922D0" w:rsidRPr="004E0E6F" w:rsidRDefault="001922D0" w:rsidP="00D632F9">
            <w:pPr>
              <w:spacing w:after="0" w:line="240" w:lineRule="auto"/>
              <w:rPr>
                <w:rFonts w:cs="Calibri"/>
                <w:sz w:val="19"/>
                <w:szCs w:val="19"/>
              </w:rPr>
            </w:pPr>
            <w:r w:rsidRPr="004E0E6F">
              <w:rPr>
                <w:rFonts w:cs="Calibri"/>
                <w:sz w:val="19"/>
                <w:szCs w:val="19"/>
              </w:rPr>
              <w:t>Lower Murray River (South Australian section of the Murray River).</w:t>
            </w:r>
          </w:p>
        </w:tc>
      </w:tr>
      <w:tr w:rsidR="001922D0" w:rsidRPr="004E0E6F" w14:paraId="78B88634" w14:textId="77777777" w:rsidTr="00D632F9">
        <w:trPr>
          <w:trHeight w:val="300"/>
        </w:trPr>
        <w:tc>
          <w:tcPr>
            <w:tcW w:w="1327" w:type="dxa"/>
            <w:tcBorders>
              <w:top w:val="nil"/>
              <w:left w:val="nil"/>
              <w:bottom w:val="nil"/>
              <w:right w:val="nil"/>
            </w:tcBorders>
            <w:shd w:val="clear" w:color="auto" w:fill="auto"/>
            <w:noWrap/>
          </w:tcPr>
          <w:p w14:paraId="4312EC98"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LTIM</w:t>
            </w:r>
          </w:p>
        </w:tc>
        <w:tc>
          <w:tcPr>
            <w:tcW w:w="7602" w:type="dxa"/>
            <w:tcBorders>
              <w:top w:val="nil"/>
              <w:left w:val="nil"/>
              <w:bottom w:val="nil"/>
              <w:right w:val="nil"/>
            </w:tcBorders>
            <w:shd w:val="clear" w:color="auto" w:fill="auto"/>
            <w:noWrap/>
          </w:tcPr>
          <w:p w14:paraId="480B6899" w14:textId="77777777" w:rsidR="001922D0" w:rsidRPr="004E0E6F" w:rsidRDefault="001922D0" w:rsidP="00D632F9">
            <w:pPr>
              <w:spacing w:after="0" w:line="240" w:lineRule="auto"/>
              <w:rPr>
                <w:rFonts w:cs="Calibri"/>
                <w:sz w:val="19"/>
                <w:szCs w:val="19"/>
              </w:rPr>
            </w:pPr>
            <w:r w:rsidRPr="004E0E6F">
              <w:rPr>
                <w:rFonts w:cs="Calibri"/>
                <w:sz w:val="19"/>
                <w:szCs w:val="19"/>
              </w:rPr>
              <w:t>Long-Term Intervention Monitoring</w:t>
            </w:r>
          </w:p>
        </w:tc>
      </w:tr>
      <w:tr w:rsidR="001922D0" w:rsidRPr="004E0E6F" w14:paraId="1230BFA5" w14:textId="77777777" w:rsidTr="00D632F9">
        <w:trPr>
          <w:trHeight w:val="300"/>
        </w:trPr>
        <w:tc>
          <w:tcPr>
            <w:tcW w:w="1327" w:type="dxa"/>
            <w:tcBorders>
              <w:top w:val="nil"/>
              <w:left w:val="nil"/>
              <w:bottom w:val="nil"/>
              <w:right w:val="nil"/>
            </w:tcBorders>
            <w:shd w:val="clear" w:color="auto" w:fill="auto"/>
            <w:noWrap/>
          </w:tcPr>
          <w:p w14:paraId="5A0163D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M&amp;E</w:t>
            </w:r>
          </w:p>
        </w:tc>
        <w:tc>
          <w:tcPr>
            <w:tcW w:w="7602" w:type="dxa"/>
            <w:tcBorders>
              <w:top w:val="nil"/>
              <w:left w:val="nil"/>
              <w:bottom w:val="nil"/>
              <w:right w:val="nil"/>
            </w:tcBorders>
            <w:shd w:val="clear" w:color="auto" w:fill="auto"/>
            <w:noWrap/>
          </w:tcPr>
          <w:p w14:paraId="025F0433" w14:textId="77777777" w:rsidR="001922D0" w:rsidRPr="004E0E6F" w:rsidRDefault="001922D0" w:rsidP="00D632F9">
            <w:pPr>
              <w:spacing w:after="0" w:line="240" w:lineRule="auto"/>
              <w:rPr>
                <w:rFonts w:cs="Calibri"/>
                <w:sz w:val="19"/>
                <w:szCs w:val="19"/>
              </w:rPr>
            </w:pPr>
            <w:r w:rsidRPr="004E0E6F">
              <w:rPr>
                <w:rFonts w:cs="Calibri"/>
                <w:sz w:val="19"/>
                <w:szCs w:val="19"/>
              </w:rPr>
              <w:t>Monitoring and Evaluation</w:t>
            </w:r>
          </w:p>
        </w:tc>
      </w:tr>
      <w:tr w:rsidR="001922D0" w:rsidRPr="004E0E6F" w14:paraId="6497C688" w14:textId="77777777" w:rsidTr="00D632F9">
        <w:trPr>
          <w:trHeight w:val="300"/>
        </w:trPr>
        <w:tc>
          <w:tcPr>
            <w:tcW w:w="1327" w:type="dxa"/>
            <w:tcBorders>
              <w:top w:val="nil"/>
              <w:left w:val="nil"/>
              <w:bottom w:val="nil"/>
              <w:right w:val="nil"/>
            </w:tcBorders>
            <w:shd w:val="clear" w:color="auto" w:fill="auto"/>
            <w:noWrap/>
            <w:hideMark/>
          </w:tcPr>
          <w:p w14:paraId="7334C96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w:t>
            </w:r>
          </w:p>
        </w:tc>
        <w:tc>
          <w:tcPr>
            <w:tcW w:w="7602" w:type="dxa"/>
            <w:tcBorders>
              <w:top w:val="nil"/>
              <w:left w:val="nil"/>
              <w:bottom w:val="nil"/>
              <w:right w:val="nil"/>
            </w:tcBorders>
            <w:shd w:val="clear" w:color="auto" w:fill="auto"/>
            <w:noWrap/>
            <w:hideMark/>
          </w:tcPr>
          <w:p w14:paraId="4B1E4DB4"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w:t>
            </w:r>
          </w:p>
        </w:tc>
      </w:tr>
      <w:tr w:rsidR="001922D0" w:rsidRPr="004E0E6F" w14:paraId="02AB8159" w14:textId="77777777" w:rsidTr="00D632F9">
        <w:trPr>
          <w:trHeight w:val="300"/>
        </w:trPr>
        <w:tc>
          <w:tcPr>
            <w:tcW w:w="1327" w:type="dxa"/>
            <w:tcBorders>
              <w:top w:val="nil"/>
              <w:left w:val="nil"/>
              <w:bottom w:val="nil"/>
              <w:right w:val="nil"/>
            </w:tcBorders>
            <w:shd w:val="clear" w:color="auto" w:fill="auto"/>
            <w:noWrap/>
          </w:tcPr>
          <w:p w14:paraId="2DA84EF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MDBA</w:t>
            </w:r>
          </w:p>
        </w:tc>
        <w:tc>
          <w:tcPr>
            <w:tcW w:w="7602" w:type="dxa"/>
            <w:tcBorders>
              <w:top w:val="nil"/>
              <w:left w:val="nil"/>
              <w:bottom w:val="nil"/>
              <w:right w:val="nil"/>
            </w:tcBorders>
            <w:shd w:val="clear" w:color="auto" w:fill="auto"/>
            <w:noWrap/>
          </w:tcPr>
          <w:p w14:paraId="2CE90682"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 Authority</w:t>
            </w:r>
          </w:p>
        </w:tc>
      </w:tr>
      <w:tr w:rsidR="00BE5181" w:rsidRPr="004E0E6F" w14:paraId="5EC64B30" w14:textId="77777777" w:rsidTr="00D632F9">
        <w:trPr>
          <w:trHeight w:val="300"/>
        </w:trPr>
        <w:tc>
          <w:tcPr>
            <w:tcW w:w="1327" w:type="dxa"/>
            <w:tcBorders>
              <w:top w:val="nil"/>
              <w:left w:val="nil"/>
              <w:bottom w:val="nil"/>
              <w:right w:val="nil"/>
            </w:tcBorders>
            <w:shd w:val="clear" w:color="auto" w:fill="auto"/>
            <w:noWrap/>
          </w:tcPr>
          <w:p w14:paraId="226200FE" w14:textId="0BF766C0" w:rsidR="00BE5181" w:rsidRPr="004E0E6F" w:rsidRDefault="00BE5181" w:rsidP="00D632F9">
            <w:pPr>
              <w:spacing w:after="0" w:line="240" w:lineRule="auto"/>
              <w:rPr>
                <w:rFonts w:cs="Calibri"/>
                <w:b/>
                <w:bCs/>
                <w:color w:val="E46D0A"/>
                <w:sz w:val="19"/>
                <w:szCs w:val="19"/>
              </w:rPr>
            </w:pPr>
            <w:r>
              <w:rPr>
                <w:rFonts w:cs="Calibri"/>
                <w:b/>
                <w:bCs/>
                <w:color w:val="E46D0A"/>
                <w:sz w:val="19"/>
                <w:szCs w:val="19"/>
              </w:rPr>
              <w:t>MER</w:t>
            </w:r>
          </w:p>
        </w:tc>
        <w:tc>
          <w:tcPr>
            <w:tcW w:w="7602" w:type="dxa"/>
            <w:tcBorders>
              <w:top w:val="nil"/>
              <w:left w:val="nil"/>
              <w:bottom w:val="nil"/>
              <w:right w:val="nil"/>
            </w:tcBorders>
            <w:shd w:val="clear" w:color="auto" w:fill="auto"/>
            <w:noWrap/>
          </w:tcPr>
          <w:p w14:paraId="24CCC5A0" w14:textId="22A8EDEC" w:rsidR="00BE5181" w:rsidRPr="004E0E6F" w:rsidRDefault="00BE5181" w:rsidP="00D632F9">
            <w:pPr>
              <w:spacing w:after="0" w:line="240" w:lineRule="auto"/>
              <w:rPr>
                <w:rFonts w:cs="Calibri"/>
                <w:sz w:val="19"/>
                <w:szCs w:val="19"/>
              </w:rPr>
            </w:pPr>
            <w:r>
              <w:rPr>
                <w:rFonts w:cs="Calibri"/>
                <w:sz w:val="19"/>
                <w:szCs w:val="19"/>
              </w:rPr>
              <w:t>Monitoring, Evaluation and Research</w:t>
            </w:r>
          </w:p>
        </w:tc>
      </w:tr>
      <w:tr w:rsidR="001922D0" w:rsidRPr="004E0E6F" w14:paraId="6913F543" w14:textId="77777777" w:rsidTr="00D632F9">
        <w:trPr>
          <w:trHeight w:val="300"/>
        </w:trPr>
        <w:tc>
          <w:tcPr>
            <w:tcW w:w="1327" w:type="dxa"/>
            <w:tcBorders>
              <w:top w:val="nil"/>
              <w:left w:val="nil"/>
              <w:bottom w:val="nil"/>
              <w:right w:val="nil"/>
            </w:tcBorders>
            <w:shd w:val="clear" w:color="auto" w:fill="auto"/>
            <w:noWrap/>
          </w:tcPr>
          <w:p w14:paraId="088DD7D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NPL</w:t>
            </w:r>
          </w:p>
        </w:tc>
        <w:tc>
          <w:tcPr>
            <w:tcW w:w="7602" w:type="dxa"/>
            <w:tcBorders>
              <w:top w:val="nil"/>
              <w:left w:val="nil"/>
              <w:bottom w:val="nil"/>
              <w:right w:val="nil"/>
            </w:tcBorders>
            <w:shd w:val="clear" w:color="auto" w:fill="auto"/>
            <w:noWrap/>
          </w:tcPr>
          <w:p w14:paraId="449D7EBD" w14:textId="77777777" w:rsidR="001922D0" w:rsidRPr="004E0E6F" w:rsidRDefault="001922D0" w:rsidP="00D632F9">
            <w:pPr>
              <w:spacing w:after="0" w:line="240" w:lineRule="auto"/>
              <w:rPr>
                <w:rFonts w:cs="Calibri"/>
                <w:sz w:val="19"/>
                <w:szCs w:val="19"/>
              </w:rPr>
            </w:pPr>
            <w:r w:rsidRPr="004E0E6F">
              <w:rPr>
                <w:rFonts w:cs="Calibri"/>
                <w:sz w:val="19"/>
                <w:szCs w:val="19"/>
              </w:rPr>
              <w:t>Normal pool level</w:t>
            </w:r>
          </w:p>
        </w:tc>
      </w:tr>
      <w:tr w:rsidR="001922D0" w:rsidRPr="004E0E6F" w14:paraId="58C89DDE" w14:textId="77777777" w:rsidTr="00D632F9">
        <w:trPr>
          <w:trHeight w:val="300"/>
        </w:trPr>
        <w:tc>
          <w:tcPr>
            <w:tcW w:w="1327" w:type="dxa"/>
            <w:tcBorders>
              <w:top w:val="nil"/>
              <w:left w:val="nil"/>
              <w:bottom w:val="nil"/>
              <w:right w:val="nil"/>
            </w:tcBorders>
            <w:shd w:val="clear" w:color="auto" w:fill="auto"/>
            <w:noWrap/>
          </w:tcPr>
          <w:p w14:paraId="3DB4E960" w14:textId="0BE0D7C6" w:rsidR="001922D0" w:rsidRPr="004E0E6F" w:rsidRDefault="001922D0" w:rsidP="008A70C9">
            <w:pPr>
              <w:spacing w:after="0" w:line="240" w:lineRule="auto"/>
              <w:rPr>
                <w:rFonts w:cs="Calibri"/>
                <w:b/>
                <w:bCs/>
                <w:color w:val="E46D0A"/>
                <w:sz w:val="19"/>
                <w:szCs w:val="19"/>
              </w:rPr>
            </w:pPr>
            <w:r w:rsidRPr="004E0E6F">
              <w:rPr>
                <w:rFonts w:cs="Calibri"/>
                <w:b/>
                <w:bCs/>
                <w:color w:val="E46D0A"/>
                <w:sz w:val="19"/>
                <w:szCs w:val="19"/>
              </w:rPr>
              <w:t xml:space="preserve">NSW </w:t>
            </w:r>
            <w:r w:rsidR="008A70C9">
              <w:rPr>
                <w:rFonts w:cs="Calibri"/>
                <w:b/>
                <w:bCs/>
                <w:color w:val="E46D0A"/>
                <w:sz w:val="19"/>
                <w:szCs w:val="19"/>
              </w:rPr>
              <w:t>DPIE</w:t>
            </w:r>
          </w:p>
        </w:tc>
        <w:tc>
          <w:tcPr>
            <w:tcW w:w="7602" w:type="dxa"/>
            <w:tcBorders>
              <w:top w:val="nil"/>
              <w:left w:val="nil"/>
              <w:bottom w:val="nil"/>
              <w:right w:val="nil"/>
            </w:tcBorders>
            <w:shd w:val="clear" w:color="auto" w:fill="auto"/>
            <w:noWrap/>
          </w:tcPr>
          <w:p w14:paraId="6069E024" w14:textId="59588239" w:rsidR="001922D0" w:rsidRPr="004E0E6F" w:rsidRDefault="008A70C9" w:rsidP="00D632F9">
            <w:pPr>
              <w:spacing w:after="0" w:line="240" w:lineRule="auto"/>
              <w:rPr>
                <w:rFonts w:cs="Calibri"/>
                <w:sz w:val="19"/>
                <w:szCs w:val="19"/>
              </w:rPr>
            </w:pPr>
            <w:r w:rsidRPr="008A70C9">
              <w:rPr>
                <w:rFonts w:cs="Calibri"/>
                <w:sz w:val="19"/>
                <w:szCs w:val="19"/>
              </w:rPr>
              <w:t>New South Wales Department of Planning, Industry and Environment</w:t>
            </w:r>
          </w:p>
        </w:tc>
      </w:tr>
      <w:tr w:rsidR="001922D0" w:rsidRPr="004E0E6F" w14:paraId="1FC48B5B" w14:textId="77777777" w:rsidTr="00D632F9">
        <w:trPr>
          <w:trHeight w:val="300"/>
        </w:trPr>
        <w:tc>
          <w:tcPr>
            <w:tcW w:w="1327" w:type="dxa"/>
            <w:tcBorders>
              <w:top w:val="nil"/>
              <w:left w:val="nil"/>
              <w:bottom w:val="nil"/>
              <w:right w:val="nil"/>
            </w:tcBorders>
            <w:shd w:val="clear" w:color="auto" w:fill="auto"/>
            <w:noWrap/>
            <w:hideMark/>
          </w:tcPr>
          <w:p w14:paraId="235D30D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PSU</w:t>
            </w:r>
          </w:p>
        </w:tc>
        <w:tc>
          <w:tcPr>
            <w:tcW w:w="7602" w:type="dxa"/>
            <w:tcBorders>
              <w:top w:val="nil"/>
              <w:left w:val="nil"/>
              <w:bottom w:val="nil"/>
              <w:right w:val="nil"/>
            </w:tcBorders>
            <w:shd w:val="clear" w:color="auto" w:fill="auto"/>
            <w:noWrap/>
            <w:hideMark/>
          </w:tcPr>
          <w:p w14:paraId="492807EB" w14:textId="77777777" w:rsidR="001922D0" w:rsidRPr="004E0E6F" w:rsidRDefault="001922D0" w:rsidP="00D632F9">
            <w:pPr>
              <w:spacing w:after="0" w:line="240" w:lineRule="auto"/>
              <w:rPr>
                <w:rFonts w:cs="Calibri"/>
                <w:sz w:val="19"/>
                <w:szCs w:val="19"/>
              </w:rPr>
            </w:pPr>
            <w:r w:rsidRPr="004E0E6F">
              <w:rPr>
                <w:rFonts w:cs="Calibri"/>
                <w:sz w:val="19"/>
                <w:szCs w:val="19"/>
              </w:rPr>
              <w:t>Practical salinity units</w:t>
            </w:r>
          </w:p>
        </w:tc>
      </w:tr>
      <w:tr w:rsidR="001922D0" w:rsidRPr="004E0E6F" w14:paraId="717DFB08" w14:textId="77777777" w:rsidTr="00D632F9">
        <w:trPr>
          <w:trHeight w:val="300"/>
        </w:trPr>
        <w:tc>
          <w:tcPr>
            <w:tcW w:w="1327" w:type="dxa"/>
            <w:tcBorders>
              <w:top w:val="nil"/>
              <w:left w:val="nil"/>
              <w:bottom w:val="nil"/>
              <w:right w:val="nil"/>
            </w:tcBorders>
            <w:shd w:val="clear" w:color="auto" w:fill="auto"/>
            <w:noWrap/>
          </w:tcPr>
          <w:p w14:paraId="5222D2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RMIF</w:t>
            </w:r>
          </w:p>
        </w:tc>
        <w:tc>
          <w:tcPr>
            <w:tcW w:w="7602" w:type="dxa"/>
            <w:tcBorders>
              <w:top w:val="nil"/>
              <w:left w:val="nil"/>
              <w:bottom w:val="nil"/>
              <w:right w:val="nil"/>
            </w:tcBorders>
            <w:shd w:val="clear" w:color="auto" w:fill="auto"/>
            <w:noWrap/>
          </w:tcPr>
          <w:p w14:paraId="1CEDFFE0" w14:textId="77777777" w:rsidR="001922D0" w:rsidRPr="004E0E6F" w:rsidRDefault="001922D0" w:rsidP="00D632F9">
            <w:pPr>
              <w:spacing w:after="0" w:line="240" w:lineRule="auto"/>
              <w:rPr>
                <w:rFonts w:cs="Calibri"/>
                <w:sz w:val="19"/>
                <w:szCs w:val="19"/>
              </w:rPr>
            </w:pPr>
            <w:r w:rsidRPr="004E0E6F">
              <w:rPr>
                <w:rFonts w:cs="Calibri"/>
                <w:sz w:val="19"/>
                <w:szCs w:val="19"/>
              </w:rPr>
              <w:t>River Murray Increased Flows</w:t>
            </w:r>
          </w:p>
        </w:tc>
      </w:tr>
      <w:tr w:rsidR="001922D0" w:rsidRPr="004E0E6F" w14:paraId="07C90683" w14:textId="77777777" w:rsidTr="00D632F9">
        <w:trPr>
          <w:trHeight w:val="300"/>
        </w:trPr>
        <w:tc>
          <w:tcPr>
            <w:tcW w:w="1327" w:type="dxa"/>
            <w:tcBorders>
              <w:top w:val="nil"/>
              <w:left w:val="nil"/>
              <w:bottom w:val="nil"/>
              <w:right w:val="nil"/>
            </w:tcBorders>
            <w:shd w:val="clear" w:color="auto" w:fill="auto"/>
            <w:noWrap/>
            <w:hideMark/>
          </w:tcPr>
          <w:p w14:paraId="091446C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w:t>
            </w:r>
          </w:p>
        </w:tc>
        <w:tc>
          <w:tcPr>
            <w:tcW w:w="7602" w:type="dxa"/>
            <w:tcBorders>
              <w:top w:val="nil"/>
              <w:left w:val="nil"/>
              <w:bottom w:val="nil"/>
              <w:right w:val="nil"/>
            </w:tcBorders>
            <w:shd w:val="clear" w:color="auto" w:fill="auto"/>
            <w:noWrap/>
            <w:hideMark/>
          </w:tcPr>
          <w:p w14:paraId="69EB6D32" w14:textId="77777777" w:rsidR="001922D0" w:rsidRPr="004E0E6F" w:rsidRDefault="001922D0" w:rsidP="00D632F9">
            <w:pPr>
              <w:spacing w:after="0" w:line="240" w:lineRule="auto"/>
              <w:rPr>
                <w:rFonts w:cs="Calibri"/>
                <w:sz w:val="19"/>
                <w:szCs w:val="19"/>
              </w:rPr>
            </w:pPr>
            <w:r w:rsidRPr="004E0E6F">
              <w:rPr>
                <w:rFonts w:cs="Calibri"/>
                <w:sz w:val="19"/>
                <w:szCs w:val="19"/>
              </w:rPr>
              <w:t>Total length</w:t>
            </w:r>
          </w:p>
        </w:tc>
      </w:tr>
      <w:tr w:rsidR="001922D0" w:rsidRPr="004E0E6F" w14:paraId="5BC3A2D0" w14:textId="77777777" w:rsidTr="00D632F9">
        <w:trPr>
          <w:trHeight w:val="300"/>
        </w:trPr>
        <w:tc>
          <w:tcPr>
            <w:tcW w:w="1327" w:type="dxa"/>
            <w:tcBorders>
              <w:top w:val="nil"/>
              <w:left w:val="nil"/>
              <w:bottom w:val="nil"/>
              <w:right w:val="nil"/>
            </w:tcBorders>
            <w:shd w:val="clear" w:color="auto" w:fill="auto"/>
            <w:noWrap/>
          </w:tcPr>
          <w:p w14:paraId="460B7FE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TLM</w:t>
            </w:r>
          </w:p>
        </w:tc>
        <w:tc>
          <w:tcPr>
            <w:tcW w:w="7602" w:type="dxa"/>
            <w:tcBorders>
              <w:top w:val="nil"/>
              <w:left w:val="nil"/>
              <w:bottom w:val="nil"/>
              <w:right w:val="nil"/>
            </w:tcBorders>
            <w:shd w:val="clear" w:color="auto" w:fill="auto"/>
            <w:noWrap/>
          </w:tcPr>
          <w:p w14:paraId="42373A48" w14:textId="77777777" w:rsidR="001922D0" w:rsidRPr="004E0E6F" w:rsidRDefault="001922D0" w:rsidP="00D632F9">
            <w:pPr>
              <w:spacing w:after="0" w:line="240" w:lineRule="auto"/>
              <w:rPr>
                <w:rFonts w:cs="Calibri"/>
                <w:sz w:val="19"/>
                <w:szCs w:val="19"/>
              </w:rPr>
            </w:pPr>
            <w:r w:rsidRPr="004E0E6F">
              <w:rPr>
                <w:rFonts w:cs="Calibri"/>
                <w:sz w:val="19"/>
                <w:szCs w:val="19"/>
              </w:rPr>
              <w:t>The Living Murray</w:t>
            </w:r>
          </w:p>
        </w:tc>
      </w:tr>
      <w:tr w:rsidR="001922D0" w:rsidRPr="004E0E6F" w14:paraId="300BCDC0" w14:textId="77777777" w:rsidTr="00D632F9">
        <w:trPr>
          <w:trHeight w:val="300"/>
        </w:trPr>
        <w:tc>
          <w:tcPr>
            <w:tcW w:w="1327" w:type="dxa"/>
            <w:tcBorders>
              <w:top w:val="nil"/>
              <w:left w:val="nil"/>
              <w:bottom w:val="nil"/>
              <w:right w:val="nil"/>
            </w:tcBorders>
            <w:shd w:val="clear" w:color="auto" w:fill="auto"/>
            <w:noWrap/>
          </w:tcPr>
          <w:p w14:paraId="7B49EA6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VEWH</w:t>
            </w:r>
          </w:p>
        </w:tc>
        <w:tc>
          <w:tcPr>
            <w:tcW w:w="7602" w:type="dxa"/>
            <w:tcBorders>
              <w:top w:val="nil"/>
              <w:left w:val="nil"/>
              <w:bottom w:val="nil"/>
              <w:right w:val="nil"/>
            </w:tcBorders>
            <w:shd w:val="clear" w:color="auto" w:fill="auto"/>
            <w:noWrap/>
          </w:tcPr>
          <w:p w14:paraId="5DB2D114" w14:textId="77777777" w:rsidR="001922D0" w:rsidRPr="004E0E6F" w:rsidRDefault="001922D0" w:rsidP="00D632F9">
            <w:pPr>
              <w:spacing w:after="0" w:line="240" w:lineRule="auto"/>
              <w:rPr>
                <w:rFonts w:cs="Calibri"/>
                <w:sz w:val="19"/>
                <w:szCs w:val="19"/>
              </w:rPr>
            </w:pPr>
            <w:r w:rsidRPr="004E0E6F">
              <w:rPr>
                <w:rFonts w:cs="Calibri"/>
                <w:sz w:val="19"/>
                <w:szCs w:val="19"/>
              </w:rPr>
              <w:t>Victorian Environmental Water Holder</w:t>
            </w:r>
          </w:p>
        </w:tc>
      </w:tr>
      <w:tr w:rsidR="001922D0" w:rsidRPr="004E0E6F" w14:paraId="55D626CF" w14:textId="77777777" w:rsidTr="00D632F9">
        <w:trPr>
          <w:trHeight w:val="300"/>
        </w:trPr>
        <w:tc>
          <w:tcPr>
            <w:tcW w:w="1327" w:type="dxa"/>
            <w:tcBorders>
              <w:top w:val="nil"/>
              <w:left w:val="nil"/>
              <w:bottom w:val="nil"/>
              <w:right w:val="nil"/>
            </w:tcBorders>
            <w:shd w:val="clear" w:color="auto" w:fill="auto"/>
            <w:noWrap/>
          </w:tcPr>
          <w:p w14:paraId="4FE0FE4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YOY</w:t>
            </w:r>
          </w:p>
        </w:tc>
        <w:tc>
          <w:tcPr>
            <w:tcW w:w="7602" w:type="dxa"/>
            <w:tcBorders>
              <w:top w:val="nil"/>
              <w:left w:val="nil"/>
              <w:bottom w:val="nil"/>
              <w:right w:val="nil"/>
            </w:tcBorders>
            <w:shd w:val="clear" w:color="auto" w:fill="auto"/>
            <w:noWrap/>
          </w:tcPr>
          <w:p w14:paraId="058837ED" w14:textId="77777777" w:rsidR="001922D0" w:rsidRPr="004E0E6F" w:rsidRDefault="001922D0" w:rsidP="00D632F9">
            <w:pPr>
              <w:spacing w:after="0" w:line="240" w:lineRule="auto"/>
              <w:rPr>
                <w:rFonts w:cs="Calibri"/>
                <w:sz w:val="19"/>
                <w:szCs w:val="19"/>
              </w:rPr>
            </w:pPr>
            <w:r w:rsidRPr="004E0E6F">
              <w:rPr>
                <w:rFonts w:cs="Calibri"/>
                <w:sz w:val="19"/>
                <w:szCs w:val="19"/>
              </w:rPr>
              <w:t>Young-of-year</w:t>
            </w:r>
          </w:p>
        </w:tc>
      </w:tr>
    </w:tbl>
    <w:p w14:paraId="5A5E0249" w14:textId="0C91927F" w:rsidR="001922D0" w:rsidRDefault="001922D0"/>
    <w:p w14:paraId="47ADCE9B" w14:textId="77777777" w:rsidR="001922D0" w:rsidRDefault="001922D0">
      <w:pPr>
        <w:spacing w:before="0" w:after="160" w:line="259" w:lineRule="auto"/>
        <w:jc w:val="left"/>
      </w:pPr>
      <w:r>
        <w:br w:type="page"/>
      </w:r>
    </w:p>
    <w:p w14:paraId="71DBDA2F" w14:textId="77777777" w:rsidR="001922D0" w:rsidRPr="00EA0232" w:rsidRDefault="001922D0" w:rsidP="00707C9D">
      <w:pPr>
        <w:pStyle w:val="Heading1"/>
        <w:numPr>
          <w:ilvl w:val="0"/>
          <w:numId w:val="0"/>
        </w:numPr>
        <w:ind w:left="851" w:hanging="851"/>
      </w:pPr>
      <w:bookmarkStart w:id="449" w:name="_Toc3558351"/>
      <w:bookmarkStart w:id="450" w:name="_Toc101963792"/>
      <w:r>
        <w:t>Glossary</w:t>
      </w:r>
      <w:bookmarkEnd w:id="449"/>
      <w:bookmarkEnd w:id="450"/>
    </w:p>
    <w:tbl>
      <w:tblPr>
        <w:tblW w:w="0" w:type="auto"/>
        <w:tblInd w:w="91" w:type="dxa"/>
        <w:tblLayout w:type="fixed"/>
        <w:tblLook w:val="04A0" w:firstRow="1" w:lastRow="0" w:firstColumn="1" w:lastColumn="0" w:noHBand="0" w:noVBand="1"/>
      </w:tblPr>
      <w:tblGrid>
        <w:gridCol w:w="1894"/>
        <w:gridCol w:w="7035"/>
      </w:tblGrid>
      <w:tr w:rsidR="001922D0" w:rsidRPr="004E0E6F" w14:paraId="653CA306" w14:textId="77777777" w:rsidTr="00D6493B">
        <w:trPr>
          <w:cantSplit/>
          <w:trHeight w:val="283"/>
        </w:trPr>
        <w:tc>
          <w:tcPr>
            <w:tcW w:w="1894" w:type="dxa"/>
            <w:tcBorders>
              <w:top w:val="nil"/>
              <w:left w:val="nil"/>
              <w:bottom w:val="nil"/>
              <w:right w:val="nil"/>
            </w:tcBorders>
            <w:shd w:val="clear" w:color="auto" w:fill="auto"/>
            <w:noWrap/>
          </w:tcPr>
          <w:p w14:paraId="1A4E4107"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Allochthonous</w:t>
            </w:r>
          </w:p>
        </w:tc>
        <w:tc>
          <w:tcPr>
            <w:tcW w:w="7035" w:type="dxa"/>
            <w:tcBorders>
              <w:top w:val="nil"/>
              <w:left w:val="nil"/>
              <w:bottom w:val="nil"/>
              <w:right w:val="nil"/>
            </w:tcBorders>
            <w:shd w:val="clear" w:color="auto" w:fill="auto"/>
            <w:noWrap/>
          </w:tcPr>
          <w:p w14:paraId="47215813"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foreign or outside sources. For example, organic matter of an allochthonous source is that which has been produced outside of the river channel, e.g. terrestrial or floodplain material.  </w:t>
            </w:r>
          </w:p>
        </w:tc>
      </w:tr>
      <w:tr w:rsidR="001922D0" w:rsidRPr="004E0E6F" w14:paraId="04A6BC6E" w14:textId="77777777" w:rsidTr="00D6493B">
        <w:trPr>
          <w:cantSplit/>
          <w:trHeight w:val="283"/>
        </w:trPr>
        <w:tc>
          <w:tcPr>
            <w:tcW w:w="1894" w:type="dxa"/>
            <w:tcBorders>
              <w:top w:val="nil"/>
              <w:left w:val="nil"/>
              <w:bottom w:val="nil"/>
              <w:right w:val="nil"/>
            </w:tcBorders>
            <w:shd w:val="clear" w:color="auto" w:fill="auto"/>
            <w:noWrap/>
          </w:tcPr>
          <w:p w14:paraId="6246FA0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Autochthonous</w:t>
            </w:r>
          </w:p>
        </w:tc>
        <w:tc>
          <w:tcPr>
            <w:tcW w:w="7035" w:type="dxa"/>
            <w:tcBorders>
              <w:top w:val="nil"/>
              <w:left w:val="nil"/>
              <w:bottom w:val="nil"/>
              <w:right w:val="nil"/>
            </w:tcBorders>
            <w:shd w:val="clear" w:color="auto" w:fill="auto"/>
            <w:noWrap/>
          </w:tcPr>
          <w:p w14:paraId="57F2475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local sources. For example, organic matter of an autochthonous source is that which has been produced within the river channel. </w:t>
            </w:r>
          </w:p>
        </w:tc>
      </w:tr>
      <w:tr w:rsidR="001922D0" w:rsidRPr="004E0E6F" w14:paraId="70D6C4E3" w14:textId="77777777" w:rsidTr="00D6493B">
        <w:trPr>
          <w:cantSplit/>
          <w:trHeight w:val="283"/>
        </w:trPr>
        <w:tc>
          <w:tcPr>
            <w:tcW w:w="1894" w:type="dxa"/>
            <w:tcBorders>
              <w:top w:val="nil"/>
              <w:left w:val="nil"/>
              <w:bottom w:val="nil"/>
              <w:right w:val="nil"/>
            </w:tcBorders>
            <w:shd w:val="clear" w:color="auto" w:fill="auto"/>
            <w:noWrap/>
          </w:tcPr>
          <w:p w14:paraId="0B977ED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Base flow</w:t>
            </w:r>
          </w:p>
        </w:tc>
        <w:tc>
          <w:tcPr>
            <w:tcW w:w="7035" w:type="dxa"/>
            <w:tcBorders>
              <w:top w:val="nil"/>
              <w:left w:val="nil"/>
              <w:bottom w:val="nil"/>
              <w:right w:val="nil"/>
            </w:tcBorders>
            <w:shd w:val="clear" w:color="auto" w:fill="auto"/>
            <w:noWrap/>
          </w:tcPr>
          <w:p w14:paraId="4DE8A38A" w14:textId="79D29853"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Flows that are confined to the low flow part </w:t>
            </w:r>
            <w:r w:rsidR="000E012E">
              <w:rPr>
                <w:rFonts w:cs="Calibri"/>
                <w:color w:val="auto"/>
                <w:sz w:val="19"/>
                <w:szCs w:val="19"/>
              </w:rPr>
              <w:t>within</w:t>
            </w:r>
            <w:r w:rsidRPr="004E0E6F">
              <w:rPr>
                <w:rFonts w:cs="Calibri"/>
                <w:color w:val="auto"/>
                <w:sz w:val="19"/>
                <w:szCs w:val="19"/>
              </w:rPr>
              <w:t xml:space="preserve"> the river channel.</w:t>
            </w:r>
          </w:p>
        </w:tc>
      </w:tr>
      <w:tr w:rsidR="001922D0" w:rsidRPr="004E0E6F" w14:paraId="675C1E6D" w14:textId="77777777" w:rsidTr="00D6493B">
        <w:trPr>
          <w:cantSplit/>
          <w:trHeight w:val="283"/>
        </w:trPr>
        <w:tc>
          <w:tcPr>
            <w:tcW w:w="1894" w:type="dxa"/>
            <w:tcBorders>
              <w:top w:val="nil"/>
              <w:left w:val="nil"/>
              <w:bottom w:val="nil"/>
              <w:right w:val="nil"/>
            </w:tcBorders>
            <w:shd w:val="clear" w:color="auto" w:fill="auto"/>
            <w:noWrap/>
          </w:tcPr>
          <w:p w14:paraId="7A4C3DE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Biofilm</w:t>
            </w:r>
          </w:p>
        </w:tc>
        <w:tc>
          <w:tcPr>
            <w:tcW w:w="7035" w:type="dxa"/>
            <w:tcBorders>
              <w:top w:val="nil"/>
              <w:left w:val="nil"/>
              <w:bottom w:val="nil"/>
              <w:right w:val="nil"/>
            </w:tcBorders>
            <w:shd w:val="clear" w:color="auto" w:fill="auto"/>
            <w:noWrap/>
          </w:tcPr>
          <w:p w14:paraId="59F000D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collection of microorganisms (e.g. bacteria) attached as a ‘film’ on living (e.g. tree root) and non-living (e.g. wooden pylon) surfaces.</w:t>
            </w:r>
          </w:p>
        </w:tc>
      </w:tr>
      <w:tr w:rsidR="00C01B82" w:rsidRPr="004E0E6F" w14:paraId="0E46F3AA" w14:textId="77777777" w:rsidTr="00D6493B">
        <w:trPr>
          <w:cantSplit/>
          <w:trHeight w:val="283"/>
        </w:trPr>
        <w:tc>
          <w:tcPr>
            <w:tcW w:w="1894" w:type="dxa"/>
            <w:tcBorders>
              <w:top w:val="nil"/>
              <w:left w:val="nil"/>
              <w:bottom w:val="nil"/>
              <w:right w:val="nil"/>
            </w:tcBorders>
            <w:shd w:val="clear" w:color="auto" w:fill="auto"/>
            <w:noWrap/>
          </w:tcPr>
          <w:p w14:paraId="5A2182FE" w14:textId="0AAE959A" w:rsidR="00C01B82" w:rsidRPr="004E0E6F" w:rsidRDefault="00C01B82" w:rsidP="00D632F9">
            <w:pPr>
              <w:spacing w:before="0" w:after="40" w:line="240" w:lineRule="auto"/>
              <w:rPr>
                <w:rFonts w:cs="Calibri"/>
                <w:b/>
                <w:bCs/>
                <w:color w:val="E46D0A"/>
                <w:sz w:val="19"/>
                <w:szCs w:val="19"/>
              </w:rPr>
            </w:pPr>
            <w:r>
              <w:rPr>
                <w:rFonts w:cs="Calibri"/>
                <w:b/>
                <w:bCs/>
                <w:color w:val="E46D0A"/>
                <w:sz w:val="19"/>
                <w:szCs w:val="19"/>
              </w:rPr>
              <w:t>Direct trade</w:t>
            </w:r>
          </w:p>
        </w:tc>
        <w:tc>
          <w:tcPr>
            <w:tcW w:w="7035" w:type="dxa"/>
            <w:tcBorders>
              <w:top w:val="nil"/>
              <w:left w:val="nil"/>
              <w:bottom w:val="nil"/>
              <w:right w:val="nil"/>
            </w:tcBorders>
            <w:shd w:val="clear" w:color="auto" w:fill="auto"/>
            <w:noWrap/>
          </w:tcPr>
          <w:p w14:paraId="52AB3CC3" w14:textId="2E529863" w:rsidR="00C01B82" w:rsidRPr="004E0E6F" w:rsidRDefault="00C01B82" w:rsidP="00D632F9">
            <w:pPr>
              <w:spacing w:before="0" w:after="40" w:line="240" w:lineRule="auto"/>
              <w:rPr>
                <w:rFonts w:cs="Calibri"/>
                <w:color w:val="auto"/>
                <w:sz w:val="19"/>
                <w:szCs w:val="19"/>
              </w:rPr>
            </w:pPr>
            <w:r w:rsidRPr="00C01B82">
              <w:rPr>
                <w:rFonts w:cs="Calibri"/>
                <w:color w:val="auto"/>
                <w:sz w:val="19"/>
                <w:szCs w:val="19"/>
              </w:rPr>
              <w:t>“Direct trade” refers to an order for a specified volume of environmental water to be delivered at the South Australian border. Typically a timing and profile for the delivery is specified and river operators can meet the order by providing water from any available source.</w:t>
            </w:r>
          </w:p>
        </w:tc>
      </w:tr>
      <w:tr w:rsidR="001922D0" w:rsidRPr="004E0E6F" w14:paraId="54A77256" w14:textId="77777777" w:rsidTr="00D6493B">
        <w:trPr>
          <w:cantSplit/>
          <w:trHeight w:val="283"/>
        </w:trPr>
        <w:tc>
          <w:tcPr>
            <w:tcW w:w="1894" w:type="dxa"/>
            <w:tcBorders>
              <w:top w:val="nil"/>
              <w:left w:val="nil"/>
              <w:bottom w:val="nil"/>
              <w:right w:val="nil"/>
            </w:tcBorders>
            <w:shd w:val="clear" w:color="auto" w:fill="auto"/>
            <w:noWrap/>
          </w:tcPr>
          <w:p w14:paraId="540826E5"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Flood or flooding</w:t>
            </w:r>
          </w:p>
        </w:tc>
        <w:tc>
          <w:tcPr>
            <w:tcW w:w="7035" w:type="dxa"/>
            <w:tcBorders>
              <w:top w:val="nil"/>
              <w:left w:val="nil"/>
              <w:bottom w:val="nil"/>
              <w:right w:val="nil"/>
            </w:tcBorders>
            <w:shd w:val="clear" w:color="auto" w:fill="auto"/>
            <w:noWrap/>
          </w:tcPr>
          <w:p w14:paraId="57C8FD3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Refers to flows that are overbank. In South Australia, this is deemed to be above bankfull flow (45,000 ML/d).</w:t>
            </w:r>
          </w:p>
        </w:tc>
      </w:tr>
      <w:tr w:rsidR="001922D0" w:rsidRPr="004E0E6F" w14:paraId="7FC8F2E4" w14:textId="77777777" w:rsidTr="00D6493B">
        <w:trPr>
          <w:cantSplit/>
          <w:trHeight w:val="283"/>
        </w:trPr>
        <w:tc>
          <w:tcPr>
            <w:tcW w:w="1894" w:type="dxa"/>
            <w:tcBorders>
              <w:top w:val="nil"/>
              <w:left w:val="nil"/>
              <w:bottom w:val="nil"/>
              <w:right w:val="nil"/>
            </w:tcBorders>
            <w:shd w:val="clear" w:color="auto" w:fill="auto"/>
            <w:noWrap/>
          </w:tcPr>
          <w:p w14:paraId="36DA2608"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Freshes (flow)</w:t>
            </w:r>
          </w:p>
        </w:tc>
        <w:tc>
          <w:tcPr>
            <w:tcW w:w="7035" w:type="dxa"/>
            <w:tcBorders>
              <w:top w:val="nil"/>
              <w:left w:val="nil"/>
              <w:bottom w:val="nil"/>
              <w:right w:val="nil"/>
            </w:tcBorders>
            <w:shd w:val="clear" w:color="auto" w:fill="auto"/>
            <w:noWrap/>
          </w:tcPr>
          <w:p w14:paraId="69F1E41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Flows greater than base flow but below bank level.</w:t>
            </w:r>
          </w:p>
        </w:tc>
      </w:tr>
      <w:tr w:rsidR="001922D0" w:rsidRPr="004E0E6F" w14:paraId="49B9A67F" w14:textId="77777777" w:rsidTr="00D6493B">
        <w:trPr>
          <w:cantSplit/>
          <w:trHeight w:val="283"/>
        </w:trPr>
        <w:tc>
          <w:tcPr>
            <w:tcW w:w="1894" w:type="dxa"/>
            <w:tcBorders>
              <w:top w:val="nil"/>
              <w:left w:val="nil"/>
              <w:bottom w:val="nil"/>
              <w:right w:val="nil"/>
            </w:tcBorders>
            <w:shd w:val="clear" w:color="auto" w:fill="auto"/>
            <w:noWrap/>
          </w:tcPr>
          <w:p w14:paraId="5B1B042C"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Epibenthic</w:t>
            </w:r>
          </w:p>
        </w:tc>
        <w:tc>
          <w:tcPr>
            <w:tcW w:w="7035" w:type="dxa"/>
            <w:tcBorders>
              <w:top w:val="nil"/>
              <w:left w:val="nil"/>
              <w:bottom w:val="nil"/>
              <w:right w:val="nil"/>
            </w:tcBorders>
            <w:shd w:val="clear" w:color="auto" w:fill="auto"/>
            <w:noWrap/>
          </w:tcPr>
          <w:p w14:paraId="367BE2D4"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living on the surface of sediment.</w:t>
            </w:r>
          </w:p>
        </w:tc>
      </w:tr>
      <w:tr w:rsidR="001922D0" w:rsidRPr="004E0E6F" w14:paraId="57B12E33" w14:textId="77777777" w:rsidTr="00D6493B">
        <w:trPr>
          <w:cantSplit/>
          <w:trHeight w:val="283"/>
        </w:trPr>
        <w:tc>
          <w:tcPr>
            <w:tcW w:w="1894" w:type="dxa"/>
            <w:tcBorders>
              <w:top w:val="nil"/>
              <w:left w:val="nil"/>
              <w:bottom w:val="nil"/>
              <w:right w:val="nil"/>
            </w:tcBorders>
            <w:shd w:val="clear" w:color="auto" w:fill="auto"/>
            <w:noWrap/>
          </w:tcPr>
          <w:p w14:paraId="72353AEA"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Epiphytic</w:t>
            </w:r>
          </w:p>
        </w:tc>
        <w:tc>
          <w:tcPr>
            <w:tcW w:w="7035" w:type="dxa"/>
            <w:tcBorders>
              <w:top w:val="nil"/>
              <w:left w:val="nil"/>
              <w:bottom w:val="nil"/>
              <w:right w:val="nil"/>
            </w:tcBorders>
            <w:shd w:val="clear" w:color="auto" w:fill="auto"/>
            <w:noWrap/>
          </w:tcPr>
          <w:p w14:paraId="7F22089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that are attached to plants.</w:t>
            </w:r>
          </w:p>
        </w:tc>
      </w:tr>
      <w:tr w:rsidR="00065519" w:rsidRPr="004E0E6F" w14:paraId="59BA9E92" w14:textId="77777777" w:rsidTr="00D6493B">
        <w:trPr>
          <w:cantSplit/>
          <w:trHeight w:val="283"/>
        </w:trPr>
        <w:tc>
          <w:tcPr>
            <w:tcW w:w="1894" w:type="dxa"/>
            <w:tcBorders>
              <w:top w:val="nil"/>
              <w:left w:val="nil"/>
              <w:bottom w:val="nil"/>
              <w:right w:val="nil"/>
            </w:tcBorders>
            <w:shd w:val="clear" w:color="auto" w:fill="auto"/>
            <w:noWrap/>
          </w:tcPr>
          <w:p w14:paraId="1513D8A4" w14:textId="499F05CB" w:rsidR="00065519" w:rsidRPr="004E0E6F" w:rsidRDefault="00065519" w:rsidP="00D632F9">
            <w:pPr>
              <w:spacing w:before="0" w:after="40" w:line="240" w:lineRule="auto"/>
              <w:rPr>
                <w:rFonts w:cs="Calibri"/>
                <w:b/>
                <w:bCs/>
                <w:color w:val="E46D0A"/>
                <w:sz w:val="19"/>
                <w:szCs w:val="19"/>
              </w:rPr>
            </w:pPr>
            <w:r>
              <w:rPr>
                <w:rFonts w:cs="Calibri"/>
                <w:b/>
                <w:bCs/>
                <w:color w:val="E46D0A"/>
                <w:sz w:val="19"/>
                <w:szCs w:val="19"/>
              </w:rPr>
              <w:t>Hatch date</w:t>
            </w:r>
          </w:p>
        </w:tc>
        <w:tc>
          <w:tcPr>
            <w:tcW w:w="7035" w:type="dxa"/>
            <w:tcBorders>
              <w:top w:val="nil"/>
              <w:left w:val="nil"/>
              <w:bottom w:val="nil"/>
              <w:right w:val="nil"/>
            </w:tcBorders>
            <w:shd w:val="clear" w:color="auto" w:fill="auto"/>
            <w:noWrap/>
          </w:tcPr>
          <w:p w14:paraId="356AB550" w14:textId="1BA8E95B" w:rsidR="00065519" w:rsidRPr="004E0E6F" w:rsidRDefault="006D4F8E" w:rsidP="00D632F9">
            <w:pPr>
              <w:spacing w:before="0" w:after="40" w:line="240" w:lineRule="auto"/>
              <w:rPr>
                <w:rFonts w:cs="Calibri"/>
                <w:color w:val="auto"/>
                <w:sz w:val="19"/>
                <w:szCs w:val="19"/>
              </w:rPr>
            </w:pPr>
            <w:r>
              <w:rPr>
                <w:rFonts w:cs="Calibri"/>
                <w:color w:val="auto"/>
                <w:sz w:val="19"/>
                <w:szCs w:val="19"/>
              </w:rPr>
              <w:t>The date at which fish emerge from their eggs, which is one day prior to a fish laying its first daily growth increment on an otolith.</w:t>
            </w:r>
          </w:p>
        </w:tc>
      </w:tr>
      <w:tr w:rsidR="001922D0" w:rsidRPr="004E0E6F" w14:paraId="765989AE" w14:textId="77777777" w:rsidTr="00D6493B">
        <w:trPr>
          <w:cantSplit/>
          <w:trHeight w:val="283"/>
        </w:trPr>
        <w:tc>
          <w:tcPr>
            <w:tcW w:w="1894" w:type="dxa"/>
            <w:tcBorders>
              <w:top w:val="nil"/>
              <w:left w:val="nil"/>
              <w:bottom w:val="nil"/>
              <w:right w:val="nil"/>
            </w:tcBorders>
            <w:shd w:val="clear" w:color="auto" w:fill="auto"/>
            <w:noWrap/>
          </w:tcPr>
          <w:p w14:paraId="4346392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Heleoplankton</w:t>
            </w:r>
          </w:p>
        </w:tc>
        <w:tc>
          <w:tcPr>
            <w:tcW w:w="7035" w:type="dxa"/>
            <w:tcBorders>
              <w:top w:val="nil"/>
              <w:left w:val="nil"/>
              <w:bottom w:val="nil"/>
              <w:right w:val="nil"/>
            </w:tcBorders>
            <w:shd w:val="clear" w:color="auto" w:fill="auto"/>
            <w:noWrap/>
          </w:tcPr>
          <w:p w14:paraId="780BC38A" w14:textId="77777777" w:rsidR="001922D0" w:rsidRPr="004E0E6F" w:rsidRDefault="001922D0" w:rsidP="00D632F9">
            <w:pPr>
              <w:spacing w:before="0" w:after="40" w:line="240" w:lineRule="auto"/>
              <w:rPr>
                <w:rFonts w:cs="Calibri"/>
                <w:color w:val="auto"/>
                <w:sz w:val="19"/>
                <w:szCs w:val="19"/>
              </w:rPr>
            </w:pPr>
            <w:r w:rsidRPr="004E0E6F">
              <w:rPr>
                <w:sz w:val="19"/>
                <w:szCs w:val="19"/>
              </w:rPr>
              <w:t>Plankton derived from billabongs and other floodplain still, generally-vegetated, waters.</w:t>
            </w:r>
          </w:p>
        </w:tc>
      </w:tr>
      <w:tr w:rsidR="001922D0" w:rsidRPr="004E0E6F" w14:paraId="318D7BCE" w14:textId="77777777" w:rsidTr="00D6493B">
        <w:trPr>
          <w:cantSplit/>
          <w:trHeight w:val="283"/>
        </w:trPr>
        <w:tc>
          <w:tcPr>
            <w:tcW w:w="1894" w:type="dxa"/>
            <w:tcBorders>
              <w:top w:val="nil"/>
              <w:left w:val="nil"/>
              <w:bottom w:val="nil"/>
              <w:right w:val="nil"/>
            </w:tcBorders>
            <w:shd w:val="clear" w:color="auto" w:fill="auto"/>
            <w:noWrap/>
          </w:tcPr>
          <w:p w14:paraId="6403BE7C" w14:textId="77777777" w:rsidR="001922D0" w:rsidRPr="004E0E6F" w:rsidRDefault="001922D0" w:rsidP="00D632F9">
            <w:pPr>
              <w:spacing w:before="0" w:after="40" w:line="240" w:lineRule="auto"/>
              <w:rPr>
                <w:rFonts w:cs="Calibri"/>
                <w:b/>
                <w:bCs/>
                <w:i/>
                <w:color w:val="E46D0A"/>
                <w:sz w:val="19"/>
                <w:szCs w:val="19"/>
              </w:rPr>
            </w:pPr>
            <w:r w:rsidRPr="004E0E6F">
              <w:rPr>
                <w:rFonts w:cs="Calibri"/>
                <w:b/>
                <w:bCs/>
                <w:i/>
                <w:color w:val="E46D0A"/>
                <w:sz w:val="19"/>
                <w:szCs w:val="19"/>
              </w:rPr>
              <w:t>In situ</w:t>
            </w:r>
          </w:p>
        </w:tc>
        <w:tc>
          <w:tcPr>
            <w:tcW w:w="7035" w:type="dxa"/>
            <w:tcBorders>
              <w:top w:val="nil"/>
              <w:left w:val="nil"/>
              <w:bottom w:val="nil"/>
              <w:right w:val="nil"/>
            </w:tcBorders>
            <w:shd w:val="clear" w:color="auto" w:fill="auto"/>
            <w:noWrap/>
          </w:tcPr>
          <w:p w14:paraId="7EAF98FF" w14:textId="77777777" w:rsidR="001922D0" w:rsidRPr="004E0E6F" w:rsidRDefault="001922D0" w:rsidP="00D632F9">
            <w:pPr>
              <w:spacing w:before="0" w:after="40" w:line="240" w:lineRule="auto"/>
              <w:rPr>
                <w:sz w:val="19"/>
                <w:szCs w:val="19"/>
              </w:rPr>
            </w:pPr>
            <w:r w:rsidRPr="004E0E6F">
              <w:rPr>
                <w:sz w:val="19"/>
                <w:szCs w:val="19"/>
              </w:rPr>
              <w:t xml:space="preserve">Used to describe monitoring </w:t>
            </w:r>
            <w:r w:rsidRPr="004E0E6F">
              <w:rPr>
                <w:i/>
                <w:sz w:val="19"/>
                <w:szCs w:val="19"/>
              </w:rPr>
              <w:t>in</w:t>
            </w:r>
            <w:r w:rsidRPr="004E0E6F">
              <w:rPr>
                <w:sz w:val="19"/>
                <w:szCs w:val="19"/>
              </w:rPr>
              <w:t xml:space="preserve"> the field. </w:t>
            </w:r>
          </w:p>
        </w:tc>
      </w:tr>
      <w:tr w:rsidR="001922D0" w:rsidRPr="004E0E6F" w14:paraId="764F90E0" w14:textId="77777777" w:rsidTr="00D6493B">
        <w:trPr>
          <w:cantSplit/>
          <w:trHeight w:val="283"/>
        </w:trPr>
        <w:tc>
          <w:tcPr>
            <w:tcW w:w="1894" w:type="dxa"/>
            <w:tcBorders>
              <w:top w:val="nil"/>
              <w:left w:val="nil"/>
              <w:bottom w:val="nil"/>
              <w:right w:val="nil"/>
            </w:tcBorders>
            <w:shd w:val="clear" w:color="auto" w:fill="auto"/>
            <w:noWrap/>
          </w:tcPr>
          <w:p w14:paraId="1BD34968"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Lentic</w:t>
            </w:r>
          </w:p>
        </w:tc>
        <w:tc>
          <w:tcPr>
            <w:tcW w:w="7035" w:type="dxa"/>
            <w:tcBorders>
              <w:top w:val="nil"/>
              <w:left w:val="nil"/>
              <w:bottom w:val="nil"/>
              <w:right w:val="nil"/>
            </w:tcBorders>
            <w:shd w:val="clear" w:color="auto" w:fill="auto"/>
            <w:noWrap/>
          </w:tcPr>
          <w:p w14:paraId="13B3DDC5"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Refers to slower water velocities associated with ‘pool water’ habitat in highly regulated systems, typically median velocities of approximately ≤0.3 m/s.</w:t>
            </w:r>
          </w:p>
        </w:tc>
      </w:tr>
      <w:tr w:rsidR="001922D0" w:rsidRPr="004E0E6F" w14:paraId="036A65F7" w14:textId="77777777" w:rsidTr="00D6493B">
        <w:trPr>
          <w:cantSplit/>
          <w:trHeight w:val="283"/>
        </w:trPr>
        <w:tc>
          <w:tcPr>
            <w:tcW w:w="1894" w:type="dxa"/>
            <w:tcBorders>
              <w:top w:val="nil"/>
              <w:left w:val="nil"/>
              <w:bottom w:val="nil"/>
              <w:right w:val="nil"/>
            </w:tcBorders>
            <w:shd w:val="clear" w:color="auto" w:fill="auto"/>
            <w:noWrap/>
          </w:tcPr>
          <w:p w14:paraId="6575D80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Littoral</w:t>
            </w:r>
          </w:p>
        </w:tc>
        <w:tc>
          <w:tcPr>
            <w:tcW w:w="7035" w:type="dxa"/>
            <w:tcBorders>
              <w:top w:val="nil"/>
              <w:left w:val="nil"/>
              <w:bottom w:val="nil"/>
              <w:right w:val="nil"/>
            </w:tcBorders>
            <w:shd w:val="clear" w:color="auto" w:fill="auto"/>
            <w:noWrap/>
          </w:tcPr>
          <w:p w14:paraId="74EEACD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The margin along the bank of the river.</w:t>
            </w:r>
          </w:p>
        </w:tc>
      </w:tr>
      <w:tr w:rsidR="007535A2" w:rsidRPr="004E0E6F" w14:paraId="6DEDCAEE" w14:textId="77777777" w:rsidTr="00D6493B">
        <w:trPr>
          <w:cantSplit/>
          <w:trHeight w:val="283"/>
        </w:trPr>
        <w:tc>
          <w:tcPr>
            <w:tcW w:w="1894" w:type="dxa"/>
            <w:tcBorders>
              <w:top w:val="nil"/>
              <w:left w:val="nil"/>
              <w:bottom w:val="nil"/>
              <w:right w:val="nil"/>
            </w:tcBorders>
            <w:shd w:val="clear" w:color="auto" w:fill="auto"/>
            <w:noWrap/>
          </w:tcPr>
          <w:p w14:paraId="4EC73905" w14:textId="0B54AED6" w:rsidR="007535A2" w:rsidRPr="004E0E6F" w:rsidRDefault="007535A2" w:rsidP="00D632F9">
            <w:pPr>
              <w:spacing w:before="0" w:after="40" w:line="240" w:lineRule="auto"/>
              <w:rPr>
                <w:rFonts w:cs="Calibri"/>
                <w:b/>
                <w:bCs/>
                <w:color w:val="E46D0A"/>
                <w:sz w:val="19"/>
                <w:szCs w:val="19"/>
              </w:rPr>
            </w:pPr>
            <w:r>
              <w:rPr>
                <w:rFonts w:cs="Calibri"/>
                <w:b/>
                <w:bCs/>
                <w:color w:val="E46D0A"/>
                <w:sz w:val="19"/>
                <w:szCs w:val="19"/>
              </w:rPr>
              <w:t>Lower Murray</w:t>
            </w:r>
          </w:p>
        </w:tc>
        <w:tc>
          <w:tcPr>
            <w:tcW w:w="7035" w:type="dxa"/>
            <w:tcBorders>
              <w:top w:val="nil"/>
              <w:left w:val="nil"/>
              <w:bottom w:val="nil"/>
              <w:right w:val="nil"/>
            </w:tcBorders>
            <w:shd w:val="clear" w:color="auto" w:fill="auto"/>
            <w:noWrap/>
          </w:tcPr>
          <w:p w14:paraId="4BE366DB" w14:textId="36E1F365" w:rsidR="007535A2" w:rsidRPr="004E0E6F" w:rsidRDefault="00757B42" w:rsidP="00D632F9">
            <w:pPr>
              <w:spacing w:before="0" w:after="40" w:line="240" w:lineRule="auto"/>
              <w:rPr>
                <w:rFonts w:cs="Calibri"/>
                <w:color w:val="auto"/>
                <w:sz w:val="19"/>
                <w:szCs w:val="19"/>
              </w:rPr>
            </w:pPr>
            <w:r>
              <w:rPr>
                <w:rFonts w:cs="Calibri"/>
                <w:color w:val="auto"/>
                <w:sz w:val="19"/>
                <w:szCs w:val="19"/>
              </w:rPr>
              <w:t>Term used to describe the Selected Area of monitoring, which includes the Lower Murray River (see below) and the Coorong, Lower Lakes and Murray Mouth (CLLMM).</w:t>
            </w:r>
          </w:p>
        </w:tc>
      </w:tr>
      <w:tr w:rsidR="007535A2" w:rsidRPr="004E0E6F" w14:paraId="05DD2784" w14:textId="77777777" w:rsidTr="00D6493B">
        <w:trPr>
          <w:cantSplit/>
          <w:trHeight w:val="283"/>
        </w:trPr>
        <w:tc>
          <w:tcPr>
            <w:tcW w:w="1894" w:type="dxa"/>
            <w:tcBorders>
              <w:top w:val="nil"/>
              <w:left w:val="nil"/>
              <w:bottom w:val="nil"/>
              <w:right w:val="nil"/>
            </w:tcBorders>
            <w:shd w:val="clear" w:color="auto" w:fill="auto"/>
            <w:noWrap/>
          </w:tcPr>
          <w:p w14:paraId="4F1F2C0A" w14:textId="6A710995" w:rsidR="007535A2" w:rsidRDefault="007535A2" w:rsidP="00D632F9">
            <w:pPr>
              <w:spacing w:before="0" w:after="40" w:line="240" w:lineRule="auto"/>
              <w:rPr>
                <w:rFonts w:cs="Calibri"/>
                <w:b/>
                <w:bCs/>
                <w:color w:val="E46D0A"/>
                <w:sz w:val="19"/>
                <w:szCs w:val="19"/>
              </w:rPr>
            </w:pPr>
            <w:r>
              <w:rPr>
                <w:rFonts w:cs="Calibri"/>
                <w:b/>
                <w:bCs/>
                <w:color w:val="E46D0A"/>
                <w:sz w:val="19"/>
                <w:szCs w:val="19"/>
              </w:rPr>
              <w:t>Lower Murray River (LMR)</w:t>
            </w:r>
          </w:p>
        </w:tc>
        <w:tc>
          <w:tcPr>
            <w:tcW w:w="7035" w:type="dxa"/>
            <w:tcBorders>
              <w:top w:val="nil"/>
              <w:left w:val="nil"/>
              <w:bottom w:val="nil"/>
              <w:right w:val="nil"/>
            </w:tcBorders>
            <w:shd w:val="clear" w:color="auto" w:fill="auto"/>
            <w:noWrap/>
          </w:tcPr>
          <w:p w14:paraId="79E94A87" w14:textId="098A9603" w:rsidR="007535A2" w:rsidRPr="004E0E6F" w:rsidRDefault="007535A2" w:rsidP="00D632F9">
            <w:pPr>
              <w:spacing w:before="0" w:after="40" w:line="240" w:lineRule="auto"/>
              <w:rPr>
                <w:rFonts w:cs="Calibri"/>
                <w:color w:val="auto"/>
                <w:sz w:val="19"/>
                <w:szCs w:val="19"/>
              </w:rPr>
            </w:pPr>
            <w:r>
              <w:rPr>
                <w:rFonts w:cs="Calibri"/>
                <w:color w:val="auto"/>
                <w:sz w:val="19"/>
                <w:szCs w:val="19"/>
              </w:rPr>
              <w:t xml:space="preserve">Defined as the main channel of the Murray River between Wellington and </w:t>
            </w:r>
            <w:r w:rsidR="00757B42">
              <w:rPr>
                <w:rFonts w:cs="Calibri"/>
                <w:color w:val="auto"/>
                <w:sz w:val="19"/>
                <w:szCs w:val="19"/>
              </w:rPr>
              <w:t>the South Australian border</w:t>
            </w:r>
            <w:r w:rsidR="00EA1B9C">
              <w:rPr>
                <w:rFonts w:cs="Calibri"/>
                <w:color w:val="auto"/>
                <w:sz w:val="19"/>
                <w:szCs w:val="19"/>
              </w:rPr>
              <w:t xml:space="preserve">, unless otherwise specified in text (e.g. Murray River </w:t>
            </w:r>
            <w:r w:rsidR="00917953">
              <w:rPr>
                <w:rFonts w:cs="Calibri"/>
                <w:color w:val="auto"/>
                <w:sz w:val="19"/>
                <w:szCs w:val="19"/>
              </w:rPr>
              <w:t xml:space="preserve">downstream of </w:t>
            </w:r>
            <w:r w:rsidR="00EA1B9C">
              <w:rPr>
                <w:rFonts w:cs="Calibri"/>
                <w:color w:val="auto"/>
                <w:sz w:val="19"/>
                <w:szCs w:val="19"/>
              </w:rPr>
              <w:t>the Darling River junction)</w:t>
            </w:r>
            <w:r w:rsidR="004319B2">
              <w:rPr>
                <w:rFonts w:cs="Calibri"/>
                <w:color w:val="auto"/>
                <w:sz w:val="19"/>
                <w:szCs w:val="19"/>
              </w:rPr>
              <w:t>.</w:t>
            </w:r>
          </w:p>
        </w:tc>
      </w:tr>
      <w:tr w:rsidR="001922D0" w:rsidRPr="004E0E6F" w14:paraId="35901DAF" w14:textId="77777777" w:rsidTr="00D6493B">
        <w:trPr>
          <w:cantSplit/>
          <w:trHeight w:val="283"/>
        </w:trPr>
        <w:tc>
          <w:tcPr>
            <w:tcW w:w="1894" w:type="dxa"/>
            <w:tcBorders>
              <w:top w:val="nil"/>
              <w:left w:val="nil"/>
              <w:bottom w:val="nil"/>
              <w:right w:val="nil"/>
            </w:tcBorders>
            <w:shd w:val="clear" w:color="auto" w:fill="auto"/>
            <w:noWrap/>
          </w:tcPr>
          <w:p w14:paraId="23D679E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Lotic</w:t>
            </w:r>
          </w:p>
        </w:tc>
        <w:tc>
          <w:tcPr>
            <w:tcW w:w="7035" w:type="dxa"/>
            <w:tcBorders>
              <w:top w:val="nil"/>
              <w:left w:val="nil"/>
              <w:bottom w:val="nil"/>
              <w:right w:val="nil"/>
            </w:tcBorders>
            <w:shd w:val="clear" w:color="auto" w:fill="auto"/>
            <w:noWrap/>
          </w:tcPr>
          <w:p w14:paraId="760EEC67" w14:textId="26318168"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flowing water, typically </w:t>
            </w:r>
            <w:r w:rsidR="005C6F19">
              <w:rPr>
                <w:rFonts w:cs="Calibri"/>
                <w:color w:val="auto"/>
                <w:sz w:val="19"/>
                <w:szCs w:val="19"/>
              </w:rPr>
              <w:t xml:space="preserve">with </w:t>
            </w:r>
            <w:r w:rsidRPr="004E0E6F">
              <w:rPr>
                <w:rFonts w:cs="Calibri"/>
                <w:color w:val="auto"/>
                <w:sz w:val="19"/>
                <w:szCs w:val="19"/>
              </w:rPr>
              <w:t xml:space="preserve">median velocities of approximately </w:t>
            </w:r>
            <w:r w:rsidRPr="004E0E6F">
              <w:rPr>
                <w:sz w:val="19"/>
                <w:szCs w:val="19"/>
              </w:rPr>
              <w:t>&gt;</w:t>
            </w:r>
            <w:r w:rsidRPr="004E0E6F">
              <w:rPr>
                <w:rFonts w:cs="Calibri"/>
                <w:color w:val="auto"/>
                <w:sz w:val="19"/>
                <w:szCs w:val="19"/>
              </w:rPr>
              <w:t>0.3 m/s.</w:t>
            </w:r>
          </w:p>
        </w:tc>
      </w:tr>
      <w:tr w:rsidR="001922D0" w:rsidRPr="004E0E6F" w14:paraId="74F371E1" w14:textId="77777777" w:rsidTr="00D6493B">
        <w:trPr>
          <w:cantSplit/>
          <w:trHeight w:val="283"/>
        </w:trPr>
        <w:tc>
          <w:tcPr>
            <w:tcW w:w="1894" w:type="dxa"/>
            <w:tcBorders>
              <w:top w:val="nil"/>
              <w:left w:val="nil"/>
              <w:bottom w:val="nil"/>
              <w:right w:val="nil"/>
            </w:tcBorders>
            <w:shd w:val="clear" w:color="auto" w:fill="auto"/>
            <w:noWrap/>
          </w:tcPr>
          <w:p w14:paraId="74CF9C8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Pulse (flow)</w:t>
            </w:r>
          </w:p>
        </w:tc>
        <w:tc>
          <w:tcPr>
            <w:tcW w:w="7035" w:type="dxa"/>
            <w:tcBorders>
              <w:top w:val="nil"/>
              <w:left w:val="nil"/>
              <w:bottom w:val="nil"/>
              <w:right w:val="nil"/>
            </w:tcBorders>
            <w:shd w:val="clear" w:color="auto" w:fill="auto"/>
            <w:noWrap/>
          </w:tcPr>
          <w:p w14:paraId="5BB61FE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description given to the shape of a hydrograph that is characterised by an increase in discharge, followed by a decrease in discharge, often of similar slope.</w:t>
            </w:r>
          </w:p>
        </w:tc>
      </w:tr>
      <w:tr w:rsidR="001922D0" w:rsidRPr="004E0E6F" w14:paraId="434BE0B1" w14:textId="77777777" w:rsidTr="00D6493B">
        <w:trPr>
          <w:cantSplit/>
          <w:trHeight w:val="283"/>
        </w:trPr>
        <w:tc>
          <w:tcPr>
            <w:tcW w:w="1894" w:type="dxa"/>
            <w:tcBorders>
              <w:top w:val="nil"/>
              <w:left w:val="nil"/>
              <w:bottom w:val="nil"/>
              <w:right w:val="nil"/>
            </w:tcBorders>
            <w:shd w:val="clear" w:color="auto" w:fill="auto"/>
            <w:noWrap/>
          </w:tcPr>
          <w:p w14:paraId="3A64BA1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Recruitment (reproduction)</w:t>
            </w:r>
          </w:p>
        </w:tc>
        <w:tc>
          <w:tcPr>
            <w:tcW w:w="7035" w:type="dxa"/>
            <w:tcBorders>
              <w:top w:val="nil"/>
              <w:left w:val="nil"/>
              <w:bottom w:val="nil"/>
              <w:right w:val="nil"/>
            </w:tcBorders>
            <w:shd w:val="clear" w:color="auto" w:fill="auto"/>
            <w:noWrap/>
          </w:tcPr>
          <w:p w14:paraId="4543562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individuals passing the critical stages of early life (e.g. larval) and becoming juveniles in a population, described here as age 0+ years. </w:t>
            </w:r>
          </w:p>
        </w:tc>
      </w:tr>
      <w:tr w:rsidR="001922D0" w:rsidRPr="004E0E6F" w14:paraId="056B0D6D" w14:textId="77777777" w:rsidTr="00D6493B">
        <w:trPr>
          <w:cantSplit/>
          <w:trHeight w:val="283"/>
        </w:trPr>
        <w:tc>
          <w:tcPr>
            <w:tcW w:w="1894" w:type="dxa"/>
            <w:tcBorders>
              <w:top w:val="nil"/>
              <w:left w:val="nil"/>
              <w:bottom w:val="nil"/>
              <w:right w:val="nil"/>
            </w:tcBorders>
            <w:shd w:val="clear" w:color="auto" w:fill="auto"/>
            <w:noWrap/>
          </w:tcPr>
          <w:p w14:paraId="50F7C2B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Respiration (ecosystem)</w:t>
            </w:r>
          </w:p>
        </w:tc>
        <w:tc>
          <w:tcPr>
            <w:tcW w:w="7035" w:type="dxa"/>
            <w:tcBorders>
              <w:top w:val="nil"/>
              <w:left w:val="nil"/>
              <w:bottom w:val="nil"/>
              <w:right w:val="nil"/>
            </w:tcBorders>
            <w:shd w:val="clear" w:color="auto" w:fill="auto"/>
            <w:noWrap/>
          </w:tcPr>
          <w:p w14:paraId="4BF4B25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Ecosystem respiration is the measure of oxygen depletion in water by respiring animals.</w:t>
            </w:r>
          </w:p>
        </w:tc>
      </w:tr>
      <w:tr w:rsidR="001922D0" w:rsidRPr="004E0E6F" w14:paraId="1DE0293B" w14:textId="77777777" w:rsidTr="00D6493B">
        <w:trPr>
          <w:cantSplit/>
          <w:trHeight w:val="283"/>
        </w:trPr>
        <w:tc>
          <w:tcPr>
            <w:tcW w:w="1894" w:type="dxa"/>
            <w:tcBorders>
              <w:top w:val="nil"/>
              <w:left w:val="nil"/>
              <w:bottom w:val="nil"/>
              <w:right w:val="nil"/>
            </w:tcBorders>
            <w:shd w:val="clear" w:color="auto" w:fill="auto"/>
            <w:noWrap/>
          </w:tcPr>
          <w:p w14:paraId="76EEC33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RMIF</w:t>
            </w:r>
          </w:p>
        </w:tc>
        <w:tc>
          <w:tcPr>
            <w:tcW w:w="7035" w:type="dxa"/>
            <w:tcBorders>
              <w:top w:val="nil"/>
              <w:left w:val="nil"/>
              <w:bottom w:val="nil"/>
              <w:right w:val="nil"/>
            </w:tcBorders>
            <w:shd w:val="clear" w:color="auto" w:fill="auto"/>
            <w:noWrap/>
          </w:tcPr>
          <w:p w14:paraId="40C342A2" w14:textId="77777777" w:rsidR="001922D0" w:rsidRPr="004E0E6F" w:rsidRDefault="001922D0" w:rsidP="00D632F9">
            <w:pPr>
              <w:spacing w:before="0" w:after="40" w:line="240" w:lineRule="auto"/>
              <w:rPr>
                <w:rFonts w:cs="Calibri"/>
                <w:color w:val="auto"/>
                <w:sz w:val="19"/>
                <w:szCs w:val="19"/>
              </w:rPr>
            </w:pPr>
            <w:r w:rsidRPr="004E0E6F">
              <w:rPr>
                <w:color w:val="auto"/>
                <w:sz w:val="19"/>
                <w:szCs w:val="19"/>
              </w:rPr>
              <w:t>River Murray Increased Flows: a type of environmental water. Water entitlements recovered under the Snowy Water Initiative (established in 2002) via infrastructure upgrades and water purchase, which receive annual allocations and are used to supply environmental water to the Snowy River (Snowy River Increased Flows, SRIF) and River Murray (RMIF).</w:t>
            </w:r>
          </w:p>
        </w:tc>
      </w:tr>
      <w:tr w:rsidR="001922D0" w:rsidRPr="004E0E6F" w14:paraId="4C1FD065" w14:textId="77777777" w:rsidTr="00D6493B">
        <w:trPr>
          <w:cantSplit/>
          <w:trHeight w:val="283"/>
        </w:trPr>
        <w:tc>
          <w:tcPr>
            <w:tcW w:w="1894" w:type="dxa"/>
            <w:tcBorders>
              <w:top w:val="nil"/>
              <w:left w:val="nil"/>
              <w:bottom w:val="nil"/>
              <w:right w:val="nil"/>
            </w:tcBorders>
            <w:shd w:val="clear" w:color="auto" w:fill="auto"/>
            <w:noWrap/>
          </w:tcPr>
          <w:p w14:paraId="3B9A70E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Primary productivity</w:t>
            </w:r>
          </w:p>
        </w:tc>
        <w:tc>
          <w:tcPr>
            <w:tcW w:w="7035" w:type="dxa"/>
            <w:tcBorders>
              <w:top w:val="nil"/>
              <w:left w:val="nil"/>
              <w:bottom w:val="nil"/>
              <w:right w:val="nil"/>
            </w:tcBorders>
            <w:shd w:val="clear" w:color="auto" w:fill="auto"/>
            <w:noWrap/>
          </w:tcPr>
          <w:p w14:paraId="2EE96DA3" w14:textId="77777777" w:rsidR="001922D0" w:rsidRPr="004E0E6F" w:rsidRDefault="001922D0" w:rsidP="00D632F9">
            <w:pPr>
              <w:spacing w:before="0" w:after="40" w:line="240" w:lineRule="auto"/>
              <w:rPr>
                <w:color w:val="auto"/>
                <w:sz w:val="19"/>
                <w:szCs w:val="19"/>
              </w:rPr>
            </w:pPr>
            <w:r w:rsidRPr="004E0E6F">
              <w:rPr>
                <w:rFonts w:cs="Calibri"/>
                <w:color w:val="auto"/>
                <w:sz w:val="19"/>
                <w:szCs w:val="19"/>
              </w:rPr>
              <w:t>The rate at which energy is converted to organic substances by autotrophs (e.g. algae and plants) during photosynthesis.</w:t>
            </w:r>
          </w:p>
        </w:tc>
      </w:tr>
      <w:tr w:rsidR="003E486B" w:rsidRPr="004E0E6F" w14:paraId="60B02BBC" w14:textId="77777777" w:rsidTr="00D6493B">
        <w:trPr>
          <w:cantSplit/>
          <w:trHeight w:val="283"/>
        </w:trPr>
        <w:tc>
          <w:tcPr>
            <w:tcW w:w="1894" w:type="dxa"/>
            <w:tcBorders>
              <w:top w:val="nil"/>
              <w:left w:val="nil"/>
              <w:bottom w:val="nil"/>
              <w:right w:val="nil"/>
            </w:tcBorders>
            <w:shd w:val="clear" w:color="auto" w:fill="auto"/>
            <w:noWrap/>
          </w:tcPr>
          <w:p w14:paraId="4E894571" w14:textId="4400A580" w:rsidR="003E486B" w:rsidRPr="004E0E6F" w:rsidRDefault="003E486B" w:rsidP="00D632F9">
            <w:pPr>
              <w:spacing w:before="0" w:after="40" w:line="240" w:lineRule="auto"/>
              <w:rPr>
                <w:rFonts w:cs="Calibri"/>
                <w:b/>
                <w:bCs/>
                <w:color w:val="E46D0A"/>
                <w:sz w:val="19"/>
                <w:szCs w:val="19"/>
              </w:rPr>
            </w:pPr>
            <w:r>
              <w:rPr>
                <w:rFonts w:cs="Calibri"/>
                <w:b/>
                <w:bCs/>
                <w:color w:val="E46D0A"/>
                <w:sz w:val="19"/>
                <w:szCs w:val="19"/>
              </w:rPr>
              <w:t>Salt flux</w:t>
            </w:r>
          </w:p>
        </w:tc>
        <w:tc>
          <w:tcPr>
            <w:tcW w:w="7035" w:type="dxa"/>
            <w:tcBorders>
              <w:top w:val="nil"/>
              <w:left w:val="nil"/>
              <w:bottom w:val="nil"/>
              <w:right w:val="nil"/>
            </w:tcBorders>
            <w:shd w:val="clear" w:color="auto" w:fill="auto"/>
            <w:noWrap/>
          </w:tcPr>
          <w:p w14:paraId="0339EFC6" w14:textId="21795F34" w:rsidR="003E486B" w:rsidRPr="004E0E6F" w:rsidRDefault="00786DFE" w:rsidP="00D632F9">
            <w:pPr>
              <w:spacing w:before="0" w:after="40" w:line="240" w:lineRule="auto"/>
              <w:rPr>
                <w:rFonts w:cs="Calibri"/>
                <w:color w:val="auto"/>
                <w:sz w:val="19"/>
                <w:szCs w:val="19"/>
              </w:rPr>
            </w:pPr>
            <w:r>
              <w:rPr>
                <w:rFonts w:cs="Calibri"/>
                <w:color w:val="auto"/>
                <w:sz w:val="19"/>
                <w:szCs w:val="19"/>
              </w:rPr>
              <w:t>The measure (mass/time) of the movement of salt over a given area or point.</w:t>
            </w:r>
          </w:p>
        </w:tc>
      </w:tr>
      <w:tr w:rsidR="005C6F19" w:rsidRPr="004E0E6F" w14:paraId="1098B7DF" w14:textId="77777777" w:rsidTr="00D6493B">
        <w:trPr>
          <w:cantSplit/>
          <w:trHeight w:val="283"/>
        </w:trPr>
        <w:tc>
          <w:tcPr>
            <w:tcW w:w="1894" w:type="dxa"/>
            <w:shd w:val="clear" w:color="auto" w:fill="auto"/>
            <w:noWrap/>
          </w:tcPr>
          <w:p w14:paraId="5841FD14" w14:textId="5F6A9981" w:rsidR="005C6F19" w:rsidRPr="004E0E6F" w:rsidRDefault="005C6F19" w:rsidP="005C6F19">
            <w:pPr>
              <w:spacing w:before="0" w:after="40" w:line="240" w:lineRule="auto"/>
              <w:rPr>
                <w:rFonts w:cs="Calibri"/>
                <w:b/>
                <w:bCs/>
                <w:color w:val="E46D0A"/>
                <w:sz w:val="19"/>
                <w:szCs w:val="19"/>
              </w:rPr>
            </w:pPr>
            <w:r>
              <w:rPr>
                <w:rFonts w:cs="Calibri"/>
                <w:b/>
                <w:bCs/>
                <w:color w:val="E46D0A"/>
                <w:sz w:val="19"/>
                <w:szCs w:val="19"/>
              </w:rPr>
              <w:t>Southern connected Basin</w:t>
            </w:r>
          </w:p>
        </w:tc>
        <w:tc>
          <w:tcPr>
            <w:tcW w:w="7035" w:type="dxa"/>
            <w:noWrap/>
          </w:tcPr>
          <w:p w14:paraId="7696C1E0" w14:textId="341C88D2" w:rsidR="005C6F19" w:rsidRPr="004E0E6F" w:rsidRDefault="005C6F19" w:rsidP="005C6F19">
            <w:pPr>
              <w:spacing w:before="0" w:after="40" w:line="240" w:lineRule="auto"/>
              <w:rPr>
                <w:sz w:val="19"/>
                <w:szCs w:val="19"/>
              </w:rPr>
            </w:pPr>
            <w:r>
              <w:rPr>
                <w:rFonts w:cs="Calibri"/>
                <w:color w:val="auto"/>
                <w:sz w:val="19"/>
                <w:szCs w:val="19"/>
              </w:rPr>
              <w:t>The southern c</w:t>
            </w:r>
            <w:r w:rsidRPr="00D14223">
              <w:rPr>
                <w:rFonts w:cs="Calibri"/>
                <w:color w:val="auto"/>
                <w:sz w:val="19"/>
                <w:szCs w:val="19"/>
              </w:rPr>
              <w:t>onnected Basin is a network of the Murray River and all tributaries that flow into it between the Hume Dam and the sea. The Lower Darling (below Menindee Lakes) is considered part of the Southern Connected Basin, whilst all rivers upstream of Menindee Lakes are considered as the Northern Basin.</w:t>
            </w:r>
          </w:p>
        </w:tc>
      </w:tr>
      <w:tr w:rsidR="00707422" w:rsidRPr="004E0E6F" w14:paraId="13CF3F5C" w14:textId="77777777" w:rsidTr="00D6493B">
        <w:trPr>
          <w:cantSplit/>
          <w:trHeight w:val="283"/>
        </w:trPr>
        <w:tc>
          <w:tcPr>
            <w:tcW w:w="1894" w:type="dxa"/>
            <w:shd w:val="clear" w:color="auto" w:fill="auto"/>
            <w:noWrap/>
          </w:tcPr>
          <w:p w14:paraId="16848559" w14:textId="12383209" w:rsidR="00707422" w:rsidRDefault="00707422" w:rsidP="005C6F19">
            <w:pPr>
              <w:spacing w:before="0" w:after="40" w:line="240" w:lineRule="auto"/>
              <w:rPr>
                <w:rFonts w:cs="Calibri"/>
                <w:b/>
                <w:bCs/>
                <w:color w:val="E46D0A"/>
                <w:sz w:val="19"/>
                <w:szCs w:val="19"/>
              </w:rPr>
            </w:pPr>
            <w:r>
              <w:rPr>
                <w:rFonts w:cs="Calibri"/>
                <w:b/>
                <w:bCs/>
                <w:color w:val="E46D0A"/>
                <w:sz w:val="19"/>
                <w:szCs w:val="19"/>
              </w:rPr>
              <w:t>QSA</w:t>
            </w:r>
          </w:p>
        </w:tc>
        <w:tc>
          <w:tcPr>
            <w:tcW w:w="7035" w:type="dxa"/>
            <w:noWrap/>
          </w:tcPr>
          <w:p w14:paraId="74FC72DB" w14:textId="26A8A054" w:rsidR="00707422" w:rsidRDefault="002E2000" w:rsidP="005C6F19">
            <w:pPr>
              <w:spacing w:before="0" w:after="40" w:line="240" w:lineRule="auto"/>
              <w:rPr>
                <w:rFonts w:cs="Calibri"/>
                <w:color w:val="auto"/>
                <w:sz w:val="19"/>
                <w:szCs w:val="19"/>
              </w:rPr>
            </w:pPr>
            <w:r>
              <w:rPr>
                <w:rFonts w:cs="Calibri"/>
                <w:color w:val="auto"/>
                <w:sz w:val="19"/>
                <w:szCs w:val="19"/>
              </w:rPr>
              <w:t xml:space="preserve">Murray River discharge (Q) to South Australia at the SA-NSW border. </w:t>
            </w:r>
          </w:p>
        </w:tc>
      </w:tr>
      <w:tr w:rsidR="001922D0" w:rsidRPr="004E0E6F" w14:paraId="5C14117E" w14:textId="77777777" w:rsidTr="00D6493B">
        <w:trPr>
          <w:cantSplit/>
          <w:trHeight w:val="283"/>
        </w:trPr>
        <w:tc>
          <w:tcPr>
            <w:tcW w:w="1894" w:type="dxa"/>
            <w:tcBorders>
              <w:top w:val="nil"/>
              <w:left w:val="nil"/>
              <w:bottom w:val="nil"/>
              <w:right w:val="nil"/>
            </w:tcBorders>
            <w:shd w:val="clear" w:color="auto" w:fill="auto"/>
            <w:noWrap/>
          </w:tcPr>
          <w:p w14:paraId="7B8A85C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Unregulated flows</w:t>
            </w:r>
          </w:p>
        </w:tc>
        <w:tc>
          <w:tcPr>
            <w:tcW w:w="7035" w:type="dxa"/>
            <w:tcBorders>
              <w:top w:val="nil"/>
              <w:left w:val="nil"/>
              <w:bottom w:val="nil"/>
              <w:right w:val="nil"/>
            </w:tcBorders>
            <w:shd w:val="clear" w:color="auto" w:fill="auto"/>
            <w:noWrap/>
          </w:tcPr>
          <w:p w14:paraId="0C3B5AB9" w14:textId="77777777" w:rsidR="001922D0" w:rsidRPr="004E0E6F" w:rsidRDefault="001922D0" w:rsidP="00D632F9">
            <w:pPr>
              <w:spacing w:before="0" w:after="40" w:line="240" w:lineRule="auto"/>
              <w:rPr>
                <w:color w:val="auto"/>
                <w:sz w:val="19"/>
                <w:szCs w:val="19"/>
              </w:rPr>
            </w:pPr>
            <w:r w:rsidRPr="004E0E6F">
              <w:rPr>
                <w:sz w:val="19"/>
                <w:szCs w:val="19"/>
              </w:rPr>
              <w:t xml:space="preserve">Unregulated flows occur when water in the system exceeds demands and are declared to be unregulated by the appropriate authority (source: </w:t>
            </w:r>
            <w:hyperlink r:id="rId157" w:history="1">
              <w:r w:rsidRPr="004E0E6F">
                <w:rPr>
                  <w:rStyle w:val="Hyperlink"/>
                  <w:rFonts w:eastAsiaTheme="majorEastAsia"/>
                  <w:sz w:val="19"/>
                  <w:szCs w:val="19"/>
                </w:rPr>
                <w:t>http://www.bom.gov.au/water/awid/id-1026.shtml</w:t>
              </w:r>
            </w:hyperlink>
            <w:r w:rsidRPr="004E0E6F">
              <w:rPr>
                <w:sz w:val="19"/>
                <w:szCs w:val="19"/>
              </w:rPr>
              <w:t>). They can be driven by substantial rainfall from upper tributaries, spills from headwork storages and rainfall rejection events.</w:t>
            </w:r>
          </w:p>
        </w:tc>
      </w:tr>
      <w:tr w:rsidR="001922D0" w:rsidRPr="004E0E6F" w14:paraId="14506956" w14:textId="77777777" w:rsidTr="00D6493B">
        <w:trPr>
          <w:cantSplit/>
          <w:trHeight w:val="283"/>
        </w:trPr>
        <w:tc>
          <w:tcPr>
            <w:tcW w:w="1894" w:type="dxa"/>
            <w:tcBorders>
              <w:top w:val="nil"/>
              <w:left w:val="nil"/>
              <w:bottom w:val="nil"/>
              <w:right w:val="nil"/>
            </w:tcBorders>
            <w:shd w:val="clear" w:color="auto" w:fill="auto"/>
            <w:noWrap/>
          </w:tcPr>
          <w:p w14:paraId="08F00803"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Weir pool</w:t>
            </w:r>
          </w:p>
        </w:tc>
        <w:tc>
          <w:tcPr>
            <w:tcW w:w="7035" w:type="dxa"/>
            <w:tcBorders>
              <w:top w:val="nil"/>
              <w:left w:val="nil"/>
              <w:bottom w:val="nil"/>
              <w:right w:val="nil"/>
            </w:tcBorders>
            <w:shd w:val="clear" w:color="auto" w:fill="auto"/>
            <w:noWrap/>
          </w:tcPr>
          <w:p w14:paraId="7B700A84" w14:textId="0731D13D" w:rsidR="001922D0" w:rsidRPr="004E0E6F" w:rsidRDefault="00DD3C63" w:rsidP="00D632F9">
            <w:pPr>
              <w:spacing w:before="0" w:after="40" w:line="240" w:lineRule="auto"/>
              <w:rPr>
                <w:sz w:val="19"/>
                <w:szCs w:val="19"/>
              </w:rPr>
            </w:pPr>
            <w:r>
              <w:rPr>
                <w:rFonts w:cs="Calibri"/>
                <w:color w:val="auto"/>
                <w:sz w:val="19"/>
                <w:szCs w:val="19"/>
              </w:rPr>
              <w:t xml:space="preserve">The </w:t>
            </w:r>
            <w:r w:rsidR="005105C7">
              <w:rPr>
                <w:rFonts w:cs="Calibri"/>
                <w:color w:val="auto"/>
                <w:sz w:val="19"/>
                <w:szCs w:val="19"/>
              </w:rPr>
              <w:t>area of water upstream of a weir that is influenced by the weir</w:t>
            </w:r>
            <w:r>
              <w:rPr>
                <w:rFonts w:cs="Calibri"/>
                <w:color w:val="auto"/>
                <w:sz w:val="19"/>
                <w:szCs w:val="19"/>
              </w:rPr>
              <w:t xml:space="preserve">. </w:t>
            </w:r>
            <w:r w:rsidR="005105C7">
              <w:rPr>
                <w:rFonts w:cs="Calibri"/>
                <w:color w:val="auto"/>
                <w:sz w:val="19"/>
                <w:szCs w:val="19"/>
              </w:rPr>
              <w:t xml:space="preserve">In this report, </w:t>
            </w:r>
            <w:r>
              <w:rPr>
                <w:rFonts w:cs="Calibri"/>
                <w:color w:val="auto"/>
                <w:sz w:val="19"/>
                <w:szCs w:val="19"/>
              </w:rPr>
              <w:t>a weir pool</w:t>
            </w:r>
            <w:r w:rsidR="005105C7">
              <w:rPr>
                <w:rFonts w:cs="Calibri"/>
                <w:color w:val="auto"/>
                <w:sz w:val="19"/>
                <w:szCs w:val="19"/>
              </w:rPr>
              <w:t xml:space="preserve"> is often referred to as the stretch of river between two weirs</w:t>
            </w:r>
            <w:r>
              <w:rPr>
                <w:rFonts w:cs="Calibri"/>
                <w:color w:val="auto"/>
                <w:sz w:val="19"/>
                <w:szCs w:val="19"/>
              </w:rPr>
              <w:t xml:space="preserve"> and includes tailwater habitat</w:t>
            </w:r>
            <w:r w:rsidR="005105C7">
              <w:rPr>
                <w:rFonts w:cs="Calibri"/>
                <w:color w:val="auto"/>
                <w:sz w:val="19"/>
                <w:szCs w:val="19"/>
              </w:rPr>
              <w:t>.</w:t>
            </w:r>
            <w:r>
              <w:rPr>
                <w:rFonts w:cs="Calibri"/>
                <w:color w:val="auto"/>
                <w:sz w:val="19"/>
                <w:szCs w:val="19"/>
              </w:rPr>
              <w:t xml:space="preserve"> For example, Weir Pool 1 is the stretch of river between Weir 1 and 2.</w:t>
            </w:r>
          </w:p>
        </w:tc>
      </w:tr>
    </w:tbl>
    <w:p w14:paraId="788E77A9" w14:textId="77777777" w:rsidR="000A65FC" w:rsidRDefault="000A65FC" w:rsidP="009A6F22"/>
    <w:sectPr w:rsidR="000A65FC" w:rsidSect="005647F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8E47EF" w14:textId="77777777" w:rsidR="00D062E0" w:rsidRDefault="00D062E0" w:rsidP="00CC1E80">
      <w:pPr>
        <w:spacing w:before="0" w:after="0" w:line="240" w:lineRule="auto"/>
      </w:pPr>
      <w:r>
        <w:separator/>
      </w:r>
    </w:p>
  </w:endnote>
  <w:endnote w:type="continuationSeparator" w:id="0">
    <w:p w14:paraId="19B763E6" w14:textId="77777777" w:rsidR="00D062E0" w:rsidRDefault="00D062E0" w:rsidP="00CC1E80">
      <w:pPr>
        <w:spacing w:before="0" w:after="0" w:line="240" w:lineRule="auto"/>
      </w:pPr>
      <w:r>
        <w:continuationSeparator/>
      </w:r>
    </w:p>
  </w:endnote>
  <w:endnote w:type="continuationNotice" w:id="1">
    <w:p w14:paraId="702D217A" w14:textId="77777777" w:rsidR="00D062E0" w:rsidRDefault="00D062E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icrosoft Himalaya">
    <w:panose1 w:val="01010100010101010101"/>
    <w:charset w:val="00"/>
    <w:family w:val="auto"/>
    <w:pitch w:val="variable"/>
    <w:sig w:usb0="80000003" w:usb1="00010000" w:usb2="00000040" w:usb3="00000000" w:csb0="0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1538" w14:textId="77777777" w:rsidR="00AE69FC" w:rsidRDefault="00AE69FC" w:rsidP="00D632F9">
    <w:pPr>
      <w:pStyle w:val="Footer"/>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26F87" w14:textId="50416630" w:rsidR="00AE69FC" w:rsidRDefault="00AE69FC" w:rsidP="00D632F9">
    <w:pPr>
      <w:pStyle w:val="Footer"/>
    </w:pPr>
    <w:r>
      <w:t xml:space="preserve">Ye </w:t>
    </w:r>
    <w:r w:rsidRPr="00FA5207">
      <w:rPr>
        <w:i/>
      </w:rPr>
      <w:t>et al.</w:t>
    </w:r>
    <w:r>
      <w:t xml:space="preserve"> 2022    CEWO MER Technical Report</w:t>
    </w:r>
    <w:r w:rsidRPr="00A62C74">
      <w:t xml:space="preserve">. </w:t>
    </w:r>
    <w:r w:rsidRPr="00627C14">
      <w:rPr>
        <w:i/>
      </w:rPr>
      <w:t xml:space="preserve">Lower Murray </w:t>
    </w:r>
    <w:r>
      <w:rPr>
        <w:i/>
      </w:rPr>
      <w:t xml:space="preserve">Selected Area, </w:t>
    </w:r>
    <w:r w:rsidRPr="00627C14">
      <w:rPr>
        <w:i/>
      </w:rPr>
      <w:t>20</w:t>
    </w:r>
    <w:r>
      <w:rPr>
        <w:i/>
      </w:rPr>
      <w:t>20-21</w:t>
    </w:r>
    <w:r>
      <w:tab/>
    </w:r>
    <w:r>
      <w:fldChar w:fldCharType="begin"/>
    </w:r>
    <w:r>
      <w:instrText xml:space="preserve"> PAGE   \* MERGEFORMAT </w:instrText>
    </w:r>
    <w:r>
      <w:fldChar w:fldCharType="separate"/>
    </w:r>
    <w:r>
      <w:rPr>
        <w:noProof/>
      </w:rPr>
      <w:t>49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CC16A3" w14:textId="77777777" w:rsidR="00D062E0" w:rsidRDefault="00D062E0" w:rsidP="00CC1E80">
      <w:pPr>
        <w:spacing w:before="0" w:after="0" w:line="240" w:lineRule="auto"/>
      </w:pPr>
      <w:r>
        <w:separator/>
      </w:r>
    </w:p>
  </w:footnote>
  <w:footnote w:type="continuationSeparator" w:id="0">
    <w:p w14:paraId="777AF985" w14:textId="77777777" w:rsidR="00D062E0" w:rsidRDefault="00D062E0" w:rsidP="00CC1E80">
      <w:pPr>
        <w:spacing w:before="0" w:after="0" w:line="240" w:lineRule="auto"/>
      </w:pPr>
      <w:r>
        <w:continuationSeparator/>
      </w:r>
    </w:p>
  </w:footnote>
  <w:footnote w:type="continuationNotice" w:id="1">
    <w:p w14:paraId="36BFDA3E" w14:textId="77777777" w:rsidR="00D062E0" w:rsidRDefault="00D062E0">
      <w:pPr>
        <w:spacing w:before="0" w:after="0" w:line="240" w:lineRule="auto"/>
      </w:pPr>
    </w:p>
  </w:footnote>
  <w:footnote w:id="2">
    <w:p w14:paraId="1346D9CF" w14:textId="431FC8C7" w:rsidR="00713981" w:rsidRDefault="00713981" w:rsidP="00713981">
      <w:pPr>
        <w:pStyle w:val="FootnoteText"/>
      </w:pPr>
      <w:r>
        <w:rPr>
          <w:rStyle w:val="FootnoteReference"/>
        </w:rPr>
        <w:footnoteRef/>
      </w:r>
      <w:r>
        <w:t xml:space="preserve"> Environmental water volumes and percentages provided here</w:t>
      </w:r>
      <w:r w:rsidR="00235487">
        <w:t xml:space="preserve"> for the LMR</w:t>
      </w:r>
      <w:r>
        <w:t xml:space="preserve"> </w:t>
      </w:r>
      <w:r w:rsidR="00961847">
        <w:t xml:space="preserve">are sourced from CEWO accounting data and </w:t>
      </w:r>
      <w:r>
        <w:t>exclude wetland pumping as this investigation focuses on the main channel of the LMR.</w:t>
      </w:r>
      <w:r w:rsidR="00235487">
        <w:t xml:space="preserve"> Percentage contribution of environmental water to barrage flows are results from </w:t>
      </w:r>
      <w:r w:rsidR="00235487" w:rsidRPr="00235487">
        <w:rPr>
          <w:i/>
          <w:iCs/>
        </w:rPr>
        <w:t>Matter Transport and Coorong Habitat</w:t>
      </w:r>
      <w:r w:rsidR="00235487">
        <w:t xml:space="preserve"> modelling. </w:t>
      </w:r>
    </w:p>
  </w:footnote>
  <w:footnote w:id="3">
    <w:p w14:paraId="1EA81F03" w14:textId="0013844E" w:rsidR="00AE69FC" w:rsidRDefault="00AE69FC">
      <w:pPr>
        <w:pStyle w:val="FootnoteText"/>
      </w:pPr>
      <w:r>
        <w:rPr>
          <w:rStyle w:val="FootnoteReference"/>
        </w:rPr>
        <w:footnoteRef/>
      </w:r>
      <w:r>
        <w:t xml:space="preserve"> </w:t>
      </w:r>
      <w:r w:rsidRPr="00DF5E18">
        <w:t>Interquartile range (IQR) is a measure of variability, as the difference between the 75th and 25th percentile values for water level over the year. If the IQR increases, the variability must have increased.</w:t>
      </w:r>
    </w:p>
  </w:footnote>
  <w:footnote w:id="4">
    <w:p w14:paraId="07922DBD" w14:textId="1F093035" w:rsidR="00AE69FC" w:rsidRDefault="00AE69FC">
      <w:pPr>
        <w:pStyle w:val="FootnoteText"/>
      </w:pPr>
      <w:r>
        <w:rPr>
          <w:rStyle w:val="FootnoteReference"/>
        </w:rPr>
        <w:footnoteRef/>
      </w:r>
      <w:r>
        <w:rPr>
          <w:sz w:val="18"/>
        </w:rPr>
        <w:t xml:space="preserve"> Hydrology (C</w:t>
      </w:r>
      <w:r w:rsidRPr="00E24BD1">
        <w:rPr>
          <w:sz w:val="18"/>
        </w:rPr>
        <w:t>hannel) does not directly address any specific CEWO evaluation question, but provides fundamental information for analysis and evaluation of monitoring outcomes against hydrological conditions and environmental water delivery for all other indicators. Results for this indicator are presented in Section</w:t>
      </w:r>
      <w:r>
        <w:rPr>
          <w:sz w:val="18"/>
        </w:rPr>
        <w:t xml:space="preserve"> </w:t>
      </w:r>
      <w:r>
        <w:rPr>
          <w:sz w:val="18"/>
        </w:rPr>
        <w:fldChar w:fldCharType="begin"/>
      </w:r>
      <w:r>
        <w:rPr>
          <w:sz w:val="18"/>
        </w:rPr>
        <w:instrText xml:space="preserve"> REF _Ref30588609 \r \h </w:instrText>
      </w:r>
      <w:r>
        <w:rPr>
          <w:sz w:val="18"/>
        </w:rPr>
      </w:r>
      <w:r>
        <w:rPr>
          <w:sz w:val="18"/>
        </w:rPr>
        <w:fldChar w:fldCharType="separate"/>
      </w:r>
      <w:r w:rsidR="003C13F6">
        <w:rPr>
          <w:sz w:val="18"/>
        </w:rPr>
        <w:t>1.4</w:t>
      </w:r>
      <w:r>
        <w:rPr>
          <w:sz w:val="18"/>
        </w:rPr>
        <w:fldChar w:fldCharType="end"/>
      </w:r>
      <w:r w:rsidRPr="00E24BD1">
        <w:rPr>
          <w:sz w:val="18"/>
        </w:rPr>
        <w:t xml:space="preserve">. </w:t>
      </w:r>
      <w:r>
        <w:t xml:space="preserve"> </w:t>
      </w:r>
    </w:p>
  </w:footnote>
  <w:footnote w:id="5">
    <w:p w14:paraId="4FC86AE1" w14:textId="575D38A3" w:rsidR="00AE69FC" w:rsidRDefault="00AE69FC">
      <w:pPr>
        <w:pStyle w:val="FootnoteText"/>
      </w:pPr>
      <w:r>
        <w:rPr>
          <w:rStyle w:val="FootnoteReference"/>
        </w:rPr>
        <w:footnoteRef/>
      </w:r>
      <w:r>
        <w:t xml:space="preserve"> </w:t>
      </w:r>
      <w:r w:rsidRPr="00502C3E">
        <w:t>“Direct trade” refers to an order for a specified volume of environmental water to be delivered at the South Australian border. Typically a timing and profile for the delivery is specified and river operators can meet the order by providing water from any available source.</w:t>
      </w:r>
    </w:p>
  </w:footnote>
  <w:footnote w:id="6">
    <w:p w14:paraId="6C8A011E" w14:textId="77777777" w:rsidR="00AE69FC" w:rsidRDefault="00AE69FC" w:rsidP="008B5883">
      <w:pPr>
        <w:pStyle w:val="FootnoteText"/>
      </w:pPr>
      <w:r w:rsidRPr="002A5DBE">
        <w:rPr>
          <w:rStyle w:val="FootnoteReference"/>
          <w:sz w:val="18"/>
        </w:rPr>
        <w:footnoteRef/>
      </w:r>
      <w:r w:rsidRPr="002A5DBE">
        <w:rPr>
          <w:sz w:val="18"/>
        </w:rPr>
        <w:t xml:space="preserve"> Molecules of water, nutrients, and the biological matter transported downstream often move slower than the wave front that is recorded as the change in flow discharge (Chow </w:t>
      </w:r>
      <w:r w:rsidRPr="00E24BD1">
        <w:rPr>
          <w:i/>
          <w:sz w:val="18"/>
        </w:rPr>
        <w:t>et al.</w:t>
      </w:r>
      <w:r w:rsidRPr="002A5DBE">
        <w:rPr>
          <w:sz w:val="18"/>
        </w:rPr>
        <w:t xml:space="preserve"> 1988). To account for this, the MDBA has used Bigmod salinity routines as a proxy for transport of biological matter, to estimate the proportion of the flow at the South Australian border that originated at different upstream tributaries. While acknowledging potential difference in travel time between salt and other matter, this approach is preferred over estimating travel times based on observed changes in flow along the main channel.</w:t>
      </w:r>
    </w:p>
  </w:footnote>
  <w:footnote w:id="7">
    <w:p w14:paraId="4BD0AE9B" w14:textId="77777777" w:rsidR="0014455D" w:rsidRDefault="0014455D" w:rsidP="0014455D">
      <w:pPr>
        <w:pStyle w:val="FootnoteText"/>
      </w:pPr>
      <w:r>
        <w:rPr>
          <w:rStyle w:val="FootnoteReference"/>
        </w:rPr>
        <w:footnoteRef/>
      </w:r>
      <w:r>
        <w:t xml:space="preserve"> </w:t>
      </w:r>
      <w:r w:rsidRPr="00A00A6E">
        <w:t>‘Floodplain associated’ microinvertebrates are those that are thought to benefit from floodplain environments</w:t>
      </w:r>
      <w:r>
        <w:t>.</w:t>
      </w:r>
    </w:p>
  </w:footnote>
  <w:footnote w:id="8">
    <w:p w14:paraId="1FC751DE" w14:textId="77777777" w:rsidR="0014455D" w:rsidRDefault="0014455D" w:rsidP="0014455D">
      <w:pPr>
        <w:pStyle w:val="FootnoteText"/>
      </w:pPr>
      <w:r>
        <w:rPr>
          <w:rStyle w:val="FootnoteReference"/>
        </w:rPr>
        <w:footnoteRef/>
      </w:r>
      <w:r>
        <w:t xml:space="preserve"> Due to the high correlation between density and richness, the testing of other hypotheses focused only on estimating changes in density.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0">
    <w:nsid w:val="049625FD"/>
    <w:multiLevelType w:val="hybridMultilevel"/>
    <w:tmpl w:val="08980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3C1081"/>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3" w15:restartNumberingAfterBreak="0">
    <w:nsid w:val="087C28E8"/>
    <w:multiLevelType w:val="hybridMultilevel"/>
    <w:tmpl w:val="8EDCEF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215337"/>
    <w:multiLevelType w:val="hybridMultilevel"/>
    <w:tmpl w:val="35EE4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6" w15:restartNumberingAfterBreak="0">
    <w:nsid w:val="1CB752B9"/>
    <w:multiLevelType w:val="hybridMultilevel"/>
    <w:tmpl w:val="AF7CB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745BC2"/>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8" w15:restartNumberingAfterBreak="0">
    <w:nsid w:val="20312462"/>
    <w:multiLevelType w:val="hybridMultilevel"/>
    <w:tmpl w:val="ED440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0453B0"/>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0" w15:restartNumberingAfterBreak="0">
    <w:nsid w:val="29014598"/>
    <w:multiLevelType w:val="hybridMultilevel"/>
    <w:tmpl w:val="0602E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C74D8F"/>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2" w15:restartNumberingAfterBreak="0">
    <w:nsid w:val="2E674FDB"/>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3" w15:restartNumberingAfterBreak="0">
    <w:nsid w:val="314D149D"/>
    <w:multiLevelType w:val="hybridMultilevel"/>
    <w:tmpl w:val="E2404B4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4" w15:restartNumberingAfterBreak="0">
    <w:nsid w:val="37A9058F"/>
    <w:multiLevelType w:val="multilevel"/>
    <w:tmpl w:val="76865B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E1600E5"/>
    <w:multiLevelType w:val="hybridMultilevel"/>
    <w:tmpl w:val="3EFCBC34"/>
    <w:lvl w:ilvl="0" w:tplc="8DDE240A">
      <w:start w:val="1"/>
      <w:numFmt w:val="bullet"/>
      <w:pStyle w:val="TableBullets"/>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8" w15:restartNumberingAfterBreak="0">
    <w:nsid w:val="4036222C"/>
    <w:multiLevelType w:val="hybridMultilevel"/>
    <w:tmpl w:val="7616B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9B4356"/>
    <w:multiLevelType w:val="hybridMultilevel"/>
    <w:tmpl w:val="EE1C67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6643968"/>
    <w:multiLevelType w:val="hybridMultilevel"/>
    <w:tmpl w:val="971A3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001775"/>
    <w:multiLevelType w:val="hybridMultilevel"/>
    <w:tmpl w:val="28B4C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A112004"/>
    <w:multiLevelType w:val="hybridMultilevel"/>
    <w:tmpl w:val="04D00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A14E48"/>
    <w:multiLevelType w:val="hybridMultilevel"/>
    <w:tmpl w:val="94E216D8"/>
    <w:lvl w:ilvl="0" w:tplc="7BCA5DE2">
      <w:start w:val="2020"/>
      <w:numFmt w:val="bullet"/>
      <w:lvlText w:val=""/>
      <w:lvlJc w:val="left"/>
      <w:pPr>
        <w:ind w:left="108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3232253"/>
    <w:multiLevelType w:val="hybridMultilevel"/>
    <w:tmpl w:val="EFE603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8" w15:restartNumberingAfterBreak="0">
    <w:nsid w:val="5BF872F6"/>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29" w15:restartNumberingAfterBreak="0">
    <w:nsid w:val="61536BFE"/>
    <w:multiLevelType w:val="multilevel"/>
    <w:tmpl w:val="76865B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649D308D"/>
    <w:multiLevelType w:val="hybridMultilevel"/>
    <w:tmpl w:val="D8B8B718"/>
    <w:lvl w:ilvl="0" w:tplc="B35EAD2A">
      <w:numFmt w:val="bullet"/>
      <w:lvlText w:val="•"/>
      <w:lvlJc w:val="left"/>
      <w:pPr>
        <w:ind w:left="1080" w:hanging="72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5C51556"/>
    <w:multiLevelType w:val="hybridMultilevel"/>
    <w:tmpl w:val="8124CF5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2" w15:restartNumberingAfterBreak="0">
    <w:nsid w:val="698E40DB"/>
    <w:multiLevelType w:val="hybridMultilevel"/>
    <w:tmpl w:val="CBDC43BA"/>
    <w:lvl w:ilvl="0" w:tplc="0C090001">
      <w:start w:val="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E143DCD"/>
    <w:multiLevelType w:val="hybridMultilevel"/>
    <w:tmpl w:val="5A4EE9D4"/>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4" w15:restartNumberingAfterBreak="0">
    <w:nsid w:val="6E3B0D4F"/>
    <w:multiLevelType w:val="hybridMultilevel"/>
    <w:tmpl w:val="1980C31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E697311"/>
    <w:multiLevelType w:val="multilevel"/>
    <w:tmpl w:val="E5E89F92"/>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36" w15:restartNumberingAfterBreak="0">
    <w:nsid w:val="71952AAB"/>
    <w:multiLevelType w:val="hybridMultilevel"/>
    <w:tmpl w:val="55E496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38" w15:restartNumberingAfterBreak="0">
    <w:nsid w:val="763B0836"/>
    <w:multiLevelType w:val="hybridMultilevel"/>
    <w:tmpl w:val="F722943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78F0D9B"/>
    <w:multiLevelType w:val="hybridMultilevel"/>
    <w:tmpl w:val="3B046EAA"/>
    <w:lvl w:ilvl="0" w:tplc="0C090003">
      <w:start w:val="1"/>
      <w:numFmt w:val="bullet"/>
      <w:lvlText w:val="o"/>
      <w:lvlJc w:val="left"/>
      <w:pPr>
        <w:ind w:left="1089" w:hanging="360"/>
      </w:pPr>
      <w:rPr>
        <w:rFonts w:ascii="Courier New" w:hAnsi="Courier New" w:cs="Courier New" w:hint="default"/>
      </w:rPr>
    </w:lvl>
    <w:lvl w:ilvl="1" w:tplc="0C090003" w:tentative="1">
      <w:start w:val="1"/>
      <w:numFmt w:val="bullet"/>
      <w:lvlText w:val="o"/>
      <w:lvlJc w:val="left"/>
      <w:pPr>
        <w:ind w:left="1809" w:hanging="360"/>
      </w:pPr>
      <w:rPr>
        <w:rFonts w:ascii="Courier New" w:hAnsi="Courier New" w:cs="Courier New" w:hint="default"/>
      </w:rPr>
    </w:lvl>
    <w:lvl w:ilvl="2" w:tplc="0C090005" w:tentative="1">
      <w:start w:val="1"/>
      <w:numFmt w:val="bullet"/>
      <w:lvlText w:val=""/>
      <w:lvlJc w:val="left"/>
      <w:pPr>
        <w:ind w:left="2529" w:hanging="360"/>
      </w:pPr>
      <w:rPr>
        <w:rFonts w:ascii="Wingdings" w:hAnsi="Wingdings" w:hint="default"/>
      </w:rPr>
    </w:lvl>
    <w:lvl w:ilvl="3" w:tplc="0C090001" w:tentative="1">
      <w:start w:val="1"/>
      <w:numFmt w:val="bullet"/>
      <w:lvlText w:val=""/>
      <w:lvlJc w:val="left"/>
      <w:pPr>
        <w:ind w:left="3249" w:hanging="360"/>
      </w:pPr>
      <w:rPr>
        <w:rFonts w:ascii="Symbol" w:hAnsi="Symbol" w:hint="default"/>
      </w:rPr>
    </w:lvl>
    <w:lvl w:ilvl="4" w:tplc="0C090003" w:tentative="1">
      <w:start w:val="1"/>
      <w:numFmt w:val="bullet"/>
      <w:lvlText w:val="o"/>
      <w:lvlJc w:val="left"/>
      <w:pPr>
        <w:ind w:left="3969" w:hanging="360"/>
      </w:pPr>
      <w:rPr>
        <w:rFonts w:ascii="Courier New" w:hAnsi="Courier New" w:cs="Courier New" w:hint="default"/>
      </w:rPr>
    </w:lvl>
    <w:lvl w:ilvl="5" w:tplc="0C090005" w:tentative="1">
      <w:start w:val="1"/>
      <w:numFmt w:val="bullet"/>
      <w:lvlText w:val=""/>
      <w:lvlJc w:val="left"/>
      <w:pPr>
        <w:ind w:left="4689" w:hanging="360"/>
      </w:pPr>
      <w:rPr>
        <w:rFonts w:ascii="Wingdings" w:hAnsi="Wingdings" w:hint="default"/>
      </w:rPr>
    </w:lvl>
    <w:lvl w:ilvl="6" w:tplc="0C090001" w:tentative="1">
      <w:start w:val="1"/>
      <w:numFmt w:val="bullet"/>
      <w:lvlText w:val=""/>
      <w:lvlJc w:val="left"/>
      <w:pPr>
        <w:ind w:left="5409" w:hanging="360"/>
      </w:pPr>
      <w:rPr>
        <w:rFonts w:ascii="Symbol" w:hAnsi="Symbol" w:hint="default"/>
      </w:rPr>
    </w:lvl>
    <w:lvl w:ilvl="7" w:tplc="0C090003" w:tentative="1">
      <w:start w:val="1"/>
      <w:numFmt w:val="bullet"/>
      <w:lvlText w:val="o"/>
      <w:lvlJc w:val="left"/>
      <w:pPr>
        <w:ind w:left="6129" w:hanging="360"/>
      </w:pPr>
      <w:rPr>
        <w:rFonts w:ascii="Courier New" w:hAnsi="Courier New" w:cs="Courier New" w:hint="default"/>
      </w:rPr>
    </w:lvl>
    <w:lvl w:ilvl="8" w:tplc="0C090005" w:tentative="1">
      <w:start w:val="1"/>
      <w:numFmt w:val="bullet"/>
      <w:lvlText w:val=""/>
      <w:lvlJc w:val="left"/>
      <w:pPr>
        <w:ind w:left="6849" w:hanging="360"/>
      </w:pPr>
      <w:rPr>
        <w:rFonts w:ascii="Wingdings" w:hAnsi="Wingdings" w:hint="default"/>
      </w:rPr>
    </w:lvl>
  </w:abstractNum>
  <w:abstractNum w:abstractNumId="40" w15:restartNumberingAfterBreak="0">
    <w:nsid w:val="781F7EFF"/>
    <w:multiLevelType w:val="hybridMultilevel"/>
    <w:tmpl w:val="C3FE9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DA86479"/>
    <w:multiLevelType w:val="hybridMultilevel"/>
    <w:tmpl w:val="7556D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F040257"/>
    <w:multiLevelType w:val="hybridMultilevel"/>
    <w:tmpl w:val="F63C0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05936838">
    <w:abstractNumId w:val="25"/>
  </w:num>
  <w:num w:numId="2" w16cid:durableId="450250096">
    <w:abstractNumId w:val="27"/>
  </w:num>
  <w:num w:numId="3" w16cid:durableId="146628380">
    <w:abstractNumId w:val="16"/>
  </w:num>
  <w:num w:numId="4" w16cid:durableId="1713118195">
    <w:abstractNumId w:val="30"/>
  </w:num>
  <w:num w:numId="5" w16cid:durableId="251859866">
    <w:abstractNumId w:val="21"/>
  </w:num>
  <w:num w:numId="6" w16cid:durableId="855385458">
    <w:abstractNumId w:val="15"/>
  </w:num>
  <w:num w:numId="7" w16cid:durableId="908612233">
    <w:abstractNumId w:val="5"/>
  </w:num>
  <w:num w:numId="8" w16cid:durableId="1513103046">
    <w:abstractNumId w:val="37"/>
  </w:num>
  <w:num w:numId="9" w16cid:durableId="996374746">
    <w:abstractNumId w:val="0"/>
  </w:num>
  <w:num w:numId="10" w16cid:durableId="1123616809">
    <w:abstractNumId w:val="41"/>
  </w:num>
  <w:num w:numId="11" w16cid:durableId="1057364456">
    <w:abstractNumId w:val="17"/>
  </w:num>
  <w:num w:numId="12" w16cid:durableId="2097626511">
    <w:abstractNumId w:val="20"/>
  </w:num>
  <w:num w:numId="13" w16cid:durableId="1667399185">
    <w:abstractNumId w:val="6"/>
  </w:num>
  <w:num w:numId="14" w16cid:durableId="10580136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72512907">
    <w:abstractNumId w:val="34"/>
  </w:num>
  <w:num w:numId="16" w16cid:durableId="235869605">
    <w:abstractNumId w:val="38"/>
  </w:num>
  <w:num w:numId="17" w16cid:durableId="1730348094">
    <w:abstractNumId w:val="4"/>
  </w:num>
  <w:num w:numId="18" w16cid:durableId="166217462">
    <w:abstractNumId w:val="36"/>
  </w:num>
  <w:num w:numId="19" w16cid:durableId="477848308">
    <w:abstractNumId w:val="3"/>
  </w:num>
  <w:num w:numId="20" w16cid:durableId="705175791">
    <w:abstractNumId w:val="32"/>
  </w:num>
  <w:num w:numId="21" w16cid:durableId="175006306">
    <w:abstractNumId w:val="24"/>
  </w:num>
  <w:num w:numId="22" w16cid:durableId="192768600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72565200">
    <w:abstractNumId w:val="7"/>
  </w:num>
  <w:num w:numId="24" w16cid:durableId="1764298774">
    <w:abstractNumId w:val="31"/>
  </w:num>
  <w:num w:numId="25" w16cid:durableId="254751615">
    <w:abstractNumId w:val="28"/>
  </w:num>
  <w:num w:numId="26" w16cid:durableId="1775443746">
    <w:abstractNumId w:val="9"/>
  </w:num>
  <w:num w:numId="27" w16cid:durableId="1674069273">
    <w:abstractNumId w:val="35"/>
  </w:num>
  <w:num w:numId="28" w16cid:durableId="1958755591">
    <w:abstractNumId w:val="12"/>
  </w:num>
  <w:num w:numId="29" w16cid:durableId="1201934919">
    <w:abstractNumId w:val="2"/>
  </w:num>
  <w:num w:numId="30" w16cid:durableId="1009985962">
    <w:abstractNumId w:val="11"/>
  </w:num>
  <w:num w:numId="31" w16cid:durableId="1744329892">
    <w:abstractNumId w:val="39"/>
  </w:num>
  <w:num w:numId="32" w16cid:durableId="611135785">
    <w:abstractNumId w:val="14"/>
  </w:num>
  <w:num w:numId="33" w16cid:durableId="1484737643">
    <w:abstractNumId w:val="29"/>
  </w:num>
  <w:num w:numId="34" w16cid:durableId="1781604663">
    <w:abstractNumId w:val="33"/>
  </w:num>
  <w:num w:numId="35" w16cid:durableId="2021085478">
    <w:abstractNumId w:val="13"/>
  </w:num>
  <w:num w:numId="36" w16cid:durableId="498154021">
    <w:abstractNumId w:val="22"/>
  </w:num>
  <w:num w:numId="37" w16cid:durableId="1135636904">
    <w:abstractNumId w:val="26"/>
  </w:num>
  <w:num w:numId="38" w16cid:durableId="1923945618">
    <w:abstractNumId w:val="19"/>
  </w:num>
  <w:num w:numId="39" w16cid:durableId="1324551520">
    <w:abstractNumId w:val="10"/>
  </w:num>
  <w:num w:numId="40" w16cid:durableId="259531420">
    <w:abstractNumId w:val="18"/>
  </w:num>
  <w:num w:numId="41" w16cid:durableId="142814687">
    <w:abstractNumId w:val="23"/>
  </w:num>
  <w:num w:numId="42" w16cid:durableId="1150512859">
    <w:abstractNumId w:val="1"/>
  </w:num>
  <w:num w:numId="43" w16cid:durableId="364989576">
    <w:abstractNumId w:val="42"/>
  </w:num>
  <w:num w:numId="44" w16cid:durableId="1619411015">
    <w:abstractNumId w:val="8"/>
  </w:num>
  <w:num w:numId="45" w16cid:durableId="1098211811">
    <w:abstractNumId w:val="4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14337"/>
  </w:hdrShapeDefaults>
  <w:footnotePr>
    <w:numFmt w:val="lowerLette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AA3"/>
    <w:rsid w:val="00000142"/>
    <w:rsid w:val="000004EB"/>
    <w:rsid w:val="00000AD1"/>
    <w:rsid w:val="00000AEC"/>
    <w:rsid w:val="00000D57"/>
    <w:rsid w:val="00000DE9"/>
    <w:rsid w:val="00000EAF"/>
    <w:rsid w:val="00001C35"/>
    <w:rsid w:val="00002263"/>
    <w:rsid w:val="000022B1"/>
    <w:rsid w:val="00002533"/>
    <w:rsid w:val="0000255A"/>
    <w:rsid w:val="00003505"/>
    <w:rsid w:val="00003D93"/>
    <w:rsid w:val="00003DB2"/>
    <w:rsid w:val="00004144"/>
    <w:rsid w:val="00004979"/>
    <w:rsid w:val="00004D02"/>
    <w:rsid w:val="0000520D"/>
    <w:rsid w:val="00005606"/>
    <w:rsid w:val="00006794"/>
    <w:rsid w:val="00006ED4"/>
    <w:rsid w:val="000070C2"/>
    <w:rsid w:val="000070D3"/>
    <w:rsid w:val="00007253"/>
    <w:rsid w:val="000073F1"/>
    <w:rsid w:val="00007E28"/>
    <w:rsid w:val="00010111"/>
    <w:rsid w:val="00010767"/>
    <w:rsid w:val="00010878"/>
    <w:rsid w:val="00010E94"/>
    <w:rsid w:val="00011738"/>
    <w:rsid w:val="0001296A"/>
    <w:rsid w:val="00013589"/>
    <w:rsid w:val="00013D53"/>
    <w:rsid w:val="00014234"/>
    <w:rsid w:val="00015260"/>
    <w:rsid w:val="00015805"/>
    <w:rsid w:val="00015B07"/>
    <w:rsid w:val="000161B8"/>
    <w:rsid w:val="0001666B"/>
    <w:rsid w:val="00016B4E"/>
    <w:rsid w:val="00016E25"/>
    <w:rsid w:val="00016FDC"/>
    <w:rsid w:val="00017B33"/>
    <w:rsid w:val="00017C59"/>
    <w:rsid w:val="00017D1B"/>
    <w:rsid w:val="00017F89"/>
    <w:rsid w:val="00020354"/>
    <w:rsid w:val="000210C6"/>
    <w:rsid w:val="00021774"/>
    <w:rsid w:val="00021A67"/>
    <w:rsid w:val="00022014"/>
    <w:rsid w:val="00022DAF"/>
    <w:rsid w:val="00023045"/>
    <w:rsid w:val="000232F9"/>
    <w:rsid w:val="00023690"/>
    <w:rsid w:val="00023D19"/>
    <w:rsid w:val="00023FC9"/>
    <w:rsid w:val="0002424D"/>
    <w:rsid w:val="000252FA"/>
    <w:rsid w:val="00025A3E"/>
    <w:rsid w:val="00025E23"/>
    <w:rsid w:val="00025E38"/>
    <w:rsid w:val="00025EB2"/>
    <w:rsid w:val="00025F13"/>
    <w:rsid w:val="00025FFF"/>
    <w:rsid w:val="00026105"/>
    <w:rsid w:val="00026DE7"/>
    <w:rsid w:val="00027B37"/>
    <w:rsid w:val="00027D3A"/>
    <w:rsid w:val="0003011E"/>
    <w:rsid w:val="000301C5"/>
    <w:rsid w:val="00030367"/>
    <w:rsid w:val="00030CFE"/>
    <w:rsid w:val="000313D2"/>
    <w:rsid w:val="000316F7"/>
    <w:rsid w:val="00031F57"/>
    <w:rsid w:val="000336AB"/>
    <w:rsid w:val="00033D6D"/>
    <w:rsid w:val="00034622"/>
    <w:rsid w:val="00034F96"/>
    <w:rsid w:val="00035C52"/>
    <w:rsid w:val="00036609"/>
    <w:rsid w:val="00036649"/>
    <w:rsid w:val="0003690A"/>
    <w:rsid w:val="00037772"/>
    <w:rsid w:val="000402DC"/>
    <w:rsid w:val="000403B0"/>
    <w:rsid w:val="00040579"/>
    <w:rsid w:val="00040A6D"/>
    <w:rsid w:val="00040D61"/>
    <w:rsid w:val="00040D9B"/>
    <w:rsid w:val="00040DA3"/>
    <w:rsid w:val="00040E19"/>
    <w:rsid w:val="000410C2"/>
    <w:rsid w:val="0004130D"/>
    <w:rsid w:val="00041C32"/>
    <w:rsid w:val="00041C4F"/>
    <w:rsid w:val="00041E55"/>
    <w:rsid w:val="00042203"/>
    <w:rsid w:val="00042462"/>
    <w:rsid w:val="00042EFA"/>
    <w:rsid w:val="00043185"/>
    <w:rsid w:val="000441A6"/>
    <w:rsid w:val="000448CD"/>
    <w:rsid w:val="00044EBA"/>
    <w:rsid w:val="00045546"/>
    <w:rsid w:val="0004570A"/>
    <w:rsid w:val="0004606A"/>
    <w:rsid w:val="00046551"/>
    <w:rsid w:val="00051E53"/>
    <w:rsid w:val="00052650"/>
    <w:rsid w:val="000526E7"/>
    <w:rsid w:val="00052E8B"/>
    <w:rsid w:val="00052F78"/>
    <w:rsid w:val="0005324B"/>
    <w:rsid w:val="00053273"/>
    <w:rsid w:val="00053898"/>
    <w:rsid w:val="00053B31"/>
    <w:rsid w:val="00053F9D"/>
    <w:rsid w:val="00056C05"/>
    <w:rsid w:val="00057266"/>
    <w:rsid w:val="00060534"/>
    <w:rsid w:val="00060933"/>
    <w:rsid w:val="000609C6"/>
    <w:rsid w:val="00060A4C"/>
    <w:rsid w:val="00061398"/>
    <w:rsid w:val="000613C3"/>
    <w:rsid w:val="000614F6"/>
    <w:rsid w:val="000625C7"/>
    <w:rsid w:val="000627CB"/>
    <w:rsid w:val="00062FB9"/>
    <w:rsid w:val="00063374"/>
    <w:rsid w:val="000636AD"/>
    <w:rsid w:val="00063986"/>
    <w:rsid w:val="00063A25"/>
    <w:rsid w:val="00064329"/>
    <w:rsid w:val="00064AC8"/>
    <w:rsid w:val="00064D08"/>
    <w:rsid w:val="00065519"/>
    <w:rsid w:val="00065A4B"/>
    <w:rsid w:val="00065C6F"/>
    <w:rsid w:val="00065DAD"/>
    <w:rsid w:val="00066AD4"/>
    <w:rsid w:val="00066D79"/>
    <w:rsid w:val="0006798D"/>
    <w:rsid w:val="00067FEB"/>
    <w:rsid w:val="00070DFF"/>
    <w:rsid w:val="0007108A"/>
    <w:rsid w:val="00071597"/>
    <w:rsid w:val="000715EC"/>
    <w:rsid w:val="00071885"/>
    <w:rsid w:val="00071A9A"/>
    <w:rsid w:val="00071B4B"/>
    <w:rsid w:val="0007233F"/>
    <w:rsid w:val="0007237F"/>
    <w:rsid w:val="00072448"/>
    <w:rsid w:val="000724F7"/>
    <w:rsid w:val="0007255A"/>
    <w:rsid w:val="0007370B"/>
    <w:rsid w:val="00074180"/>
    <w:rsid w:val="00074BE4"/>
    <w:rsid w:val="000750BD"/>
    <w:rsid w:val="0007528B"/>
    <w:rsid w:val="00075461"/>
    <w:rsid w:val="000754C3"/>
    <w:rsid w:val="0007550C"/>
    <w:rsid w:val="00075968"/>
    <w:rsid w:val="000759E9"/>
    <w:rsid w:val="00075ABD"/>
    <w:rsid w:val="00075AE4"/>
    <w:rsid w:val="00075C04"/>
    <w:rsid w:val="00075E63"/>
    <w:rsid w:val="00076055"/>
    <w:rsid w:val="0007611D"/>
    <w:rsid w:val="00076219"/>
    <w:rsid w:val="00076584"/>
    <w:rsid w:val="00076A37"/>
    <w:rsid w:val="00077056"/>
    <w:rsid w:val="000771DA"/>
    <w:rsid w:val="00077795"/>
    <w:rsid w:val="000778A7"/>
    <w:rsid w:val="00077ECA"/>
    <w:rsid w:val="00080095"/>
    <w:rsid w:val="000801ED"/>
    <w:rsid w:val="000805C8"/>
    <w:rsid w:val="00080E13"/>
    <w:rsid w:val="0008152E"/>
    <w:rsid w:val="00081A04"/>
    <w:rsid w:val="00081D55"/>
    <w:rsid w:val="00082218"/>
    <w:rsid w:val="0008266F"/>
    <w:rsid w:val="0008291B"/>
    <w:rsid w:val="00082F37"/>
    <w:rsid w:val="00083150"/>
    <w:rsid w:val="000831A5"/>
    <w:rsid w:val="0008376A"/>
    <w:rsid w:val="00083DB0"/>
    <w:rsid w:val="0008408B"/>
    <w:rsid w:val="000842DD"/>
    <w:rsid w:val="000846B0"/>
    <w:rsid w:val="000849C2"/>
    <w:rsid w:val="00084AFF"/>
    <w:rsid w:val="0008548A"/>
    <w:rsid w:val="000855D6"/>
    <w:rsid w:val="000858BA"/>
    <w:rsid w:val="00085AFC"/>
    <w:rsid w:val="00086637"/>
    <w:rsid w:val="000866F1"/>
    <w:rsid w:val="0008672C"/>
    <w:rsid w:val="00086886"/>
    <w:rsid w:val="0008692E"/>
    <w:rsid w:val="00086C4F"/>
    <w:rsid w:val="00086E02"/>
    <w:rsid w:val="0008722C"/>
    <w:rsid w:val="000879A9"/>
    <w:rsid w:val="00087B27"/>
    <w:rsid w:val="00090769"/>
    <w:rsid w:val="000913FC"/>
    <w:rsid w:val="00091534"/>
    <w:rsid w:val="00091F46"/>
    <w:rsid w:val="00092564"/>
    <w:rsid w:val="000925F3"/>
    <w:rsid w:val="00092697"/>
    <w:rsid w:val="000929D2"/>
    <w:rsid w:val="00092BB7"/>
    <w:rsid w:val="00092FA3"/>
    <w:rsid w:val="000936DE"/>
    <w:rsid w:val="00093EDB"/>
    <w:rsid w:val="000942B3"/>
    <w:rsid w:val="00094D16"/>
    <w:rsid w:val="00095522"/>
    <w:rsid w:val="000955BC"/>
    <w:rsid w:val="00095968"/>
    <w:rsid w:val="00095B6C"/>
    <w:rsid w:val="00096208"/>
    <w:rsid w:val="000965D5"/>
    <w:rsid w:val="00096957"/>
    <w:rsid w:val="0009777C"/>
    <w:rsid w:val="00097928"/>
    <w:rsid w:val="000A0019"/>
    <w:rsid w:val="000A0168"/>
    <w:rsid w:val="000A0247"/>
    <w:rsid w:val="000A026B"/>
    <w:rsid w:val="000A09A0"/>
    <w:rsid w:val="000A0C27"/>
    <w:rsid w:val="000A11EB"/>
    <w:rsid w:val="000A136E"/>
    <w:rsid w:val="000A1384"/>
    <w:rsid w:val="000A171E"/>
    <w:rsid w:val="000A3592"/>
    <w:rsid w:val="000A3829"/>
    <w:rsid w:val="000A3AB9"/>
    <w:rsid w:val="000A4707"/>
    <w:rsid w:val="000A5037"/>
    <w:rsid w:val="000A5CF5"/>
    <w:rsid w:val="000A5DB8"/>
    <w:rsid w:val="000A635A"/>
    <w:rsid w:val="000A65FC"/>
    <w:rsid w:val="000A6655"/>
    <w:rsid w:val="000A6903"/>
    <w:rsid w:val="000A6AF1"/>
    <w:rsid w:val="000A6BE5"/>
    <w:rsid w:val="000A7451"/>
    <w:rsid w:val="000A7EA5"/>
    <w:rsid w:val="000B1305"/>
    <w:rsid w:val="000B1541"/>
    <w:rsid w:val="000B1E1F"/>
    <w:rsid w:val="000B2025"/>
    <w:rsid w:val="000B287C"/>
    <w:rsid w:val="000B3347"/>
    <w:rsid w:val="000B3D67"/>
    <w:rsid w:val="000B432E"/>
    <w:rsid w:val="000B5309"/>
    <w:rsid w:val="000B583F"/>
    <w:rsid w:val="000B59A1"/>
    <w:rsid w:val="000B65DB"/>
    <w:rsid w:val="000B68ED"/>
    <w:rsid w:val="000B6D0A"/>
    <w:rsid w:val="000B6DB8"/>
    <w:rsid w:val="000B7089"/>
    <w:rsid w:val="000B7D9B"/>
    <w:rsid w:val="000B7E44"/>
    <w:rsid w:val="000C06D3"/>
    <w:rsid w:val="000C0C72"/>
    <w:rsid w:val="000C0F02"/>
    <w:rsid w:val="000C1054"/>
    <w:rsid w:val="000C1B40"/>
    <w:rsid w:val="000C1E49"/>
    <w:rsid w:val="000C2136"/>
    <w:rsid w:val="000C2DB4"/>
    <w:rsid w:val="000C2E09"/>
    <w:rsid w:val="000C2E8D"/>
    <w:rsid w:val="000C3276"/>
    <w:rsid w:val="000C34E8"/>
    <w:rsid w:val="000C3678"/>
    <w:rsid w:val="000C3C36"/>
    <w:rsid w:val="000C3D32"/>
    <w:rsid w:val="000C4438"/>
    <w:rsid w:val="000C45B6"/>
    <w:rsid w:val="000C4E15"/>
    <w:rsid w:val="000C579D"/>
    <w:rsid w:val="000C5ED0"/>
    <w:rsid w:val="000C695F"/>
    <w:rsid w:val="000C69D5"/>
    <w:rsid w:val="000C6C4C"/>
    <w:rsid w:val="000C7AB4"/>
    <w:rsid w:val="000D022A"/>
    <w:rsid w:val="000D0379"/>
    <w:rsid w:val="000D0841"/>
    <w:rsid w:val="000D11E7"/>
    <w:rsid w:val="000D12F2"/>
    <w:rsid w:val="000D1A5D"/>
    <w:rsid w:val="000D2DAC"/>
    <w:rsid w:val="000D339D"/>
    <w:rsid w:val="000D3BE9"/>
    <w:rsid w:val="000D3DF8"/>
    <w:rsid w:val="000D481F"/>
    <w:rsid w:val="000D4ADB"/>
    <w:rsid w:val="000D5394"/>
    <w:rsid w:val="000D638B"/>
    <w:rsid w:val="000D6A33"/>
    <w:rsid w:val="000D6A59"/>
    <w:rsid w:val="000D796B"/>
    <w:rsid w:val="000D7C33"/>
    <w:rsid w:val="000D7E72"/>
    <w:rsid w:val="000E012E"/>
    <w:rsid w:val="000E075A"/>
    <w:rsid w:val="000E0820"/>
    <w:rsid w:val="000E11D2"/>
    <w:rsid w:val="000E16F1"/>
    <w:rsid w:val="000E1929"/>
    <w:rsid w:val="000E1C52"/>
    <w:rsid w:val="000E1D20"/>
    <w:rsid w:val="000E30EF"/>
    <w:rsid w:val="000E3175"/>
    <w:rsid w:val="000E3931"/>
    <w:rsid w:val="000E3A12"/>
    <w:rsid w:val="000E3E7B"/>
    <w:rsid w:val="000E3F52"/>
    <w:rsid w:val="000E43E0"/>
    <w:rsid w:val="000E47F0"/>
    <w:rsid w:val="000E5BC5"/>
    <w:rsid w:val="000E5D3A"/>
    <w:rsid w:val="000E630A"/>
    <w:rsid w:val="000E6637"/>
    <w:rsid w:val="000E6A36"/>
    <w:rsid w:val="000E7E25"/>
    <w:rsid w:val="000E7FDA"/>
    <w:rsid w:val="000F017F"/>
    <w:rsid w:val="000F0AC8"/>
    <w:rsid w:val="000F1202"/>
    <w:rsid w:val="000F12F5"/>
    <w:rsid w:val="000F144C"/>
    <w:rsid w:val="000F1A7D"/>
    <w:rsid w:val="000F1C9F"/>
    <w:rsid w:val="000F294F"/>
    <w:rsid w:val="000F2F41"/>
    <w:rsid w:val="000F35DB"/>
    <w:rsid w:val="000F3F99"/>
    <w:rsid w:val="000F4887"/>
    <w:rsid w:val="000F4C5A"/>
    <w:rsid w:val="000F4EC0"/>
    <w:rsid w:val="000F5158"/>
    <w:rsid w:val="000F602B"/>
    <w:rsid w:val="000F61EE"/>
    <w:rsid w:val="000F63F8"/>
    <w:rsid w:val="000F641A"/>
    <w:rsid w:val="000F6AB0"/>
    <w:rsid w:val="000F6B9D"/>
    <w:rsid w:val="000F6DB9"/>
    <w:rsid w:val="000F7BF2"/>
    <w:rsid w:val="000F7C32"/>
    <w:rsid w:val="00100C82"/>
    <w:rsid w:val="0010113B"/>
    <w:rsid w:val="00101178"/>
    <w:rsid w:val="001012BF"/>
    <w:rsid w:val="00101A3B"/>
    <w:rsid w:val="00101EF4"/>
    <w:rsid w:val="00102628"/>
    <w:rsid w:val="00102762"/>
    <w:rsid w:val="001027C1"/>
    <w:rsid w:val="00102AC8"/>
    <w:rsid w:val="00102F4D"/>
    <w:rsid w:val="00102F77"/>
    <w:rsid w:val="00103046"/>
    <w:rsid w:val="0010312E"/>
    <w:rsid w:val="001038F5"/>
    <w:rsid w:val="00103A32"/>
    <w:rsid w:val="00103E89"/>
    <w:rsid w:val="00103E8F"/>
    <w:rsid w:val="00103EF7"/>
    <w:rsid w:val="00104331"/>
    <w:rsid w:val="001044BD"/>
    <w:rsid w:val="00104989"/>
    <w:rsid w:val="00104CB5"/>
    <w:rsid w:val="00104F8E"/>
    <w:rsid w:val="0010542E"/>
    <w:rsid w:val="001056C6"/>
    <w:rsid w:val="00105D97"/>
    <w:rsid w:val="00105F24"/>
    <w:rsid w:val="0010695B"/>
    <w:rsid w:val="00106A05"/>
    <w:rsid w:val="00106C7A"/>
    <w:rsid w:val="00106CC0"/>
    <w:rsid w:val="00107534"/>
    <w:rsid w:val="001076F5"/>
    <w:rsid w:val="00107979"/>
    <w:rsid w:val="00107E77"/>
    <w:rsid w:val="0011025F"/>
    <w:rsid w:val="00110756"/>
    <w:rsid w:val="0011118B"/>
    <w:rsid w:val="0011149D"/>
    <w:rsid w:val="001118CF"/>
    <w:rsid w:val="00112320"/>
    <w:rsid w:val="0011272B"/>
    <w:rsid w:val="00112980"/>
    <w:rsid w:val="00113528"/>
    <w:rsid w:val="00113E96"/>
    <w:rsid w:val="00114276"/>
    <w:rsid w:val="00114345"/>
    <w:rsid w:val="001146F4"/>
    <w:rsid w:val="001147FF"/>
    <w:rsid w:val="0011491C"/>
    <w:rsid w:val="00114D60"/>
    <w:rsid w:val="00114D80"/>
    <w:rsid w:val="00114FC9"/>
    <w:rsid w:val="0011556C"/>
    <w:rsid w:val="00115809"/>
    <w:rsid w:val="00115A90"/>
    <w:rsid w:val="00116022"/>
    <w:rsid w:val="00116E8C"/>
    <w:rsid w:val="00116EDB"/>
    <w:rsid w:val="00117309"/>
    <w:rsid w:val="0011744F"/>
    <w:rsid w:val="00117B98"/>
    <w:rsid w:val="001206F2"/>
    <w:rsid w:val="00120C09"/>
    <w:rsid w:val="00120DFF"/>
    <w:rsid w:val="00121041"/>
    <w:rsid w:val="001210BA"/>
    <w:rsid w:val="0012132F"/>
    <w:rsid w:val="00121855"/>
    <w:rsid w:val="00121869"/>
    <w:rsid w:val="001219E8"/>
    <w:rsid w:val="00122671"/>
    <w:rsid w:val="001229D2"/>
    <w:rsid w:val="00122BA2"/>
    <w:rsid w:val="00122DC8"/>
    <w:rsid w:val="0012436A"/>
    <w:rsid w:val="00124C16"/>
    <w:rsid w:val="0012543C"/>
    <w:rsid w:val="00125819"/>
    <w:rsid w:val="00125DB0"/>
    <w:rsid w:val="0012609A"/>
    <w:rsid w:val="001265C9"/>
    <w:rsid w:val="00126889"/>
    <w:rsid w:val="00126A9C"/>
    <w:rsid w:val="00126F74"/>
    <w:rsid w:val="00127348"/>
    <w:rsid w:val="001274BB"/>
    <w:rsid w:val="001302ED"/>
    <w:rsid w:val="001303B1"/>
    <w:rsid w:val="00130926"/>
    <w:rsid w:val="00130B6B"/>
    <w:rsid w:val="00130C73"/>
    <w:rsid w:val="00130DFD"/>
    <w:rsid w:val="001315B0"/>
    <w:rsid w:val="0013208B"/>
    <w:rsid w:val="0013251B"/>
    <w:rsid w:val="00132871"/>
    <w:rsid w:val="001343A2"/>
    <w:rsid w:val="00134D2B"/>
    <w:rsid w:val="001350AB"/>
    <w:rsid w:val="00135D78"/>
    <w:rsid w:val="00135DB6"/>
    <w:rsid w:val="001375D4"/>
    <w:rsid w:val="00137D07"/>
    <w:rsid w:val="001413EA"/>
    <w:rsid w:val="0014184F"/>
    <w:rsid w:val="0014189F"/>
    <w:rsid w:val="00142F24"/>
    <w:rsid w:val="0014354C"/>
    <w:rsid w:val="00143EE4"/>
    <w:rsid w:val="00144146"/>
    <w:rsid w:val="0014415E"/>
    <w:rsid w:val="0014455D"/>
    <w:rsid w:val="00144AAE"/>
    <w:rsid w:val="00144D9C"/>
    <w:rsid w:val="00144F55"/>
    <w:rsid w:val="00145D90"/>
    <w:rsid w:val="0014761A"/>
    <w:rsid w:val="00147949"/>
    <w:rsid w:val="00147D1E"/>
    <w:rsid w:val="00150021"/>
    <w:rsid w:val="00150086"/>
    <w:rsid w:val="0015026A"/>
    <w:rsid w:val="00150B15"/>
    <w:rsid w:val="00150B66"/>
    <w:rsid w:val="00150BF7"/>
    <w:rsid w:val="001510F3"/>
    <w:rsid w:val="00152122"/>
    <w:rsid w:val="001522FE"/>
    <w:rsid w:val="0015242F"/>
    <w:rsid w:val="00152BFC"/>
    <w:rsid w:val="001536C6"/>
    <w:rsid w:val="00153EFF"/>
    <w:rsid w:val="00154193"/>
    <w:rsid w:val="00154346"/>
    <w:rsid w:val="001545E1"/>
    <w:rsid w:val="00154B33"/>
    <w:rsid w:val="00154F97"/>
    <w:rsid w:val="001550F2"/>
    <w:rsid w:val="0015522E"/>
    <w:rsid w:val="00155245"/>
    <w:rsid w:val="00155662"/>
    <w:rsid w:val="00155B0B"/>
    <w:rsid w:val="001563CE"/>
    <w:rsid w:val="00157076"/>
    <w:rsid w:val="00157147"/>
    <w:rsid w:val="0015795A"/>
    <w:rsid w:val="00160146"/>
    <w:rsid w:val="00161A11"/>
    <w:rsid w:val="00161AF9"/>
    <w:rsid w:val="001624D8"/>
    <w:rsid w:val="0016256E"/>
    <w:rsid w:val="001646B1"/>
    <w:rsid w:val="00164737"/>
    <w:rsid w:val="00164B1E"/>
    <w:rsid w:val="00164E13"/>
    <w:rsid w:val="00165086"/>
    <w:rsid w:val="00165351"/>
    <w:rsid w:val="0016541C"/>
    <w:rsid w:val="00165F87"/>
    <w:rsid w:val="00166060"/>
    <w:rsid w:val="00166361"/>
    <w:rsid w:val="001664D7"/>
    <w:rsid w:val="001667FE"/>
    <w:rsid w:val="00167AEE"/>
    <w:rsid w:val="00167B88"/>
    <w:rsid w:val="0017016F"/>
    <w:rsid w:val="0017211C"/>
    <w:rsid w:val="00172578"/>
    <w:rsid w:val="00173000"/>
    <w:rsid w:val="0017312A"/>
    <w:rsid w:val="001739E8"/>
    <w:rsid w:val="00173A0C"/>
    <w:rsid w:val="00173A31"/>
    <w:rsid w:val="00173AEF"/>
    <w:rsid w:val="0017416F"/>
    <w:rsid w:val="0017434A"/>
    <w:rsid w:val="001747FE"/>
    <w:rsid w:val="0017553E"/>
    <w:rsid w:val="00175A6D"/>
    <w:rsid w:val="00176095"/>
    <w:rsid w:val="001768B4"/>
    <w:rsid w:val="00176E0A"/>
    <w:rsid w:val="0017748D"/>
    <w:rsid w:val="001775AB"/>
    <w:rsid w:val="00177935"/>
    <w:rsid w:val="0017795A"/>
    <w:rsid w:val="00177F42"/>
    <w:rsid w:val="00177F8A"/>
    <w:rsid w:val="001801CB"/>
    <w:rsid w:val="001807EE"/>
    <w:rsid w:val="00181BBF"/>
    <w:rsid w:val="00181F24"/>
    <w:rsid w:val="001820BE"/>
    <w:rsid w:val="00182F08"/>
    <w:rsid w:val="001832B3"/>
    <w:rsid w:val="001832BC"/>
    <w:rsid w:val="001832FB"/>
    <w:rsid w:val="001834AE"/>
    <w:rsid w:val="001834D2"/>
    <w:rsid w:val="0018393B"/>
    <w:rsid w:val="00184457"/>
    <w:rsid w:val="00184473"/>
    <w:rsid w:val="00184AEA"/>
    <w:rsid w:val="001854D6"/>
    <w:rsid w:val="001857CE"/>
    <w:rsid w:val="00185EE9"/>
    <w:rsid w:val="00185F97"/>
    <w:rsid w:val="00186AA8"/>
    <w:rsid w:val="00186D82"/>
    <w:rsid w:val="00186EB4"/>
    <w:rsid w:val="00186FD7"/>
    <w:rsid w:val="00187062"/>
    <w:rsid w:val="0018778A"/>
    <w:rsid w:val="001907FF"/>
    <w:rsid w:val="00190C43"/>
    <w:rsid w:val="00190FF1"/>
    <w:rsid w:val="00191081"/>
    <w:rsid w:val="00192034"/>
    <w:rsid w:val="001920B4"/>
    <w:rsid w:val="001922D0"/>
    <w:rsid w:val="00192D9B"/>
    <w:rsid w:val="00193394"/>
    <w:rsid w:val="0019375D"/>
    <w:rsid w:val="00193E11"/>
    <w:rsid w:val="00195076"/>
    <w:rsid w:val="00195089"/>
    <w:rsid w:val="00195A70"/>
    <w:rsid w:val="00195B62"/>
    <w:rsid w:val="001968C8"/>
    <w:rsid w:val="001A00FE"/>
    <w:rsid w:val="001A0C06"/>
    <w:rsid w:val="001A0D24"/>
    <w:rsid w:val="001A0D3F"/>
    <w:rsid w:val="001A0E7A"/>
    <w:rsid w:val="001A17DC"/>
    <w:rsid w:val="001A224E"/>
    <w:rsid w:val="001A237A"/>
    <w:rsid w:val="001A2BEC"/>
    <w:rsid w:val="001A2C2D"/>
    <w:rsid w:val="001A32CE"/>
    <w:rsid w:val="001A42E1"/>
    <w:rsid w:val="001A47EA"/>
    <w:rsid w:val="001A502C"/>
    <w:rsid w:val="001A5291"/>
    <w:rsid w:val="001A599A"/>
    <w:rsid w:val="001A61F0"/>
    <w:rsid w:val="001A7043"/>
    <w:rsid w:val="001A7111"/>
    <w:rsid w:val="001A722E"/>
    <w:rsid w:val="001A774C"/>
    <w:rsid w:val="001A7A30"/>
    <w:rsid w:val="001A7BA6"/>
    <w:rsid w:val="001A7BFB"/>
    <w:rsid w:val="001A7F63"/>
    <w:rsid w:val="001B0935"/>
    <w:rsid w:val="001B09A2"/>
    <w:rsid w:val="001B0D7D"/>
    <w:rsid w:val="001B0E7C"/>
    <w:rsid w:val="001B1136"/>
    <w:rsid w:val="001B14C9"/>
    <w:rsid w:val="001B19CA"/>
    <w:rsid w:val="001B1E20"/>
    <w:rsid w:val="001B21E5"/>
    <w:rsid w:val="001B28E0"/>
    <w:rsid w:val="001B2AAA"/>
    <w:rsid w:val="001B2C67"/>
    <w:rsid w:val="001B34F6"/>
    <w:rsid w:val="001B3F76"/>
    <w:rsid w:val="001B4D68"/>
    <w:rsid w:val="001B517E"/>
    <w:rsid w:val="001B52BF"/>
    <w:rsid w:val="001B5D0A"/>
    <w:rsid w:val="001B5E13"/>
    <w:rsid w:val="001B6206"/>
    <w:rsid w:val="001B6265"/>
    <w:rsid w:val="001B6438"/>
    <w:rsid w:val="001B657D"/>
    <w:rsid w:val="001B7376"/>
    <w:rsid w:val="001B73C8"/>
    <w:rsid w:val="001B7939"/>
    <w:rsid w:val="001B7AE7"/>
    <w:rsid w:val="001C115A"/>
    <w:rsid w:val="001C200D"/>
    <w:rsid w:val="001C2B46"/>
    <w:rsid w:val="001C4091"/>
    <w:rsid w:val="001C45CA"/>
    <w:rsid w:val="001C45CB"/>
    <w:rsid w:val="001C550E"/>
    <w:rsid w:val="001C5BAB"/>
    <w:rsid w:val="001C6C20"/>
    <w:rsid w:val="001C72E8"/>
    <w:rsid w:val="001D01D8"/>
    <w:rsid w:val="001D0344"/>
    <w:rsid w:val="001D0410"/>
    <w:rsid w:val="001D0A2C"/>
    <w:rsid w:val="001D0E38"/>
    <w:rsid w:val="001D0E47"/>
    <w:rsid w:val="001D0FA8"/>
    <w:rsid w:val="001D16CE"/>
    <w:rsid w:val="001D1994"/>
    <w:rsid w:val="001D1D8A"/>
    <w:rsid w:val="001D252B"/>
    <w:rsid w:val="001D2BE6"/>
    <w:rsid w:val="001D3000"/>
    <w:rsid w:val="001D38E8"/>
    <w:rsid w:val="001D40ED"/>
    <w:rsid w:val="001D4410"/>
    <w:rsid w:val="001D441D"/>
    <w:rsid w:val="001D49BD"/>
    <w:rsid w:val="001D4D61"/>
    <w:rsid w:val="001D4D77"/>
    <w:rsid w:val="001D4DE2"/>
    <w:rsid w:val="001D545E"/>
    <w:rsid w:val="001D604D"/>
    <w:rsid w:val="001D60DC"/>
    <w:rsid w:val="001D6477"/>
    <w:rsid w:val="001D74F2"/>
    <w:rsid w:val="001D78DD"/>
    <w:rsid w:val="001D7B5C"/>
    <w:rsid w:val="001D7EED"/>
    <w:rsid w:val="001E0902"/>
    <w:rsid w:val="001E0983"/>
    <w:rsid w:val="001E11D2"/>
    <w:rsid w:val="001E1508"/>
    <w:rsid w:val="001E24F9"/>
    <w:rsid w:val="001E28B6"/>
    <w:rsid w:val="001E3253"/>
    <w:rsid w:val="001E4FDC"/>
    <w:rsid w:val="001E5168"/>
    <w:rsid w:val="001E568A"/>
    <w:rsid w:val="001E57C9"/>
    <w:rsid w:val="001E5932"/>
    <w:rsid w:val="001E5FE0"/>
    <w:rsid w:val="001E7B23"/>
    <w:rsid w:val="001F044D"/>
    <w:rsid w:val="001F0FB6"/>
    <w:rsid w:val="001F10B6"/>
    <w:rsid w:val="001F164A"/>
    <w:rsid w:val="001F179B"/>
    <w:rsid w:val="001F1DD3"/>
    <w:rsid w:val="001F1EAD"/>
    <w:rsid w:val="001F2A76"/>
    <w:rsid w:val="001F30EA"/>
    <w:rsid w:val="001F3717"/>
    <w:rsid w:val="001F37BC"/>
    <w:rsid w:val="001F3997"/>
    <w:rsid w:val="001F3D99"/>
    <w:rsid w:val="001F509A"/>
    <w:rsid w:val="001F5973"/>
    <w:rsid w:val="001F5DA4"/>
    <w:rsid w:val="001F6475"/>
    <w:rsid w:val="001F65B5"/>
    <w:rsid w:val="001F68E0"/>
    <w:rsid w:val="001F70CE"/>
    <w:rsid w:val="001F7F44"/>
    <w:rsid w:val="0020088D"/>
    <w:rsid w:val="002009D1"/>
    <w:rsid w:val="00200E09"/>
    <w:rsid w:val="00200FF9"/>
    <w:rsid w:val="00201019"/>
    <w:rsid w:val="0020182E"/>
    <w:rsid w:val="002019D4"/>
    <w:rsid w:val="00202359"/>
    <w:rsid w:val="002024CB"/>
    <w:rsid w:val="002028E9"/>
    <w:rsid w:val="00202B13"/>
    <w:rsid w:val="00202D7B"/>
    <w:rsid w:val="00202DB0"/>
    <w:rsid w:val="00203E17"/>
    <w:rsid w:val="002041E4"/>
    <w:rsid w:val="002044EC"/>
    <w:rsid w:val="00204CCB"/>
    <w:rsid w:val="00204DEF"/>
    <w:rsid w:val="00204E58"/>
    <w:rsid w:val="002050EA"/>
    <w:rsid w:val="002069A2"/>
    <w:rsid w:val="00207470"/>
    <w:rsid w:val="00210A22"/>
    <w:rsid w:val="00210EBF"/>
    <w:rsid w:val="002115FF"/>
    <w:rsid w:val="002117A9"/>
    <w:rsid w:val="00212088"/>
    <w:rsid w:val="002124BD"/>
    <w:rsid w:val="00212690"/>
    <w:rsid w:val="00212C71"/>
    <w:rsid w:val="002138EB"/>
    <w:rsid w:val="0021399C"/>
    <w:rsid w:val="00213E3F"/>
    <w:rsid w:val="00213E94"/>
    <w:rsid w:val="00214279"/>
    <w:rsid w:val="0021450B"/>
    <w:rsid w:val="00214B39"/>
    <w:rsid w:val="0021533B"/>
    <w:rsid w:val="00215592"/>
    <w:rsid w:val="002163CB"/>
    <w:rsid w:val="00216426"/>
    <w:rsid w:val="0021690E"/>
    <w:rsid w:val="002170C9"/>
    <w:rsid w:val="00217E3D"/>
    <w:rsid w:val="0022165B"/>
    <w:rsid w:val="00221987"/>
    <w:rsid w:val="0022201F"/>
    <w:rsid w:val="00222554"/>
    <w:rsid w:val="0022275F"/>
    <w:rsid w:val="00222B31"/>
    <w:rsid w:val="00223BA5"/>
    <w:rsid w:val="00223F88"/>
    <w:rsid w:val="002241AB"/>
    <w:rsid w:val="002245DE"/>
    <w:rsid w:val="002249B8"/>
    <w:rsid w:val="00224AD7"/>
    <w:rsid w:val="00224F14"/>
    <w:rsid w:val="00224F6E"/>
    <w:rsid w:val="002251ED"/>
    <w:rsid w:val="0022534C"/>
    <w:rsid w:val="002260FF"/>
    <w:rsid w:val="0022629A"/>
    <w:rsid w:val="00226D1A"/>
    <w:rsid w:val="0022765D"/>
    <w:rsid w:val="00227D4E"/>
    <w:rsid w:val="00227E2F"/>
    <w:rsid w:val="002303A6"/>
    <w:rsid w:val="00230F60"/>
    <w:rsid w:val="0023103B"/>
    <w:rsid w:val="0023159C"/>
    <w:rsid w:val="00231918"/>
    <w:rsid w:val="002326CD"/>
    <w:rsid w:val="002332C0"/>
    <w:rsid w:val="002337F1"/>
    <w:rsid w:val="00233B9D"/>
    <w:rsid w:val="00233DDB"/>
    <w:rsid w:val="002344C7"/>
    <w:rsid w:val="0023499D"/>
    <w:rsid w:val="00235487"/>
    <w:rsid w:val="0023582B"/>
    <w:rsid w:val="00235857"/>
    <w:rsid w:val="0023685A"/>
    <w:rsid w:val="00236A78"/>
    <w:rsid w:val="00236C3C"/>
    <w:rsid w:val="00236E5B"/>
    <w:rsid w:val="00237085"/>
    <w:rsid w:val="0023735B"/>
    <w:rsid w:val="0023754B"/>
    <w:rsid w:val="002375F4"/>
    <w:rsid w:val="002379EB"/>
    <w:rsid w:val="00237DFE"/>
    <w:rsid w:val="00240018"/>
    <w:rsid w:val="002401AF"/>
    <w:rsid w:val="00240309"/>
    <w:rsid w:val="002406BE"/>
    <w:rsid w:val="00240C43"/>
    <w:rsid w:val="002410AE"/>
    <w:rsid w:val="00241222"/>
    <w:rsid w:val="0024159A"/>
    <w:rsid w:val="0024165C"/>
    <w:rsid w:val="00241910"/>
    <w:rsid w:val="00242715"/>
    <w:rsid w:val="002428EA"/>
    <w:rsid w:val="0024296D"/>
    <w:rsid w:val="00242990"/>
    <w:rsid w:val="00243165"/>
    <w:rsid w:val="002432F2"/>
    <w:rsid w:val="00243549"/>
    <w:rsid w:val="00243BDF"/>
    <w:rsid w:val="00243C87"/>
    <w:rsid w:val="002455E3"/>
    <w:rsid w:val="002469BC"/>
    <w:rsid w:val="00246DA1"/>
    <w:rsid w:val="00247084"/>
    <w:rsid w:val="00247664"/>
    <w:rsid w:val="002501FD"/>
    <w:rsid w:val="002502C2"/>
    <w:rsid w:val="00250517"/>
    <w:rsid w:val="00250694"/>
    <w:rsid w:val="0025083D"/>
    <w:rsid w:val="00250986"/>
    <w:rsid w:val="002509E9"/>
    <w:rsid w:val="00250A03"/>
    <w:rsid w:val="00250F5A"/>
    <w:rsid w:val="0025131E"/>
    <w:rsid w:val="00251E83"/>
    <w:rsid w:val="00251FB3"/>
    <w:rsid w:val="00252371"/>
    <w:rsid w:val="00252AA0"/>
    <w:rsid w:val="00252EBF"/>
    <w:rsid w:val="002538C2"/>
    <w:rsid w:val="00254504"/>
    <w:rsid w:val="00254A8B"/>
    <w:rsid w:val="002552C9"/>
    <w:rsid w:val="00256201"/>
    <w:rsid w:val="00256A9D"/>
    <w:rsid w:val="00256BAB"/>
    <w:rsid w:val="00257231"/>
    <w:rsid w:val="002573E0"/>
    <w:rsid w:val="00257B3D"/>
    <w:rsid w:val="0026031F"/>
    <w:rsid w:val="002614B5"/>
    <w:rsid w:val="002616AB"/>
    <w:rsid w:val="002616BD"/>
    <w:rsid w:val="00261907"/>
    <w:rsid w:val="00261E5A"/>
    <w:rsid w:val="002624ED"/>
    <w:rsid w:val="002628DF"/>
    <w:rsid w:val="0026312A"/>
    <w:rsid w:val="00263418"/>
    <w:rsid w:val="0026341E"/>
    <w:rsid w:val="00263649"/>
    <w:rsid w:val="0026373A"/>
    <w:rsid w:val="00263DBC"/>
    <w:rsid w:val="002641BF"/>
    <w:rsid w:val="00264576"/>
    <w:rsid w:val="002649E2"/>
    <w:rsid w:val="00264F87"/>
    <w:rsid w:val="00265C2A"/>
    <w:rsid w:val="00265CBF"/>
    <w:rsid w:val="00265FBF"/>
    <w:rsid w:val="00266603"/>
    <w:rsid w:val="0026700E"/>
    <w:rsid w:val="002673F5"/>
    <w:rsid w:val="00267462"/>
    <w:rsid w:val="002674C4"/>
    <w:rsid w:val="002700E8"/>
    <w:rsid w:val="002701AC"/>
    <w:rsid w:val="00270562"/>
    <w:rsid w:val="00270C74"/>
    <w:rsid w:val="00270EA9"/>
    <w:rsid w:val="002714E2"/>
    <w:rsid w:val="00271C78"/>
    <w:rsid w:val="00271D09"/>
    <w:rsid w:val="00271D43"/>
    <w:rsid w:val="00271E7F"/>
    <w:rsid w:val="00272454"/>
    <w:rsid w:val="002727EF"/>
    <w:rsid w:val="0027281E"/>
    <w:rsid w:val="00272BE0"/>
    <w:rsid w:val="00272D64"/>
    <w:rsid w:val="00272E0A"/>
    <w:rsid w:val="00272F3D"/>
    <w:rsid w:val="00273031"/>
    <w:rsid w:val="00273C4B"/>
    <w:rsid w:val="00273DFF"/>
    <w:rsid w:val="002742FB"/>
    <w:rsid w:val="002748B4"/>
    <w:rsid w:val="00274EE5"/>
    <w:rsid w:val="00274FB8"/>
    <w:rsid w:val="00275012"/>
    <w:rsid w:val="002750FE"/>
    <w:rsid w:val="0027525E"/>
    <w:rsid w:val="0027557F"/>
    <w:rsid w:val="00275691"/>
    <w:rsid w:val="00276358"/>
    <w:rsid w:val="0027677B"/>
    <w:rsid w:val="002768CF"/>
    <w:rsid w:val="00277318"/>
    <w:rsid w:val="00277485"/>
    <w:rsid w:val="00277699"/>
    <w:rsid w:val="002778FF"/>
    <w:rsid w:val="00280B46"/>
    <w:rsid w:val="00280F63"/>
    <w:rsid w:val="00281076"/>
    <w:rsid w:val="0028123E"/>
    <w:rsid w:val="00281F96"/>
    <w:rsid w:val="002821A6"/>
    <w:rsid w:val="002830FD"/>
    <w:rsid w:val="002834A0"/>
    <w:rsid w:val="00283869"/>
    <w:rsid w:val="00284DA8"/>
    <w:rsid w:val="00285C97"/>
    <w:rsid w:val="00285E33"/>
    <w:rsid w:val="00286A8B"/>
    <w:rsid w:val="002871F8"/>
    <w:rsid w:val="00287CF4"/>
    <w:rsid w:val="00290144"/>
    <w:rsid w:val="00290294"/>
    <w:rsid w:val="00290C16"/>
    <w:rsid w:val="00291C2D"/>
    <w:rsid w:val="00291D53"/>
    <w:rsid w:val="002931E8"/>
    <w:rsid w:val="00293371"/>
    <w:rsid w:val="00293A3A"/>
    <w:rsid w:val="00293B3B"/>
    <w:rsid w:val="00293F3A"/>
    <w:rsid w:val="0029422F"/>
    <w:rsid w:val="0029436B"/>
    <w:rsid w:val="00294767"/>
    <w:rsid w:val="00294B11"/>
    <w:rsid w:val="00294E75"/>
    <w:rsid w:val="0029517D"/>
    <w:rsid w:val="002951AA"/>
    <w:rsid w:val="002953D1"/>
    <w:rsid w:val="00295574"/>
    <w:rsid w:val="00295CE7"/>
    <w:rsid w:val="002960E4"/>
    <w:rsid w:val="0029627B"/>
    <w:rsid w:val="002963E8"/>
    <w:rsid w:val="00297307"/>
    <w:rsid w:val="0029737B"/>
    <w:rsid w:val="002976B8"/>
    <w:rsid w:val="002978BB"/>
    <w:rsid w:val="002979A2"/>
    <w:rsid w:val="00297D03"/>
    <w:rsid w:val="002A0136"/>
    <w:rsid w:val="002A0465"/>
    <w:rsid w:val="002A08D2"/>
    <w:rsid w:val="002A0BBE"/>
    <w:rsid w:val="002A0E03"/>
    <w:rsid w:val="002A0E9D"/>
    <w:rsid w:val="002A138F"/>
    <w:rsid w:val="002A1556"/>
    <w:rsid w:val="002A1D2C"/>
    <w:rsid w:val="002A2D7F"/>
    <w:rsid w:val="002A2FF1"/>
    <w:rsid w:val="002A32A4"/>
    <w:rsid w:val="002A3525"/>
    <w:rsid w:val="002A381A"/>
    <w:rsid w:val="002A3CCF"/>
    <w:rsid w:val="002A3CE7"/>
    <w:rsid w:val="002A5104"/>
    <w:rsid w:val="002A58A4"/>
    <w:rsid w:val="002A5A18"/>
    <w:rsid w:val="002A5D8D"/>
    <w:rsid w:val="002A5DBE"/>
    <w:rsid w:val="002A6117"/>
    <w:rsid w:val="002A6207"/>
    <w:rsid w:val="002A6470"/>
    <w:rsid w:val="002A686F"/>
    <w:rsid w:val="002A6961"/>
    <w:rsid w:val="002A75B0"/>
    <w:rsid w:val="002A75FD"/>
    <w:rsid w:val="002A7BEF"/>
    <w:rsid w:val="002B0A25"/>
    <w:rsid w:val="002B0DE3"/>
    <w:rsid w:val="002B11A0"/>
    <w:rsid w:val="002B1324"/>
    <w:rsid w:val="002B1423"/>
    <w:rsid w:val="002B1C0D"/>
    <w:rsid w:val="002B2104"/>
    <w:rsid w:val="002B2609"/>
    <w:rsid w:val="002B2BEB"/>
    <w:rsid w:val="002B43E0"/>
    <w:rsid w:val="002B466D"/>
    <w:rsid w:val="002B4901"/>
    <w:rsid w:val="002B497B"/>
    <w:rsid w:val="002B4CE6"/>
    <w:rsid w:val="002B4D39"/>
    <w:rsid w:val="002B4DAD"/>
    <w:rsid w:val="002B57CC"/>
    <w:rsid w:val="002B5BA1"/>
    <w:rsid w:val="002B5BB1"/>
    <w:rsid w:val="002B66FD"/>
    <w:rsid w:val="002B671F"/>
    <w:rsid w:val="002B6E9C"/>
    <w:rsid w:val="002B6ECA"/>
    <w:rsid w:val="002B72A8"/>
    <w:rsid w:val="002B7518"/>
    <w:rsid w:val="002B784C"/>
    <w:rsid w:val="002B78C4"/>
    <w:rsid w:val="002B7AD6"/>
    <w:rsid w:val="002B7B2B"/>
    <w:rsid w:val="002B7E9B"/>
    <w:rsid w:val="002C063C"/>
    <w:rsid w:val="002C0A44"/>
    <w:rsid w:val="002C0ADB"/>
    <w:rsid w:val="002C0F8E"/>
    <w:rsid w:val="002C14D7"/>
    <w:rsid w:val="002C1515"/>
    <w:rsid w:val="002C1A36"/>
    <w:rsid w:val="002C2014"/>
    <w:rsid w:val="002C22D4"/>
    <w:rsid w:val="002C2611"/>
    <w:rsid w:val="002C27E3"/>
    <w:rsid w:val="002C286B"/>
    <w:rsid w:val="002C2A99"/>
    <w:rsid w:val="002C2CC7"/>
    <w:rsid w:val="002C3978"/>
    <w:rsid w:val="002C42F5"/>
    <w:rsid w:val="002C4754"/>
    <w:rsid w:val="002C4CB4"/>
    <w:rsid w:val="002C506E"/>
    <w:rsid w:val="002C5189"/>
    <w:rsid w:val="002C5296"/>
    <w:rsid w:val="002C558E"/>
    <w:rsid w:val="002C5E83"/>
    <w:rsid w:val="002C611C"/>
    <w:rsid w:val="002C6A38"/>
    <w:rsid w:val="002C6BD7"/>
    <w:rsid w:val="002C7111"/>
    <w:rsid w:val="002C788D"/>
    <w:rsid w:val="002C7F66"/>
    <w:rsid w:val="002D2192"/>
    <w:rsid w:val="002D23DD"/>
    <w:rsid w:val="002D24C6"/>
    <w:rsid w:val="002D25BB"/>
    <w:rsid w:val="002D35EA"/>
    <w:rsid w:val="002D3C8A"/>
    <w:rsid w:val="002D3D7E"/>
    <w:rsid w:val="002D4622"/>
    <w:rsid w:val="002D4EE4"/>
    <w:rsid w:val="002D4F5C"/>
    <w:rsid w:val="002D526C"/>
    <w:rsid w:val="002D5643"/>
    <w:rsid w:val="002D5B3D"/>
    <w:rsid w:val="002D5EA4"/>
    <w:rsid w:val="002D7509"/>
    <w:rsid w:val="002E03FC"/>
    <w:rsid w:val="002E063B"/>
    <w:rsid w:val="002E0A9F"/>
    <w:rsid w:val="002E1041"/>
    <w:rsid w:val="002E17F6"/>
    <w:rsid w:val="002E1C3C"/>
    <w:rsid w:val="002E1D86"/>
    <w:rsid w:val="002E1DC2"/>
    <w:rsid w:val="002E2000"/>
    <w:rsid w:val="002E20ED"/>
    <w:rsid w:val="002E2107"/>
    <w:rsid w:val="002E27CF"/>
    <w:rsid w:val="002E29CF"/>
    <w:rsid w:val="002E2E76"/>
    <w:rsid w:val="002E311C"/>
    <w:rsid w:val="002E3450"/>
    <w:rsid w:val="002E366F"/>
    <w:rsid w:val="002E37E8"/>
    <w:rsid w:val="002E3CE2"/>
    <w:rsid w:val="002E40C5"/>
    <w:rsid w:val="002E4118"/>
    <w:rsid w:val="002E5281"/>
    <w:rsid w:val="002E5F65"/>
    <w:rsid w:val="002E67A6"/>
    <w:rsid w:val="002E6AF6"/>
    <w:rsid w:val="002E6FF9"/>
    <w:rsid w:val="002E7336"/>
    <w:rsid w:val="002E73AE"/>
    <w:rsid w:val="002E7946"/>
    <w:rsid w:val="002E7A59"/>
    <w:rsid w:val="002E7BE8"/>
    <w:rsid w:val="002F0031"/>
    <w:rsid w:val="002F0055"/>
    <w:rsid w:val="002F067F"/>
    <w:rsid w:val="002F0EE3"/>
    <w:rsid w:val="002F12FB"/>
    <w:rsid w:val="002F1970"/>
    <w:rsid w:val="002F1992"/>
    <w:rsid w:val="002F1EEF"/>
    <w:rsid w:val="002F2143"/>
    <w:rsid w:val="002F234E"/>
    <w:rsid w:val="002F2375"/>
    <w:rsid w:val="002F3182"/>
    <w:rsid w:val="002F32CF"/>
    <w:rsid w:val="002F3B55"/>
    <w:rsid w:val="002F3CD9"/>
    <w:rsid w:val="002F3EEE"/>
    <w:rsid w:val="002F3F6B"/>
    <w:rsid w:val="002F40D0"/>
    <w:rsid w:val="002F43C5"/>
    <w:rsid w:val="002F475B"/>
    <w:rsid w:val="002F4BD3"/>
    <w:rsid w:val="002F4C44"/>
    <w:rsid w:val="002F4F37"/>
    <w:rsid w:val="002F4F7E"/>
    <w:rsid w:val="002F53BF"/>
    <w:rsid w:val="002F5973"/>
    <w:rsid w:val="002F6410"/>
    <w:rsid w:val="002F7191"/>
    <w:rsid w:val="002F719E"/>
    <w:rsid w:val="002F7406"/>
    <w:rsid w:val="002F7615"/>
    <w:rsid w:val="002F7BE7"/>
    <w:rsid w:val="0030003A"/>
    <w:rsid w:val="003000CE"/>
    <w:rsid w:val="003000D9"/>
    <w:rsid w:val="00300626"/>
    <w:rsid w:val="00300CFF"/>
    <w:rsid w:val="00300F85"/>
    <w:rsid w:val="003012AD"/>
    <w:rsid w:val="00301555"/>
    <w:rsid w:val="00301B07"/>
    <w:rsid w:val="00301D26"/>
    <w:rsid w:val="00301E26"/>
    <w:rsid w:val="00302151"/>
    <w:rsid w:val="00302542"/>
    <w:rsid w:val="003032FF"/>
    <w:rsid w:val="003036C1"/>
    <w:rsid w:val="00303A9D"/>
    <w:rsid w:val="00304433"/>
    <w:rsid w:val="00305167"/>
    <w:rsid w:val="0030592E"/>
    <w:rsid w:val="00305F83"/>
    <w:rsid w:val="003060EC"/>
    <w:rsid w:val="00306F3B"/>
    <w:rsid w:val="003073BC"/>
    <w:rsid w:val="00307F8D"/>
    <w:rsid w:val="0031025C"/>
    <w:rsid w:val="00310CF1"/>
    <w:rsid w:val="00310F23"/>
    <w:rsid w:val="00310FC9"/>
    <w:rsid w:val="00311502"/>
    <w:rsid w:val="00311B98"/>
    <w:rsid w:val="00311ED9"/>
    <w:rsid w:val="00311F99"/>
    <w:rsid w:val="003127BA"/>
    <w:rsid w:val="00312979"/>
    <w:rsid w:val="0031311C"/>
    <w:rsid w:val="00313918"/>
    <w:rsid w:val="00314E4F"/>
    <w:rsid w:val="00314F1A"/>
    <w:rsid w:val="00315346"/>
    <w:rsid w:val="0031543D"/>
    <w:rsid w:val="00315757"/>
    <w:rsid w:val="00315A42"/>
    <w:rsid w:val="00315E8A"/>
    <w:rsid w:val="00315F0C"/>
    <w:rsid w:val="00316C90"/>
    <w:rsid w:val="00316DA7"/>
    <w:rsid w:val="003201AF"/>
    <w:rsid w:val="00321AF7"/>
    <w:rsid w:val="00321B37"/>
    <w:rsid w:val="00321BB7"/>
    <w:rsid w:val="00322323"/>
    <w:rsid w:val="00322509"/>
    <w:rsid w:val="00322D63"/>
    <w:rsid w:val="00323203"/>
    <w:rsid w:val="0032356A"/>
    <w:rsid w:val="00323BA1"/>
    <w:rsid w:val="003240C1"/>
    <w:rsid w:val="00325098"/>
    <w:rsid w:val="00325A23"/>
    <w:rsid w:val="00325A8B"/>
    <w:rsid w:val="00325DBF"/>
    <w:rsid w:val="0032722F"/>
    <w:rsid w:val="00330290"/>
    <w:rsid w:val="003303D6"/>
    <w:rsid w:val="00331279"/>
    <w:rsid w:val="0033134C"/>
    <w:rsid w:val="0033143E"/>
    <w:rsid w:val="0033194D"/>
    <w:rsid w:val="00331E82"/>
    <w:rsid w:val="00332FD6"/>
    <w:rsid w:val="003334BF"/>
    <w:rsid w:val="00333722"/>
    <w:rsid w:val="00333A08"/>
    <w:rsid w:val="00334329"/>
    <w:rsid w:val="003344D1"/>
    <w:rsid w:val="003347DB"/>
    <w:rsid w:val="00334885"/>
    <w:rsid w:val="0033620A"/>
    <w:rsid w:val="00336644"/>
    <w:rsid w:val="00337481"/>
    <w:rsid w:val="00337C1F"/>
    <w:rsid w:val="00337DE1"/>
    <w:rsid w:val="003403AC"/>
    <w:rsid w:val="00340861"/>
    <w:rsid w:val="00340D54"/>
    <w:rsid w:val="00341A1D"/>
    <w:rsid w:val="00341A35"/>
    <w:rsid w:val="0034202A"/>
    <w:rsid w:val="003423B8"/>
    <w:rsid w:val="00342812"/>
    <w:rsid w:val="00342DA2"/>
    <w:rsid w:val="0034355A"/>
    <w:rsid w:val="00343883"/>
    <w:rsid w:val="0034393D"/>
    <w:rsid w:val="00344282"/>
    <w:rsid w:val="003443A4"/>
    <w:rsid w:val="003443E9"/>
    <w:rsid w:val="003449F5"/>
    <w:rsid w:val="00345172"/>
    <w:rsid w:val="00345397"/>
    <w:rsid w:val="00346B9D"/>
    <w:rsid w:val="00346E74"/>
    <w:rsid w:val="00347627"/>
    <w:rsid w:val="00347637"/>
    <w:rsid w:val="00347B71"/>
    <w:rsid w:val="00347E34"/>
    <w:rsid w:val="00350336"/>
    <w:rsid w:val="0035043C"/>
    <w:rsid w:val="0035064A"/>
    <w:rsid w:val="00350B5E"/>
    <w:rsid w:val="00351524"/>
    <w:rsid w:val="003516F2"/>
    <w:rsid w:val="00351743"/>
    <w:rsid w:val="003517DF"/>
    <w:rsid w:val="00351C21"/>
    <w:rsid w:val="00351C36"/>
    <w:rsid w:val="00351FC4"/>
    <w:rsid w:val="00352265"/>
    <w:rsid w:val="0035267B"/>
    <w:rsid w:val="00352806"/>
    <w:rsid w:val="003538CF"/>
    <w:rsid w:val="00353986"/>
    <w:rsid w:val="00353D1D"/>
    <w:rsid w:val="00353EBC"/>
    <w:rsid w:val="003543D8"/>
    <w:rsid w:val="00354670"/>
    <w:rsid w:val="0035493A"/>
    <w:rsid w:val="003551AB"/>
    <w:rsid w:val="0035560B"/>
    <w:rsid w:val="00355E86"/>
    <w:rsid w:val="00355FB6"/>
    <w:rsid w:val="00356243"/>
    <w:rsid w:val="00356322"/>
    <w:rsid w:val="003563AD"/>
    <w:rsid w:val="00356663"/>
    <w:rsid w:val="00356FBC"/>
    <w:rsid w:val="0036119A"/>
    <w:rsid w:val="00361FFA"/>
    <w:rsid w:val="0036241E"/>
    <w:rsid w:val="0036326B"/>
    <w:rsid w:val="003634E6"/>
    <w:rsid w:val="0036360A"/>
    <w:rsid w:val="00363859"/>
    <w:rsid w:val="00363D09"/>
    <w:rsid w:val="0036455F"/>
    <w:rsid w:val="0036505B"/>
    <w:rsid w:val="003650E8"/>
    <w:rsid w:val="00365646"/>
    <w:rsid w:val="00365C16"/>
    <w:rsid w:val="00365C7E"/>
    <w:rsid w:val="00366155"/>
    <w:rsid w:val="00366652"/>
    <w:rsid w:val="00366774"/>
    <w:rsid w:val="00366EF0"/>
    <w:rsid w:val="00367348"/>
    <w:rsid w:val="00367DE1"/>
    <w:rsid w:val="00367E0C"/>
    <w:rsid w:val="00370113"/>
    <w:rsid w:val="00370BAF"/>
    <w:rsid w:val="00370E89"/>
    <w:rsid w:val="003711B2"/>
    <w:rsid w:val="003714B0"/>
    <w:rsid w:val="00371C6E"/>
    <w:rsid w:val="0037205A"/>
    <w:rsid w:val="0037210D"/>
    <w:rsid w:val="0037213F"/>
    <w:rsid w:val="00372A5A"/>
    <w:rsid w:val="00372B39"/>
    <w:rsid w:val="00372FA0"/>
    <w:rsid w:val="0037339D"/>
    <w:rsid w:val="00373A2A"/>
    <w:rsid w:val="00373E5C"/>
    <w:rsid w:val="00374E7A"/>
    <w:rsid w:val="00375253"/>
    <w:rsid w:val="00375FB4"/>
    <w:rsid w:val="003765B8"/>
    <w:rsid w:val="00376722"/>
    <w:rsid w:val="00376752"/>
    <w:rsid w:val="0037686F"/>
    <w:rsid w:val="00376E30"/>
    <w:rsid w:val="00376FFC"/>
    <w:rsid w:val="00377978"/>
    <w:rsid w:val="00377CFB"/>
    <w:rsid w:val="00377FA1"/>
    <w:rsid w:val="003817B9"/>
    <w:rsid w:val="00381875"/>
    <w:rsid w:val="00382698"/>
    <w:rsid w:val="00382D92"/>
    <w:rsid w:val="00383070"/>
    <w:rsid w:val="0038311D"/>
    <w:rsid w:val="00383262"/>
    <w:rsid w:val="00383DA1"/>
    <w:rsid w:val="00383FF7"/>
    <w:rsid w:val="003854E3"/>
    <w:rsid w:val="003855B9"/>
    <w:rsid w:val="003857CF"/>
    <w:rsid w:val="00385C6A"/>
    <w:rsid w:val="003862B9"/>
    <w:rsid w:val="003862FB"/>
    <w:rsid w:val="0038657A"/>
    <w:rsid w:val="00386695"/>
    <w:rsid w:val="00386D7C"/>
    <w:rsid w:val="0039069B"/>
    <w:rsid w:val="00390AC6"/>
    <w:rsid w:val="00390E1E"/>
    <w:rsid w:val="00390FA5"/>
    <w:rsid w:val="0039144B"/>
    <w:rsid w:val="00392011"/>
    <w:rsid w:val="003926D6"/>
    <w:rsid w:val="00393235"/>
    <w:rsid w:val="00393554"/>
    <w:rsid w:val="00393A03"/>
    <w:rsid w:val="003940C9"/>
    <w:rsid w:val="00395CEB"/>
    <w:rsid w:val="00396BE9"/>
    <w:rsid w:val="00396BF5"/>
    <w:rsid w:val="003973DF"/>
    <w:rsid w:val="00397DAE"/>
    <w:rsid w:val="003A0183"/>
    <w:rsid w:val="003A0BC5"/>
    <w:rsid w:val="003A15FD"/>
    <w:rsid w:val="003A1697"/>
    <w:rsid w:val="003A262C"/>
    <w:rsid w:val="003A2C92"/>
    <w:rsid w:val="003A2F00"/>
    <w:rsid w:val="003A3535"/>
    <w:rsid w:val="003A38EC"/>
    <w:rsid w:val="003A3F55"/>
    <w:rsid w:val="003A404C"/>
    <w:rsid w:val="003A4BF2"/>
    <w:rsid w:val="003A5323"/>
    <w:rsid w:val="003A570C"/>
    <w:rsid w:val="003A5846"/>
    <w:rsid w:val="003A5A2C"/>
    <w:rsid w:val="003A5B9C"/>
    <w:rsid w:val="003A6800"/>
    <w:rsid w:val="003A6966"/>
    <w:rsid w:val="003A6F14"/>
    <w:rsid w:val="003A6F19"/>
    <w:rsid w:val="003A702E"/>
    <w:rsid w:val="003A7A72"/>
    <w:rsid w:val="003B08B0"/>
    <w:rsid w:val="003B2109"/>
    <w:rsid w:val="003B272D"/>
    <w:rsid w:val="003B2FB7"/>
    <w:rsid w:val="003B3AB5"/>
    <w:rsid w:val="003B3DA0"/>
    <w:rsid w:val="003B4382"/>
    <w:rsid w:val="003B5FD2"/>
    <w:rsid w:val="003B65E2"/>
    <w:rsid w:val="003B67ED"/>
    <w:rsid w:val="003B6A8D"/>
    <w:rsid w:val="003B6E3C"/>
    <w:rsid w:val="003B6F1D"/>
    <w:rsid w:val="003B72F1"/>
    <w:rsid w:val="003B7B0C"/>
    <w:rsid w:val="003B7CA3"/>
    <w:rsid w:val="003B7D60"/>
    <w:rsid w:val="003B7D95"/>
    <w:rsid w:val="003B7F79"/>
    <w:rsid w:val="003C03B0"/>
    <w:rsid w:val="003C0EBB"/>
    <w:rsid w:val="003C125F"/>
    <w:rsid w:val="003C13F6"/>
    <w:rsid w:val="003C150F"/>
    <w:rsid w:val="003C1531"/>
    <w:rsid w:val="003C1B2F"/>
    <w:rsid w:val="003C1E33"/>
    <w:rsid w:val="003C1EC6"/>
    <w:rsid w:val="003C2220"/>
    <w:rsid w:val="003C2316"/>
    <w:rsid w:val="003C3840"/>
    <w:rsid w:val="003C48CC"/>
    <w:rsid w:val="003C5244"/>
    <w:rsid w:val="003C57CF"/>
    <w:rsid w:val="003C63F3"/>
    <w:rsid w:val="003C6902"/>
    <w:rsid w:val="003C76BE"/>
    <w:rsid w:val="003C7F4A"/>
    <w:rsid w:val="003D0DA6"/>
    <w:rsid w:val="003D100A"/>
    <w:rsid w:val="003D15D8"/>
    <w:rsid w:val="003D1692"/>
    <w:rsid w:val="003D17E8"/>
    <w:rsid w:val="003D1D61"/>
    <w:rsid w:val="003D1F57"/>
    <w:rsid w:val="003D2B72"/>
    <w:rsid w:val="003D2C15"/>
    <w:rsid w:val="003D2C97"/>
    <w:rsid w:val="003D3924"/>
    <w:rsid w:val="003D3B3C"/>
    <w:rsid w:val="003D443F"/>
    <w:rsid w:val="003D4552"/>
    <w:rsid w:val="003D5089"/>
    <w:rsid w:val="003E0791"/>
    <w:rsid w:val="003E07A7"/>
    <w:rsid w:val="003E092F"/>
    <w:rsid w:val="003E0F95"/>
    <w:rsid w:val="003E1030"/>
    <w:rsid w:val="003E1248"/>
    <w:rsid w:val="003E2029"/>
    <w:rsid w:val="003E2081"/>
    <w:rsid w:val="003E2A2F"/>
    <w:rsid w:val="003E2EF5"/>
    <w:rsid w:val="003E3329"/>
    <w:rsid w:val="003E3579"/>
    <w:rsid w:val="003E3866"/>
    <w:rsid w:val="003E3D03"/>
    <w:rsid w:val="003E486B"/>
    <w:rsid w:val="003E4D0E"/>
    <w:rsid w:val="003E5168"/>
    <w:rsid w:val="003E54DD"/>
    <w:rsid w:val="003E6109"/>
    <w:rsid w:val="003E6246"/>
    <w:rsid w:val="003E6AEE"/>
    <w:rsid w:val="003E6CF5"/>
    <w:rsid w:val="003E731B"/>
    <w:rsid w:val="003E749C"/>
    <w:rsid w:val="003E79F7"/>
    <w:rsid w:val="003F0529"/>
    <w:rsid w:val="003F12E6"/>
    <w:rsid w:val="003F153B"/>
    <w:rsid w:val="003F20E1"/>
    <w:rsid w:val="003F2C62"/>
    <w:rsid w:val="003F2C78"/>
    <w:rsid w:val="003F2E65"/>
    <w:rsid w:val="003F374E"/>
    <w:rsid w:val="003F3DEE"/>
    <w:rsid w:val="003F43B9"/>
    <w:rsid w:val="003F4E32"/>
    <w:rsid w:val="003F52D4"/>
    <w:rsid w:val="003F599E"/>
    <w:rsid w:val="003F62BC"/>
    <w:rsid w:val="003F7146"/>
    <w:rsid w:val="003F7642"/>
    <w:rsid w:val="003F7715"/>
    <w:rsid w:val="003F7921"/>
    <w:rsid w:val="003F7F7C"/>
    <w:rsid w:val="00400C2E"/>
    <w:rsid w:val="0040127D"/>
    <w:rsid w:val="004013EF"/>
    <w:rsid w:val="004015D7"/>
    <w:rsid w:val="0040196B"/>
    <w:rsid w:val="00401DB4"/>
    <w:rsid w:val="00402161"/>
    <w:rsid w:val="0040274A"/>
    <w:rsid w:val="00402B48"/>
    <w:rsid w:val="0040354D"/>
    <w:rsid w:val="004036A3"/>
    <w:rsid w:val="0040373D"/>
    <w:rsid w:val="0040375D"/>
    <w:rsid w:val="00403A37"/>
    <w:rsid w:val="004044D2"/>
    <w:rsid w:val="00404A80"/>
    <w:rsid w:val="00404B26"/>
    <w:rsid w:val="00404EDB"/>
    <w:rsid w:val="0040522F"/>
    <w:rsid w:val="00405753"/>
    <w:rsid w:val="00405E40"/>
    <w:rsid w:val="004066B3"/>
    <w:rsid w:val="004067FF"/>
    <w:rsid w:val="00406D0F"/>
    <w:rsid w:val="00406F30"/>
    <w:rsid w:val="004071D3"/>
    <w:rsid w:val="00407451"/>
    <w:rsid w:val="00407F32"/>
    <w:rsid w:val="004104A4"/>
    <w:rsid w:val="00410BB4"/>
    <w:rsid w:val="00410F45"/>
    <w:rsid w:val="00411D4E"/>
    <w:rsid w:val="00411DC9"/>
    <w:rsid w:val="004122AD"/>
    <w:rsid w:val="004126E1"/>
    <w:rsid w:val="004127CA"/>
    <w:rsid w:val="004129E5"/>
    <w:rsid w:val="00412AC1"/>
    <w:rsid w:val="00412C11"/>
    <w:rsid w:val="00412DF4"/>
    <w:rsid w:val="004130C3"/>
    <w:rsid w:val="0041360E"/>
    <w:rsid w:val="004137D1"/>
    <w:rsid w:val="00414E36"/>
    <w:rsid w:val="00415076"/>
    <w:rsid w:val="0041543F"/>
    <w:rsid w:val="004156EF"/>
    <w:rsid w:val="00415732"/>
    <w:rsid w:val="00415C6B"/>
    <w:rsid w:val="00415F32"/>
    <w:rsid w:val="00416039"/>
    <w:rsid w:val="004169F1"/>
    <w:rsid w:val="004207AA"/>
    <w:rsid w:val="00421AB8"/>
    <w:rsid w:val="00421DAC"/>
    <w:rsid w:val="00423678"/>
    <w:rsid w:val="00423938"/>
    <w:rsid w:val="004239CC"/>
    <w:rsid w:val="00423A88"/>
    <w:rsid w:val="00423C21"/>
    <w:rsid w:val="00423C8A"/>
    <w:rsid w:val="00424090"/>
    <w:rsid w:val="004240C5"/>
    <w:rsid w:val="00424836"/>
    <w:rsid w:val="004251AB"/>
    <w:rsid w:val="004254C1"/>
    <w:rsid w:val="00425868"/>
    <w:rsid w:val="00425A3D"/>
    <w:rsid w:val="004263AB"/>
    <w:rsid w:val="004269CA"/>
    <w:rsid w:val="004279AA"/>
    <w:rsid w:val="00427E23"/>
    <w:rsid w:val="004300EF"/>
    <w:rsid w:val="0043033B"/>
    <w:rsid w:val="004303CA"/>
    <w:rsid w:val="004305BA"/>
    <w:rsid w:val="00430B31"/>
    <w:rsid w:val="004319B2"/>
    <w:rsid w:val="00431CE8"/>
    <w:rsid w:val="0043233D"/>
    <w:rsid w:val="00432774"/>
    <w:rsid w:val="00432B07"/>
    <w:rsid w:val="00432C29"/>
    <w:rsid w:val="00432CFC"/>
    <w:rsid w:val="00432E38"/>
    <w:rsid w:val="00433334"/>
    <w:rsid w:val="004339E1"/>
    <w:rsid w:val="0043430A"/>
    <w:rsid w:val="004347F5"/>
    <w:rsid w:val="00434877"/>
    <w:rsid w:val="00434C1E"/>
    <w:rsid w:val="00434E6E"/>
    <w:rsid w:val="00435015"/>
    <w:rsid w:val="00435038"/>
    <w:rsid w:val="004359DB"/>
    <w:rsid w:val="00435D5E"/>
    <w:rsid w:val="0043633E"/>
    <w:rsid w:val="00436847"/>
    <w:rsid w:val="00437A4A"/>
    <w:rsid w:val="00437B75"/>
    <w:rsid w:val="00437BAB"/>
    <w:rsid w:val="0044017F"/>
    <w:rsid w:val="0044035C"/>
    <w:rsid w:val="0044068C"/>
    <w:rsid w:val="004409F3"/>
    <w:rsid w:val="00440EEC"/>
    <w:rsid w:val="00441D35"/>
    <w:rsid w:val="004422B4"/>
    <w:rsid w:val="00442946"/>
    <w:rsid w:val="00442C4B"/>
    <w:rsid w:val="00442D09"/>
    <w:rsid w:val="00443500"/>
    <w:rsid w:val="00444280"/>
    <w:rsid w:val="00444426"/>
    <w:rsid w:val="0044456A"/>
    <w:rsid w:val="00445271"/>
    <w:rsid w:val="0044531A"/>
    <w:rsid w:val="004454B3"/>
    <w:rsid w:val="00445D91"/>
    <w:rsid w:val="00446918"/>
    <w:rsid w:val="004473EB"/>
    <w:rsid w:val="00447663"/>
    <w:rsid w:val="0044791C"/>
    <w:rsid w:val="00447B01"/>
    <w:rsid w:val="0045007A"/>
    <w:rsid w:val="004509B5"/>
    <w:rsid w:val="00451198"/>
    <w:rsid w:val="0045130B"/>
    <w:rsid w:val="004515DF"/>
    <w:rsid w:val="00451A28"/>
    <w:rsid w:val="00451C91"/>
    <w:rsid w:val="00452358"/>
    <w:rsid w:val="00453015"/>
    <w:rsid w:val="004542FD"/>
    <w:rsid w:val="00454930"/>
    <w:rsid w:val="004552E5"/>
    <w:rsid w:val="004557B3"/>
    <w:rsid w:val="00456CBA"/>
    <w:rsid w:val="00456EEF"/>
    <w:rsid w:val="0045769E"/>
    <w:rsid w:val="00457C19"/>
    <w:rsid w:val="00457C92"/>
    <w:rsid w:val="00460181"/>
    <w:rsid w:val="00460C6E"/>
    <w:rsid w:val="0046144F"/>
    <w:rsid w:val="00461BD5"/>
    <w:rsid w:val="00461D4B"/>
    <w:rsid w:val="004622F4"/>
    <w:rsid w:val="00462777"/>
    <w:rsid w:val="00462D3F"/>
    <w:rsid w:val="00462F29"/>
    <w:rsid w:val="004632B3"/>
    <w:rsid w:val="00463C8D"/>
    <w:rsid w:val="00463D4E"/>
    <w:rsid w:val="00465D32"/>
    <w:rsid w:val="00466041"/>
    <w:rsid w:val="00466633"/>
    <w:rsid w:val="00466CC0"/>
    <w:rsid w:val="004679F4"/>
    <w:rsid w:val="00467ADE"/>
    <w:rsid w:val="00470644"/>
    <w:rsid w:val="00471033"/>
    <w:rsid w:val="004714E9"/>
    <w:rsid w:val="0047180B"/>
    <w:rsid w:val="00472B79"/>
    <w:rsid w:val="00473343"/>
    <w:rsid w:val="00473947"/>
    <w:rsid w:val="00473A8E"/>
    <w:rsid w:val="0047411C"/>
    <w:rsid w:val="00474420"/>
    <w:rsid w:val="00475119"/>
    <w:rsid w:val="004755A0"/>
    <w:rsid w:val="0047563D"/>
    <w:rsid w:val="00475BBA"/>
    <w:rsid w:val="00475D72"/>
    <w:rsid w:val="00476319"/>
    <w:rsid w:val="004767C2"/>
    <w:rsid w:val="0047791F"/>
    <w:rsid w:val="0047798B"/>
    <w:rsid w:val="00480569"/>
    <w:rsid w:val="00481189"/>
    <w:rsid w:val="004811CE"/>
    <w:rsid w:val="00482126"/>
    <w:rsid w:val="0048220C"/>
    <w:rsid w:val="00482768"/>
    <w:rsid w:val="00482FC5"/>
    <w:rsid w:val="00483FDD"/>
    <w:rsid w:val="00484603"/>
    <w:rsid w:val="0048465C"/>
    <w:rsid w:val="004852E9"/>
    <w:rsid w:val="00485335"/>
    <w:rsid w:val="004868F2"/>
    <w:rsid w:val="004871B7"/>
    <w:rsid w:val="00487F94"/>
    <w:rsid w:val="0049004F"/>
    <w:rsid w:val="00490062"/>
    <w:rsid w:val="0049011C"/>
    <w:rsid w:val="0049063A"/>
    <w:rsid w:val="004908A0"/>
    <w:rsid w:val="0049092B"/>
    <w:rsid w:val="00490C42"/>
    <w:rsid w:val="0049143D"/>
    <w:rsid w:val="00491767"/>
    <w:rsid w:val="004917F2"/>
    <w:rsid w:val="00491AE7"/>
    <w:rsid w:val="00491AF4"/>
    <w:rsid w:val="0049234A"/>
    <w:rsid w:val="0049243E"/>
    <w:rsid w:val="00492980"/>
    <w:rsid w:val="004930C3"/>
    <w:rsid w:val="0049330A"/>
    <w:rsid w:val="00493322"/>
    <w:rsid w:val="00493553"/>
    <w:rsid w:val="00493D35"/>
    <w:rsid w:val="00494246"/>
    <w:rsid w:val="004944B4"/>
    <w:rsid w:val="00494855"/>
    <w:rsid w:val="00494C1E"/>
    <w:rsid w:val="0049657D"/>
    <w:rsid w:val="004966C2"/>
    <w:rsid w:val="00496ECB"/>
    <w:rsid w:val="0049759D"/>
    <w:rsid w:val="004979F9"/>
    <w:rsid w:val="00497DD8"/>
    <w:rsid w:val="004A00C1"/>
    <w:rsid w:val="004A027B"/>
    <w:rsid w:val="004A0362"/>
    <w:rsid w:val="004A0458"/>
    <w:rsid w:val="004A0D52"/>
    <w:rsid w:val="004A0DC3"/>
    <w:rsid w:val="004A1334"/>
    <w:rsid w:val="004A15BB"/>
    <w:rsid w:val="004A170E"/>
    <w:rsid w:val="004A1A6C"/>
    <w:rsid w:val="004A1D6E"/>
    <w:rsid w:val="004A1E82"/>
    <w:rsid w:val="004A22C4"/>
    <w:rsid w:val="004A2AB9"/>
    <w:rsid w:val="004A35E2"/>
    <w:rsid w:val="004A382B"/>
    <w:rsid w:val="004A4058"/>
    <w:rsid w:val="004A44FA"/>
    <w:rsid w:val="004A45F0"/>
    <w:rsid w:val="004A4BF8"/>
    <w:rsid w:val="004A551F"/>
    <w:rsid w:val="004A5B23"/>
    <w:rsid w:val="004A5C7C"/>
    <w:rsid w:val="004A625C"/>
    <w:rsid w:val="004A7F49"/>
    <w:rsid w:val="004B013A"/>
    <w:rsid w:val="004B0268"/>
    <w:rsid w:val="004B0A12"/>
    <w:rsid w:val="004B0EE8"/>
    <w:rsid w:val="004B1063"/>
    <w:rsid w:val="004B136F"/>
    <w:rsid w:val="004B1E29"/>
    <w:rsid w:val="004B26CE"/>
    <w:rsid w:val="004B2E31"/>
    <w:rsid w:val="004B31F2"/>
    <w:rsid w:val="004B3309"/>
    <w:rsid w:val="004B34C3"/>
    <w:rsid w:val="004B3732"/>
    <w:rsid w:val="004B3848"/>
    <w:rsid w:val="004B3F4E"/>
    <w:rsid w:val="004B4BAB"/>
    <w:rsid w:val="004B4CEA"/>
    <w:rsid w:val="004B555C"/>
    <w:rsid w:val="004B5711"/>
    <w:rsid w:val="004B5AC2"/>
    <w:rsid w:val="004B60F5"/>
    <w:rsid w:val="004B7375"/>
    <w:rsid w:val="004B7487"/>
    <w:rsid w:val="004B75CE"/>
    <w:rsid w:val="004B7BB3"/>
    <w:rsid w:val="004C02C8"/>
    <w:rsid w:val="004C094D"/>
    <w:rsid w:val="004C19AD"/>
    <w:rsid w:val="004C1CE8"/>
    <w:rsid w:val="004C21A6"/>
    <w:rsid w:val="004C2C16"/>
    <w:rsid w:val="004C3BA1"/>
    <w:rsid w:val="004C5116"/>
    <w:rsid w:val="004C60DE"/>
    <w:rsid w:val="004C692B"/>
    <w:rsid w:val="004C7527"/>
    <w:rsid w:val="004D04C7"/>
    <w:rsid w:val="004D07B9"/>
    <w:rsid w:val="004D0A57"/>
    <w:rsid w:val="004D0B46"/>
    <w:rsid w:val="004D0C10"/>
    <w:rsid w:val="004D1C0B"/>
    <w:rsid w:val="004D2001"/>
    <w:rsid w:val="004D2237"/>
    <w:rsid w:val="004D2DF6"/>
    <w:rsid w:val="004D3364"/>
    <w:rsid w:val="004D3ADB"/>
    <w:rsid w:val="004D3DD1"/>
    <w:rsid w:val="004D45E6"/>
    <w:rsid w:val="004D4896"/>
    <w:rsid w:val="004D4A57"/>
    <w:rsid w:val="004D4B01"/>
    <w:rsid w:val="004D4CA4"/>
    <w:rsid w:val="004D4CDA"/>
    <w:rsid w:val="004D4FAB"/>
    <w:rsid w:val="004D623B"/>
    <w:rsid w:val="004D6660"/>
    <w:rsid w:val="004D74FC"/>
    <w:rsid w:val="004D7C68"/>
    <w:rsid w:val="004E02CC"/>
    <w:rsid w:val="004E0A5F"/>
    <w:rsid w:val="004E0E6F"/>
    <w:rsid w:val="004E128B"/>
    <w:rsid w:val="004E19E0"/>
    <w:rsid w:val="004E1B05"/>
    <w:rsid w:val="004E1D31"/>
    <w:rsid w:val="004E1F7E"/>
    <w:rsid w:val="004E21B9"/>
    <w:rsid w:val="004E2DFF"/>
    <w:rsid w:val="004E2F9B"/>
    <w:rsid w:val="004E30E7"/>
    <w:rsid w:val="004E35AA"/>
    <w:rsid w:val="004E35CA"/>
    <w:rsid w:val="004E3B1F"/>
    <w:rsid w:val="004E3DAD"/>
    <w:rsid w:val="004E48A2"/>
    <w:rsid w:val="004E4F65"/>
    <w:rsid w:val="004E5010"/>
    <w:rsid w:val="004E5BB9"/>
    <w:rsid w:val="004E5D8F"/>
    <w:rsid w:val="004E6152"/>
    <w:rsid w:val="004E663A"/>
    <w:rsid w:val="004E68C9"/>
    <w:rsid w:val="004E6AED"/>
    <w:rsid w:val="004E7296"/>
    <w:rsid w:val="004E7C04"/>
    <w:rsid w:val="004F083C"/>
    <w:rsid w:val="004F08D7"/>
    <w:rsid w:val="004F162F"/>
    <w:rsid w:val="004F1AF3"/>
    <w:rsid w:val="004F1E5C"/>
    <w:rsid w:val="004F2BED"/>
    <w:rsid w:val="004F38F0"/>
    <w:rsid w:val="004F3EF6"/>
    <w:rsid w:val="004F3F0F"/>
    <w:rsid w:val="004F405C"/>
    <w:rsid w:val="004F47CB"/>
    <w:rsid w:val="004F4C6D"/>
    <w:rsid w:val="004F4C94"/>
    <w:rsid w:val="004F5404"/>
    <w:rsid w:val="004F5412"/>
    <w:rsid w:val="004F5882"/>
    <w:rsid w:val="004F6147"/>
    <w:rsid w:val="004F652A"/>
    <w:rsid w:val="004F684A"/>
    <w:rsid w:val="004F75BE"/>
    <w:rsid w:val="004F78DB"/>
    <w:rsid w:val="004F7B70"/>
    <w:rsid w:val="005001AD"/>
    <w:rsid w:val="005001F1"/>
    <w:rsid w:val="00500996"/>
    <w:rsid w:val="00500A4F"/>
    <w:rsid w:val="00501564"/>
    <w:rsid w:val="00501971"/>
    <w:rsid w:val="005029E6"/>
    <w:rsid w:val="00502C3E"/>
    <w:rsid w:val="00503001"/>
    <w:rsid w:val="00503832"/>
    <w:rsid w:val="00503900"/>
    <w:rsid w:val="00503FCD"/>
    <w:rsid w:val="00504327"/>
    <w:rsid w:val="005050BB"/>
    <w:rsid w:val="005061CF"/>
    <w:rsid w:val="00506F01"/>
    <w:rsid w:val="005076A2"/>
    <w:rsid w:val="00507B09"/>
    <w:rsid w:val="00507F49"/>
    <w:rsid w:val="00510184"/>
    <w:rsid w:val="0051018B"/>
    <w:rsid w:val="00510242"/>
    <w:rsid w:val="005103EE"/>
    <w:rsid w:val="005105C7"/>
    <w:rsid w:val="005109EC"/>
    <w:rsid w:val="00510B38"/>
    <w:rsid w:val="00511864"/>
    <w:rsid w:val="00511F44"/>
    <w:rsid w:val="00512A97"/>
    <w:rsid w:val="0051362C"/>
    <w:rsid w:val="0051405E"/>
    <w:rsid w:val="0051409D"/>
    <w:rsid w:val="00514473"/>
    <w:rsid w:val="00514AF8"/>
    <w:rsid w:val="00515593"/>
    <w:rsid w:val="00515A7B"/>
    <w:rsid w:val="00515FA6"/>
    <w:rsid w:val="00516DDE"/>
    <w:rsid w:val="00516E00"/>
    <w:rsid w:val="0051766D"/>
    <w:rsid w:val="00517FD6"/>
    <w:rsid w:val="005203F2"/>
    <w:rsid w:val="005213BF"/>
    <w:rsid w:val="00521569"/>
    <w:rsid w:val="00521E10"/>
    <w:rsid w:val="00522796"/>
    <w:rsid w:val="005227E6"/>
    <w:rsid w:val="005235FC"/>
    <w:rsid w:val="00523759"/>
    <w:rsid w:val="0052375F"/>
    <w:rsid w:val="00523894"/>
    <w:rsid w:val="00523FAE"/>
    <w:rsid w:val="005243BF"/>
    <w:rsid w:val="005249A7"/>
    <w:rsid w:val="00524A2D"/>
    <w:rsid w:val="00524AC9"/>
    <w:rsid w:val="005267AE"/>
    <w:rsid w:val="005300E5"/>
    <w:rsid w:val="00530B68"/>
    <w:rsid w:val="00530E59"/>
    <w:rsid w:val="00530EA9"/>
    <w:rsid w:val="005318F2"/>
    <w:rsid w:val="005321C8"/>
    <w:rsid w:val="00532A36"/>
    <w:rsid w:val="00532D83"/>
    <w:rsid w:val="005339D3"/>
    <w:rsid w:val="00533DF7"/>
    <w:rsid w:val="005343DB"/>
    <w:rsid w:val="0053446F"/>
    <w:rsid w:val="00534AFD"/>
    <w:rsid w:val="00534FCD"/>
    <w:rsid w:val="00535745"/>
    <w:rsid w:val="005357DD"/>
    <w:rsid w:val="00535ADF"/>
    <w:rsid w:val="00535BCA"/>
    <w:rsid w:val="00535E17"/>
    <w:rsid w:val="005362F3"/>
    <w:rsid w:val="0053638A"/>
    <w:rsid w:val="005364E0"/>
    <w:rsid w:val="005364F4"/>
    <w:rsid w:val="00536958"/>
    <w:rsid w:val="005369B5"/>
    <w:rsid w:val="00536B02"/>
    <w:rsid w:val="00537227"/>
    <w:rsid w:val="00537FFD"/>
    <w:rsid w:val="005400E4"/>
    <w:rsid w:val="00540460"/>
    <w:rsid w:val="00540D55"/>
    <w:rsid w:val="0054109B"/>
    <w:rsid w:val="005414BD"/>
    <w:rsid w:val="0054198A"/>
    <w:rsid w:val="00541E7C"/>
    <w:rsid w:val="00542242"/>
    <w:rsid w:val="00542596"/>
    <w:rsid w:val="00542A75"/>
    <w:rsid w:val="00542D50"/>
    <w:rsid w:val="00543164"/>
    <w:rsid w:val="00543FFB"/>
    <w:rsid w:val="00544F51"/>
    <w:rsid w:val="00545174"/>
    <w:rsid w:val="005454D1"/>
    <w:rsid w:val="00546125"/>
    <w:rsid w:val="00546625"/>
    <w:rsid w:val="0054677D"/>
    <w:rsid w:val="00546BA1"/>
    <w:rsid w:val="00546CFC"/>
    <w:rsid w:val="00547756"/>
    <w:rsid w:val="0055011A"/>
    <w:rsid w:val="005502A8"/>
    <w:rsid w:val="00550329"/>
    <w:rsid w:val="005513C5"/>
    <w:rsid w:val="005515A8"/>
    <w:rsid w:val="005516FC"/>
    <w:rsid w:val="005518D4"/>
    <w:rsid w:val="00552419"/>
    <w:rsid w:val="005524A2"/>
    <w:rsid w:val="00552E2E"/>
    <w:rsid w:val="00553023"/>
    <w:rsid w:val="00553181"/>
    <w:rsid w:val="0055328E"/>
    <w:rsid w:val="005534C8"/>
    <w:rsid w:val="00553CC9"/>
    <w:rsid w:val="00554A3D"/>
    <w:rsid w:val="00555180"/>
    <w:rsid w:val="005556D0"/>
    <w:rsid w:val="00555768"/>
    <w:rsid w:val="00556279"/>
    <w:rsid w:val="0055633F"/>
    <w:rsid w:val="005563A4"/>
    <w:rsid w:val="005564E7"/>
    <w:rsid w:val="005564E9"/>
    <w:rsid w:val="00556866"/>
    <w:rsid w:val="00556881"/>
    <w:rsid w:val="00556F58"/>
    <w:rsid w:val="00556F95"/>
    <w:rsid w:val="00557216"/>
    <w:rsid w:val="00560189"/>
    <w:rsid w:val="00560461"/>
    <w:rsid w:val="0056058B"/>
    <w:rsid w:val="005605BD"/>
    <w:rsid w:val="005606D5"/>
    <w:rsid w:val="00560AFE"/>
    <w:rsid w:val="00560D34"/>
    <w:rsid w:val="00560DB8"/>
    <w:rsid w:val="0056123D"/>
    <w:rsid w:val="005613D5"/>
    <w:rsid w:val="00561C24"/>
    <w:rsid w:val="00561D60"/>
    <w:rsid w:val="005627E7"/>
    <w:rsid w:val="00562F37"/>
    <w:rsid w:val="005635AA"/>
    <w:rsid w:val="00563C6A"/>
    <w:rsid w:val="00564289"/>
    <w:rsid w:val="0056442E"/>
    <w:rsid w:val="005644B3"/>
    <w:rsid w:val="005644DD"/>
    <w:rsid w:val="00564681"/>
    <w:rsid w:val="005647FE"/>
    <w:rsid w:val="00564821"/>
    <w:rsid w:val="005655A6"/>
    <w:rsid w:val="00565AEA"/>
    <w:rsid w:val="00565E48"/>
    <w:rsid w:val="00566BE2"/>
    <w:rsid w:val="00566C7C"/>
    <w:rsid w:val="00567069"/>
    <w:rsid w:val="005673FD"/>
    <w:rsid w:val="0056796D"/>
    <w:rsid w:val="005700AC"/>
    <w:rsid w:val="00570363"/>
    <w:rsid w:val="00570480"/>
    <w:rsid w:val="005708C8"/>
    <w:rsid w:val="00570B4C"/>
    <w:rsid w:val="00570B91"/>
    <w:rsid w:val="00570FBC"/>
    <w:rsid w:val="00570FDD"/>
    <w:rsid w:val="00571686"/>
    <w:rsid w:val="00571BD1"/>
    <w:rsid w:val="0057265E"/>
    <w:rsid w:val="00572AD1"/>
    <w:rsid w:val="005732F4"/>
    <w:rsid w:val="005737CC"/>
    <w:rsid w:val="00574581"/>
    <w:rsid w:val="0057531C"/>
    <w:rsid w:val="00575CF4"/>
    <w:rsid w:val="005767B3"/>
    <w:rsid w:val="005769C9"/>
    <w:rsid w:val="00577092"/>
    <w:rsid w:val="005778DF"/>
    <w:rsid w:val="00577A11"/>
    <w:rsid w:val="00577F46"/>
    <w:rsid w:val="00577FB2"/>
    <w:rsid w:val="00580779"/>
    <w:rsid w:val="005808ED"/>
    <w:rsid w:val="00580B5B"/>
    <w:rsid w:val="00581096"/>
    <w:rsid w:val="0058110E"/>
    <w:rsid w:val="00581751"/>
    <w:rsid w:val="0058193C"/>
    <w:rsid w:val="00581AEA"/>
    <w:rsid w:val="00581BF3"/>
    <w:rsid w:val="0058213B"/>
    <w:rsid w:val="0058214A"/>
    <w:rsid w:val="0058222F"/>
    <w:rsid w:val="00582C4C"/>
    <w:rsid w:val="0058308A"/>
    <w:rsid w:val="00583A25"/>
    <w:rsid w:val="0058445C"/>
    <w:rsid w:val="00584C73"/>
    <w:rsid w:val="00584DD3"/>
    <w:rsid w:val="0058531D"/>
    <w:rsid w:val="00585347"/>
    <w:rsid w:val="00585492"/>
    <w:rsid w:val="005855BF"/>
    <w:rsid w:val="00585837"/>
    <w:rsid w:val="005859F0"/>
    <w:rsid w:val="00585EB3"/>
    <w:rsid w:val="005864C2"/>
    <w:rsid w:val="0058661D"/>
    <w:rsid w:val="0058696C"/>
    <w:rsid w:val="00586C94"/>
    <w:rsid w:val="005902DF"/>
    <w:rsid w:val="00590540"/>
    <w:rsid w:val="005906C6"/>
    <w:rsid w:val="00590A16"/>
    <w:rsid w:val="00590F4F"/>
    <w:rsid w:val="005915B1"/>
    <w:rsid w:val="00591805"/>
    <w:rsid w:val="005920AE"/>
    <w:rsid w:val="00592433"/>
    <w:rsid w:val="00592CC2"/>
    <w:rsid w:val="00592D14"/>
    <w:rsid w:val="00593CE9"/>
    <w:rsid w:val="00593FFB"/>
    <w:rsid w:val="00594158"/>
    <w:rsid w:val="0059439C"/>
    <w:rsid w:val="005946B4"/>
    <w:rsid w:val="0059520A"/>
    <w:rsid w:val="0059562F"/>
    <w:rsid w:val="00595B3C"/>
    <w:rsid w:val="00595F6C"/>
    <w:rsid w:val="00595FFD"/>
    <w:rsid w:val="005961D7"/>
    <w:rsid w:val="00596F1F"/>
    <w:rsid w:val="0059783C"/>
    <w:rsid w:val="00597996"/>
    <w:rsid w:val="00597EDA"/>
    <w:rsid w:val="005A052B"/>
    <w:rsid w:val="005A07A1"/>
    <w:rsid w:val="005A0A5D"/>
    <w:rsid w:val="005A160F"/>
    <w:rsid w:val="005A17DA"/>
    <w:rsid w:val="005A1E75"/>
    <w:rsid w:val="005A2BCC"/>
    <w:rsid w:val="005A2D4E"/>
    <w:rsid w:val="005A33A2"/>
    <w:rsid w:val="005A3B0C"/>
    <w:rsid w:val="005A4359"/>
    <w:rsid w:val="005A50A3"/>
    <w:rsid w:val="005A523E"/>
    <w:rsid w:val="005A52F7"/>
    <w:rsid w:val="005A6642"/>
    <w:rsid w:val="005A69A3"/>
    <w:rsid w:val="005A70CC"/>
    <w:rsid w:val="005A751D"/>
    <w:rsid w:val="005A7B1C"/>
    <w:rsid w:val="005A7F25"/>
    <w:rsid w:val="005B0640"/>
    <w:rsid w:val="005B06A4"/>
    <w:rsid w:val="005B06B4"/>
    <w:rsid w:val="005B0A19"/>
    <w:rsid w:val="005B0AA3"/>
    <w:rsid w:val="005B138F"/>
    <w:rsid w:val="005B23BF"/>
    <w:rsid w:val="005B2DB8"/>
    <w:rsid w:val="005B3164"/>
    <w:rsid w:val="005B3707"/>
    <w:rsid w:val="005B3CB8"/>
    <w:rsid w:val="005B3F06"/>
    <w:rsid w:val="005B4027"/>
    <w:rsid w:val="005B40A3"/>
    <w:rsid w:val="005B4121"/>
    <w:rsid w:val="005B41F4"/>
    <w:rsid w:val="005B4691"/>
    <w:rsid w:val="005B4709"/>
    <w:rsid w:val="005B48C6"/>
    <w:rsid w:val="005B545A"/>
    <w:rsid w:val="005B5A12"/>
    <w:rsid w:val="005B6C4B"/>
    <w:rsid w:val="005B6D55"/>
    <w:rsid w:val="005B7889"/>
    <w:rsid w:val="005B795C"/>
    <w:rsid w:val="005B7B95"/>
    <w:rsid w:val="005C04E8"/>
    <w:rsid w:val="005C071F"/>
    <w:rsid w:val="005C14B1"/>
    <w:rsid w:val="005C1F4F"/>
    <w:rsid w:val="005C2641"/>
    <w:rsid w:val="005C2787"/>
    <w:rsid w:val="005C2B80"/>
    <w:rsid w:val="005C2CEF"/>
    <w:rsid w:val="005C2D23"/>
    <w:rsid w:val="005C2E9F"/>
    <w:rsid w:val="005C32EC"/>
    <w:rsid w:val="005C3CDB"/>
    <w:rsid w:val="005C4A37"/>
    <w:rsid w:val="005C4D7F"/>
    <w:rsid w:val="005C5043"/>
    <w:rsid w:val="005C5655"/>
    <w:rsid w:val="005C57BC"/>
    <w:rsid w:val="005C590A"/>
    <w:rsid w:val="005C5E74"/>
    <w:rsid w:val="005C65AF"/>
    <w:rsid w:val="005C67C7"/>
    <w:rsid w:val="005C682F"/>
    <w:rsid w:val="005C6F19"/>
    <w:rsid w:val="005C7500"/>
    <w:rsid w:val="005C7926"/>
    <w:rsid w:val="005D02EF"/>
    <w:rsid w:val="005D06B1"/>
    <w:rsid w:val="005D0DE3"/>
    <w:rsid w:val="005D111C"/>
    <w:rsid w:val="005D1C37"/>
    <w:rsid w:val="005D1D3E"/>
    <w:rsid w:val="005D23D6"/>
    <w:rsid w:val="005D25BD"/>
    <w:rsid w:val="005D3129"/>
    <w:rsid w:val="005D33D7"/>
    <w:rsid w:val="005D3DFB"/>
    <w:rsid w:val="005D4C2E"/>
    <w:rsid w:val="005D4EE4"/>
    <w:rsid w:val="005D5457"/>
    <w:rsid w:val="005D630E"/>
    <w:rsid w:val="005D6662"/>
    <w:rsid w:val="005D66BF"/>
    <w:rsid w:val="005D6D30"/>
    <w:rsid w:val="005D7CBB"/>
    <w:rsid w:val="005D7F83"/>
    <w:rsid w:val="005E02A7"/>
    <w:rsid w:val="005E0785"/>
    <w:rsid w:val="005E0A03"/>
    <w:rsid w:val="005E0C24"/>
    <w:rsid w:val="005E133D"/>
    <w:rsid w:val="005E141E"/>
    <w:rsid w:val="005E1757"/>
    <w:rsid w:val="005E1B0E"/>
    <w:rsid w:val="005E28FD"/>
    <w:rsid w:val="005E2C89"/>
    <w:rsid w:val="005E2E99"/>
    <w:rsid w:val="005E49C8"/>
    <w:rsid w:val="005E4B28"/>
    <w:rsid w:val="005E4BB2"/>
    <w:rsid w:val="005E4C7B"/>
    <w:rsid w:val="005E4E86"/>
    <w:rsid w:val="005E53ED"/>
    <w:rsid w:val="005E5461"/>
    <w:rsid w:val="005E5504"/>
    <w:rsid w:val="005E5C2F"/>
    <w:rsid w:val="005E5F70"/>
    <w:rsid w:val="005E60ED"/>
    <w:rsid w:val="005E66AD"/>
    <w:rsid w:val="005E6B46"/>
    <w:rsid w:val="005E6D33"/>
    <w:rsid w:val="005E704E"/>
    <w:rsid w:val="005F0E78"/>
    <w:rsid w:val="005F1566"/>
    <w:rsid w:val="005F1CE5"/>
    <w:rsid w:val="005F25C3"/>
    <w:rsid w:val="005F2E51"/>
    <w:rsid w:val="005F3F04"/>
    <w:rsid w:val="005F4115"/>
    <w:rsid w:val="005F4372"/>
    <w:rsid w:val="005F4738"/>
    <w:rsid w:val="005F4769"/>
    <w:rsid w:val="005F5458"/>
    <w:rsid w:val="005F5C67"/>
    <w:rsid w:val="005F5CD2"/>
    <w:rsid w:val="005F5D49"/>
    <w:rsid w:val="005F7109"/>
    <w:rsid w:val="005F726F"/>
    <w:rsid w:val="005F76FD"/>
    <w:rsid w:val="005F7BD7"/>
    <w:rsid w:val="00600099"/>
    <w:rsid w:val="006006DB"/>
    <w:rsid w:val="00600A4B"/>
    <w:rsid w:val="00600AA9"/>
    <w:rsid w:val="00600D79"/>
    <w:rsid w:val="0060138C"/>
    <w:rsid w:val="00601C37"/>
    <w:rsid w:val="0060244D"/>
    <w:rsid w:val="00602572"/>
    <w:rsid w:val="006029D1"/>
    <w:rsid w:val="00602C68"/>
    <w:rsid w:val="00603C95"/>
    <w:rsid w:val="00603EC3"/>
    <w:rsid w:val="006045CA"/>
    <w:rsid w:val="0060493A"/>
    <w:rsid w:val="00604BD0"/>
    <w:rsid w:val="00605100"/>
    <w:rsid w:val="0060540C"/>
    <w:rsid w:val="0060580A"/>
    <w:rsid w:val="00605AB1"/>
    <w:rsid w:val="00605BF7"/>
    <w:rsid w:val="0060602E"/>
    <w:rsid w:val="0060616E"/>
    <w:rsid w:val="00606184"/>
    <w:rsid w:val="006062A4"/>
    <w:rsid w:val="00606302"/>
    <w:rsid w:val="006069E5"/>
    <w:rsid w:val="0060742D"/>
    <w:rsid w:val="006079BC"/>
    <w:rsid w:val="00607EE3"/>
    <w:rsid w:val="00607F88"/>
    <w:rsid w:val="00610AEE"/>
    <w:rsid w:val="006114EC"/>
    <w:rsid w:val="00611B63"/>
    <w:rsid w:val="0061234C"/>
    <w:rsid w:val="00612418"/>
    <w:rsid w:val="00612617"/>
    <w:rsid w:val="00612B34"/>
    <w:rsid w:val="00612DE7"/>
    <w:rsid w:val="00613116"/>
    <w:rsid w:val="006132AF"/>
    <w:rsid w:val="00613379"/>
    <w:rsid w:val="00613549"/>
    <w:rsid w:val="006139FF"/>
    <w:rsid w:val="0061421C"/>
    <w:rsid w:val="006143A9"/>
    <w:rsid w:val="00614D0B"/>
    <w:rsid w:val="0061508A"/>
    <w:rsid w:val="00615B72"/>
    <w:rsid w:val="00615F93"/>
    <w:rsid w:val="006164E5"/>
    <w:rsid w:val="00616A72"/>
    <w:rsid w:val="0061708C"/>
    <w:rsid w:val="0061740E"/>
    <w:rsid w:val="00617CA9"/>
    <w:rsid w:val="00620529"/>
    <w:rsid w:val="00620A52"/>
    <w:rsid w:val="00620B78"/>
    <w:rsid w:val="00620DD4"/>
    <w:rsid w:val="00621386"/>
    <w:rsid w:val="00621810"/>
    <w:rsid w:val="006224A5"/>
    <w:rsid w:val="006225F1"/>
    <w:rsid w:val="00622990"/>
    <w:rsid w:val="006237D5"/>
    <w:rsid w:val="006237F6"/>
    <w:rsid w:val="0062475A"/>
    <w:rsid w:val="0062495A"/>
    <w:rsid w:val="00624BCC"/>
    <w:rsid w:val="00624D8F"/>
    <w:rsid w:val="006262A1"/>
    <w:rsid w:val="00626534"/>
    <w:rsid w:val="006268D8"/>
    <w:rsid w:val="006268E9"/>
    <w:rsid w:val="00626D30"/>
    <w:rsid w:val="00626E31"/>
    <w:rsid w:val="00627319"/>
    <w:rsid w:val="0062796D"/>
    <w:rsid w:val="0062796E"/>
    <w:rsid w:val="00627E42"/>
    <w:rsid w:val="0063074C"/>
    <w:rsid w:val="00630AF2"/>
    <w:rsid w:val="00630E11"/>
    <w:rsid w:val="00630FB0"/>
    <w:rsid w:val="00631147"/>
    <w:rsid w:val="00631273"/>
    <w:rsid w:val="006313C4"/>
    <w:rsid w:val="00632366"/>
    <w:rsid w:val="006323D8"/>
    <w:rsid w:val="00633054"/>
    <w:rsid w:val="00633135"/>
    <w:rsid w:val="006332FB"/>
    <w:rsid w:val="00633313"/>
    <w:rsid w:val="00633816"/>
    <w:rsid w:val="00633D5E"/>
    <w:rsid w:val="00634341"/>
    <w:rsid w:val="00634767"/>
    <w:rsid w:val="006347B4"/>
    <w:rsid w:val="006347C4"/>
    <w:rsid w:val="006349DB"/>
    <w:rsid w:val="0063565D"/>
    <w:rsid w:val="0063587B"/>
    <w:rsid w:val="00635A0F"/>
    <w:rsid w:val="00635C29"/>
    <w:rsid w:val="00636199"/>
    <w:rsid w:val="00636236"/>
    <w:rsid w:val="0063657C"/>
    <w:rsid w:val="006366FC"/>
    <w:rsid w:val="0063682C"/>
    <w:rsid w:val="00636F3B"/>
    <w:rsid w:val="00637317"/>
    <w:rsid w:val="00637710"/>
    <w:rsid w:val="00637D67"/>
    <w:rsid w:val="00637E73"/>
    <w:rsid w:val="00640229"/>
    <w:rsid w:val="006403B7"/>
    <w:rsid w:val="006407C1"/>
    <w:rsid w:val="00640B4A"/>
    <w:rsid w:val="0064171B"/>
    <w:rsid w:val="00641879"/>
    <w:rsid w:val="00641F2F"/>
    <w:rsid w:val="006427ED"/>
    <w:rsid w:val="0064280B"/>
    <w:rsid w:val="00643065"/>
    <w:rsid w:val="0064402B"/>
    <w:rsid w:val="00645015"/>
    <w:rsid w:val="006451C7"/>
    <w:rsid w:val="006457F7"/>
    <w:rsid w:val="00645AFC"/>
    <w:rsid w:val="00645BD2"/>
    <w:rsid w:val="00646F96"/>
    <w:rsid w:val="0064795B"/>
    <w:rsid w:val="0065064D"/>
    <w:rsid w:val="006515D3"/>
    <w:rsid w:val="00651D6F"/>
    <w:rsid w:val="00651DD7"/>
    <w:rsid w:val="00652119"/>
    <w:rsid w:val="0065296D"/>
    <w:rsid w:val="00652981"/>
    <w:rsid w:val="00652E2D"/>
    <w:rsid w:val="006533C3"/>
    <w:rsid w:val="0065350F"/>
    <w:rsid w:val="00653992"/>
    <w:rsid w:val="006539CB"/>
    <w:rsid w:val="00653A9F"/>
    <w:rsid w:val="00653BDD"/>
    <w:rsid w:val="00653FAC"/>
    <w:rsid w:val="00654860"/>
    <w:rsid w:val="00654F43"/>
    <w:rsid w:val="006568D4"/>
    <w:rsid w:val="00656BCA"/>
    <w:rsid w:val="00656EBF"/>
    <w:rsid w:val="0065702E"/>
    <w:rsid w:val="00657522"/>
    <w:rsid w:val="006575B5"/>
    <w:rsid w:val="006579DC"/>
    <w:rsid w:val="006600E0"/>
    <w:rsid w:val="00660370"/>
    <w:rsid w:val="00660A47"/>
    <w:rsid w:val="00660C9B"/>
    <w:rsid w:val="006616FD"/>
    <w:rsid w:val="00661950"/>
    <w:rsid w:val="006619F0"/>
    <w:rsid w:val="00661AEB"/>
    <w:rsid w:val="00661E12"/>
    <w:rsid w:val="00662179"/>
    <w:rsid w:val="00662347"/>
    <w:rsid w:val="00662412"/>
    <w:rsid w:val="00663886"/>
    <w:rsid w:val="006647FB"/>
    <w:rsid w:val="0066593C"/>
    <w:rsid w:val="0066617A"/>
    <w:rsid w:val="0066696C"/>
    <w:rsid w:val="00667261"/>
    <w:rsid w:val="00667AE1"/>
    <w:rsid w:val="00667C20"/>
    <w:rsid w:val="00670218"/>
    <w:rsid w:val="0067026B"/>
    <w:rsid w:val="0067027E"/>
    <w:rsid w:val="00670855"/>
    <w:rsid w:val="00671017"/>
    <w:rsid w:val="006713EE"/>
    <w:rsid w:val="00671903"/>
    <w:rsid w:val="00673629"/>
    <w:rsid w:val="0067399F"/>
    <w:rsid w:val="00673D59"/>
    <w:rsid w:val="00673DCF"/>
    <w:rsid w:val="006746D6"/>
    <w:rsid w:val="00674768"/>
    <w:rsid w:val="006749AC"/>
    <w:rsid w:val="00674F0D"/>
    <w:rsid w:val="00675549"/>
    <w:rsid w:val="00675F63"/>
    <w:rsid w:val="0067688F"/>
    <w:rsid w:val="00676B77"/>
    <w:rsid w:val="00676C7B"/>
    <w:rsid w:val="00677A70"/>
    <w:rsid w:val="00677ACD"/>
    <w:rsid w:val="00680741"/>
    <w:rsid w:val="00680BF2"/>
    <w:rsid w:val="00680CD3"/>
    <w:rsid w:val="00680D8E"/>
    <w:rsid w:val="00681A16"/>
    <w:rsid w:val="00681EC2"/>
    <w:rsid w:val="00681EC7"/>
    <w:rsid w:val="00682385"/>
    <w:rsid w:val="00682431"/>
    <w:rsid w:val="00682C77"/>
    <w:rsid w:val="00682E24"/>
    <w:rsid w:val="00683073"/>
    <w:rsid w:val="00683E09"/>
    <w:rsid w:val="00684036"/>
    <w:rsid w:val="006841BB"/>
    <w:rsid w:val="00684A45"/>
    <w:rsid w:val="00684AF9"/>
    <w:rsid w:val="00684CCF"/>
    <w:rsid w:val="00684F6F"/>
    <w:rsid w:val="006857BC"/>
    <w:rsid w:val="0068599B"/>
    <w:rsid w:val="00685D0A"/>
    <w:rsid w:val="00685DC3"/>
    <w:rsid w:val="006864E9"/>
    <w:rsid w:val="0068651B"/>
    <w:rsid w:val="006867E9"/>
    <w:rsid w:val="00686812"/>
    <w:rsid w:val="00686C9C"/>
    <w:rsid w:val="00686D54"/>
    <w:rsid w:val="006873BB"/>
    <w:rsid w:val="00687E1D"/>
    <w:rsid w:val="00690AA8"/>
    <w:rsid w:val="00691032"/>
    <w:rsid w:val="006914A7"/>
    <w:rsid w:val="00691DE2"/>
    <w:rsid w:val="006920F5"/>
    <w:rsid w:val="00692450"/>
    <w:rsid w:val="00692535"/>
    <w:rsid w:val="0069264D"/>
    <w:rsid w:val="006928CA"/>
    <w:rsid w:val="00692A04"/>
    <w:rsid w:val="00693094"/>
    <w:rsid w:val="00693A13"/>
    <w:rsid w:val="00693F2E"/>
    <w:rsid w:val="006941F9"/>
    <w:rsid w:val="00694428"/>
    <w:rsid w:val="00694C2C"/>
    <w:rsid w:val="006952EE"/>
    <w:rsid w:val="00695B9C"/>
    <w:rsid w:val="00697727"/>
    <w:rsid w:val="00697A83"/>
    <w:rsid w:val="00697F4E"/>
    <w:rsid w:val="006A00AA"/>
    <w:rsid w:val="006A0590"/>
    <w:rsid w:val="006A17F8"/>
    <w:rsid w:val="006A23F9"/>
    <w:rsid w:val="006A247B"/>
    <w:rsid w:val="006A2DC4"/>
    <w:rsid w:val="006A2FF5"/>
    <w:rsid w:val="006A35EC"/>
    <w:rsid w:val="006A3878"/>
    <w:rsid w:val="006A3B24"/>
    <w:rsid w:val="006A3D05"/>
    <w:rsid w:val="006A4E19"/>
    <w:rsid w:val="006A4E92"/>
    <w:rsid w:val="006A5361"/>
    <w:rsid w:val="006A563F"/>
    <w:rsid w:val="006A5946"/>
    <w:rsid w:val="006A5C6A"/>
    <w:rsid w:val="006A6417"/>
    <w:rsid w:val="006A6856"/>
    <w:rsid w:val="006A733D"/>
    <w:rsid w:val="006A7CF8"/>
    <w:rsid w:val="006B04FA"/>
    <w:rsid w:val="006B0A28"/>
    <w:rsid w:val="006B0D59"/>
    <w:rsid w:val="006B0DBC"/>
    <w:rsid w:val="006B0DCF"/>
    <w:rsid w:val="006B10DD"/>
    <w:rsid w:val="006B1102"/>
    <w:rsid w:val="006B1401"/>
    <w:rsid w:val="006B1E68"/>
    <w:rsid w:val="006B26A4"/>
    <w:rsid w:val="006B2ECD"/>
    <w:rsid w:val="006B32D4"/>
    <w:rsid w:val="006B32FF"/>
    <w:rsid w:val="006B3344"/>
    <w:rsid w:val="006B375C"/>
    <w:rsid w:val="006B3BB5"/>
    <w:rsid w:val="006B4132"/>
    <w:rsid w:val="006B4297"/>
    <w:rsid w:val="006B4718"/>
    <w:rsid w:val="006B4A1C"/>
    <w:rsid w:val="006B4B63"/>
    <w:rsid w:val="006B4C0F"/>
    <w:rsid w:val="006B4D0D"/>
    <w:rsid w:val="006B5246"/>
    <w:rsid w:val="006B52B8"/>
    <w:rsid w:val="006B550C"/>
    <w:rsid w:val="006B5907"/>
    <w:rsid w:val="006B5A2D"/>
    <w:rsid w:val="006B5AED"/>
    <w:rsid w:val="006B5E09"/>
    <w:rsid w:val="006B664A"/>
    <w:rsid w:val="006C09A4"/>
    <w:rsid w:val="006C0FC5"/>
    <w:rsid w:val="006C19BA"/>
    <w:rsid w:val="006C1B9D"/>
    <w:rsid w:val="006C1EA7"/>
    <w:rsid w:val="006C27B1"/>
    <w:rsid w:val="006C282C"/>
    <w:rsid w:val="006C2C36"/>
    <w:rsid w:val="006C34C6"/>
    <w:rsid w:val="006C3AB5"/>
    <w:rsid w:val="006C3DE1"/>
    <w:rsid w:val="006C42CF"/>
    <w:rsid w:val="006C4E7D"/>
    <w:rsid w:val="006C58E0"/>
    <w:rsid w:val="006C612F"/>
    <w:rsid w:val="006C642C"/>
    <w:rsid w:val="006C6935"/>
    <w:rsid w:val="006C6A0D"/>
    <w:rsid w:val="006C6BA6"/>
    <w:rsid w:val="006C6E29"/>
    <w:rsid w:val="006C6F74"/>
    <w:rsid w:val="006C71E2"/>
    <w:rsid w:val="006C721A"/>
    <w:rsid w:val="006C7568"/>
    <w:rsid w:val="006C7868"/>
    <w:rsid w:val="006D082A"/>
    <w:rsid w:val="006D0A9D"/>
    <w:rsid w:val="006D117A"/>
    <w:rsid w:val="006D150B"/>
    <w:rsid w:val="006D257B"/>
    <w:rsid w:val="006D25D5"/>
    <w:rsid w:val="006D26D0"/>
    <w:rsid w:val="006D29FE"/>
    <w:rsid w:val="006D2AF4"/>
    <w:rsid w:val="006D3691"/>
    <w:rsid w:val="006D40A1"/>
    <w:rsid w:val="006D420D"/>
    <w:rsid w:val="006D43B9"/>
    <w:rsid w:val="006D4A49"/>
    <w:rsid w:val="006D4C8C"/>
    <w:rsid w:val="006D4DE6"/>
    <w:rsid w:val="006D4DF2"/>
    <w:rsid w:val="006D4F8E"/>
    <w:rsid w:val="006D51BA"/>
    <w:rsid w:val="006D5A41"/>
    <w:rsid w:val="006D69AE"/>
    <w:rsid w:val="006D7405"/>
    <w:rsid w:val="006D7636"/>
    <w:rsid w:val="006D772F"/>
    <w:rsid w:val="006D7D08"/>
    <w:rsid w:val="006E0B7A"/>
    <w:rsid w:val="006E12F0"/>
    <w:rsid w:val="006E1D33"/>
    <w:rsid w:val="006E2570"/>
    <w:rsid w:val="006E3432"/>
    <w:rsid w:val="006E42C2"/>
    <w:rsid w:val="006E460D"/>
    <w:rsid w:val="006E4A93"/>
    <w:rsid w:val="006E5129"/>
    <w:rsid w:val="006E568F"/>
    <w:rsid w:val="006E5DEA"/>
    <w:rsid w:val="006E62A1"/>
    <w:rsid w:val="006E6C18"/>
    <w:rsid w:val="006E6E16"/>
    <w:rsid w:val="006E6F88"/>
    <w:rsid w:val="006E70FB"/>
    <w:rsid w:val="006E7184"/>
    <w:rsid w:val="006E7191"/>
    <w:rsid w:val="006E770F"/>
    <w:rsid w:val="006E7799"/>
    <w:rsid w:val="006F0025"/>
    <w:rsid w:val="006F0339"/>
    <w:rsid w:val="006F073A"/>
    <w:rsid w:val="006F1190"/>
    <w:rsid w:val="006F15C8"/>
    <w:rsid w:val="006F1612"/>
    <w:rsid w:val="006F1A7C"/>
    <w:rsid w:val="006F1D89"/>
    <w:rsid w:val="006F26F6"/>
    <w:rsid w:val="006F31D5"/>
    <w:rsid w:val="006F365E"/>
    <w:rsid w:val="006F38F7"/>
    <w:rsid w:val="006F3C4E"/>
    <w:rsid w:val="006F3E39"/>
    <w:rsid w:val="006F4525"/>
    <w:rsid w:val="006F47B2"/>
    <w:rsid w:val="006F5056"/>
    <w:rsid w:val="006F5533"/>
    <w:rsid w:val="006F5D24"/>
    <w:rsid w:val="006F658C"/>
    <w:rsid w:val="006F682B"/>
    <w:rsid w:val="006F68B7"/>
    <w:rsid w:val="006F6C82"/>
    <w:rsid w:val="006F6DB1"/>
    <w:rsid w:val="006F742A"/>
    <w:rsid w:val="0070071B"/>
    <w:rsid w:val="00700AA1"/>
    <w:rsid w:val="00700D56"/>
    <w:rsid w:val="00700D89"/>
    <w:rsid w:val="0070113B"/>
    <w:rsid w:val="00702E85"/>
    <w:rsid w:val="007036D2"/>
    <w:rsid w:val="0070379B"/>
    <w:rsid w:val="007037CC"/>
    <w:rsid w:val="007038F1"/>
    <w:rsid w:val="00703A9B"/>
    <w:rsid w:val="00703BBD"/>
    <w:rsid w:val="00703EBE"/>
    <w:rsid w:val="0070463B"/>
    <w:rsid w:val="0070500C"/>
    <w:rsid w:val="00705590"/>
    <w:rsid w:val="007055C4"/>
    <w:rsid w:val="0070680A"/>
    <w:rsid w:val="007069AB"/>
    <w:rsid w:val="00706C10"/>
    <w:rsid w:val="00706E61"/>
    <w:rsid w:val="00707422"/>
    <w:rsid w:val="007079F1"/>
    <w:rsid w:val="00707A4F"/>
    <w:rsid w:val="00707C9D"/>
    <w:rsid w:val="00707FA5"/>
    <w:rsid w:val="007101D6"/>
    <w:rsid w:val="0071156B"/>
    <w:rsid w:val="007117DA"/>
    <w:rsid w:val="007118F8"/>
    <w:rsid w:val="00711F00"/>
    <w:rsid w:val="0071385C"/>
    <w:rsid w:val="00713981"/>
    <w:rsid w:val="007143CF"/>
    <w:rsid w:val="007147EE"/>
    <w:rsid w:val="0071490A"/>
    <w:rsid w:val="0071508C"/>
    <w:rsid w:val="00715678"/>
    <w:rsid w:val="0071569C"/>
    <w:rsid w:val="00715CF2"/>
    <w:rsid w:val="00716167"/>
    <w:rsid w:val="007172E1"/>
    <w:rsid w:val="007175A9"/>
    <w:rsid w:val="0072059B"/>
    <w:rsid w:val="00720638"/>
    <w:rsid w:val="00720A68"/>
    <w:rsid w:val="00720FE1"/>
    <w:rsid w:val="00721215"/>
    <w:rsid w:val="00721518"/>
    <w:rsid w:val="00721835"/>
    <w:rsid w:val="007218AC"/>
    <w:rsid w:val="00721B74"/>
    <w:rsid w:val="00722122"/>
    <w:rsid w:val="00722311"/>
    <w:rsid w:val="0072290A"/>
    <w:rsid w:val="007237BE"/>
    <w:rsid w:val="00724270"/>
    <w:rsid w:val="00724B95"/>
    <w:rsid w:val="007252D9"/>
    <w:rsid w:val="00725BE1"/>
    <w:rsid w:val="0072624D"/>
    <w:rsid w:val="00726420"/>
    <w:rsid w:val="00726E08"/>
    <w:rsid w:val="00727541"/>
    <w:rsid w:val="00727A84"/>
    <w:rsid w:val="007309AA"/>
    <w:rsid w:val="00730FEB"/>
    <w:rsid w:val="0073148F"/>
    <w:rsid w:val="007319A1"/>
    <w:rsid w:val="00731A81"/>
    <w:rsid w:val="00731D0A"/>
    <w:rsid w:val="0073261B"/>
    <w:rsid w:val="00732625"/>
    <w:rsid w:val="00732891"/>
    <w:rsid w:val="007337B1"/>
    <w:rsid w:val="00735214"/>
    <w:rsid w:val="00735ECE"/>
    <w:rsid w:val="0073617B"/>
    <w:rsid w:val="007363DC"/>
    <w:rsid w:val="00736450"/>
    <w:rsid w:val="0073676C"/>
    <w:rsid w:val="00736E18"/>
    <w:rsid w:val="007371C4"/>
    <w:rsid w:val="007376E2"/>
    <w:rsid w:val="007378D9"/>
    <w:rsid w:val="00737BFD"/>
    <w:rsid w:val="00737CE4"/>
    <w:rsid w:val="00737E07"/>
    <w:rsid w:val="00740618"/>
    <w:rsid w:val="00740CB1"/>
    <w:rsid w:val="00740FD9"/>
    <w:rsid w:val="00741669"/>
    <w:rsid w:val="00741BFD"/>
    <w:rsid w:val="00741F37"/>
    <w:rsid w:val="0074216E"/>
    <w:rsid w:val="007426C3"/>
    <w:rsid w:val="007427CE"/>
    <w:rsid w:val="00742A5D"/>
    <w:rsid w:val="007436D2"/>
    <w:rsid w:val="00743D78"/>
    <w:rsid w:val="0074440E"/>
    <w:rsid w:val="007444CE"/>
    <w:rsid w:val="0074459B"/>
    <w:rsid w:val="00744B37"/>
    <w:rsid w:val="00744CCB"/>
    <w:rsid w:val="007457DD"/>
    <w:rsid w:val="00746300"/>
    <w:rsid w:val="00746BE8"/>
    <w:rsid w:val="007473CE"/>
    <w:rsid w:val="0074756E"/>
    <w:rsid w:val="007476CB"/>
    <w:rsid w:val="0074775A"/>
    <w:rsid w:val="00747D6C"/>
    <w:rsid w:val="00747F4F"/>
    <w:rsid w:val="007501BB"/>
    <w:rsid w:val="00750292"/>
    <w:rsid w:val="00750474"/>
    <w:rsid w:val="00750F9F"/>
    <w:rsid w:val="00751321"/>
    <w:rsid w:val="007518CA"/>
    <w:rsid w:val="00751CF2"/>
    <w:rsid w:val="00751CF5"/>
    <w:rsid w:val="007520AD"/>
    <w:rsid w:val="0075219B"/>
    <w:rsid w:val="00752940"/>
    <w:rsid w:val="007535A2"/>
    <w:rsid w:val="00754715"/>
    <w:rsid w:val="00754761"/>
    <w:rsid w:val="007552EF"/>
    <w:rsid w:val="00755BBC"/>
    <w:rsid w:val="007561A5"/>
    <w:rsid w:val="0075658C"/>
    <w:rsid w:val="00756E9E"/>
    <w:rsid w:val="00756FC4"/>
    <w:rsid w:val="007575A4"/>
    <w:rsid w:val="00757A93"/>
    <w:rsid w:val="00757B42"/>
    <w:rsid w:val="00757D65"/>
    <w:rsid w:val="00757EC3"/>
    <w:rsid w:val="007604CF"/>
    <w:rsid w:val="00760D0A"/>
    <w:rsid w:val="00760D6C"/>
    <w:rsid w:val="00760E6A"/>
    <w:rsid w:val="00760EE4"/>
    <w:rsid w:val="007619FC"/>
    <w:rsid w:val="00762384"/>
    <w:rsid w:val="00762590"/>
    <w:rsid w:val="00762CC3"/>
    <w:rsid w:val="00762ED8"/>
    <w:rsid w:val="007631D9"/>
    <w:rsid w:val="007635B7"/>
    <w:rsid w:val="0076387E"/>
    <w:rsid w:val="00763C2E"/>
    <w:rsid w:val="0076417D"/>
    <w:rsid w:val="007649CB"/>
    <w:rsid w:val="007650BA"/>
    <w:rsid w:val="00765E65"/>
    <w:rsid w:val="00766799"/>
    <w:rsid w:val="00766D77"/>
    <w:rsid w:val="007671FF"/>
    <w:rsid w:val="00767276"/>
    <w:rsid w:val="00767427"/>
    <w:rsid w:val="00767BF7"/>
    <w:rsid w:val="00767F46"/>
    <w:rsid w:val="0077036F"/>
    <w:rsid w:val="00770378"/>
    <w:rsid w:val="007703FB"/>
    <w:rsid w:val="00770999"/>
    <w:rsid w:val="00770E07"/>
    <w:rsid w:val="00771050"/>
    <w:rsid w:val="0077156B"/>
    <w:rsid w:val="007718F4"/>
    <w:rsid w:val="00771FFB"/>
    <w:rsid w:val="0077298C"/>
    <w:rsid w:val="00772AD0"/>
    <w:rsid w:val="00772B27"/>
    <w:rsid w:val="00772FA9"/>
    <w:rsid w:val="0077327F"/>
    <w:rsid w:val="00773C0F"/>
    <w:rsid w:val="00773C4C"/>
    <w:rsid w:val="007740BF"/>
    <w:rsid w:val="00774F0C"/>
    <w:rsid w:val="0077594C"/>
    <w:rsid w:val="00775DAE"/>
    <w:rsid w:val="00775F5D"/>
    <w:rsid w:val="00776142"/>
    <w:rsid w:val="00776569"/>
    <w:rsid w:val="007766EF"/>
    <w:rsid w:val="00776B76"/>
    <w:rsid w:val="00776B83"/>
    <w:rsid w:val="00776D72"/>
    <w:rsid w:val="00777037"/>
    <w:rsid w:val="007770BB"/>
    <w:rsid w:val="00777AF6"/>
    <w:rsid w:val="0078060E"/>
    <w:rsid w:val="00780E4C"/>
    <w:rsid w:val="00781501"/>
    <w:rsid w:val="00781C3B"/>
    <w:rsid w:val="00781F15"/>
    <w:rsid w:val="00782239"/>
    <w:rsid w:val="00782DE1"/>
    <w:rsid w:val="00783571"/>
    <w:rsid w:val="00783690"/>
    <w:rsid w:val="0078450E"/>
    <w:rsid w:val="007854AC"/>
    <w:rsid w:val="007854DC"/>
    <w:rsid w:val="00785526"/>
    <w:rsid w:val="007855D4"/>
    <w:rsid w:val="007867D5"/>
    <w:rsid w:val="0078686B"/>
    <w:rsid w:val="007868C5"/>
    <w:rsid w:val="00786DFE"/>
    <w:rsid w:val="00787519"/>
    <w:rsid w:val="00787DA1"/>
    <w:rsid w:val="00787E5A"/>
    <w:rsid w:val="00791084"/>
    <w:rsid w:val="007915CE"/>
    <w:rsid w:val="00791B95"/>
    <w:rsid w:val="00791BA7"/>
    <w:rsid w:val="007920A1"/>
    <w:rsid w:val="00793BE8"/>
    <w:rsid w:val="007943C2"/>
    <w:rsid w:val="00794A20"/>
    <w:rsid w:val="007969F8"/>
    <w:rsid w:val="007972F4"/>
    <w:rsid w:val="007974B6"/>
    <w:rsid w:val="00797825"/>
    <w:rsid w:val="007A092B"/>
    <w:rsid w:val="007A0B9E"/>
    <w:rsid w:val="007A0BF2"/>
    <w:rsid w:val="007A1760"/>
    <w:rsid w:val="007A183C"/>
    <w:rsid w:val="007A196D"/>
    <w:rsid w:val="007A1F57"/>
    <w:rsid w:val="007A2CE3"/>
    <w:rsid w:val="007A2E4C"/>
    <w:rsid w:val="007A3590"/>
    <w:rsid w:val="007A36E0"/>
    <w:rsid w:val="007A3A9C"/>
    <w:rsid w:val="007A3AE4"/>
    <w:rsid w:val="007A43DC"/>
    <w:rsid w:val="007A4951"/>
    <w:rsid w:val="007A4A4F"/>
    <w:rsid w:val="007A5084"/>
    <w:rsid w:val="007A54A3"/>
    <w:rsid w:val="007A596F"/>
    <w:rsid w:val="007A5A2C"/>
    <w:rsid w:val="007A5CC4"/>
    <w:rsid w:val="007A5D17"/>
    <w:rsid w:val="007A5E3A"/>
    <w:rsid w:val="007A7440"/>
    <w:rsid w:val="007A7588"/>
    <w:rsid w:val="007A7858"/>
    <w:rsid w:val="007A7C66"/>
    <w:rsid w:val="007A7D9F"/>
    <w:rsid w:val="007B05CA"/>
    <w:rsid w:val="007B0685"/>
    <w:rsid w:val="007B098B"/>
    <w:rsid w:val="007B1032"/>
    <w:rsid w:val="007B1223"/>
    <w:rsid w:val="007B13C4"/>
    <w:rsid w:val="007B15A8"/>
    <w:rsid w:val="007B226C"/>
    <w:rsid w:val="007B260E"/>
    <w:rsid w:val="007B3BA8"/>
    <w:rsid w:val="007B3D27"/>
    <w:rsid w:val="007B4034"/>
    <w:rsid w:val="007B56CE"/>
    <w:rsid w:val="007B5CF9"/>
    <w:rsid w:val="007B6A2F"/>
    <w:rsid w:val="007B6C45"/>
    <w:rsid w:val="007B70B1"/>
    <w:rsid w:val="007B761E"/>
    <w:rsid w:val="007B79CC"/>
    <w:rsid w:val="007B7B06"/>
    <w:rsid w:val="007C04A0"/>
    <w:rsid w:val="007C08C4"/>
    <w:rsid w:val="007C0B15"/>
    <w:rsid w:val="007C0C6A"/>
    <w:rsid w:val="007C0DD2"/>
    <w:rsid w:val="007C1AEC"/>
    <w:rsid w:val="007C22CB"/>
    <w:rsid w:val="007C241E"/>
    <w:rsid w:val="007C2526"/>
    <w:rsid w:val="007C258D"/>
    <w:rsid w:val="007C2732"/>
    <w:rsid w:val="007C2D10"/>
    <w:rsid w:val="007C377D"/>
    <w:rsid w:val="007C39C0"/>
    <w:rsid w:val="007C435D"/>
    <w:rsid w:val="007C451A"/>
    <w:rsid w:val="007C4904"/>
    <w:rsid w:val="007C499C"/>
    <w:rsid w:val="007C4C20"/>
    <w:rsid w:val="007C4E4A"/>
    <w:rsid w:val="007C505A"/>
    <w:rsid w:val="007C56BB"/>
    <w:rsid w:val="007C5D3C"/>
    <w:rsid w:val="007C71FB"/>
    <w:rsid w:val="007C747D"/>
    <w:rsid w:val="007C7918"/>
    <w:rsid w:val="007C7B1E"/>
    <w:rsid w:val="007D0501"/>
    <w:rsid w:val="007D2448"/>
    <w:rsid w:val="007D287C"/>
    <w:rsid w:val="007D3033"/>
    <w:rsid w:val="007D3284"/>
    <w:rsid w:val="007D350E"/>
    <w:rsid w:val="007D36F4"/>
    <w:rsid w:val="007D37A6"/>
    <w:rsid w:val="007D39C5"/>
    <w:rsid w:val="007D3C29"/>
    <w:rsid w:val="007D4585"/>
    <w:rsid w:val="007D4C71"/>
    <w:rsid w:val="007D4CD0"/>
    <w:rsid w:val="007D4DA1"/>
    <w:rsid w:val="007D4E6F"/>
    <w:rsid w:val="007D5793"/>
    <w:rsid w:val="007D5ED0"/>
    <w:rsid w:val="007D6609"/>
    <w:rsid w:val="007D69E1"/>
    <w:rsid w:val="007D6CE3"/>
    <w:rsid w:val="007D7483"/>
    <w:rsid w:val="007D756A"/>
    <w:rsid w:val="007D75A8"/>
    <w:rsid w:val="007D78DD"/>
    <w:rsid w:val="007D7C04"/>
    <w:rsid w:val="007D7EF2"/>
    <w:rsid w:val="007E24DC"/>
    <w:rsid w:val="007E28BD"/>
    <w:rsid w:val="007E2DE3"/>
    <w:rsid w:val="007E2EFD"/>
    <w:rsid w:val="007E3455"/>
    <w:rsid w:val="007E3A2C"/>
    <w:rsid w:val="007E3AE5"/>
    <w:rsid w:val="007E408D"/>
    <w:rsid w:val="007E483E"/>
    <w:rsid w:val="007E5129"/>
    <w:rsid w:val="007E55B2"/>
    <w:rsid w:val="007E575F"/>
    <w:rsid w:val="007E5779"/>
    <w:rsid w:val="007E59D8"/>
    <w:rsid w:val="007E5CCC"/>
    <w:rsid w:val="007E5E8A"/>
    <w:rsid w:val="007E678C"/>
    <w:rsid w:val="007E6A99"/>
    <w:rsid w:val="007E6D49"/>
    <w:rsid w:val="007E6E6A"/>
    <w:rsid w:val="007E71EC"/>
    <w:rsid w:val="007E7388"/>
    <w:rsid w:val="007E745F"/>
    <w:rsid w:val="007E7599"/>
    <w:rsid w:val="007F0833"/>
    <w:rsid w:val="007F1147"/>
    <w:rsid w:val="007F119D"/>
    <w:rsid w:val="007F18D0"/>
    <w:rsid w:val="007F1A7B"/>
    <w:rsid w:val="007F224E"/>
    <w:rsid w:val="007F2353"/>
    <w:rsid w:val="007F24A8"/>
    <w:rsid w:val="007F333A"/>
    <w:rsid w:val="007F34AB"/>
    <w:rsid w:val="007F3F8D"/>
    <w:rsid w:val="007F4494"/>
    <w:rsid w:val="007F46B9"/>
    <w:rsid w:val="007F4C07"/>
    <w:rsid w:val="007F51DF"/>
    <w:rsid w:val="007F5827"/>
    <w:rsid w:val="007F688C"/>
    <w:rsid w:val="007F69C2"/>
    <w:rsid w:val="007F736E"/>
    <w:rsid w:val="007F7577"/>
    <w:rsid w:val="007F78D2"/>
    <w:rsid w:val="0080046C"/>
    <w:rsid w:val="00800653"/>
    <w:rsid w:val="00800923"/>
    <w:rsid w:val="00800A52"/>
    <w:rsid w:val="00800CA3"/>
    <w:rsid w:val="008012E8"/>
    <w:rsid w:val="008017F3"/>
    <w:rsid w:val="0080181D"/>
    <w:rsid w:val="008018AF"/>
    <w:rsid w:val="008019EE"/>
    <w:rsid w:val="00801B5B"/>
    <w:rsid w:val="00801B9F"/>
    <w:rsid w:val="008026DF"/>
    <w:rsid w:val="0080280F"/>
    <w:rsid w:val="00803558"/>
    <w:rsid w:val="00803755"/>
    <w:rsid w:val="00803972"/>
    <w:rsid w:val="00803F7A"/>
    <w:rsid w:val="0080419E"/>
    <w:rsid w:val="008042C6"/>
    <w:rsid w:val="008046A9"/>
    <w:rsid w:val="00804934"/>
    <w:rsid w:val="0080561C"/>
    <w:rsid w:val="008064BC"/>
    <w:rsid w:val="00806A1E"/>
    <w:rsid w:val="00806BCB"/>
    <w:rsid w:val="00807062"/>
    <w:rsid w:val="00807492"/>
    <w:rsid w:val="00807502"/>
    <w:rsid w:val="00807651"/>
    <w:rsid w:val="00807F14"/>
    <w:rsid w:val="00810140"/>
    <w:rsid w:val="00810861"/>
    <w:rsid w:val="00810894"/>
    <w:rsid w:val="00810A3E"/>
    <w:rsid w:val="00810F17"/>
    <w:rsid w:val="008110C8"/>
    <w:rsid w:val="00811334"/>
    <w:rsid w:val="00812040"/>
    <w:rsid w:val="00812558"/>
    <w:rsid w:val="008125D8"/>
    <w:rsid w:val="008125E9"/>
    <w:rsid w:val="008126EF"/>
    <w:rsid w:val="00812F2F"/>
    <w:rsid w:val="008133DC"/>
    <w:rsid w:val="00813BDC"/>
    <w:rsid w:val="00814731"/>
    <w:rsid w:val="00814A9D"/>
    <w:rsid w:val="008151BA"/>
    <w:rsid w:val="0081529D"/>
    <w:rsid w:val="008154B8"/>
    <w:rsid w:val="008155A9"/>
    <w:rsid w:val="00815704"/>
    <w:rsid w:val="00816958"/>
    <w:rsid w:val="00816BC7"/>
    <w:rsid w:val="00816E10"/>
    <w:rsid w:val="00817AE3"/>
    <w:rsid w:val="00817FD4"/>
    <w:rsid w:val="00820909"/>
    <w:rsid w:val="00820C0E"/>
    <w:rsid w:val="00821700"/>
    <w:rsid w:val="008217DA"/>
    <w:rsid w:val="00821C2F"/>
    <w:rsid w:val="00821C5A"/>
    <w:rsid w:val="00821E51"/>
    <w:rsid w:val="00821F6B"/>
    <w:rsid w:val="00821FAF"/>
    <w:rsid w:val="00821FDD"/>
    <w:rsid w:val="008221AF"/>
    <w:rsid w:val="00822A0C"/>
    <w:rsid w:val="00823275"/>
    <w:rsid w:val="00823953"/>
    <w:rsid w:val="00823981"/>
    <w:rsid w:val="00823D6B"/>
    <w:rsid w:val="008244A8"/>
    <w:rsid w:val="0082495F"/>
    <w:rsid w:val="00824C33"/>
    <w:rsid w:val="0082529E"/>
    <w:rsid w:val="00825367"/>
    <w:rsid w:val="00825900"/>
    <w:rsid w:val="00825C93"/>
    <w:rsid w:val="00825DA1"/>
    <w:rsid w:val="00826117"/>
    <w:rsid w:val="00826146"/>
    <w:rsid w:val="00826934"/>
    <w:rsid w:val="008271EF"/>
    <w:rsid w:val="0082758D"/>
    <w:rsid w:val="008275A8"/>
    <w:rsid w:val="00830200"/>
    <w:rsid w:val="008308F8"/>
    <w:rsid w:val="008314F6"/>
    <w:rsid w:val="00831559"/>
    <w:rsid w:val="00831C60"/>
    <w:rsid w:val="00831D7A"/>
    <w:rsid w:val="00833257"/>
    <w:rsid w:val="0083373F"/>
    <w:rsid w:val="00833A5D"/>
    <w:rsid w:val="00833E12"/>
    <w:rsid w:val="0083426E"/>
    <w:rsid w:val="00834526"/>
    <w:rsid w:val="0083497B"/>
    <w:rsid w:val="008351C5"/>
    <w:rsid w:val="008366C9"/>
    <w:rsid w:val="00836B88"/>
    <w:rsid w:val="008377A2"/>
    <w:rsid w:val="0083789F"/>
    <w:rsid w:val="00837A6B"/>
    <w:rsid w:val="00837D2C"/>
    <w:rsid w:val="0084014F"/>
    <w:rsid w:val="008405D3"/>
    <w:rsid w:val="008413B4"/>
    <w:rsid w:val="00841467"/>
    <w:rsid w:val="00841A1A"/>
    <w:rsid w:val="008424BA"/>
    <w:rsid w:val="008424FF"/>
    <w:rsid w:val="008428A0"/>
    <w:rsid w:val="00842A8A"/>
    <w:rsid w:val="00843173"/>
    <w:rsid w:val="008431BC"/>
    <w:rsid w:val="00843625"/>
    <w:rsid w:val="00843858"/>
    <w:rsid w:val="00843A5F"/>
    <w:rsid w:val="0084457E"/>
    <w:rsid w:val="00844639"/>
    <w:rsid w:val="00844BB9"/>
    <w:rsid w:val="00844D1C"/>
    <w:rsid w:val="008455CD"/>
    <w:rsid w:val="0084692A"/>
    <w:rsid w:val="00846A6A"/>
    <w:rsid w:val="00846CBB"/>
    <w:rsid w:val="00847189"/>
    <w:rsid w:val="00847B1A"/>
    <w:rsid w:val="00850240"/>
    <w:rsid w:val="008508A2"/>
    <w:rsid w:val="00850DBC"/>
    <w:rsid w:val="00850F9D"/>
    <w:rsid w:val="008519ED"/>
    <w:rsid w:val="00851CDE"/>
    <w:rsid w:val="00851D0A"/>
    <w:rsid w:val="00852970"/>
    <w:rsid w:val="00852BAB"/>
    <w:rsid w:val="00852DB1"/>
    <w:rsid w:val="008531C1"/>
    <w:rsid w:val="008537B7"/>
    <w:rsid w:val="00853A78"/>
    <w:rsid w:val="0085466B"/>
    <w:rsid w:val="00854814"/>
    <w:rsid w:val="008548C7"/>
    <w:rsid w:val="00854BCC"/>
    <w:rsid w:val="00855450"/>
    <w:rsid w:val="00855503"/>
    <w:rsid w:val="00855A01"/>
    <w:rsid w:val="00855E31"/>
    <w:rsid w:val="00856103"/>
    <w:rsid w:val="0085624C"/>
    <w:rsid w:val="0085680D"/>
    <w:rsid w:val="00857106"/>
    <w:rsid w:val="008576C7"/>
    <w:rsid w:val="00857A02"/>
    <w:rsid w:val="00860336"/>
    <w:rsid w:val="00860805"/>
    <w:rsid w:val="00861D06"/>
    <w:rsid w:val="00861E6B"/>
    <w:rsid w:val="00862150"/>
    <w:rsid w:val="00862675"/>
    <w:rsid w:val="00862F55"/>
    <w:rsid w:val="008633B6"/>
    <w:rsid w:val="00863FA8"/>
    <w:rsid w:val="00864100"/>
    <w:rsid w:val="0086412D"/>
    <w:rsid w:val="008641FC"/>
    <w:rsid w:val="00864240"/>
    <w:rsid w:val="0086439C"/>
    <w:rsid w:val="0086498E"/>
    <w:rsid w:val="008649B5"/>
    <w:rsid w:val="00864A23"/>
    <w:rsid w:val="00864BD3"/>
    <w:rsid w:val="00865368"/>
    <w:rsid w:val="008660CC"/>
    <w:rsid w:val="0086645D"/>
    <w:rsid w:val="00866555"/>
    <w:rsid w:val="00866B07"/>
    <w:rsid w:val="00866D36"/>
    <w:rsid w:val="00867095"/>
    <w:rsid w:val="008672F3"/>
    <w:rsid w:val="00867D02"/>
    <w:rsid w:val="008701AA"/>
    <w:rsid w:val="00870C60"/>
    <w:rsid w:val="00870D3D"/>
    <w:rsid w:val="00870F13"/>
    <w:rsid w:val="00871129"/>
    <w:rsid w:val="00871185"/>
    <w:rsid w:val="00871606"/>
    <w:rsid w:val="0087168A"/>
    <w:rsid w:val="00871792"/>
    <w:rsid w:val="008723B0"/>
    <w:rsid w:val="008729C7"/>
    <w:rsid w:val="00872C33"/>
    <w:rsid w:val="00873175"/>
    <w:rsid w:val="00873785"/>
    <w:rsid w:val="00873999"/>
    <w:rsid w:val="00873C8F"/>
    <w:rsid w:val="00874096"/>
    <w:rsid w:val="008746F2"/>
    <w:rsid w:val="008749FD"/>
    <w:rsid w:val="00874AB1"/>
    <w:rsid w:val="0087523E"/>
    <w:rsid w:val="008756F6"/>
    <w:rsid w:val="00876148"/>
    <w:rsid w:val="00876D62"/>
    <w:rsid w:val="00877002"/>
    <w:rsid w:val="0087720F"/>
    <w:rsid w:val="008772EB"/>
    <w:rsid w:val="0087749F"/>
    <w:rsid w:val="00877561"/>
    <w:rsid w:val="00877EBF"/>
    <w:rsid w:val="00880A57"/>
    <w:rsid w:val="00880F12"/>
    <w:rsid w:val="00882035"/>
    <w:rsid w:val="00882460"/>
    <w:rsid w:val="00882599"/>
    <w:rsid w:val="008825B6"/>
    <w:rsid w:val="00882AA7"/>
    <w:rsid w:val="00882AF5"/>
    <w:rsid w:val="00882E3A"/>
    <w:rsid w:val="008830FF"/>
    <w:rsid w:val="00883177"/>
    <w:rsid w:val="0088325F"/>
    <w:rsid w:val="00883359"/>
    <w:rsid w:val="00883C44"/>
    <w:rsid w:val="00883E8D"/>
    <w:rsid w:val="00883EAD"/>
    <w:rsid w:val="00883F1D"/>
    <w:rsid w:val="008849C5"/>
    <w:rsid w:val="008851E1"/>
    <w:rsid w:val="0088551C"/>
    <w:rsid w:val="008857D7"/>
    <w:rsid w:val="00885A36"/>
    <w:rsid w:val="00885C44"/>
    <w:rsid w:val="00886137"/>
    <w:rsid w:val="00886886"/>
    <w:rsid w:val="00886A74"/>
    <w:rsid w:val="00886DD7"/>
    <w:rsid w:val="00887173"/>
    <w:rsid w:val="008871FE"/>
    <w:rsid w:val="008875CA"/>
    <w:rsid w:val="00887DE0"/>
    <w:rsid w:val="00887F11"/>
    <w:rsid w:val="008900A1"/>
    <w:rsid w:val="00890477"/>
    <w:rsid w:val="008911B2"/>
    <w:rsid w:val="0089184F"/>
    <w:rsid w:val="008927D5"/>
    <w:rsid w:val="00892918"/>
    <w:rsid w:val="00892AAB"/>
    <w:rsid w:val="0089313E"/>
    <w:rsid w:val="008935B4"/>
    <w:rsid w:val="0089385E"/>
    <w:rsid w:val="00893992"/>
    <w:rsid w:val="0089410C"/>
    <w:rsid w:val="008941DD"/>
    <w:rsid w:val="00895437"/>
    <w:rsid w:val="00895486"/>
    <w:rsid w:val="00895DBF"/>
    <w:rsid w:val="00895E4D"/>
    <w:rsid w:val="0089667B"/>
    <w:rsid w:val="008969D0"/>
    <w:rsid w:val="00897673"/>
    <w:rsid w:val="00897AA0"/>
    <w:rsid w:val="00897F3F"/>
    <w:rsid w:val="008A03A0"/>
    <w:rsid w:val="008A03A8"/>
    <w:rsid w:val="008A065A"/>
    <w:rsid w:val="008A0FEF"/>
    <w:rsid w:val="008A159E"/>
    <w:rsid w:val="008A1D23"/>
    <w:rsid w:val="008A1E91"/>
    <w:rsid w:val="008A23A6"/>
    <w:rsid w:val="008A2533"/>
    <w:rsid w:val="008A26D2"/>
    <w:rsid w:val="008A333B"/>
    <w:rsid w:val="008A3585"/>
    <w:rsid w:val="008A3EC9"/>
    <w:rsid w:val="008A3FB9"/>
    <w:rsid w:val="008A4754"/>
    <w:rsid w:val="008A4C80"/>
    <w:rsid w:val="008A5204"/>
    <w:rsid w:val="008A5338"/>
    <w:rsid w:val="008A53C0"/>
    <w:rsid w:val="008A54C5"/>
    <w:rsid w:val="008A56A4"/>
    <w:rsid w:val="008A57F6"/>
    <w:rsid w:val="008A5B20"/>
    <w:rsid w:val="008A5DFA"/>
    <w:rsid w:val="008A61EB"/>
    <w:rsid w:val="008A6337"/>
    <w:rsid w:val="008A633F"/>
    <w:rsid w:val="008A670A"/>
    <w:rsid w:val="008A6E05"/>
    <w:rsid w:val="008A70C9"/>
    <w:rsid w:val="008A74BE"/>
    <w:rsid w:val="008A7D19"/>
    <w:rsid w:val="008A7D4B"/>
    <w:rsid w:val="008B0925"/>
    <w:rsid w:val="008B11B7"/>
    <w:rsid w:val="008B1EA3"/>
    <w:rsid w:val="008B1F11"/>
    <w:rsid w:val="008B1FC8"/>
    <w:rsid w:val="008B22A2"/>
    <w:rsid w:val="008B2457"/>
    <w:rsid w:val="008B2466"/>
    <w:rsid w:val="008B2498"/>
    <w:rsid w:val="008B24F7"/>
    <w:rsid w:val="008B2A3F"/>
    <w:rsid w:val="008B2D8A"/>
    <w:rsid w:val="008B34FC"/>
    <w:rsid w:val="008B3872"/>
    <w:rsid w:val="008B4009"/>
    <w:rsid w:val="008B435D"/>
    <w:rsid w:val="008B4383"/>
    <w:rsid w:val="008B485D"/>
    <w:rsid w:val="008B54CA"/>
    <w:rsid w:val="008B5883"/>
    <w:rsid w:val="008B5A70"/>
    <w:rsid w:val="008B5AA7"/>
    <w:rsid w:val="008B5D45"/>
    <w:rsid w:val="008B5E4A"/>
    <w:rsid w:val="008B6086"/>
    <w:rsid w:val="008B626E"/>
    <w:rsid w:val="008B62EF"/>
    <w:rsid w:val="008B6329"/>
    <w:rsid w:val="008B6526"/>
    <w:rsid w:val="008B680A"/>
    <w:rsid w:val="008B6A0A"/>
    <w:rsid w:val="008B708D"/>
    <w:rsid w:val="008B7ED6"/>
    <w:rsid w:val="008C006D"/>
    <w:rsid w:val="008C08C9"/>
    <w:rsid w:val="008C0947"/>
    <w:rsid w:val="008C0EF3"/>
    <w:rsid w:val="008C0FDF"/>
    <w:rsid w:val="008C1399"/>
    <w:rsid w:val="008C14FF"/>
    <w:rsid w:val="008C15ED"/>
    <w:rsid w:val="008C1AD0"/>
    <w:rsid w:val="008C22A9"/>
    <w:rsid w:val="008C269D"/>
    <w:rsid w:val="008C279E"/>
    <w:rsid w:val="008C2914"/>
    <w:rsid w:val="008C313C"/>
    <w:rsid w:val="008C3847"/>
    <w:rsid w:val="008C3D25"/>
    <w:rsid w:val="008C4A7A"/>
    <w:rsid w:val="008C55F7"/>
    <w:rsid w:val="008C587E"/>
    <w:rsid w:val="008C5AED"/>
    <w:rsid w:val="008C5DD1"/>
    <w:rsid w:val="008C63E4"/>
    <w:rsid w:val="008C65D1"/>
    <w:rsid w:val="008C6AF0"/>
    <w:rsid w:val="008C71F8"/>
    <w:rsid w:val="008C7422"/>
    <w:rsid w:val="008D02BF"/>
    <w:rsid w:val="008D0359"/>
    <w:rsid w:val="008D0F34"/>
    <w:rsid w:val="008D1099"/>
    <w:rsid w:val="008D22DC"/>
    <w:rsid w:val="008D2F8A"/>
    <w:rsid w:val="008D31C0"/>
    <w:rsid w:val="008D4049"/>
    <w:rsid w:val="008D43BE"/>
    <w:rsid w:val="008D4597"/>
    <w:rsid w:val="008D4AB6"/>
    <w:rsid w:val="008D4F5B"/>
    <w:rsid w:val="008D59CD"/>
    <w:rsid w:val="008D5AEE"/>
    <w:rsid w:val="008D6081"/>
    <w:rsid w:val="008D6911"/>
    <w:rsid w:val="008D7494"/>
    <w:rsid w:val="008D770D"/>
    <w:rsid w:val="008D7F85"/>
    <w:rsid w:val="008E01E3"/>
    <w:rsid w:val="008E04AB"/>
    <w:rsid w:val="008E0940"/>
    <w:rsid w:val="008E0B53"/>
    <w:rsid w:val="008E0E65"/>
    <w:rsid w:val="008E0E76"/>
    <w:rsid w:val="008E1039"/>
    <w:rsid w:val="008E121C"/>
    <w:rsid w:val="008E2430"/>
    <w:rsid w:val="008E2441"/>
    <w:rsid w:val="008E28C3"/>
    <w:rsid w:val="008E2A12"/>
    <w:rsid w:val="008E2C88"/>
    <w:rsid w:val="008E2DA7"/>
    <w:rsid w:val="008E30B3"/>
    <w:rsid w:val="008E3355"/>
    <w:rsid w:val="008E3BAC"/>
    <w:rsid w:val="008E3C22"/>
    <w:rsid w:val="008E408D"/>
    <w:rsid w:val="008E464E"/>
    <w:rsid w:val="008E4DE4"/>
    <w:rsid w:val="008E5140"/>
    <w:rsid w:val="008E51E6"/>
    <w:rsid w:val="008E5635"/>
    <w:rsid w:val="008E609A"/>
    <w:rsid w:val="008E66D1"/>
    <w:rsid w:val="008E6982"/>
    <w:rsid w:val="008E7463"/>
    <w:rsid w:val="008E7606"/>
    <w:rsid w:val="008E786A"/>
    <w:rsid w:val="008E7FCD"/>
    <w:rsid w:val="008F0451"/>
    <w:rsid w:val="008F065D"/>
    <w:rsid w:val="008F099A"/>
    <w:rsid w:val="008F0CAF"/>
    <w:rsid w:val="008F0EDC"/>
    <w:rsid w:val="008F1133"/>
    <w:rsid w:val="008F16F6"/>
    <w:rsid w:val="008F1B1F"/>
    <w:rsid w:val="008F1D94"/>
    <w:rsid w:val="008F353D"/>
    <w:rsid w:val="008F38A9"/>
    <w:rsid w:val="008F47D0"/>
    <w:rsid w:val="008F59E4"/>
    <w:rsid w:val="008F662B"/>
    <w:rsid w:val="008F7150"/>
    <w:rsid w:val="008F73E4"/>
    <w:rsid w:val="008F75B2"/>
    <w:rsid w:val="008F7709"/>
    <w:rsid w:val="008F7AE3"/>
    <w:rsid w:val="008F7DA0"/>
    <w:rsid w:val="009006B9"/>
    <w:rsid w:val="009008C8"/>
    <w:rsid w:val="00900E54"/>
    <w:rsid w:val="009013B0"/>
    <w:rsid w:val="00901622"/>
    <w:rsid w:val="009019AE"/>
    <w:rsid w:val="009024EF"/>
    <w:rsid w:val="009037C5"/>
    <w:rsid w:val="00903EAF"/>
    <w:rsid w:val="00903EFC"/>
    <w:rsid w:val="00905014"/>
    <w:rsid w:val="00905880"/>
    <w:rsid w:val="00905B58"/>
    <w:rsid w:val="00905E24"/>
    <w:rsid w:val="00906354"/>
    <w:rsid w:val="009064F5"/>
    <w:rsid w:val="009066E7"/>
    <w:rsid w:val="00906875"/>
    <w:rsid w:val="00906BCD"/>
    <w:rsid w:val="00907426"/>
    <w:rsid w:val="00907981"/>
    <w:rsid w:val="00907FB5"/>
    <w:rsid w:val="009103B1"/>
    <w:rsid w:val="00910620"/>
    <w:rsid w:val="009108F6"/>
    <w:rsid w:val="0091099A"/>
    <w:rsid w:val="0091106C"/>
    <w:rsid w:val="00911137"/>
    <w:rsid w:val="009112DA"/>
    <w:rsid w:val="00911832"/>
    <w:rsid w:val="009123B6"/>
    <w:rsid w:val="009124AC"/>
    <w:rsid w:val="009126BE"/>
    <w:rsid w:val="00912F92"/>
    <w:rsid w:val="0091362A"/>
    <w:rsid w:val="009137C3"/>
    <w:rsid w:val="0091393E"/>
    <w:rsid w:val="00913A06"/>
    <w:rsid w:val="00914242"/>
    <w:rsid w:val="00914280"/>
    <w:rsid w:val="00914350"/>
    <w:rsid w:val="00914358"/>
    <w:rsid w:val="0091491B"/>
    <w:rsid w:val="00914F85"/>
    <w:rsid w:val="00915155"/>
    <w:rsid w:val="00915F53"/>
    <w:rsid w:val="00916182"/>
    <w:rsid w:val="0091650E"/>
    <w:rsid w:val="009166E2"/>
    <w:rsid w:val="009177DA"/>
    <w:rsid w:val="00917953"/>
    <w:rsid w:val="00917FF6"/>
    <w:rsid w:val="00920356"/>
    <w:rsid w:val="009206EC"/>
    <w:rsid w:val="009207E7"/>
    <w:rsid w:val="00920D99"/>
    <w:rsid w:val="00922C99"/>
    <w:rsid w:val="009234F6"/>
    <w:rsid w:val="0092363E"/>
    <w:rsid w:val="00923D93"/>
    <w:rsid w:val="0092405E"/>
    <w:rsid w:val="009240F8"/>
    <w:rsid w:val="009243CD"/>
    <w:rsid w:val="009246DD"/>
    <w:rsid w:val="00924AAE"/>
    <w:rsid w:val="00924C8D"/>
    <w:rsid w:val="00924F15"/>
    <w:rsid w:val="009250AF"/>
    <w:rsid w:val="009254C0"/>
    <w:rsid w:val="0092589C"/>
    <w:rsid w:val="009258D5"/>
    <w:rsid w:val="00925A70"/>
    <w:rsid w:val="00925DB1"/>
    <w:rsid w:val="00926A67"/>
    <w:rsid w:val="009300EE"/>
    <w:rsid w:val="009306E4"/>
    <w:rsid w:val="0093096A"/>
    <w:rsid w:val="00930E63"/>
    <w:rsid w:val="009317B3"/>
    <w:rsid w:val="00931D4B"/>
    <w:rsid w:val="00932032"/>
    <w:rsid w:val="0093282A"/>
    <w:rsid w:val="00932D42"/>
    <w:rsid w:val="00932ED9"/>
    <w:rsid w:val="00932EE5"/>
    <w:rsid w:val="009333B8"/>
    <w:rsid w:val="009336A6"/>
    <w:rsid w:val="00933BD0"/>
    <w:rsid w:val="0093452F"/>
    <w:rsid w:val="00934834"/>
    <w:rsid w:val="00934876"/>
    <w:rsid w:val="009349D4"/>
    <w:rsid w:val="00935BF4"/>
    <w:rsid w:val="0093601B"/>
    <w:rsid w:val="0093676E"/>
    <w:rsid w:val="00936992"/>
    <w:rsid w:val="00936CCE"/>
    <w:rsid w:val="00936E37"/>
    <w:rsid w:val="00936E39"/>
    <w:rsid w:val="00936F70"/>
    <w:rsid w:val="00937250"/>
    <w:rsid w:val="00937E6B"/>
    <w:rsid w:val="00940312"/>
    <w:rsid w:val="00940346"/>
    <w:rsid w:val="0094135E"/>
    <w:rsid w:val="00941639"/>
    <w:rsid w:val="00942F11"/>
    <w:rsid w:val="00943511"/>
    <w:rsid w:val="00943C8C"/>
    <w:rsid w:val="00944808"/>
    <w:rsid w:val="00944E5D"/>
    <w:rsid w:val="00945CD8"/>
    <w:rsid w:val="00945EA8"/>
    <w:rsid w:val="0094603E"/>
    <w:rsid w:val="00946160"/>
    <w:rsid w:val="0094661B"/>
    <w:rsid w:val="0094706F"/>
    <w:rsid w:val="00947126"/>
    <w:rsid w:val="009472A8"/>
    <w:rsid w:val="00947892"/>
    <w:rsid w:val="009511AA"/>
    <w:rsid w:val="00951377"/>
    <w:rsid w:val="009519E6"/>
    <w:rsid w:val="00951EC9"/>
    <w:rsid w:val="009522B3"/>
    <w:rsid w:val="0095253B"/>
    <w:rsid w:val="00952C29"/>
    <w:rsid w:val="0095397A"/>
    <w:rsid w:val="00954AFC"/>
    <w:rsid w:val="00955214"/>
    <w:rsid w:val="00955C4D"/>
    <w:rsid w:val="00956307"/>
    <w:rsid w:val="009563DC"/>
    <w:rsid w:val="00956659"/>
    <w:rsid w:val="0095692E"/>
    <w:rsid w:val="00956CA2"/>
    <w:rsid w:val="009572DA"/>
    <w:rsid w:val="009573BE"/>
    <w:rsid w:val="00957754"/>
    <w:rsid w:val="00957D88"/>
    <w:rsid w:val="00957FBD"/>
    <w:rsid w:val="00960613"/>
    <w:rsid w:val="00960BC6"/>
    <w:rsid w:val="0096102B"/>
    <w:rsid w:val="009611CD"/>
    <w:rsid w:val="0096172A"/>
    <w:rsid w:val="00961847"/>
    <w:rsid w:val="00961B1F"/>
    <w:rsid w:val="00961E09"/>
    <w:rsid w:val="00962345"/>
    <w:rsid w:val="0096243E"/>
    <w:rsid w:val="0096268C"/>
    <w:rsid w:val="00962D0C"/>
    <w:rsid w:val="00962E0C"/>
    <w:rsid w:val="00962F2A"/>
    <w:rsid w:val="009654CC"/>
    <w:rsid w:val="009654D5"/>
    <w:rsid w:val="009657D3"/>
    <w:rsid w:val="00965DA8"/>
    <w:rsid w:val="0096602A"/>
    <w:rsid w:val="009667CD"/>
    <w:rsid w:val="00967531"/>
    <w:rsid w:val="009712C8"/>
    <w:rsid w:val="00971495"/>
    <w:rsid w:val="00971715"/>
    <w:rsid w:val="009718C4"/>
    <w:rsid w:val="00971C28"/>
    <w:rsid w:val="00972140"/>
    <w:rsid w:val="0097235E"/>
    <w:rsid w:val="00972E8D"/>
    <w:rsid w:val="00973815"/>
    <w:rsid w:val="00973A7E"/>
    <w:rsid w:val="00974780"/>
    <w:rsid w:val="009749EB"/>
    <w:rsid w:val="00974B10"/>
    <w:rsid w:val="0097536E"/>
    <w:rsid w:val="009757D6"/>
    <w:rsid w:val="009761D8"/>
    <w:rsid w:val="0097724B"/>
    <w:rsid w:val="00977289"/>
    <w:rsid w:val="00977406"/>
    <w:rsid w:val="00977B40"/>
    <w:rsid w:val="0098008A"/>
    <w:rsid w:val="00980484"/>
    <w:rsid w:val="00980D6A"/>
    <w:rsid w:val="00981B08"/>
    <w:rsid w:val="009820D2"/>
    <w:rsid w:val="0098324B"/>
    <w:rsid w:val="0098371B"/>
    <w:rsid w:val="0098435D"/>
    <w:rsid w:val="0098467E"/>
    <w:rsid w:val="0098494E"/>
    <w:rsid w:val="00984FAD"/>
    <w:rsid w:val="009852FD"/>
    <w:rsid w:val="00985570"/>
    <w:rsid w:val="00985E52"/>
    <w:rsid w:val="00986465"/>
    <w:rsid w:val="0098654A"/>
    <w:rsid w:val="0098699E"/>
    <w:rsid w:val="00986BD1"/>
    <w:rsid w:val="00986C11"/>
    <w:rsid w:val="009878A4"/>
    <w:rsid w:val="00987ED2"/>
    <w:rsid w:val="0099016B"/>
    <w:rsid w:val="009906A4"/>
    <w:rsid w:val="009908D5"/>
    <w:rsid w:val="00990D18"/>
    <w:rsid w:val="00991166"/>
    <w:rsid w:val="00991DE1"/>
    <w:rsid w:val="00991E0F"/>
    <w:rsid w:val="00992183"/>
    <w:rsid w:val="0099227A"/>
    <w:rsid w:val="009922CC"/>
    <w:rsid w:val="009928B8"/>
    <w:rsid w:val="0099314E"/>
    <w:rsid w:val="0099324E"/>
    <w:rsid w:val="00993B06"/>
    <w:rsid w:val="00993C09"/>
    <w:rsid w:val="00993ECF"/>
    <w:rsid w:val="0099414F"/>
    <w:rsid w:val="00994172"/>
    <w:rsid w:val="0099473D"/>
    <w:rsid w:val="00994862"/>
    <w:rsid w:val="00994ED4"/>
    <w:rsid w:val="00994F29"/>
    <w:rsid w:val="0099517B"/>
    <w:rsid w:val="0099534E"/>
    <w:rsid w:val="009959A0"/>
    <w:rsid w:val="00996426"/>
    <w:rsid w:val="0099728A"/>
    <w:rsid w:val="0099742D"/>
    <w:rsid w:val="0099783F"/>
    <w:rsid w:val="009978C8"/>
    <w:rsid w:val="009979C7"/>
    <w:rsid w:val="00997EDF"/>
    <w:rsid w:val="00997FE3"/>
    <w:rsid w:val="009A008E"/>
    <w:rsid w:val="009A0E97"/>
    <w:rsid w:val="009A1047"/>
    <w:rsid w:val="009A1096"/>
    <w:rsid w:val="009A132E"/>
    <w:rsid w:val="009A1626"/>
    <w:rsid w:val="009A207D"/>
    <w:rsid w:val="009A29BC"/>
    <w:rsid w:val="009A2FFA"/>
    <w:rsid w:val="009A3900"/>
    <w:rsid w:val="009A3E2D"/>
    <w:rsid w:val="009A3F9B"/>
    <w:rsid w:val="009A3F9F"/>
    <w:rsid w:val="009A45D0"/>
    <w:rsid w:val="009A466B"/>
    <w:rsid w:val="009A4868"/>
    <w:rsid w:val="009A4875"/>
    <w:rsid w:val="009A4B79"/>
    <w:rsid w:val="009A5782"/>
    <w:rsid w:val="009A5A07"/>
    <w:rsid w:val="009A5AD1"/>
    <w:rsid w:val="009A6500"/>
    <w:rsid w:val="009A6818"/>
    <w:rsid w:val="009A6BBA"/>
    <w:rsid w:val="009A6EC9"/>
    <w:rsid w:val="009A6F22"/>
    <w:rsid w:val="009B0505"/>
    <w:rsid w:val="009B06C3"/>
    <w:rsid w:val="009B0838"/>
    <w:rsid w:val="009B0C4F"/>
    <w:rsid w:val="009B1058"/>
    <w:rsid w:val="009B1E20"/>
    <w:rsid w:val="009B250D"/>
    <w:rsid w:val="009B28F0"/>
    <w:rsid w:val="009B2962"/>
    <w:rsid w:val="009B35D2"/>
    <w:rsid w:val="009B45C8"/>
    <w:rsid w:val="009B508F"/>
    <w:rsid w:val="009B51C8"/>
    <w:rsid w:val="009B61DB"/>
    <w:rsid w:val="009B62C3"/>
    <w:rsid w:val="009B6EA6"/>
    <w:rsid w:val="009B748F"/>
    <w:rsid w:val="009B7B93"/>
    <w:rsid w:val="009B7EB3"/>
    <w:rsid w:val="009C06DB"/>
    <w:rsid w:val="009C06E1"/>
    <w:rsid w:val="009C0B94"/>
    <w:rsid w:val="009C0FC9"/>
    <w:rsid w:val="009C13C5"/>
    <w:rsid w:val="009C1584"/>
    <w:rsid w:val="009C1BF4"/>
    <w:rsid w:val="009C1F17"/>
    <w:rsid w:val="009C3400"/>
    <w:rsid w:val="009C3951"/>
    <w:rsid w:val="009C3C6E"/>
    <w:rsid w:val="009C4521"/>
    <w:rsid w:val="009C4558"/>
    <w:rsid w:val="009C52A7"/>
    <w:rsid w:val="009C52EF"/>
    <w:rsid w:val="009C5471"/>
    <w:rsid w:val="009C5714"/>
    <w:rsid w:val="009C6EA1"/>
    <w:rsid w:val="009C6EF2"/>
    <w:rsid w:val="009C6F57"/>
    <w:rsid w:val="009C718D"/>
    <w:rsid w:val="009C7429"/>
    <w:rsid w:val="009C7B9A"/>
    <w:rsid w:val="009C7DFB"/>
    <w:rsid w:val="009D1335"/>
    <w:rsid w:val="009D1AB0"/>
    <w:rsid w:val="009D1CC0"/>
    <w:rsid w:val="009D2316"/>
    <w:rsid w:val="009D2866"/>
    <w:rsid w:val="009D2976"/>
    <w:rsid w:val="009D2A72"/>
    <w:rsid w:val="009D32D0"/>
    <w:rsid w:val="009D37A0"/>
    <w:rsid w:val="009D392A"/>
    <w:rsid w:val="009D3B18"/>
    <w:rsid w:val="009D3B8A"/>
    <w:rsid w:val="009D478A"/>
    <w:rsid w:val="009D4817"/>
    <w:rsid w:val="009D4903"/>
    <w:rsid w:val="009D505E"/>
    <w:rsid w:val="009D5348"/>
    <w:rsid w:val="009D5F2E"/>
    <w:rsid w:val="009D6230"/>
    <w:rsid w:val="009D65CC"/>
    <w:rsid w:val="009D68DE"/>
    <w:rsid w:val="009D6B00"/>
    <w:rsid w:val="009D6DB9"/>
    <w:rsid w:val="009D6EAE"/>
    <w:rsid w:val="009D7744"/>
    <w:rsid w:val="009D7C83"/>
    <w:rsid w:val="009D7CEC"/>
    <w:rsid w:val="009E0772"/>
    <w:rsid w:val="009E11E0"/>
    <w:rsid w:val="009E1362"/>
    <w:rsid w:val="009E1A49"/>
    <w:rsid w:val="009E2247"/>
    <w:rsid w:val="009E24AC"/>
    <w:rsid w:val="009E24B1"/>
    <w:rsid w:val="009E28BB"/>
    <w:rsid w:val="009E2AA1"/>
    <w:rsid w:val="009E2AF7"/>
    <w:rsid w:val="009E2F97"/>
    <w:rsid w:val="009E2FD3"/>
    <w:rsid w:val="009E3CDD"/>
    <w:rsid w:val="009E4047"/>
    <w:rsid w:val="009E427D"/>
    <w:rsid w:val="009E441A"/>
    <w:rsid w:val="009E4B1D"/>
    <w:rsid w:val="009E5071"/>
    <w:rsid w:val="009E53BF"/>
    <w:rsid w:val="009E54C6"/>
    <w:rsid w:val="009E5A13"/>
    <w:rsid w:val="009E5BD4"/>
    <w:rsid w:val="009E5C7A"/>
    <w:rsid w:val="009E7449"/>
    <w:rsid w:val="009E79F1"/>
    <w:rsid w:val="009E7A25"/>
    <w:rsid w:val="009E7C62"/>
    <w:rsid w:val="009F092A"/>
    <w:rsid w:val="009F0B5D"/>
    <w:rsid w:val="009F1410"/>
    <w:rsid w:val="009F1552"/>
    <w:rsid w:val="009F183C"/>
    <w:rsid w:val="009F1A23"/>
    <w:rsid w:val="009F2E8A"/>
    <w:rsid w:val="009F2F12"/>
    <w:rsid w:val="009F3A99"/>
    <w:rsid w:val="009F3C4C"/>
    <w:rsid w:val="009F3EC1"/>
    <w:rsid w:val="009F40CC"/>
    <w:rsid w:val="009F4257"/>
    <w:rsid w:val="009F4F3D"/>
    <w:rsid w:val="009F5CC2"/>
    <w:rsid w:val="009F5D52"/>
    <w:rsid w:val="009F6326"/>
    <w:rsid w:val="009F6359"/>
    <w:rsid w:val="009F66B1"/>
    <w:rsid w:val="009F69CC"/>
    <w:rsid w:val="009F6C8C"/>
    <w:rsid w:val="009F75C1"/>
    <w:rsid w:val="009F7CA0"/>
    <w:rsid w:val="009F7E95"/>
    <w:rsid w:val="00A00336"/>
    <w:rsid w:val="00A00490"/>
    <w:rsid w:val="00A0080E"/>
    <w:rsid w:val="00A00A6E"/>
    <w:rsid w:val="00A00C18"/>
    <w:rsid w:val="00A00DC4"/>
    <w:rsid w:val="00A00F14"/>
    <w:rsid w:val="00A01750"/>
    <w:rsid w:val="00A01A33"/>
    <w:rsid w:val="00A01FD1"/>
    <w:rsid w:val="00A02256"/>
    <w:rsid w:val="00A022F2"/>
    <w:rsid w:val="00A024F0"/>
    <w:rsid w:val="00A02C2D"/>
    <w:rsid w:val="00A02CD3"/>
    <w:rsid w:val="00A03681"/>
    <w:rsid w:val="00A03C0B"/>
    <w:rsid w:val="00A03F14"/>
    <w:rsid w:val="00A04683"/>
    <w:rsid w:val="00A046F8"/>
    <w:rsid w:val="00A04B2F"/>
    <w:rsid w:val="00A05904"/>
    <w:rsid w:val="00A0593B"/>
    <w:rsid w:val="00A05C92"/>
    <w:rsid w:val="00A067E1"/>
    <w:rsid w:val="00A06BB2"/>
    <w:rsid w:val="00A06CF6"/>
    <w:rsid w:val="00A06FAD"/>
    <w:rsid w:val="00A074CA"/>
    <w:rsid w:val="00A07FBB"/>
    <w:rsid w:val="00A100A5"/>
    <w:rsid w:val="00A1041C"/>
    <w:rsid w:val="00A10FA0"/>
    <w:rsid w:val="00A11904"/>
    <w:rsid w:val="00A11A13"/>
    <w:rsid w:val="00A11E40"/>
    <w:rsid w:val="00A12753"/>
    <w:rsid w:val="00A12E9A"/>
    <w:rsid w:val="00A13756"/>
    <w:rsid w:val="00A13C34"/>
    <w:rsid w:val="00A14A26"/>
    <w:rsid w:val="00A152E6"/>
    <w:rsid w:val="00A1616B"/>
    <w:rsid w:val="00A1674E"/>
    <w:rsid w:val="00A16ABC"/>
    <w:rsid w:val="00A17284"/>
    <w:rsid w:val="00A17BEF"/>
    <w:rsid w:val="00A20646"/>
    <w:rsid w:val="00A20A96"/>
    <w:rsid w:val="00A20BE2"/>
    <w:rsid w:val="00A212B9"/>
    <w:rsid w:val="00A21838"/>
    <w:rsid w:val="00A218B5"/>
    <w:rsid w:val="00A2261B"/>
    <w:rsid w:val="00A2285A"/>
    <w:rsid w:val="00A229CC"/>
    <w:rsid w:val="00A22C90"/>
    <w:rsid w:val="00A22D23"/>
    <w:rsid w:val="00A24026"/>
    <w:rsid w:val="00A244A5"/>
    <w:rsid w:val="00A24964"/>
    <w:rsid w:val="00A24989"/>
    <w:rsid w:val="00A253EC"/>
    <w:rsid w:val="00A25C5A"/>
    <w:rsid w:val="00A25DDF"/>
    <w:rsid w:val="00A27A6D"/>
    <w:rsid w:val="00A27AC8"/>
    <w:rsid w:val="00A27CAE"/>
    <w:rsid w:val="00A30031"/>
    <w:rsid w:val="00A3030F"/>
    <w:rsid w:val="00A30748"/>
    <w:rsid w:val="00A307BC"/>
    <w:rsid w:val="00A30C4D"/>
    <w:rsid w:val="00A3178C"/>
    <w:rsid w:val="00A31912"/>
    <w:rsid w:val="00A31C25"/>
    <w:rsid w:val="00A31D5F"/>
    <w:rsid w:val="00A32408"/>
    <w:rsid w:val="00A3267C"/>
    <w:rsid w:val="00A32C4A"/>
    <w:rsid w:val="00A338A1"/>
    <w:rsid w:val="00A33D3F"/>
    <w:rsid w:val="00A34010"/>
    <w:rsid w:val="00A34200"/>
    <w:rsid w:val="00A350F9"/>
    <w:rsid w:val="00A35D33"/>
    <w:rsid w:val="00A35E6B"/>
    <w:rsid w:val="00A35ED0"/>
    <w:rsid w:val="00A36DF2"/>
    <w:rsid w:val="00A36EBD"/>
    <w:rsid w:val="00A37773"/>
    <w:rsid w:val="00A37CA6"/>
    <w:rsid w:val="00A40048"/>
    <w:rsid w:val="00A404C3"/>
    <w:rsid w:val="00A40AE5"/>
    <w:rsid w:val="00A410A4"/>
    <w:rsid w:val="00A41C13"/>
    <w:rsid w:val="00A41E85"/>
    <w:rsid w:val="00A422B2"/>
    <w:rsid w:val="00A4230C"/>
    <w:rsid w:val="00A430AA"/>
    <w:rsid w:val="00A430FB"/>
    <w:rsid w:val="00A434F2"/>
    <w:rsid w:val="00A43B47"/>
    <w:rsid w:val="00A43D60"/>
    <w:rsid w:val="00A4432C"/>
    <w:rsid w:val="00A445FA"/>
    <w:rsid w:val="00A44B5B"/>
    <w:rsid w:val="00A44CE9"/>
    <w:rsid w:val="00A44F5B"/>
    <w:rsid w:val="00A452B0"/>
    <w:rsid w:val="00A459BF"/>
    <w:rsid w:val="00A45B90"/>
    <w:rsid w:val="00A460F4"/>
    <w:rsid w:val="00A465F5"/>
    <w:rsid w:val="00A46951"/>
    <w:rsid w:val="00A46B0B"/>
    <w:rsid w:val="00A46C4E"/>
    <w:rsid w:val="00A46DE5"/>
    <w:rsid w:val="00A479A4"/>
    <w:rsid w:val="00A47EFB"/>
    <w:rsid w:val="00A504B2"/>
    <w:rsid w:val="00A51972"/>
    <w:rsid w:val="00A51C28"/>
    <w:rsid w:val="00A51D6D"/>
    <w:rsid w:val="00A52646"/>
    <w:rsid w:val="00A539A5"/>
    <w:rsid w:val="00A539A8"/>
    <w:rsid w:val="00A53A45"/>
    <w:rsid w:val="00A542E5"/>
    <w:rsid w:val="00A54A87"/>
    <w:rsid w:val="00A54E8B"/>
    <w:rsid w:val="00A54F1A"/>
    <w:rsid w:val="00A55190"/>
    <w:rsid w:val="00A5520A"/>
    <w:rsid w:val="00A55A68"/>
    <w:rsid w:val="00A5696E"/>
    <w:rsid w:val="00A56B71"/>
    <w:rsid w:val="00A56C44"/>
    <w:rsid w:val="00A57FCF"/>
    <w:rsid w:val="00A60044"/>
    <w:rsid w:val="00A6053D"/>
    <w:rsid w:val="00A60AFD"/>
    <w:rsid w:val="00A60FFC"/>
    <w:rsid w:val="00A6202A"/>
    <w:rsid w:val="00A623ED"/>
    <w:rsid w:val="00A62B8D"/>
    <w:rsid w:val="00A62E58"/>
    <w:rsid w:val="00A632CD"/>
    <w:rsid w:val="00A634DB"/>
    <w:rsid w:val="00A660B6"/>
    <w:rsid w:val="00A66498"/>
    <w:rsid w:val="00A6723F"/>
    <w:rsid w:val="00A67432"/>
    <w:rsid w:val="00A675BE"/>
    <w:rsid w:val="00A67A8B"/>
    <w:rsid w:val="00A67AD3"/>
    <w:rsid w:val="00A67DAF"/>
    <w:rsid w:val="00A67EA5"/>
    <w:rsid w:val="00A707FD"/>
    <w:rsid w:val="00A70AD5"/>
    <w:rsid w:val="00A70E8B"/>
    <w:rsid w:val="00A716FD"/>
    <w:rsid w:val="00A7193C"/>
    <w:rsid w:val="00A732C6"/>
    <w:rsid w:val="00A73459"/>
    <w:rsid w:val="00A7359B"/>
    <w:rsid w:val="00A73D61"/>
    <w:rsid w:val="00A7450B"/>
    <w:rsid w:val="00A74A3B"/>
    <w:rsid w:val="00A74C62"/>
    <w:rsid w:val="00A7504E"/>
    <w:rsid w:val="00A756B5"/>
    <w:rsid w:val="00A76183"/>
    <w:rsid w:val="00A76752"/>
    <w:rsid w:val="00A7679A"/>
    <w:rsid w:val="00A77453"/>
    <w:rsid w:val="00A77724"/>
    <w:rsid w:val="00A77980"/>
    <w:rsid w:val="00A77CD0"/>
    <w:rsid w:val="00A77E36"/>
    <w:rsid w:val="00A80430"/>
    <w:rsid w:val="00A813EF"/>
    <w:rsid w:val="00A81B91"/>
    <w:rsid w:val="00A82171"/>
    <w:rsid w:val="00A82715"/>
    <w:rsid w:val="00A82852"/>
    <w:rsid w:val="00A82AE2"/>
    <w:rsid w:val="00A82AFB"/>
    <w:rsid w:val="00A82D21"/>
    <w:rsid w:val="00A84580"/>
    <w:rsid w:val="00A85C7F"/>
    <w:rsid w:val="00A85F83"/>
    <w:rsid w:val="00A86155"/>
    <w:rsid w:val="00A86353"/>
    <w:rsid w:val="00A86FED"/>
    <w:rsid w:val="00A87DA6"/>
    <w:rsid w:val="00A90089"/>
    <w:rsid w:val="00A904A3"/>
    <w:rsid w:val="00A90882"/>
    <w:rsid w:val="00A90A24"/>
    <w:rsid w:val="00A90A5B"/>
    <w:rsid w:val="00A914D6"/>
    <w:rsid w:val="00A917F0"/>
    <w:rsid w:val="00A91AAE"/>
    <w:rsid w:val="00A91AD2"/>
    <w:rsid w:val="00A91BD3"/>
    <w:rsid w:val="00A92B6D"/>
    <w:rsid w:val="00A92E8D"/>
    <w:rsid w:val="00A92FD6"/>
    <w:rsid w:val="00A939DC"/>
    <w:rsid w:val="00A940FE"/>
    <w:rsid w:val="00A949CC"/>
    <w:rsid w:val="00A94BBD"/>
    <w:rsid w:val="00A94C66"/>
    <w:rsid w:val="00A951D0"/>
    <w:rsid w:val="00A95592"/>
    <w:rsid w:val="00A955F0"/>
    <w:rsid w:val="00A95822"/>
    <w:rsid w:val="00A958C5"/>
    <w:rsid w:val="00A95F6D"/>
    <w:rsid w:val="00A96AC2"/>
    <w:rsid w:val="00A96D7E"/>
    <w:rsid w:val="00A96E36"/>
    <w:rsid w:val="00A978E8"/>
    <w:rsid w:val="00A97D30"/>
    <w:rsid w:val="00AA0560"/>
    <w:rsid w:val="00AA0CA3"/>
    <w:rsid w:val="00AA0DA4"/>
    <w:rsid w:val="00AA11B7"/>
    <w:rsid w:val="00AA11DC"/>
    <w:rsid w:val="00AA186F"/>
    <w:rsid w:val="00AA1D03"/>
    <w:rsid w:val="00AA33DC"/>
    <w:rsid w:val="00AA4374"/>
    <w:rsid w:val="00AA483E"/>
    <w:rsid w:val="00AA502E"/>
    <w:rsid w:val="00AA5E78"/>
    <w:rsid w:val="00AA6894"/>
    <w:rsid w:val="00AA6B63"/>
    <w:rsid w:val="00AA6D24"/>
    <w:rsid w:val="00AA75E1"/>
    <w:rsid w:val="00AA7FD9"/>
    <w:rsid w:val="00AB1419"/>
    <w:rsid w:val="00AB1CBA"/>
    <w:rsid w:val="00AB1FAD"/>
    <w:rsid w:val="00AB241F"/>
    <w:rsid w:val="00AB25C7"/>
    <w:rsid w:val="00AB3141"/>
    <w:rsid w:val="00AB3997"/>
    <w:rsid w:val="00AB3A0B"/>
    <w:rsid w:val="00AB4035"/>
    <w:rsid w:val="00AB425D"/>
    <w:rsid w:val="00AB42E4"/>
    <w:rsid w:val="00AB5319"/>
    <w:rsid w:val="00AB56EE"/>
    <w:rsid w:val="00AB65C8"/>
    <w:rsid w:val="00AB66E0"/>
    <w:rsid w:val="00AB6873"/>
    <w:rsid w:val="00AB71EA"/>
    <w:rsid w:val="00AB75B8"/>
    <w:rsid w:val="00AB7743"/>
    <w:rsid w:val="00AB78C9"/>
    <w:rsid w:val="00AB7AAE"/>
    <w:rsid w:val="00AB7E4A"/>
    <w:rsid w:val="00AC05BE"/>
    <w:rsid w:val="00AC08E5"/>
    <w:rsid w:val="00AC1BC0"/>
    <w:rsid w:val="00AC1D8E"/>
    <w:rsid w:val="00AC2F75"/>
    <w:rsid w:val="00AC3062"/>
    <w:rsid w:val="00AC3CE7"/>
    <w:rsid w:val="00AC4142"/>
    <w:rsid w:val="00AC4A80"/>
    <w:rsid w:val="00AC4D3C"/>
    <w:rsid w:val="00AC5A0D"/>
    <w:rsid w:val="00AC5BE4"/>
    <w:rsid w:val="00AC5D37"/>
    <w:rsid w:val="00AC679D"/>
    <w:rsid w:val="00AC7A61"/>
    <w:rsid w:val="00AC7B3D"/>
    <w:rsid w:val="00AC7EDF"/>
    <w:rsid w:val="00AD0009"/>
    <w:rsid w:val="00AD0721"/>
    <w:rsid w:val="00AD0816"/>
    <w:rsid w:val="00AD08CF"/>
    <w:rsid w:val="00AD0913"/>
    <w:rsid w:val="00AD0AB7"/>
    <w:rsid w:val="00AD0B5E"/>
    <w:rsid w:val="00AD0CB9"/>
    <w:rsid w:val="00AD0E42"/>
    <w:rsid w:val="00AD0E8C"/>
    <w:rsid w:val="00AD112B"/>
    <w:rsid w:val="00AD11CF"/>
    <w:rsid w:val="00AD120C"/>
    <w:rsid w:val="00AD28B3"/>
    <w:rsid w:val="00AD3022"/>
    <w:rsid w:val="00AD398A"/>
    <w:rsid w:val="00AD3D35"/>
    <w:rsid w:val="00AD42D3"/>
    <w:rsid w:val="00AD4427"/>
    <w:rsid w:val="00AD4A30"/>
    <w:rsid w:val="00AD5417"/>
    <w:rsid w:val="00AD6247"/>
    <w:rsid w:val="00AD69B3"/>
    <w:rsid w:val="00AD6CDB"/>
    <w:rsid w:val="00AD6E69"/>
    <w:rsid w:val="00AD71CA"/>
    <w:rsid w:val="00AD72A3"/>
    <w:rsid w:val="00AD7312"/>
    <w:rsid w:val="00AD7867"/>
    <w:rsid w:val="00AE07C3"/>
    <w:rsid w:val="00AE12C6"/>
    <w:rsid w:val="00AE149A"/>
    <w:rsid w:val="00AE1839"/>
    <w:rsid w:val="00AE1B90"/>
    <w:rsid w:val="00AE1C9C"/>
    <w:rsid w:val="00AE1D73"/>
    <w:rsid w:val="00AE1EEF"/>
    <w:rsid w:val="00AE1FC4"/>
    <w:rsid w:val="00AE2831"/>
    <w:rsid w:val="00AE2CD1"/>
    <w:rsid w:val="00AE2D1B"/>
    <w:rsid w:val="00AE2D89"/>
    <w:rsid w:val="00AE3417"/>
    <w:rsid w:val="00AE36E0"/>
    <w:rsid w:val="00AE3C13"/>
    <w:rsid w:val="00AE45D7"/>
    <w:rsid w:val="00AE4774"/>
    <w:rsid w:val="00AE483E"/>
    <w:rsid w:val="00AE4D55"/>
    <w:rsid w:val="00AE504F"/>
    <w:rsid w:val="00AE5126"/>
    <w:rsid w:val="00AE516E"/>
    <w:rsid w:val="00AE566A"/>
    <w:rsid w:val="00AE5C84"/>
    <w:rsid w:val="00AE640F"/>
    <w:rsid w:val="00AE66E5"/>
    <w:rsid w:val="00AE69FC"/>
    <w:rsid w:val="00AE6E73"/>
    <w:rsid w:val="00AE761A"/>
    <w:rsid w:val="00AE7901"/>
    <w:rsid w:val="00AF0AF4"/>
    <w:rsid w:val="00AF1764"/>
    <w:rsid w:val="00AF1BC9"/>
    <w:rsid w:val="00AF35AD"/>
    <w:rsid w:val="00AF35E2"/>
    <w:rsid w:val="00AF4227"/>
    <w:rsid w:val="00AF4296"/>
    <w:rsid w:val="00AF4543"/>
    <w:rsid w:val="00AF459E"/>
    <w:rsid w:val="00AF4CC1"/>
    <w:rsid w:val="00AF4E50"/>
    <w:rsid w:val="00AF4E67"/>
    <w:rsid w:val="00AF53E1"/>
    <w:rsid w:val="00AF54C8"/>
    <w:rsid w:val="00AF5518"/>
    <w:rsid w:val="00AF5E42"/>
    <w:rsid w:val="00AF6964"/>
    <w:rsid w:val="00AF698F"/>
    <w:rsid w:val="00AF6C27"/>
    <w:rsid w:val="00AF70C9"/>
    <w:rsid w:val="00AF7861"/>
    <w:rsid w:val="00AF7957"/>
    <w:rsid w:val="00AF7BFD"/>
    <w:rsid w:val="00B000FB"/>
    <w:rsid w:val="00B00717"/>
    <w:rsid w:val="00B010A1"/>
    <w:rsid w:val="00B010B6"/>
    <w:rsid w:val="00B01960"/>
    <w:rsid w:val="00B01B96"/>
    <w:rsid w:val="00B01F16"/>
    <w:rsid w:val="00B01F6E"/>
    <w:rsid w:val="00B02FD3"/>
    <w:rsid w:val="00B03327"/>
    <w:rsid w:val="00B03F7D"/>
    <w:rsid w:val="00B0400A"/>
    <w:rsid w:val="00B047E2"/>
    <w:rsid w:val="00B04C03"/>
    <w:rsid w:val="00B056F6"/>
    <w:rsid w:val="00B057F4"/>
    <w:rsid w:val="00B06151"/>
    <w:rsid w:val="00B0620A"/>
    <w:rsid w:val="00B0788C"/>
    <w:rsid w:val="00B07E76"/>
    <w:rsid w:val="00B10162"/>
    <w:rsid w:val="00B10361"/>
    <w:rsid w:val="00B10502"/>
    <w:rsid w:val="00B10E73"/>
    <w:rsid w:val="00B1101F"/>
    <w:rsid w:val="00B11A75"/>
    <w:rsid w:val="00B11C95"/>
    <w:rsid w:val="00B12DEF"/>
    <w:rsid w:val="00B130A6"/>
    <w:rsid w:val="00B13AEC"/>
    <w:rsid w:val="00B148F8"/>
    <w:rsid w:val="00B149D0"/>
    <w:rsid w:val="00B1595B"/>
    <w:rsid w:val="00B161AF"/>
    <w:rsid w:val="00B164BA"/>
    <w:rsid w:val="00B165F0"/>
    <w:rsid w:val="00B16B8B"/>
    <w:rsid w:val="00B16DB0"/>
    <w:rsid w:val="00B17755"/>
    <w:rsid w:val="00B177D8"/>
    <w:rsid w:val="00B179BB"/>
    <w:rsid w:val="00B17BAC"/>
    <w:rsid w:val="00B2115C"/>
    <w:rsid w:val="00B2129A"/>
    <w:rsid w:val="00B22070"/>
    <w:rsid w:val="00B2233E"/>
    <w:rsid w:val="00B22744"/>
    <w:rsid w:val="00B230EF"/>
    <w:rsid w:val="00B23270"/>
    <w:rsid w:val="00B23274"/>
    <w:rsid w:val="00B2342E"/>
    <w:rsid w:val="00B23AAA"/>
    <w:rsid w:val="00B245C0"/>
    <w:rsid w:val="00B2497F"/>
    <w:rsid w:val="00B24C40"/>
    <w:rsid w:val="00B24F24"/>
    <w:rsid w:val="00B250BE"/>
    <w:rsid w:val="00B2532F"/>
    <w:rsid w:val="00B253E6"/>
    <w:rsid w:val="00B25F19"/>
    <w:rsid w:val="00B26CD1"/>
    <w:rsid w:val="00B26CDC"/>
    <w:rsid w:val="00B271BD"/>
    <w:rsid w:val="00B27919"/>
    <w:rsid w:val="00B27B48"/>
    <w:rsid w:val="00B27BD4"/>
    <w:rsid w:val="00B30019"/>
    <w:rsid w:val="00B302D6"/>
    <w:rsid w:val="00B30712"/>
    <w:rsid w:val="00B30C2C"/>
    <w:rsid w:val="00B3109D"/>
    <w:rsid w:val="00B314D5"/>
    <w:rsid w:val="00B3181F"/>
    <w:rsid w:val="00B31C32"/>
    <w:rsid w:val="00B32316"/>
    <w:rsid w:val="00B32A69"/>
    <w:rsid w:val="00B32D8C"/>
    <w:rsid w:val="00B33224"/>
    <w:rsid w:val="00B337D1"/>
    <w:rsid w:val="00B33830"/>
    <w:rsid w:val="00B33B32"/>
    <w:rsid w:val="00B33B3E"/>
    <w:rsid w:val="00B34A59"/>
    <w:rsid w:val="00B3525F"/>
    <w:rsid w:val="00B3585F"/>
    <w:rsid w:val="00B35C41"/>
    <w:rsid w:val="00B36A6C"/>
    <w:rsid w:val="00B36A8B"/>
    <w:rsid w:val="00B36ABC"/>
    <w:rsid w:val="00B37D75"/>
    <w:rsid w:val="00B40580"/>
    <w:rsid w:val="00B40848"/>
    <w:rsid w:val="00B40FB0"/>
    <w:rsid w:val="00B4128E"/>
    <w:rsid w:val="00B41A42"/>
    <w:rsid w:val="00B425A2"/>
    <w:rsid w:val="00B42D23"/>
    <w:rsid w:val="00B4369E"/>
    <w:rsid w:val="00B44291"/>
    <w:rsid w:val="00B44327"/>
    <w:rsid w:val="00B44ACE"/>
    <w:rsid w:val="00B44DE5"/>
    <w:rsid w:val="00B44F27"/>
    <w:rsid w:val="00B4514C"/>
    <w:rsid w:val="00B451FB"/>
    <w:rsid w:val="00B45318"/>
    <w:rsid w:val="00B45553"/>
    <w:rsid w:val="00B458BF"/>
    <w:rsid w:val="00B459D3"/>
    <w:rsid w:val="00B45B49"/>
    <w:rsid w:val="00B46289"/>
    <w:rsid w:val="00B4638F"/>
    <w:rsid w:val="00B465A2"/>
    <w:rsid w:val="00B46658"/>
    <w:rsid w:val="00B47DD4"/>
    <w:rsid w:val="00B47DF0"/>
    <w:rsid w:val="00B50341"/>
    <w:rsid w:val="00B5059A"/>
    <w:rsid w:val="00B5072A"/>
    <w:rsid w:val="00B508BC"/>
    <w:rsid w:val="00B51095"/>
    <w:rsid w:val="00B510A2"/>
    <w:rsid w:val="00B51857"/>
    <w:rsid w:val="00B51B5B"/>
    <w:rsid w:val="00B51F69"/>
    <w:rsid w:val="00B530DA"/>
    <w:rsid w:val="00B53120"/>
    <w:rsid w:val="00B534B7"/>
    <w:rsid w:val="00B5374F"/>
    <w:rsid w:val="00B5378B"/>
    <w:rsid w:val="00B537CD"/>
    <w:rsid w:val="00B53A17"/>
    <w:rsid w:val="00B54204"/>
    <w:rsid w:val="00B542E1"/>
    <w:rsid w:val="00B5499B"/>
    <w:rsid w:val="00B560F6"/>
    <w:rsid w:val="00B56F7F"/>
    <w:rsid w:val="00B6050B"/>
    <w:rsid w:val="00B60823"/>
    <w:rsid w:val="00B60940"/>
    <w:rsid w:val="00B61F40"/>
    <w:rsid w:val="00B622E6"/>
    <w:rsid w:val="00B62390"/>
    <w:rsid w:val="00B626AF"/>
    <w:rsid w:val="00B627AE"/>
    <w:rsid w:val="00B62CA9"/>
    <w:rsid w:val="00B63163"/>
    <w:rsid w:val="00B63449"/>
    <w:rsid w:val="00B643D3"/>
    <w:rsid w:val="00B64589"/>
    <w:rsid w:val="00B64817"/>
    <w:rsid w:val="00B64AD8"/>
    <w:rsid w:val="00B653B3"/>
    <w:rsid w:val="00B65A3E"/>
    <w:rsid w:val="00B65CD5"/>
    <w:rsid w:val="00B66157"/>
    <w:rsid w:val="00B66513"/>
    <w:rsid w:val="00B670A9"/>
    <w:rsid w:val="00B67852"/>
    <w:rsid w:val="00B7030D"/>
    <w:rsid w:val="00B70441"/>
    <w:rsid w:val="00B70B3B"/>
    <w:rsid w:val="00B713AC"/>
    <w:rsid w:val="00B71450"/>
    <w:rsid w:val="00B73207"/>
    <w:rsid w:val="00B739A5"/>
    <w:rsid w:val="00B73F93"/>
    <w:rsid w:val="00B746FF"/>
    <w:rsid w:val="00B74763"/>
    <w:rsid w:val="00B74CF8"/>
    <w:rsid w:val="00B752A7"/>
    <w:rsid w:val="00B75C7F"/>
    <w:rsid w:val="00B75F89"/>
    <w:rsid w:val="00B76721"/>
    <w:rsid w:val="00B76A44"/>
    <w:rsid w:val="00B77049"/>
    <w:rsid w:val="00B77B7C"/>
    <w:rsid w:val="00B77CA4"/>
    <w:rsid w:val="00B803F4"/>
    <w:rsid w:val="00B80653"/>
    <w:rsid w:val="00B808C3"/>
    <w:rsid w:val="00B80C92"/>
    <w:rsid w:val="00B80E07"/>
    <w:rsid w:val="00B8120D"/>
    <w:rsid w:val="00B812C2"/>
    <w:rsid w:val="00B816EE"/>
    <w:rsid w:val="00B819EC"/>
    <w:rsid w:val="00B84103"/>
    <w:rsid w:val="00B8479E"/>
    <w:rsid w:val="00B847D6"/>
    <w:rsid w:val="00B84C90"/>
    <w:rsid w:val="00B84DE7"/>
    <w:rsid w:val="00B85A16"/>
    <w:rsid w:val="00B85A85"/>
    <w:rsid w:val="00B85AED"/>
    <w:rsid w:val="00B85E0C"/>
    <w:rsid w:val="00B8627A"/>
    <w:rsid w:val="00B86DF7"/>
    <w:rsid w:val="00B86ED2"/>
    <w:rsid w:val="00B870F4"/>
    <w:rsid w:val="00B8740E"/>
    <w:rsid w:val="00B90076"/>
    <w:rsid w:val="00B90531"/>
    <w:rsid w:val="00B91D64"/>
    <w:rsid w:val="00B92299"/>
    <w:rsid w:val="00B929D0"/>
    <w:rsid w:val="00B943F5"/>
    <w:rsid w:val="00B94CA6"/>
    <w:rsid w:val="00B94FD6"/>
    <w:rsid w:val="00B953E2"/>
    <w:rsid w:val="00B956BB"/>
    <w:rsid w:val="00B956D1"/>
    <w:rsid w:val="00B95D90"/>
    <w:rsid w:val="00B9622C"/>
    <w:rsid w:val="00B978A3"/>
    <w:rsid w:val="00B97930"/>
    <w:rsid w:val="00BA02E4"/>
    <w:rsid w:val="00BA052A"/>
    <w:rsid w:val="00BA0BB2"/>
    <w:rsid w:val="00BA1974"/>
    <w:rsid w:val="00BA1D67"/>
    <w:rsid w:val="00BA1EFB"/>
    <w:rsid w:val="00BA21B3"/>
    <w:rsid w:val="00BA2A29"/>
    <w:rsid w:val="00BA2DAF"/>
    <w:rsid w:val="00BA2DE6"/>
    <w:rsid w:val="00BA3A11"/>
    <w:rsid w:val="00BA3EA5"/>
    <w:rsid w:val="00BA4DB9"/>
    <w:rsid w:val="00BA4DE6"/>
    <w:rsid w:val="00BA4DF0"/>
    <w:rsid w:val="00BA5D9D"/>
    <w:rsid w:val="00BA5E3F"/>
    <w:rsid w:val="00BA6252"/>
    <w:rsid w:val="00BA6306"/>
    <w:rsid w:val="00BA649B"/>
    <w:rsid w:val="00BA6508"/>
    <w:rsid w:val="00BA7331"/>
    <w:rsid w:val="00BA74A4"/>
    <w:rsid w:val="00BA74AF"/>
    <w:rsid w:val="00BA77DE"/>
    <w:rsid w:val="00BA78A5"/>
    <w:rsid w:val="00BB1441"/>
    <w:rsid w:val="00BB159D"/>
    <w:rsid w:val="00BB168B"/>
    <w:rsid w:val="00BB1708"/>
    <w:rsid w:val="00BB1A27"/>
    <w:rsid w:val="00BB1BA1"/>
    <w:rsid w:val="00BB1F29"/>
    <w:rsid w:val="00BB2224"/>
    <w:rsid w:val="00BB27B1"/>
    <w:rsid w:val="00BB2A9D"/>
    <w:rsid w:val="00BB2B08"/>
    <w:rsid w:val="00BB2DA7"/>
    <w:rsid w:val="00BB2F1E"/>
    <w:rsid w:val="00BB3426"/>
    <w:rsid w:val="00BB397A"/>
    <w:rsid w:val="00BB3D8E"/>
    <w:rsid w:val="00BB3FA7"/>
    <w:rsid w:val="00BB45F5"/>
    <w:rsid w:val="00BB5367"/>
    <w:rsid w:val="00BB58F3"/>
    <w:rsid w:val="00BB5996"/>
    <w:rsid w:val="00BB5E3E"/>
    <w:rsid w:val="00BB5FE7"/>
    <w:rsid w:val="00BB692B"/>
    <w:rsid w:val="00BB6D22"/>
    <w:rsid w:val="00BB79DD"/>
    <w:rsid w:val="00BB7A7C"/>
    <w:rsid w:val="00BB7D4F"/>
    <w:rsid w:val="00BC001F"/>
    <w:rsid w:val="00BC046B"/>
    <w:rsid w:val="00BC0672"/>
    <w:rsid w:val="00BC06DA"/>
    <w:rsid w:val="00BC1874"/>
    <w:rsid w:val="00BC1C9E"/>
    <w:rsid w:val="00BC25C3"/>
    <w:rsid w:val="00BC2CBF"/>
    <w:rsid w:val="00BC2F32"/>
    <w:rsid w:val="00BC32C4"/>
    <w:rsid w:val="00BC399A"/>
    <w:rsid w:val="00BC3ECC"/>
    <w:rsid w:val="00BC4B93"/>
    <w:rsid w:val="00BC4D1E"/>
    <w:rsid w:val="00BC5705"/>
    <w:rsid w:val="00BC5E4C"/>
    <w:rsid w:val="00BC69B6"/>
    <w:rsid w:val="00BC7D68"/>
    <w:rsid w:val="00BD0534"/>
    <w:rsid w:val="00BD0BBA"/>
    <w:rsid w:val="00BD0BD9"/>
    <w:rsid w:val="00BD11A4"/>
    <w:rsid w:val="00BD1431"/>
    <w:rsid w:val="00BD1703"/>
    <w:rsid w:val="00BD2DD3"/>
    <w:rsid w:val="00BD3392"/>
    <w:rsid w:val="00BD376A"/>
    <w:rsid w:val="00BD3B94"/>
    <w:rsid w:val="00BD52F7"/>
    <w:rsid w:val="00BD74F8"/>
    <w:rsid w:val="00BE0078"/>
    <w:rsid w:val="00BE036B"/>
    <w:rsid w:val="00BE0564"/>
    <w:rsid w:val="00BE0669"/>
    <w:rsid w:val="00BE09D3"/>
    <w:rsid w:val="00BE119A"/>
    <w:rsid w:val="00BE15EF"/>
    <w:rsid w:val="00BE1769"/>
    <w:rsid w:val="00BE18CB"/>
    <w:rsid w:val="00BE242C"/>
    <w:rsid w:val="00BE2819"/>
    <w:rsid w:val="00BE2BAC"/>
    <w:rsid w:val="00BE2D68"/>
    <w:rsid w:val="00BE2E56"/>
    <w:rsid w:val="00BE325E"/>
    <w:rsid w:val="00BE3682"/>
    <w:rsid w:val="00BE4C55"/>
    <w:rsid w:val="00BE5112"/>
    <w:rsid w:val="00BE5181"/>
    <w:rsid w:val="00BE5843"/>
    <w:rsid w:val="00BE5BDD"/>
    <w:rsid w:val="00BE65B4"/>
    <w:rsid w:val="00BE6738"/>
    <w:rsid w:val="00BE6C36"/>
    <w:rsid w:val="00BE6CC7"/>
    <w:rsid w:val="00BE6D0F"/>
    <w:rsid w:val="00BE71E1"/>
    <w:rsid w:val="00BE7E7C"/>
    <w:rsid w:val="00BF0490"/>
    <w:rsid w:val="00BF0952"/>
    <w:rsid w:val="00BF0B10"/>
    <w:rsid w:val="00BF0CD9"/>
    <w:rsid w:val="00BF0F87"/>
    <w:rsid w:val="00BF1528"/>
    <w:rsid w:val="00BF1D32"/>
    <w:rsid w:val="00BF21CB"/>
    <w:rsid w:val="00BF2504"/>
    <w:rsid w:val="00BF2B60"/>
    <w:rsid w:val="00BF337C"/>
    <w:rsid w:val="00BF33CC"/>
    <w:rsid w:val="00BF341C"/>
    <w:rsid w:val="00BF3B6E"/>
    <w:rsid w:val="00BF3DF1"/>
    <w:rsid w:val="00BF45DF"/>
    <w:rsid w:val="00BF49BB"/>
    <w:rsid w:val="00BF5797"/>
    <w:rsid w:val="00BF63EF"/>
    <w:rsid w:val="00BF6653"/>
    <w:rsid w:val="00BF6AF0"/>
    <w:rsid w:val="00BF7736"/>
    <w:rsid w:val="00BF77DA"/>
    <w:rsid w:val="00BF79F4"/>
    <w:rsid w:val="00BF7C00"/>
    <w:rsid w:val="00C00263"/>
    <w:rsid w:val="00C00A23"/>
    <w:rsid w:val="00C01115"/>
    <w:rsid w:val="00C01261"/>
    <w:rsid w:val="00C0156E"/>
    <w:rsid w:val="00C0168A"/>
    <w:rsid w:val="00C01963"/>
    <w:rsid w:val="00C01B82"/>
    <w:rsid w:val="00C025E5"/>
    <w:rsid w:val="00C03A9B"/>
    <w:rsid w:val="00C043AD"/>
    <w:rsid w:val="00C04EA3"/>
    <w:rsid w:val="00C05B38"/>
    <w:rsid w:val="00C05BAC"/>
    <w:rsid w:val="00C060D0"/>
    <w:rsid w:val="00C06352"/>
    <w:rsid w:val="00C0656A"/>
    <w:rsid w:val="00C065BB"/>
    <w:rsid w:val="00C06C1F"/>
    <w:rsid w:val="00C07285"/>
    <w:rsid w:val="00C07375"/>
    <w:rsid w:val="00C101AB"/>
    <w:rsid w:val="00C10514"/>
    <w:rsid w:val="00C1062B"/>
    <w:rsid w:val="00C10663"/>
    <w:rsid w:val="00C10C36"/>
    <w:rsid w:val="00C10C80"/>
    <w:rsid w:val="00C11014"/>
    <w:rsid w:val="00C1104A"/>
    <w:rsid w:val="00C12050"/>
    <w:rsid w:val="00C125CE"/>
    <w:rsid w:val="00C133F3"/>
    <w:rsid w:val="00C13987"/>
    <w:rsid w:val="00C13AC6"/>
    <w:rsid w:val="00C13F60"/>
    <w:rsid w:val="00C14590"/>
    <w:rsid w:val="00C1468A"/>
    <w:rsid w:val="00C14767"/>
    <w:rsid w:val="00C14A99"/>
    <w:rsid w:val="00C14FEB"/>
    <w:rsid w:val="00C156B9"/>
    <w:rsid w:val="00C1631E"/>
    <w:rsid w:val="00C163C9"/>
    <w:rsid w:val="00C16855"/>
    <w:rsid w:val="00C16862"/>
    <w:rsid w:val="00C16F9D"/>
    <w:rsid w:val="00C17137"/>
    <w:rsid w:val="00C17882"/>
    <w:rsid w:val="00C179C6"/>
    <w:rsid w:val="00C17B4F"/>
    <w:rsid w:val="00C17F60"/>
    <w:rsid w:val="00C209E0"/>
    <w:rsid w:val="00C20A43"/>
    <w:rsid w:val="00C20E20"/>
    <w:rsid w:val="00C21A6E"/>
    <w:rsid w:val="00C220B0"/>
    <w:rsid w:val="00C221FF"/>
    <w:rsid w:val="00C22293"/>
    <w:rsid w:val="00C2303C"/>
    <w:rsid w:val="00C23084"/>
    <w:rsid w:val="00C231C1"/>
    <w:rsid w:val="00C23368"/>
    <w:rsid w:val="00C23EE9"/>
    <w:rsid w:val="00C247A2"/>
    <w:rsid w:val="00C247FD"/>
    <w:rsid w:val="00C24822"/>
    <w:rsid w:val="00C248B9"/>
    <w:rsid w:val="00C24D55"/>
    <w:rsid w:val="00C24E49"/>
    <w:rsid w:val="00C24E56"/>
    <w:rsid w:val="00C25978"/>
    <w:rsid w:val="00C25C1A"/>
    <w:rsid w:val="00C25D84"/>
    <w:rsid w:val="00C25F40"/>
    <w:rsid w:val="00C26045"/>
    <w:rsid w:val="00C260AC"/>
    <w:rsid w:val="00C26447"/>
    <w:rsid w:val="00C26566"/>
    <w:rsid w:val="00C269CC"/>
    <w:rsid w:val="00C26EBA"/>
    <w:rsid w:val="00C26F5D"/>
    <w:rsid w:val="00C278B2"/>
    <w:rsid w:val="00C27C66"/>
    <w:rsid w:val="00C30E88"/>
    <w:rsid w:val="00C31268"/>
    <w:rsid w:val="00C3158A"/>
    <w:rsid w:val="00C3191D"/>
    <w:rsid w:val="00C31ABD"/>
    <w:rsid w:val="00C31EF9"/>
    <w:rsid w:val="00C31FD7"/>
    <w:rsid w:val="00C3237C"/>
    <w:rsid w:val="00C32393"/>
    <w:rsid w:val="00C330B1"/>
    <w:rsid w:val="00C33229"/>
    <w:rsid w:val="00C333A1"/>
    <w:rsid w:val="00C34201"/>
    <w:rsid w:val="00C3431D"/>
    <w:rsid w:val="00C3442D"/>
    <w:rsid w:val="00C3463C"/>
    <w:rsid w:val="00C34C99"/>
    <w:rsid w:val="00C3501E"/>
    <w:rsid w:val="00C3570F"/>
    <w:rsid w:val="00C3655E"/>
    <w:rsid w:val="00C36705"/>
    <w:rsid w:val="00C368A4"/>
    <w:rsid w:val="00C36DF5"/>
    <w:rsid w:val="00C36F84"/>
    <w:rsid w:val="00C3722F"/>
    <w:rsid w:val="00C37983"/>
    <w:rsid w:val="00C37E24"/>
    <w:rsid w:val="00C40B3C"/>
    <w:rsid w:val="00C40FD4"/>
    <w:rsid w:val="00C414FB"/>
    <w:rsid w:val="00C41FA3"/>
    <w:rsid w:val="00C42101"/>
    <w:rsid w:val="00C421CD"/>
    <w:rsid w:val="00C4258C"/>
    <w:rsid w:val="00C42C85"/>
    <w:rsid w:val="00C42C96"/>
    <w:rsid w:val="00C4363E"/>
    <w:rsid w:val="00C4364F"/>
    <w:rsid w:val="00C439AF"/>
    <w:rsid w:val="00C43B2F"/>
    <w:rsid w:val="00C43D01"/>
    <w:rsid w:val="00C4475A"/>
    <w:rsid w:val="00C448C1"/>
    <w:rsid w:val="00C44D51"/>
    <w:rsid w:val="00C44D6C"/>
    <w:rsid w:val="00C45BE9"/>
    <w:rsid w:val="00C45CFE"/>
    <w:rsid w:val="00C45DC5"/>
    <w:rsid w:val="00C46463"/>
    <w:rsid w:val="00C46DDE"/>
    <w:rsid w:val="00C47327"/>
    <w:rsid w:val="00C47401"/>
    <w:rsid w:val="00C478F1"/>
    <w:rsid w:val="00C47912"/>
    <w:rsid w:val="00C47EC3"/>
    <w:rsid w:val="00C504F6"/>
    <w:rsid w:val="00C506A3"/>
    <w:rsid w:val="00C510F8"/>
    <w:rsid w:val="00C5117B"/>
    <w:rsid w:val="00C51981"/>
    <w:rsid w:val="00C5210C"/>
    <w:rsid w:val="00C52477"/>
    <w:rsid w:val="00C52878"/>
    <w:rsid w:val="00C52F46"/>
    <w:rsid w:val="00C53774"/>
    <w:rsid w:val="00C53788"/>
    <w:rsid w:val="00C53DC5"/>
    <w:rsid w:val="00C54548"/>
    <w:rsid w:val="00C54C57"/>
    <w:rsid w:val="00C55323"/>
    <w:rsid w:val="00C55A2D"/>
    <w:rsid w:val="00C55DCA"/>
    <w:rsid w:val="00C55E6C"/>
    <w:rsid w:val="00C55EE4"/>
    <w:rsid w:val="00C562E2"/>
    <w:rsid w:val="00C5668B"/>
    <w:rsid w:val="00C56F3B"/>
    <w:rsid w:val="00C570A8"/>
    <w:rsid w:val="00C57863"/>
    <w:rsid w:val="00C57AAB"/>
    <w:rsid w:val="00C60563"/>
    <w:rsid w:val="00C60713"/>
    <w:rsid w:val="00C60C3D"/>
    <w:rsid w:val="00C61481"/>
    <w:rsid w:val="00C61CB6"/>
    <w:rsid w:val="00C61F26"/>
    <w:rsid w:val="00C62142"/>
    <w:rsid w:val="00C6227C"/>
    <w:rsid w:val="00C625E4"/>
    <w:rsid w:val="00C63602"/>
    <w:rsid w:val="00C63722"/>
    <w:rsid w:val="00C638C3"/>
    <w:rsid w:val="00C64292"/>
    <w:rsid w:val="00C64DC8"/>
    <w:rsid w:val="00C6512C"/>
    <w:rsid w:val="00C655E7"/>
    <w:rsid w:val="00C659EA"/>
    <w:rsid w:val="00C65A5E"/>
    <w:rsid w:val="00C66021"/>
    <w:rsid w:val="00C66437"/>
    <w:rsid w:val="00C66F19"/>
    <w:rsid w:val="00C67251"/>
    <w:rsid w:val="00C67C68"/>
    <w:rsid w:val="00C67D41"/>
    <w:rsid w:val="00C70524"/>
    <w:rsid w:val="00C7121E"/>
    <w:rsid w:val="00C713B7"/>
    <w:rsid w:val="00C71450"/>
    <w:rsid w:val="00C71865"/>
    <w:rsid w:val="00C71BF1"/>
    <w:rsid w:val="00C71DB8"/>
    <w:rsid w:val="00C71EB7"/>
    <w:rsid w:val="00C71F4C"/>
    <w:rsid w:val="00C72497"/>
    <w:rsid w:val="00C72795"/>
    <w:rsid w:val="00C7316D"/>
    <w:rsid w:val="00C735BB"/>
    <w:rsid w:val="00C73815"/>
    <w:rsid w:val="00C73C05"/>
    <w:rsid w:val="00C7455A"/>
    <w:rsid w:val="00C7491A"/>
    <w:rsid w:val="00C74A5E"/>
    <w:rsid w:val="00C74B39"/>
    <w:rsid w:val="00C74C9C"/>
    <w:rsid w:val="00C751D3"/>
    <w:rsid w:val="00C754CF"/>
    <w:rsid w:val="00C75987"/>
    <w:rsid w:val="00C7599A"/>
    <w:rsid w:val="00C75A03"/>
    <w:rsid w:val="00C7631B"/>
    <w:rsid w:val="00C765E2"/>
    <w:rsid w:val="00C76829"/>
    <w:rsid w:val="00C76890"/>
    <w:rsid w:val="00C771CB"/>
    <w:rsid w:val="00C77F55"/>
    <w:rsid w:val="00C80491"/>
    <w:rsid w:val="00C806EB"/>
    <w:rsid w:val="00C80796"/>
    <w:rsid w:val="00C80824"/>
    <w:rsid w:val="00C80FF4"/>
    <w:rsid w:val="00C8115C"/>
    <w:rsid w:val="00C8143A"/>
    <w:rsid w:val="00C8209D"/>
    <w:rsid w:val="00C82CE1"/>
    <w:rsid w:val="00C82FAD"/>
    <w:rsid w:val="00C834F8"/>
    <w:rsid w:val="00C8397E"/>
    <w:rsid w:val="00C83FDB"/>
    <w:rsid w:val="00C85033"/>
    <w:rsid w:val="00C8558E"/>
    <w:rsid w:val="00C857B1"/>
    <w:rsid w:val="00C857BD"/>
    <w:rsid w:val="00C85FBA"/>
    <w:rsid w:val="00C865A0"/>
    <w:rsid w:val="00C86AD1"/>
    <w:rsid w:val="00C86F69"/>
    <w:rsid w:val="00C877CC"/>
    <w:rsid w:val="00C87821"/>
    <w:rsid w:val="00C87C7D"/>
    <w:rsid w:val="00C87D8C"/>
    <w:rsid w:val="00C87E9E"/>
    <w:rsid w:val="00C9039E"/>
    <w:rsid w:val="00C9054B"/>
    <w:rsid w:val="00C90A96"/>
    <w:rsid w:val="00C910AA"/>
    <w:rsid w:val="00C912F8"/>
    <w:rsid w:val="00C92154"/>
    <w:rsid w:val="00C92D4A"/>
    <w:rsid w:val="00C92DB7"/>
    <w:rsid w:val="00C93156"/>
    <w:rsid w:val="00C935AC"/>
    <w:rsid w:val="00C936A6"/>
    <w:rsid w:val="00C937DC"/>
    <w:rsid w:val="00C93D60"/>
    <w:rsid w:val="00C93EE7"/>
    <w:rsid w:val="00C94229"/>
    <w:rsid w:val="00C95F21"/>
    <w:rsid w:val="00C965CD"/>
    <w:rsid w:val="00C96AB2"/>
    <w:rsid w:val="00C96C54"/>
    <w:rsid w:val="00C96E3A"/>
    <w:rsid w:val="00C971AF"/>
    <w:rsid w:val="00C97BA9"/>
    <w:rsid w:val="00CA0959"/>
    <w:rsid w:val="00CA0BAD"/>
    <w:rsid w:val="00CA0E56"/>
    <w:rsid w:val="00CA1161"/>
    <w:rsid w:val="00CA1248"/>
    <w:rsid w:val="00CA223C"/>
    <w:rsid w:val="00CA2C2C"/>
    <w:rsid w:val="00CA31A0"/>
    <w:rsid w:val="00CA37C7"/>
    <w:rsid w:val="00CA3FC7"/>
    <w:rsid w:val="00CA4AE2"/>
    <w:rsid w:val="00CA4C1D"/>
    <w:rsid w:val="00CA55E8"/>
    <w:rsid w:val="00CA58E0"/>
    <w:rsid w:val="00CA61CE"/>
    <w:rsid w:val="00CA7908"/>
    <w:rsid w:val="00CA79F5"/>
    <w:rsid w:val="00CA7A25"/>
    <w:rsid w:val="00CA7C2A"/>
    <w:rsid w:val="00CB0178"/>
    <w:rsid w:val="00CB0C9B"/>
    <w:rsid w:val="00CB1594"/>
    <w:rsid w:val="00CB16D4"/>
    <w:rsid w:val="00CB1723"/>
    <w:rsid w:val="00CB1773"/>
    <w:rsid w:val="00CB19BE"/>
    <w:rsid w:val="00CB33BB"/>
    <w:rsid w:val="00CB3592"/>
    <w:rsid w:val="00CB3E64"/>
    <w:rsid w:val="00CB4086"/>
    <w:rsid w:val="00CB465C"/>
    <w:rsid w:val="00CB5768"/>
    <w:rsid w:val="00CB5E0F"/>
    <w:rsid w:val="00CB6445"/>
    <w:rsid w:val="00CB66A4"/>
    <w:rsid w:val="00CB6993"/>
    <w:rsid w:val="00CB7075"/>
    <w:rsid w:val="00CB7511"/>
    <w:rsid w:val="00CB77B1"/>
    <w:rsid w:val="00CB7DC2"/>
    <w:rsid w:val="00CB7DC6"/>
    <w:rsid w:val="00CB7E5E"/>
    <w:rsid w:val="00CC0320"/>
    <w:rsid w:val="00CC0541"/>
    <w:rsid w:val="00CC063A"/>
    <w:rsid w:val="00CC0825"/>
    <w:rsid w:val="00CC0B5B"/>
    <w:rsid w:val="00CC0B8F"/>
    <w:rsid w:val="00CC0BE2"/>
    <w:rsid w:val="00CC0D75"/>
    <w:rsid w:val="00CC1129"/>
    <w:rsid w:val="00CC1623"/>
    <w:rsid w:val="00CC1E80"/>
    <w:rsid w:val="00CC20BC"/>
    <w:rsid w:val="00CC2169"/>
    <w:rsid w:val="00CC2C76"/>
    <w:rsid w:val="00CC2FB2"/>
    <w:rsid w:val="00CC32AB"/>
    <w:rsid w:val="00CC33C3"/>
    <w:rsid w:val="00CC39FB"/>
    <w:rsid w:val="00CC46D8"/>
    <w:rsid w:val="00CC4EBF"/>
    <w:rsid w:val="00CC5252"/>
    <w:rsid w:val="00CC542C"/>
    <w:rsid w:val="00CC5499"/>
    <w:rsid w:val="00CC61A8"/>
    <w:rsid w:val="00CC6450"/>
    <w:rsid w:val="00CC73D3"/>
    <w:rsid w:val="00CC745D"/>
    <w:rsid w:val="00CC7628"/>
    <w:rsid w:val="00CD00D1"/>
    <w:rsid w:val="00CD0488"/>
    <w:rsid w:val="00CD0675"/>
    <w:rsid w:val="00CD088A"/>
    <w:rsid w:val="00CD1469"/>
    <w:rsid w:val="00CD1599"/>
    <w:rsid w:val="00CD17A0"/>
    <w:rsid w:val="00CD1BB3"/>
    <w:rsid w:val="00CD2516"/>
    <w:rsid w:val="00CD2874"/>
    <w:rsid w:val="00CD28ED"/>
    <w:rsid w:val="00CD2E13"/>
    <w:rsid w:val="00CD331A"/>
    <w:rsid w:val="00CD3A1A"/>
    <w:rsid w:val="00CD410A"/>
    <w:rsid w:val="00CD41EB"/>
    <w:rsid w:val="00CD4EF4"/>
    <w:rsid w:val="00CD5237"/>
    <w:rsid w:val="00CD6314"/>
    <w:rsid w:val="00CD637E"/>
    <w:rsid w:val="00CD6644"/>
    <w:rsid w:val="00CD6D4F"/>
    <w:rsid w:val="00CD71DD"/>
    <w:rsid w:val="00CD78EE"/>
    <w:rsid w:val="00CE0AA9"/>
    <w:rsid w:val="00CE0E6C"/>
    <w:rsid w:val="00CE12CF"/>
    <w:rsid w:val="00CE21BC"/>
    <w:rsid w:val="00CE2361"/>
    <w:rsid w:val="00CE26EA"/>
    <w:rsid w:val="00CE404D"/>
    <w:rsid w:val="00CE444C"/>
    <w:rsid w:val="00CE4A8C"/>
    <w:rsid w:val="00CE5EF5"/>
    <w:rsid w:val="00CE6106"/>
    <w:rsid w:val="00CE69D1"/>
    <w:rsid w:val="00CE6D77"/>
    <w:rsid w:val="00CE764C"/>
    <w:rsid w:val="00CF0417"/>
    <w:rsid w:val="00CF0A50"/>
    <w:rsid w:val="00CF0F8A"/>
    <w:rsid w:val="00CF1A5D"/>
    <w:rsid w:val="00CF1A82"/>
    <w:rsid w:val="00CF2227"/>
    <w:rsid w:val="00CF2251"/>
    <w:rsid w:val="00CF2998"/>
    <w:rsid w:val="00CF3115"/>
    <w:rsid w:val="00CF3C3F"/>
    <w:rsid w:val="00CF3DA2"/>
    <w:rsid w:val="00CF4151"/>
    <w:rsid w:val="00CF429E"/>
    <w:rsid w:val="00CF42F6"/>
    <w:rsid w:val="00CF448A"/>
    <w:rsid w:val="00CF50EC"/>
    <w:rsid w:val="00CF5133"/>
    <w:rsid w:val="00CF5B78"/>
    <w:rsid w:val="00CF5ED5"/>
    <w:rsid w:val="00CF6CB7"/>
    <w:rsid w:val="00CF7379"/>
    <w:rsid w:val="00CF7A3A"/>
    <w:rsid w:val="00CF7B02"/>
    <w:rsid w:val="00CF7DFC"/>
    <w:rsid w:val="00D00B3C"/>
    <w:rsid w:val="00D00D99"/>
    <w:rsid w:val="00D00DC2"/>
    <w:rsid w:val="00D012DF"/>
    <w:rsid w:val="00D014CA"/>
    <w:rsid w:val="00D01744"/>
    <w:rsid w:val="00D019B3"/>
    <w:rsid w:val="00D019FE"/>
    <w:rsid w:val="00D01ECA"/>
    <w:rsid w:val="00D022D1"/>
    <w:rsid w:val="00D02D45"/>
    <w:rsid w:val="00D0304B"/>
    <w:rsid w:val="00D03602"/>
    <w:rsid w:val="00D03D15"/>
    <w:rsid w:val="00D04305"/>
    <w:rsid w:val="00D05767"/>
    <w:rsid w:val="00D0592E"/>
    <w:rsid w:val="00D05C08"/>
    <w:rsid w:val="00D05E3B"/>
    <w:rsid w:val="00D060F1"/>
    <w:rsid w:val="00D062E0"/>
    <w:rsid w:val="00D06B8A"/>
    <w:rsid w:val="00D06C48"/>
    <w:rsid w:val="00D07373"/>
    <w:rsid w:val="00D0765A"/>
    <w:rsid w:val="00D078C6"/>
    <w:rsid w:val="00D10444"/>
    <w:rsid w:val="00D1081F"/>
    <w:rsid w:val="00D10CC0"/>
    <w:rsid w:val="00D10E1B"/>
    <w:rsid w:val="00D10F9F"/>
    <w:rsid w:val="00D112F1"/>
    <w:rsid w:val="00D11BB4"/>
    <w:rsid w:val="00D11CF1"/>
    <w:rsid w:val="00D120D3"/>
    <w:rsid w:val="00D12211"/>
    <w:rsid w:val="00D1271E"/>
    <w:rsid w:val="00D12892"/>
    <w:rsid w:val="00D129CA"/>
    <w:rsid w:val="00D12A34"/>
    <w:rsid w:val="00D13089"/>
    <w:rsid w:val="00D13196"/>
    <w:rsid w:val="00D137E4"/>
    <w:rsid w:val="00D13C55"/>
    <w:rsid w:val="00D13C8F"/>
    <w:rsid w:val="00D13EE4"/>
    <w:rsid w:val="00D13FE6"/>
    <w:rsid w:val="00D1419D"/>
    <w:rsid w:val="00D145D5"/>
    <w:rsid w:val="00D14638"/>
    <w:rsid w:val="00D1463E"/>
    <w:rsid w:val="00D14E07"/>
    <w:rsid w:val="00D15B9E"/>
    <w:rsid w:val="00D15DD9"/>
    <w:rsid w:val="00D1667A"/>
    <w:rsid w:val="00D17883"/>
    <w:rsid w:val="00D17D11"/>
    <w:rsid w:val="00D204AB"/>
    <w:rsid w:val="00D20573"/>
    <w:rsid w:val="00D2057D"/>
    <w:rsid w:val="00D208E2"/>
    <w:rsid w:val="00D21746"/>
    <w:rsid w:val="00D21A7D"/>
    <w:rsid w:val="00D21A8F"/>
    <w:rsid w:val="00D21FDE"/>
    <w:rsid w:val="00D220D3"/>
    <w:rsid w:val="00D22154"/>
    <w:rsid w:val="00D226C7"/>
    <w:rsid w:val="00D22D1E"/>
    <w:rsid w:val="00D22EFF"/>
    <w:rsid w:val="00D234CF"/>
    <w:rsid w:val="00D236B4"/>
    <w:rsid w:val="00D23981"/>
    <w:rsid w:val="00D24D47"/>
    <w:rsid w:val="00D257B0"/>
    <w:rsid w:val="00D26021"/>
    <w:rsid w:val="00D262AD"/>
    <w:rsid w:val="00D262C3"/>
    <w:rsid w:val="00D26B87"/>
    <w:rsid w:val="00D278C9"/>
    <w:rsid w:val="00D279BB"/>
    <w:rsid w:val="00D279C4"/>
    <w:rsid w:val="00D27AE8"/>
    <w:rsid w:val="00D27B5B"/>
    <w:rsid w:val="00D301F0"/>
    <w:rsid w:val="00D30B22"/>
    <w:rsid w:val="00D316BB"/>
    <w:rsid w:val="00D32140"/>
    <w:rsid w:val="00D322ED"/>
    <w:rsid w:val="00D3259C"/>
    <w:rsid w:val="00D330F1"/>
    <w:rsid w:val="00D33BC5"/>
    <w:rsid w:val="00D33BD7"/>
    <w:rsid w:val="00D3471D"/>
    <w:rsid w:val="00D348FD"/>
    <w:rsid w:val="00D35016"/>
    <w:rsid w:val="00D358F9"/>
    <w:rsid w:val="00D35A37"/>
    <w:rsid w:val="00D35CEC"/>
    <w:rsid w:val="00D363FE"/>
    <w:rsid w:val="00D36EBB"/>
    <w:rsid w:val="00D37938"/>
    <w:rsid w:val="00D3796A"/>
    <w:rsid w:val="00D37F63"/>
    <w:rsid w:val="00D37F9C"/>
    <w:rsid w:val="00D40C16"/>
    <w:rsid w:val="00D41565"/>
    <w:rsid w:val="00D417C9"/>
    <w:rsid w:val="00D4281A"/>
    <w:rsid w:val="00D42F4C"/>
    <w:rsid w:val="00D43052"/>
    <w:rsid w:val="00D43401"/>
    <w:rsid w:val="00D43E1D"/>
    <w:rsid w:val="00D43F8B"/>
    <w:rsid w:val="00D4415D"/>
    <w:rsid w:val="00D443F5"/>
    <w:rsid w:val="00D44A50"/>
    <w:rsid w:val="00D44DD5"/>
    <w:rsid w:val="00D45112"/>
    <w:rsid w:val="00D455F0"/>
    <w:rsid w:val="00D45941"/>
    <w:rsid w:val="00D4649F"/>
    <w:rsid w:val="00D47134"/>
    <w:rsid w:val="00D4756A"/>
    <w:rsid w:val="00D47581"/>
    <w:rsid w:val="00D47E41"/>
    <w:rsid w:val="00D50284"/>
    <w:rsid w:val="00D504B4"/>
    <w:rsid w:val="00D512D7"/>
    <w:rsid w:val="00D513F9"/>
    <w:rsid w:val="00D51D5D"/>
    <w:rsid w:val="00D52E24"/>
    <w:rsid w:val="00D52E2C"/>
    <w:rsid w:val="00D52FA4"/>
    <w:rsid w:val="00D539B5"/>
    <w:rsid w:val="00D5477D"/>
    <w:rsid w:val="00D54BE9"/>
    <w:rsid w:val="00D54E4C"/>
    <w:rsid w:val="00D55032"/>
    <w:rsid w:val="00D55D1F"/>
    <w:rsid w:val="00D55DB1"/>
    <w:rsid w:val="00D55EC8"/>
    <w:rsid w:val="00D56662"/>
    <w:rsid w:val="00D572C8"/>
    <w:rsid w:val="00D57A2D"/>
    <w:rsid w:val="00D57D22"/>
    <w:rsid w:val="00D6006A"/>
    <w:rsid w:val="00D607A8"/>
    <w:rsid w:val="00D60FCE"/>
    <w:rsid w:val="00D61570"/>
    <w:rsid w:val="00D615B2"/>
    <w:rsid w:val="00D615C2"/>
    <w:rsid w:val="00D6186E"/>
    <w:rsid w:val="00D62205"/>
    <w:rsid w:val="00D6231A"/>
    <w:rsid w:val="00D62335"/>
    <w:rsid w:val="00D62357"/>
    <w:rsid w:val="00D62444"/>
    <w:rsid w:val="00D62851"/>
    <w:rsid w:val="00D632F9"/>
    <w:rsid w:val="00D63C1E"/>
    <w:rsid w:val="00D6487B"/>
    <w:rsid w:val="00D6493B"/>
    <w:rsid w:val="00D64F15"/>
    <w:rsid w:val="00D65011"/>
    <w:rsid w:val="00D6542E"/>
    <w:rsid w:val="00D66895"/>
    <w:rsid w:val="00D66AF2"/>
    <w:rsid w:val="00D672AF"/>
    <w:rsid w:val="00D677C0"/>
    <w:rsid w:val="00D70538"/>
    <w:rsid w:val="00D70FBD"/>
    <w:rsid w:val="00D7149A"/>
    <w:rsid w:val="00D716A1"/>
    <w:rsid w:val="00D716D6"/>
    <w:rsid w:val="00D7212F"/>
    <w:rsid w:val="00D7217A"/>
    <w:rsid w:val="00D7274E"/>
    <w:rsid w:val="00D72A49"/>
    <w:rsid w:val="00D7387D"/>
    <w:rsid w:val="00D75122"/>
    <w:rsid w:val="00D752A9"/>
    <w:rsid w:val="00D75938"/>
    <w:rsid w:val="00D75D23"/>
    <w:rsid w:val="00D7623C"/>
    <w:rsid w:val="00D766D2"/>
    <w:rsid w:val="00D76D31"/>
    <w:rsid w:val="00D770AE"/>
    <w:rsid w:val="00D77A8D"/>
    <w:rsid w:val="00D8044C"/>
    <w:rsid w:val="00D8079E"/>
    <w:rsid w:val="00D80986"/>
    <w:rsid w:val="00D80AD1"/>
    <w:rsid w:val="00D80DDF"/>
    <w:rsid w:val="00D8143A"/>
    <w:rsid w:val="00D81449"/>
    <w:rsid w:val="00D8162B"/>
    <w:rsid w:val="00D816BD"/>
    <w:rsid w:val="00D81E9E"/>
    <w:rsid w:val="00D81F33"/>
    <w:rsid w:val="00D82367"/>
    <w:rsid w:val="00D823F0"/>
    <w:rsid w:val="00D83261"/>
    <w:rsid w:val="00D8380A"/>
    <w:rsid w:val="00D843B9"/>
    <w:rsid w:val="00D843D0"/>
    <w:rsid w:val="00D844F6"/>
    <w:rsid w:val="00D84987"/>
    <w:rsid w:val="00D84F83"/>
    <w:rsid w:val="00D85084"/>
    <w:rsid w:val="00D85C23"/>
    <w:rsid w:val="00D85C5A"/>
    <w:rsid w:val="00D85C5E"/>
    <w:rsid w:val="00D85F90"/>
    <w:rsid w:val="00D868BF"/>
    <w:rsid w:val="00D86AD3"/>
    <w:rsid w:val="00D87BD1"/>
    <w:rsid w:val="00D87FEF"/>
    <w:rsid w:val="00D90047"/>
    <w:rsid w:val="00D90554"/>
    <w:rsid w:val="00D90A73"/>
    <w:rsid w:val="00D90A94"/>
    <w:rsid w:val="00D90C76"/>
    <w:rsid w:val="00D9103F"/>
    <w:rsid w:val="00D91084"/>
    <w:rsid w:val="00D917AE"/>
    <w:rsid w:val="00D91C77"/>
    <w:rsid w:val="00D921DF"/>
    <w:rsid w:val="00D92668"/>
    <w:rsid w:val="00D929E0"/>
    <w:rsid w:val="00D935C5"/>
    <w:rsid w:val="00D93A51"/>
    <w:rsid w:val="00D94291"/>
    <w:rsid w:val="00D942F0"/>
    <w:rsid w:val="00D9462F"/>
    <w:rsid w:val="00D94AA7"/>
    <w:rsid w:val="00D94AAF"/>
    <w:rsid w:val="00D94B1D"/>
    <w:rsid w:val="00D94D91"/>
    <w:rsid w:val="00D94E57"/>
    <w:rsid w:val="00D95053"/>
    <w:rsid w:val="00D95205"/>
    <w:rsid w:val="00D9522E"/>
    <w:rsid w:val="00D95B12"/>
    <w:rsid w:val="00D962BF"/>
    <w:rsid w:val="00D966F2"/>
    <w:rsid w:val="00D96D99"/>
    <w:rsid w:val="00D97229"/>
    <w:rsid w:val="00D978BC"/>
    <w:rsid w:val="00DA1B50"/>
    <w:rsid w:val="00DA1E52"/>
    <w:rsid w:val="00DA1F1C"/>
    <w:rsid w:val="00DA2B06"/>
    <w:rsid w:val="00DA2CBB"/>
    <w:rsid w:val="00DA31E3"/>
    <w:rsid w:val="00DA3820"/>
    <w:rsid w:val="00DA3F0D"/>
    <w:rsid w:val="00DA4891"/>
    <w:rsid w:val="00DA498B"/>
    <w:rsid w:val="00DA4D1A"/>
    <w:rsid w:val="00DA50A0"/>
    <w:rsid w:val="00DA5239"/>
    <w:rsid w:val="00DA5BB2"/>
    <w:rsid w:val="00DA62CA"/>
    <w:rsid w:val="00DA6DA1"/>
    <w:rsid w:val="00DA7BE3"/>
    <w:rsid w:val="00DA7CFE"/>
    <w:rsid w:val="00DB0028"/>
    <w:rsid w:val="00DB06B5"/>
    <w:rsid w:val="00DB0743"/>
    <w:rsid w:val="00DB09D8"/>
    <w:rsid w:val="00DB0C13"/>
    <w:rsid w:val="00DB173E"/>
    <w:rsid w:val="00DB1948"/>
    <w:rsid w:val="00DB1A84"/>
    <w:rsid w:val="00DB1B8A"/>
    <w:rsid w:val="00DB2026"/>
    <w:rsid w:val="00DB270B"/>
    <w:rsid w:val="00DB2C2C"/>
    <w:rsid w:val="00DB3AAB"/>
    <w:rsid w:val="00DB3C3D"/>
    <w:rsid w:val="00DB45F0"/>
    <w:rsid w:val="00DB4B43"/>
    <w:rsid w:val="00DB61EF"/>
    <w:rsid w:val="00DB6389"/>
    <w:rsid w:val="00DB700B"/>
    <w:rsid w:val="00DB720A"/>
    <w:rsid w:val="00DB726B"/>
    <w:rsid w:val="00DB755B"/>
    <w:rsid w:val="00DB7E07"/>
    <w:rsid w:val="00DC05AE"/>
    <w:rsid w:val="00DC20FC"/>
    <w:rsid w:val="00DC2661"/>
    <w:rsid w:val="00DC27B0"/>
    <w:rsid w:val="00DC2C7F"/>
    <w:rsid w:val="00DC3002"/>
    <w:rsid w:val="00DC308B"/>
    <w:rsid w:val="00DC311F"/>
    <w:rsid w:val="00DC316F"/>
    <w:rsid w:val="00DC34CA"/>
    <w:rsid w:val="00DC410F"/>
    <w:rsid w:val="00DC5572"/>
    <w:rsid w:val="00DC573C"/>
    <w:rsid w:val="00DC5A80"/>
    <w:rsid w:val="00DC5B67"/>
    <w:rsid w:val="00DC5D1B"/>
    <w:rsid w:val="00DC60E0"/>
    <w:rsid w:val="00DC6474"/>
    <w:rsid w:val="00DC6827"/>
    <w:rsid w:val="00DC6B77"/>
    <w:rsid w:val="00DC6D10"/>
    <w:rsid w:val="00DC6ED0"/>
    <w:rsid w:val="00DC7236"/>
    <w:rsid w:val="00DC7BC5"/>
    <w:rsid w:val="00DC7C01"/>
    <w:rsid w:val="00DD1855"/>
    <w:rsid w:val="00DD199B"/>
    <w:rsid w:val="00DD1C23"/>
    <w:rsid w:val="00DD2136"/>
    <w:rsid w:val="00DD23F7"/>
    <w:rsid w:val="00DD241A"/>
    <w:rsid w:val="00DD27F8"/>
    <w:rsid w:val="00DD2D8D"/>
    <w:rsid w:val="00DD2E4C"/>
    <w:rsid w:val="00DD30B0"/>
    <w:rsid w:val="00DD3356"/>
    <w:rsid w:val="00DD3412"/>
    <w:rsid w:val="00DD344A"/>
    <w:rsid w:val="00DD3BB6"/>
    <w:rsid w:val="00DD3BFD"/>
    <w:rsid w:val="00DD3C63"/>
    <w:rsid w:val="00DD4655"/>
    <w:rsid w:val="00DD4808"/>
    <w:rsid w:val="00DD4873"/>
    <w:rsid w:val="00DD4A29"/>
    <w:rsid w:val="00DD57EE"/>
    <w:rsid w:val="00DD57FC"/>
    <w:rsid w:val="00DD5938"/>
    <w:rsid w:val="00DD6813"/>
    <w:rsid w:val="00DD7155"/>
    <w:rsid w:val="00DD73CF"/>
    <w:rsid w:val="00DD74FF"/>
    <w:rsid w:val="00DD7B1F"/>
    <w:rsid w:val="00DD7D58"/>
    <w:rsid w:val="00DE04E0"/>
    <w:rsid w:val="00DE0511"/>
    <w:rsid w:val="00DE0F83"/>
    <w:rsid w:val="00DE1285"/>
    <w:rsid w:val="00DE13C5"/>
    <w:rsid w:val="00DE22D1"/>
    <w:rsid w:val="00DE2865"/>
    <w:rsid w:val="00DE29C8"/>
    <w:rsid w:val="00DE39A4"/>
    <w:rsid w:val="00DE3B4A"/>
    <w:rsid w:val="00DE3CF4"/>
    <w:rsid w:val="00DE4A3D"/>
    <w:rsid w:val="00DE5079"/>
    <w:rsid w:val="00DE518A"/>
    <w:rsid w:val="00DE56E1"/>
    <w:rsid w:val="00DE5853"/>
    <w:rsid w:val="00DE5B26"/>
    <w:rsid w:val="00DE5BE0"/>
    <w:rsid w:val="00DE688B"/>
    <w:rsid w:val="00DE6DCA"/>
    <w:rsid w:val="00DE6ED1"/>
    <w:rsid w:val="00DE73A8"/>
    <w:rsid w:val="00DE7918"/>
    <w:rsid w:val="00DE7BB3"/>
    <w:rsid w:val="00DE7CCB"/>
    <w:rsid w:val="00DE7D67"/>
    <w:rsid w:val="00DF0850"/>
    <w:rsid w:val="00DF0ABF"/>
    <w:rsid w:val="00DF0F55"/>
    <w:rsid w:val="00DF0FF1"/>
    <w:rsid w:val="00DF12E5"/>
    <w:rsid w:val="00DF178E"/>
    <w:rsid w:val="00DF201F"/>
    <w:rsid w:val="00DF22B2"/>
    <w:rsid w:val="00DF243C"/>
    <w:rsid w:val="00DF3F1D"/>
    <w:rsid w:val="00DF3FD5"/>
    <w:rsid w:val="00DF4017"/>
    <w:rsid w:val="00DF49CD"/>
    <w:rsid w:val="00DF49D3"/>
    <w:rsid w:val="00DF4EBE"/>
    <w:rsid w:val="00DF5D15"/>
    <w:rsid w:val="00DF5E18"/>
    <w:rsid w:val="00DF63E0"/>
    <w:rsid w:val="00DF64D1"/>
    <w:rsid w:val="00DF6836"/>
    <w:rsid w:val="00DF7986"/>
    <w:rsid w:val="00E00ED4"/>
    <w:rsid w:val="00E01055"/>
    <w:rsid w:val="00E01351"/>
    <w:rsid w:val="00E0142F"/>
    <w:rsid w:val="00E016ED"/>
    <w:rsid w:val="00E01783"/>
    <w:rsid w:val="00E01912"/>
    <w:rsid w:val="00E02136"/>
    <w:rsid w:val="00E029CF"/>
    <w:rsid w:val="00E029E8"/>
    <w:rsid w:val="00E02A63"/>
    <w:rsid w:val="00E02C97"/>
    <w:rsid w:val="00E0357B"/>
    <w:rsid w:val="00E03832"/>
    <w:rsid w:val="00E0401D"/>
    <w:rsid w:val="00E04056"/>
    <w:rsid w:val="00E04135"/>
    <w:rsid w:val="00E04292"/>
    <w:rsid w:val="00E04480"/>
    <w:rsid w:val="00E044D4"/>
    <w:rsid w:val="00E047D3"/>
    <w:rsid w:val="00E04ABD"/>
    <w:rsid w:val="00E04D86"/>
    <w:rsid w:val="00E05130"/>
    <w:rsid w:val="00E05846"/>
    <w:rsid w:val="00E05A0C"/>
    <w:rsid w:val="00E05DB5"/>
    <w:rsid w:val="00E067A2"/>
    <w:rsid w:val="00E06C4D"/>
    <w:rsid w:val="00E07C78"/>
    <w:rsid w:val="00E07D17"/>
    <w:rsid w:val="00E1001F"/>
    <w:rsid w:val="00E10067"/>
    <w:rsid w:val="00E102E9"/>
    <w:rsid w:val="00E1034E"/>
    <w:rsid w:val="00E10624"/>
    <w:rsid w:val="00E10ADF"/>
    <w:rsid w:val="00E112C7"/>
    <w:rsid w:val="00E11C38"/>
    <w:rsid w:val="00E11D84"/>
    <w:rsid w:val="00E12095"/>
    <w:rsid w:val="00E124D9"/>
    <w:rsid w:val="00E129FC"/>
    <w:rsid w:val="00E12D74"/>
    <w:rsid w:val="00E1317D"/>
    <w:rsid w:val="00E147C8"/>
    <w:rsid w:val="00E149F4"/>
    <w:rsid w:val="00E14D83"/>
    <w:rsid w:val="00E1513B"/>
    <w:rsid w:val="00E16464"/>
    <w:rsid w:val="00E17598"/>
    <w:rsid w:val="00E17CBE"/>
    <w:rsid w:val="00E2019D"/>
    <w:rsid w:val="00E20287"/>
    <w:rsid w:val="00E20334"/>
    <w:rsid w:val="00E20845"/>
    <w:rsid w:val="00E20AFA"/>
    <w:rsid w:val="00E20D14"/>
    <w:rsid w:val="00E20DAD"/>
    <w:rsid w:val="00E2107A"/>
    <w:rsid w:val="00E2140A"/>
    <w:rsid w:val="00E218E1"/>
    <w:rsid w:val="00E219F1"/>
    <w:rsid w:val="00E2209B"/>
    <w:rsid w:val="00E2248E"/>
    <w:rsid w:val="00E229B9"/>
    <w:rsid w:val="00E235CA"/>
    <w:rsid w:val="00E235D0"/>
    <w:rsid w:val="00E23984"/>
    <w:rsid w:val="00E239B6"/>
    <w:rsid w:val="00E23C17"/>
    <w:rsid w:val="00E23E58"/>
    <w:rsid w:val="00E246EE"/>
    <w:rsid w:val="00E24B01"/>
    <w:rsid w:val="00E24BD1"/>
    <w:rsid w:val="00E25345"/>
    <w:rsid w:val="00E258EF"/>
    <w:rsid w:val="00E26063"/>
    <w:rsid w:val="00E261A1"/>
    <w:rsid w:val="00E2631F"/>
    <w:rsid w:val="00E26C49"/>
    <w:rsid w:val="00E2714B"/>
    <w:rsid w:val="00E276C1"/>
    <w:rsid w:val="00E276F0"/>
    <w:rsid w:val="00E27F49"/>
    <w:rsid w:val="00E307BB"/>
    <w:rsid w:val="00E30C8C"/>
    <w:rsid w:val="00E30D0B"/>
    <w:rsid w:val="00E31462"/>
    <w:rsid w:val="00E32882"/>
    <w:rsid w:val="00E330A8"/>
    <w:rsid w:val="00E3323B"/>
    <w:rsid w:val="00E33527"/>
    <w:rsid w:val="00E33641"/>
    <w:rsid w:val="00E33F30"/>
    <w:rsid w:val="00E33FD6"/>
    <w:rsid w:val="00E34A7B"/>
    <w:rsid w:val="00E34DFD"/>
    <w:rsid w:val="00E35666"/>
    <w:rsid w:val="00E356E1"/>
    <w:rsid w:val="00E35744"/>
    <w:rsid w:val="00E35BD5"/>
    <w:rsid w:val="00E35C12"/>
    <w:rsid w:val="00E36347"/>
    <w:rsid w:val="00E3653D"/>
    <w:rsid w:val="00E365DA"/>
    <w:rsid w:val="00E36957"/>
    <w:rsid w:val="00E3697A"/>
    <w:rsid w:val="00E37094"/>
    <w:rsid w:val="00E376F1"/>
    <w:rsid w:val="00E40513"/>
    <w:rsid w:val="00E40A30"/>
    <w:rsid w:val="00E41216"/>
    <w:rsid w:val="00E41395"/>
    <w:rsid w:val="00E414B1"/>
    <w:rsid w:val="00E417A1"/>
    <w:rsid w:val="00E4239C"/>
    <w:rsid w:val="00E4295E"/>
    <w:rsid w:val="00E42AEA"/>
    <w:rsid w:val="00E42BB3"/>
    <w:rsid w:val="00E42D87"/>
    <w:rsid w:val="00E42D96"/>
    <w:rsid w:val="00E43D1F"/>
    <w:rsid w:val="00E44A2E"/>
    <w:rsid w:val="00E44DFB"/>
    <w:rsid w:val="00E4556A"/>
    <w:rsid w:val="00E45B53"/>
    <w:rsid w:val="00E46525"/>
    <w:rsid w:val="00E4653B"/>
    <w:rsid w:val="00E46F0D"/>
    <w:rsid w:val="00E47843"/>
    <w:rsid w:val="00E47B27"/>
    <w:rsid w:val="00E50A54"/>
    <w:rsid w:val="00E518D8"/>
    <w:rsid w:val="00E52B3B"/>
    <w:rsid w:val="00E52B6B"/>
    <w:rsid w:val="00E52D59"/>
    <w:rsid w:val="00E53863"/>
    <w:rsid w:val="00E538EA"/>
    <w:rsid w:val="00E53F62"/>
    <w:rsid w:val="00E543AE"/>
    <w:rsid w:val="00E54624"/>
    <w:rsid w:val="00E548DB"/>
    <w:rsid w:val="00E549EA"/>
    <w:rsid w:val="00E55BFA"/>
    <w:rsid w:val="00E55C9C"/>
    <w:rsid w:val="00E55FB5"/>
    <w:rsid w:val="00E5606F"/>
    <w:rsid w:val="00E56DD0"/>
    <w:rsid w:val="00E56E69"/>
    <w:rsid w:val="00E56F17"/>
    <w:rsid w:val="00E57176"/>
    <w:rsid w:val="00E577D1"/>
    <w:rsid w:val="00E57B86"/>
    <w:rsid w:val="00E57DA5"/>
    <w:rsid w:val="00E6009A"/>
    <w:rsid w:val="00E60561"/>
    <w:rsid w:val="00E60906"/>
    <w:rsid w:val="00E6142F"/>
    <w:rsid w:val="00E61544"/>
    <w:rsid w:val="00E6232C"/>
    <w:rsid w:val="00E627DF"/>
    <w:rsid w:val="00E62859"/>
    <w:rsid w:val="00E62975"/>
    <w:rsid w:val="00E629FF"/>
    <w:rsid w:val="00E62B1A"/>
    <w:rsid w:val="00E6308B"/>
    <w:rsid w:val="00E6338A"/>
    <w:rsid w:val="00E6344C"/>
    <w:rsid w:val="00E641C5"/>
    <w:rsid w:val="00E648E8"/>
    <w:rsid w:val="00E64B00"/>
    <w:rsid w:val="00E64C0E"/>
    <w:rsid w:val="00E64C22"/>
    <w:rsid w:val="00E64CC1"/>
    <w:rsid w:val="00E64E52"/>
    <w:rsid w:val="00E65145"/>
    <w:rsid w:val="00E651A2"/>
    <w:rsid w:val="00E65667"/>
    <w:rsid w:val="00E656B0"/>
    <w:rsid w:val="00E65733"/>
    <w:rsid w:val="00E6622F"/>
    <w:rsid w:val="00E66F00"/>
    <w:rsid w:val="00E67690"/>
    <w:rsid w:val="00E7040A"/>
    <w:rsid w:val="00E70624"/>
    <w:rsid w:val="00E7089B"/>
    <w:rsid w:val="00E70C9C"/>
    <w:rsid w:val="00E70DD0"/>
    <w:rsid w:val="00E71156"/>
    <w:rsid w:val="00E714F2"/>
    <w:rsid w:val="00E7170E"/>
    <w:rsid w:val="00E71AF9"/>
    <w:rsid w:val="00E72135"/>
    <w:rsid w:val="00E72A31"/>
    <w:rsid w:val="00E72FEC"/>
    <w:rsid w:val="00E73291"/>
    <w:rsid w:val="00E73DE5"/>
    <w:rsid w:val="00E740D1"/>
    <w:rsid w:val="00E750D4"/>
    <w:rsid w:val="00E7540C"/>
    <w:rsid w:val="00E75510"/>
    <w:rsid w:val="00E75609"/>
    <w:rsid w:val="00E75969"/>
    <w:rsid w:val="00E759DB"/>
    <w:rsid w:val="00E75F6B"/>
    <w:rsid w:val="00E76169"/>
    <w:rsid w:val="00E76C50"/>
    <w:rsid w:val="00E76C77"/>
    <w:rsid w:val="00E770AF"/>
    <w:rsid w:val="00E77193"/>
    <w:rsid w:val="00E77258"/>
    <w:rsid w:val="00E7745D"/>
    <w:rsid w:val="00E77E6D"/>
    <w:rsid w:val="00E80062"/>
    <w:rsid w:val="00E801A7"/>
    <w:rsid w:val="00E802CC"/>
    <w:rsid w:val="00E80669"/>
    <w:rsid w:val="00E80E06"/>
    <w:rsid w:val="00E80F81"/>
    <w:rsid w:val="00E8136E"/>
    <w:rsid w:val="00E81416"/>
    <w:rsid w:val="00E81BFE"/>
    <w:rsid w:val="00E82021"/>
    <w:rsid w:val="00E82A06"/>
    <w:rsid w:val="00E82A86"/>
    <w:rsid w:val="00E83D04"/>
    <w:rsid w:val="00E844BD"/>
    <w:rsid w:val="00E8454C"/>
    <w:rsid w:val="00E84922"/>
    <w:rsid w:val="00E8531C"/>
    <w:rsid w:val="00E857F9"/>
    <w:rsid w:val="00E85C2D"/>
    <w:rsid w:val="00E86173"/>
    <w:rsid w:val="00E86560"/>
    <w:rsid w:val="00E87098"/>
    <w:rsid w:val="00E87384"/>
    <w:rsid w:val="00E900FF"/>
    <w:rsid w:val="00E9021F"/>
    <w:rsid w:val="00E9047B"/>
    <w:rsid w:val="00E9053E"/>
    <w:rsid w:val="00E90778"/>
    <w:rsid w:val="00E9093F"/>
    <w:rsid w:val="00E90A16"/>
    <w:rsid w:val="00E90C66"/>
    <w:rsid w:val="00E91B1B"/>
    <w:rsid w:val="00E921AE"/>
    <w:rsid w:val="00E92DD5"/>
    <w:rsid w:val="00E92FE0"/>
    <w:rsid w:val="00E94090"/>
    <w:rsid w:val="00E943E7"/>
    <w:rsid w:val="00E94481"/>
    <w:rsid w:val="00E94946"/>
    <w:rsid w:val="00E94E35"/>
    <w:rsid w:val="00E94E77"/>
    <w:rsid w:val="00E94F19"/>
    <w:rsid w:val="00E950B0"/>
    <w:rsid w:val="00E95119"/>
    <w:rsid w:val="00E954E0"/>
    <w:rsid w:val="00E9594F"/>
    <w:rsid w:val="00E96333"/>
    <w:rsid w:val="00E969A3"/>
    <w:rsid w:val="00E96B85"/>
    <w:rsid w:val="00EA0D5A"/>
    <w:rsid w:val="00EA1B9C"/>
    <w:rsid w:val="00EA264C"/>
    <w:rsid w:val="00EA30AD"/>
    <w:rsid w:val="00EA35F8"/>
    <w:rsid w:val="00EA3D9C"/>
    <w:rsid w:val="00EA40CA"/>
    <w:rsid w:val="00EA449A"/>
    <w:rsid w:val="00EA4AB2"/>
    <w:rsid w:val="00EA505F"/>
    <w:rsid w:val="00EA638D"/>
    <w:rsid w:val="00EA66FD"/>
    <w:rsid w:val="00EA6789"/>
    <w:rsid w:val="00EA6AF4"/>
    <w:rsid w:val="00EA6EB2"/>
    <w:rsid w:val="00EA7846"/>
    <w:rsid w:val="00EB02CE"/>
    <w:rsid w:val="00EB035E"/>
    <w:rsid w:val="00EB0970"/>
    <w:rsid w:val="00EB0BF4"/>
    <w:rsid w:val="00EB0C10"/>
    <w:rsid w:val="00EB0E7C"/>
    <w:rsid w:val="00EB1C69"/>
    <w:rsid w:val="00EB1DAB"/>
    <w:rsid w:val="00EB1E7A"/>
    <w:rsid w:val="00EB20B5"/>
    <w:rsid w:val="00EB20C0"/>
    <w:rsid w:val="00EB279B"/>
    <w:rsid w:val="00EB2912"/>
    <w:rsid w:val="00EB2994"/>
    <w:rsid w:val="00EB2CB6"/>
    <w:rsid w:val="00EB303B"/>
    <w:rsid w:val="00EB371C"/>
    <w:rsid w:val="00EB3B07"/>
    <w:rsid w:val="00EB3C31"/>
    <w:rsid w:val="00EB407C"/>
    <w:rsid w:val="00EB44AE"/>
    <w:rsid w:val="00EB4894"/>
    <w:rsid w:val="00EB538B"/>
    <w:rsid w:val="00EB544D"/>
    <w:rsid w:val="00EB5C6D"/>
    <w:rsid w:val="00EB63BF"/>
    <w:rsid w:val="00EB64CD"/>
    <w:rsid w:val="00EB659D"/>
    <w:rsid w:val="00EB6E51"/>
    <w:rsid w:val="00EB6E85"/>
    <w:rsid w:val="00EB72B0"/>
    <w:rsid w:val="00EC11D5"/>
    <w:rsid w:val="00EC155E"/>
    <w:rsid w:val="00EC1DEA"/>
    <w:rsid w:val="00EC1F56"/>
    <w:rsid w:val="00EC1F85"/>
    <w:rsid w:val="00EC2060"/>
    <w:rsid w:val="00EC20E3"/>
    <w:rsid w:val="00EC21B8"/>
    <w:rsid w:val="00EC3083"/>
    <w:rsid w:val="00EC36A1"/>
    <w:rsid w:val="00EC3D55"/>
    <w:rsid w:val="00EC3E4F"/>
    <w:rsid w:val="00EC45E7"/>
    <w:rsid w:val="00EC460F"/>
    <w:rsid w:val="00EC4D89"/>
    <w:rsid w:val="00EC4FE7"/>
    <w:rsid w:val="00EC5A91"/>
    <w:rsid w:val="00EC6405"/>
    <w:rsid w:val="00EC6A54"/>
    <w:rsid w:val="00EC715A"/>
    <w:rsid w:val="00EC74AF"/>
    <w:rsid w:val="00EC7F4F"/>
    <w:rsid w:val="00ED1A02"/>
    <w:rsid w:val="00ED26BC"/>
    <w:rsid w:val="00ED289A"/>
    <w:rsid w:val="00ED2CD6"/>
    <w:rsid w:val="00ED2D9D"/>
    <w:rsid w:val="00ED3172"/>
    <w:rsid w:val="00ED3439"/>
    <w:rsid w:val="00ED3DED"/>
    <w:rsid w:val="00ED3DF3"/>
    <w:rsid w:val="00ED3EA2"/>
    <w:rsid w:val="00ED4504"/>
    <w:rsid w:val="00ED4BF9"/>
    <w:rsid w:val="00ED582A"/>
    <w:rsid w:val="00ED59B7"/>
    <w:rsid w:val="00ED5C87"/>
    <w:rsid w:val="00ED686A"/>
    <w:rsid w:val="00ED6D8A"/>
    <w:rsid w:val="00ED6E78"/>
    <w:rsid w:val="00ED709B"/>
    <w:rsid w:val="00ED72DB"/>
    <w:rsid w:val="00ED756C"/>
    <w:rsid w:val="00ED763E"/>
    <w:rsid w:val="00ED7AB9"/>
    <w:rsid w:val="00ED7BB9"/>
    <w:rsid w:val="00EE0466"/>
    <w:rsid w:val="00EE14D4"/>
    <w:rsid w:val="00EE1659"/>
    <w:rsid w:val="00EE204F"/>
    <w:rsid w:val="00EE23DC"/>
    <w:rsid w:val="00EE2ACF"/>
    <w:rsid w:val="00EE3195"/>
    <w:rsid w:val="00EE341E"/>
    <w:rsid w:val="00EE45CA"/>
    <w:rsid w:val="00EE45CF"/>
    <w:rsid w:val="00EE526C"/>
    <w:rsid w:val="00EE532F"/>
    <w:rsid w:val="00EE53DD"/>
    <w:rsid w:val="00EE5FB5"/>
    <w:rsid w:val="00EE689B"/>
    <w:rsid w:val="00EE6AB6"/>
    <w:rsid w:val="00EE72B7"/>
    <w:rsid w:val="00EF006F"/>
    <w:rsid w:val="00EF0070"/>
    <w:rsid w:val="00EF0173"/>
    <w:rsid w:val="00EF05C0"/>
    <w:rsid w:val="00EF05D2"/>
    <w:rsid w:val="00EF0982"/>
    <w:rsid w:val="00EF0AB6"/>
    <w:rsid w:val="00EF13DA"/>
    <w:rsid w:val="00EF17BC"/>
    <w:rsid w:val="00EF17C1"/>
    <w:rsid w:val="00EF1BA6"/>
    <w:rsid w:val="00EF24A3"/>
    <w:rsid w:val="00EF3278"/>
    <w:rsid w:val="00EF392B"/>
    <w:rsid w:val="00EF395F"/>
    <w:rsid w:val="00EF4A58"/>
    <w:rsid w:val="00EF4AC0"/>
    <w:rsid w:val="00EF4BE2"/>
    <w:rsid w:val="00EF4FD8"/>
    <w:rsid w:val="00EF541C"/>
    <w:rsid w:val="00EF603E"/>
    <w:rsid w:val="00EF61E5"/>
    <w:rsid w:val="00EF69FF"/>
    <w:rsid w:val="00EF6AB8"/>
    <w:rsid w:val="00EF6F4E"/>
    <w:rsid w:val="00EF6FB8"/>
    <w:rsid w:val="00EF7882"/>
    <w:rsid w:val="00F00B67"/>
    <w:rsid w:val="00F01A8E"/>
    <w:rsid w:val="00F023DF"/>
    <w:rsid w:val="00F025DD"/>
    <w:rsid w:val="00F02686"/>
    <w:rsid w:val="00F0324B"/>
    <w:rsid w:val="00F03D87"/>
    <w:rsid w:val="00F04A51"/>
    <w:rsid w:val="00F04E28"/>
    <w:rsid w:val="00F04F6C"/>
    <w:rsid w:val="00F055E7"/>
    <w:rsid w:val="00F064DC"/>
    <w:rsid w:val="00F06A30"/>
    <w:rsid w:val="00F06F56"/>
    <w:rsid w:val="00F071F7"/>
    <w:rsid w:val="00F0737E"/>
    <w:rsid w:val="00F07481"/>
    <w:rsid w:val="00F07508"/>
    <w:rsid w:val="00F0775B"/>
    <w:rsid w:val="00F07CE6"/>
    <w:rsid w:val="00F07E35"/>
    <w:rsid w:val="00F11026"/>
    <w:rsid w:val="00F115C0"/>
    <w:rsid w:val="00F1168B"/>
    <w:rsid w:val="00F11F16"/>
    <w:rsid w:val="00F12A0E"/>
    <w:rsid w:val="00F12B45"/>
    <w:rsid w:val="00F13749"/>
    <w:rsid w:val="00F13FAA"/>
    <w:rsid w:val="00F1408F"/>
    <w:rsid w:val="00F1437D"/>
    <w:rsid w:val="00F1440C"/>
    <w:rsid w:val="00F1454E"/>
    <w:rsid w:val="00F15041"/>
    <w:rsid w:val="00F1529D"/>
    <w:rsid w:val="00F15927"/>
    <w:rsid w:val="00F15987"/>
    <w:rsid w:val="00F15B71"/>
    <w:rsid w:val="00F162E0"/>
    <w:rsid w:val="00F1653C"/>
    <w:rsid w:val="00F1654A"/>
    <w:rsid w:val="00F16D32"/>
    <w:rsid w:val="00F16DAD"/>
    <w:rsid w:val="00F1701C"/>
    <w:rsid w:val="00F170EA"/>
    <w:rsid w:val="00F17511"/>
    <w:rsid w:val="00F177C1"/>
    <w:rsid w:val="00F17E0B"/>
    <w:rsid w:val="00F17FE5"/>
    <w:rsid w:val="00F20FC4"/>
    <w:rsid w:val="00F2120C"/>
    <w:rsid w:val="00F21845"/>
    <w:rsid w:val="00F21F8D"/>
    <w:rsid w:val="00F223C8"/>
    <w:rsid w:val="00F229E4"/>
    <w:rsid w:val="00F22A31"/>
    <w:rsid w:val="00F22F51"/>
    <w:rsid w:val="00F23227"/>
    <w:rsid w:val="00F23E9C"/>
    <w:rsid w:val="00F23F39"/>
    <w:rsid w:val="00F24162"/>
    <w:rsid w:val="00F2427E"/>
    <w:rsid w:val="00F24595"/>
    <w:rsid w:val="00F246EF"/>
    <w:rsid w:val="00F24C3E"/>
    <w:rsid w:val="00F24C8F"/>
    <w:rsid w:val="00F25002"/>
    <w:rsid w:val="00F25231"/>
    <w:rsid w:val="00F253C2"/>
    <w:rsid w:val="00F2549D"/>
    <w:rsid w:val="00F2563D"/>
    <w:rsid w:val="00F258E9"/>
    <w:rsid w:val="00F2618C"/>
    <w:rsid w:val="00F264B6"/>
    <w:rsid w:val="00F26796"/>
    <w:rsid w:val="00F272B1"/>
    <w:rsid w:val="00F27AAC"/>
    <w:rsid w:val="00F30648"/>
    <w:rsid w:val="00F308DF"/>
    <w:rsid w:val="00F30A23"/>
    <w:rsid w:val="00F30A49"/>
    <w:rsid w:val="00F30ECB"/>
    <w:rsid w:val="00F31343"/>
    <w:rsid w:val="00F31A8B"/>
    <w:rsid w:val="00F3242F"/>
    <w:rsid w:val="00F329B8"/>
    <w:rsid w:val="00F32C1A"/>
    <w:rsid w:val="00F33650"/>
    <w:rsid w:val="00F33F20"/>
    <w:rsid w:val="00F34DF4"/>
    <w:rsid w:val="00F3534A"/>
    <w:rsid w:val="00F359A4"/>
    <w:rsid w:val="00F35A66"/>
    <w:rsid w:val="00F35F5E"/>
    <w:rsid w:val="00F35FB8"/>
    <w:rsid w:val="00F3600A"/>
    <w:rsid w:val="00F366E6"/>
    <w:rsid w:val="00F36FBD"/>
    <w:rsid w:val="00F3763F"/>
    <w:rsid w:val="00F3781B"/>
    <w:rsid w:val="00F40001"/>
    <w:rsid w:val="00F4040A"/>
    <w:rsid w:val="00F40996"/>
    <w:rsid w:val="00F40B22"/>
    <w:rsid w:val="00F40D02"/>
    <w:rsid w:val="00F414C6"/>
    <w:rsid w:val="00F41831"/>
    <w:rsid w:val="00F41987"/>
    <w:rsid w:val="00F42185"/>
    <w:rsid w:val="00F42439"/>
    <w:rsid w:val="00F426B8"/>
    <w:rsid w:val="00F4284B"/>
    <w:rsid w:val="00F43E2E"/>
    <w:rsid w:val="00F4477E"/>
    <w:rsid w:val="00F44AC0"/>
    <w:rsid w:val="00F46725"/>
    <w:rsid w:val="00F46757"/>
    <w:rsid w:val="00F46AD2"/>
    <w:rsid w:val="00F46DD6"/>
    <w:rsid w:val="00F47059"/>
    <w:rsid w:val="00F47935"/>
    <w:rsid w:val="00F47B1B"/>
    <w:rsid w:val="00F47D2F"/>
    <w:rsid w:val="00F47F78"/>
    <w:rsid w:val="00F50164"/>
    <w:rsid w:val="00F50472"/>
    <w:rsid w:val="00F5047F"/>
    <w:rsid w:val="00F5063D"/>
    <w:rsid w:val="00F50899"/>
    <w:rsid w:val="00F50AC3"/>
    <w:rsid w:val="00F5156F"/>
    <w:rsid w:val="00F51775"/>
    <w:rsid w:val="00F51C29"/>
    <w:rsid w:val="00F51F7F"/>
    <w:rsid w:val="00F523D1"/>
    <w:rsid w:val="00F529CD"/>
    <w:rsid w:val="00F52CCC"/>
    <w:rsid w:val="00F52D03"/>
    <w:rsid w:val="00F53458"/>
    <w:rsid w:val="00F535BF"/>
    <w:rsid w:val="00F54200"/>
    <w:rsid w:val="00F542A1"/>
    <w:rsid w:val="00F548EB"/>
    <w:rsid w:val="00F54C51"/>
    <w:rsid w:val="00F5590D"/>
    <w:rsid w:val="00F55B81"/>
    <w:rsid w:val="00F55FBF"/>
    <w:rsid w:val="00F55FDB"/>
    <w:rsid w:val="00F56044"/>
    <w:rsid w:val="00F56337"/>
    <w:rsid w:val="00F56E19"/>
    <w:rsid w:val="00F57410"/>
    <w:rsid w:val="00F57B17"/>
    <w:rsid w:val="00F610CC"/>
    <w:rsid w:val="00F614EE"/>
    <w:rsid w:val="00F617B8"/>
    <w:rsid w:val="00F64316"/>
    <w:rsid w:val="00F645BC"/>
    <w:rsid w:val="00F64A15"/>
    <w:rsid w:val="00F64EF3"/>
    <w:rsid w:val="00F650E5"/>
    <w:rsid w:val="00F65132"/>
    <w:rsid w:val="00F65145"/>
    <w:rsid w:val="00F65898"/>
    <w:rsid w:val="00F65962"/>
    <w:rsid w:val="00F65A33"/>
    <w:rsid w:val="00F65EE3"/>
    <w:rsid w:val="00F66272"/>
    <w:rsid w:val="00F6632E"/>
    <w:rsid w:val="00F66447"/>
    <w:rsid w:val="00F66744"/>
    <w:rsid w:val="00F66EF3"/>
    <w:rsid w:val="00F67183"/>
    <w:rsid w:val="00F674B6"/>
    <w:rsid w:val="00F679D0"/>
    <w:rsid w:val="00F67AF6"/>
    <w:rsid w:val="00F67E6F"/>
    <w:rsid w:val="00F7021E"/>
    <w:rsid w:val="00F709D1"/>
    <w:rsid w:val="00F70AA1"/>
    <w:rsid w:val="00F70AF2"/>
    <w:rsid w:val="00F7158D"/>
    <w:rsid w:val="00F715A5"/>
    <w:rsid w:val="00F7161D"/>
    <w:rsid w:val="00F717BC"/>
    <w:rsid w:val="00F71EAF"/>
    <w:rsid w:val="00F71FCF"/>
    <w:rsid w:val="00F722A7"/>
    <w:rsid w:val="00F72586"/>
    <w:rsid w:val="00F725B6"/>
    <w:rsid w:val="00F72A80"/>
    <w:rsid w:val="00F72CDA"/>
    <w:rsid w:val="00F72D0F"/>
    <w:rsid w:val="00F72E9A"/>
    <w:rsid w:val="00F73833"/>
    <w:rsid w:val="00F739A8"/>
    <w:rsid w:val="00F7442B"/>
    <w:rsid w:val="00F74935"/>
    <w:rsid w:val="00F74993"/>
    <w:rsid w:val="00F75A23"/>
    <w:rsid w:val="00F75C3D"/>
    <w:rsid w:val="00F75C8C"/>
    <w:rsid w:val="00F76376"/>
    <w:rsid w:val="00F7695D"/>
    <w:rsid w:val="00F76BF0"/>
    <w:rsid w:val="00F77186"/>
    <w:rsid w:val="00F77752"/>
    <w:rsid w:val="00F80432"/>
    <w:rsid w:val="00F80A86"/>
    <w:rsid w:val="00F80AAF"/>
    <w:rsid w:val="00F80C70"/>
    <w:rsid w:val="00F80D6C"/>
    <w:rsid w:val="00F80FDE"/>
    <w:rsid w:val="00F814EE"/>
    <w:rsid w:val="00F816DD"/>
    <w:rsid w:val="00F8184E"/>
    <w:rsid w:val="00F828EA"/>
    <w:rsid w:val="00F83531"/>
    <w:rsid w:val="00F8380C"/>
    <w:rsid w:val="00F83C08"/>
    <w:rsid w:val="00F843B8"/>
    <w:rsid w:val="00F845A6"/>
    <w:rsid w:val="00F850B5"/>
    <w:rsid w:val="00F850E0"/>
    <w:rsid w:val="00F85100"/>
    <w:rsid w:val="00F85E8D"/>
    <w:rsid w:val="00F87181"/>
    <w:rsid w:val="00F8794A"/>
    <w:rsid w:val="00F87FC9"/>
    <w:rsid w:val="00F901CF"/>
    <w:rsid w:val="00F90497"/>
    <w:rsid w:val="00F905E9"/>
    <w:rsid w:val="00F90A46"/>
    <w:rsid w:val="00F90BED"/>
    <w:rsid w:val="00F9120D"/>
    <w:rsid w:val="00F91267"/>
    <w:rsid w:val="00F91275"/>
    <w:rsid w:val="00F91418"/>
    <w:rsid w:val="00F91999"/>
    <w:rsid w:val="00F91A46"/>
    <w:rsid w:val="00F91E58"/>
    <w:rsid w:val="00F922C2"/>
    <w:rsid w:val="00F92541"/>
    <w:rsid w:val="00F929BF"/>
    <w:rsid w:val="00F92B9E"/>
    <w:rsid w:val="00F92CF2"/>
    <w:rsid w:val="00F9358A"/>
    <w:rsid w:val="00F93869"/>
    <w:rsid w:val="00F938F3"/>
    <w:rsid w:val="00F94375"/>
    <w:rsid w:val="00F94461"/>
    <w:rsid w:val="00F94778"/>
    <w:rsid w:val="00F959B2"/>
    <w:rsid w:val="00F95DBB"/>
    <w:rsid w:val="00F963B3"/>
    <w:rsid w:val="00F966F2"/>
    <w:rsid w:val="00F975B1"/>
    <w:rsid w:val="00FA0E10"/>
    <w:rsid w:val="00FA0F53"/>
    <w:rsid w:val="00FA1238"/>
    <w:rsid w:val="00FA13A3"/>
    <w:rsid w:val="00FA168A"/>
    <w:rsid w:val="00FA1784"/>
    <w:rsid w:val="00FA1E96"/>
    <w:rsid w:val="00FA2776"/>
    <w:rsid w:val="00FA2878"/>
    <w:rsid w:val="00FA290A"/>
    <w:rsid w:val="00FA36BD"/>
    <w:rsid w:val="00FA36D5"/>
    <w:rsid w:val="00FA499C"/>
    <w:rsid w:val="00FA5989"/>
    <w:rsid w:val="00FA59B8"/>
    <w:rsid w:val="00FA6812"/>
    <w:rsid w:val="00FA6E3A"/>
    <w:rsid w:val="00FA75D2"/>
    <w:rsid w:val="00FB02A4"/>
    <w:rsid w:val="00FB0417"/>
    <w:rsid w:val="00FB0CF5"/>
    <w:rsid w:val="00FB0F60"/>
    <w:rsid w:val="00FB1280"/>
    <w:rsid w:val="00FB1C67"/>
    <w:rsid w:val="00FB258E"/>
    <w:rsid w:val="00FB2716"/>
    <w:rsid w:val="00FB2B58"/>
    <w:rsid w:val="00FB2C5C"/>
    <w:rsid w:val="00FB3287"/>
    <w:rsid w:val="00FB33DB"/>
    <w:rsid w:val="00FB3D09"/>
    <w:rsid w:val="00FB47ED"/>
    <w:rsid w:val="00FB480E"/>
    <w:rsid w:val="00FB5172"/>
    <w:rsid w:val="00FB5341"/>
    <w:rsid w:val="00FB557B"/>
    <w:rsid w:val="00FB5EF1"/>
    <w:rsid w:val="00FB5F10"/>
    <w:rsid w:val="00FB6261"/>
    <w:rsid w:val="00FB633C"/>
    <w:rsid w:val="00FB6364"/>
    <w:rsid w:val="00FB65BA"/>
    <w:rsid w:val="00FB661B"/>
    <w:rsid w:val="00FB683B"/>
    <w:rsid w:val="00FB6989"/>
    <w:rsid w:val="00FB6B85"/>
    <w:rsid w:val="00FB6DC8"/>
    <w:rsid w:val="00FB7555"/>
    <w:rsid w:val="00FB7872"/>
    <w:rsid w:val="00FC05D6"/>
    <w:rsid w:val="00FC067A"/>
    <w:rsid w:val="00FC079C"/>
    <w:rsid w:val="00FC0B02"/>
    <w:rsid w:val="00FC1835"/>
    <w:rsid w:val="00FC1A70"/>
    <w:rsid w:val="00FC25E9"/>
    <w:rsid w:val="00FC2698"/>
    <w:rsid w:val="00FC29C8"/>
    <w:rsid w:val="00FC2A22"/>
    <w:rsid w:val="00FC3E96"/>
    <w:rsid w:val="00FC40E4"/>
    <w:rsid w:val="00FC47C5"/>
    <w:rsid w:val="00FC47F1"/>
    <w:rsid w:val="00FC55C1"/>
    <w:rsid w:val="00FC55E9"/>
    <w:rsid w:val="00FC60EC"/>
    <w:rsid w:val="00FC6270"/>
    <w:rsid w:val="00FC6EAA"/>
    <w:rsid w:val="00FC6FCA"/>
    <w:rsid w:val="00FC7684"/>
    <w:rsid w:val="00FC7ADE"/>
    <w:rsid w:val="00FD12F6"/>
    <w:rsid w:val="00FD12FD"/>
    <w:rsid w:val="00FD1694"/>
    <w:rsid w:val="00FD1A16"/>
    <w:rsid w:val="00FD1C3B"/>
    <w:rsid w:val="00FD216A"/>
    <w:rsid w:val="00FD269B"/>
    <w:rsid w:val="00FD2E10"/>
    <w:rsid w:val="00FD2E7E"/>
    <w:rsid w:val="00FD333D"/>
    <w:rsid w:val="00FD3C1E"/>
    <w:rsid w:val="00FD4D11"/>
    <w:rsid w:val="00FD592D"/>
    <w:rsid w:val="00FD5BA7"/>
    <w:rsid w:val="00FD7033"/>
    <w:rsid w:val="00FD7E33"/>
    <w:rsid w:val="00FE014A"/>
    <w:rsid w:val="00FE06BF"/>
    <w:rsid w:val="00FE088F"/>
    <w:rsid w:val="00FE0BDF"/>
    <w:rsid w:val="00FE1438"/>
    <w:rsid w:val="00FE152B"/>
    <w:rsid w:val="00FE162D"/>
    <w:rsid w:val="00FE1764"/>
    <w:rsid w:val="00FE19DB"/>
    <w:rsid w:val="00FE19FF"/>
    <w:rsid w:val="00FE1A11"/>
    <w:rsid w:val="00FE1CAB"/>
    <w:rsid w:val="00FE2195"/>
    <w:rsid w:val="00FE2356"/>
    <w:rsid w:val="00FE2908"/>
    <w:rsid w:val="00FE2C21"/>
    <w:rsid w:val="00FE38AF"/>
    <w:rsid w:val="00FE3EAD"/>
    <w:rsid w:val="00FE43A9"/>
    <w:rsid w:val="00FE4596"/>
    <w:rsid w:val="00FE4823"/>
    <w:rsid w:val="00FE53FB"/>
    <w:rsid w:val="00FE5524"/>
    <w:rsid w:val="00FE5FDD"/>
    <w:rsid w:val="00FE65B4"/>
    <w:rsid w:val="00FE65F7"/>
    <w:rsid w:val="00FE6762"/>
    <w:rsid w:val="00FE67C3"/>
    <w:rsid w:val="00FE6B37"/>
    <w:rsid w:val="00FE7396"/>
    <w:rsid w:val="00FE74F1"/>
    <w:rsid w:val="00FE794E"/>
    <w:rsid w:val="00FE79B2"/>
    <w:rsid w:val="00FE7E1B"/>
    <w:rsid w:val="00FF0341"/>
    <w:rsid w:val="00FF121D"/>
    <w:rsid w:val="00FF133A"/>
    <w:rsid w:val="00FF14A1"/>
    <w:rsid w:val="00FF1A1D"/>
    <w:rsid w:val="00FF2030"/>
    <w:rsid w:val="00FF26F5"/>
    <w:rsid w:val="00FF3900"/>
    <w:rsid w:val="00FF3AFD"/>
    <w:rsid w:val="00FF444D"/>
    <w:rsid w:val="00FF4986"/>
    <w:rsid w:val="00FF54F3"/>
    <w:rsid w:val="00FF5CE0"/>
    <w:rsid w:val="00FF5D5B"/>
    <w:rsid w:val="00FF6419"/>
    <w:rsid w:val="00FF6C90"/>
    <w:rsid w:val="00FF7EAB"/>
  </w:rsids>
  <m:mathPr>
    <m:mathFont m:val="Cambria Math"/>
    <m:brkBin m:val="before"/>
    <m:brkBinSub m:val="--"/>
    <m:smallFrac m:val="0"/>
    <m:dispDef/>
    <m:lMargin m:val="0"/>
    <m:rMargin m:val="0"/>
    <m:defJc m:val="centerGroup"/>
    <m:wrapIndent m:val="1440"/>
    <m:intLim m:val="subSup"/>
    <m:naryLim m:val="undOvr"/>
  </m:mathPr>
  <w:themeFontLang w:val="en-AU" w:eastAsia="zh-CN" w:bidi="dz-BT"/>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642B561"/>
  <w15:chartTrackingRefBased/>
  <w15:docId w15:val="{18BFFF14-77E8-408C-90B9-D4320C1F1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CBB"/>
    <w:pPr>
      <w:spacing w:before="120" w:after="120" w:line="276" w:lineRule="auto"/>
      <w:jc w:val="both"/>
    </w:pPr>
    <w:rPr>
      <w:rFonts w:ascii="Century Gothic" w:eastAsia="Times New Roman" w:hAnsi="Century Gothic" w:cs="Times New Roman"/>
      <w:color w:val="000000"/>
      <w:kern w:val="28"/>
      <w:sz w:val="21"/>
      <w:szCs w:val="20"/>
    </w:rPr>
  </w:style>
  <w:style w:type="paragraph" w:styleId="Heading1">
    <w:name w:val="heading 1"/>
    <w:aliases w:val="H1"/>
    <w:basedOn w:val="Normal"/>
    <w:next w:val="Normal"/>
    <w:link w:val="Heading1Char"/>
    <w:uiPriority w:val="9"/>
    <w:qFormat/>
    <w:rsid w:val="005B0AA3"/>
    <w:pPr>
      <w:keepNext/>
      <w:keepLines/>
      <w:numPr>
        <w:numId w:val="2"/>
      </w:numPr>
      <w:spacing w:after="240"/>
      <w:jc w:val="left"/>
      <w:outlineLvl w:val="0"/>
    </w:pPr>
    <w:rPr>
      <w:rFonts w:eastAsiaTheme="majorEastAsia" w:cstheme="majorBidi"/>
      <w:b/>
      <w:bCs/>
      <w:caps/>
      <w:color w:val="44546A" w:themeColor="text2"/>
      <w:sz w:val="32"/>
      <w:szCs w:val="28"/>
    </w:rPr>
  </w:style>
  <w:style w:type="paragraph" w:styleId="Heading2">
    <w:name w:val="heading 2"/>
    <w:aliases w:val="H2"/>
    <w:basedOn w:val="Normal"/>
    <w:next w:val="Normal"/>
    <w:link w:val="Heading2Char"/>
    <w:uiPriority w:val="9"/>
    <w:qFormat/>
    <w:rsid w:val="005B0AA3"/>
    <w:pPr>
      <w:keepNext/>
      <w:keepLines/>
      <w:numPr>
        <w:ilvl w:val="1"/>
        <w:numId w:val="2"/>
      </w:numPr>
      <w:spacing w:before="360"/>
      <w:outlineLvl w:val="1"/>
    </w:pPr>
    <w:rPr>
      <w:rFonts w:eastAsiaTheme="majorEastAsia" w:cstheme="majorBidi"/>
      <w:b/>
      <w:bCs/>
      <w:color w:val="44546A" w:themeColor="text2"/>
      <w:sz w:val="26"/>
      <w:szCs w:val="26"/>
    </w:rPr>
  </w:style>
  <w:style w:type="paragraph" w:styleId="Heading3">
    <w:name w:val="heading 3"/>
    <w:aliases w:val="H3"/>
    <w:basedOn w:val="Normal"/>
    <w:next w:val="Normal"/>
    <w:link w:val="Heading3Char"/>
    <w:uiPriority w:val="9"/>
    <w:unhideWhenUsed/>
    <w:qFormat/>
    <w:rsid w:val="00494246"/>
    <w:pPr>
      <w:keepNext/>
      <w:keepLines/>
      <w:spacing w:before="40" w:after="0"/>
      <w:outlineLvl w:val="2"/>
    </w:pPr>
    <w:rPr>
      <w:rFonts w:eastAsiaTheme="majorEastAsia" w:cstheme="majorBidi"/>
      <w:b/>
      <w:i/>
      <w:color w:val="44546A" w:themeColor="text2"/>
      <w:sz w:val="24"/>
      <w:szCs w:val="24"/>
    </w:rPr>
  </w:style>
  <w:style w:type="paragraph" w:styleId="Heading4">
    <w:name w:val="heading 4"/>
    <w:aliases w:val="H4"/>
    <w:basedOn w:val="Normal"/>
    <w:next w:val="Normal"/>
    <w:link w:val="Heading4Char"/>
    <w:uiPriority w:val="9"/>
    <w:qFormat/>
    <w:rsid w:val="00C86AD1"/>
    <w:pPr>
      <w:keepNext/>
      <w:keepLines/>
      <w:numPr>
        <w:ilvl w:val="3"/>
        <w:numId w:val="2"/>
      </w:numPr>
      <w:spacing w:before="160"/>
      <w:ind w:left="0"/>
      <w:outlineLvl w:val="3"/>
    </w:pPr>
    <w:rPr>
      <w:rFonts w:eastAsiaTheme="majorEastAsia" w:cstheme="majorBidi"/>
      <w:bCs/>
      <w:i/>
      <w:iCs/>
      <w:color w:val="auto"/>
      <w:u w:val="single"/>
    </w:rPr>
  </w:style>
  <w:style w:type="paragraph" w:styleId="Heading5">
    <w:name w:val="heading 5"/>
    <w:aliases w:val="H5"/>
    <w:basedOn w:val="Normal"/>
    <w:next w:val="Normal"/>
    <w:link w:val="Heading5Char"/>
    <w:uiPriority w:val="10"/>
    <w:qFormat/>
    <w:rsid w:val="005B0AA3"/>
    <w:pPr>
      <w:keepNext/>
      <w:keepLines/>
      <w:numPr>
        <w:ilvl w:val="4"/>
        <w:numId w:val="2"/>
      </w:numPr>
      <w:spacing w:before="200" w:after="0"/>
      <w:ind w:left="0"/>
      <w:outlineLvl w:val="4"/>
    </w:pPr>
    <w:rPr>
      <w:rFonts w:eastAsiaTheme="majorEastAsia" w:cstheme="majorBidi"/>
      <w:color w:val="1F4D78" w:themeColor="accent1" w:themeShade="7F"/>
    </w:rPr>
  </w:style>
  <w:style w:type="paragraph" w:styleId="Heading6">
    <w:name w:val="heading 6"/>
    <w:aliases w:val="H6"/>
    <w:basedOn w:val="Normal"/>
    <w:next w:val="Normal"/>
    <w:link w:val="Heading6Char"/>
    <w:uiPriority w:val="11"/>
    <w:unhideWhenUsed/>
    <w:qFormat/>
    <w:rsid w:val="005B0AA3"/>
    <w:pPr>
      <w:keepNext/>
      <w:keepLines/>
      <w:numPr>
        <w:ilvl w:val="5"/>
        <w:numId w:val="2"/>
      </w:numPr>
      <w:spacing w:before="200" w:after="0"/>
      <w:ind w:left="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B0AA3"/>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5B0AA3"/>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9"/>
    <w:rsid w:val="005B0AA3"/>
    <w:rPr>
      <w:rFonts w:ascii="Century Gothic" w:eastAsiaTheme="majorEastAsia" w:hAnsi="Century Gothic" w:cstheme="majorBidi"/>
      <w:b/>
      <w:bCs/>
      <w:caps/>
      <w:color w:val="44546A" w:themeColor="text2"/>
      <w:kern w:val="28"/>
      <w:sz w:val="32"/>
      <w:szCs w:val="28"/>
    </w:rPr>
  </w:style>
  <w:style w:type="character" w:customStyle="1" w:styleId="Heading2Char">
    <w:name w:val="Heading 2 Char"/>
    <w:aliases w:val="H2 Char"/>
    <w:basedOn w:val="DefaultParagraphFont"/>
    <w:link w:val="Heading2"/>
    <w:uiPriority w:val="9"/>
    <w:rsid w:val="005B0AA3"/>
    <w:rPr>
      <w:rFonts w:ascii="Century Gothic" w:eastAsiaTheme="majorEastAsia" w:hAnsi="Century Gothic" w:cstheme="majorBidi"/>
      <w:b/>
      <w:bCs/>
      <w:color w:val="44546A" w:themeColor="text2"/>
      <w:kern w:val="28"/>
      <w:sz w:val="26"/>
      <w:szCs w:val="26"/>
    </w:rPr>
  </w:style>
  <w:style w:type="character" w:customStyle="1" w:styleId="Heading3Char">
    <w:name w:val="Heading 3 Char"/>
    <w:aliases w:val="H3 Char"/>
    <w:basedOn w:val="DefaultParagraphFont"/>
    <w:link w:val="Heading3"/>
    <w:uiPriority w:val="9"/>
    <w:rsid w:val="00494246"/>
    <w:rPr>
      <w:rFonts w:ascii="Century Gothic" w:eastAsiaTheme="majorEastAsia" w:hAnsi="Century Gothic" w:cstheme="majorBidi"/>
      <w:b/>
      <w:i/>
      <w:color w:val="44546A" w:themeColor="text2"/>
      <w:kern w:val="28"/>
      <w:sz w:val="24"/>
      <w:szCs w:val="24"/>
    </w:rPr>
  </w:style>
  <w:style w:type="character" w:customStyle="1" w:styleId="Heading4Char">
    <w:name w:val="Heading 4 Char"/>
    <w:aliases w:val="H4 Char"/>
    <w:basedOn w:val="DefaultParagraphFont"/>
    <w:link w:val="Heading4"/>
    <w:uiPriority w:val="9"/>
    <w:rsid w:val="00C86AD1"/>
    <w:rPr>
      <w:rFonts w:ascii="Century Gothic" w:eastAsiaTheme="majorEastAsia" w:hAnsi="Century Gothic" w:cstheme="majorBidi"/>
      <w:bCs/>
      <w:i/>
      <w:iCs/>
      <w:kern w:val="28"/>
      <w:sz w:val="21"/>
      <w:szCs w:val="20"/>
      <w:u w:val="single"/>
    </w:rPr>
  </w:style>
  <w:style w:type="character" w:customStyle="1" w:styleId="Heading5Char">
    <w:name w:val="Heading 5 Char"/>
    <w:aliases w:val="H5 Char"/>
    <w:basedOn w:val="DefaultParagraphFont"/>
    <w:link w:val="Heading5"/>
    <w:uiPriority w:val="10"/>
    <w:rsid w:val="005B0AA3"/>
    <w:rPr>
      <w:rFonts w:ascii="Century Gothic" w:eastAsiaTheme="majorEastAsia" w:hAnsi="Century Gothic" w:cstheme="majorBidi"/>
      <w:color w:val="1F4D78" w:themeColor="accent1" w:themeShade="7F"/>
      <w:kern w:val="28"/>
      <w:sz w:val="21"/>
      <w:szCs w:val="20"/>
    </w:rPr>
  </w:style>
  <w:style w:type="character" w:customStyle="1" w:styleId="Heading6Char">
    <w:name w:val="Heading 6 Char"/>
    <w:aliases w:val="H6 Char"/>
    <w:basedOn w:val="DefaultParagraphFont"/>
    <w:link w:val="Heading6"/>
    <w:uiPriority w:val="11"/>
    <w:rsid w:val="005B0AA3"/>
    <w:rPr>
      <w:rFonts w:asciiTheme="majorHAnsi" w:eastAsiaTheme="majorEastAsia" w:hAnsiTheme="majorHAnsi" w:cstheme="majorBidi"/>
      <w:i/>
      <w:iCs/>
      <w:color w:val="1F4D78" w:themeColor="accent1" w:themeShade="7F"/>
      <w:kern w:val="28"/>
      <w:sz w:val="21"/>
      <w:szCs w:val="20"/>
    </w:rPr>
  </w:style>
  <w:style w:type="character" w:customStyle="1" w:styleId="Heading7Char">
    <w:name w:val="Heading 7 Char"/>
    <w:basedOn w:val="DefaultParagraphFont"/>
    <w:link w:val="Heading7"/>
    <w:uiPriority w:val="9"/>
    <w:semiHidden/>
    <w:rsid w:val="005B0AA3"/>
    <w:rPr>
      <w:rFonts w:asciiTheme="majorHAnsi" w:eastAsiaTheme="majorEastAsia" w:hAnsiTheme="majorHAnsi" w:cstheme="majorBidi"/>
      <w:i/>
      <w:iCs/>
      <w:color w:val="404040" w:themeColor="text1" w:themeTint="BF"/>
      <w:kern w:val="28"/>
      <w:sz w:val="21"/>
      <w:szCs w:val="20"/>
    </w:rPr>
  </w:style>
  <w:style w:type="character" w:customStyle="1" w:styleId="Heading8Char">
    <w:name w:val="Heading 8 Char"/>
    <w:basedOn w:val="DefaultParagraphFont"/>
    <w:link w:val="Heading8"/>
    <w:uiPriority w:val="99"/>
    <w:rsid w:val="005B0AA3"/>
    <w:rPr>
      <w:rFonts w:asciiTheme="majorHAnsi" w:eastAsiaTheme="majorEastAsia" w:hAnsiTheme="majorHAnsi" w:cstheme="majorBidi"/>
      <w:color w:val="404040" w:themeColor="text1" w:themeTint="BF"/>
      <w:kern w:val="28"/>
      <w:sz w:val="20"/>
      <w:szCs w:val="20"/>
    </w:rPr>
  </w:style>
  <w:style w:type="character" w:styleId="Hyperlink">
    <w:name w:val="Hyperlink"/>
    <w:basedOn w:val="DefaultParagraphFont"/>
    <w:uiPriority w:val="99"/>
    <w:rsid w:val="005B0AA3"/>
    <w:rPr>
      <w:color w:val="0000FF"/>
      <w:u w:val="single"/>
    </w:rPr>
  </w:style>
  <w:style w:type="paragraph" w:styleId="TOC1">
    <w:name w:val="toc 1"/>
    <w:basedOn w:val="Normal"/>
    <w:next w:val="Normal"/>
    <w:autoRedefine/>
    <w:uiPriority w:val="39"/>
    <w:unhideWhenUsed/>
    <w:rsid w:val="005B0AA3"/>
    <w:pPr>
      <w:spacing w:after="100"/>
    </w:pPr>
    <w:rPr>
      <w:b/>
      <w:caps/>
    </w:rPr>
  </w:style>
  <w:style w:type="paragraph" w:styleId="TOC2">
    <w:name w:val="toc 2"/>
    <w:basedOn w:val="Normal"/>
    <w:next w:val="Normal"/>
    <w:autoRedefine/>
    <w:uiPriority w:val="39"/>
    <w:unhideWhenUsed/>
    <w:rsid w:val="00C73815"/>
    <w:pPr>
      <w:tabs>
        <w:tab w:val="left" w:pos="660"/>
        <w:tab w:val="right" w:leader="dot" w:pos="9010"/>
      </w:tabs>
      <w:spacing w:after="100"/>
      <w:contextualSpacing/>
    </w:pPr>
    <w:rPr>
      <w:noProof/>
    </w:rPr>
  </w:style>
  <w:style w:type="paragraph" w:styleId="Header">
    <w:name w:val="header"/>
    <w:basedOn w:val="Normal"/>
    <w:link w:val="HeaderChar"/>
    <w:uiPriority w:val="99"/>
    <w:unhideWhenUsed/>
    <w:rsid w:val="005B0AA3"/>
    <w:pPr>
      <w:tabs>
        <w:tab w:val="center" w:pos="4513"/>
        <w:tab w:val="right" w:pos="9026"/>
      </w:tabs>
    </w:pPr>
  </w:style>
  <w:style w:type="character" w:customStyle="1" w:styleId="HeaderChar">
    <w:name w:val="Header Char"/>
    <w:basedOn w:val="DefaultParagraphFont"/>
    <w:link w:val="Header"/>
    <w:uiPriority w:val="99"/>
    <w:rsid w:val="005B0AA3"/>
    <w:rPr>
      <w:rFonts w:ascii="Century Gothic" w:eastAsia="Times New Roman" w:hAnsi="Century Gothic" w:cs="Times New Roman"/>
      <w:color w:val="000000"/>
      <w:kern w:val="28"/>
      <w:szCs w:val="20"/>
    </w:rPr>
  </w:style>
  <w:style w:type="paragraph" w:styleId="Footer">
    <w:name w:val="footer"/>
    <w:basedOn w:val="Normal"/>
    <w:link w:val="FooterChar"/>
    <w:uiPriority w:val="99"/>
    <w:unhideWhenUsed/>
    <w:rsid w:val="005B0AA3"/>
    <w:pPr>
      <w:tabs>
        <w:tab w:val="center" w:pos="4513"/>
        <w:tab w:val="right" w:pos="9026"/>
      </w:tabs>
    </w:pPr>
    <w:rPr>
      <w:sz w:val="20"/>
    </w:rPr>
  </w:style>
  <w:style w:type="character" w:customStyle="1" w:styleId="FooterChar">
    <w:name w:val="Footer Char"/>
    <w:basedOn w:val="DefaultParagraphFont"/>
    <w:link w:val="Footer"/>
    <w:uiPriority w:val="99"/>
    <w:rsid w:val="005B0AA3"/>
    <w:rPr>
      <w:rFonts w:ascii="Century Gothic" w:eastAsia="Times New Roman" w:hAnsi="Century Gothic" w:cs="Times New Roman"/>
      <w:color w:val="000000"/>
      <w:kern w:val="28"/>
      <w:sz w:val="20"/>
      <w:szCs w:val="20"/>
    </w:rPr>
  </w:style>
  <w:style w:type="paragraph" w:customStyle="1" w:styleId="H1anotincinTOC">
    <w:name w:val="H1a not inc. in TOC"/>
    <w:basedOn w:val="Heading1"/>
    <w:next w:val="Normal"/>
    <w:uiPriority w:val="5"/>
    <w:qFormat/>
    <w:rsid w:val="005B0AA3"/>
    <w:pPr>
      <w:keepLines w:val="0"/>
      <w:numPr>
        <w:numId w:val="0"/>
      </w:numPr>
      <w:spacing w:before="0"/>
      <w:outlineLvl w:val="9"/>
    </w:pPr>
    <w:rPr>
      <w:rFonts w:eastAsia="Times New Roman" w:cs="Arial"/>
      <w:color w:val="000000"/>
      <w:spacing w:val="40"/>
      <w:szCs w:val="32"/>
      <w:lang w:eastAsia="en-AU"/>
    </w:rPr>
  </w:style>
  <w:style w:type="paragraph" w:styleId="TableofFigures">
    <w:name w:val="table of figures"/>
    <w:basedOn w:val="Normal"/>
    <w:next w:val="Normal"/>
    <w:uiPriority w:val="99"/>
    <w:rsid w:val="005B0AA3"/>
    <w:pPr>
      <w:tabs>
        <w:tab w:val="left" w:pos="1080"/>
        <w:tab w:val="right" w:leader="dot" w:pos="9000"/>
      </w:tabs>
      <w:ind w:left="964" w:hanging="964"/>
    </w:pPr>
    <w:rPr>
      <w:kern w:val="0"/>
      <w:lang w:eastAsia="en-AU"/>
    </w:rPr>
  </w:style>
  <w:style w:type="paragraph" w:styleId="ListBullet">
    <w:name w:val="List Bullet"/>
    <w:basedOn w:val="ListParagraph"/>
    <w:uiPriority w:val="99"/>
    <w:qFormat/>
    <w:rsid w:val="005B0AA3"/>
    <w:pPr>
      <w:numPr>
        <w:numId w:val="1"/>
      </w:numPr>
      <w:contextualSpacing w:val="0"/>
    </w:pPr>
    <w:rPr>
      <w:rFonts w:cs="Arial"/>
      <w:szCs w:val="22"/>
      <w:lang w:eastAsia="en-AU"/>
    </w:rPr>
  </w:style>
  <w:style w:type="paragraph" w:styleId="ListParagraph">
    <w:name w:val="List Paragraph"/>
    <w:basedOn w:val="Normal"/>
    <w:link w:val="ListParagraphChar"/>
    <w:uiPriority w:val="34"/>
    <w:qFormat/>
    <w:rsid w:val="005B0AA3"/>
    <w:pPr>
      <w:ind w:left="720"/>
      <w:contextualSpacing/>
    </w:pPr>
  </w:style>
  <w:style w:type="character" w:customStyle="1" w:styleId="ListParagraphChar">
    <w:name w:val="List Paragraph Char"/>
    <w:link w:val="ListParagraph"/>
    <w:uiPriority w:val="34"/>
    <w:rsid w:val="006237D5"/>
    <w:rPr>
      <w:rFonts w:ascii="Century Gothic" w:eastAsia="Times New Roman" w:hAnsi="Century Gothic" w:cs="Times New Roman"/>
      <w:color w:val="000000"/>
      <w:kern w:val="28"/>
      <w:szCs w:val="20"/>
    </w:rPr>
  </w:style>
  <w:style w:type="character" w:styleId="CommentReference">
    <w:name w:val="annotation reference"/>
    <w:basedOn w:val="DefaultParagraphFont"/>
    <w:uiPriority w:val="99"/>
    <w:semiHidden/>
    <w:unhideWhenUsed/>
    <w:rsid w:val="001B09A2"/>
    <w:rPr>
      <w:sz w:val="16"/>
      <w:szCs w:val="16"/>
    </w:rPr>
  </w:style>
  <w:style w:type="paragraph" w:styleId="CommentText">
    <w:name w:val="annotation text"/>
    <w:basedOn w:val="Normal"/>
    <w:link w:val="CommentTextChar"/>
    <w:uiPriority w:val="99"/>
    <w:unhideWhenUsed/>
    <w:rsid w:val="001B09A2"/>
    <w:pPr>
      <w:spacing w:line="240" w:lineRule="auto"/>
    </w:pPr>
    <w:rPr>
      <w:sz w:val="20"/>
    </w:rPr>
  </w:style>
  <w:style w:type="character" w:customStyle="1" w:styleId="CommentTextChar">
    <w:name w:val="Comment Text Char"/>
    <w:basedOn w:val="DefaultParagraphFont"/>
    <w:link w:val="CommentText"/>
    <w:uiPriority w:val="99"/>
    <w:rsid w:val="001B09A2"/>
    <w:rPr>
      <w:rFonts w:ascii="Century Gothic" w:eastAsia="Times New Roman" w:hAnsi="Century Gothic" w:cs="Times New Roman"/>
      <w:color w:val="000000"/>
      <w:kern w:val="28"/>
      <w:sz w:val="20"/>
      <w:szCs w:val="20"/>
    </w:rPr>
  </w:style>
  <w:style w:type="paragraph" w:styleId="CommentSubject">
    <w:name w:val="annotation subject"/>
    <w:basedOn w:val="CommentText"/>
    <w:next w:val="CommentText"/>
    <w:link w:val="CommentSubjectChar"/>
    <w:uiPriority w:val="99"/>
    <w:semiHidden/>
    <w:unhideWhenUsed/>
    <w:rsid w:val="001B09A2"/>
    <w:rPr>
      <w:b/>
      <w:bCs/>
    </w:rPr>
  </w:style>
  <w:style w:type="character" w:customStyle="1" w:styleId="CommentSubjectChar">
    <w:name w:val="Comment Subject Char"/>
    <w:basedOn w:val="CommentTextChar"/>
    <w:link w:val="CommentSubject"/>
    <w:uiPriority w:val="99"/>
    <w:semiHidden/>
    <w:rsid w:val="001B09A2"/>
    <w:rPr>
      <w:rFonts w:ascii="Century Gothic" w:eastAsia="Times New Roman" w:hAnsi="Century Gothic" w:cs="Times New Roman"/>
      <w:b/>
      <w:bCs/>
      <w:color w:val="000000"/>
      <w:kern w:val="28"/>
      <w:sz w:val="20"/>
      <w:szCs w:val="20"/>
    </w:rPr>
  </w:style>
  <w:style w:type="paragraph" w:styleId="BalloonText">
    <w:name w:val="Balloon Text"/>
    <w:basedOn w:val="Normal"/>
    <w:link w:val="BalloonTextChar"/>
    <w:uiPriority w:val="99"/>
    <w:semiHidden/>
    <w:unhideWhenUsed/>
    <w:rsid w:val="001B09A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09A2"/>
    <w:rPr>
      <w:rFonts w:ascii="Segoe UI" w:eastAsia="Times New Roman" w:hAnsi="Segoe UI" w:cs="Segoe UI"/>
      <w:color w:val="000000"/>
      <w:kern w:val="28"/>
      <w:sz w:val="18"/>
      <w:szCs w:val="18"/>
    </w:rPr>
  </w:style>
  <w:style w:type="paragraph" w:styleId="ListNumber">
    <w:name w:val="List Number"/>
    <w:basedOn w:val="ListParagraph"/>
    <w:uiPriority w:val="22"/>
    <w:qFormat/>
    <w:rsid w:val="00986C11"/>
    <w:pPr>
      <w:numPr>
        <w:numId w:val="3"/>
      </w:numPr>
      <w:contextualSpacing w:val="0"/>
    </w:pPr>
    <w:rPr>
      <w:rFonts w:cs="Arial"/>
      <w:szCs w:val="22"/>
      <w:lang w:eastAsia="en-AU"/>
    </w:rPr>
  </w:style>
  <w:style w:type="paragraph" w:styleId="Caption">
    <w:name w:val="caption"/>
    <w:aliases w:val="CaptionTable,CaptionTable Char,Centered Char,Caption Char1,Centered Char Char,Centered,Figures"/>
    <w:basedOn w:val="Normal"/>
    <w:next w:val="Normal"/>
    <w:link w:val="CaptionChar"/>
    <w:uiPriority w:val="35"/>
    <w:unhideWhenUsed/>
    <w:qFormat/>
    <w:rsid w:val="00986C11"/>
    <w:pPr>
      <w:spacing w:after="200" w:line="240" w:lineRule="auto"/>
    </w:pPr>
    <w:rPr>
      <w:b/>
      <w:bCs/>
      <w:color w:val="auto"/>
      <w:sz w:val="20"/>
      <w:szCs w:val="18"/>
    </w:rPr>
  </w:style>
  <w:style w:type="character" w:customStyle="1" w:styleId="CaptionChar">
    <w:name w:val="Caption Char"/>
    <w:aliases w:val="CaptionTable Char1,CaptionTable Char Char,Centered Char Char1,Caption Char1 Char,Centered Char Char Char,Centered Char1,Figures Char"/>
    <w:link w:val="Caption"/>
    <w:uiPriority w:val="35"/>
    <w:rsid w:val="00986C11"/>
    <w:rPr>
      <w:rFonts w:ascii="Century Gothic" w:eastAsia="Times New Roman" w:hAnsi="Century Gothic" w:cs="Times New Roman"/>
      <w:b/>
      <w:bCs/>
      <w:kern w:val="28"/>
      <w:sz w:val="20"/>
      <w:szCs w:val="18"/>
    </w:rPr>
  </w:style>
  <w:style w:type="paragraph" w:customStyle="1" w:styleId="Captions">
    <w:name w:val="Captions"/>
    <w:basedOn w:val="Normal"/>
    <w:next w:val="Normal"/>
    <w:autoRedefine/>
    <w:qFormat/>
    <w:rsid w:val="004C3BA1"/>
    <w:pPr>
      <w:spacing w:after="200" w:line="240" w:lineRule="auto"/>
    </w:pPr>
    <w:rPr>
      <w:rFonts w:eastAsia="MS Mincho" w:cs="Arial"/>
      <w:b/>
      <w:bCs/>
      <w:color w:val="auto"/>
      <w:kern w:val="0"/>
      <w:sz w:val="20"/>
      <w:lang w:val="en-US"/>
    </w:rPr>
  </w:style>
  <w:style w:type="table" w:styleId="TableGrid">
    <w:name w:val="Table Grid"/>
    <w:basedOn w:val="TableNormal"/>
    <w:uiPriority w:val="59"/>
    <w:rsid w:val="007E5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7">
    <w:name w:val="Char Char7"/>
    <w:uiPriority w:val="99"/>
    <w:locked/>
    <w:rsid w:val="006237D5"/>
    <w:rPr>
      <w:rFonts w:ascii="Frutiger LT Std 45 Light" w:hAnsi="Frutiger LT Std 45 Light" w:cs="Frutiger LT Std 45 Light"/>
      <w:color w:val="548DD4"/>
      <w:spacing w:val="5"/>
      <w:kern w:val="28"/>
      <w:sz w:val="28"/>
      <w:szCs w:val="28"/>
      <w:lang w:val="en-AU" w:eastAsia="en-US" w:bidi="ar-SA"/>
    </w:rPr>
  </w:style>
  <w:style w:type="paragraph" w:customStyle="1" w:styleId="TableHeading">
    <w:name w:val="TableHeading"/>
    <w:basedOn w:val="Normal"/>
    <w:uiPriority w:val="13"/>
    <w:qFormat/>
    <w:rsid w:val="002241AB"/>
    <w:rPr>
      <w:rFonts w:cs="Arial"/>
      <w:b/>
      <w:sz w:val="20"/>
      <w:szCs w:val="22"/>
    </w:rPr>
  </w:style>
  <w:style w:type="paragraph" w:styleId="TOCHeading">
    <w:name w:val="TOC Heading"/>
    <w:basedOn w:val="Heading1"/>
    <w:next w:val="Normal"/>
    <w:uiPriority w:val="39"/>
    <w:unhideWhenUsed/>
    <w:qFormat/>
    <w:rsid w:val="00040A6D"/>
    <w:pPr>
      <w:numPr>
        <w:numId w:val="0"/>
      </w:numPr>
      <w:spacing w:before="240" w:after="0"/>
      <w:jc w:val="both"/>
      <w:outlineLvl w:val="9"/>
    </w:pPr>
    <w:rPr>
      <w:rFonts w:asciiTheme="majorHAnsi" w:hAnsiTheme="majorHAnsi"/>
      <w:b w:val="0"/>
      <w:bCs w:val="0"/>
      <w:caps w:val="0"/>
      <w:color w:val="2E74B5" w:themeColor="accent1" w:themeShade="BF"/>
      <w:szCs w:val="32"/>
    </w:rPr>
  </w:style>
  <w:style w:type="paragraph" w:styleId="FootnoteText">
    <w:name w:val="footnote text"/>
    <w:basedOn w:val="Normal"/>
    <w:link w:val="FootnoteTextChar"/>
    <w:uiPriority w:val="99"/>
    <w:semiHidden/>
    <w:unhideWhenUsed/>
    <w:rsid w:val="002E4118"/>
    <w:pPr>
      <w:spacing w:before="0" w:after="0" w:line="240" w:lineRule="auto"/>
    </w:pPr>
    <w:rPr>
      <w:sz w:val="20"/>
    </w:rPr>
  </w:style>
  <w:style w:type="character" w:customStyle="1" w:styleId="FootnoteTextChar">
    <w:name w:val="Footnote Text Char"/>
    <w:basedOn w:val="DefaultParagraphFont"/>
    <w:link w:val="FootnoteText"/>
    <w:uiPriority w:val="99"/>
    <w:semiHidden/>
    <w:rsid w:val="002E4118"/>
    <w:rPr>
      <w:rFonts w:ascii="Century Gothic" w:eastAsia="Times New Roman" w:hAnsi="Century Gothic" w:cs="Times New Roman"/>
      <w:color w:val="000000"/>
      <w:kern w:val="28"/>
      <w:sz w:val="20"/>
      <w:szCs w:val="20"/>
    </w:rPr>
  </w:style>
  <w:style w:type="character" w:styleId="FootnoteReference">
    <w:name w:val="footnote reference"/>
    <w:basedOn w:val="DefaultParagraphFont"/>
    <w:uiPriority w:val="99"/>
    <w:unhideWhenUsed/>
    <w:rsid w:val="002E4118"/>
    <w:rPr>
      <w:vertAlign w:val="superscript"/>
    </w:rPr>
  </w:style>
  <w:style w:type="paragraph" w:customStyle="1" w:styleId="Reporttext">
    <w:name w:val="Report text"/>
    <w:basedOn w:val="Normal"/>
    <w:link w:val="ReporttextChar"/>
    <w:qFormat/>
    <w:rsid w:val="004F5412"/>
    <w:pPr>
      <w:spacing w:before="0" w:after="170" w:line="260" w:lineRule="atLeast"/>
      <w:jc w:val="left"/>
    </w:pPr>
    <w:rPr>
      <w:rFonts w:ascii="Segoe UI" w:eastAsia="MS Mincho" w:hAnsi="Segoe UI"/>
      <w:color w:val="auto"/>
      <w:kern w:val="0"/>
      <w:sz w:val="20"/>
      <w:szCs w:val="18"/>
    </w:rPr>
  </w:style>
  <w:style w:type="character" w:customStyle="1" w:styleId="ReporttextChar">
    <w:name w:val="Report text Char"/>
    <w:basedOn w:val="DefaultParagraphFont"/>
    <w:link w:val="Reporttext"/>
    <w:rsid w:val="004F5412"/>
    <w:rPr>
      <w:rFonts w:ascii="Segoe UI" w:eastAsia="MS Mincho" w:hAnsi="Segoe UI" w:cs="Times New Roman"/>
      <w:sz w:val="20"/>
      <w:szCs w:val="18"/>
    </w:rPr>
  </w:style>
  <w:style w:type="paragraph" w:styleId="BodyText">
    <w:name w:val="Body Text"/>
    <w:link w:val="BodyTextChar"/>
    <w:uiPriority w:val="99"/>
    <w:semiHidden/>
    <w:unhideWhenUsed/>
    <w:rsid w:val="00C75987"/>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C75987"/>
    <w:rPr>
      <w:rFonts w:ascii="Gill Sans MT" w:eastAsia="Times New Roman" w:hAnsi="Gill Sans MT" w:cs="Times New Roman"/>
      <w:color w:val="000000"/>
      <w:kern w:val="28"/>
      <w:sz w:val="48"/>
      <w:szCs w:val="48"/>
      <w:lang w:val="en-US"/>
    </w:rPr>
  </w:style>
  <w:style w:type="paragraph" w:styleId="TOC3">
    <w:name w:val="toc 3"/>
    <w:basedOn w:val="Normal"/>
    <w:next w:val="Normal"/>
    <w:autoRedefine/>
    <w:uiPriority w:val="39"/>
    <w:unhideWhenUsed/>
    <w:rsid w:val="00C73815"/>
    <w:pPr>
      <w:tabs>
        <w:tab w:val="left" w:pos="660"/>
        <w:tab w:val="right" w:leader="dot" w:pos="9010"/>
      </w:tabs>
      <w:spacing w:before="60" w:after="60"/>
      <w:ind w:left="113"/>
    </w:pPr>
    <w:rPr>
      <w:i/>
    </w:rPr>
  </w:style>
  <w:style w:type="paragraph" w:styleId="Title">
    <w:name w:val="Title"/>
    <w:basedOn w:val="Normal"/>
    <w:next w:val="Normal"/>
    <w:link w:val="TitleChar"/>
    <w:autoRedefine/>
    <w:uiPriority w:val="10"/>
    <w:qFormat/>
    <w:rsid w:val="00C75987"/>
    <w:pPr>
      <w:spacing w:after="960"/>
    </w:pPr>
    <w:rPr>
      <w:rFonts w:cs="Arial"/>
      <w:b/>
      <w:color w:val="0070C0"/>
      <w:sz w:val="40"/>
      <w:szCs w:val="43"/>
    </w:rPr>
  </w:style>
  <w:style w:type="character" w:customStyle="1" w:styleId="TitleChar">
    <w:name w:val="Title Char"/>
    <w:basedOn w:val="DefaultParagraphFont"/>
    <w:link w:val="Title"/>
    <w:uiPriority w:val="10"/>
    <w:rsid w:val="00C75987"/>
    <w:rPr>
      <w:rFonts w:ascii="Century Gothic" w:eastAsia="Times New Roman" w:hAnsi="Century Gothic" w:cs="Arial"/>
      <w:b/>
      <w:color w:val="0070C0"/>
      <w:kern w:val="28"/>
      <w:sz w:val="40"/>
      <w:szCs w:val="43"/>
    </w:rPr>
  </w:style>
  <w:style w:type="paragraph" w:styleId="TOC4">
    <w:name w:val="toc 4"/>
    <w:basedOn w:val="Normal"/>
    <w:next w:val="Normal"/>
    <w:autoRedefine/>
    <w:uiPriority w:val="39"/>
    <w:unhideWhenUsed/>
    <w:rsid w:val="00C75987"/>
    <w:pPr>
      <w:spacing w:after="100"/>
      <w:ind w:left="660"/>
    </w:pPr>
    <w:rPr>
      <w:rFonts w:ascii="Calibri" w:hAnsi="Calibri"/>
      <w:i/>
      <w:sz w:val="20"/>
    </w:rPr>
  </w:style>
  <w:style w:type="paragraph" w:customStyle="1" w:styleId="TableText">
    <w:name w:val="TableText"/>
    <w:basedOn w:val="Normal"/>
    <w:next w:val="Normal"/>
    <w:link w:val="TableTextChar"/>
    <w:uiPriority w:val="14"/>
    <w:qFormat/>
    <w:rsid w:val="00C75987"/>
    <w:rPr>
      <w:rFonts w:cs="Arial"/>
      <w:sz w:val="20"/>
      <w:szCs w:val="22"/>
    </w:rPr>
  </w:style>
  <w:style w:type="character" w:customStyle="1" w:styleId="TableTextChar">
    <w:name w:val="TableText Char"/>
    <w:basedOn w:val="DefaultParagraphFont"/>
    <w:link w:val="TableText"/>
    <w:uiPriority w:val="14"/>
    <w:rsid w:val="00C75987"/>
    <w:rPr>
      <w:rFonts w:ascii="Century Gothic" w:eastAsia="Times New Roman" w:hAnsi="Century Gothic" w:cs="Arial"/>
      <w:color w:val="000000"/>
      <w:kern w:val="28"/>
      <w:sz w:val="20"/>
    </w:rPr>
  </w:style>
  <w:style w:type="paragraph" w:customStyle="1" w:styleId="DocumentDetails">
    <w:name w:val="DocumentDetails"/>
    <w:basedOn w:val="Normal"/>
    <w:uiPriority w:val="99"/>
    <w:rsid w:val="00C75987"/>
    <w:pPr>
      <w:tabs>
        <w:tab w:val="left" w:pos="2552"/>
      </w:tabs>
      <w:ind w:left="2552" w:hanging="2552"/>
    </w:pPr>
    <w:rPr>
      <w:rFonts w:cs="Arial"/>
      <w:szCs w:val="22"/>
    </w:rPr>
  </w:style>
  <w:style w:type="character" w:styleId="Strong">
    <w:name w:val="Strong"/>
    <w:basedOn w:val="DefaultParagraphFont"/>
    <w:uiPriority w:val="22"/>
    <w:qFormat/>
    <w:rsid w:val="00C75987"/>
    <w:rPr>
      <w:b/>
      <w:bCs/>
    </w:rPr>
  </w:style>
  <w:style w:type="paragraph" w:customStyle="1" w:styleId="PrelimHeadings">
    <w:name w:val="PrelimHeadings"/>
    <w:basedOn w:val="Normal"/>
    <w:next w:val="Normal"/>
    <w:uiPriority w:val="99"/>
    <w:rsid w:val="00C75987"/>
    <w:rPr>
      <w:rFonts w:cs="Arial"/>
      <w:b/>
      <w:szCs w:val="22"/>
    </w:rPr>
  </w:style>
  <w:style w:type="paragraph" w:customStyle="1" w:styleId="PrelimText">
    <w:name w:val="PrelimText"/>
    <w:basedOn w:val="Normal"/>
    <w:uiPriority w:val="99"/>
    <w:rsid w:val="00C75987"/>
    <w:rPr>
      <w:rFonts w:cs="Arial"/>
      <w:szCs w:val="22"/>
    </w:rPr>
  </w:style>
  <w:style w:type="paragraph" w:styleId="PlainText">
    <w:name w:val="Plain Text"/>
    <w:basedOn w:val="Normal"/>
    <w:link w:val="PlainTextChar"/>
    <w:uiPriority w:val="99"/>
    <w:unhideWhenUsed/>
    <w:rsid w:val="00C75987"/>
    <w:rPr>
      <w:rFonts w:ascii="Consolas" w:hAnsi="Consolas" w:cs="Consolas"/>
      <w:szCs w:val="21"/>
    </w:rPr>
  </w:style>
  <w:style w:type="character" w:customStyle="1" w:styleId="PlainTextChar">
    <w:name w:val="Plain Text Char"/>
    <w:basedOn w:val="DefaultParagraphFont"/>
    <w:link w:val="PlainText"/>
    <w:uiPriority w:val="99"/>
    <w:rsid w:val="00C75987"/>
    <w:rPr>
      <w:rFonts w:ascii="Consolas" w:eastAsia="Times New Roman" w:hAnsi="Consolas" w:cs="Consolas"/>
      <w:color w:val="000000"/>
      <w:kern w:val="28"/>
      <w:sz w:val="21"/>
      <w:szCs w:val="21"/>
    </w:rPr>
  </w:style>
  <w:style w:type="paragraph" w:customStyle="1" w:styleId="PrelimTextLeftAlign">
    <w:name w:val="PrelimText+LeftAlign"/>
    <w:basedOn w:val="Normal"/>
    <w:uiPriority w:val="99"/>
    <w:rsid w:val="00C75987"/>
    <w:rPr>
      <w:rFonts w:cs="Arial"/>
      <w:szCs w:val="22"/>
    </w:rPr>
  </w:style>
  <w:style w:type="paragraph" w:customStyle="1" w:styleId="TitlePageVerticalPeriod">
    <w:name w:val="TitlePageVerticalPeriod"/>
    <w:basedOn w:val="Normal"/>
    <w:uiPriority w:val="99"/>
    <w:qFormat/>
    <w:rsid w:val="00C75987"/>
    <w:rPr>
      <w:rFonts w:ascii="Arial Bold" w:hAnsi="Arial Bold"/>
      <w:color w:val="0070C0"/>
      <w:sz w:val="36"/>
    </w:rPr>
  </w:style>
  <w:style w:type="paragraph" w:customStyle="1" w:styleId="Authors">
    <w:name w:val="Authors"/>
    <w:basedOn w:val="Normal"/>
    <w:uiPriority w:val="19"/>
    <w:qFormat/>
    <w:rsid w:val="00C75987"/>
    <w:pPr>
      <w:pBdr>
        <w:top w:val="single" w:sz="18" w:space="15" w:color="5B9BD5" w:themeColor="accent1"/>
        <w:bottom w:val="single" w:sz="18" w:space="30" w:color="5B9BD5"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C75987"/>
    <w:pPr>
      <w:spacing w:after="360"/>
      <w:jc w:val="center"/>
    </w:pPr>
    <w:rPr>
      <w:rFonts w:ascii="Arial Bold" w:hAnsi="Arial Bold"/>
      <w:color w:val="999999"/>
      <w:sz w:val="72"/>
    </w:rPr>
  </w:style>
  <w:style w:type="paragraph" w:customStyle="1" w:styleId="Heading3a">
    <w:name w:val="Heading 3a"/>
    <w:basedOn w:val="Heading3"/>
    <w:next w:val="Normal"/>
    <w:uiPriority w:val="8"/>
    <w:rsid w:val="00C75987"/>
    <w:pPr>
      <w:keepLines w:val="0"/>
      <w:spacing w:before="240" w:after="240"/>
      <w:ind w:left="1440" w:hanging="720"/>
      <w:outlineLvl w:val="9"/>
    </w:pPr>
    <w:rPr>
      <w:rFonts w:eastAsia="Times New Roman" w:cs="Arial"/>
      <w:bCs/>
      <w:color w:val="000000"/>
      <w:kern w:val="0"/>
      <w:sz w:val="22"/>
      <w:szCs w:val="26"/>
      <w:lang w:eastAsia="en-AU"/>
    </w:rPr>
  </w:style>
  <w:style w:type="paragraph" w:styleId="ListBullet2">
    <w:name w:val="List Bullet 2"/>
    <w:basedOn w:val="ListParagraph"/>
    <w:uiPriority w:val="99"/>
    <w:unhideWhenUsed/>
    <w:rsid w:val="00C75987"/>
    <w:pPr>
      <w:numPr>
        <w:ilvl w:val="1"/>
        <w:numId w:val="6"/>
      </w:numPr>
      <w:contextualSpacing w:val="0"/>
    </w:pPr>
    <w:rPr>
      <w:rFonts w:cs="Arial"/>
      <w:szCs w:val="22"/>
      <w:lang w:eastAsia="en-AU"/>
    </w:rPr>
  </w:style>
  <w:style w:type="paragraph" w:customStyle="1" w:styleId="TableCaption">
    <w:name w:val="TableCaption"/>
    <w:basedOn w:val="Normal"/>
    <w:next w:val="Normal"/>
    <w:uiPriority w:val="12"/>
    <w:qFormat/>
    <w:rsid w:val="00C75987"/>
    <w:rPr>
      <w:b/>
      <w:sz w:val="20"/>
    </w:rPr>
  </w:style>
  <w:style w:type="paragraph" w:customStyle="1" w:styleId="FigureCaption">
    <w:name w:val="FigureCaption"/>
    <w:basedOn w:val="Normal"/>
    <w:uiPriority w:val="15"/>
    <w:qFormat/>
    <w:rsid w:val="00C75987"/>
    <w:rPr>
      <w:b/>
      <w:sz w:val="20"/>
    </w:rPr>
  </w:style>
  <w:style w:type="paragraph" w:customStyle="1" w:styleId="PhotoCaption">
    <w:name w:val="PhotoCaption"/>
    <w:basedOn w:val="Normal"/>
    <w:next w:val="Normal"/>
    <w:uiPriority w:val="16"/>
    <w:qFormat/>
    <w:rsid w:val="00C75987"/>
    <w:rPr>
      <w:b/>
      <w:sz w:val="20"/>
    </w:rPr>
  </w:style>
  <w:style w:type="paragraph" w:customStyle="1" w:styleId="UserNote">
    <w:name w:val="UserNote"/>
    <w:basedOn w:val="PrelimHeadings"/>
    <w:uiPriority w:val="99"/>
    <w:qFormat/>
    <w:rsid w:val="00C75987"/>
    <w:pPr>
      <w:jc w:val="left"/>
    </w:pPr>
    <w:rPr>
      <w:color w:val="FF0000"/>
      <w:sz w:val="28"/>
    </w:rPr>
  </w:style>
  <w:style w:type="character" w:customStyle="1" w:styleId="Red">
    <w:name w:val="Red"/>
    <w:basedOn w:val="DefaultParagraphFont"/>
    <w:uiPriority w:val="22"/>
    <w:qFormat/>
    <w:rsid w:val="00C75987"/>
    <w:rPr>
      <w:color w:val="FF0000"/>
    </w:rPr>
  </w:style>
  <w:style w:type="paragraph" w:customStyle="1" w:styleId="ReportSubtitle">
    <w:name w:val="ReportSubtitle"/>
    <w:basedOn w:val="Normal"/>
    <w:uiPriority w:val="18"/>
    <w:qFormat/>
    <w:rsid w:val="00C75987"/>
    <w:rPr>
      <w:b/>
      <w:color w:val="0070C0"/>
      <w:sz w:val="28"/>
      <w:szCs w:val="28"/>
    </w:rPr>
  </w:style>
  <w:style w:type="paragraph" w:customStyle="1" w:styleId="Default">
    <w:name w:val="Default"/>
    <w:unhideWhenUsed/>
    <w:rsid w:val="00C75987"/>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C75987"/>
    <w:rPr>
      <w:i/>
      <w:iCs/>
    </w:rPr>
  </w:style>
  <w:style w:type="paragraph" w:customStyle="1" w:styleId="H2anotincinTOC">
    <w:name w:val="H2a not inc. in TOC"/>
    <w:basedOn w:val="Heading2"/>
    <w:uiPriority w:val="7"/>
    <w:rsid w:val="00C75987"/>
    <w:pPr>
      <w:numPr>
        <w:ilvl w:val="0"/>
        <w:numId w:val="0"/>
      </w:numPr>
    </w:pPr>
  </w:style>
  <w:style w:type="paragraph" w:customStyle="1" w:styleId="H1notnumberedinTOC">
    <w:name w:val="H1 not numbered in TOC"/>
    <w:basedOn w:val="Heading1"/>
    <w:uiPriority w:val="4"/>
    <w:qFormat/>
    <w:rsid w:val="00C75987"/>
    <w:pPr>
      <w:numPr>
        <w:numId w:val="0"/>
      </w:numPr>
    </w:pPr>
  </w:style>
  <w:style w:type="paragraph" w:customStyle="1" w:styleId="H2notnumberedinTOC">
    <w:name w:val="H2 not numbered in TOC"/>
    <w:basedOn w:val="Heading2"/>
    <w:next w:val="Normal"/>
    <w:uiPriority w:val="6"/>
    <w:qFormat/>
    <w:rsid w:val="00C75987"/>
    <w:pPr>
      <w:numPr>
        <w:ilvl w:val="0"/>
        <w:numId w:val="0"/>
      </w:numPr>
      <w:ind w:left="720" w:hanging="720"/>
    </w:pPr>
  </w:style>
  <w:style w:type="paragraph" w:customStyle="1" w:styleId="References">
    <w:name w:val="References"/>
    <w:basedOn w:val="Normal"/>
    <w:uiPriority w:val="22"/>
    <w:qFormat/>
    <w:rsid w:val="00C75987"/>
    <w:pPr>
      <w:ind w:left="357" w:hanging="357"/>
    </w:pPr>
    <w:rPr>
      <w:rFonts w:cs="Arial"/>
      <w:szCs w:val="22"/>
    </w:rPr>
  </w:style>
  <w:style w:type="character" w:customStyle="1" w:styleId="DocumentMapChar">
    <w:name w:val="Document Map Char"/>
    <w:basedOn w:val="DefaultParagraphFont"/>
    <w:link w:val="DocumentMap"/>
    <w:uiPriority w:val="99"/>
    <w:semiHidden/>
    <w:rsid w:val="00C75987"/>
    <w:rPr>
      <w:rFonts w:ascii="Tahoma" w:eastAsia="Times New Roman" w:hAnsi="Tahoma" w:cs="Tahoma"/>
      <w:color w:val="000000"/>
      <w:kern w:val="28"/>
      <w:sz w:val="16"/>
      <w:szCs w:val="16"/>
    </w:rPr>
  </w:style>
  <w:style w:type="paragraph" w:styleId="DocumentMap">
    <w:name w:val="Document Map"/>
    <w:basedOn w:val="Normal"/>
    <w:link w:val="DocumentMapChar"/>
    <w:uiPriority w:val="99"/>
    <w:semiHidden/>
    <w:unhideWhenUsed/>
    <w:rsid w:val="00C75987"/>
    <w:pPr>
      <w:spacing w:after="0"/>
    </w:pPr>
    <w:rPr>
      <w:rFonts w:ascii="Tahoma" w:hAnsi="Tahoma" w:cs="Tahoma"/>
      <w:sz w:val="16"/>
      <w:szCs w:val="16"/>
    </w:rPr>
  </w:style>
  <w:style w:type="paragraph" w:styleId="Subtitle">
    <w:name w:val="Subtitle"/>
    <w:basedOn w:val="Heading2"/>
    <w:next w:val="Normal"/>
    <w:link w:val="SubtitleChar"/>
    <w:uiPriority w:val="11"/>
    <w:qFormat/>
    <w:rsid w:val="00C75987"/>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C75987"/>
    <w:rPr>
      <w:rFonts w:ascii="Century Gothic" w:eastAsiaTheme="majorEastAsia" w:hAnsi="Century Gothic" w:cstheme="majorBidi"/>
      <w:b/>
      <w:bCs/>
      <w:color w:val="44546A" w:themeColor="text2"/>
      <w:sz w:val="28"/>
      <w:szCs w:val="26"/>
    </w:rPr>
  </w:style>
  <w:style w:type="paragraph" w:customStyle="1" w:styleId="Para0">
    <w:name w:val="Para 0"/>
    <w:basedOn w:val="Normal"/>
    <w:rsid w:val="00C75987"/>
    <w:pPr>
      <w:spacing w:after="220" w:line="300" w:lineRule="auto"/>
    </w:pPr>
    <w:rPr>
      <w:rFonts w:ascii="Arial" w:hAnsi="Arial"/>
      <w:kern w:val="0"/>
      <w:sz w:val="20"/>
      <w:lang w:val="en-GB"/>
    </w:rPr>
  </w:style>
  <w:style w:type="paragraph" w:customStyle="1" w:styleId="Para0bullet">
    <w:name w:val="Para 0 bullet"/>
    <w:basedOn w:val="Para0"/>
    <w:link w:val="Para0bulletChar"/>
    <w:rsid w:val="00C75987"/>
    <w:pPr>
      <w:numPr>
        <w:numId w:val="7"/>
      </w:numPr>
      <w:spacing w:after="60"/>
    </w:pPr>
  </w:style>
  <w:style w:type="character" w:customStyle="1" w:styleId="Para0bulletChar">
    <w:name w:val="Para 0 bullet Char"/>
    <w:link w:val="Para0bullet"/>
    <w:rsid w:val="00C75987"/>
    <w:rPr>
      <w:rFonts w:ascii="Arial" w:eastAsia="Times New Roman" w:hAnsi="Arial" w:cs="Times New Roman"/>
      <w:color w:val="000000"/>
      <w:sz w:val="20"/>
      <w:szCs w:val="20"/>
      <w:lang w:val="en-GB"/>
    </w:rPr>
  </w:style>
  <w:style w:type="paragraph" w:customStyle="1" w:styleId="EndNoteBibliography">
    <w:name w:val="EndNote Bibliography"/>
    <w:basedOn w:val="Normal"/>
    <w:link w:val="EndNoteBibliographyChar"/>
    <w:rsid w:val="00C75987"/>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C75987"/>
    <w:rPr>
      <w:rFonts w:ascii="Calibri" w:hAnsi="Calibri" w:cs="Calibri"/>
      <w:noProof/>
      <w:lang w:val="en-US"/>
    </w:rPr>
  </w:style>
  <w:style w:type="paragraph" w:customStyle="1" w:styleId="BodyText1">
    <w:name w:val="Body Text1"/>
    <w:basedOn w:val="BodyText"/>
    <w:link w:val="BodytextChar0"/>
    <w:rsid w:val="00C75987"/>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C75987"/>
    <w:rPr>
      <w:rFonts w:ascii="Arial" w:eastAsia="Calibri" w:hAnsi="Arial" w:cs="Times New Roman"/>
      <w:sz w:val="20"/>
      <w:szCs w:val="20"/>
    </w:rPr>
  </w:style>
  <w:style w:type="paragraph" w:styleId="NormalWeb">
    <w:name w:val="Normal (Web)"/>
    <w:basedOn w:val="Normal"/>
    <w:uiPriority w:val="99"/>
    <w:unhideWhenUsed/>
    <w:rsid w:val="00C75987"/>
    <w:pPr>
      <w:spacing w:before="100" w:beforeAutospacing="1" w:after="100" w:afterAutospacing="1"/>
    </w:pPr>
    <w:rPr>
      <w:rFonts w:ascii="Times New Roman" w:hAnsi="Times New Roman"/>
      <w:color w:val="auto"/>
      <w:kern w:val="0"/>
      <w:sz w:val="24"/>
      <w:szCs w:val="24"/>
      <w:lang w:val="en-US"/>
    </w:rPr>
  </w:style>
  <w:style w:type="character" w:customStyle="1" w:styleId="st">
    <w:name w:val="st"/>
    <w:basedOn w:val="DefaultParagraphFont"/>
    <w:rsid w:val="00C75987"/>
  </w:style>
  <w:style w:type="character" w:styleId="IntenseEmphasis">
    <w:name w:val="Intense Emphasis"/>
    <w:basedOn w:val="DefaultParagraphFont"/>
    <w:uiPriority w:val="21"/>
    <w:qFormat/>
    <w:rsid w:val="00C75987"/>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C75987"/>
    <w:pPr>
      <w:spacing w:before="0" w:after="200"/>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C75987"/>
    <w:rPr>
      <w:rFonts w:ascii="Garamond" w:eastAsia="Calibri" w:hAnsi="Garamond" w:cs="Times New Roman"/>
      <w:lang w:val="en-US"/>
    </w:rPr>
  </w:style>
  <w:style w:type="paragraph" w:styleId="BodyTextIndent3">
    <w:name w:val="Body Text Indent 3"/>
    <w:basedOn w:val="Normal"/>
    <w:link w:val="BodyTextIndent3Char"/>
    <w:rsid w:val="00C75987"/>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C75987"/>
    <w:rPr>
      <w:rFonts w:ascii="Times New Roman" w:eastAsia="Times New Roman" w:hAnsi="Times New Roman" w:cs="Times New Roman"/>
      <w:sz w:val="16"/>
      <w:szCs w:val="16"/>
    </w:rPr>
  </w:style>
  <w:style w:type="paragraph" w:customStyle="1" w:styleId="IWCEBodytextsinglespacing">
    <w:name w:val="IWCE Body text single spacing"/>
    <w:basedOn w:val="Default"/>
    <w:rsid w:val="00C75987"/>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C75987"/>
    <w:pPr>
      <w:spacing w:before="0" w:after="240" w:line="240" w:lineRule="auto"/>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C75987"/>
    <w:rPr>
      <w:rFonts w:ascii="Arial" w:eastAsia="Calibri" w:hAnsi="Arial" w:cs="Times New Roman"/>
      <w:lang w:val="en-US"/>
    </w:rPr>
  </w:style>
  <w:style w:type="paragraph" w:customStyle="1" w:styleId="Bullet">
    <w:name w:val="Bullet"/>
    <w:basedOn w:val="Normal"/>
    <w:uiPriority w:val="99"/>
    <w:rsid w:val="00C75987"/>
    <w:pPr>
      <w:numPr>
        <w:numId w:val="8"/>
      </w:numPr>
      <w:spacing w:before="0" w:line="240" w:lineRule="auto"/>
    </w:pPr>
    <w:rPr>
      <w:rFonts w:ascii="Times New Roman" w:hAnsi="Times New Roman"/>
      <w:color w:val="auto"/>
      <w:kern w:val="0"/>
      <w:sz w:val="24"/>
    </w:rPr>
  </w:style>
  <w:style w:type="paragraph" w:customStyle="1" w:styleId="CM6">
    <w:name w:val="CM6"/>
    <w:basedOn w:val="Normal"/>
    <w:next w:val="Normal"/>
    <w:uiPriority w:val="99"/>
    <w:rsid w:val="00C75987"/>
    <w:pPr>
      <w:widowControl w:val="0"/>
      <w:autoSpaceDE w:val="0"/>
      <w:autoSpaceDN w:val="0"/>
      <w:adjustRightInd w:val="0"/>
      <w:spacing w:before="0" w:after="0" w:line="268" w:lineRule="atLeast"/>
    </w:pPr>
    <w:rPr>
      <w:rFonts w:ascii="Calibri,Bold" w:eastAsiaTheme="minorEastAsia" w:hAnsi="Calibri,Bold" w:cstheme="minorBidi"/>
      <w:color w:val="auto"/>
      <w:kern w:val="0"/>
      <w:sz w:val="24"/>
      <w:szCs w:val="24"/>
      <w:lang w:eastAsia="en-AU"/>
    </w:rPr>
  </w:style>
  <w:style w:type="character" w:customStyle="1" w:styleId="BodyText2Char">
    <w:name w:val="Body Text 2 Char"/>
    <w:basedOn w:val="DefaultParagraphFont"/>
    <w:link w:val="BodyText2"/>
    <w:uiPriority w:val="99"/>
    <w:semiHidden/>
    <w:rsid w:val="00C75987"/>
    <w:rPr>
      <w:rFonts w:ascii="Century Gothic" w:eastAsia="Times New Roman" w:hAnsi="Century Gothic" w:cs="Times New Roman"/>
      <w:color w:val="000000"/>
      <w:kern w:val="28"/>
      <w:szCs w:val="20"/>
    </w:rPr>
  </w:style>
  <w:style w:type="paragraph" w:styleId="BodyText2">
    <w:name w:val="Body Text 2"/>
    <w:basedOn w:val="Normal"/>
    <w:link w:val="BodyText2Char"/>
    <w:uiPriority w:val="99"/>
    <w:semiHidden/>
    <w:unhideWhenUsed/>
    <w:rsid w:val="00C75987"/>
    <w:pPr>
      <w:spacing w:line="480" w:lineRule="auto"/>
    </w:pPr>
  </w:style>
  <w:style w:type="paragraph" w:styleId="NoSpacing">
    <w:name w:val="No Spacing"/>
    <w:basedOn w:val="Normal"/>
    <w:link w:val="NoSpacingChar"/>
    <w:uiPriority w:val="1"/>
    <w:qFormat/>
    <w:rsid w:val="00C75987"/>
    <w:pPr>
      <w:spacing w:before="0" w:after="0" w:line="240" w:lineRule="auto"/>
      <w:jc w:val="left"/>
    </w:pPr>
    <w:rPr>
      <w:rFonts w:ascii="Calibri" w:hAnsi="Calibri"/>
      <w:color w:val="auto"/>
      <w:kern w:val="0"/>
      <w:sz w:val="20"/>
      <w:lang w:val="en-US" w:bidi="en-US"/>
    </w:rPr>
  </w:style>
  <w:style w:type="character" w:customStyle="1" w:styleId="NoSpacingChar">
    <w:name w:val="No Spacing Char"/>
    <w:basedOn w:val="DefaultParagraphFont"/>
    <w:link w:val="NoSpacing"/>
    <w:uiPriority w:val="1"/>
    <w:rsid w:val="00C75987"/>
    <w:rPr>
      <w:rFonts w:ascii="Calibri" w:eastAsia="Times New Roman" w:hAnsi="Calibri" w:cs="Times New Roman"/>
      <w:sz w:val="20"/>
      <w:szCs w:val="20"/>
      <w:lang w:val="en-US" w:bidi="en-US"/>
    </w:rPr>
  </w:style>
  <w:style w:type="character" w:customStyle="1" w:styleId="EndnoteTextChar">
    <w:name w:val="Endnote Text Char"/>
    <w:basedOn w:val="DefaultParagraphFont"/>
    <w:link w:val="EndnoteText"/>
    <w:uiPriority w:val="99"/>
    <w:semiHidden/>
    <w:rsid w:val="00C75987"/>
    <w:rPr>
      <w:rFonts w:ascii="Century Gothic" w:eastAsia="Times New Roman" w:hAnsi="Century Gothic" w:cs="Times New Roman"/>
      <w:color w:val="000000"/>
      <w:kern w:val="28"/>
      <w:sz w:val="20"/>
      <w:szCs w:val="20"/>
    </w:rPr>
  </w:style>
  <w:style w:type="paragraph" w:styleId="EndnoteText">
    <w:name w:val="endnote text"/>
    <w:basedOn w:val="Normal"/>
    <w:link w:val="EndnoteTextChar"/>
    <w:uiPriority w:val="99"/>
    <w:semiHidden/>
    <w:unhideWhenUsed/>
    <w:rsid w:val="00C75987"/>
    <w:pPr>
      <w:spacing w:before="0" w:after="0" w:line="240" w:lineRule="auto"/>
    </w:pPr>
    <w:rPr>
      <w:sz w:val="20"/>
    </w:rPr>
  </w:style>
  <w:style w:type="paragraph" w:styleId="Revision">
    <w:name w:val="Revision"/>
    <w:hidden/>
    <w:uiPriority w:val="99"/>
    <w:semiHidden/>
    <w:rsid w:val="001F70CE"/>
    <w:pPr>
      <w:spacing w:after="0" w:line="240" w:lineRule="auto"/>
    </w:pPr>
    <w:rPr>
      <w:rFonts w:ascii="Century Gothic" w:eastAsia="Times New Roman" w:hAnsi="Century Gothic" w:cs="Times New Roman"/>
      <w:color w:val="000000"/>
      <w:kern w:val="28"/>
      <w:szCs w:val="20"/>
    </w:rPr>
  </w:style>
  <w:style w:type="character" w:styleId="FollowedHyperlink">
    <w:name w:val="FollowedHyperlink"/>
    <w:basedOn w:val="DefaultParagraphFont"/>
    <w:uiPriority w:val="99"/>
    <w:semiHidden/>
    <w:unhideWhenUsed/>
    <w:rsid w:val="00F91999"/>
    <w:rPr>
      <w:color w:val="954F72" w:themeColor="followedHyperlink"/>
      <w:u w:val="single"/>
    </w:rPr>
  </w:style>
  <w:style w:type="paragraph" w:customStyle="1" w:styleId="EndNoteBibliographyTitle">
    <w:name w:val="EndNote Bibliography Title"/>
    <w:basedOn w:val="Normal"/>
    <w:link w:val="EndNoteBibliographyTitleChar"/>
    <w:rsid w:val="0088325F"/>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88325F"/>
    <w:rPr>
      <w:rFonts w:ascii="Century Gothic" w:eastAsia="Times New Roman" w:hAnsi="Century Gothic" w:cs="Times New Roman"/>
      <w:noProof/>
      <w:color w:val="000000"/>
      <w:kern w:val="28"/>
      <w:szCs w:val="20"/>
      <w:lang w:val="en-US"/>
    </w:rPr>
  </w:style>
  <w:style w:type="character" w:customStyle="1" w:styleId="UnresolvedMention1">
    <w:name w:val="Unresolved Mention1"/>
    <w:basedOn w:val="DefaultParagraphFont"/>
    <w:uiPriority w:val="99"/>
    <w:semiHidden/>
    <w:unhideWhenUsed/>
    <w:rsid w:val="00F65132"/>
    <w:rPr>
      <w:color w:val="605E5C"/>
      <w:shd w:val="clear" w:color="auto" w:fill="E1DFDD"/>
    </w:rPr>
  </w:style>
  <w:style w:type="paragraph" w:styleId="ListBullet3">
    <w:name w:val="List Bullet 3"/>
    <w:basedOn w:val="Normal"/>
    <w:uiPriority w:val="99"/>
    <w:semiHidden/>
    <w:unhideWhenUsed/>
    <w:rsid w:val="00250A03"/>
    <w:pPr>
      <w:snapToGrid w:val="0"/>
      <w:spacing w:before="0" w:after="60" w:line="240" w:lineRule="auto"/>
      <w:ind w:left="1106" w:hanging="369"/>
      <w:jc w:val="left"/>
    </w:pPr>
    <w:rPr>
      <w:rFonts w:ascii="Arial" w:hAnsi="Arial" w:cs="Arial"/>
      <w:color w:val="auto"/>
      <w:kern w:val="0"/>
      <w:sz w:val="22"/>
      <w:szCs w:val="22"/>
      <w:lang w:val="en-GB" w:eastAsia="en-AU"/>
    </w:rPr>
  </w:style>
  <w:style w:type="paragraph" w:styleId="ListBullet4">
    <w:name w:val="List Bullet 4"/>
    <w:basedOn w:val="Normal"/>
    <w:uiPriority w:val="99"/>
    <w:semiHidden/>
    <w:unhideWhenUsed/>
    <w:rsid w:val="00250A03"/>
    <w:pPr>
      <w:snapToGrid w:val="0"/>
      <w:spacing w:before="0" w:after="60" w:line="240" w:lineRule="auto"/>
      <w:ind w:left="1474" w:hanging="368"/>
      <w:jc w:val="left"/>
    </w:pPr>
    <w:rPr>
      <w:rFonts w:ascii="Arial" w:hAnsi="Arial" w:cs="Arial"/>
      <w:color w:val="auto"/>
      <w:kern w:val="0"/>
      <w:sz w:val="22"/>
      <w:szCs w:val="22"/>
      <w:lang w:val="en-GB" w:eastAsia="en-AU"/>
    </w:rPr>
  </w:style>
  <w:style w:type="paragraph" w:styleId="ListBullet5">
    <w:name w:val="List Bullet 5"/>
    <w:basedOn w:val="Normal"/>
    <w:uiPriority w:val="99"/>
    <w:semiHidden/>
    <w:unhideWhenUsed/>
    <w:rsid w:val="00250A03"/>
    <w:pPr>
      <w:snapToGrid w:val="0"/>
      <w:spacing w:before="0" w:after="60" w:line="240" w:lineRule="auto"/>
      <w:ind w:left="1800" w:hanging="360"/>
      <w:jc w:val="left"/>
    </w:pPr>
    <w:rPr>
      <w:rFonts w:ascii="Arial" w:hAnsi="Arial" w:cs="Arial"/>
      <w:color w:val="auto"/>
      <w:kern w:val="0"/>
      <w:sz w:val="22"/>
      <w:szCs w:val="22"/>
      <w:lang w:val="en-GB" w:eastAsia="en-AU"/>
    </w:rPr>
  </w:style>
  <w:style w:type="numbering" w:customStyle="1" w:styleId="BulletList">
    <w:name w:val="Bullet List"/>
    <w:uiPriority w:val="99"/>
    <w:rsid w:val="00250A03"/>
    <w:pPr>
      <w:numPr>
        <w:numId w:val="9"/>
      </w:numPr>
    </w:pPr>
  </w:style>
  <w:style w:type="character" w:styleId="UnresolvedMention">
    <w:name w:val="Unresolved Mention"/>
    <w:basedOn w:val="DefaultParagraphFont"/>
    <w:uiPriority w:val="99"/>
    <w:semiHidden/>
    <w:unhideWhenUsed/>
    <w:rsid w:val="00065519"/>
    <w:rPr>
      <w:color w:val="605E5C"/>
      <w:shd w:val="clear" w:color="auto" w:fill="E1DFDD"/>
    </w:rPr>
  </w:style>
  <w:style w:type="character" w:customStyle="1" w:styleId="spelle">
    <w:name w:val="spelle"/>
    <w:basedOn w:val="DefaultParagraphFont"/>
    <w:rsid w:val="00ED6D8A"/>
  </w:style>
  <w:style w:type="paragraph" w:customStyle="1" w:styleId="TableBullets">
    <w:name w:val="TableBullets"/>
    <w:basedOn w:val="TableText"/>
    <w:qFormat/>
    <w:rsid w:val="00653BDD"/>
    <w:pPr>
      <w:numPr>
        <w:numId w:val="11"/>
      </w:numPr>
      <w:tabs>
        <w:tab w:val="num" w:pos="360"/>
      </w:tabs>
      <w:spacing w:before="40" w:after="40" w:line="240" w:lineRule="auto"/>
      <w:ind w:left="0" w:firstLine="0"/>
    </w:pPr>
    <w:rPr>
      <w:rFonts w:asciiTheme="minorHAnsi" w:eastAsia="Calibri" w:hAnsiTheme="minorHAnsi"/>
      <w:lang w:eastAsia="en-AU"/>
    </w:rPr>
  </w:style>
  <w:style w:type="character" w:customStyle="1" w:styleId="Heading1Char1">
    <w:name w:val="Heading 1 Char1"/>
    <w:aliases w:val="H1 Char1"/>
    <w:basedOn w:val="DefaultParagraphFont"/>
    <w:uiPriority w:val="9"/>
    <w:rsid w:val="001E11D2"/>
    <w:rPr>
      <w:rFonts w:asciiTheme="majorHAnsi" w:eastAsiaTheme="majorEastAsia" w:hAnsiTheme="majorHAnsi" w:cstheme="majorBidi"/>
      <w:color w:val="2E74B5" w:themeColor="accent1" w:themeShade="BF"/>
      <w:kern w:val="28"/>
      <w:sz w:val="32"/>
      <w:szCs w:val="32"/>
    </w:rPr>
  </w:style>
  <w:style w:type="paragraph" w:customStyle="1" w:styleId="msonormal0">
    <w:name w:val="msonormal"/>
    <w:basedOn w:val="Normal"/>
    <w:uiPriority w:val="99"/>
    <w:rsid w:val="001E11D2"/>
    <w:pPr>
      <w:spacing w:before="100" w:beforeAutospacing="1" w:after="100" w:afterAutospacing="1"/>
    </w:pPr>
    <w:rPr>
      <w:rFonts w:ascii="Times New Roman" w:hAnsi="Times New Roman"/>
      <w:color w:val="auto"/>
      <w:kern w:val="0"/>
      <w:sz w:val="24"/>
      <w:szCs w:val="24"/>
      <w:lang w:val="en-US"/>
    </w:rPr>
  </w:style>
  <w:style w:type="character" w:customStyle="1" w:styleId="DocumentMapChar1">
    <w:name w:val="Document Map Char1"/>
    <w:basedOn w:val="DefaultParagraphFont"/>
    <w:uiPriority w:val="99"/>
    <w:semiHidden/>
    <w:rsid w:val="001E11D2"/>
    <w:rPr>
      <w:rFonts w:ascii="Segoe UI" w:eastAsia="Times New Roman" w:hAnsi="Segoe UI" w:cs="Segoe UI"/>
      <w:color w:val="000000"/>
      <w:kern w:val="28"/>
      <w:sz w:val="16"/>
      <w:szCs w:val="16"/>
    </w:rPr>
  </w:style>
  <w:style w:type="character" w:customStyle="1" w:styleId="BodyText2Char1">
    <w:name w:val="Body Text 2 Char1"/>
    <w:basedOn w:val="DefaultParagraphFont"/>
    <w:uiPriority w:val="99"/>
    <w:semiHidden/>
    <w:rsid w:val="001E11D2"/>
    <w:rPr>
      <w:rFonts w:ascii="Century Gothic" w:eastAsia="Times New Roman" w:hAnsi="Century Gothic" w:cs="Times New Roman"/>
      <w:color w:val="000000"/>
      <w:kern w:val="28"/>
      <w:sz w:val="21"/>
      <w:szCs w:val="20"/>
    </w:rPr>
  </w:style>
  <w:style w:type="character" w:customStyle="1" w:styleId="EndnoteTextChar1">
    <w:name w:val="Endnote Text Char1"/>
    <w:basedOn w:val="DefaultParagraphFont"/>
    <w:uiPriority w:val="99"/>
    <w:semiHidden/>
    <w:rsid w:val="001E11D2"/>
    <w:rPr>
      <w:rFonts w:ascii="Century Gothic" w:eastAsia="Times New Roman" w:hAnsi="Century Gothic" w:cs="Times New Roman"/>
      <w:color w:val="000000"/>
      <w:kern w:val="28"/>
      <w:sz w:val="20"/>
      <w:szCs w:val="20"/>
    </w:rPr>
  </w:style>
  <w:style w:type="paragraph" w:customStyle="1" w:styleId="xmsonormal">
    <w:name w:val="x_msonormal"/>
    <w:basedOn w:val="Normal"/>
    <w:rsid w:val="001E11D2"/>
    <w:pPr>
      <w:spacing w:before="0" w:after="0" w:line="240" w:lineRule="auto"/>
      <w:jc w:val="left"/>
    </w:pPr>
    <w:rPr>
      <w:rFonts w:ascii="Calibri" w:eastAsiaTheme="minorHAnsi" w:hAnsi="Calibri" w:cs="Calibri"/>
      <w:color w:val="auto"/>
      <w:kern w:val="0"/>
      <w:sz w:val="22"/>
      <w:szCs w:val="22"/>
      <w:lang w:eastAsia="en-AU"/>
    </w:rPr>
  </w:style>
  <w:style w:type="character" w:customStyle="1" w:styleId="Heading2Char1">
    <w:name w:val="Heading 2 Char1"/>
    <w:aliases w:val="H2 Char1"/>
    <w:basedOn w:val="DefaultParagraphFont"/>
    <w:uiPriority w:val="9"/>
    <w:semiHidden/>
    <w:rsid w:val="00A229CC"/>
    <w:rPr>
      <w:rFonts w:asciiTheme="majorHAnsi" w:eastAsiaTheme="majorEastAsia" w:hAnsiTheme="majorHAnsi" w:cstheme="majorBidi"/>
      <w:color w:val="2E74B5" w:themeColor="accent1" w:themeShade="BF"/>
      <w:kern w:val="28"/>
      <w:sz w:val="26"/>
      <w:szCs w:val="26"/>
    </w:rPr>
  </w:style>
  <w:style w:type="character" w:customStyle="1" w:styleId="Heading3Char1">
    <w:name w:val="Heading 3 Char1"/>
    <w:aliases w:val="H3 Char1"/>
    <w:basedOn w:val="DefaultParagraphFont"/>
    <w:uiPriority w:val="9"/>
    <w:semiHidden/>
    <w:rsid w:val="00A229CC"/>
    <w:rPr>
      <w:rFonts w:asciiTheme="majorHAnsi" w:eastAsiaTheme="majorEastAsia" w:hAnsiTheme="majorHAnsi" w:cstheme="majorBidi"/>
      <w:color w:val="1F4D78" w:themeColor="accent1" w:themeShade="7F"/>
      <w:kern w:val="28"/>
      <w:sz w:val="24"/>
      <w:szCs w:val="24"/>
    </w:rPr>
  </w:style>
  <w:style w:type="character" w:customStyle="1" w:styleId="Heading4Char1">
    <w:name w:val="Heading 4 Char1"/>
    <w:aliases w:val="H4 Char1"/>
    <w:basedOn w:val="DefaultParagraphFont"/>
    <w:uiPriority w:val="9"/>
    <w:semiHidden/>
    <w:rsid w:val="00A229CC"/>
    <w:rPr>
      <w:rFonts w:asciiTheme="majorHAnsi" w:eastAsiaTheme="majorEastAsia" w:hAnsiTheme="majorHAnsi" w:cstheme="majorBidi"/>
      <w:i/>
      <w:iCs/>
      <w:color w:val="2E74B5" w:themeColor="accent1" w:themeShade="BF"/>
      <w:kern w:val="28"/>
      <w:sz w:val="21"/>
    </w:rPr>
  </w:style>
  <w:style w:type="character" w:customStyle="1" w:styleId="Heading5Char1">
    <w:name w:val="Heading 5 Char1"/>
    <w:aliases w:val="H5 Char1"/>
    <w:basedOn w:val="DefaultParagraphFont"/>
    <w:uiPriority w:val="10"/>
    <w:semiHidden/>
    <w:rsid w:val="00A229CC"/>
    <w:rPr>
      <w:rFonts w:asciiTheme="majorHAnsi" w:eastAsiaTheme="majorEastAsia" w:hAnsiTheme="majorHAnsi" w:cstheme="majorBidi"/>
      <w:color w:val="2E74B5" w:themeColor="accent1" w:themeShade="BF"/>
      <w:kern w:val="28"/>
      <w:sz w:val="21"/>
    </w:rPr>
  </w:style>
  <w:style w:type="character" w:customStyle="1" w:styleId="Heading6Char1">
    <w:name w:val="Heading 6 Char1"/>
    <w:aliases w:val="H6 Char1"/>
    <w:basedOn w:val="DefaultParagraphFont"/>
    <w:uiPriority w:val="11"/>
    <w:semiHidden/>
    <w:rsid w:val="00A229CC"/>
    <w:rPr>
      <w:rFonts w:asciiTheme="majorHAnsi" w:eastAsiaTheme="majorEastAsia" w:hAnsiTheme="majorHAnsi" w:cstheme="majorBidi"/>
      <w:color w:val="1F4D78" w:themeColor="accent1" w:themeShade="7F"/>
      <w:kern w:val="28"/>
      <w:sz w:val="21"/>
    </w:rPr>
  </w:style>
  <w:style w:type="character" w:customStyle="1" w:styleId="UnresolvedMention2">
    <w:name w:val="Unresolved Mention2"/>
    <w:basedOn w:val="DefaultParagraphFont"/>
    <w:uiPriority w:val="99"/>
    <w:semiHidden/>
    <w:rsid w:val="00A229CC"/>
    <w:rPr>
      <w:color w:val="605E5C"/>
      <w:shd w:val="clear" w:color="auto" w:fill="E1DFDD"/>
    </w:rPr>
  </w:style>
  <w:style w:type="table" w:styleId="PlainTable3">
    <w:name w:val="Plain Table 3"/>
    <w:basedOn w:val="TableNormal"/>
    <w:uiPriority w:val="43"/>
    <w:rsid w:val="00636F3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636F3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3">
    <w:name w:val="Grid Table 1 Light Accent 3"/>
    <w:basedOn w:val="TableNormal"/>
    <w:uiPriority w:val="46"/>
    <w:rsid w:val="00636F3B"/>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paragraph">
    <w:name w:val="paragraph"/>
    <w:basedOn w:val="Normal"/>
    <w:rsid w:val="00636F3B"/>
    <w:pPr>
      <w:spacing w:before="100" w:beforeAutospacing="1" w:after="100" w:afterAutospacing="1" w:line="240" w:lineRule="auto"/>
      <w:jc w:val="left"/>
    </w:pPr>
    <w:rPr>
      <w:rFonts w:ascii="Times New Roman" w:hAnsi="Times New Roman"/>
      <w:color w:val="auto"/>
      <w:kern w:val="0"/>
      <w:sz w:val="24"/>
      <w:szCs w:val="24"/>
      <w:lang w:eastAsia="en-AU"/>
    </w:rPr>
  </w:style>
  <w:style w:type="character" w:customStyle="1" w:styleId="normaltextrun">
    <w:name w:val="normaltextrun"/>
    <w:basedOn w:val="DefaultParagraphFont"/>
    <w:rsid w:val="00636F3B"/>
  </w:style>
  <w:style w:type="character" w:customStyle="1" w:styleId="eop">
    <w:name w:val="eop"/>
    <w:basedOn w:val="DefaultParagraphFont"/>
    <w:rsid w:val="00636F3B"/>
  </w:style>
  <w:style w:type="table" w:customStyle="1" w:styleId="GridTable5Dark-Accent11">
    <w:name w:val="Grid Table 5 Dark - Accent 11"/>
    <w:basedOn w:val="TableNormal"/>
    <w:uiPriority w:val="50"/>
    <w:rsid w:val="00B60940"/>
    <w:pPr>
      <w:spacing w:after="0" w:line="240" w:lineRule="auto"/>
    </w:pPr>
    <w:rPr>
      <w:rFonts w:eastAsiaTheme="minorEastAsia"/>
      <w:lang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68262">
      <w:bodyDiv w:val="1"/>
      <w:marLeft w:val="0"/>
      <w:marRight w:val="0"/>
      <w:marTop w:val="0"/>
      <w:marBottom w:val="0"/>
      <w:divBdr>
        <w:top w:val="none" w:sz="0" w:space="0" w:color="auto"/>
        <w:left w:val="none" w:sz="0" w:space="0" w:color="auto"/>
        <w:bottom w:val="none" w:sz="0" w:space="0" w:color="auto"/>
        <w:right w:val="none" w:sz="0" w:space="0" w:color="auto"/>
      </w:divBdr>
    </w:div>
    <w:div w:id="120154745">
      <w:bodyDiv w:val="1"/>
      <w:marLeft w:val="0"/>
      <w:marRight w:val="0"/>
      <w:marTop w:val="0"/>
      <w:marBottom w:val="0"/>
      <w:divBdr>
        <w:top w:val="none" w:sz="0" w:space="0" w:color="auto"/>
        <w:left w:val="none" w:sz="0" w:space="0" w:color="auto"/>
        <w:bottom w:val="none" w:sz="0" w:space="0" w:color="auto"/>
        <w:right w:val="none" w:sz="0" w:space="0" w:color="auto"/>
      </w:divBdr>
    </w:div>
    <w:div w:id="152920398">
      <w:bodyDiv w:val="1"/>
      <w:marLeft w:val="0"/>
      <w:marRight w:val="0"/>
      <w:marTop w:val="0"/>
      <w:marBottom w:val="0"/>
      <w:divBdr>
        <w:top w:val="none" w:sz="0" w:space="0" w:color="auto"/>
        <w:left w:val="none" w:sz="0" w:space="0" w:color="auto"/>
        <w:bottom w:val="none" w:sz="0" w:space="0" w:color="auto"/>
        <w:right w:val="none" w:sz="0" w:space="0" w:color="auto"/>
      </w:divBdr>
    </w:div>
    <w:div w:id="188572327">
      <w:bodyDiv w:val="1"/>
      <w:marLeft w:val="0"/>
      <w:marRight w:val="0"/>
      <w:marTop w:val="0"/>
      <w:marBottom w:val="0"/>
      <w:divBdr>
        <w:top w:val="none" w:sz="0" w:space="0" w:color="auto"/>
        <w:left w:val="none" w:sz="0" w:space="0" w:color="auto"/>
        <w:bottom w:val="none" w:sz="0" w:space="0" w:color="auto"/>
        <w:right w:val="none" w:sz="0" w:space="0" w:color="auto"/>
      </w:divBdr>
    </w:div>
    <w:div w:id="223637593">
      <w:bodyDiv w:val="1"/>
      <w:marLeft w:val="0"/>
      <w:marRight w:val="0"/>
      <w:marTop w:val="0"/>
      <w:marBottom w:val="0"/>
      <w:divBdr>
        <w:top w:val="none" w:sz="0" w:space="0" w:color="auto"/>
        <w:left w:val="none" w:sz="0" w:space="0" w:color="auto"/>
        <w:bottom w:val="none" w:sz="0" w:space="0" w:color="auto"/>
        <w:right w:val="none" w:sz="0" w:space="0" w:color="auto"/>
      </w:divBdr>
    </w:div>
    <w:div w:id="259073889">
      <w:bodyDiv w:val="1"/>
      <w:marLeft w:val="0"/>
      <w:marRight w:val="0"/>
      <w:marTop w:val="0"/>
      <w:marBottom w:val="0"/>
      <w:divBdr>
        <w:top w:val="none" w:sz="0" w:space="0" w:color="auto"/>
        <w:left w:val="none" w:sz="0" w:space="0" w:color="auto"/>
        <w:bottom w:val="none" w:sz="0" w:space="0" w:color="auto"/>
        <w:right w:val="none" w:sz="0" w:space="0" w:color="auto"/>
      </w:divBdr>
    </w:div>
    <w:div w:id="312880590">
      <w:bodyDiv w:val="1"/>
      <w:marLeft w:val="0"/>
      <w:marRight w:val="0"/>
      <w:marTop w:val="0"/>
      <w:marBottom w:val="0"/>
      <w:divBdr>
        <w:top w:val="none" w:sz="0" w:space="0" w:color="auto"/>
        <w:left w:val="none" w:sz="0" w:space="0" w:color="auto"/>
        <w:bottom w:val="none" w:sz="0" w:space="0" w:color="auto"/>
        <w:right w:val="none" w:sz="0" w:space="0" w:color="auto"/>
      </w:divBdr>
    </w:div>
    <w:div w:id="403264317">
      <w:bodyDiv w:val="1"/>
      <w:marLeft w:val="0"/>
      <w:marRight w:val="0"/>
      <w:marTop w:val="0"/>
      <w:marBottom w:val="0"/>
      <w:divBdr>
        <w:top w:val="none" w:sz="0" w:space="0" w:color="auto"/>
        <w:left w:val="none" w:sz="0" w:space="0" w:color="auto"/>
        <w:bottom w:val="none" w:sz="0" w:space="0" w:color="auto"/>
        <w:right w:val="none" w:sz="0" w:space="0" w:color="auto"/>
      </w:divBdr>
    </w:div>
    <w:div w:id="405807980">
      <w:bodyDiv w:val="1"/>
      <w:marLeft w:val="0"/>
      <w:marRight w:val="0"/>
      <w:marTop w:val="0"/>
      <w:marBottom w:val="0"/>
      <w:divBdr>
        <w:top w:val="none" w:sz="0" w:space="0" w:color="auto"/>
        <w:left w:val="none" w:sz="0" w:space="0" w:color="auto"/>
        <w:bottom w:val="none" w:sz="0" w:space="0" w:color="auto"/>
        <w:right w:val="none" w:sz="0" w:space="0" w:color="auto"/>
      </w:divBdr>
    </w:div>
    <w:div w:id="438722734">
      <w:bodyDiv w:val="1"/>
      <w:marLeft w:val="0"/>
      <w:marRight w:val="0"/>
      <w:marTop w:val="0"/>
      <w:marBottom w:val="0"/>
      <w:divBdr>
        <w:top w:val="none" w:sz="0" w:space="0" w:color="auto"/>
        <w:left w:val="none" w:sz="0" w:space="0" w:color="auto"/>
        <w:bottom w:val="none" w:sz="0" w:space="0" w:color="auto"/>
        <w:right w:val="none" w:sz="0" w:space="0" w:color="auto"/>
      </w:divBdr>
    </w:div>
    <w:div w:id="591084074">
      <w:bodyDiv w:val="1"/>
      <w:marLeft w:val="0"/>
      <w:marRight w:val="0"/>
      <w:marTop w:val="0"/>
      <w:marBottom w:val="0"/>
      <w:divBdr>
        <w:top w:val="none" w:sz="0" w:space="0" w:color="auto"/>
        <w:left w:val="none" w:sz="0" w:space="0" w:color="auto"/>
        <w:bottom w:val="none" w:sz="0" w:space="0" w:color="auto"/>
        <w:right w:val="none" w:sz="0" w:space="0" w:color="auto"/>
      </w:divBdr>
    </w:div>
    <w:div w:id="623540434">
      <w:bodyDiv w:val="1"/>
      <w:marLeft w:val="0"/>
      <w:marRight w:val="0"/>
      <w:marTop w:val="0"/>
      <w:marBottom w:val="0"/>
      <w:divBdr>
        <w:top w:val="none" w:sz="0" w:space="0" w:color="auto"/>
        <w:left w:val="none" w:sz="0" w:space="0" w:color="auto"/>
        <w:bottom w:val="none" w:sz="0" w:space="0" w:color="auto"/>
        <w:right w:val="none" w:sz="0" w:space="0" w:color="auto"/>
      </w:divBdr>
    </w:div>
    <w:div w:id="746733431">
      <w:bodyDiv w:val="1"/>
      <w:marLeft w:val="0"/>
      <w:marRight w:val="0"/>
      <w:marTop w:val="0"/>
      <w:marBottom w:val="0"/>
      <w:divBdr>
        <w:top w:val="none" w:sz="0" w:space="0" w:color="auto"/>
        <w:left w:val="none" w:sz="0" w:space="0" w:color="auto"/>
        <w:bottom w:val="none" w:sz="0" w:space="0" w:color="auto"/>
        <w:right w:val="none" w:sz="0" w:space="0" w:color="auto"/>
      </w:divBdr>
    </w:div>
    <w:div w:id="782116164">
      <w:bodyDiv w:val="1"/>
      <w:marLeft w:val="0"/>
      <w:marRight w:val="0"/>
      <w:marTop w:val="0"/>
      <w:marBottom w:val="0"/>
      <w:divBdr>
        <w:top w:val="none" w:sz="0" w:space="0" w:color="auto"/>
        <w:left w:val="none" w:sz="0" w:space="0" w:color="auto"/>
        <w:bottom w:val="none" w:sz="0" w:space="0" w:color="auto"/>
        <w:right w:val="none" w:sz="0" w:space="0" w:color="auto"/>
      </w:divBdr>
    </w:div>
    <w:div w:id="843012608">
      <w:bodyDiv w:val="1"/>
      <w:marLeft w:val="0"/>
      <w:marRight w:val="0"/>
      <w:marTop w:val="0"/>
      <w:marBottom w:val="0"/>
      <w:divBdr>
        <w:top w:val="none" w:sz="0" w:space="0" w:color="auto"/>
        <w:left w:val="none" w:sz="0" w:space="0" w:color="auto"/>
        <w:bottom w:val="none" w:sz="0" w:space="0" w:color="auto"/>
        <w:right w:val="none" w:sz="0" w:space="0" w:color="auto"/>
      </w:divBdr>
    </w:div>
    <w:div w:id="911816706">
      <w:bodyDiv w:val="1"/>
      <w:marLeft w:val="0"/>
      <w:marRight w:val="0"/>
      <w:marTop w:val="0"/>
      <w:marBottom w:val="0"/>
      <w:divBdr>
        <w:top w:val="none" w:sz="0" w:space="0" w:color="auto"/>
        <w:left w:val="none" w:sz="0" w:space="0" w:color="auto"/>
        <w:bottom w:val="none" w:sz="0" w:space="0" w:color="auto"/>
        <w:right w:val="none" w:sz="0" w:space="0" w:color="auto"/>
      </w:divBdr>
    </w:div>
    <w:div w:id="919601752">
      <w:bodyDiv w:val="1"/>
      <w:marLeft w:val="0"/>
      <w:marRight w:val="0"/>
      <w:marTop w:val="0"/>
      <w:marBottom w:val="0"/>
      <w:divBdr>
        <w:top w:val="none" w:sz="0" w:space="0" w:color="auto"/>
        <w:left w:val="none" w:sz="0" w:space="0" w:color="auto"/>
        <w:bottom w:val="none" w:sz="0" w:space="0" w:color="auto"/>
        <w:right w:val="none" w:sz="0" w:space="0" w:color="auto"/>
      </w:divBdr>
    </w:div>
    <w:div w:id="926957145">
      <w:bodyDiv w:val="1"/>
      <w:marLeft w:val="0"/>
      <w:marRight w:val="0"/>
      <w:marTop w:val="0"/>
      <w:marBottom w:val="0"/>
      <w:divBdr>
        <w:top w:val="none" w:sz="0" w:space="0" w:color="auto"/>
        <w:left w:val="none" w:sz="0" w:space="0" w:color="auto"/>
        <w:bottom w:val="none" w:sz="0" w:space="0" w:color="auto"/>
        <w:right w:val="none" w:sz="0" w:space="0" w:color="auto"/>
      </w:divBdr>
    </w:div>
    <w:div w:id="954679511">
      <w:bodyDiv w:val="1"/>
      <w:marLeft w:val="0"/>
      <w:marRight w:val="0"/>
      <w:marTop w:val="0"/>
      <w:marBottom w:val="0"/>
      <w:divBdr>
        <w:top w:val="none" w:sz="0" w:space="0" w:color="auto"/>
        <w:left w:val="none" w:sz="0" w:space="0" w:color="auto"/>
        <w:bottom w:val="none" w:sz="0" w:space="0" w:color="auto"/>
        <w:right w:val="none" w:sz="0" w:space="0" w:color="auto"/>
      </w:divBdr>
    </w:div>
    <w:div w:id="1022052769">
      <w:bodyDiv w:val="1"/>
      <w:marLeft w:val="0"/>
      <w:marRight w:val="0"/>
      <w:marTop w:val="0"/>
      <w:marBottom w:val="0"/>
      <w:divBdr>
        <w:top w:val="none" w:sz="0" w:space="0" w:color="auto"/>
        <w:left w:val="none" w:sz="0" w:space="0" w:color="auto"/>
        <w:bottom w:val="none" w:sz="0" w:space="0" w:color="auto"/>
        <w:right w:val="none" w:sz="0" w:space="0" w:color="auto"/>
      </w:divBdr>
    </w:div>
    <w:div w:id="1091583714">
      <w:bodyDiv w:val="1"/>
      <w:marLeft w:val="0"/>
      <w:marRight w:val="0"/>
      <w:marTop w:val="0"/>
      <w:marBottom w:val="0"/>
      <w:divBdr>
        <w:top w:val="none" w:sz="0" w:space="0" w:color="auto"/>
        <w:left w:val="none" w:sz="0" w:space="0" w:color="auto"/>
        <w:bottom w:val="none" w:sz="0" w:space="0" w:color="auto"/>
        <w:right w:val="none" w:sz="0" w:space="0" w:color="auto"/>
      </w:divBdr>
    </w:div>
    <w:div w:id="1103762783">
      <w:bodyDiv w:val="1"/>
      <w:marLeft w:val="0"/>
      <w:marRight w:val="0"/>
      <w:marTop w:val="0"/>
      <w:marBottom w:val="0"/>
      <w:divBdr>
        <w:top w:val="none" w:sz="0" w:space="0" w:color="auto"/>
        <w:left w:val="none" w:sz="0" w:space="0" w:color="auto"/>
        <w:bottom w:val="none" w:sz="0" w:space="0" w:color="auto"/>
        <w:right w:val="none" w:sz="0" w:space="0" w:color="auto"/>
      </w:divBdr>
    </w:div>
    <w:div w:id="1151025240">
      <w:bodyDiv w:val="1"/>
      <w:marLeft w:val="0"/>
      <w:marRight w:val="0"/>
      <w:marTop w:val="0"/>
      <w:marBottom w:val="0"/>
      <w:divBdr>
        <w:top w:val="none" w:sz="0" w:space="0" w:color="auto"/>
        <w:left w:val="none" w:sz="0" w:space="0" w:color="auto"/>
        <w:bottom w:val="none" w:sz="0" w:space="0" w:color="auto"/>
        <w:right w:val="none" w:sz="0" w:space="0" w:color="auto"/>
      </w:divBdr>
    </w:div>
    <w:div w:id="1229917386">
      <w:bodyDiv w:val="1"/>
      <w:marLeft w:val="0"/>
      <w:marRight w:val="0"/>
      <w:marTop w:val="0"/>
      <w:marBottom w:val="0"/>
      <w:divBdr>
        <w:top w:val="none" w:sz="0" w:space="0" w:color="auto"/>
        <w:left w:val="none" w:sz="0" w:space="0" w:color="auto"/>
        <w:bottom w:val="none" w:sz="0" w:space="0" w:color="auto"/>
        <w:right w:val="none" w:sz="0" w:space="0" w:color="auto"/>
      </w:divBdr>
    </w:div>
    <w:div w:id="1270117620">
      <w:bodyDiv w:val="1"/>
      <w:marLeft w:val="0"/>
      <w:marRight w:val="0"/>
      <w:marTop w:val="0"/>
      <w:marBottom w:val="0"/>
      <w:divBdr>
        <w:top w:val="none" w:sz="0" w:space="0" w:color="auto"/>
        <w:left w:val="none" w:sz="0" w:space="0" w:color="auto"/>
        <w:bottom w:val="none" w:sz="0" w:space="0" w:color="auto"/>
        <w:right w:val="none" w:sz="0" w:space="0" w:color="auto"/>
      </w:divBdr>
    </w:div>
    <w:div w:id="1271356773">
      <w:bodyDiv w:val="1"/>
      <w:marLeft w:val="0"/>
      <w:marRight w:val="0"/>
      <w:marTop w:val="0"/>
      <w:marBottom w:val="0"/>
      <w:divBdr>
        <w:top w:val="none" w:sz="0" w:space="0" w:color="auto"/>
        <w:left w:val="none" w:sz="0" w:space="0" w:color="auto"/>
        <w:bottom w:val="none" w:sz="0" w:space="0" w:color="auto"/>
        <w:right w:val="none" w:sz="0" w:space="0" w:color="auto"/>
      </w:divBdr>
    </w:div>
    <w:div w:id="1312369042">
      <w:bodyDiv w:val="1"/>
      <w:marLeft w:val="0"/>
      <w:marRight w:val="0"/>
      <w:marTop w:val="0"/>
      <w:marBottom w:val="0"/>
      <w:divBdr>
        <w:top w:val="none" w:sz="0" w:space="0" w:color="auto"/>
        <w:left w:val="none" w:sz="0" w:space="0" w:color="auto"/>
        <w:bottom w:val="none" w:sz="0" w:space="0" w:color="auto"/>
        <w:right w:val="none" w:sz="0" w:space="0" w:color="auto"/>
      </w:divBdr>
    </w:div>
    <w:div w:id="1321811547">
      <w:bodyDiv w:val="1"/>
      <w:marLeft w:val="0"/>
      <w:marRight w:val="0"/>
      <w:marTop w:val="0"/>
      <w:marBottom w:val="0"/>
      <w:divBdr>
        <w:top w:val="none" w:sz="0" w:space="0" w:color="auto"/>
        <w:left w:val="none" w:sz="0" w:space="0" w:color="auto"/>
        <w:bottom w:val="none" w:sz="0" w:space="0" w:color="auto"/>
        <w:right w:val="none" w:sz="0" w:space="0" w:color="auto"/>
      </w:divBdr>
    </w:div>
    <w:div w:id="1346513306">
      <w:bodyDiv w:val="1"/>
      <w:marLeft w:val="0"/>
      <w:marRight w:val="0"/>
      <w:marTop w:val="0"/>
      <w:marBottom w:val="0"/>
      <w:divBdr>
        <w:top w:val="none" w:sz="0" w:space="0" w:color="auto"/>
        <w:left w:val="none" w:sz="0" w:space="0" w:color="auto"/>
        <w:bottom w:val="none" w:sz="0" w:space="0" w:color="auto"/>
        <w:right w:val="none" w:sz="0" w:space="0" w:color="auto"/>
      </w:divBdr>
    </w:div>
    <w:div w:id="1409035696">
      <w:bodyDiv w:val="1"/>
      <w:marLeft w:val="0"/>
      <w:marRight w:val="0"/>
      <w:marTop w:val="0"/>
      <w:marBottom w:val="0"/>
      <w:divBdr>
        <w:top w:val="none" w:sz="0" w:space="0" w:color="auto"/>
        <w:left w:val="none" w:sz="0" w:space="0" w:color="auto"/>
        <w:bottom w:val="none" w:sz="0" w:space="0" w:color="auto"/>
        <w:right w:val="none" w:sz="0" w:space="0" w:color="auto"/>
      </w:divBdr>
    </w:div>
    <w:div w:id="1411923546">
      <w:bodyDiv w:val="1"/>
      <w:marLeft w:val="0"/>
      <w:marRight w:val="0"/>
      <w:marTop w:val="0"/>
      <w:marBottom w:val="0"/>
      <w:divBdr>
        <w:top w:val="none" w:sz="0" w:space="0" w:color="auto"/>
        <w:left w:val="none" w:sz="0" w:space="0" w:color="auto"/>
        <w:bottom w:val="none" w:sz="0" w:space="0" w:color="auto"/>
        <w:right w:val="none" w:sz="0" w:space="0" w:color="auto"/>
      </w:divBdr>
    </w:div>
    <w:div w:id="1472399999">
      <w:bodyDiv w:val="1"/>
      <w:marLeft w:val="0"/>
      <w:marRight w:val="0"/>
      <w:marTop w:val="0"/>
      <w:marBottom w:val="0"/>
      <w:divBdr>
        <w:top w:val="none" w:sz="0" w:space="0" w:color="auto"/>
        <w:left w:val="none" w:sz="0" w:space="0" w:color="auto"/>
        <w:bottom w:val="none" w:sz="0" w:space="0" w:color="auto"/>
        <w:right w:val="none" w:sz="0" w:space="0" w:color="auto"/>
      </w:divBdr>
    </w:div>
    <w:div w:id="1473594413">
      <w:bodyDiv w:val="1"/>
      <w:marLeft w:val="0"/>
      <w:marRight w:val="0"/>
      <w:marTop w:val="0"/>
      <w:marBottom w:val="0"/>
      <w:divBdr>
        <w:top w:val="none" w:sz="0" w:space="0" w:color="auto"/>
        <w:left w:val="none" w:sz="0" w:space="0" w:color="auto"/>
        <w:bottom w:val="none" w:sz="0" w:space="0" w:color="auto"/>
        <w:right w:val="none" w:sz="0" w:space="0" w:color="auto"/>
      </w:divBdr>
    </w:div>
    <w:div w:id="1505129000">
      <w:bodyDiv w:val="1"/>
      <w:marLeft w:val="0"/>
      <w:marRight w:val="0"/>
      <w:marTop w:val="0"/>
      <w:marBottom w:val="0"/>
      <w:divBdr>
        <w:top w:val="none" w:sz="0" w:space="0" w:color="auto"/>
        <w:left w:val="none" w:sz="0" w:space="0" w:color="auto"/>
        <w:bottom w:val="none" w:sz="0" w:space="0" w:color="auto"/>
        <w:right w:val="none" w:sz="0" w:space="0" w:color="auto"/>
      </w:divBdr>
    </w:div>
    <w:div w:id="1540507314">
      <w:bodyDiv w:val="1"/>
      <w:marLeft w:val="0"/>
      <w:marRight w:val="0"/>
      <w:marTop w:val="0"/>
      <w:marBottom w:val="0"/>
      <w:divBdr>
        <w:top w:val="none" w:sz="0" w:space="0" w:color="auto"/>
        <w:left w:val="none" w:sz="0" w:space="0" w:color="auto"/>
        <w:bottom w:val="none" w:sz="0" w:space="0" w:color="auto"/>
        <w:right w:val="none" w:sz="0" w:space="0" w:color="auto"/>
      </w:divBdr>
    </w:div>
    <w:div w:id="1543395134">
      <w:bodyDiv w:val="1"/>
      <w:marLeft w:val="0"/>
      <w:marRight w:val="0"/>
      <w:marTop w:val="0"/>
      <w:marBottom w:val="0"/>
      <w:divBdr>
        <w:top w:val="none" w:sz="0" w:space="0" w:color="auto"/>
        <w:left w:val="none" w:sz="0" w:space="0" w:color="auto"/>
        <w:bottom w:val="none" w:sz="0" w:space="0" w:color="auto"/>
        <w:right w:val="none" w:sz="0" w:space="0" w:color="auto"/>
      </w:divBdr>
    </w:div>
    <w:div w:id="1565986927">
      <w:bodyDiv w:val="1"/>
      <w:marLeft w:val="0"/>
      <w:marRight w:val="0"/>
      <w:marTop w:val="0"/>
      <w:marBottom w:val="0"/>
      <w:divBdr>
        <w:top w:val="none" w:sz="0" w:space="0" w:color="auto"/>
        <w:left w:val="none" w:sz="0" w:space="0" w:color="auto"/>
        <w:bottom w:val="none" w:sz="0" w:space="0" w:color="auto"/>
        <w:right w:val="none" w:sz="0" w:space="0" w:color="auto"/>
      </w:divBdr>
    </w:div>
    <w:div w:id="1590578580">
      <w:bodyDiv w:val="1"/>
      <w:marLeft w:val="0"/>
      <w:marRight w:val="0"/>
      <w:marTop w:val="0"/>
      <w:marBottom w:val="0"/>
      <w:divBdr>
        <w:top w:val="none" w:sz="0" w:space="0" w:color="auto"/>
        <w:left w:val="none" w:sz="0" w:space="0" w:color="auto"/>
        <w:bottom w:val="none" w:sz="0" w:space="0" w:color="auto"/>
        <w:right w:val="none" w:sz="0" w:space="0" w:color="auto"/>
      </w:divBdr>
    </w:div>
    <w:div w:id="1608997393">
      <w:bodyDiv w:val="1"/>
      <w:marLeft w:val="0"/>
      <w:marRight w:val="0"/>
      <w:marTop w:val="0"/>
      <w:marBottom w:val="0"/>
      <w:divBdr>
        <w:top w:val="none" w:sz="0" w:space="0" w:color="auto"/>
        <w:left w:val="none" w:sz="0" w:space="0" w:color="auto"/>
        <w:bottom w:val="none" w:sz="0" w:space="0" w:color="auto"/>
        <w:right w:val="none" w:sz="0" w:space="0" w:color="auto"/>
      </w:divBdr>
    </w:div>
    <w:div w:id="1629118955">
      <w:bodyDiv w:val="1"/>
      <w:marLeft w:val="0"/>
      <w:marRight w:val="0"/>
      <w:marTop w:val="0"/>
      <w:marBottom w:val="0"/>
      <w:divBdr>
        <w:top w:val="none" w:sz="0" w:space="0" w:color="auto"/>
        <w:left w:val="none" w:sz="0" w:space="0" w:color="auto"/>
        <w:bottom w:val="none" w:sz="0" w:space="0" w:color="auto"/>
        <w:right w:val="none" w:sz="0" w:space="0" w:color="auto"/>
      </w:divBdr>
    </w:div>
    <w:div w:id="1638492921">
      <w:bodyDiv w:val="1"/>
      <w:marLeft w:val="0"/>
      <w:marRight w:val="0"/>
      <w:marTop w:val="0"/>
      <w:marBottom w:val="0"/>
      <w:divBdr>
        <w:top w:val="none" w:sz="0" w:space="0" w:color="auto"/>
        <w:left w:val="none" w:sz="0" w:space="0" w:color="auto"/>
        <w:bottom w:val="none" w:sz="0" w:space="0" w:color="auto"/>
        <w:right w:val="none" w:sz="0" w:space="0" w:color="auto"/>
      </w:divBdr>
    </w:div>
    <w:div w:id="1672952074">
      <w:bodyDiv w:val="1"/>
      <w:marLeft w:val="0"/>
      <w:marRight w:val="0"/>
      <w:marTop w:val="0"/>
      <w:marBottom w:val="0"/>
      <w:divBdr>
        <w:top w:val="none" w:sz="0" w:space="0" w:color="auto"/>
        <w:left w:val="none" w:sz="0" w:space="0" w:color="auto"/>
        <w:bottom w:val="none" w:sz="0" w:space="0" w:color="auto"/>
        <w:right w:val="none" w:sz="0" w:space="0" w:color="auto"/>
      </w:divBdr>
    </w:div>
    <w:div w:id="1680156348">
      <w:bodyDiv w:val="1"/>
      <w:marLeft w:val="0"/>
      <w:marRight w:val="0"/>
      <w:marTop w:val="0"/>
      <w:marBottom w:val="0"/>
      <w:divBdr>
        <w:top w:val="none" w:sz="0" w:space="0" w:color="auto"/>
        <w:left w:val="none" w:sz="0" w:space="0" w:color="auto"/>
        <w:bottom w:val="none" w:sz="0" w:space="0" w:color="auto"/>
        <w:right w:val="none" w:sz="0" w:space="0" w:color="auto"/>
      </w:divBdr>
    </w:div>
    <w:div w:id="1731924210">
      <w:bodyDiv w:val="1"/>
      <w:marLeft w:val="0"/>
      <w:marRight w:val="0"/>
      <w:marTop w:val="0"/>
      <w:marBottom w:val="0"/>
      <w:divBdr>
        <w:top w:val="none" w:sz="0" w:space="0" w:color="auto"/>
        <w:left w:val="none" w:sz="0" w:space="0" w:color="auto"/>
        <w:bottom w:val="none" w:sz="0" w:space="0" w:color="auto"/>
        <w:right w:val="none" w:sz="0" w:space="0" w:color="auto"/>
      </w:divBdr>
    </w:div>
    <w:div w:id="1737824912">
      <w:bodyDiv w:val="1"/>
      <w:marLeft w:val="0"/>
      <w:marRight w:val="0"/>
      <w:marTop w:val="0"/>
      <w:marBottom w:val="0"/>
      <w:divBdr>
        <w:top w:val="none" w:sz="0" w:space="0" w:color="auto"/>
        <w:left w:val="none" w:sz="0" w:space="0" w:color="auto"/>
        <w:bottom w:val="none" w:sz="0" w:space="0" w:color="auto"/>
        <w:right w:val="none" w:sz="0" w:space="0" w:color="auto"/>
      </w:divBdr>
    </w:div>
    <w:div w:id="1775901476">
      <w:bodyDiv w:val="1"/>
      <w:marLeft w:val="0"/>
      <w:marRight w:val="0"/>
      <w:marTop w:val="0"/>
      <w:marBottom w:val="0"/>
      <w:divBdr>
        <w:top w:val="none" w:sz="0" w:space="0" w:color="auto"/>
        <w:left w:val="none" w:sz="0" w:space="0" w:color="auto"/>
        <w:bottom w:val="none" w:sz="0" w:space="0" w:color="auto"/>
        <w:right w:val="none" w:sz="0" w:space="0" w:color="auto"/>
      </w:divBdr>
    </w:div>
    <w:div w:id="1792548297">
      <w:bodyDiv w:val="1"/>
      <w:marLeft w:val="0"/>
      <w:marRight w:val="0"/>
      <w:marTop w:val="0"/>
      <w:marBottom w:val="0"/>
      <w:divBdr>
        <w:top w:val="none" w:sz="0" w:space="0" w:color="auto"/>
        <w:left w:val="none" w:sz="0" w:space="0" w:color="auto"/>
        <w:bottom w:val="none" w:sz="0" w:space="0" w:color="auto"/>
        <w:right w:val="none" w:sz="0" w:space="0" w:color="auto"/>
      </w:divBdr>
    </w:div>
    <w:div w:id="1865904787">
      <w:bodyDiv w:val="1"/>
      <w:marLeft w:val="0"/>
      <w:marRight w:val="0"/>
      <w:marTop w:val="0"/>
      <w:marBottom w:val="0"/>
      <w:divBdr>
        <w:top w:val="none" w:sz="0" w:space="0" w:color="auto"/>
        <w:left w:val="none" w:sz="0" w:space="0" w:color="auto"/>
        <w:bottom w:val="none" w:sz="0" w:space="0" w:color="auto"/>
        <w:right w:val="none" w:sz="0" w:space="0" w:color="auto"/>
      </w:divBdr>
    </w:div>
    <w:div w:id="1903129311">
      <w:bodyDiv w:val="1"/>
      <w:marLeft w:val="0"/>
      <w:marRight w:val="0"/>
      <w:marTop w:val="0"/>
      <w:marBottom w:val="0"/>
      <w:divBdr>
        <w:top w:val="none" w:sz="0" w:space="0" w:color="auto"/>
        <w:left w:val="none" w:sz="0" w:space="0" w:color="auto"/>
        <w:bottom w:val="none" w:sz="0" w:space="0" w:color="auto"/>
        <w:right w:val="none" w:sz="0" w:space="0" w:color="auto"/>
      </w:divBdr>
    </w:div>
    <w:div w:id="1960338693">
      <w:bodyDiv w:val="1"/>
      <w:marLeft w:val="0"/>
      <w:marRight w:val="0"/>
      <w:marTop w:val="0"/>
      <w:marBottom w:val="0"/>
      <w:divBdr>
        <w:top w:val="none" w:sz="0" w:space="0" w:color="auto"/>
        <w:left w:val="none" w:sz="0" w:space="0" w:color="auto"/>
        <w:bottom w:val="none" w:sz="0" w:space="0" w:color="auto"/>
        <w:right w:val="none" w:sz="0" w:space="0" w:color="auto"/>
      </w:divBdr>
    </w:div>
    <w:div w:id="1965378912">
      <w:bodyDiv w:val="1"/>
      <w:marLeft w:val="0"/>
      <w:marRight w:val="0"/>
      <w:marTop w:val="0"/>
      <w:marBottom w:val="0"/>
      <w:divBdr>
        <w:top w:val="none" w:sz="0" w:space="0" w:color="auto"/>
        <w:left w:val="none" w:sz="0" w:space="0" w:color="auto"/>
        <w:bottom w:val="none" w:sz="0" w:space="0" w:color="auto"/>
        <w:right w:val="none" w:sz="0" w:space="0" w:color="auto"/>
      </w:divBdr>
    </w:div>
    <w:div w:id="2007779363">
      <w:bodyDiv w:val="1"/>
      <w:marLeft w:val="0"/>
      <w:marRight w:val="0"/>
      <w:marTop w:val="0"/>
      <w:marBottom w:val="0"/>
      <w:divBdr>
        <w:top w:val="none" w:sz="0" w:space="0" w:color="auto"/>
        <w:left w:val="none" w:sz="0" w:space="0" w:color="auto"/>
        <w:bottom w:val="none" w:sz="0" w:space="0" w:color="auto"/>
        <w:right w:val="none" w:sz="0" w:space="0" w:color="auto"/>
      </w:divBdr>
    </w:div>
    <w:div w:id="2026516901">
      <w:bodyDiv w:val="1"/>
      <w:marLeft w:val="0"/>
      <w:marRight w:val="0"/>
      <w:marTop w:val="0"/>
      <w:marBottom w:val="0"/>
      <w:divBdr>
        <w:top w:val="none" w:sz="0" w:space="0" w:color="auto"/>
        <w:left w:val="none" w:sz="0" w:space="0" w:color="auto"/>
        <w:bottom w:val="none" w:sz="0" w:space="0" w:color="auto"/>
        <w:right w:val="none" w:sz="0" w:space="0" w:color="auto"/>
      </w:divBdr>
    </w:div>
    <w:div w:id="2108696311">
      <w:bodyDiv w:val="1"/>
      <w:marLeft w:val="0"/>
      <w:marRight w:val="0"/>
      <w:marTop w:val="0"/>
      <w:marBottom w:val="0"/>
      <w:divBdr>
        <w:top w:val="none" w:sz="0" w:space="0" w:color="auto"/>
        <w:left w:val="none" w:sz="0" w:space="0" w:color="auto"/>
        <w:bottom w:val="none" w:sz="0" w:space="0" w:color="auto"/>
        <w:right w:val="none" w:sz="0" w:space="0" w:color="auto"/>
      </w:divBdr>
    </w:div>
    <w:div w:id="2116899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image" Target="media/image85.emf"/><Relationship Id="rId21" Type="http://schemas.openxmlformats.org/officeDocument/2006/relationships/image" Target="media/image5.jpg"/><Relationship Id="rId42" Type="http://schemas.openxmlformats.org/officeDocument/2006/relationships/image" Target="media/image23.png"/><Relationship Id="rId47" Type="http://schemas.openxmlformats.org/officeDocument/2006/relationships/image" Target="media/image18.png"/><Relationship Id="rId63" Type="http://schemas.openxmlformats.org/officeDocument/2006/relationships/image" Target="media/image32.emf"/><Relationship Id="rId68" Type="http://schemas.openxmlformats.org/officeDocument/2006/relationships/image" Target="media/image37.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emf"/><Relationship Id="rId133" Type="http://schemas.openxmlformats.org/officeDocument/2006/relationships/hyperlink" Target="https://www" TargetMode="External"/><Relationship Id="rId138" Type="http://schemas.openxmlformats.org/officeDocument/2006/relationships/image" Target="media/image104.png"/><Relationship Id="rId154" Type="http://schemas.openxmlformats.org/officeDocument/2006/relationships/image" Target="media/image120.emf"/><Relationship Id="rId159" Type="http://schemas.openxmlformats.org/officeDocument/2006/relationships/theme" Target="theme/theme1.xml"/><Relationship Id="rId107" Type="http://schemas.openxmlformats.org/officeDocument/2006/relationships/image" Target="media/image75.png"/><Relationship Id="rId11" Type="http://schemas.openxmlformats.org/officeDocument/2006/relationships/endnotes" Target="endnotes.xml"/><Relationship Id="rId37"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28.jpe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0.emf"/><Relationship Id="rId123" Type="http://schemas.openxmlformats.org/officeDocument/2006/relationships/image" Target="media/image91.emf"/><Relationship Id="rId128" Type="http://schemas.openxmlformats.org/officeDocument/2006/relationships/image" Target="media/image96.emf"/><Relationship Id="rId144" Type="http://schemas.openxmlformats.org/officeDocument/2006/relationships/image" Target="media/image110.png"/><Relationship Id="rId149"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4.jpeg"/><Relationship Id="rId48" Type="http://schemas.openxmlformats.org/officeDocument/2006/relationships/image" Target="media/image11.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image" Target="media/image81.emf"/><Relationship Id="rId118" Type="http://schemas.openxmlformats.org/officeDocument/2006/relationships/image" Target="media/image86.emf"/><Relationship Id="rId134" Type="http://schemas.openxmlformats.org/officeDocument/2006/relationships/hyperlink" Target="https://doi" TargetMode="External"/><Relationship Id="rId139" Type="http://schemas.openxmlformats.org/officeDocument/2006/relationships/image" Target="media/image105.png"/><Relationship Id="rId80" Type="http://schemas.openxmlformats.org/officeDocument/2006/relationships/image" Target="media/image49.svg"/><Relationship Id="rId85" Type="http://schemas.openxmlformats.org/officeDocument/2006/relationships/image" Target="media/image53.png"/><Relationship Id="rId150" Type="http://schemas.openxmlformats.org/officeDocument/2006/relationships/image" Target="media/image116.png"/><Relationship Id="rId155" Type="http://schemas.openxmlformats.org/officeDocument/2006/relationships/image" Target="media/image121.emf"/><Relationship Id="rId12" Type="http://schemas.openxmlformats.org/officeDocument/2006/relationships/image" Target="media/image1.jpeg"/><Relationship Id="rId25" Type="http://schemas.openxmlformats.org/officeDocument/2006/relationships/image" Target="media/image10.jpg"/><Relationship Id="rId38" Type="http://schemas.openxmlformats.org/officeDocument/2006/relationships/image" Target="media/image19.jpeg"/><Relationship Id="rId46" Type="http://schemas.openxmlformats.org/officeDocument/2006/relationships/image" Target="media/image17.png"/><Relationship Id="rId59" Type="http://schemas.openxmlformats.org/officeDocument/2006/relationships/image" Target="media/image29.emf"/><Relationship Id="rId67" Type="http://schemas.openxmlformats.org/officeDocument/2006/relationships/image" Target="media/image36.png"/><Relationship Id="rId103" Type="http://schemas.openxmlformats.org/officeDocument/2006/relationships/image" Target="media/image71.emf"/><Relationship Id="rId108" Type="http://schemas.openxmlformats.org/officeDocument/2006/relationships/image" Target="media/image76.png"/><Relationship Id="rId116" Type="http://schemas.openxmlformats.org/officeDocument/2006/relationships/image" Target="media/image84.emf"/><Relationship Id="rId124" Type="http://schemas.openxmlformats.org/officeDocument/2006/relationships/image" Target="media/image92.emf"/><Relationship Id="rId129" Type="http://schemas.openxmlformats.org/officeDocument/2006/relationships/image" Target="media/image97.emf"/><Relationship Id="rId137" Type="http://schemas.openxmlformats.org/officeDocument/2006/relationships/image" Target="media/image103.png"/><Relationship Id="rId158"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2.jpeg"/><Relationship Id="rId54" Type="http://schemas.openxmlformats.org/officeDocument/2006/relationships/image" Target="media/image27.png"/><Relationship Id="rId62" Type="http://schemas.openxmlformats.org/officeDocument/2006/relationships/image" Target="media/image31.emf"/><Relationship Id="rId70" Type="http://schemas.openxmlformats.org/officeDocument/2006/relationships/image" Target="media/image39.png"/><Relationship Id="rId75" Type="http://schemas.openxmlformats.org/officeDocument/2006/relationships/image" Target="media/image44.svg"/><Relationship Id="rId83" Type="http://schemas.openxmlformats.org/officeDocument/2006/relationships/hyperlink" Target="https://aquaticecodynamics.github.io/CDM/index.html" TargetMode="External"/><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emf"/><Relationship Id="rId111" Type="http://schemas.openxmlformats.org/officeDocument/2006/relationships/image" Target="media/image79.emf"/><Relationship Id="rId132" Type="http://schemas.openxmlformats.org/officeDocument/2006/relationships/image" Target="media/image100.emf"/><Relationship Id="rId140" Type="http://schemas.openxmlformats.org/officeDocument/2006/relationships/image" Target="media/image106.png"/><Relationship Id="rId145" Type="http://schemas.openxmlformats.org/officeDocument/2006/relationships/image" Target="media/image111.png"/><Relationship Id="rId153"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image" Target="media/image8.jpeg"/><Relationship Id="rId28" Type="http://schemas.openxmlformats.org/officeDocument/2006/relationships/image" Target="media/image13.tif"/><Relationship Id="rId36" Type="http://schemas.openxmlformats.org/officeDocument/2006/relationships/image" Target="media/image17.jpeg"/><Relationship Id="rId49" Type="http://schemas.openxmlformats.org/officeDocument/2006/relationships/image" Target="media/image12.png"/><Relationship Id="rId57" Type="http://schemas.openxmlformats.org/officeDocument/2006/relationships/footer" Target="footer2.xml"/><Relationship Id="rId106" Type="http://schemas.openxmlformats.org/officeDocument/2006/relationships/image" Target="media/image74.png"/><Relationship Id="rId114" Type="http://schemas.openxmlformats.org/officeDocument/2006/relationships/image" Target="media/image82.emf"/><Relationship Id="rId119" Type="http://schemas.openxmlformats.org/officeDocument/2006/relationships/image" Target="media/image87.emf"/><Relationship Id="rId127" Type="http://schemas.openxmlformats.org/officeDocument/2006/relationships/image" Target="media/image95.emf"/><Relationship Id="rId10" Type="http://schemas.openxmlformats.org/officeDocument/2006/relationships/footnotes" Target="footnotes.xml"/><Relationship Id="rId44" Type="http://schemas.openxmlformats.org/officeDocument/2006/relationships/image" Target="media/image25.jpeg"/><Relationship Id="rId52" Type="http://schemas.openxmlformats.org/officeDocument/2006/relationships/image" Target="media/image23.jpeg"/><Relationship Id="rId60" Type="http://schemas.openxmlformats.org/officeDocument/2006/relationships/image" Target="media/image30.emf"/><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emf"/><Relationship Id="rId101" Type="http://schemas.openxmlformats.org/officeDocument/2006/relationships/image" Target="media/image69.emf"/><Relationship Id="rId122" Type="http://schemas.openxmlformats.org/officeDocument/2006/relationships/image" Target="media/image90.emf"/><Relationship Id="rId130" Type="http://schemas.openxmlformats.org/officeDocument/2006/relationships/image" Target="media/image98.emf"/><Relationship Id="rId135" Type="http://schemas.openxmlformats.org/officeDocument/2006/relationships/image" Target="media/image101.emf"/><Relationship Id="rId143" Type="http://schemas.openxmlformats.org/officeDocument/2006/relationships/image" Target="media/image109.png"/><Relationship Id="rId148" Type="http://schemas.openxmlformats.org/officeDocument/2006/relationships/image" Target="media/image114.png"/><Relationship Id="rId151" Type="http://schemas.openxmlformats.org/officeDocument/2006/relationships/image" Target="media/image117.png"/><Relationship Id="rId156" Type="http://schemas.openxmlformats.org/officeDocument/2006/relationships/image" Target="media/image122.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image" Target="media/image77.tiff"/><Relationship Id="rId50" Type="http://schemas.openxmlformats.org/officeDocument/2006/relationships/image" Target="media/image13.png"/><Relationship Id="rId55" Type="http://schemas.openxmlformats.org/officeDocument/2006/relationships/image" Target="cid:image001.png@01CF3236.F571C350" TargetMode="External"/><Relationship Id="rId76" Type="http://schemas.openxmlformats.org/officeDocument/2006/relationships/image" Target="media/image45.png"/><Relationship Id="rId97" Type="http://schemas.openxmlformats.org/officeDocument/2006/relationships/image" Target="media/image65.emf"/><Relationship Id="rId104" Type="http://schemas.openxmlformats.org/officeDocument/2006/relationships/image" Target="media/image72.png"/><Relationship Id="rId120" Type="http://schemas.openxmlformats.org/officeDocument/2006/relationships/image" Target="media/image88.emf"/><Relationship Id="rId125" Type="http://schemas.openxmlformats.org/officeDocument/2006/relationships/image" Target="media/image93.emf"/><Relationship Id="rId141" Type="http://schemas.openxmlformats.org/officeDocument/2006/relationships/image" Target="media/image107.jpeg"/><Relationship Id="rId146" Type="http://schemas.openxmlformats.org/officeDocument/2006/relationships/image" Target="media/image112.png"/><Relationship Id="rId7" Type="http://schemas.openxmlformats.org/officeDocument/2006/relationships/styles" Target="style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1.jpeg"/><Relationship Id="rId45" Type="http://schemas.openxmlformats.org/officeDocument/2006/relationships/image" Target="media/image16.png"/><Relationship Id="rId66" Type="http://schemas.openxmlformats.org/officeDocument/2006/relationships/image" Target="media/image35.png"/><Relationship Id="rId87" Type="http://schemas.openxmlformats.org/officeDocument/2006/relationships/image" Target="media/image55.png"/><Relationship Id="rId110" Type="http://schemas.openxmlformats.org/officeDocument/2006/relationships/image" Target="media/image78.emf"/><Relationship Id="rId115" Type="http://schemas.openxmlformats.org/officeDocument/2006/relationships/image" Target="media/image83.emf"/><Relationship Id="rId131" Type="http://schemas.openxmlformats.org/officeDocument/2006/relationships/image" Target="media/image99.emf"/><Relationship Id="rId136" Type="http://schemas.openxmlformats.org/officeDocument/2006/relationships/image" Target="media/image102.emf"/><Relationship Id="rId157" Type="http://schemas.openxmlformats.org/officeDocument/2006/relationships/hyperlink" Target="http://www.bom.gov.au/water/awid/id-1026.shtml" TargetMode="External"/><Relationship Id="rId61" Type="http://schemas.openxmlformats.org/officeDocument/2006/relationships/hyperlink" Target="http://www.environment.gov.au/water/cewo" TargetMode="External"/><Relationship Id="rId82" Type="http://schemas.openxmlformats.org/officeDocument/2006/relationships/image" Target="media/image51.svg"/><Relationship Id="rId152" Type="http://schemas.openxmlformats.org/officeDocument/2006/relationships/image" Target="media/image118.png"/><Relationship Id="rId19" Type="http://schemas.openxmlformats.org/officeDocument/2006/relationships/image" Target="media/image6.jpeg"/><Relationship Id="rId14" Type="http://schemas.openxmlformats.org/officeDocument/2006/relationships/image" Target="media/image3.png"/><Relationship Id="rId30" Type="http://schemas.openxmlformats.org/officeDocument/2006/relationships/image" Target="media/image15.jpg"/><Relationship Id="rId35" Type="http://schemas.openxmlformats.org/officeDocument/2006/relationships/image" Target="media/image16.jpeg"/><Relationship Id="rId56" Type="http://schemas.openxmlformats.org/officeDocument/2006/relationships/footer" Target="footer1.xml"/><Relationship Id="rId77" Type="http://schemas.openxmlformats.org/officeDocument/2006/relationships/image" Target="media/image46.png"/><Relationship Id="rId100" Type="http://schemas.openxmlformats.org/officeDocument/2006/relationships/image" Target="media/image68.emf"/><Relationship Id="rId105" Type="http://schemas.openxmlformats.org/officeDocument/2006/relationships/image" Target="media/image73.emf"/><Relationship Id="rId126" Type="http://schemas.openxmlformats.org/officeDocument/2006/relationships/image" Target="media/image94.emf"/><Relationship Id="rId147" Type="http://schemas.openxmlformats.org/officeDocument/2006/relationships/image" Target="media/image113.png"/><Relationship Id="rId8" Type="http://schemas.openxmlformats.org/officeDocument/2006/relationships/settings" Target="settings.xml"/><Relationship Id="rId51" Type="http://schemas.openxmlformats.org/officeDocument/2006/relationships/image" Target="media/image19.png"/><Relationship Id="rId72" Type="http://schemas.openxmlformats.org/officeDocument/2006/relationships/image" Target="media/image41.svg"/><Relationship Id="rId93" Type="http://schemas.openxmlformats.org/officeDocument/2006/relationships/image" Target="media/image61.png"/><Relationship Id="rId98" Type="http://schemas.openxmlformats.org/officeDocument/2006/relationships/image" Target="media/image66.emf"/><Relationship Id="rId121" Type="http://schemas.openxmlformats.org/officeDocument/2006/relationships/image" Target="media/image89.emf"/><Relationship Id="rId142" Type="http://schemas.openxmlformats.org/officeDocument/2006/relationships/image" Target="media/image108.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c7ce04e-ea5d-4d46-bab0-39b1fa6a6f36">
      <Terms xmlns="http://schemas.microsoft.com/office/infopath/2007/PartnerControls"/>
    </lcf76f155ced4ddcb4097134ff3c332f>
    <Embargoed xmlns="ac7ce04e-ea5d-4d46-bab0-39b1fa6a6f36">false</Embargoed>
    <TaxCatchAll xmlns="425a5c30-4c2f-474f-aa2f-443e46b3d18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etadata xmlns="http://www.objective.com/ecm/document/metadata/3D2A87C8A9941445E0533AF0780A13BC" version="1.0.0">
  <systemFields>
    <field name="Objective-Id">
      <value order="0">A4906183</value>
    </field>
    <field name="Objective-Title">
      <value order="0">CEW MER 2019-20 Technical Report - FINAL 22/04/2021</value>
    </field>
    <field name="Objective-Description">
      <value order="0"/>
    </field>
    <field name="Objective-CreationStamp">
      <value order="0">2021-04-01T04:41:11Z</value>
    </field>
    <field name="Objective-IsApproved">
      <value order="0">false</value>
    </field>
    <field name="Objective-IsPublished">
      <value order="0">false</value>
    </field>
    <field name="Objective-DatePublished">
      <value order="0"/>
    </field>
    <field name="Objective-ModificationStamp">
      <value order="0">2021-04-23T02:00:18Z</value>
    </field>
    <field name="Objective-Owner">
      <value order="0">Sterns, Annie</value>
    </field>
    <field name="Objective-Path">
      <value order="0">Global Folder:01 SA Research &amp; Development Institute (SARDI):Aquatic Environments &amp; Habitats:Publications:Inland Waters &amp; Terrestrial Ecology:AQUATIC ENVIRONMENTS &amp; HABITATS - Publications - Inland Waters and Terrestrial Ecology - Monitoring of ecological responses to the delivery of Commonwealth Environmental Water in the lower River Murray, South Australia:2019/20 Report</value>
    </field>
    <field name="Objective-Parent">
      <value order="0">2019/20 Report</value>
    </field>
    <field name="Objective-State">
      <value order="0">Being Edited</value>
    </field>
    <field name="Objective-VersionId">
      <value order="0">vA8050809</value>
    </field>
    <field name="Objective-Version">
      <value order="0">3.1</value>
    </field>
    <field name="Objective-VersionNumber">
      <value order="0">4</value>
    </field>
    <field name="Objective-VersionComment">
      <value order="0"/>
    </field>
    <field name="Objective-FileNumber">
      <value order="0">SARDI F2013/000289</value>
    </field>
    <field name="Objective-Classification">
      <value order="0"/>
    </field>
    <field name="Objective-Caveats">
      <value order="0"/>
    </field>
  </systemFields>
  <catalogues>
    <catalogue name="Electronic Document Type Catalogue" type="type" ori="id:cA6">
      <field name="Objective-Agency">
        <value order="0">Primary Industries and Regions SA</value>
      </field>
      <field name="Objective-Business Division">
        <value order="0">SA Research and Development Institute SARDI</value>
      </field>
      <field name="Objective-Workgroup">
        <value order="0">SARDI Aquatic Sciences</value>
      </field>
      <field name="Objective-Section">
        <value order="0">SARDI Information &amp; Systems Support</value>
      </field>
      <field name="Objective-Document Type">
        <value order="0">Report</value>
      </field>
      <field name="Objective-Security Classification">
        <value order="0">02 Official</value>
      </field>
      <field name="Objective-Access Use Conditions">
        <value order="0"/>
      </field>
      <field name="Objective-Connect Creator">
        <value order="0"/>
      </field>
      <field name="Objective-Customer Person">
        <value order="0"/>
      </field>
      <field name="Objective-Customer Organisation">
        <value order="0"/>
      </field>
      <field name="Objective-Transaction Reference">
        <value order="0"/>
      </field>
      <field name="Objective-Place Name">
        <value order="0"/>
      </field>
      <field name="Objective-Description or Summary">
        <value order="0"/>
      </field>
      <field name="Objective-Date Document Created">
        <value order="0"/>
      </field>
      <field name="Objective-Document Created By">
        <value order="0"/>
      </field>
      <field name="Objective-Date Source Document Scanned">
        <value order="0"/>
      </field>
      <field name="Objective-Source Document Disposal Status">
        <value order="0"/>
      </field>
      <field name="Objective-Date Temporary Value Source Document Destroyed">
        <value order="0"/>
      </field>
      <field name="Objective-Date Received">
        <value order="0"/>
      </field>
      <field name="Objective-Action Delegator">
        <value order="0"/>
      </field>
      <field name="Objective-Action Officer">
        <value order="0"/>
      </field>
      <field name="Objective-Action Required">
        <value order="0"/>
      </field>
      <field name="Objective-Date Action Due By">
        <value order="0"/>
      </field>
      <field name="Objective-Date Action Assigned">
        <value order="0"/>
      </field>
      <field name="Objective-Action Approved by">
        <value order="0"/>
      </field>
      <field name="Objective-Date Action Approved">
        <value order="0"/>
      </field>
      <field name="Objective-Date Interim Reply Sent">
        <value order="0"/>
      </field>
      <field name="Objective-Date Final Reply Sent">
        <value order="0"/>
      </field>
      <field name="Objective-Date_Completed_On">
        <value order="0"/>
      </field>
      <field name="Objective-Intranet_Publishing_Requestor">
        <value order="0"/>
      </field>
      <field name="Objective-Intranet_Publishing_Requestor_Email">
        <value order="0"/>
      </field>
      <field name="Objective-Intranet Publisher">
        <value order="0">CORP ICT Intranet Publishing General Document Workflow Group</value>
      </field>
      <field name="Objective-Intranet_Publisher_Contact">
        <value order="0"/>
      </field>
      <field name="Objective-Intranet_Publisher_Email">
        <value order="0"/>
      </field>
      <field name="Objective-Intranet_Display_Name">
        <value order="0"/>
      </field>
      <field name="Objective-Free Text Subjects">
        <value order="0"/>
      </field>
      <field name="Objective-Intranet_Publishing_Requirement">
        <value order="0"/>
      </field>
      <field name="Objective-Intranet_Publishing_Instructions">
        <value order="0"/>
      </field>
      <field name="Objective-Document Published Version URL Link">
        <value order="0">https://objectivesag.pirsa.sa.gov.au/id:A4885329/document/versions/published</value>
      </field>
      <field name="Objective-Intranet URL Keyword">
        <value order="0">%globals_asset_metadata_PublishedURL%</value>
      </field>
      <field name="Objective-Intranet Short Name">
        <value order="0">A4885329</value>
      </field>
      <field name="Objective-Intranet_Publishing_Metadata_Schema">
        <value order="0">73217</value>
      </field>
      <field name="Objective-Intranet_Publishing_CSV_File_Operation">
        <value order="0">E</value>
      </field>
      <field name="Objective-Intranet_Asset_ID">
        <value order="0"/>
      </field>
      <field name="Objective-Date_Intranet_Link_Published">
        <value order="0"/>
      </field>
      <field name="Objective-Date_Intranet_Link_Next_Review_Due">
        <value order="0"/>
      </field>
      <field name="Objective-Date_Intranet_Link_Removed">
        <value order="0"/>
      </field>
      <field name="Objective-Internet Publishing Requestor">
        <value order="0"/>
      </field>
      <field name="Objective-Internet Publishing Requestor Email">
        <value order="0"/>
      </field>
      <field name="Objective-Internet Publisher Group">
        <value order="0">CORP ICT Internet Website Publishing Workflow Group</value>
      </field>
      <field name="Objective-Internet Publisher Contact">
        <value order="0">publish, webpublish</value>
      </field>
      <field name="Objective-Internet Publisher Email">
        <value order="0">PIRSA.Webpublish@sa.gov.au</value>
      </field>
      <field name="Objective-Internet Friendly Name">
        <value order="0"/>
      </field>
      <field name="Objective-Internet Document Type">
        <value order="0"/>
      </field>
      <field name="Objective-Internet Publishing Requirement">
        <value order="0"/>
      </field>
      <field name="Objective-Internet Publishing Instructions or Page URI">
        <value order="0"/>
      </field>
      <field name="Objective-Date Document Released">
        <value order="0"/>
      </field>
      <field name="Objective-Abstract">
        <value order="0"/>
      </field>
      <field name="Objective-External Link">
        <value order="0"/>
      </field>
      <field name="Objective-Publish Metadata Only">
        <value order="0">No</value>
      </field>
      <field name="Objective-Generate PDF Rendition">
        <value order="0">No</value>
      </field>
      <field name="Objective-Rendition Object ID">
        <value order="0"/>
      </field>
      <field name="Objective-Rendition Document Extension">
        <value order="0"/>
      </field>
      <field name="Objective-Accessibility Reviewed">
        <value order="0"/>
      </field>
      <field name="Objective-Accessibility Review Notes">
        <value order="0"/>
      </field>
      <field name="Objective-Collection or Program Title">
        <value order="0"/>
      </field>
      <field name="Objective-Sub Collection or Item ID">
        <value order="0"/>
      </field>
      <field name="Objective-Date Internet Document &amp; CSV File Published on Website">
        <value order="0"/>
      </field>
      <field name="Objective-Date Internet Document &amp; CSV File Next Review Due">
        <value order="0"/>
      </field>
      <field name="Objective-Date Internet Document &amp; CSV File Removed from Website">
        <value order="0"/>
      </field>
      <field name="Objective-Internet Publishing CSV File Operation">
        <value order="0">A</value>
      </field>
      <field name="Objective-Covers Period From">
        <value order="0"/>
      </field>
      <field name="Objective-Covers Period To">
        <value order="0"/>
      </field>
      <field name="Objective-Access Rights">
        <value order="0">Closed</value>
      </field>
      <field name="Objective-Vital_Record_Indicator">
        <value order="0">No</value>
      </field>
      <field name="Objective-Access Security Review Due Date">
        <value order="0"/>
      </field>
      <field name="Objective-Vital Records Review Due Date">
        <value order="0"/>
      </field>
      <field name="Objective-Internal Reference">
        <value order="0"/>
      </field>
      <field name="Objective-Media_Storage_Format">
        <value order="0">Text</value>
      </field>
      <field name="Objective-Jurisdiction">
        <value order="0">SA</value>
      </field>
      <field name="Objective-Language">
        <value order="0">English (en)</value>
      </field>
      <field name="Objective-Intellectual_Property_Rights">
        <value order="0">SA Government</value>
      </field>
      <field name="Objective-Date Emailed to DPC">
        <value order="0"/>
      </field>
      <field name="Objective-Date Emailed to DTF">
        <value order="0"/>
      </field>
      <field name="Objective-Date Emailed to Ministers Office">
        <value order="0"/>
      </field>
      <field name="Objective-Disposal Reasons">
        <value order="0"/>
      </field>
      <field name="Objective-Date to be Exported">
        <value order="0"/>
      </field>
      <field name="Objective-Used By System Admin Only">
        <value order="0"/>
      </field>
      <field name="Objective-Old Agency">
        <value order="0"/>
      </field>
      <field name="Objective-Old Business Division">
        <value order="0"/>
      </field>
      <field name="Objective-Old Workgroup">
        <value order="0"/>
      </field>
      <field name="Objective-Old Section">
        <value order="0"/>
      </field>
    </catalogue>
  </catalogues>
</metadata>
</file>

<file path=customXml/item4.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7" ma:contentTypeDescription="Create a new document." ma:contentTypeScope="" ma:versionID="937c2bd1fc1ad95f957f0cf030ab8155">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7fba7b6357ba8ae1ae987f7fdc409d50"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7598eba-33fc-4c36-91ef-cfebcfd8a58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5135d28-65e1-4c28-be9f-a9c126b1373d}" ma:internalName="TaxCatchAll" ma:showField="CatchAllData" ma:web="425a5c30-4c2f-474f-aa2f-443e46b3d1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2DA088-EE44-4BCC-AA45-6FC816041E85}">
  <ds:schemaRefs>
    <ds:schemaRef ds:uri="http://purl.org/dc/elements/1.1/"/>
    <ds:schemaRef ds:uri="http://schemas.microsoft.com/office/2006/metadata/properties"/>
    <ds:schemaRef ds:uri="http://schemas.openxmlformats.org/package/2006/metadata/core-properties"/>
    <ds:schemaRef ds:uri="http://purl.org/dc/terms/"/>
    <ds:schemaRef ds:uri="ac7ce04e-ea5d-4d46-bab0-39b1fa6a6f36"/>
    <ds:schemaRef ds:uri="http://schemas.microsoft.com/office/infopath/2007/PartnerControls"/>
    <ds:schemaRef ds:uri="http://purl.org/dc/dcmitype/"/>
    <ds:schemaRef ds:uri="http://schemas.microsoft.com/office/2006/documentManagement/types"/>
    <ds:schemaRef ds:uri="425a5c30-4c2f-474f-aa2f-443e46b3d189"/>
    <ds:schemaRef ds:uri="http://www.w3.org/XML/1998/namespace"/>
  </ds:schemaRefs>
</ds:datastoreItem>
</file>

<file path=customXml/itemProps2.xml><?xml version="1.0" encoding="utf-8"?>
<ds:datastoreItem xmlns:ds="http://schemas.openxmlformats.org/officeDocument/2006/customXml" ds:itemID="{82B8757D-F84B-47F8-984B-3155D446E07A}">
  <ds:schemaRefs>
    <ds:schemaRef ds:uri="http://schemas.openxmlformats.org/officeDocument/2006/bibliography"/>
  </ds:schemaRefs>
</ds:datastoreItem>
</file>

<file path=customXml/itemProps3.xml><?xml version="1.0" encoding="utf-8"?>
<ds:datastoreItem xmlns:ds="http://schemas.openxmlformats.org/officeDocument/2006/customXml" ds:itemID="{5745109E-2DDF-40CB-AC2B-FF9B10C90820}">
  <ds:schemaRefs>
    <ds:schemaRef ds:uri="http://www.objective.com/ecm/document/metadata/3D2A87C8A9941445E0533AF0780A13BC"/>
  </ds:schemaRefs>
</ds:datastoreItem>
</file>

<file path=customXml/itemProps4.xml><?xml version="1.0" encoding="utf-8"?>
<ds:datastoreItem xmlns:ds="http://schemas.openxmlformats.org/officeDocument/2006/customXml" ds:itemID="{6C28DFAC-DF01-4886-A0ED-1CDA6D128B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425a5c30-4c2f-474f-aa2f-443e46b3d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3F77B6B-891C-4637-8ECF-8670BA07A9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83</Pages>
  <Words>75242</Words>
  <Characters>428880</Characters>
  <Application>Microsoft Office Word</Application>
  <DocSecurity>0</DocSecurity>
  <Lines>3574</Lines>
  <Paragraphs>1006</Paragraphs>
  <ScaleCrop>false</ScaleCrop>
  <HeadingPairs>
    <vt:vector size="2" baseType="variant">
      <vt:variant>
        <vt:lpstr>Title</vt:lpstr>
      </vt:variant>
      <vt:variant>
        <vt:i4>1</vt:i4>
      </vt:variant>
    </vt:vector>
  </HeadingPairs>
  <TitlesOfParts>
    <vt:vector size="1" baseType="lpstr">
      <vt:lpstr>2020-21 Lower Murray MER Technical Report</vt:lpstr>
    </vt:vector>
  </TitlesOfParts>
  <Company/>
  <LinksUpToDate>false</LinksUpToDate>
  <CharactersWithSpaces>503116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2020-21 Lower Murray MER Technical Report</dc:title>
  <dc:subject/>
  <dc:creator>Giatas, George (PIRSA-SARDI)</dc:creator>
  <cp:keywords/>
  <dc:description/>
  <cp:lastModifiedBy>Lien Nguyen</cp:lastModifiedBy>
  <cp:revision>4</cp:revision>
  <cp:lastPrinted>2022-03-23T03:41:00Z</cp:lastPrinted>
  <dcterms:created xsi:type="dcterms:W3CDTF">2022-04-27T05:20:00Z</dcterms:created>
  <dcterms:modified xsi:type="dcterms:W3CDTF">2022-06-09T01:41:00Z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{f3d884d8-75d3-4791-9d75-588751ed0db4}</vt:lpwstr>
  </property>
  <property fmtid="{D5CDD505-2E9C-101B-9397-08002B2CF9AE}" pid="6" name="RecordPoint_ActiveItemUniqueId">
    <vt:lpwstr>{0841cdc9-5fee-4f82-956e-ef8902f504df}</vt:lpwstr>
  </property>
  <property fmtid="{D5CDD505-2E9C-101B-9397-08002B2CF9AE}" pid="7" name="RecordPoint_ActiveItemWebId">
    <vt:lpwstr>{4fd2aeac-139e-4668-856d-8ea61399d778}</vt:lpwstr>
  </property>
  <property fmtid="{D5CDD505-2E9C-101B-9397-08002B2CF9AE}" pid="8" name="RecordPoint_SubmissionDate">
    <vt:lpwstr/>
  </property>
  <property fmtid="{D5CDD505-2E9C-101B-9397-08002B2CF9AE}" pid="9" name="RecordPoint_RecordNumberSubmitted">
    <vt:lpwstr/>
  </property>
  <property fmtid="{D5CDD505-2E9C-101B-9397-08002B2CF9AE}" pid="10" name="RecordPoint_RecordFormat">
    <vt:lpwstr/>
  </property>
  <property fmtid="{D5CDD505-2E9C-101B-9397-08002B2CF9AE}" pid="11" name="RecordPoint_ActiveItemMoved">
    <vt:lpwstr/>
  </property>
  <property fmtid="{D5CDD505-2E9C-101B-9397-08002B2CF9AE}" pid="12" name="RecordPoint_SubmissionCompleted">
    <vt:lpwstr/>
  </property>
  <property fmtid="{D5CDD505-2E9C-101B-9397-08002B2CF9AE}" pid="13" name="Objective-Id">
    <vt:lpwstr>A4906183</vt:lpwstr>
  </property>
  <property fmtid="{D5CDD505-2E9C-101B-9397-08002B2CF9AE}" pid="14" name="Objective-Title">
    <vt:lpwstr>CEW MER 2019-20 Technical Report - FINAL 22/04/2021</vt:lpwstr>
  </property>
  <property fmtid="{D5CDD505-2E9C-101B-9397-08002B2CF9AE}" pid="15" name="Objective-Description">
    <vt:lpwstr/>
  </property>
  <property fmtid="{D5CDD505-2E9C-101B-9397-08002B2CF9AE}" pid="16" name="Objective-CreationStamp">
    <vt:filetime>2021-04-19T10:16:03Z</vt:filetime>
  </property>
  <property fmtid="{D5CDD505-2E9C-101B-9397-08002B2CF9AE}" pid="17" name="Objective-IsApproved">
    <vt:bool>false</vt:bool>
  </property>
  <property fmtid="{D5CDD505-2E9C-101B-9397-08002B2CF9AE}" pid="18" name="Objective-IsPublished">
    <vt:bool>false</vt:bool>
  </property>
  <property fmtid="{D5CDD505-2E9C-101B-9397-08002B2CF9AE}" pid="19" name="Objective-DatePublished">
    <vt:lpwstr/>
  </property>
  <property fmtid="{D5CDD505-2E9C-101B-9397-08002B2CF9AE}" pid="20" name="Objective-ModificationStamp">
    <vt:filetime>2021-04-23T02:00:18Z</vt:filetime>
  </property>
  <property fmtid="{D5CDD505-2E9C-101B-9397-08002B2CF9AE}" pid="21" name="Objective-Owner">
    <vt:lpwstr>Sterns, Annie</vt:lpwstr>
  </property>
  <property fmtid="{D5CDD505-2E9C-101B-9397-08002B2CF9AE}" pid="22" name="Objective-Path">
    <vt:lpwstr>Global Folder:01 SA Research &amp; Development Institute (SARDI):Aquatic Environments &amp; Habitats:Publications:Inland Waters &amp; Terrestrial Ecology:AQUATIC ENVIRONMENTS &amp; HABITATS - Publications - Inland Waters and Terrestrial Ecology - Monitoring of ecological</vt:lpwstr>
  </property>
  <property fmtid="{D5CDD505-2E9C-101B-9397-08002B2CF9AE}" pid="23" name="Objective-Parent">
    <vt:lpwstr>2019/20 Report</vt:lpwstr>
  </property>
  <property fmtid="{D5CDD505-2E9C-101B-9397-08002B2CF9AE}" pid="24" name="Objective-State">
    <vt:lpwstr>Being Edited</vt:lpwstr>
  </property>
  <property fmtid="{D5CDD505-2E9C-101B-9397-08002B2CF9AE}" pid="25" name="Objective-VersionId">
    <vt:lpwstr>vA8050809</vt:lpwstr>
  </property>
  <property fmtid="{D5CDD505-2E9C-101B-9397-08002B2CF9AE}" pid="26" name="Objective-Version">
    <vt:lpwstr>3.1</vt:lpwstr>
  </property>
  <property fmtid="{D5CDD505-2E9C-101B-9397-08002B2CF9AE}" pid="27" name="Objective-VersionNumber">
    <vt:r8>4</vt:r8>
  </property>
  <property fmtid="{D5CDD505-2E9C-101B-9397-08002B2CF9AE}" pid="28" name="Objective-VersionComment">
    <vt:lpwstr/>
  </property>
  <property fmtid="{D5CDD505-2E9C-101B-9397-08002B2CF9AE}" pid="29" name="Objective-FileNumber">
    <vt:lpwstr>SARDI F2013/000289</vt:lpwstr>
  </property>
  <property fmtid="{D5CDD505-2E9C-101B-9397-08002B2CF9AE}" pid="30" name="Objective-Classification">
    <vt:lpwstr>[Inherited - none]</vt:lpwstr>
  </property>
  <property fmtid="{D5CDD505-2E9C-101B-9397-08002B2CF9AE}" pid="31" name="Objective-Caveats">
    <vt:lpwstr/>
  </property>
  <property fmtid="{D5CDD505-2E9C-101B-9397-08002B2CF9AE}" pid="32" name="Objective-Agency">
    <vt:lpwstr>Primary Industries and Regions SA</vt:lpwstr>
  </property>
  <property fmtid="{D5CDD505-2E9C-101B-9397-08002B2CF9AE}" pid="33" name="Objective-Business Division">
    <vt:lpwstr>SA Research and Development Institute SARDI</vt:lpwstr>
  </property>
  <property fmtid="{D5CDD505-2E9C-101B-9397-08002B2CF9AE}" pid="34" name="Objective-Workgroup">
    <vt:lpwstr>SARDI Aquatic Sciences</vt:lpwstr>
  </property>
  <property fmtid="{D5CDD505-2E9C-101B-9397-08002B2CF9AE}" pid="35" name="Objective-Section">
    <vt:lpwstr>SARDI Information &amp; Systems Support</vt:lpwstr>
  </property>
  <property fmtid="{D5CDD505-2E9C-101B-9397-08002B2CF9AE}" pid="36" name="Objective-Document Type">
    <vt:lpwstr>Report</vt:lpwstr>
  </property>
  <property fmtid="{D5CDD505-2E9C-101B-9397-08002B2CF9AE}" pid="37" name="Objective-Security Classification">
    <vt:lpwstr>02 Official</vt:lpwstr>
  </property>
  <property fmtid="{D5CDD505-2E9C-101B-9397-08002B2CF9AE}" pid="38" name="Objective-Access Use Conditions">
    <vt:lpwstr/>
  </property>
  <property fmtid="{D5CDD505-2E9C-101B-9397-08002B2CF9AE}" pid="39" name="Objective-Connect Creator">
    <vt:lpwstr/>
  </property>
  <property fmtid="{D5CDD505-2E9C-101B-9397-08002B2CF9AE}" pid="40" name="Objective-Customer Person">
    <vt:lpwstr/>
  </property>
  <property fmtid="{D5CDD505-2E9C-101B-9397-08002B2CF9AE}" pid="41" name="Objective-Customer Organisation">
    <vt:lpwstr/>
  </property>
  <property fmtid="{D5CDD505-2E9C-101B-9397-08002B2CF9AE}" pid="42" name="Objective-Transaction Reference">
    <vt:lpwstr/>
  </property>
  <property fmtid="{D5CDD505-2E9C-101B-9397-08002B2CF9AE}" pid="43" name="Objective-Place Name">
    <vt:lpwstr/>
  </property>
  <property fmtid="{D5CDD505-2E9C-101B-9397-08002B2CF9AE}" pid="44" name="Objective-Description or Summary">
    <vt:lpwstr/>
  </property>
  <property fmtid="{D5CDD505-2E9C-101B-9397-08002B2CF9AE}" pid="45" name="Objective-Date Document Created">
    <vt:lpwstr/>
  </property>
  <property fmtid="{D5CDD505-2E9C-101B-9397-08002B2CF9AE}" pid="46" name="Objective-Document Created By">
    <vt:lpwstr/>
  </property>
  <property fmtid="{D5CDD505-2E9C-101B-9397-08002B2CF9AE}" pid="47" name="Objective-Date Source Document Scanned">
    <vt:lpwstr/>
  </property>
  <property fmtid="{D5CDD505-2E9C-101B-9397-08002B2CF9AE}" pid="48" name="Objective-Source Document Disposal Status">
    <vt:lpwstr/>
  </property>
  <property fmtid="{D5CDD505-2E9C-101B-9397-08002B2CF9AE}" pid="49" name="Objective-Date Temporary Value Source Document Destroyed">
    <vt:lpwstr/>
  </property>
  <property fmtid="{D5CDD505-2E9C-101B-9397-08002B2CF9AE}" pid="50" name="Objective-Date Received">
    <vt:lpwstr/>
  </property>
  <property fmtid="{D5CDD505-2E9C-101B-9397-08002B2CF9AE}" pid="51" name="Objective-Action Delegator">
    <vt:lpwstr/>
  </property>
  <property fmtid="{D5CDD505-2E9C-101B-9397-08002B2CF9AE}" pid="52" name="Objective-Action Officer">
    <vt:lpwstr/>
  </property>
  <property fmtid="{D5CDD505-2E9C-101B-9397-08002B2CF9AE}" pid="53" name="Objective-Action Required">
    <vt:lpwstr/>
  </property>
  <property fmtid="{D5CDD505-2E9C-101B-9397-08002B2CF9AE}" pid="54" name="Objective-Date Action Due By">
    <vt:lpwstr/>
  </property>
  <property fmtid="{D5CDD505-2E9C-101B-9397-08002B2CF9AE}" pid="55" name="Objective-Date Action Assigned">
    <vt:lpwstr/>
  </property>
  <property fmtid="{D5CDD505-2E9C-101B-9397-08002B2CF9AE}" pid="56" name="Objective-Action Approved by">
    <vt:lpwstr/>
  </property>
  <property fmtid="{D5CDD505-2E9C-101B-9397-08002B2CF9AE}" pid="57" name="Objective-Date Action Approved">
    <vt:lpwstr/>
  </property>
  <property fmtid="{D5CDD505-2E9C-101B-9397-08002B2CF9AE}" pid="58" name="Objective-Date Interim Reply Sent">
    <vt:lpwstr/>
  </property>
  <property fmtid="{D5CDD505-2E9C-101B-9397-08002B2CF9AE}" pid="59" name="Objective-Date Final Reply Sent">
    <vt:lpwstr/>
  </property>
  <property fmtid="{D5CDD505-2E9C-101B-9397-08002B2CF9AE}" pid="60" name="Objective-Date_Completed_On">
    <vt:lpwstr/>
  </property>
  <property fmtid="{D5CDD505-2E9C-101B-9397-08002B2CF9AE}" pid="61" name="Objective-Intranet_Publishing_Requestor">
    <vt:lpwstr/>
  </property>
  <property fmtid="{D5CDD505-2E9C-101B-9397-08002B2CF9AE}" pid="62" name="Objective-Intranet_Publishing_Requestor_Email">
    <vt:lpwstr/>
  </property>
  <property fmtid="{D5CDD505-2E9C-101B-9397-08002B2CF9AE}" pid="63" name="Objective-Intranet Publisher">
    <vt:lpwstr>CORP ICT Intranet Publishing General Document Workflow Group</vt:lpwstr>
  </property>
  <property fmtid="{D5CDD505-2E9C-101B-9397-08002B2CF9AE}" pid="64" name="Objective-Intranet_Publisher_Contact">
    <vt:lpwstr/>
  </property>
  <property fmtid="{D5CDD505-2E9C-101B-9397-08002B2CF9AE}" pid="65" name="Objective-Intranet_Publisher_Email">
    <vt:lpwstr/>
  </property>
  <property fmtid="{D5CDD505-2E9C-101B-9397-08002B2CF9AE}" pid="66" name="Objective-Intranet_Display_Name">
    <vt:lpwstr/>
  </property>
  <property fmtid="{D5CDD505-2E9C-101B-9397-08002B2CF9AE}" pid="67" name="Objective-Free Text Subjects">
    <vt:lpwstr/>
  </property>
  <property fmtid="{D5CDD505-2E9C-101B-9397-08002B2CF9AE}" pid="68" name="Objective-Intranet_Publishing_Requirement">
    <vt:lpwstr/>
  </property>
  <property fmtid="{D5CDD505-2E9C-101B-9397-08002B2CF9AE}" pid="69" name="Objective-Intranet_Publishing_Instructions">
    <vt:lpwstr/>
  </property>
  <property fmtid="{D5CDD505-2E9C-101B-9397-08002B2CF9AE}" pid="70" name="Objective-Document Published Version URL Link">
    <vt:lpwstr>https://objectivesag.pirsa.sa.gov.au/id:A4885329/document/versions/published</vt:lpwstr>
  </property>
  <property fmtid="{D5CDD505-2E9C-101B-9397-08002B2CF9AE}" pid="71" name="Objective-Intranet URL Keyword">
    <vt:lpwstr>%globals_asset_metadata_PublishedURL%</vt:lpwstr>
  </property>
  <property fmtid="{D5CDD505-2E9C-101B-9397-08002B2CF9AE}" pid="72" name="Objective-Intranet Short Name">
    <vt:lpwstr>A4885329</vt:lpwstr>
  </property>
  <property fmtid="{D5CDD505-2E9C-101B-9397-08002B2CF9AE}" pid="73" name="Objective-Intranet_Publishing_Metadata_Schema">
    <vt:lpwstr>73217</vt:lpwstr>
  </property>
  <property fmtid="{D5CDD505-2E9C-101B-9397-08002B2CF9AE}" pid="74" name="Objective-Intranet_Publishing_CSV_File_Operation">
    <vt:lpwstr>E</vt:lpwstr>
  </property>
  <property fmtid="{D5CDD505-2E9C-101B-9397-08002B2CF9AE}" pid="75" name="Objective-Intranet_Asset_ID">
    <vt:lpwstr/>
  </property>
  <property fmtid="{D5CDD505-2E9C-101B-9397-08002B2CF9AE}" pid="76" name="Objective-Date_Intranet_Link_Published">
    <vt:lpwstr/>
  </property>
  <property fmtid="{D5CDD505-2E9C-101B-9397-08002B2CF9AE}" pid="77" name="Objective-Date_Intranet_Link_Next_Review_Due">
    <vt:lpwstr/>
  </property>
  <property fmtid="{D5CDD505-2E9C-101B-9397-08002B2CF9AE}" pid="78" name="Objective-Date_Intranet_Link_Removed">
    <vt:lpwstr/>
  </property>
  <property fmtid="{D5CDD505-2E9C-101B-9397-08002B2CF9AE}" pid="79" name="Objective-Internet Publishing Requestor">
    <vt:lpwstr/>
  </property>
  <property fmtid="{D5CDD505-2E9C-101B-9397-08002B2CF9AE}" pid="80" name="Objective-Internet Publishing Requestor Email">
    <vt:lpwstr/>
  </property>
  <property fmtid="{D5CDD505-2E9C-101B-9397-08002B2CF9AE}" pid="81" name="Objective-Internet Publisher Group">
    <vt:lpwstr>CORP ICT Internet Website Publishing Workflow Group</vt:lpwstr>
  </property>
  <property fmtid="{D5CDD505-2E9C-101B-9397-08002B2CF9AE}" pid="82" name="Objective-Internet Publisher Contact">
    <vt:lpwstr>publish, webpublish</vt:lpwstr>
  </property>
  <property fmtid="{D5CDD505-2E9C-101B-9397-08002B2CF9AE}" pid="83" name="Objective-Internet Publisher Email">
    <vt:lpwstr>PIRSA.Webpublish@sa.gov.au</vt:lpwstr>
  </property>
  <property fmtid="{D5CDD505-2E9C-101B-9397-08002B2CF9AE}" pid="84" name="Objective-Internet Friendly Name">
    <vt:lpwstr/>
  </property>
  <property fmtid="{D5CDD505-2E9C-101B-9397-08002B2CF9AE}" pid="85" name="Objective-Internet Document Type">
    <vt:lpwstr/>
  </property>
  <property fmtid="{D5CDD505-2E9C-101B-9397-08002B2CF9AE}" pid="86" name="Objective-Internet Publishing Requirement">
    <vt:lpwstr/>
  </property>
  <property fmtid="{D5CDD505-2E9C-101B-9397-08002B2CF9AE}" pid="87" name="Objective-Internet Publishing Instructions or Page URI">
    <vt:lpwstr/>
  </property>
  <property fmtid="{D5CDD505-2E9C-101B-9397-08002B2CF9AE}" pid="88" name="Objective-Date Document Released">
    <vt:lpwstr/>
  </property>
  <property fmtid="{D5CDD505-2E9C-101B-9397-08002B2CF9AE}" pid="89" name="Objective-Abstract">
    <vt:lpwstr/>
  </property>
  <property fmtid="{D5CDD505-2E9C-101B-9397-08002B2CF9AE}" pid="90" name="Objective-External Link">
    <vt:lpwstr/>
  </property>
  <property fmtid="{D5CDD505-2E9C-101B-9397-08002B2CF9AE}" pid="91" name="Objective-Publish Metadata Only">
    <vt:lpwstr>No</vt:lpwstr>
  </property>
  <property fmtid="{D5CDD505-2E9C-101B-9397-08002B2CF9AE}" pid="92" name="Objective-Generate PDF Rendition">
    <vt:lpwstr>No</vt:lpwstr>
  </property>
  <property fmtid="{D5CDD505-2E9C-101B-9397-08002B2CF9AE}" pid="93" name="Objective-Rendition Object ID">
    <vt:lpwstr/>
  </property>
  <property fmtid="{D5CDD505-2E9C-101B-9397-08002B2CF9AE}" pid="94" name="Objective-Rendition Document Extension">
    <vt:lpwstr/>
  </property>
  <property fmtid="{D5CDD505-2E9C-101B-9397-08002B2CF9AE}" pid="95" name="Objective-Accessibility Reviewed">
    <vt:lpwstr/>
  </property>
  <property fmtid="{D5CDD505-2E9C-101B-9397-08002B2CF9AE}" pid="96" name="Objective-Accessibility Review Notes">
    <vt:lpwstr/>
  </property>
  <property fmtid="{D5CDD505-2E9C-101B-9397-08002B2CF9AE}" pid="97" name="Objective-Collection or Program Title">
    <vt:lpwstr/>
  </property>
  <property fmtid="{D5CDD505-2E9C-101B-9397-08002B2CF9AE}" pid="98" name="Objective-Sub Collection or Item ID">
    <vt:lpwstr/>
  </property>
  <property fmtid="{D5CDD505-2E9C-101B-9397-08002B2CF9AE}" pid="99" name="Objective-Date Internet Document &amp; CSV File Published on Website">
    <vt:lpwstr/>
  </property>
  <property fmtid="{D5CDD505-2E9C-101B-9397-08002B2CF9AE}" pid="100" name="Objective-Date Internet Document &amp; CSV File Next Review Due">
    <vt:lpwstr/>
  </property>
  <property fmtid="{D5CDD505-2E9C-101B-9397-08002B2CF9AE}" pid="101" name="Objective-Date Internet Document &amp; CSV File Removed from Website">
    <vt:lpwstr/>
  </property>
  <property fmtid="{D5CDD505-2E9C-101B-9397-08002B2CF9AE}" pid="102" name="Objective-Internet Publishing CSV File Operation">
    <vt:lpwstr>A</vt:lpwstr>
  </property>
  <property fmtid="{D5CDD505-2E9C-101B-9397-08002B2CF9AE}" pid="103" name="Objective-Covers Period From">
    <vt:lpwstr/>
  </property>
  <property fmtid="{D5CDD505-2E9C-101B-9397-08002B2CF9AE}" pid="104" name="Objective-Covers Period To">
    <vt:lpwstr/>
  </property>
  <property fmtid="{D5CDD505-2E9C-101B-9397-08002B2CF9AE}" pid="105" name="Objective-Access Rights">
    <vt:lpwstr>Closed</vt:lpwstr>
  </property>
  <property fmtid="{D5CDD505-2E9C-101B-9397-08002B2CF9AE}" pid="106" name="Objective-Vital_Record_Indicator">
    <vt:lpwstr>No</vt:lpwstr>
  </property>
  <property fmtid="{D5CDD505-2E9C-101B-9397-08002B2CF9AE}" pid="107" name="Objective-Access Security Review Due Date">
    <vt:lpwstr/>
  </property>
  <property fmtid="{D5CDD505-2E9C-101B-9397-08002B2CF9AE}" pid="108" name="Objective-Vital Records Review Due Date">
    <vt:lpwstr/>
  </property>
  <property fmtid="{D5CDD505-2E9C-101B-9397-08002B2CF9AE}" pid="109" name="Objective-Internal Reference">
    <vt:lpwstr/>
  </property>
  <property fmtid="{D5CDD505-2E9C-101B-9397-08002B2CF9AE}" pid="110" name="Objective-Media_Storage_Format">
    <vt:lpwstr>Text</vt:lpwstr>
  </property>
  <property fmtid="{D5CDD505-2E9C-101B-9397-08002B2CF9AE}" pid="111" name="Objective-Jurisdiction">
    <vt:lpwstr>SA</vt:lpwstr>
  </property>
  <property fmtid="{D5CDD505-2E9C-101B-9397-08002B2CF9AE}" pid="112" name="Objective-Language">
    <vt:lpwstr>English (en)</vt:lpwstr>
  </property>
  <property fmtid="{D5CDD505-2E9C-101B-9397-08002B2CF9AE}" pid="113" name="Objective-Intellectual_Property_Rights">
    <vt:lpwstr>SA Government</vt:lpwstr>
  </property>
  <property fmtid="{D5CDD505-2E9C-101B-9397-08002B2CF9AE}" pid="114" name="Objective-Date Emailed to DPC">
    <vt:lpwstr/>
  </property>
  <property fmtid="{D5CDD505-2E9C-101B-9397-08002B2CF9AE}" pid="115" name="Objective-Date Emailed to DTF">
    <vt:lpwstr/>
  </property>
  <property fmtid="{D5CDD505-2E9C-101B-9397-08002B2CF9AE}" pid="116" name="Objective-Date Emailed to Ministers Office">
    <vt:lpwstr/>
  </property>
  <property fmtid="{D5CDD505-2E9C-101B-9397-08002B2CF9AE}" pid="117" name="Objective-Disposal Reasons">
    <vt:lpwstr/>
  </property>
  <property fmtid="{D5CDD505-2E9C-101B-9397-08002B2CF9AE}" pid="118" name="Objective-Date to be Exported">
    <vt:lpwstr/>
  </property>
  <property fmtid="{D5CDD505-2E9C-101B-9397-08002B2CF9AE}" pid="119" name="Objective-Used By System Admin Only">
    <vt:lpwstr/>
  </property>
  <property fmtid="{D5CDD505-2E9C-101B-9397-08002B2CF9AE}" pid="120" name="Objective-Old Agency">
    <vt:lpwstr/>
  </property>
  <property fmtid="{D5CDD505-2E9C-101B-9397-08002B2CF9AE}" pid="121" name="Objective-Old Business Division">
    <vt:lpwstr/>
  </property>
  <property fmtid="{D5CDD505-2E9C-101B-9397-08002B2CF9AE}" pid="122" name="Objective-Old Workgroup">
    <vt:lpwstr/>
  </property>
  <property fmtid="{D5CDD505-2E9C-101B-9397-08002B2CF9AE}" pid="123" name="Objective-Old Section">
    <vt:lpwstr/>
  </property>
  <property fmtid="{D5CDD505-2E9C-101B-9397-08002B2CF9AE}" pid="124" name="Objective-Comment">
    <vt:lpwstr/>
  </property>
  <property fmtid="{D5CDD505-2E9C-101B-9397-08002B2CF9AE}" pid="125" name="Objective-Agency [system]">
    <vt:lpwstr>Primary Industries and Regions SA</vt:lpwstr>
  </property>
  <property fmtid="{D5CDD505-2E9C-101B-9397-08002B2CF9AE}" pid="126" name="Objective-Business Division [system]">
    <vt:lpwstr>SA Research and Development Institute SARDI</vt:lpwstr>
  </property>
  <property fmtid="{D5CDD505-2E9C-101B-9397-08002B2CF9AE}" pid="127" name="Objective-Workgroup [system]">
    <vt:lpwstr>SARDI Aquatic Sciences</vt:lpwstr>
  </property>
  <property fmtid="{D5CDD505-2E9C-101B-9397-08002B2CF9AE}" pid="128" name="Objective-Section [system]">
    <vt:lpwstr>SARDI Information &amp; Systems Support</vt:lpwstr>
  </property>
  <property fmtid="{D5CDD505-2E9C-101B-9397-08002B2CF9AE}" pid="129" name="Objective-Document Type [system]">
    <vt:lpwstr>Report</vt:lpwstr>
  </property>
  <property fmtid="{D5CDD505-2E9C-101B-9397-08002B2CF9AE}" pid="130" name="Objective-Security Classification [system]">
    <vt:lpwstr>02 Official</vt:lpwstr>
  </property>
  <property fmtid="{D5CDD505-2E9C-101B-9397-08002B2CF9AE}" pid="131" name="Objective-Access Use Conditions [system]">
    <vt:lpwstr/>
  </property>
  <property fmtid="{D5CDD505-2E9C-101B-9397-08002B2CF9AE}" pid="132" name="Objective-Connect Creator [system]">
    <vt:lpwstr/>
  </property>
  <property fmtid="{D5CDD505-2E9C-101B-9397-08002B2CF9AE}" pid="133" name="Objective-Customer Person [system]">
    <vt:lpwstr/>
  </property>
  <property fmtid="{D5CDD505-2E9C-101B-9397-08002B2CF9AE}" pid="134" name="Objective-Customer Organisation [system]">
    <vt:lpwstr/>
  </property>
  <property fmtid="{D5CDD505-2E9C-101B-9397-08002B2CF9AE}" pid="135" name="Objective-Transaction Reference [system]">
    <vt:lpwstr/>
  </property>
  <property fmtid="{D5CDD505-2E9C-101B-9397-08002B2CF9AE}" pid="136" name="Objective-Place Name [system]">
    <vt:lpwstr/>
  </property>
  <property fmtid="{D5CDD505-2E9C-101B-9397-08002B2CF9AE}" pid="137" name="Objective-Description or Summary [system]">
    <vt:lpwstr/>
  </property>
  <property fmtid="{D5CDD505-2E9C-101B-9397-08002B2CF9AE}" pid="138" name="Objective-Date Document Created [system]">
    <vt:lpwstr/>
  </property>
  <property fmtid="{D5CDD505-2E9C-101B-9397-08002B2CF9AE}" pid="139" name="Objective-Document Created By [system]">
    <vt:lpwstr/>
  </property>
  <property fmtid="{D5CDD505-2E9C-101B-9397-08002B2CF9AE}" pid="140" name="Objective-Date Source Document Scanned [system]">
    <vt:lpwstr/>
  </property>
  <property fmtid="{D5CDD505-2E9C-101B-9397-08002B2CF9AE}" pid="141" name="Objective-Source Document Disposal Status [system]">
    <vt:lpwstr/>
  </property>
  <property fmtid="{D5CDD505-2E9C-101B-9397-08002B2CF9AE}" pid="142" name="Objective-Date Temporary Value Source Document Destroyed [system]">
    <vt:lpwstr/>
  </property>
  <property fmtid="{D5CDD505-2E9C-101B-9397-08002B2CF9AE}" pid="143" name="Objective-Date Received [system]">
    <vt:lpwstr/>
  </property>
  <property fmtid="{D5CDD505-2E9C-101B-9397-08002B2CF9AE}" pid="144" name="Objective-Action Delegator [system]">
    <vt:lpwstr/>
  </property>
  <property fmtid="{D5CDD505-2E9C-101B-9397-08002B2CF9AE}" pid="145" name="Objective-Action Officer [system]">
    <vt:lpwstr/>
  </property>
  <property fmtid="{D5CDD505-2E9C-101B-9397-08002B2CF9AE}" pid="146" name="Objective-Action Required [system]">
    <vt:lpwstr/>
  </property>
  <property fmtid="{D5CDD505-2E9C-101B-9397-08002B2CF9AE}" pid="147" name="Objective-Date Action Due By [system]">
    <vt:lpwstr/>
  </property>
  <property fmtid="{D5CDD505-2E9C-101B-9397-08002B2CF9AE}" pid="148" name="Objective-Date Action Assigned [system]">
    <vt:lpwstr/>
  </property>
  <property fmtid="{D5CDD505-2E9C-101B-9397-08002B2CF9AE}" pid="149" name="Objective-Action Approved by [system]">
    <vt:lpwstr/>
  </property>
  <property fmtid="{D5CDD505-2E9C-101B-9397-08002B2CF9AE}" pid="150" name="Objective-Date Action Approved [system]">
    <vt:lpwstr/>
  </property>
  <property fmtid="{D5CDD505-2E9C-101B-9397-08002B2CF9AE}" pid="151" name="Objective-Date Interim Reply Sent [system]">
    <vt:lpwstr/>
  </property>
  <property fmtid="{D5CDD505-2E9C-101B-9397-08002B2CF9AE}" pid="152" name="Objective-Date Final Reply Sent [system]">
    <vt:lpwstr/>
  </property>
  <property fmtid="{D5CDD505-2E9C-101B-9397-08002B2CF9AE}" pid="153" name="Objective-Date_Completed_On [system]">
    <vt:lpwstr/>
  </property>
  <property fmtid="{D5CDD505-2E9C-101B-9397-08002B2CF9AE}" pid="154" name="Objective-Intranet_Publishing_Requestor [system]">
    <vt:lpwstr/>
  </property>
  <property fmtid="{D5CDD505-2E9C-101B-9397-08002B2CF9AE}" pid="155" name="Objective-Intranet_Publishing_Requestor_Email [system]">
    <vt:lpwstr/>
  </property>
  <property fmtid="{D5CDD505-2E9C-101B-9397-08002B2CF9AE}" pid="156" name="Objective-Intranet Publisher [system]">
    <vt:lpwstr>CORP ICT Intranet Publishing General Document Workflow Group</vt:lpwstr>
  </property>
  <property fmtid="{D5CDD505-2E9C-101B-9397-08002B2CF9AE}" pid="157" name="Objective-Intranet_Publisher_Contact [system]">
    <vt:lpwstr/>
  </property>
  <property fmtid="{D5CDD505-2E9C-101B-9397-08002B2CF9AE}" pid="158" name="Objective-Intranet_Publisher_Email [system]">
    <vt:lpwstr/>
  </property>
  <property fmtid="{D5CDD505-2E9C-101B-9397-08002B2CF9AE}" pid="159" name="Objective-Intranet_Display_Name [system]">
    <vt:lpwstr/>
  </property>
  <property fmtid="{D5CDD505-2E9C-101B-9397-08002B2CF9AE}" pid="160" name="Objective-Free Text Subjects [system]">
    <vt:lpwstr/>
  </property>
  <property fmtid="{D5CDD505-2E9C-101B-9397-08002B2CF9AE}" pid="161" name="Objective-Intranet_Publishing_Requirement [system]">
    <vt:lpwstr/>
  </property>
  <property fmtid="{D5CDD505-2E9C-101B-9397-08002B2CF9AE}" pid="162" name="Objective-Intranet_Publishing_Instructions [system]">
    <vt:lpwstr/>
  </property>
  <property fmtid="{D5CDD505-2E9C-101B-9397-08002B2CF9AE}" pid="163" name="Objective-Document Published Version URL Link [system]">
    <vt:lpwstr>https://objectivesag.pirsa.sa.gov.au/id:A4885329/document/versions/published</vt:lpwstr>
  </property>
  <property fmtid="{D5CDD505-2E9C-101B-9397-08002B2CF9AE}" pid="164" name="Objective-Intranet URL Keyword [system]">
    <vt:lpwstr>%globals_asset_metadata_PublishedURL%</vt:lpwstr>
  </property>
  <property fmtid="{D5CDD505-2E9C-101B-9397-08002B2CF9AE}" pid="165" name="Objective-Intranet Short Name [system]">
    <vt:lpwstr>A4885329</vt:lpwstr>
  </property>
  <property fmtid="{D5CDD505-2E9C-101B-9397-08002B2CF9AE}" pid="166" name="Objective-Intranet_Publishing_Metadata_Schema [system]">
    <vt:lpwstr>73217</vt:lpwstr>
  </property>
  <property fmtid="{D5CDD505-2E9C-101B-9397-08002B2CF9AE}" pid="167" name="Objective-Intranet_Publishing_CSV_File_Operation [system]">
    <vt:lpwstr>E</vt:lpwstr>
  </property>
  <property fmtid="{D5CDD505-2E9C-101B-9397-08002B2CF9AE}" pid="168" name="Objective-Intranet_Asset_ID [system]">
    <vt:lpwstr/>
  </property>
  <property fmtid="{D5CDD505-2E9C-101B-9397-08002B2CF9AE}" pid="169" name="Objective-Date_Intranet_Link_Published [system]">
    <vt:lpwstr/>
  </property>
  <property fmtid="{D5CDD505-2E9C-101B-9397-08002B2CF9AE}" pid="170" name="Objective-Date_Intranet_Link_Next_Review_Due [system]">
    <vt:lpwstr/>
  </property>
  <property fmtid="{D5CDD505-2E9C-101B-9397-08002B2CF9AE}" pid="171" name="Objective-Date_Intranet_Link_Removed [system]">
    <vt:lpwstr/>
  </property>
  <property fmtid="{D5CDD505-2E9C-101B-9397-08002B2CF9AE}" pid="172" name="Objective-Internet Publishing Requestor [system]">
    <vt:lpwstr/>
  </property>
  <property fmtid="{D5CDD505-2E9C-101B-9397-08002B2CF9AE}" pid="173" name="Objective-Internet Publishing Requestor Email [system]">
    <vt:lpwstr/>
  </property>
  <property fmtid="{D5CDD505-2E9C-101B-9397-08002B2CF9AE}" pid="174" name="Objective-Internet Publisher Group [system]">
    <vt:lpwstr>CORP ICT Internet Website Publishing Workflow Group</vt:lpwstr>
  </property>
  <property fmtid="{D5CDD505-2E9C-101B-9397-08002B2CF9AE}" pid="175" name="Objective-Internet Publisher Contact [system]">
    <vt:lpwstr>publish, webpublish</vt:lpwstr>
  </property>
  <property fmtid="{D5CDD505-2E9C-101B-9397-08002B2CF9AE}" pid="176" name="Objective-Internet Publisher Email [system]">
    <vt:lpwstr>PIRSA.Webpublish@sa.gov.au</vt:lpwstr>
  </property>
  <property fmtid="{D5CDD505-2E9C-101B-9397-08002B2CF9AE}" pid="177" name="Objective-Internet Friendly Name [system]">
    <vt:lpwstr/>
  </property>
  <property fmtid="{D5CDD505-2E9C-101B-9397-08002B2CF9AE}" pid="178" name="Objective-Internet Document Type [system]">
    <vt:lpwstr/>
  </property>
  <property fmtid="{D5CDD505-2E9C-101B-9397-08002B2CF9AE}" pid="179" name="Objective-Internet Publishing Requirement [system]">
    <vt:lpwstr/>
  </property>
  <property fmtid="{D5CDD505-2E9C-101B-9397-08002B2CF9AE}" pid="180" name="Objective-Internet Publishing Instructions or Page URI [system]">
    <vt:lpwstr/>
  </property>
  <property fmtid="{D5CDD505-2E9C-101B-9397-08002B2CF9AE}" pid="181" name="Objective-Date Document Released [system]">
    <vt:lpwstr/>
  </property>
  <property fmtid="{D5CDD505-2E9C-101B-9397-08002B2CF9AE}" pid="182" name="Objective-Abstract [system]">
    <vt:lpwstr/>
  </property>
  <property fmtid="{D5CDD505-2E9C-101B-9397-08002B2CF9AE}" pid="183" name="Objective-External Link [system]">
    <vt:lpwstr/>
  </property>
  <property fmtid="{D5CDD505-2E9C-101B-9397-08002B2CF9AE}" pid="184" name="Objective-Publish Metadata Only [system]">
    <vt:lpwstr>No</vt:lpwstr>
  </property>
  <property fmtid="{D5CDD505-2E9C-101B-9397-08002B2CF9AE}" pid="185" name="Objective-Generate PDF Rendition [system]">
    <vt:lpwstr>No</vt:lpwstr>
  </property>
  <property fmtid="{D5CDD505-2E9C-101B-9397-08002B2CF9AE}" pid="186" name="Objective-Rendition Object ID [system]">
    <vt:lpwstr/>
  </property>
  <property fmtid="{D5CDD505-2E9C-101B-9397-08002B2CF9AE}" pid="187" name="Objective-Rendition Document Extension [system]">
    <vt:lpwstr/>
  </property>
  <property fmtid="{D5CDD505-2E9C-101B-9397-08002B2CF9AE}" pid="188" name="Objective-Accessibility Reviewed [system]">
    <vt:lpwstr/>
  </property>
  <property fmtid="{D5CDD505-2E9C-101B-9397-08002B2CF9AE}" pid="189" name="Objective-Accessibility Review Notes [system]">
    <vt:lpwstr/>
  </property>
  <property fmtid="{D5CDD505-2E9C-101B-9397-08002B2CF9AE}" pid="190" name="Objective-Collection or Program Title [system]">
    <vt:lpwstr/>
  </property>
  <property fmtid="{D5CDD505-2E9C-101B-9397-08002B2CF9AE}" pid="191" name="Objective-Sub Collection or Item ID [system]">
    <vt:lpwstr/>
  </property>
  <property fmtid="{D5CDD505-2E9C-101B-9397-08002B2CF9AE}" pid="192" name="Objective-Date Internet Document &amp; CSV File Published on Website [system]">
    <vt:lpwstr/>
  </property>
  <property fmtid="{D5CDD505-2E9C-101B-9397-08002B2CF9AE}" pid="193" name="Objective-Date Internet Document &amp; CSV File Next Review Due [system]">
    <vt:lpwstr/>
  </property>
  <property fmtid="{D5CDD505-2E9C-101B-9397-08002B2CF9AE}" pid="194" name="Objective-Date Internet Document &amp; CSV File Removed from Website [system]">
    <vt:lpwstr/>
  </property>
  <property fmtid="{D5CDD505-2E9C-101B-9397-08002B2CF9AE}" pid="195" name="Objective-Internet Publishing CSV File Operation [system]">
    <vt:lpwstr>A</vt:lpwstr>
  </property>
  <property fmtid="{D5CDD505-2E9C-101B-9397-08002B2CF9AE}" pid="196" name="Objective-Covers Period From [system]">
    <vt:lpwstr/>
  </property>
  <property fmtid="{D5CDD505-2E9C-101B-9397-08002B2CF9AE}" pid="197" name="Objective-Covers Period To [system]">
    <vt:lpwstr/>
  </property>
  <property fmtid="{D5CDD505-2E9C-101B-9397-08002B2CF9AE}" pid="198" name="Objective-Access Rights [system]">
    <vt:lpwstr>Closed</vt:lpwstr>
  </property>
  <property fmtid="{D5CDD505-2E9C-101B-9397-08002B2CF9AE}" pid="199" name="Objective-Vital_Record_Indicator [system]">
    <vt:lpwstr>No</vt:lpwstr>
  </property>
  <property fmtid="{D5CDD505-2E9C-101B-9397-08002B2CF9AE}" pid="200" name="Objective-Access Security Review Due Date [system]">
    <vt:lpwstr/>
  </property>
  <property fmtid="{D5CDD505-2E9C-101B-9397-08002B2CF9AE}" pid="201" name="Objective-Vital Records Review Due Date [system]">
    <vt:lpwstr/>
  </property>
  <property fmtid="{D5CDD505-2E9C-101B-9397-08002B2CF9AE}" pid="202" name="Objective-Internal Reference [system]">
    <vt:lpwstr/>
  </property>
  <property fmtid="{D5CDD505-2E9C-101B-9397-08002B2CF9AE}" pid="203" name="Objective-Media_Storage_Format [system]">
    <vt:lpwstr>Text</vt:lpwstr>
  </property>
  <property fmtid="{D5CDD505-2E9C-101B-9397-08002B2CF9AE}" pid="204" name="Objective-Jurisdiction [system]">
    <vt:lpwstr>SA</vt:lpwstr>
  </property>
  <property fmtid="{D5CDD505-2E9C-101B-9397-08002B2CF9AE}" pid="205" name="Objective-Language [system]">
    <vt:lpwstr>English (en)</vt:lpwstr>
  </property>
  <property fmtid="{D5CDD505-2E9C-101B-9397-08002B2CF9AE}" pid="206" name="Objective-Intellectual_Property_Rights [system]">
    <vt:lpwstr>SA Government</vt:lpwstr>
  </property>
  <property fmtid="{D5CDD505-2E9C-101B-9397-08002B2CF9AE}" pid="207" name="Objective-Date Emailed to DPC [system]">
    <vt:lpwstr/>
  </property>
  <property fmtid="{D5CDD505-2E9C-101B-9397-08002B2CF9AE}" pid="208" name="Objective-Date Emailed to DTF [system]">
    <vt:lpwstr/>
  </property>
  <property fmtid="{D5CDD505-2E9C-101B-9397-08002B2CF9AE}" pid="209" name="Objective-Date Emailed to Ministers Office [system]">
    <vt:lpwstr/>
  </property>
  <property fmtid="{D5CDD505-2E9C-101B-9397-08002B2CF9AE}" pid="210" name="Objective-Disposal Reasons [system]">
    <vt:lpwstr/>
  </property>
  <property fmtid="{D5CDD505-2E9C-101B-9397-08002B2CF9AE}" pid="211" name="Objective-Date to be Exported [system]">
    <vt:lpwstr/>
  </property>
  <property fmtid="{D5CDD505-2E9C-101B-9397-08002B2CF9AE}" pid="212" name="Objective-Used By System Admin Only [system]">
    <vt:lpwstr/>
  </property>
  <property fmtid="{D5CDD505-2E9C-101B-9397-08002B2CF9AE}" pid="213" name="Objective-Old Agency [system]">
    <vt:lpwstr/>
  </property>
  <property fmtid="{D5CDD505-2E9C-101B-9397-08002B2CF9AE}" pid="214" name="Objective-Old Business Division [system]">
    <vt:lpwstr/>
  </property>
  <property fmtid="{D5CDD505-2E9C-101B-9397-08002B2CF9AE}" pid="215" name="Objective-Old Workgroup [system]">
    <vt:lpwstr/>
  </property>
  <property fmtid="{D5CDD505-2E9C-101B-9397-08002B2CF9AE}" pid="216" name="Objective-Old Section [system]">
    <vt:lpwstr/>
  </property>
  <property fmtid="{D5CDD505-2E9C-101B-9397-08002B2CF9AE}" pid="217" name="MediaServiceImageTags">
    <vt:lpwstr/>
  </property>
</Properties>
</file>