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E5C256B" w14:textId="76387491" w:rsidR="00A26036" w:rsidRDefault="00A26036" w:rsidP="002769D6">
      <w:pPr>
        <w:pStyle w:val="Heading1"/>
      </w:pPr>
      <w:r w:rsidRPr="00A26036">
        <w:t xml:space="preserve">Offshore </w:t>
      </w:r>
      <w:r w:rsidRPr="002769D6">
        <w:t>Industry</w:t>
      </w:r>
      <w:r>
        <w:t xml:space="preserve"> </w:t>
      </w:r>
      <w:r w:rsidRPr="00A26036">
        <w:t>Information Session for</w:t>
      </w:r>
      <w:r>
        <w:t xml:space="preserve"> </w:t>
      </w:r>
      <w:r w:rsidRPr="00A26036">
        <w:t>2021-22 BMSB Season</w:t>
      </w:r>
    </w:p>
    <w:p w14:paraId="2C6905AB" w14:textId="11FA86CE" w:rsidR="00A26036" w:rsidRDefault="00A26036" w:rsidP="00A26036">
      <w:pPr>
        <w:pStyle w:val="Heading4"/>
      </w:pPr>
      <w:r>
        <w:t>Brown Marmorated Stink Bug (BMSB) Seasonal measures</w:t>
      </w:r>
    </w:p>
    <w:p w14:paraId="611D8D03" w14:textId="50D9C6EF" w:rsidR="00A81E82" w:rsidRDefault="00ED4E42" w:rsidP="00AB6F06">
      <w:pPr>
        <w:pStyle w:val="Heading4"/>
      </w:pPr>
      <w:r>
        <w:t>August</w:t>
      </w:r>
      <w:r w:rsidR="00A81E82">
        <w:t xml:space="preserve"> 2021</w:t>
      </w:r>
    </w:p>
    <w:p w14:paraId="702F65E1" w14:textId="77777777" w:rsidR="00DD77B4" w:rsidRPr="00DD77B4" w:rsidRDefault="00DD77B4" w:rsidP="00DD77B4">
      <w:pPr>
        <w:rPr>
          <w:lang w:eastAsia="ja-JP"/>
        </w:rPr>
      </w:pPr>
    </w:p>
    <w:p w14:paraId="0C58D96D" w14:textId="5312554A" w:rsidR="00774EE5" w:rsidRDefault="00774EE5" w:rsidP="00DD77B4">
      <w:pPr>
        <w:pStyle w:val="Heading4"/>
      </w:pPr>
      <w:r>
        <w:t>Presenter</w:t>
      </w:r>
      <w:r w:rsidR="00A26036">
        <w:t>s</w:t>
      </w:r>
      <w:r>
        <w:t>:</w:t>
      </w:r>
    </w:p>
    <w:p w14:paraId="5E5F2D17" w14:textId="3157ED13" w:rsidR="00DD77B4" w:rsidRDefault="00ED4E42" w:rsidP="00DD77B4">
      <w:r>
        <w:t xml:space="preserve">Nathan Reid, </w:t>
      </w:r>
      <w:r w:rsidR="00DD77B4">
        <w:t>Department of Agriculture, Water and the Environment</w:t>
      </w:r>
      <w:r w:rsidR="00924AEF">
        <w:t xml:space="preserve">, </w:t>
      </w:r>
      <w:r w:rsidR="00DD77B4">
        <w:t>Australia</w:t>
      </w:r>
    </w:p>
    <w:p w14:paraId="152EB5F1" w14:textId="04D5E960" w:rsidR="00A26036" w:rsidRDefault="00A26036" w:rsidP="00DD77B4">
      <w:r>
        <w:t>Ken Glassey and Paul Hallett, New Zealand Ministry of Primary Industry</w:t>
      </w:r>
    </w:p>
    <w:p w14:paraId="45B7A1BA" w14:textId="5FEE4665" w:rsidR="00A81E82" w:rsidRDefault="00A81E82" w:rsidP="00A81E82">
      <w:pPr>
        <w:rPr>
          <w:lang w:eastAsia="ja-JP"/>
        </w:rPr>
      </w:pPr>
    </w:p>
    <w:p w14:paraId="3D4249B4" w14:textId="33126113" w:rsidR="00A26036" w:rsidRDefault="00A26036" w:rsidP="00A26036">
      <w:pPr>
        <w:rPr>
          <w:rFonts w:asciiTheme="minorHAnsi" w:eastAsiaTheme="minorEastAsia" w:hAnsiTheme="minorHAnsi" w:cstheme="minorBidi"/>
          <w:b/>
          <w:sz w:val="28"/>
          <w:lang w:eastAsia="ja-JP"/>
        </w:rPr>
      </w:pPr>
      <w:r w:rsidRPr="00A26036">
        <w:rPr>
          <w:rFonts w:asciiTheme="minorHAnsi" w:eastAsiaTheme="minorEastAsia" w:hAnsiTheme="minorHAnsi" w:cstheme="minorBidi"/>
          <w:b/>
          <w:sz w:val="28"/>
          <w:lang w:eastAsia="ja-JP"/>
        </w:rPr>
        <w:t>Welcome</w:t>
      </w:r>
    </w:p>
    <w:p w14:paraId="6322D1D8" w14:textId="5D65543F" w:rsidR="00A26036" w:rsidRPr="00A26036" w:rsidRDefault="00A26036" w:rsidP="00A26036">
      <w:pPr>
        <w:rPr>
          <w:b/>
          <w:bCs/>
        </w:rPr>
      </w:pPr>
      <w:r w:rsidRPr="00A26036">
        <w:rPr>
          <w:b/>
          <w:bCs/>
        </w:rPr>
        <w:t>Topics</w:t>
      </w:r>
    </w:p>
    <w:p w14:paraId="77A61E82" w14:textId="77777777" w:rsidR="00A26036" w:rsidRPr="00A26036" w:rsidRDefault="00A26036" w:rsidP="00A26036">
      <w:pPr>
        <w:pStyle w:val="ListBullet"/>
        <w:rPr>
          <w:lang w:val="en-US" w:eastAsia="ja-JP"/>
        </w:rPr>
      </w:pPr>
      <w:r w:rsidRPr="00A26036">
        <w:rPr>
          <w:lang w:val="en-US" w:eastAsia="ja-JP"/>
        </w:rPr>
        <w:t>Why BMSB</w:t>
      </w:r>
    </w:p>
    <w:p w14:paraId="3AED6600" w14:textId="77777777" w:rsidR="00A26036" w:rsidRPr="00A26036" w:rsidRDefault="00A26036" w:rsidP="00A26036">
      <w:pPr>
        <w:pStyle w:val="ListBullet"/>
        <w:rPr>
          <w:lang w:val="en-US" w:eastAsia="ja-JP"/>
        </w:rPr>
      </w:pPr>
      <w:r w:rsidRPr="00A26036">
        <w:rPr>
          <w:lang w:val="en-US" w:eastAsia="ja-JP"/>
        </w:rPr>
        <w:t>Review of 2020-21 BMSB season</w:t>
      </w:r>
    </w:p>
    <w:p w14:paraId="406EE2BF" w14:textId="77777777" w:rsidR="00A26036" w:rsidRPr="00A26036" w:rsidRDefault="00A26036" w:rsidP="00A26036">
      <w:pPr>
        <w:pStyle w:val="ListBullet"/>
        <w:rPr>
          <w:lang w:val="en-US" w:eastAsia="ja-JP"/>
        </w:rPr>
      </w:pPr>
      <w:r w:rsidRPr="00A26036">
        <w:rPr>
          <w:lang w:val="en-US" w:eastAsia="ja-JP"/>
        </w:rPr>
        <w:t>2021-22 BMSB Seasonal measures</w:t>
      </w:r>
    </w:p>
    <w:p w14:paraId="78FD7D91" w14:textId="77777777" w:rsidR="00A26036" w:rsidRPr="00A26036" w:rsidRDefault="00A26036" w:rsidP="00A26036">
      <w:pPr>
        <w:pStyle w:val="ListBullet2"/>
        <w:rPr>
          <w:lang w:val="en-US" w:eastAsia="ja-JP"/>
        </w:rPr>
      </w:pPr>
      <w:r w:rsidRPr="00A26036">
        <w:rPr>
          <w:lang w:val="en-US" w:eastAsia="ja-JP"/>
        </w:rPr>
        <w:t>Target risk countries</w:t>
      </w:r>
    </w:p>
    <w:p w14:paraId="2FC72F1E" w14:textId="77777777" w:rsidR="00A26036" w:rsidRPr="00A26036" w:rsidRDefault="00A26036" w:rsidP="00A26036">
      <w:pPr>
        <w:pStyle w:val="ListBullet2"/>
        <w:rPr>
          <w:lang w:val="en-US" w:eastAsia="ja-JP"/>
        </w:rPr>
      </w:pPr>
      <w:r w:rsidRPr="00A26036">
        <w:rPr>
          <w:lang w:val="en-US" w:eastAsia="ja-JP"/>
        </w:rPr>
        <w:t>Measures relating to goods</w:t>
      </w:r>
    </w:p>
    <w:p w14:paraId="07676D17" w14:textId="77777777" w:rsidR="00A26036" w:rsidRPr="00A26036" w:rsidRDefault="00A26036" w:rsidP="00A26036">
      <w:pPr>
        <w:pStyle w:val="ListBullet2"/>
        <w:rPr>
          <w:lang w:val="en-US" w:eastAsia="ja-JP"/>
        </w:rPr>
      </w:pPr>
      <w:r w:rsidRPr="00A26036">
        <w:rPr>
          <w:lang w:val="en-US" w:eastAsia="ja-JP"/>
        </w:rPr>
        <w:t>NUFT</w:t>
      </w:r>
    </w:p>
    <w:p w14:paraId="25D0C102" w14:textId="77777777" w:rsidR="00A26036" w:rsidRPr="00A26036" w:rsidRDefault="00A26036" w:rsidP="00A26036">
      <w:pPr>
        <w:pStyle w:val="ListBullet2"/>
        <w:rPr>
          <w:lang w:val="en-US" w:eastAsia="ja-JP"/>
        </w:rPr>
      </w:pPr>
      <w:r w:rsidRPr="00A26036">
        <w:rPr>
          <w:lang w:val="en-US" w:eastAsia="ja-JP"/>
        </w:rPr>
        <w:t>120 hours requirements</w:t>
      </w:r>
    </w:p>
    <w:p w14:paraId="54891F4D" w14:textId="77777777" w:rsidR="00A26036" w:rsidRPr="00A26036" w:rsidRDefault="00A26036" w:rsidP="00A26036">
      <w:pPr>
        <w:pStyle w:val="ListBullet2"/>
        <w:rPr>
          <w:lang w:val="en-US" w:eastAsia="ja-JP"/>
        </w:rPr>
      </w:pPr>
      <w:r w:rsidRPr="00A26036">
        <w:rPr>
          <w:lang w:val="en-US" w:eastAsia="ja-JP"/>
        </w:rPr>
        <w:t>Safeguarding</w:t>
      </w:r>
    </w:p>
    <w:p w14:paraId="2B82A1F1" w14:textId="77777777" w:rsidR="00A26036" w:rsidRPr="00A26036" w:rsidRDefault="00A26036" w:rsidP="00A26036">
      <w:pPr>
        <w:pStyle w:val="ListBullet2"/>
        <w:rPr>
          <w:lang w:val="en-US" w:eastAsia="ja-JP"/>
        </w:rPr>
      </w:pPr>
      <w:r w:rsidRPr="00A26036">
        <w:rPr>
          <w:lang w:val="en-US" w:eastAsia="ja-JP"/>
        </w:rPr>
        <w:t>Vessels</w:t>
      </w:r>
    </w:p>
    <w:p w14:paraId="4D8B73A4" w14:textId="77777777" w:rsidR="00A26036" w:rsidRPr="00A26036" w:rsidRDefault="00A26036" w:rsidP="00A26036">
      <w:pPr>
        <w:pStyle w:val="ListBullet"/>
        <w:rPr>
          <w:lang w:val="en-US" w:eastAsia="ja-JP"/>
        </w:rPr>
      </w:pPr>
      <w:r w:rsidRPr="00A26036">
        <w:rPr>
          <w:lang w:val="en-US" w:eastAsia="ja-JP"/>
        </w:rPr>
        <w:t>New Zealand specific requirements</w:t>
      </w:r>
    </w:p>
    <w:p w14:paraId="79E0334A" w14:textId="77777777" w:rsidR="00A26036" w:rsidRPr="00A26036" w:rsidRDefault="00A26036" w:rsidP="00A26036">
      <w:pPr>
        <w:pStyle w:val="ListBullet"/>
        <w:rPr>
          <w:lang w:val="en-US" w:eastAsia="ja-JP"/>
        </w:rPr>
      </w:pPr>
      <w:r w:rsidRPr="00A26036">
        <w:rPr>
          <w:lang w:val="en-US" w:eastAsia="ja-JP"/>
        </w:rPr>
        <w:t xml:space="preserve">Offshore BMSB treatment </w:t>
      </w:r>
      <w:proofErr w:type="gramStart"/>
      <w:r w:rsidRPr="00A26036">
        <w:rPr>
          <w:lang w:val="en-US" w:eastAsia="ja-JP"/>
        </w:rPr>
        <w:t>providers</w:t>
      </w:r>
      <w:proofErr w:type="gramEnd"/>
      <w:r w:rsidRPr="00A26036">
        <w:rPr>
          <w:lang w:val="en-US" w:eastAsia="ja-JP"/>
        </w:rPr>
        <w:t xml:space="preserve"> scheme</w:t>
      </w:r>
    </w:p>
    <w:p w14:paraId="291CA07C" w14:textId="77777777" w:rsidR="00A26036" w:rsidRPr="00A26036" w:rsidRDefault="00A26036" w:rsidP="00A26036">
      <w:pPr>
        <w:pStyle w:val="ListBullet2"/>
        <w:rPr>
          <w:lang w:val="en-US" w:eastAsia="ja-JP"/>
        </w:rPr>
      </w:pPr>
      <w:r w:rsidRPr="00A26036">
        <w:rPr>
          <w:lang w:val="en-US" w:eastAsia="ja-JP"/>
        </w:rPr>
        <w:t>Minimum treatment standards</w:t>
      </w:r>
    </w:p>
    <w:p w14:paraId="4A457F9A" w14:textId="77777777" w:rsidR="00A26036" w:rsidRPr="00A26036" w:rsidRDefault="00A26036" w:rsidP="00A26036">
      <w:pPr>
        <w:pStyle w:val="ListBullet2"/>
        <w:rPr>
          <w:lang w:val="en-US" w:eastAsia="ja-JP"/>
        </w:rPr>
      </w:pPr>
      <w:r w:rsidRPr="00A26036">
        <w:rPr>
          <w:lang w:val="en-US" w:eastAsia="ja-JP"/>
        </w:rPr>
        <w:t>Treatment non-compliance</w:t>
      </w:r>
    </w:p>
    <w:p w14:paraId="426A6382" w14:textId="673D0684" w:rsidR="00ED4E42" w:rsidRDefault="00A26036" w:rsidP="00A26036">
      <w:pPr>
        <w:pStyle w:val="ListBullet"/>
        <w:rPr>
          <w:lang w:eastAsia="ja-JP"/>
        </w:rPr>
      </w:pPr>
      <w:r w:rsidRPr="00A26036">
        <w:rPr>
          <w:lang w:val="en-US" w:eastAsia="ja-JP"/>
        </w:rPr>
        <w:t>Questions</w:t>
      </w:r>
    </w:p>
    <w:p w14:paraId="3220A998" w14:textId="77777777" w:rsidR="00A26036" w:rsidRDefault="00A26036" w:rsidP="00ED4E42">
      <w:pPr>
        <w:rPr>
          <w:rFonts w:asciiTheme="minorHAnsi" w:eastAsiaTheme="minorEastAsia" w:hAnsiTheme="minorHAnsi" w:cstheme="minorBidi"/>
          <w:b/>
          <w:sz w:val="28"/>
          <w:lang w:eastAsia="ja-JP"/>
        </w:rPr>
      </w:pPr>
    </w:p>
    <w:p w14:paraId="69741515" w14:textId="2559B6E0" w:rsidR="00A26036" w:rsidRDefault="00A26036" w:rsidP="00A26036">
      <w:pPr>
        <w:rPr>
          <w:rFonts w:asciiTheme="minorHAnsi" w:eastAsiaTheme="minorEastAsia" w:hAnsiTheme="minorHAnsi" w:cstheme="minorBidi"/>
          <w:b/>
          <w:sz w:val="28"/>
          <w:lang w:eastAsia="ja-JP"/>
        </w:rPr>
      </w:pPr>
      <w:r w:rsidRPr="00A26036">
        <w:rPr>
          <w:rFonts w:asciiTheme="minorHAnsi" w:eastAsiaTheme="minorEastAsia" w:hAnsiTheme="minorHAnsi" w:cstheme="minorBidi"/>
          <w:b/>
          <w:sz w:val="28"/>
          <w:lang w:eastAsia="ja-JP"/>
        </w:rPr>
        <w:t>Why BMSB</w:t>
      </w:r>
      <w:r>
        <w:rPr>
          <w:rFonts w:asciiTheme="minorHAnsi" w:eastAsiaTheme="minorEastAsia" w:hAnsiTheme="minorHAnsi" w:cstheme="minorBidi"/>
          <w:b/>
          <w:sz w:val="28"/>
          <w:lang w:eastAsia="ja-JP"/>
        </w:rPr>
        <w:t>?</w:t>
      </w:r>
    </w:p>
    <w:p w14:paraId="7DC96698" w14:textId="742DE5C2" w:rsidR="00A26036" w:rsidRPr="00A26036" w:rsidRDefault="00A26036" w:rsidP="00A26036">
      <w:pPr>
        <w:rPr>
          <w:b/>
          <w:bCs/>
          <w:lang w:val="en-US" w:eastAsia="ja-JP"/>
        </w:rPr>
      </w:pPr>
      <w:r w:rsidRPr="00A26036">
        <w:rPr>
          <w:b/>
          <w:bCs/>
          <w:lang w:val="en-US" w:eastAsia="ja-JP"/>
        </w:rPr>
        <w:t>A major agricultural pest</w:t>
      </w:r>
    </w:p>
    <w:p w14:paraId="6835F5D8" w14:textId="77777777" w:rsidR="00A26036" w:rsidRPr="00A26036" w:rsidRDefault="00A26036" w:rsidP="00A26036">
      <w:pPr>
        <w:pStyle w:val="ListBullet"/>
        <w:rPr>
          <w:lang w:val="en-US" w:eastAsia="ja-JP"/>
        </w:rPr>
      </w:pPr>
      <w:r w:rsidRPr="00A26036">
        <w:rPr>
          <w:lang w:val="en-US" w:eastAsia="ja-JP"/>
        </w:rPr>
        <w:t>Potential to severely impact Australian and New Zealand agricultural industries</w:t>
      </w:r>
    </w:p>
    <w:p w14:paraId="79254884" w14:textId="77777777" w:rsidR="00A26036" w:rsidRPr="00A26036" w:rsidRDefault="00A26036" w:rsidP="00A26036">
      <w:pPr>
        <w:pStyle w:val="ListBullet"/>
        <w:rPr>
          <w:lang w:val="en-US" w:eastAsia="ja-JP"/>
        </w:rPr>
      </w:pPr>
      <w:r w:rsidRPr="00A26036">
        <w:rPr>
          <w:lang w:val="en-US" w:eastAsia="ja-JP"/>
        </w:rPr>
        <w:t>BMSB is known to feed on around 300 different plant species</w:t>
      </w:r>
    </w:p>
    <w:p w14:paraId="265BE31F" w14:textId="1CD09677" w:rsidR="00A26036" w:rsidRPr="00A26036" w:rsidRDefault="00A26036" w:rsidP="00A26036">
      <w:pPr>
        <w:pStyle w:val="ListBullet"/>
        <w:rPr>
          <w:lang w:val="en-US" w:eastAsia="ja-JP"/>
        </w:rPr>
      </w:pPr>
      <w:r w:rsidRPr="00A26036">
        <w:rPr>
          <w:lang w:val="en-US" w:eastAsia="ja-JP"/>
        </w:rPr>
        <w:t>Juveniles and adults feed</w:t>
      </w:r>
      <w:r>
        <w:rPr>
          <w:lang w:val="en-US" w:eastAsia="ja-JP"/>
        </w:rPr>
        <w:t xml:space="preserve"> </w:t>
      </w:r>
      <w:r w:rsidRPr="00A26036">
        <w:rPr>
          <w:lang w:val="en-US" w:eastAsia="ja-JP"/>
        </w:rPr>
        <w:t>on, and severely damage fruit and vegetable crops</w:t>
      </w:r>
    </w:p>
    <w:p w14:paraId="2E24D6C8" w14:textId="77777777" w:rsidR="00A26036" w:rsidRPr="00A26036" w:rsidRDefault="00A26036" w:rsidP="00A26036">
      <w:pPr>
        <w:pStyle w:val="ListBullet"/>
        <w:rPr>
          <w:lang w:val="en-US" w:eastAsia="ja-JP"/>
        </w:rPr>
      </w:pPr>
      <w:r w:rsidRPr="00A26036">
        <w:rPr>
          <w:lang w:val="en-US" w:eastAsia="ja-JP"/>
        </w:rPr>
        <w:t>Australia’s and New Zealand’s environment and climate is suitable to support the entry and establishment of BMSB</w:t>
      </w:r>
    </w:p>
    <w:p w14:paraId="675A0B01" w14:textId="04651217" w:rsidR="001C14FE" w:rsidRDefault="001C14FE" w:rsidP="001C14FE">
      <w:pPr>
        <w:rPr>
          <w:lang w:eastAsia="ja-JP"/>
        </w:rPr>
      </w:pPr>
    </w:p>
    <w:p w14:paraId="0820C657" w14:textId="143B8C7A" w:rsidR="00A26036" w:rsidRDefault="00A26036" w:rsidP="00A26036">
      <w:pPr>
        <w:rPr>
          <w:rFonts w:asciiTheme="minorHAnsi" w:eastAsiaTheme="minorEastAsia" w:hAnsiTheme="minorHAnsi" w:cstheme="minorBidi"/>
          <w:b/>
          <w:sz w:val="28"/>
          <w:lang w:eastAsia="ja-JP"/>
        </w:rPr>
      </w:pPr>
      <w:r w:rsidRPr="00A26036">
        <w:rPr>
          <w:rFonts w:asciiTheme="minorHAnsi" w:eastAsiaTheme="minorEastAsia" w:hAnsiTheme="minorHAnsi" w:cstheme="minorBidi"/>
          <w:b/>
          <w:sz w:val="28"/>
          <w:lang w:eastAsia="ja-JP"/>
        </w:rPr>
        <w:t>Why BMSB</w:t>
      </w:r>
      <w:r>
        <w:rPr>
          <w:rFonts w:asciiTheme="minorHAnsi" w:eastAsiaTheme="minorEastAsia" w:hAnsiTheme="minorHAnsi" w:cstheme="minorBidi"/>
          <w:b/>
          <w:sz w:val="28"/>
          <w:lang w:eastAsia="ja-JP"/>
        </w:rPr>
        <w:t>?</w:t>
      </w:r>
    </w:p>
    <w:p w14:paraId="4B88D134" w14:textId="3813D8F8" w:rsidR="00A26036" w:rsidRDefault="00A26036" w:rsidP="00A26036">
      <w:pPr>
        <w:rPr>
          <w:rFonts w:asciiTheme="minorHAnsi" w:eastAsiaTheme="minorEastAsia" w:hAnsiTheme="minorHAnsi" w:cstheme="minorBidi"/>
          <w:b/>
          <w:sz w:val="28"/>
          <w:lang w:eastAsia="ja-JP"/>
        </w:rPr>
      </w:pPr>
      <w:r w:rsidRPr="00A26036">
        <w:rPr>
          <w:b/>
          <w:bCs/>
          <w:lang w:val="en-US" w:eastAsia="ja-JP"/>
        </w:rPr>
        <w:lastRenderedPageBreak/>
        <w:t>Initial seasonal measures</w:t>
      </w:r>
    </w:p>
    <w:p w14:paraId="3DD8D674" w14:textId="276CFD62" w:rsidR="00A26036" w:rsidRPr="00A26036" w:rsidRDefault="00A26036" w:rsidP="00A26036">
      <w:pPr>
        <w:pStyle w:val="ListBullet"/>
        <w:rPr>
          <w:lang w:val="en-US" w:eastAsia="ja-JP"/>
        </w:rPr>
      </w:pPr>
      <w:r w:rsidRPr="00A26036">
        <w:rPr>
          <w:lang w:val="en-US" w:eastAsia="ja-JP"/>
        </w:rPr>
        <w:t>Seasonal measures to manage BMSB risk were first introduced in 2015</w:t>
      </w:r>
    </w:p>
    <w:p w14:paraId="42A7EF91" w14:textId="36F8BFEF" w:rsidR="00A26036" w:rsidRPr="00A26036" w:rsidRDefault="00A26036" w:rsidP="00A26036">
      <w:pPr>
        <w:pStyle w:val="ListBullet"/>
        <w:rPr>
          <w:lang w:val="en-US" w:eastAsia="ja-JP"/>
        </w:rPr>
      </w:pPr>
      <w:r w:rsidRPr="00A26036">
        <w:rPr>
          <w:lang w:val="en-US" w:eastAsia="ja-JP"/>
        </w:rPr>
        <w:t>Seasonal measures included mandatory treatment for target high risk goods from a small number of countries and increased surveillance of vessels from risk pathways</w:t>
      </w:r>
    </w:p>
    <w:p w14:paraId="3F9E55D5" w14:textId="021C5E8F" w:rsidR="00A26036" w:rsidRPr="00A26036" w:rsidRDefault="00A26036" w:rsidP="00A26036">
      <w:pPr>
        <w:pStyle w:val="ListBullet"/>
        <w:rPr>
          <w:lang w:val="en-US" w:eastAsia="ja-JP"/>
        </w:rPr>
      </w:pPr>
      <w:r w:rsidRPr="00A26036">
        <w:rPr>
          <w:lang w:val="en-US" w:eastAsia="ja-JP"/>
        </w:rPr>
        <w:t xml:space="preserve">Seasonal measures expanded in 2018-19 to include the offshore BMSB treatment </w:t>
      </w:r>
      <w:proofErr w:type="gramStart"/>
      <w:r w:rsidRPr="00A26036">
        <w:rPr>
          <w:lang w:val="en-US" w:eastAsia="ja-JP"/>
        </w:rPr>
        <w:t>providers</w:t>
      </w:r>
      <w:proofErr w:type="gramEnd"/>
      <w:r w:rsidRPr="00A26036">
        <w:rPr>
          <w:lang w:val="en-US" w:eastAsia="ja-JP"/>
        </w:rPr>
        <w:t xml:space="preserve"> scheme</w:t>
      </w:r>
    </w:p>
    <w:p w14:paraId="3579873F" w14:textId="12E50EE9" w:rsidR="000700EF" w:rsidRDefault="00A26036" w:rsidP="00A26036">
      <w:pPr>
        <w:pStyle w:val="ListBullet"/>
        <w:rPr>
          <w:lang w:val="en-US" w:eastAsia="ja-JP"/>
        </w:rPr>
      </w:pPr>
      <w:r w:rsidRPr="00A26036">
        <w:rPr>
          <w:lang w:val="en-US" w:eastAsia="ja-JP"/>
        </w:rPr>
        <w:t>Seasonal measures have continued to evolve and expand in response to changing and expanding BMSB risk</w:t>
      </w:r>
    </w:p>
    <w:p w14:paraId="7879AF06" w14:textId="6F3C63BA" w:rsidR="00A26036" w:rsidRDefault="00A26036" w:rsidP="00A26036">
      <w:pPr>
        <w:pStyle w:val="ListBullet"/>
        <w:numPr>
          <w:ilvl w:val="0"/>
          <w:numId w:val="0"/>
        </w:numPr>
        <w:ind w:left="425" w:hanging="425"/>
        <w:rPr>
          <w:lang w:val="en-US" w:eastAsia="ja-JP"/>
        </w:rPr>
      </w:pPr>
    </w:p>
    <w:p w14:paraId="3FA09BFD" w14:textId="77777777" w:rsidR="00A26036" w:rsidRPr="00A26036" w:rsidRDefault="00A26036" w:rsidP="00A26036">
      <w:pPr>
        <w:rPr>
          <w:rFonts w:asciiTheme="minorHAnsi" w:eastAsiaTheme="minorEastAsia" w:hAnsiTheme="minorHAnsi" w:cstheme="minorBidi"/>
          <w:b/>
          <w:sz w:val="28"/>
          <w:lang w:eastAsia="ja-JP"/>
        </w:rPr>
      </w:pPr>
      <w:r w:rsidRPr="00A26036">
        <w:rPr>
          <w:rFonts w:asciiTheme="minorHAnsi" w:eastAsiaTheme="minorEastAsia" w:hAnsiTheme="minorHAnsi" w:cstheme="minorBidi"/>
          <w:b/>
          <w:sz w:val="28"/>
          <w:lang w:eastAsia="ja-JP"/>
        </w:rPr>
        <w:t>2020-21 BMSB risk season - Review</w:t>
      </w:r>
    </w:p>
    <w:p w14:paraId="0F8D142D" w14:textId="77777777" w:rsidR="00A26036" w:rsidRPr="00A26036" w:rsidRDefault="00A26036" w:rsidP="00A26036">
      <w:pPr>
        <w:rPr>
          <w:b/>
          <w:bCs/>
          <w:lang w:val="en-US" w:eastAsia="ja-JP"/>
        </w:rPr>
      </w:pPr>
      <w:r w:rsidRPr="00A26036">
        <w:rPr>
          <w:b/>
          <w:bCs/>
          <w:lang w:val="en-US" w:eastAsia="ja-JP"/>
        </w:rPr>
        <w:t>Summary of Offshore BMSB Treatment Providers Scheme</w:t>
      </w:r>
    </w:p>
    <w:p w14:paraId="324BBEF7" w14:textId="5FFBC1FC" w:rsidR="00A26036" w:rsidRPr="00A26036" w:rsidRDefault="00A26036" w:rsidP="00A26036">
      <w:pPr>
        <w:pStyle w:val="ListBullet"/>
        <w:rPr>
          <w:lang w:val="en-US" w:eastAsia="ja-JP"/>
        </w:rPr>
      </w:pPr>
      <w:r w:rsidRPr="00A26036">
        <w:rPr>
          <w:lang w:val="en-US" w:eastAsia="ja-JP"/>
        </w:rPr>
        <w:t>There were 230 registered offshore treatment providers across 25 countries</w:t>
      </w:r>
    </w:p>
    <w:p w14:paraId="1EE9E18C" w14:textId="3D07AAB1" w:rsidR="00A26036" w:rsidRPr="00A26036" w:rsidRDefault="00A26036" w:rsidP="00A26036">
      <w:pPr>
        <w:pStyle w:val="ListBullet"/>
        <w:rPr>
          <w:lang w:val="en-US" w:eastAsia="ja-JP"/>
        </w:rPr>
      </w:pPr>
      <w:r w:rsidRPr="00A26036">
        <w:rPr>
          <w:lang w:val="en-US" w:eastAsia="ja-JP"/>
        </w:rPr>
        <w:t>72 in North America</w:t>
      </w:r>
    </w:p>
    <w:p w14:paraId="0D7E8D35" w14:textId="3A1DF123" w:rsidR="00A26036" w:rsidRPr="00A26036" w:rsidRDefault="00A26036" w:rsidP="00A26036">
      <w:pPr>
        <w:pStyle w:val="ListBullet"/>
        <w:rPr>
          <w:lang w:val="en-US" w:eastAsia="ja-JP"/>
        </w:rPr>
      </w:pPr>
      <w:r w:rsidRPr="00A26036">
        <w:rPr>
          <w:lang w:val="en-US" w:eastAsia="ja-JP"/>
        </w:rPr>
        <w:t>85 in Europe</w:t>
      </w:r>
    </w:p>
    <w:p w14:paraId="4AFBD975" w14:textId="2D7D15B2" w:rsidR="00A26036" w:rsidRPr="00A26036" w:rsidRDefault="00A26036" w:rsidP="00A26036">
      <w:pPr>
        <w:pStyle w:val="ListBullet"/>
        <w:rPr>
          <w:lang w:val="en-US" w:eastAsia="ja-JP"/>
        </w:rPr>
      </w:pPr>
      <w:r w:rsidRPr="00A26036">
        <w:rPr>
          <w:lang w:val="en-US" w:eastAsia="ja-JP"/>
        </w:rPr>
        <w:t>26 in the Middle East</w:t>
      </w:r>
    </w:p>
    <w:p w14:paraId="3AD247FA" w14:textId="108F379E" w:rsidR="00A26036" w:rsidRPr="00A26036" w:rsidRDefault="00A26036" w:rsidP="00A26036">
      <w:pPr>
        <w:pStyle w:val="ListBullet"/>
        <w:rPr>
          <w:lang w:val="en-US" w:eastAsia="ja-JP"/>
        </w:rPr>
      </w:pPr>
      <w:r w:rsidRPr="00A26036">
        <w:rPr>
          <w:lang w:val="en-US" w:eastAsia="ja-JP"/>
        </w:rPr>
        <w:t>47 in the rest of Asia</w:t>
      </w:r>
    </w:p>
    <w:p w14:paraId="7ACABBCC" w14:textId="6207EBAB" w:rsidR="00A26036" w:rsidRDefault="00A26036" w:rsidP="00A26036">
      <w:pPr>
        <w:pStyle w:val="ListBullet"/>
        <w:rPr>
          <w:lang w:val="en-US" w:eastAsia="ja-JP"/>
        </w:rPr>
      </w:pPr>
      <w:r w:rsidRPr="00A26036">
        <w:rPr>
          <w:lang w:val="en-US" w:eastAsia="ja-JP"/>
        </w:rPr>
        <w:t>Over 80,000 offshore treatment certificates were lodged for Australian bound goods – a 10% increase on the previous season</w:t>
      </w:r>
    </w:p>
    <w:p w14:paraId="64E8FAD3" w14:textId="58EB6C95" w:rsidR="00A26036" w:rsidRDefault="00A26036" w:rsidP="00A26036">
      <w:pPr>
        <w:pStyle w:val="ListBullet"/>
        <w:numPr>
          <w:ilvl w:val="0"/>
          <w:numId w:val="0"/>
        </w:numPr>
        <w:ind w:left="425" w:hanging="425"/>
        <w:rPr>
          <w:lang w:val="en-US" w:eastAsia="ja-JP"/>
        </w:rPr>
      </w:pPr>
    </w:p>
    <w:p w14:paraId="07ECCCE9" w14:textId="77777777" w:rsidR="00A26036" w:rsidRPr="00A26036" w:rsidRDefault="00A26036" w:rsidP="00A26036">
      <w:pPr>
        <w:rPr>
          <w:rFonts w:asciiTheme="minorHAnsi" w:eastAsiaTheme="minorEastAsia" w:hAnsiTheme="minorHAnsi" w:cstheme="minorBidi"/>
          <w:b/>
          <w:sz w:val="28"/>
          <w:lang w:eastAsia="ja-JP"/>
        </w:rPr>
      </w:pPr>
      <w:r w:rsidRPr="00A26036">
        <w:rPr>
          <w:rFonts w:asciiTheme="minorHAnsi" w:eastAsiaTheme="minorEastAsia" w:hAnsiTheme="minorHAnsi" w:cstheme="minorBidi"/>
          <w:b/>
          <w:sz w:val="28"/>
          <w:lang w:eastAsia="ja-JP"/>
        </w:rPr>
        <w:t>2020-21 BMSB risk season</w:t>
      </w:r>
    </w:p>
    <w:p w14:paraId="227DC5D0" w14:textId="77777777" w:rsidR="00A26036" w:rsidRPr="00A26036" w:rsidRDefault="00A26036" w:rsidP="00A26036">
      <w:pPr>
        <w:rPr>
          <w:b/>
          <w:bCs/>
          <w:lang w:val="en-US" w:eastAsia="ja-JP"/>
        </w:rPr>
      </w:pPr>
      <w:r w:rsidRPr="00A26036">
        <w:rPr>
          <w:b/>
          <w:bCs/>
          <w:lang w:val="en-US" w:eastAsia="ja-JP"/>
        </w:rPr>
        <w:t>Summary of intervention for the 2020-21 season</w:t>
      </w:r>
    </w:p>
    <w:p w14:paraId="4E1A74C2" w14:textId="028A0263" w:rsidR="00A26036" w:rsidRPr="00A26036" w:rsidRDefault="00A26036" w:rsidP="00A26036">
      <w:pPr>
        <w:pStyle w:val="ListBullet"/>
        <w:rPr>
          <w:lang w:val="en-US" w:eastAsia="ja-JP"/>
        </w:rPr>
      </w:pPr>
      <w:r w:rsidRPr="00A26036">
        <w:rPr>
          <w:lang w:val="en-US" w:eastAsia="ja-JP"/>
        </w:rPr>
        <w:t>Over 107,136 containers were subject to BMSB measures</w:t>
      </w:r>
    </w:p>
    <w:p w14:paraId="5AB17A9A" w14:textId="27E7F8E4" w:rsidR="00A26036" w:rsidRDefault="00A26036" w:rsidP="00A26036">
      <w:pPr>
        <w:pStyle w:val="ListBullet"/>
        <w:rPr>
          <w:lang w:val="en-US" w:eastAsia="ja-JP"/>
        </w:rPr>
      </w:pPr>
      <w:r w:rsidRPr="00A26036">
        <w:rPr>
          <w:lang w:val="en-US" w:eastAsia="ja-JP"/>
        </w:rPr>
        <w:t>53% were treated offshore and required no BMSB related intervention on arrival</w:t>
      </w:r>
      <w:r>
        <w:rPr>
          <w:lang w:val="en-US" w:eastAsia="ja-JP"/>
        </w:rPr>
        <w:br/>
      </w:r>
    </w:p>
    <w:p w14:paraId="7403A0E6" w14:textId="68AD0A76" w:rsidR="00A26036" w:rsidRDefault="00A26036" w:rsidP="00A26036">
      <w:pPr>
        <w:rPr>
          <w:lang w:val="en-US"/>
        </w:rPr>
      </w:pPr>
      <w:r>
        <w:rPr>
          <w:lang w:val="en-US"/>
        </w:rPr>
        <w:t>(Chart showing number of detections over the last three seasons, and the condition of insects when found)</w:t>
      </w:r>
    </w:p>
    <w:p w14:paraId="32068D9B" w14:textId="24441FC6" w:rsidR="00A26036" w:rsidRDefault="00A26036" w:rsidP="00A26036">
      <w:pPr>
        <w:rPr>
          <w:lang w:val="en-US"/>
        </w:rPr>
      </w:pPr>
      <w:r>
        <w:rPr>
          <w:lang w:val="en-US"/>
        </w:rPr>
        <w:br/>
        <w:t xml:space="preserve">NB. Detection figures are not total insect numbers, </w:t>
      </w:r>
      <w:proofErr w:type="spellStart"/>
      <w:proofErr w:type="gramStart"/>
      <w:r>
        <w:rPr>
          <w:lang w:val="en-US"/>
        </w:rPr>
        <w:t>ie</w:t>
      </w:r>
      <w:proofErr w:type="spellEnd"/>
      <w:proofErr w:type="gramEnd"/>
      <w:r>
        <w:rPr>
          <w:lang w:val="en-US"/>
        </w:rPr>
        <w:t xml:space="preserve"> 1 detection may have consisted of multiple actual insects.</w:t>
      </w:r>
    </w:p>
    <w:p w14:paraId="2E79F93C" w14:textId="185B3F60" w:rsidR="00A26036" w:rsidRDefault="00A26036" w:rsidP="00A26036">
      <w:pPr>
        <w:rPr>
          <w:lang w:val="en-US"/>
        </w:rPr>
      </w:pPr>
    </w:p>
    <w:p w14:paraId="7F9B11C6" w14:textId="402231F6" w:rsidR="00A26036" w:rsidRPr="00A26036" w:rsidRDefault="00A26036" w:rsidP="00A26036">
      <w:pPr>
        <w:rPr>
          <w:rFonts w:asciiTheme="minorHAnsi" w:eastAsiaTheme="minorEastAsia" w:hAnsiTheme="minorHAnsi" w:cstheme="minorBidi"/>
          <w:b/>
          <w:sz w:val="28"/>
          <w:lang w:eastAsia="ja-JP"/>
        </w:rPr>
      </w:pPr>
      <w:r w:rsidRPr="00A26036">
        <w:rPr>
          <w:rFonts w:asciiTheme="minorHAnsi" w:eastAsiaTheme="minorEastAsia" w:hAnsiTheme="minorHAnsi" w:cstheme="minorBidi"/>
          <w:b/>
          <w:sz w:val="28"/>
          <w:lang w:eastAsia="ja-JP"/>
        </w:rPr>
        <w:t>2020-21 BMSB last risk season – NZ Review</w:t>
      </w:r>
    </w:p>
    <w:p w14:paraId="7AE385B4" w14:textId="15EAA762" w:rsidR="00A26036" w:rsidRDefault="00A26036" w:rsidP="00A26036">
      <w:r w:rsidRPr="00A26036">
        <w:t>NZ had 2553 consignments and 128,852 vehicles BMSB treated</w:t>
      </w:r>
    </w:p>
    <w:p w14:paraId="66242826" w14:textId="142539EF" w:rsidR="00A26036" w:rsidRDefault="00A26036" w:rsidP="00A26036"/>
    <w:p w14:paraId="732C5086" w14:textId="2648A8CE" w:rsidR="00A26036" w:rsidRDefault="00A26036" w:rsidP="00A26036">
      <w:r>
        <w:t>(Comparison chart of detections over the last three seasons)</w:t>
      </w:r>
    </w:p>
    <w:p w14:paraId="3D1676C0" w14:textId="22662864" w:rsidR="00A26036" w:rsidRDefault="00A26036" w:rsidP="00A26036">
      <w:r>
        <w:t>What the numbers tell us...</w:t>
      </w:r>
    </w:p>
    <w:p w14:paraId="21D67D97" w14:textId="77777777" w:rsidR="00A26036" w:rsidRDefault="00A26036" w:rsidP="00A26036">
      <w:pPr>
        <w:pStyle w:val="ListBullet"/>
      </w:pPr>
      <w:r>
        <w:t>There has been a decrease in BMSB bugs intercepted, both live and dead this season</w:t>
      </w:r>
    </w:p>
    <w:p w14:paraId="3C9CDB87" w14:textId="77777777" w:rsidR="00A26036" w:rsidRDefault="00A26036" w:rsidP="00A26036">
      <w:pPr>
        <w:pStyle w:val="ListBullet"/>
      </w:pPr>
      <w:r>
        <w:t>16 live BMSB found in a treated consignment sealed box, 28 treated consignments with other live insects</w:t>
      </w:r>
    </w:p>
    <w:p w14:paraId="689EA36E" w14:textId="77777777" w:rsidR="00A26036" w:rsidRDefault="00A26036" w:rsidP="00A26036">
      <w:pPr>
        <w:pStyle w:val="ListBullet"/>
      </w:pPr>
      <w:r>
        <w:lastRenderedPageBreak/>
        <w:t xml:space="preserve">Increased trapping and surveillance </w:t>
      </w:r>
      <w:proofErr w:type="gramStart"/>
      <w:r>
        <w:t>means</w:t>
      </w:r>
      <w:proofErr w:type="gramEnd"/>
      <w:r>
        <w:t xml:space="preserve"> we are confident we remain BMSB free</w:t>
      </w:r>
    </w:p>
    <w:p w14:paraId="28F0A78D" w14:textId="36C79A4A" w:rsidR="00A26036" w:rsidRDefault="00A26036" w:rsidP="00A26036">
      <w:pPr>
        <w:pStyle w:val="ListBullet"/>
      </w:pPr>
      <w:r>
        <w:t>1 Live BMSB was found near a surveillance trap, no others!</w:t>
      </w:r>
    </w:p>
    <w:p w14:paraId="2276E040" w14:textId="4585C926" w:rsidR="00A26036" w:rsidRDefault="00A26036" w:rsidP="00A26036">
      <w:pPr>
        <w:pStyle w:val="ListBullet"/>
        <w:numPr>
          <w:ilvl w:val="0"/>
          <w:numId w:val="0"/>
        </w:numPr>
        <w:ind w:left="425" w:hanging="425"/>
      </w:pPr>
    </w:p>
    <w:p w14:paraId="0249BBDB" w14:textId="77777777" w:rsidR="00A26036" w:rsidRPr="00A26036" w:rsidRDefault="00A26036" w:rsidP="00A26036">
      <w:pPr>
        <w:rPr>
          <w:rFonts w:asciiTheme="minorHAnsi" w:eastAsiaTheme="minorEastAsia" w:hAnsiTheme="minorHAnsi" w:cstheme="minorBidi"/>
          <w:b/>
          <w:sz w:val="28"/>
          <w:lang w:eastAsia="ja-JP"/>
        </w:rPr>
      </w:pPr>
      <w:r w:rsidRPr="00A26036">
        <w:rPr>
          <w:rFonts w:asciiTheme="minorHAnsi" w:eastAsiaTheme="minorEastAsia" w:hAnsiTheme="minorHAnsi" w:cstheme="minorBidi"/>
          <w:b/>
          <w:sz w:val="28"/>
          <w:lang w:eastAsia="ja-JP"/>
        </w:rPr>
        <w:t>2021-22 BMSB risk season - Review</w:t>
      </w:r>
    </w:p>
    <w:p w14:paraId="61B865CC" w14:textId="77777777" w:rsidR="00A26036" w:rsidRPr="00A26036" w:rsidRDefault="00A26036" w:rsidP="00A26036">
      <w:pPr>
        <w:rPr>
          <w:b/>
          <w:bCs/>
          <w:lang w:val="en-US" w:eastAsia="ja-JP"/>
        </w:rPr>
      </w:pPr>
      <w:r w:rsidRPr="00A26036">
        <w:rPr>
          <w:b/>
          <w:bCs/>
          <w:lang w:val="en-US" w:eastAsia="ja-JP"/>
        </w:rPr>
        <w:t>Summary of treatment provider compliance assessment</w:t>
      </w:r>
    </w:p>
    <w:p w14:paraId="7A262783" w14:textId="61A356D9" w:rsidR="00A26036" w:rsidRDefault="00A26036" w:rsidP="00A26036">
      <w:pPr>
        <w:pStyle w:val="ListBullet"/>
      </w:pPr>
      <w:r>
        <w:t>Documentary assessments were conducted on 150 treatment providers</w:t>
      </w:r>
    </w:p>
    <w:p w14:paraId="24C6CCB8" w14:textId="23E186A0" w:rsidR="00A26036" w:rsidRDefault="00A26036" w:rsidP="00A26036">
      <w:pPr>
        <w:pStyle w:val="ListBullet"/>
      </w:pPr>
      <w:r>
        <w:t>The most common issues identified with treatment certificates were:</w:t>
      </w:r>
    </w:p>
    <w:p w14:paraId="79A879B2" w14:textId="13524483" w:rsidR="00A26036" w:rsidRDefault="00A26036" w:rsidP="00A26036">
      <w:pPr>
        <w:pStyle w:val="ListBullet2"/>
      </w:pPr>
      <w:r>
        <w:t>Missing name, signature and date of the person conducting the treatment</w:t>
      </w:r>
    </w:p>
    <w:p w14:paraId="4F518D1C" w14:textId="665FE109" w:rsidR="00A26036" w:rsidRDefault="00A26036" w:rsidP="00A26036">
      <w:pPr>
        <w:pStyle w:val="ListBullet2"/>
      </w:pPr>
      <w:r>
        <w:t>Missing information on enclosure ventilation</w:t>
      </w:r>
    </w:p>
    <w:p w14:paraId="069F574C" w14:textId="16F913C6" w:rsidR="00A26036" w:rsidRDefault="00A26036" w:rsidP="00A26036">
      <w:pPr>
        <w:pStyle w:val="ListBullet"/>
      </w:pPr>
      <w:r>
        <w:t>The most common issues identified with records of treatment were:</w:t>
      </w:r>
    </w:p>
    <w:p w14:paraId="29E4B635" w14:textId="5F317E6E" w:rsidR="00A26036" w:rsidRDefault="00A26036" w:rsidP="00A26036">
      <w:pPr>
        <w:pStyle w:val="ListBullet2"/>
      </w:pPr>
      <w:r>
        <w:t>Missing name, signature and date of the person conducting the treatment</w:t>
      </w:r>
    </w:p>
    <w:p w14:paraId="462EE08D" w14:textId="1E4F9FBA" w:rsidR="00A26036" w:rsidRDefault="00A26036" w:rsidP="00A26036">
      <w:pPr>
        <w:pStyle w:val="ListBullet2"/>
      </w:pPr>
      <w:r>
        <w:t>Critical parameters not being met – below the minimum concentration, under the</w:t>
      </w:r>
    </w:p>
    <w:p w14:paraId="0F695E23" w14:textId="77777777" w:rsidR="00A26036" w:rsidRDefault="00A26036" w:rsidP="00A26036">
      <w:pPr>
        <w:pStyle w:val="ListBullet2"/>
      </w:pPr>
      <w:r>
        <w:t>required treatment temperature or the exposure period was too short</w:t>
      </w:r>
    </w:p>
    <w:p w14:paraId="584D212E" w14:textId="363408A2" w:rsidR="00A26036" w:rsidRDefault="00A26036" w:rsidP="00A26036">
      <w:pPr>
        <w:pStyle w:val="ListBullet2"/>
      </w:pPr>
      <w:r>
        <w:t>Discrepancies between the treatment records and the information on the treatment</w:t>
      </w:r>
    </w:p>
    <w:p w14:paraId="21FED1F5" w14:textId="77777777" w:rsidR="00A26036" w:rsidRDefault="00A26036" w:rsidP="00A26036">
      <w:pPr>
        <w:pStyle w:val="ListBullet2"/>
      </w:pPr>
      <w:r>
        <w:t>certificate</w:t>
      </w:r>
    </w:p>
    <w:p w14:paraId="47C95B3A" w14:textId="6A6E483F" w:rsidR="00A26036" w:rsidRDefault="00A26036" w:rsidP="00A26036">
      <w:pPr>
        <w:pStyle w:val="ListBullet"/>
      </w:pPr>
      <w:r>
        <w:t>Treatment providers receive feedback and corrective action requests where necessary</w:t>
      </w:r>
    </w:p>
    <w:p w14:paraId="12BD94E4" w14:textId="79F2A214" w:rsidR="00A26036" w:rsidRDefault="00A26036" w:rsidP="00A26036">
      <w:pPr>
        <w:pStyle w:val="ListBullet"/>
      </w:pPr>
      <w:r>
        <w:t>Five treatment providers were suspended due to the identification of critical</w:t>
      </w:r>
    </w:p>
    <w:p w14:paraId="0E05B9FC" w14:textId="77777777" w:rsidR="00A26036" w:rsidRDefault="00A26036" w:rsidP="00A26036">
      <w:pPr>
        <w:pStyle w:val="ListBullet"/>
      </w:pPr>
      <w:r>
        <w:t>non-compliance</w:t>
      </w:r>
      <w:r>
        <w:tab/>
        <w:t xml:space="preserve"> </w:t>
      </w:r>
    </w:p>
    <w:p w14:paraId="0CBCB325" w14:textId="77777777" w:rsidR="00A26036" w:rsidRDefault="00A26036" w:rsidP="00A26036">
      <w:r>
        <w:tab/>
        <w:t xml:space="preserve"> </w:t>
      </w:r>
    </w:p>
    <w:p w14:paraId="3E314791" w14:textId="77777777" w:rsidR="00A26036" w:rsidRDefault="00A26036" w:rsidP="00A26036">
      <w:r>
        <w:tab/>
        <w:t xml:space="preserve"> </w:t>
      </w:r>
    </w:p>
    <w:p w14:paraId="03935734" w14:textId="77777777" w:rsidR="00A26036" w:rsidRDefault="00A26036" w:rsidP="00A26036">
      <w:r>
        <w:t xml:space="preserve"> </w:t>
      </w:r>
    </w:p>
    <w:p w14:paraId="46850AFB" w14:textId="77777777" w:rsidR="00A26036" w:rsidRPr="00A26036" w:rsidRDefault="00A26036" w:rsidP="00A26036">
      <w:pPr>
        <w:rPr>
          <w:rFonts w:asciiTheme="minorHAnsi" w:eastAsiaTheme="minorEastAsia" w:hAnsiTheme="minorHAnsi" w:cstheme="minorBidi"/>
          <w:b/>
          <w:sz w:val="28"/>
          <w:lang w:eastAsia="ja-JP"/>
        </w:rPr>
      </w:pPr>
      <w:r w:rsidRPr="00A26036">
        <w:rPr>
          <w:rFonts w:asciiTheme="minorHAnsi" w:eastAsiaTheme="minorEastAsia" w:hAnsiTheme="minorHAnsi" w:cstheme="minorBidi"/>
          <w:b/>
          <w:sz w:val="28"/>
          <w:lang w:eastAsia="ja-JP"/>
        </w:rPr>
        <w:t>2021-22 BMSB risk season - Measures</w:t>
      </w:r>
    </w:p>
    <w:p w14:paraId="790315A6" w14:textId="77777777" w:rsidR="00A26036" w:rsidRPr="00A26036" w:rsidRDefault="00A26036" w:rsidP="00A26036">
      <w:pPr>
        <w:rPr>
          <w:b/>
          <w:bCs/>
          <w:lang w:val="en-US" w:eastAsia="ja-JP"/>
        </w:rPr>
      </w:pPr>
      <w:r w:rsidRPr="00A26036">
        <w:rPr>
          <w:b/>
          <w:bCs/>
          <w:lang w:val="en-US" w:eastAsia="ja-JP"/>
        </w:rPr>
        <w:t>BMSB Seasonal Measures</w:t>
      </w:r>
    </w:p>
    <w:p w14:paraId="066272AD" w14:textId="0C0F42EF" w:rsidR="00A26036" w:rsidRDefault="00A26036" w:rsidP="00A26036">
      <w:pPr>
        <w:pStyle w:val="ListBullet"/>
      </w:pPr>
      <w:r>
        <w:t>Measures apply to goods shipped between 1 September 2021 and 30 April 2022 (inclusive)</w:t>
      </w:r>
    </w:p>
    <w:p w14:paraId="09D60395" w14:textId="2A69919C" w:rsidR="00A26036" w:rsidRDefault="00A26036" w:rsidP="00A26036">
      <w:pPr>
        <w:pStyle w:val="ListBullet"/>
      </w:pPr>
      <w:r>
        <w:t>Target high risk and target risk goods remain unchanged from last season</w:t>
      </w:r>
    </w:p>
    <w:p w14:paraId="72542F76" w14:textId="41ECB43F" w:rsidR="00A26036" w:rsidRDefault="00A26036" w:rsidP="00A26036">
      <w:pPr>
        <w:pStyle w:val="ListBullet"/>
      </w:pPr>
      <w:r>
        <w:t>Poland has been added as a target risk country for the 2021-22 BMSB season</w:t>
      </w:r>
    </w:p>
    <w:p w14:paraId="22ADB4E2" w14:textId="126AD6B1" w:rsidR="00A26036" w:rsidRDefault="00A26036" w:rsidP="00A26036">
      <w:pPr>
        <w:pStyle w:val="ListBullet"/>
      </w:pPr>
      <w:r>
        <w:t>Any target high risk or target risk goods manufactured in, or shipped from these target risk countries are subject to the BMSB seasonal measures</w:t>
      </w:r>
    </w:p>
    <w:p w14:paraId="7D01150B" w14:textId="4C1F0F30" w:rsidR="00A26036" w:rsidRDefault="00A26036" w:rsidP="00A26036">
      <w:pPr>
        <w:pStyle w:val="ListBullet"/>
      </w:pPr>
      <w:r>
        <w:t xml:space="preserve">Any vessel that berths at, </w:t>
      </w:r>
      <w:proofErr w:type="gramStart"/>
      <w:r>
        <w:t>loads</w:t>
      </w:r>
      <w:proofErr w:type="gramEnd"/>
      <w:r>
        <w:t xml:space="preserve"> or tranships goods from these countries are also subject to heightened vessel surveillance</w:t>
      </w:r>
    </w:p>
    <w:p w14:paraId="38827EBD" w14:textId="4DCAC339" w:rsidR="00A26036" w:rsidRDefault="00A26036" w:rsidP="00A26036">
      <w:pPr>
        <w:pStyle w:val="ListBullet"/>
      </w:pPr>
      <w:r>
        <w:t xml:space="preserve">Malta has been added to our emerging risk country list along with the UK, Sweden, </w:t>
      </w:r>
      <w:proofErr w:type="gramStart"/>
      <w:r>
        <w:t>Belarus</w:t>
      </w:r>
      <w:proofErr w:type="gramEnd"/>
      <w:r>
        <w:t xml:space="preserve"> and Chile</w:t>
      </w:r>
    </w:p>
    <w:p w14:paraId="4C80A374" w14:textId="67F2721F" w:rsidR="00A26036" w:rsidRDefault="00A26036" w:rsidP="00A26036"/>
    <w:p w14:paraId="5B110D37" w14:textId="3F2C902C" w:rsidR="00A26036" w:rsidRDefault="00A26036" w:rsidP="00A26036">
      <w:pPr>
        <w:rPr>
          <w:rFonts w:asciiTheme="minorHAnsi" w:eastAsiaTheme="minorEastAsia" w:hAnsiTheme="minorHAnsi" w:cstheme="minorBidi"/>
          <w:b/>
          <w:sz w:val="28"/>
          <w:lang w:eastAsia="ja-JP"/>
        </w:rPr>
      </w:pPr>
      <w:r w:rsidRPr="00A26036">
        <w:rPr>
          <w:rFonts w:asciiTheme="minorHAnsi" w:eastAsiaTheme="minorEastAsia" w:hAnsiTheme="minorHAnsi" w:cstheme="minorBidi"/>
          <w:b/>
          <w:sz w:val="28"/>
          <w:lang w:eastAsia="ja-JP"/>
        </w:rPr>
        <w:t>2021-22 BMSB target risk countries</w:t>
      </w:r>
    </w:p>
    <w:p w14:paraId="058E3590" w14:textId="7AE5A90F" w:rsidR="00A26036" w:rsidRDefault="00A26036" w:rsidP="00F32C63">
      <w:pPr>
        <w:pStyle w:val="ListBullet"/>
        <w:rPr>
          <w:lang w:eastAsia="ja-JP"/>
        </w:rPr>
      </w:pPr>
      <w:r>
        <w:rPr>
          <w:lang w:eastAsia="ja-JP"/>
        </w:rPr>
        <w:t>Albania</w:t>
      </w:r>
    </w:p>
    <w:p w14:paraId="57938F4C" w14:textId="1D8981FF" w:rsidR="00A26036" w:rsidRDefault="00A26036" w:rsidP="00F32C63">
      <w:pPr>
        <w:pStyle w:val="ListBullet"/>
        <w:rPr>
          <w:lang w:eastAsia="ja-JP"/>
        </w:rPr>
      </w:pPr>
      <w:r>
        <w:rPr>
          <w:lang w:eastAsia="ja-JP"/>
        </w:rPr>
        <w:t>Andorra</w:t>
      </w:r>
    </w:p>
    <w:p w14:paraId="0935964A" w14:textId="0A9748D4" w:rsidR="00A26036" w:rsidRDefault="00A26036" w:rsidP="00F32C63">
      <w:pPr>
        <w:pStyle w:val="ListBullet"/>
        <w:rPr>
          <w:lang w:eastAsia="ja-JP"/>
        </w:rPr>
      </w:pPr>
      <w:r>
        <w:rPr>
          <w:lang w:eastAsia="ja-JP"/>
        </w:rPr>
        <w:t>Armenia</w:t>
      </w:r>
    </w:p>
    <w:p w14:paraId="68D1A908" w14:textId="2077589F" w:rsidR="00A26036" w:rsidRDefault="00A26036" w:rsidP="00F32C63">
      <w:pPr>
        <w:pStyle w:val="ListBullet"/>
        <w:rPr>
          <w:lang w:eastAsia="ja-JP"/>
        </w:rPr>
      </w:pPr>
      <w:r>
        <w:rPr>
          <w:lang w:eastAsia="ja-JP"/>
        </w:rPr>
        <w:t>Austria</w:t>
      </w:r>
    </w:p>
    <w:p w14:paraId="1D8F9079" w14:textId="644731AB" w:rsidR="00A26036" w:rsidRDefault="00A26036" w:rsidP="00F32C63">
      <w:pPr>
        <w:pStyle w:val="ListBullet"/>
        <w:rPr>
          <w:lang w:eastAsia="ja-JP"/>
        </w:rPr>
      </w:pPr>
      <w:r>
        <w:rPr>
          <w:lang w:eastAsia="ja-JP"/>
        </w:rPr>
        <w:lastRenderedPageBreak/>
        <w:t>Azerbaijan</w:t>
      </w:r>
    </w:p>
    <w:p w14:paraId="1A494A1C" w14:textId="3F4CCE4E" w:rsidR="00A26036" w:rsidRDefault="00A26036" w:rsidP="00F32C63">
      <w:pPr>
        <w:pStyle w:val="ListBullet"/>
        <w:rPr>
          <w:lang w:eastAsia="ja-JP"/>
        </w:rPr>
      </w:pPr>
      <w:r>
        <w:rPr>
          <w:lang w:eastAsia="ja-JP"/>
        </w:rPr>
        <w:t>Belgium</w:t>
      </w:r>
    </w:p>
    <w:p w14:paraId="009368CC" w14:textId="08F1EAB4" w:rsidR="00A26036" w:rsidRDefault="00A26036" w:rsidP="00F32C63">
      <w:pPr>
        <w:pStyle w:val="ListBullet"/>
        <w:rPr>
          <w:lang w:eastAsia="ja-JP"/>
        </w:rPr>
      </w:pPr>
      <w:r>
        <w:rPr>
          <w:lang w:eastAsia="ja-JP"/>
        </w:rPr>
        <w:t>Bosnia and Herzegovina</w:t>
      </w:r>
    </w:p>
    <w:p w14:paraId="43C5C01A" w14:textId="1586427C" w:rsidR="00A26036" w:rsidRDefault="00A26036" w:rsidP="00F32C63">
      <w:pPr>
        <w:pStyle w:val="ListBullet"/>
        <w:rPr>
          <w:lang w:eastAsia="ja-JP"/>
        </w:rPr>
      </w:pPr>
      <w:r>
        <w:rPr>
          <w:lang w:eastAsia="ja-JP"/>
        </w:rPr>
        <w:t>Bulgaria</w:t>
      </w:r>
    </w:p>
    <w:p w14:paraId="1DE21252" w14:textId="77777777" w:rsidR="00F32C63" w:rsidRDefault="00F32C63" w:rsidP="00F32C63">
      <w:pPr>
        <w:pStyle w:val="ListBullet"/>
        <w:rPr>
          <w:lang w:eastAsia="ja-JP"/>
        </w:rPr>
      </w:pPr>
      <w:r>
        <w:rPr>
          <w:lang w:eastAsia="ja-JP"/>
        </w:rPr>
        <w:t>Canada</w:t>
      </w:r>
    </w:p>
    <w:p w14:paraId="5AB15E05" w14:textId="5602BAE8" w:rsidR="00A26036" w:rsidRDefault="00A26036" w:rsidP="00F32C63">
      <w:pPr>
        <w:pStyle w:val="ListBullet"/>
        <w:rPr>
          <w:lang w:eastAsia="ja-JP"/>
        </w:rPr>
      </w:pPr>
      <w:r>
        <w:rPr>
          <w:lang w:eastAsia="ja-JP"/>
        </w:rPr>
        <w:t>Croatia</w:t>
      </w:r>
    </w:p>
    <w:p w14:paraId="41C93152" w14:textId="0FC18CB0" w:rsidR="00A26036" w:rsidRDefault="00A26036" w:rsidP="00F32C63">
      <w:pPr>
        <w:pStyle w:val="ListBullet"/>
        <w:rPr>
          <w:lang w:eastAsia="ja-JP"/>
        </w:rPr>
      </w:pPr>
      <w:r>
        <w:rPr>
          <w:lang w:eastAsia="ja-JP"/>
        </w:rPr>
        <w:t>Czechia</w:t>
      </w:r>
    </w:p>
    <w:p w14:paraId="0F3F036C" w14:textId="01A131C7" w:rsidR="00A26036" w:rsidRDefault="00A26036" w:rsidP="00F32C63">
      <w:pPr>
        <w:pStyle w:val="ListBullet"/>
        <w:rPr>
          <w:lang w:eastAsia="ja-JP"/>
        </w:rPr>
      </w:pPr>
      <w:r>
        <w:rPr>
          <w:lang w:eastAsia="ja-JP"/>
        </w:rPr>
        <w:t>France</w:t>
      </w:r>
    </w:p>
    <w:p w14:paraId="1FFF497B" w14:textId="5E8BFB11" w:rsidR="00A26036" w:rsidRDefault="00A26036" w:rsidP="00F32C63">
      <w:pPr>
        <w:pStyle w:val="ListBullet"/>
        <w:rPr>
          <w:lang w:eastAsia="ja-JP"/>
        </w:rPr>
      </w:pPr>
      <w:r>
        <w:rPr>
          <w:lang w:eastAsia="ja-JP"/>
        </w:rPr>
        <w:t>Georgia</w:t>
      </w:r>
    </w:p>
    <w:p w14:paraId="3B2BB130" w14:textId="7D045FEC" w:rsidR="00A26036" w:rsidRDefault="00A26036" w:rsidP="00F32C63">
      <w:pPr>
        <w:pStyle w:val="ListBullet"/>
        <w:rPr>
          <w:lang w:eastAsia="ja-JP"/>
        </w:rPr>
      </w:pPr>
      <w:r>
        <w:rPr>
          <w:lang w:eastAsia="ja-JP"/>
        </w:rPr>
        <w:t>Germany</w:t>
      </w:r>
    </w:p>
    <w:p w14:paraId="2BE0CA63" w14:textId="5F49A1B8" w:rsidR="00A26036" w:rsidRDefault="00A26036" w:rsidP="00F32C63">
      <w:pPr>
        <w:pStyle w:val="ListBullet"/>
        <w:rPr>
          <w:lang w:eastAsia="ja-JP"/>
        </w:rPr>
      </w:pPr>
      <w:r>
        <w:rPr>
          <w:lang w:eastAsia="ja-JP"/>
        </w:rPr>
        <w:t>Greece</w:t>
      </w:r>
    </w:p>
    <w:p w14:paraId="26CDFC57" w14:textId="2277CF5E" w:rsidR="00A26036" w:rsidRDefault="00A26036" w:rsidP="00F32C63">
      <w:pPr>
        <w:pStyle w:val="ListBullet"/>
        <w:rPr>
          <w:lang w:eastAsia="ja-JP"/>
        </w:rPr>
      </w:pPr>
      <w:r>
        <w:rPr>
          <w:lang w:eastAsia="ja-JP"/>
        </w:rPr>
        <w:t>Hungary</w:t>
      </w:r>
    </w:p>
    <w:p w14:paraId="695B114D" w14:textId="5476DE80" w:rsidR="00A26036" w:rsidRDefault="00A26036" w:rsidP="00F32C63">
      <w:pPr>
        <w:pStyle w:val="ListBullet"/>
        <w:rPr>
          <w:lang w:eastAsia="ja-JP"/>
        </w:rPr>
      </w:pPr>
      <w:r>
        <w:rPr>
          <w:lang w:eastAsia="ja-JP"/>
        </w:rPr>
        <w:t>Italy</w:t>
      </w:r>
    </w:p>
    <w:p w14:paraId="6F42B54E" w14:textId="75EBF7AE" w:rsidR="00A26036" w:rsidRDefault="00A26036" w:rsidP="00F32C63">
      <w:pPr>
        <w:pStyle w:val="ListBullet"/>
        <w:rPr>
          <w:lang w:eastAsia="ja-JP"/>
        </w:rPr>
      </w:pPr>
      <w:r>
        <w:rPr>
          <w:lang w:eastAsia="ja-JP"/>
        </w:rPr>
        <w:t>Kazakhstan</w:t>
      </w:r>
    </w:p>
    <w:p w14:paraId="087251A4" w14:textId="6A017A6B" w:rsidR="00A26036" w:rsidRDefault="00F32C63" w:rsidP="00F32C63">
      <w:pPr>
        <w:pStyle w:val="ListBullet"/>
        <w:rPr>
          <w:lang w:eastAsia="ja-JP"/>
        </w:rPr>
      </w:pPr>
      <w:r>
        <w:rPr>
          <w:lang w:eastAsia="ja-JP"/>
        </w:rPr>
        <w:t>Kosovo</w:t>
      </w:r>
    </w:p>
    <w:p w14:paraId="55C24EA2" w14:textId="0664ED7F" w:rsidR="00F32C63" w:rsidRDefault="00F32C63" w:rsidP="00F32C63">
      <w:pPr>
        <w:pStyle w:val="ListBullet"/>
        <w:rPr>
          <w:lang w:eastAsia="ja-JP"/>
        </w:rPr>
      </w:pPr>
      <w:r>
        <w:rPr>
          <w:lang w:eastAsia="ja-JP"/>
        </w:rPr>
        <w:t>Liechtenstein</w:t>
      </w:r>
    </w:p>
    <w:p w14:paraId="68F7C686" w14:textId="62063853" w:rsidR="00F32C63" w:rsidRDefault="00F32C63" w:rsidP="00F32C63">
      <w:pPr>
        <w:pStyle w:val="ListBullet"/>
        <w:rPr>
          <w:lang w:eastAsia="ja-JP"/>
        </w:rPr>
      </w:pPr>
      <w:r>
        <w:rPr>
          <w:lang w:eastAsia="ja-JP"/>
        </w:rPr>
        <w:t>Luxembourg</w:t>
      </w:r>
    </w:p>
    <w:p w14:paraId="23ABABCF" w14:textId="05AFA632" w:rsidR="00F32C63" w:rsidRDefault="00F32C63" w:rsidP="00F32C63">
      <w:pPr>
        <w:pStyle w:val="ListBullet"/>
        <w:rPr>
          <w:lang w:eastAsia="ja-JP"/>
        </w:rPr>
      </w:pPr>
      <w:r>
        <w:rPr>
          <w:lang w:eastAsia="ja-JP"/>
        </w:rPr>
        <w:t>Moldova, Republic of</w:t>
      </w:r>
    </w:p>
    <w:p w14:paraId="3E878D47" w14:textId="557C4777" w:rsidR="00F32C63" w:rsidRDefault="00F32C63" w:rsidP="00F32C63">
      <w:pPr>
        <w:pStyle w:val="ListBullet"/>
        <w:rPr>
          <w:lang w:eastAsia="ja-JP"/>
        </w:rPr>
      </w:pPr>
      <w:r>
        <w:rPr>
          <w:lang w:eastAsia="ja-JP"/>
        </w:rPr>
        <w:t>Montenegro</w:t>
      </w:r>
    </w:p>
    <w:p w14:paraId="1BCE7D12" w14:textId="3C651F64" w:rsidR="00F32C63" w:rsidRDefault="00F32C63" w:rsidP="00F32C63">
      <w:pPr>
        <w:pStyle w:val="ListBullet"/>
        <w:rPr>
          <w:lang w:eastAsia="ja-JP"/>
        </w:rPr>
      </w:pPr>
      <w:r>
        <w:rPr>
          <w:lang w:eastAsia="ja-JP"/>
        </w:rPr>
        <w:t>Netherlands</w:t>
      </w:r>
    </w:p>
    <w:p w14:paraId="0E72052A" w14:textId="7DCE4CB6" w:rsidR="00F32C63" w:rsidRDefault="00F32C63" w:rsidP="00F32C63">
      <w:pPr>
        <w:pStyle w:val="ListBullet"/>
        <w:rPr>
          <w:lang w:eastAsia="ja-JP"/>
        </w:rPr>
      </w:pPr>
      <w:r>
        <w:rPr>
          <w:lang w:eastAsia="ja-JP"/>
        </w:rPr>
        <w:t>North Macedonia</w:t>
      </w:r>
    </w:p>
    <w:p w14:paraId="238C21EA" w14:textId="02389AF9" w:rsidR="00F32C63" w:rsidRDefault="00F32C63" w:rsidP="00F32C63">
      <w:pPr>
        <w:pStyle w:val="ListBullet"/>
        <w:rPr>
          <w:lang w:eastAsia="ja-JP"/>
        </w:rPr>
      </w:pPr>
      <w:r>
        <w:rPr>
          <w:lang w:eastAsia="ja-JP"/>
        </w:rPr>
        <w:t>Poland</w:t>
      </w:r>
    </w:p>
    <w:p w14:paraId="509DE4A0" w14:textId="53031FDA" w:rsidR="00F32C63" w:rsidRDefault="00F32C63" w:rsidP="00F32C63">
      <w:pPr>
        <w:pStyle w:val="ListBullet"/>
        <w:rPr>
          <w:lang w:eastAsia="ja-JP"/>
        </w:rPr>
      </w:pPr>
      <w:r>
        <w:rPr>
          <w:lang w:eastAsia="ja-JP"/>
        </w:rPr>
        <w:t>Portugal</w:t>
      </w:r>
    </w:p>
    <w:p w14:paraId="39E9C869" w14:textId="49D48227" w:rsidR="00F32C63" w:rsidRDefault="00F32C63" w:rsidP="00F32C63">
      <w:pPr>
        <w:pStyle w:val="ListBullet"/>
        <w:rPr>
          <w:lang w:eastAsia="ja-JP"/>
        </w:rPr>
      </w:pPr>
      <w:r>
        <w:rPr>
          <w:lang w:eastAsia="ja-JP"/>
        </w:rPr>
        <w:t>Romania</w:t>
      </w:r>
    </w:p>
    <w:p w14:paraId="7891FD03" w14:textId="7009C005" w:rsidR="00F32C63" w:rsidRDefault="00F32C63" w:rsidP="00F32C63">
      <w:pPr>
        <w:pStyle w:val="ListBullet"/>
        <w:rPr>
          <w:lang w:eastAsia="ja-JP"/>
        </w:rPr>
      </w:pPr>
      <w:r>
        <w:rPr>
          <w:lang w:eastAsia="ja-JP"/>
        </w:rPr>
        <w:t>Russia</w:t>
      </w:r>
    </w:p>
    <w:p w14:paraId="411865F2" w14:textId="011437C7" w:rsidR="00F32C63" w:rsidRDefault="00F32C63" w:rsidP="00F32C63">
      <w:pPr>
        <w:pStyle w:val="ListBullet"/>
        <w:rPr>
          <w:lang w:eastAsia="ja-JP"/>
        </w:rPr>
      </w:pPr>
      <w:r>
        <w:rPr>
          <w:lang w:eastAsia="ja-JP"/>
        </w:rPr>
        <w:t>Serbia</w:t>
      </w:r>
    </w:p>
    <w:p w14:paraId="7FAC6DA9" w14:textId="18747901" w:rsidR="00F32C63" w:rsidRDefault="00F32C63" w:rsidP="00F32C63">
      <w:pPr>
        <w:pStyle w:val="ListBullet"/>
        <w:rPr>
          <w:lang w:eastAsia="ja-JP"/>
        </w:rPr>
      </w:pPr>
      <w:r>
        <w:rPr>
          <w:lang w:eastAsia="ja-JP"/>
        </w:rPr>
        <w:t>Slovakia</w:t>
      </w:r>
    </w:p>
    <w:p w14:paraId="4752D103" w14:textId="68266859" w:rsidR="00F32C63" w:rsidRDefault="00F32C63" w:rsidP="00F32C63">
      <w:pPr>
        <w:pStyle w:val="ListBullet"/>
        <w:rPr>
          <w:lang w:eastAsia="ja-JP"/>
        </w:rPr>
      </w:pPr>
      <w:r>
        <w:rPr>
          <w:lang w:eastAsia="ja-JP"/>
        </w:rPr>
        <w:t>Slovenia</w:t>
      </w:r>
    </w:p>
    <w:p w14:paraId="247E0B5B" w14:textId="29602C3C" w:rsidR="00F32C63" w:rsidRDefault="00F32C63" w:rsidP="00F32C63">
      <w:pPr>
        <w:pStyle w:val="ListBullet"/>
        <w:rPr>
          <w:lang w:eastAsia="ja-JP"/>
        </w:rPr>
      </w:pPr>
      <w:r>
        <w:rPr>
          <w:lang w:eastAsia="ja-JP"/>
        </w:rPr>
        <w:t>Spain</w:t>
      </w:r>
    </w:p>
    <w:p w14:paraId="698DC912" w14:textId="179D69D9" w:rsidR="00F32C63" w:rsidRDefault="00F32C63" w:rsidP="00F32C63">
      <w:pPr>
        <w:pStyle w:val="ListBullet"/>
        <w:rPr>
          <w:lang w:eastAsia="ja-JP"/>
        </w:rPr>
      </w:pPr>
      <w:r>
        <w:rPr>
          <w:lang w:eastAsia="ja-JP"/>
        </w:rPr>
        <w:t>Switzerland</w:t>
      </w:r>
    </w:p>
    <w:p w14:paraId="0CF26E78" w14:textId="2822E547" w:rsidR="00F32C63" w:rsidRDefault="00F32C63" w:rsidP="00F32C63">
      <w:pPr>
        <w:pStyle w:val="ListBullet"/>
        <w:rPr>
          <w:lang w:eastAsia="ja-JP"/>
        </w:rPr>
      </w:pPr>
      <w:r>
        <w:rPr>
          <w:lang w:eastAsia="ja-JP"/>
        </w:rPr>
        <w:t>Turkey</w:t>
      </w:r>
    </w:p>
    <w:p w14:paraId="5DC2AACF" w14:textId="22A3809F" w:rsidR="00F32C63" w:rsidRDefault="00F32C63" w:rsidP="00F32C63">
      <w:pPr>
        <w:pStyle w:val="ListBullet"/>
        <w:rPr>
          <w:lang w:eastAsia="ja-JP"/>
        </w:rPr>
      </w:pPr>
      <w:r>
        <w:rPr>
          <w:lang w:eastAsia="ja-JP"/>
        </w:rPr>
        <w:t>Ukraine</w:t>
      </w:r>
    </w:p>
    <w:p w14:paraId="0DAE64CC" w14:textId="77777777" w:rsidR="00F32C63" w:rsidRDefault="00F32C63" w:rsidP="00F32C63">
      <w:pPr>
        <w:pStyle w:val="ListBullet"/>
        <w:rPr>
          <w:lang w:eastAsia="ja-JP"/>
        </w:rPr>
      </w:pPr>
      <w:r>
        <w:rPr>
          <w:lang w:eastAsia="ja-JP"/>
        </w:rPr>
        <w:t>USA</w:t>
      </w:r>
    </w:p>
    <w:p w14:paraId="758A0D87" w14:textId="765DA9B1" w:rsidR="00F32C63" w:rsidRDefault="00F32C63" w:rsidP="00F32C63">
      <w:pPr>
        <w:pStyle w:val="ListBullet"/>
        <w:rPr>
          <w:lang w:eastAsia="ja-JP"/>
        </w:rPr>
      </w:pPr>
      <w:r>
        <w:rPr>
          <w:lang w:eastAsia="ja-JP"/>
        </w:rPr>
        <w:t>Japan (heightened vessel surveillance only)</w:t>
      </w:r>
    </w:p>
    <w:p w14:paraId="0243E55D" w14:textId="01C2D038" w:rsidR="00F32C63" w:rsidRDefault="00F32C63" w:rsidP="00F32C63">
      <w:pPr>
        <w:pStyle w:val="ListBullet"/>
        <w:numPr>
          <w:ilvl w:val="0"/>
          <w:numId w:val="0"/>
        </w:numPr>
        <w:ind w:left="425" w:hanging="425"/>
        <w:rPr>
          <w:lang w:eastAsia="ja-JP"/>
        </w:rPr>
      </w:pPr>
    </w:p>
    <w:p w14:paraId="30A7A164" w14:textId="77777777" w:rsidR="00F32C63" w:rsidRPr="00F32C63" w:rsidRDefault="00F32C63" w:rsidP="00F32C63">
      <w:pPr>
        <w:rPr>
          <w:rFonts w:asciiTheme="minorHAnsi" w:eastAsiaTheme="minorEastAsia" w:hAnsiTheme="minorHAnsi" w:cstheme="minorBidi"/>
          <w:b/>
          <w:sz w:val="28"/>
          <w:lang w:eastAsia="ja-JP"/>
        </w:rPr>
      </w:pPr>
      <w:r w:rsidRPr="00F32C63">
        <w:rPr>
          <w:rFonts w:asciiTheme="minorHAnsi" w:eastAsiaTheme="minorEastAsia" w:hAnsiTheme="minorHAnsi" w:cstheme="minorBidi"/>
          <w:b/>
          <w:sz w:val="28"/>
          <w:lang w:eastAsia="ja-JP"/>
        </w:rPr>
        <w:lastRenderedPageBreak/>
        <w:t>2021-22 BMSB risk season - Measures</w:t>
      </w:r>
    </w:p>
    <w:p w14:paraId="29E7471B" w14:textId="77777777" w:rsidR="00F32C63" w:rsidRPr="00F32C63" w:rsidRDefault="00F32C63" w:rsidP="00F32C63">
      <w:pPr>
        <w:pStyle w:val="ListBullet"/>
        <w:numPr>
          <w:ilvl w:val="0"/>
          <w:numId w:val="0"/>
        </w:numPr>
        <w:ind w:left="425" w:hanging="425"/>
        <w:rPr>
          <w:b/>
          <w:bCs/>
          <w:lang w:eastAsia="ja-JP"/>
        </w:rPr>
      </w:pPr>
      <w:r w:rsidRPr="00F32C63">
        <w:rPr>
          <w:b/>
          <w:bCs/>
          <w:lang w:eastAsia="ja-JP"/>
        </w:rPr>
        <w:t>Measures relating to goods</w:t>
      </w:r>
    </w:p>
    <w:p w14:paraId="289F9F1E" w14:textId="6A3509BD" w:rsidR="00F32C63" w:rsidRDefault="00F32C63" w:rsidP="00F32C63">
      <w:pPr>
        <w:pStyle w:val="ListBullet"/>
        <w:rPr>
          <w:lang w:eastAsia="ja-JP"/>
        </w:rPr>
      </w:pPr>
      <w:r>
        <w:rPr>
          <w:lang w:eastAsia="ja-JP"/>
        </w:rPr>
        <w:t>All target high risk goods require mandatory treatment</w:t>
      </w:r>
    </w:p>
    <w:p w14:paraId="0EA8003E" w14:textId="5AC5EC10" w:rsidR="00F32C63" w:rsidRDefault="00F32C63" w:rsidP="00F32C63">
      <w:pPr>
        <w:pStyle w:val="ListBullet"/>
        <w:rPr>
          <w:lang w:eastAsia="ja-JP"/>
        </w:rPr>
      </w:pPr>
      <w:r>
        <w:rPr>
          <w:lang w:eastAsia="ja-JP"/>
        </w:rPr>
        <w:t>Target high risk goods shipped as break bulk including open top or flat rack containers require mandatory offshore treatment</w:t>
      </w:r>
    </w:p>
    <w:p w14:paraId="5E1E02CB" w14:textId="2E7AA702" w:rsidR="00F32C63" w:rsidRDefault="00F32C63" w:rsidP="00F32C63">
      <w:pPr>
        <w:pStyle w:val="ListBullet"/>
        <w:rPr>
          <w:lang w:eastAsia="ja-JP"/>
        </w:rPr>
      </w:pPr>
      <w:r>
        <w:rPr>
          <w:lang w:eastAsia="ja-JP"/>
        </w:rPr>
        <w:t>Goods requiring mandatory offshore treatment arriving untreated are prevented from discharge and/or directed for export on arrival</w:t>
      </w:r>
    </w:p>
    <w:p w14:paraId="405E0F65" w14:textId="07E8F08F" w:rsidR="00F32C63" w:rsidRDefault="00F32C63" w:rsidP="00F32C63">
      <w:pPr>
        <w:pStyle w:val="ListBullet"/>
        <w:rPr>
          <w:lang w:eastAsia="ja-JP"/>
        </w:rPr>
      </w:pPr>
      <w:r>
        <w:rPr>
          <w:lang w:eastAsia="ja-JP"/>
        </w:rPr>
        <w:t>All target high risk and target risk goods will be subject to increased onshore intervention through random inspection</w:t>
      </w:r>
    </w:p>
    <w:p w14:paraId="738173E0" w14:textId="44ABE938" w:rsidR="00F32C63" w:rsidRDefault="00F32C63" w:rsidP="00F32C63">
      <w:pPr>
        <w:pStyle w:val="ListBullet"/>
        <w:rPr>
          <w:lang w:eastAsia="ja-JP"/>
        </w:rPr>
      </w:pPr>
      <w:r>
        <w:rPr>
          <w:lang w:eastAsia="ja-JP"/>
        </w:rPr>
        <w:t>Non target and target risk goods are not subject to BMSB measures, unless they are part of a consignment/container that contains target high risk and target risk goods</w:t>
      </w:r>
    </w:p>
    <w:p w14:paraId="48473E94" w14:textId="483D39E1" w:rsidR="00F32C63" w:rsidRDefault="00F32C63" w:rsidP="00F32C63">
      <w:pPr>
        <w:pStyle w:val="ListBullet"/>
        <w:rPr>
          <w:lang w:eastAsia="ja-JP"/>
        </w:rPr>
      </w:pPr>
      <w:r>
        <w:rPr>
          <w:lang w:eastAsia="ja-JP"/>
        </w:rPr>
        <w:t>Vessels that are the target of the treatment (not vessels used as conveyances) must be treated in their entirety, that is the hull and interior of the vessel must be treated at the same time. Treatment of the vessels while afloat is not permitted.</w:t>
      </w:r>
    </w:p>
    <w:p w14:paraId="70388450" w14:textId="6FE259E8" w:rsidR="00F32C63" w:rsidRDefault="00F32C63" w:rsidP="00F32C63">
      <w:pPr>
        <w:pStyle w:val="ListBullet"/>
        <w:numPr>
          <w:ilvl w:val="0"/>
          <w:numId w:val="0"/>
        </w:numPr>
        <w:rPr>
          <w:lang w:eastAsia="ja-JP"/>
        </w:rPr>
      </w:pPr>
    </w:p>
    <w:p w14:paraId="4338D504" w14:textId="77777777" w:rsidR="00F32C63" w:rsidRPr="00F32C63" w:rsidRDefault="00F32C63" w:rsidP="00F32C63">
      <w:pPr>
        <w:rPr>
          <w:rFonts w:asciiTheme="minorHAnsi" w:eastAsiaTheme="minorEastAsia" w:hAnsiTheme="minorHAnsi" w:cstheme="minorBidi"/>
          <w:b/>
          <w:sz w:val="28"/>
          <w:lang w:eastAsia="ja-JP"/>
        </w:rPr>
      </w:pPr>
      <w:r w:rsidRPr="00F32C63">
        <w:rPr>
          <w:rFonts w:asciiTheme="minorHAnsi" w:eastAsiaTheme="minorEastAsia" w:hAnsiTheme="minorHAnsi" w:cstheme="minorBidi"/>
          <w:b/>
          <w:sz w:val="28"/>
          <w:lang w:eastAsia="ja-JP"/>
        </w:rPr>
        <w:t>2021-22 BMSB risk season</w:t>
      </w:r>
    </w:p>
    <w:p w14:paraId="7650E047" w14:textId="77777777" w:rsidR="00F32C63" w:rsidRPr="00F32C63" w:rsidRDefault="00F32C63" w:rsidP="00F32C63">
      <w:pPr>
        <w:pStyle w:val="ListBullet"/>
        <w:numPr>
          <w:ilvl w:val="0"/>
          <w:numId w:val="0"/>
        </w:numPr>
        <w:ind w:left="425" w:hanging="425"/>
        <w:rPr>
          <w:b/>
          <w:bCs/>
          <w:lang w:eastAsia="ja-JP"/>
        </w:rPr>
      </w:pPr>
      <w:r w:rsidRPr="00F32C63">
        <w:rPr>
          <w:b/>
          <w:bCs/>
          <w:lang w:eastAsia="ja-JP"/>
        </w:rPr>
        <w:t xml:space="preserve">New, </w:t>
      </w:r>
      <w:proofErr w:type="gramStart"/>
      <w:r w:rsidRPr="00F32C63">
        <w:rPr>
          <w:b/>
          <w:bCs/>
          <w:lang w:eastAsia="ja-JP"/>
        </w:rPr>
        <w:t>Unused</w:t>
      </w:r>
      <w:proofErr w:type="gramEnd"/>
      <w:r w:rsidRPr="00F32C63">
        <w:rPr>
          <w:b/>
          <w:bCs/>
          <w:lang w:eastAsia="ja-JP"/>
        </w:rPr>
        <w:t xml:space="preserve"> and not Field Tested (NUFT) goods – Australia only</w:t>
      </w:r>
    </w:p>
    <w:p w14:paraId="17B8FE3B" w14:textId="473B4E15" w:rsidR="00F32C63" w:rsidRDefault="00F32C63" w:rsidP="00F32C63">
      <w:pPr>
        <w:pStyle w:val="ListBullet"/>
        <w:rPr>
          <w:lang w:eastAsia="ja-JP"/>
        </w:rPr>
      </w:pPr>
      <w:r>
        <w:rPr>
          <w:lang w:eastAsia="ja-JP"/>
        </w:rPr>
        <w:t>Certain goods that can meet all the following criteria will not be subject to BMSB measures on arrival:</w:t>
      </w:r>
    </w:p>
    <w:p w14:paraId="2EFDC96B" w14:textId="35F02614" w:rsidR="00F32C63" w:rsidRDefault="00F32C63" w:rsidP="00F32C63">
      <w:pPr>
        <w:pStyle w:val="ListBullet2"/>
        <w:rPr>
          <w:lang w:eastAsia="ja-JP"/>
        </w:rPr>
      </w:pPr>
      <w:r>
        <w:rPr>
          <w:lang w:eastAsia="ja-JP"/>
        </w:rPr>
        <w:t>Goods manufactured on or after 1 December 2021 (A good is only considered to be manufactured on or after 1 December 2021 if all its large, complex components have also been manufactured after 1 December 2021)</w:t>
      </w:r>
    </w:p>
    <w:p w14:paraId="5924D93F" w14:textId="40706DC8" w:rsidR="00F32C63" w:rsidRDefault="00F32C63" w:rsidP="00F32C63">
      <w:pPr>
        <w:pStyle w:val="ListBullet2"/>
        <w:rPr>
          <w:lang w:eastAsia="ja-JP"/>
        </w:rPr>
      </w:pPr>
      <w:r>
        <w:rPr>
          <w:lang w:eastAsia="ja-JP"/>
        </w:rPr>
        <w:t xml:space="preserve">Goods classed as new machinery, vehicles, vessels/new complex </w:t>
      </w:r>
      <w:proofErr w:type="gramStart"/>
      <w:r>
        <w:rPr>
          <w:lang w:eastAsia="ja-JP"/>
        </w:rPr>
        <w:t>parts</w:t>
      </w:r>
      <w:proofErr w:type="gramEnd"/>
      <w:r>
        <w:rPr>
          <w:lang w:eastAsia="ja-JP"/>
        </w:rPr>
        <w:t xml:space="preserve"> and equipment, and are classified under the following tariff chapters only: 82, 84, 85, 86, 87, 88 and 89</w:t>
      </w:r>
    </w:p>
    <w:p w14:paraId="75AF3BBF" w14:textId="7579186F" w:rsidR="00F32C63" w:rsidRDefault="00F32C63" w:rsidP="00F32C63">
      <w:pPr>
        <w:pStyle w:val="ListBullet2"/>
        <w:rPr>
          <w:lang w:eastAsia="ja-JP"/>
        </w:rPr>
      </w:pPr>
      <w:r>
        <w:rPr>
          <w:lang w:eastAsia="ja-JP"/>
        </w:rPr>
        <w:t>Evidence is provided in the form of a BMSB manufacturers NUFT declaration that the goods are manufactured on or after 1 December 2021</w:t>
      </w:r>
    </w:p>
    <w:p w14:paraId="5E9403DF" w14:textId="1721C446" w:rsidR="00F32C63" w:rsidRDefault="00F32C63" w:rsidP="00F32C63">
      <w:pPr>
        <w:pStyle w:val="ListBullet"/>
        <w:rPr>
          <w:lang w:eastAsia="ja-JP"/>
        </w:rPr>
      </w:pPr>
      <w:r>
        <w:rPr>
          <w:lang w:eastAsia="ja-JP"/>
        </w:rPr>
        <w:t>If evidence is not provided, the goods may be directed for export or onshore treatment (if permitted)</w:t>
      </w:r>
    </w:p>
    <w:p w14:paraId="6F657B05" w14:textId="05736150" w:rsidR="00F32C63" w:rsidRDefault="00F32C63" w:rsidP="00F32C63">
      <w:pPr>
        <w:pStyle w:val="ListBullet"/>
        <w:numPr>
          <w:ilvl w:val="0"/>
          <w:numId w:val="0"/>
        </w:numPr>
        <w:rPr>
          <w:lang w:eastAsia="ja-JP"/>
        </w:rPr>
      </w:pPr>
    </w:p>
    <w:p w14:paraId="232D5612" w14:textId="77777777" w:rsidR="00F32C63" w:rsidRPr="00F32C63" w:rsidRDefault="00F32C63" w:rsidP="00F32C63">
      <w:pPr>
        <w:rPr>
          <w:rFonts w:asciiTheme="minorHAnsi" w:eastAsiaTheme="minorEastAsia" w:hAnsiTheme="minorHAnsi" w:cstheme="minorBidi"/>
          <w:b/>
          <w:sz w:val="28"/>
          <w:lang w:eastAsia="ja-JP"/>
        </w:rPr>
      </w:pPr>
      <w:r w:rsidRPr="00F32C63">
        <w:rPr>
          <w:rFonts w:asciiTheme="minorHAnsi" w:eastAsiaTheme="minorEastAsia" w:hAnsiTheme="minorHAnsi" w:cstheme="minorBidi"/>
          <w:b/>
          <w:sz w:val="28"/>
          <w:lang w:eastAsia="ja-JP"/>
        </w:rPr>
        <w:t>2021-22 BMSB risk season</w:t>
      </w:r>
    </w:p>
    <w:p w14:paraId="1D4BAFB5" w14:textId="77777777" w:rsidR="00F32C63" w:rsidRPr="00F32C63" w:rsidRDefault="00F32C63" w:rsidP="00F32C63">
      <w:pPr>
        <w:pStyle w:val="ListBullet"/>
        <w:numPr>
          <w:ilvl w:val="0"/>
          <w:numId w:val="0"/>
        </w:numPr>
        <w:ind w:left="425" w:hanging="425"/>
        <w:rPr>
          <w:b/>
          <w:bCs/>
          <w:lang w:eastAsia="ja-JP"/>
        </w:rPr>
      </w:pPr>
      <w:r w:rsidRPr="00F32C63">
        <w:rPr>
          <w:b/>
          <w:bCs/>
          <w:lang w:eastAsia="ja-JP"/>
        </w:rPr>
        <w:t>120-hour post treatment window</w:t>
      </w:r>
    </w:p>
    <w:p w14:paraId="7BA06AF2" w14:textId="53FDE409" w:rsidR="00F32C63" w:rsidRDefault="00F32C63" w:rsidP="00F32C63">
      <w:pPr>
        <w:pStyle w:val="ListBullet"/>
        <w:rPr>
          <w:lang w:eastAsia="ja-JP"/>
        </w:rPr>
      </w:pPr>
      <w:r>
        <w:rPr>
          <w:lang w:eastAsia="ja-JP"/>
        </w:rPr>
        <w:t>A post treatment window exists on goods treated before to 1 December 2021</w:t>
      </w:r>
    </w:p>
    <w:p w14:paraId="5433CEF5" w14:textId="09E21593" w:rsidR="00F32C63" w:rsidRDefault="00F32C63" w:rsidP="00F32C63">
      <w:pPr>
        <w:pStyle w:val="ListBullet"/>
        <w:rPr>
          <w:lang w:eastAsia="ja-JP"/>
        </w:rPr>
      </w:pPr>
      <w:r>
        <w:rPr>
          <w:lang w:eastAsia="ja-JP"/>
        </w:rPr>
        <w:t>Goods must either be loaded into a container and sealed or loaded onto a vessel for export from the target risk country within the defined timeframe of 120 hours.</w:t>
      </w:r>
    </w:p>
    <w:p w14:paraId="62976F62" w14:textId="72F8F49A" w:rsidR="00F32C63" w:rsidRDefault="00F32C63" w:rsidP="00F32C63">
      <w:pPr>
        <w:pStyle w:val="ListBullet2"/>
        <w:rPr>
          <w:lang w:eastAsia="ja-JP"/>
        </w:rPr>
      </w:pPr>
      <w:r>
        <w:rPr>
          <w:lang w:eastAsia="ja-JP"/>
        </w:rPr>
        <w:t xml:space="preserve">Where a treatment is conducted on containerised goods and sealed while in the presence of the treatment </w:t>
      </w:r>
      <w:proofErr w:type="gramStart"/>
      <w:r>
        <w:rPr>
          <w:lang w:eastAsia="ja-JP"/>
        </w:rPr>
        <w:t>provider</w:t>
      </w:r>
      <w:proofErr w:type="gramEnd"/>
      <w:r>
        <w:rPr>
          <w:lang w:eastAsia="ja-JP"/>
        </w:rPr>
        <w:t xml:space="preserve"> we recommend including the seal number on the treatment certificate as proof of sealing within 120hrs</w:t>
      </w:r>
    </w:p>
    <w:p w14:paraId="6698EF65" w14:textId="6C5782DD" w:rsidR="00F32C63" w:rsidRDefault="00F32C63" w:rsidP="00F32C63">
      <w:pPr>
        <w:pStyle w:val="ListBullet"/>
        <w:rPr>
          <w:lang w:eastAsia="ja-JP"/>
        </w:rPr>
      </w:pPr>
      <w:r>
        <w:rPr>
          <w:lang w:eastAsia="ja-JP"/>
        </w:rPr>
        <w:t>Goods treated from 1 December 2021 (inclusive) have been recognised as having lower risk of re-infestation and are not subject to the post treatment window of 120 hours.</w:t>
      </w:r>
    </w:p>
    <w:p w14:paraId="1424EC02" w14:textId="66DAD2E3" w:rsidR="00F32C63" w:rsidRDefault="00F32C63" w:rsidP="00F32C63">
      <w:pPr>
        <w:pStyle w:val="ListBullet"/>
        <w:numPr>
          <w:ilvl w:val="0"/>
          <w:numId w:val="0"/>
        </w:numPr>
        <w:rPr>
          <w:lang w:eastAsia="ja-JP"/>
        </w:rPr>
      </w:pPr>
    </w:p>
    <w:p w14:paraId="677EB4EF" w14:textId="77777777" w:rsidR="00F32C63" w:rsidRPr="00F32C63" w:rsidRDefault="00F32C63" w:rsidP="00F32C63">
      <w:pPr>
        <w:rPr>
          <w:rFonts w:asciiTheme="minorHAnsi" w:eastAsiaTheme="minorEastAsia" w:hAnsiTheme="minorHAnsi" w:cstheme="minorBidi"/>
          <w:b/>
          <w:sz w:val="28"/>
          <w:lang w:eastAsia="ja-JP"/>
        </w:rPr>
      </w:pPr>
      <w:r w:rsidRPr="00F32C63">
        <w:rPr>
          <w:rFonts w:asciiTheme="minorHAnsi" w:eastAsiaTheme="minorEastAsia" w:hAnsiTheme="minorHAnsi" w:cstheme="minorBidi"/>
          <w:b/>
          <w:sz w:val="28"/>
          <w:lang w:eastAsia="ja-JP"/>
        </w:rPr>
        <w:t>2021-22 BMSB risk season</w:t>
      </w:r>
    </w:p>
    <w:p w14:paraId="02F0151C" w14:textId="77777777" w:rsidR="00F32C63" w:rsidRPr="00F32C63" w:rsidRDefault="00F32C63" w:rsidP="00F32C63">
      <w:pPr>
        <w:pStyle w:val="ListBullet"/>
        <w:numPr>
          <w:ilvl w:val="0"/>
          <w:numId w:val="0"/>
        </w:numPr>
        <w:ind w:left="425" w:hanging="425"/>
        <w:rPr>
          <w:b/>
          <w:bCs/>
          <w:lang w:eastAsia="ja-JP"/>
        </w:rPr>
      </w:pPr>
      <w:r w:rsidRPr="00F32C63">
        <w:rPr>
          <w:b/>
          <w:bCs/>
          <w:lang w:eastAsia="ja-JP"/>
        </w:rPr>
        <w:lastRenderedPageBreak/>
        <w:t>Safeguarding arrangements – Australia only</w:t>
      </w:r>
    </w:p>
    <w:p w14:paraId="2DA124F4" w14:textId="442F20D3" w:rsidR="00F32C63" w:rsidRDefault="00F32C63" w:rsidP="00F32C63">
      <w:pPr>
        <w:pStyle w:val="ListBullet"/>
        <w:rPr>
          <w:lang w:eastAsia="ja-JP"/>
        </w:rPr>
      </w:pPr>
      <w:r>
        <w:rPr>
          <w:lang w:eastAsia="ja-JP"/>
        </w:rPr>
        <w:t>Safeguarding arrangements will continue for the 2021-22 risk season as an alternative clearance pathway for goods</w:t>
      </w:r>
    </w:p>
    <w:p w14:paraId="1A135D5D" w14:textId="478F2D41" w:rsidR="00F32C63" w:rsidRDefault="00F32C63" w:rsidP="00F32C63">
      <w:pPr>
        <w:pStyle w:val="ListBullet"/>
        <w:rPr>
          <w:lang w:eastAsia="ja-JP"/>
        </w:rPr>
      </w:pPr>
      <w:r>
        <w:rPr>
          <w:lang w:eastAsia="ja-JP"/>
        </w:rPr>
        <w:t>The scheme allows certain goods and supply chains to be recognised under safeguarding arrangements</w:t>
      </w:r>
    </w:p>
    <w:p w14:paraId="12B5D6C7" w14:textId="04DCF0A0" w:rsidR="00F32C63" w:rsidRDefault="00F32C63" w:rsidP="00F32C63">
      <w:pPr>
        <w:pStyle w:val="ListBullet"/>
        <w:rPr>
          <w:lang w:eastAsia="ja-JP"/>
        </w:rPr>
      </w:pPr>
      <w:r>
        <w:rPr>
          <w:lang w:eastAsia="ja-JP"/>
        </w:rPr>
        <w:t>Under the Safeguarding scheme, approved participants are recognised for their ability to manage biosecurity risk offshore, including seasonal hitchhiker pest risk such as BMSB, from the point of manufacture to the point of embarkation</w:t>
      </w:r>
    </w:p>
    <w:p w14:paraId="2B07E013" w14:textId="77777777" w:rsidR="00F32C63" w:rsidRDefault="00F32C63" w:rsidP="00F32C63">
      <w:pPr>
        <w:pStyle w:val="ListBullet"/>
        <w:numPr>
          <w:ilvl w:val="0"/>
          <w:numId w:val="0"/>
        </w:numPr>
        <w:rPr>
          <w:lang w:eastAsia="ja-JP"/>
        </w:rPr>
      </w:pPr>
    </w:p>
    <w:p w14:paraId="64FD5274" w14:textId="77777777" w:rsidR="00F32C63" w:rsidRPr="00F32C63" w:rsidRDefault="00F32C63" w:rsidP="00F32C63">
      <w:pPr>
        <w:rPr>
          <w:rFonts w:asciiTheme="minorHAnsi" w:eastAsiaTheme="minorEastAsia" w:hAnsiTheme="minorHAnsi" w:cstheme="minorBidi"/>
          <w:b/>
          <w:sz w:val="28"/>
          <w:lang w:eastAsia="ja-JP"/>
        </w:rPr>
      </w:pPr>
      <w:r w:rsidRPr="00F32C63">
        <w:rPr>
          <w:rFonts w:asciiTheme="minorHAnsi" w:eastAsiaTheme="minorEastAsia" w:hAnsiTheme="minorHAnsi" w:cstheme="minorBidi"/>
          <w:b/>
          <w:sz w:val="28"/>
          <w:lang w:eastAsia="ja-JP"/>
        </w:rPr>
        <w:t>2021-22 BMSB risk season - Measures</w:t>
      </w:r>
    </w:p>
    <w:p w14:paraId="655114E3" w14:textId="77777777" w:rsidR="00F32C63" w:rsidRPr="00F32C63" w:rsidRDefault="00F32C63" w:rsidP="00F32C63">
      <w:pPr>
        <w:pStyle w:val="ListBullet"/>
        <w:numPr>
          <w:ilvl w:val="0"/>
          <w:numId w:val="0"/>
        </w:numPr>
        <w:ind w:left="425" w:hanging="425"/>
        <w:rPr>
          <w:b/>
          <w:bCs/>
          <w:lang w:eastAsia="ja-JP"/>
        </w:rPr>
      </w:pPr>
      <w:r w:rsidRPr="00F32C63">
        <w:rPr>
          <w:b/>
          <w:bCs/>
          <w:lang w:eastAsia="ja-JP"/>
        </w:rPr>
        <w:t>Measures relating to vessels</w:t>
      </w:r>
    </w:p>
    <w:p w14:paraId="729B461E" w14:textId="7C1B88F8" w:rsidR="00F32C63" w:rsidRDefault="00F32C63" w:rsidP="00F32C63">
      <w:pPr>
        <w:pStyle w:val="ListBullet"/>
        <w:rPr>
          <w:lang w:eastAsia="ja-JP"/>
        </w:rPr>
      </w:pPr>
      <w:r>
        <w:rPr>
          <w:lang w:eastAsia="ja-JP"/>
        </w:rPr>
        <w:t>Heightened vessel surveillance for all roll-on/roll-off (ro-ro) vessels will be applied through pre-arrival reporting</w:t>
      </w:r>
    </w:p>
    <w:p w14:paraId="49DDDE31" w14:textId="2C5C764E" w:rsidR="00F32C63" w:rsidRDefault="00F32C63" w:rsidP="00F32C63">
      <w:pPr>
        <w:pStyle w:val="ListBullet"/>
        <w:rPr>
          <w:lang w:eastAsia="ja-JP"/>
        </w:rPr>
      </w:pPr>
      <w:r>
        <w:rPr>
          <w:lang w:eastAsia="ja-JP"/>
        </w:rPr>
        <w:t>Vessel operators will be required to conduct self-inspections and report any detections of BMSB and other exotic insects, standard report form</w:t>
      </w:r>
    </w:p>
    <w:p w14:paraId="5FA1C9DA" w14:textId="372DCF2B" w:rsidR="00F32C63" w:rsidRDefault="00F32C63" w:rsidP="00F32C63">
      <w:pPr>
        <w:pStyle w:val="ListBullet"/>
        <w:rPr>
          <w:lang w:eastAsia="ja-JP"/>
        </w:rPr>
      </w:pPr>
      <w:r>
        <w:rPr>
          <w:lang w:eastAsia="ja-JP"/>
        </w:rPr>
        <w:t xml:space="preserve">All ro-ro vessels that berth at, </w:t>
      </w:r>
      <w:proofErr w:type="gramStart"/>
      <w:r>
        <w:rPr>
          <w:lang w:eastAsia="ja-JP"/>
        </w:rPr>
        <w:t>load</w:t>
      </w:r>
      <w:proofErr w:type="gramEnd"/>
      <w:r>
        <w:rPr>
          <w:lang w:eastAsia="ja-JP"/>
        </w:rPr>
        <w:t xml:space="preserve"> or tranship from the target risk countries, will be required to undergo a mandatory seasonal pest inspection on arrival in Australia</w:t>
      </w:r>
    </w:p>
    <w:p w14:paraId="5CC9980B" w14:textId="654F380D" w:rsidR="00F32C63" w:rsidRDefault="00F32C63" w:rsidP="00F32C63">
      <w:pPr>
        <w:pStyle w:val="ListBullet"/>
        <w:rPr>
          <w:lang w:eastAsia="ja-JP"/>
        </w:rPr>
      </w:pPr>
      <w:r>
        <w:rPr>
          <w:lang w:eastAsia="ja-JP"/>
        </w:rPr>
        <w:t>Vessels approved under the Vessel Seasonal Pest Scheme may be exempt from the mandatory seasonal pest inspection, Australia</w:t>
      </w:r>
    </w:p>
    <w:p w14:paraId="3CDAD4C2" w14:textId="2B26496E" w:rsidR="00F32C63" w:rsidRDefault="00F32C63" w:rsidP="00F32C63">
      <w:pPr>
        <w:pStyle w:val="ListBullet"/>
        <w:numPr>
          <w:ilvl w:val="0"/>
          <w:numId w:val="0"/>
        </w:numPr>
        <w:rPr>
          <w:lang w:eastAsia="ja-JP"/>
        </w:rPr>
      </w:pPr>
    </w:p>
    <w:p w14:paraId="3220EC7F" w14:textId="77777777" w:rsidR="00F32C63" w:rsidRDefault="00F32C63" w:rsidP="00F32C63">
      <w:pPr>
        <w:rPr>
          <w:lang w:eastAsia="ja-JP"/>
        </w:rPr>
      </w:pPr>
      <w:r w:rsidRPr="00F32C63">
        <w:rPr>
          <w:rFonts w:asciiTheme="minorHAnsi" w:eastAsiaTheme="minorEastAsia" w:hAnsiTheme="minorHAnsi" w:cstheme="minorBidi"/>
          <w:b/>
          <w:sz w:val="28"/>
          <w:lang w:eastAsia="ja-JP"/>
        </w:rPr>
        <w:t>New Zealand differences from Australia</w:t>
      </w:r>
      <w:r w:rsidRPr="00F32C63">
        <w:rPr>
          <w:rFonts w:asciiTheme="minorHAnsi" w:eastAsiaTheme="minorEastAsia" w:hAnsiTheme="minorHAnsi" w:cstheme="minorBidi"/>
          <w:b/>
          <w:sz w:val="28"/>
          <w:lang w:eastAsia="ja-JP"/>
        </w:rPr>
        <w:tab/>
      </w:r>
      <w:r>
        <w:rPr>
          <w:lang w:eastAsia="ja-JP"/>
        </w:rPr>
        <w:t xml:space="preserve"> </w:t>
      </w:r>
    </w:p>
    <w:p w14:paraId="6C84F10C" w14:textId="0B3BB5D9" w:rsidR="00F32C63" w:rsidRDefault="00F32C63" w:rsidP="00F32C63">
      <w:pPr>
        <w:pStyle w:val="ListBullet"/>
        <w:rPr>
          <w:lang w:eastAsia="ja-JP"/>
        </w:rPr>
      </w:pPr>
      <w:r>
        <w:rPr>
          <w:lang w:eastAsia="ja-JP"/>
        </w:rPr>
        <w:t>Measures apply for goods shipped from 1 September 2021 and arriving in New Zealand 30 April 2022.</w:t>
      </w:r>
    </w:p>
    <w:p w14:paraId="720777A2" w14:textId="402E2D7F" w:rsidR="00F32C63" w:rsidRDefault="00F32C63" w:rsidP="00F32C63">
      <w:pPr>
        <w:pStyle w:val="ListBullet"/>
        <w:rPr>
          <w:lang w:eastAsia="ja-JP"/>
        </w:rPr>
      </w:pPr>
      <w:r>
        <w:rPr>
          <w:lang w:eastAsia="ja-JP"/>
        </w:rPr>
        <w:t>Target high risk and target risk goods are different but remain unchanged from last season, classification of risk goods is different between the two countries. Poland has been added. Check websites.</w:t>
      </w:r>
    </w:p>
    <w:p w14:paraId="5179C040" w14:textId="6F3204E7" w:rsidR="00F32C63" w:rsidRDefault="00F32C63" w:rsidP="00F32C63">
      <w:pPr>
        <w:pStyle w:val="ListBullet"/>
        <w:rPr>
          <w:lang w:eastAsia="ja-JP"/>
        </w:rPr>
      </w:pPr>
      <w:r>
        <w:rPr>
          <w:lang w:eastAsia="ja-JP"/>
        </w:rPr>
        <w:t xml:space="preserve">All target goods whether breakbulk or containerised require mandatory treatment </w:t>
      </w:r>
      <w:proofErr w:type="gramStart"/>
      <w:r>
        <w:rPr>
          <w:lang w:eastAsia="ja-JP"/>
        </w:rPr>
        <w:t>off-shore</w:t>
      </w:r>
      <w:proofErr w:type="gramEnd"/>
      <w:r>
        <w:rPr>
          <w:lang w:eastAsia="ja-JP"/>
        </w:rPr>
        <w:t>, untreated will be refused entry.</w:t>
      </w:r>
    </w:p>
    <w:p w14:paraId="46D12EEA" w14:textId="09004AB9" w:rsidR="00F32C63" w:rsidRDefault="00F32C63" w:rsidP="00F32C63">
      <w:pPr>
        <w:pStyle w:val="ListBullet"/>
        <w:rPr>
          <w:lang w:eastAsia="ja-JP"/>
        </w:rPr>
      </w:pPr>
      <w:r>
        <w:rPr>
          <w:lang w:eastAsia="ja-JP"/>
        </w:rPr>
        <w:t>The 120-hour post treatment window applies all season.</w:t>
      </w:r>
    </w:p>
    <w:p w14:paraId="7681141A" w14:textId="3962E076" w:rsidR="00F32C63" w:rsidRDefault="00F32C63" w:rsidP="00F32C63">
      <w:pPr>
        <w:pStyle w:val="ListBullet"/>
        <w:rPr>
          <w:lang w:eastAsia="ja-JP"/>
        </w:rPr>
      </w:pPr>
      <w:r>
        <w:rPr>
          <w:lang w:eastAsia="ja-JP"/>
        </w:rPr>
        <w:t>NZ does not offer the NUFT. Treatment/system requirements along with the associated post treatment requirements apply all season long.</w:t>
      </w:r>
    </w:p>
    <w:p w14:paraId="50ED132B" w14:textId="2149F48C" w:rsidR="00F32C63" w:rsidRDefault="00F32C63" w:rsidP="00F32C63">
      <w:pPr>
        <w:pStyle w:val="ListBullet"/>
        <w:numPr>
          <w:ilvl w:val="0"/>
          <w:numId w:val="0"/>
        </w:numPr>
        <w:rPr>
          <w:lang w:eastAsia="ja-JP"/>
        </w:rPr>
      </w:pPr>
    </w:p>
    <w:p w14:paraId="32053DDA" w14:textId="2D3764FE" w:rsidR="00F32C63" w:rsidRDefault="00F32C63" w:rsidP="00F32C63">
      <w:pPr>
        <w:pStyle w:val="ListBullet"/>
        <w:numPr>
          <w:ilvl w:val="0"/>
          <w:numId w:val="0"/>
        </w:numPr>
        <w:ind w:left="425" w:hanging="425"/>
        <w:rPr>
          <w:lang w:eastAsia="ja-JP"/>
        </w:rPr>
      </w:pPr>
    </w:p>
    <w:p w14:paraId="744506B9" w14:textId="697D44A3" w:rsidR="00F32C63" w:rsidRPr="00F32C63" w:rsidRDefault="00F32C63" w:rsidP="00F32C63">
      <w:pPr>
        <w:rPr>
          <w:rFonts w:asciiTheme="minorHAnsi" w:eastAsiaTheme="minorEastAsia" w:hAnsiTheme="minorHAnsi" w:cstheme="minorBidi"/>
          <w:b/>
          <w:sz w:val="28"/>
          <w:lang w:eastAsia="ja-JP"/>
        </w:rPr>
      </w:pPr>
      <w:r w:rsidRPr="00F32C63">
        <w:rPr>
          <w:rFonts w:asciiTheme="minorHAnsi" w:eastAsiaTheme="minorEastAsia" w:hAnsiTheme="minorHAnsi" w:cstheme="minorBidi"/>
          <w:b/>
          <w:sz w:val="28"/>
          <w:lang w:eastAsia="ja-JP"/>
        </w:rPr>
        <w:t>New Zealand Targeting is different from Australia</w:t>
      </w:r>
      <w:r w:rsidRPr="00F32C63">
        <w:rPr>
          <w:rFonts w:asciiTheme="minorHAnsi" w:eastAsiaTheme="minorEastAsia" w:hAnsiTheme="minorHAnsi" w:cstheme="minorBidi"/>
          <w:b/>
          <w:sz w:val="28"/>
          <w:lang w:eastAsia="ja-JP"/>
        </w:rPr>
        <w:tab/>
        <w:t xml:space="preserve"> </w:t>
      </w:r>
    </w:p>
    <w:p w14:paraId="171FDB20" w14:textId="77777777" w:rsidR="00F32C63" w:rsidRDefault="00F32C63" w:rsidP="00F32C63">
      <w:pPr>
        <w:pStyle w:val="ListBullet"/>
        <w:numPr>
          <w:ilvl w:val="0"/>
          <w:numId w:val="0"/>
        </w:numPr>
        <w:ind w:left="425" w:hanging="425"/>
        <w:rPr>
          <w:lang w:eastAsia="ja-JP"/>
        </w:rPr>
      </w:pPr>
      <w:r>
        <w:rPr>
          <w:lang w:eastAsia="ja-JP"/>
        </w:rPr>
        <w:t xml:space="preserve">NZ Targets the following for BMSB </w:t>
      </w:r>
      <w:proofErr w:type="gramStart"/>
      <w:r>
        <w:rPr>
          <w:lang w:eastAsia="ja-JP"/>
        </w:rPr>
        <w:t>management :</w:t>
      </w:r>
      <w:proofErr w:type="gramEnd"/>
    </w:p>
    <w:p w14:paraId="1AF7CD1F" w14:textId="62DDB231" w:rsidR="00F32C63" w:rsidRDefault="00F32C63" w:rsidP="00F32C63">
      <w:pPr>
        <w:pStyle w:val="ListBullet"/>
        <w:rPr>
          <w:lang w:eastAsia="ja-JP"/>
        </w:rPr>
      </w:pPr>
      <w:r>
        <w:rPr>
          <w:lang w:eastAsia="ja-JP"/>
        </w:rPr>
        <w:t xml:space="preserve">Vehicles, </w:t>
      </w:r>
      <w:proofErr w:type="gramStart"/>
      <w:r>
        <w:rPr>
          <w:lang w:eastAsia="ja-JP"/>
        </w:rPr>
        <w:t>machinery</w:t>
      </w:r>
      <w:proofErr w:type="gramEnd"/>
      <w:r>
        <w:rPr>
          <w:lang w:eastAsia="ja-JP"/>
        </w:rPr>
        <w:t xml:space="preserve"> and parts from all 38 BMSB risk countries, Poland is new this season</w:t>
      </w:r>
    </w:p>
    <w:p w14:paraId="155DD21C" w14:textId="10B193AE" w:rsidR="00F32C63" w:rsidRDefault="00F32C63" w:rsidP="00F32C63">
      <w:pPr>
        <w:pStyle w:val="ListBullet"/>
        <w:rPr>
          <w:lang w:eastAsia="ja-JP"/>
        </w:rPr>
      </w:pPr>
      <w:r>
        <w:rPr>
          <w:lang w:eastAsia="ja-JP"/>
        </w:rPr>
        <w:t xml:space="preserve">Brown marmorated stink bug: requirements for importers | MPI | </w:t>
      </w:r>
      <w:proofErr w:type="gramStart"/>
      <w:r>
        <w:rPr>
          <w:lang w:eastAsia="ja-JP"/>
        </w:rPr>
        <w:t>NZ  Government</w:t>
      </w:r>
      <w:proofErr w:type="gramEnd"/>
    </w:p>
    <w:p w14:paraId="3E695B8A" w14:textId="7492E17D" w:rsidR="00F32C63" w:rsidRDefault="00F32C63" w:rsidP="006A586F">
      <w:pPr>
        <w:pStyle w:val="ListBullet"/>
        <w:numPr>
          <w:ilvl w:val="0"/>
          <w:numId w:val="0"/>
        </w:numPr>
        <w:rPr>
          <w:lang w:eastAsia="ja-JP"/>
        </w:rPr>
      </w:pPr>
      <w:r>
        <w:rPr>
          <w:lang w:eastAsia="ja-JP"/>
        </w:rPr>
        <w:t>ALL goods exported from Italy during the BMSB season in Sea Containers</w:t>
      </w:r>
    </w:p>
    <w:p w14:paraId="007880D3" w14:textId="77777777" w:rsidR="00F32C63" w:rsidRDefault="00F32C63" w:rsidP="00F32C63">
      <w:pPr>
        <w:pStyle w:val="ListBullet"/>
        <w:numPr>
          <w:ilvl w:val="0"/>
          <w:numId w:val="0"/>
        </w:numPr>
        <w:ind w:left="425" w:hanging="425"/>
        <w:rPr>
          <w:lang w:eastAsia="ja-JP"/>
        </w:rPr>
      </w:pPr>
    </w:p>
    <w:p w14:paraId="0D9F3BEF" w14:textId="77777777" w:rsidR="00F32C63" w:rsidRDefault="00F32C63" w:rsidP="00F32C63">
      <w:pPr>
        <w:rPr>
          <w:rFonts w:asciiTheme="minorHAnsi" w:eastAsiaTheme="minorEastAsia" w:hAnsiTheme="minorHAnsi" w:cstheme="minorBidi"/>
          <w:b/>
          <w:sz w:val="28"/>
          <w:lang w:eastAsia="ja-JP"/>
        </w:rPr>
      </w:pPr>
      <w:r w:rsidRPr="00F32C63">
        <w:rPr>
          <w:rFonts w:asciiTheme="minorHAnsi" w:eastAsiaTheme="minorEastAsia" w:hAnsiTheme="minorHAnsi" w:cstheme="minorBidi"/>
          <w:b/>
          <w:sz w:val="28"/>
          <w:lang w:eastAsia="ja-JP"/>
        </w:rPr>
        <w:t>New Zealand requirement</w:t>
      </w:r>
      <w:r>
        <w:rPr>
          <w:rFonts w:asciiTheme="minorHAnsi" w:eastAsiaTheme="minorEastAsia" w:hAnsiTheme="minorHAnsi" w:cstheme="minorBidi"/>
          <w:b/>
          <w:sz w:val="28"/>
          <w:lang w:eastAsia="ja-JP"/>
        </w:rPr>
        <w:t>s</w:t>
      </w:r>
    </w:p>
    <w:p w14:paraId="208439E0" w14:textId="24C751F0" w:rsidR="00F32C63" w:rsidRPr="00F32C63" w:rsidRDefault="00F32C63" w:rsidP="00F32C63">
      <w:pPr>
        <w:rPr>
          <w:b/>
          <w:bCs/>
          <w:lang w:eastAsia="ja-JP"/>
        </w:rPr>
      </w:pPr>
      <w:r w:rsidRPr="00F32C63">
        <w:rPr>
          <w:b/>
          <w:bCs/>
          <w:lang w:eastAsia="ja-JP"/>
        </w:rPr>
        <w:lastRenderedPageBreak/>
        <w:t>Approved Systems – New Zealand only</w:t>
      </w:r>
    </w:p>
    <w:p w14:paraId="0BAD076B" w14:textId="732CD66E" w:rsidR="00F32C63" w:rsidRDefault="00F32C63" w:rsidP="00F32C63">
      <w:pPr>
        <w:pStyle w:val="ListBullet"/>
        <w:rPr>
          <w:lang w:eastAsia="ja-JP"/>
        </w:rPr>
      </w:pPr>
      <w:r>
        <w:rPr>
          <w:lang w:eastAsia="ja-JP"/>
        </w:rPr>
        <w:t>An MPI-Approved System must manage the BMSB risk throughout the manufacturing supply chain in the target BMSB countries.</w:t>
      </w:r>
    </w:p>
    <w:p w14:paraId="08023A77" w14:textId="04133516" w:rsidR="00F32C63" w:rsidRDefault="00F32C63" w:rsidP="00F32C63">
      <w:pPr>
        <w:pStyle w:val="ListBullet"/>
        <w:rPr>
          <w:lang w:eastAsia="ja-JP"/>
        </w:rPr>
      </w:pPr>
      <w:r>
        <w:rPr>
          <w:lang w:eastAsia="ja-JP"/>
        </w:rPr>
        <w:t>A comprehensive system overview must be presented to MPI for consideration</w:t>
      </w:r>
    </w:p>
    <w:p w14:paraId="5889893F" w14:textId="3A23C29B" w:rsidR="00F32C63" w:rsidRDefault="00F32C63" w:rsidP="00F32C63">
      <w:pPr>
        <w:pStyle w:val="ListBullet"/>
        <w:rPr>
          <w:lang w:eastAsia="ja-JP"/>
        </w:rPr>
      </w:pPr>
      <w:r>
        <w:rPr>
          <w:lang w:eastAsia="ja-JP"/>
        </w:rPr>
        <w:t>An application including guidance on all aspects which must be considered and documented for approval is available on the MPI Vehicles, Machinery and Parts webpage. -</w:t>
      </w:r>
    </w:p>
    <w:p w14:paraId="090B4577" w14:textId="3E59F1C0" w:rsidR="00F32C63" w:rsidRDefault="00F32C63" w:rsidP="00F32C63">
      <w:pPr>
        <w:pStyle w:val="ListBullet"/>
        <w:rPr>
          <w:lang w:eastAsia="ja-JP"/>
        </w:rPr>
      </w:pPr>
      <w:r>
        <w:rPr>
          <w:lang w:eastAsia="ja-JP"/>
        </w:rPr>
        <w:t>MPI verifies all systems to ensure they continually meet the approved outcomes</w:t>
      </w:r>
    </w:p>
    <w:p w14:paraId="1074A9E5" w14:textId="51506F90" w:rsidR="00F32C63" w:rsidRDefault="00F32C63" w:rsidP="00F32C63">
      <w:pPr>
        <w:pStyle w:val="ListBullet"/>
        <w:rPr>
          <w:lang w:eastAsia="ja-JP"/>
        </w:rPr>
      </w:pPr>
      <w:r>
        <w:rPr>
          <w:lang w:eastAsia="ja-JP"/>
        </w:rPr>
        <w:t>Note: High risk supply chains may not be able to be approved during the pandemic due to MPI’s inability to inspect facilities as part of the approval process.</w:t>
      </w:r>
    </w:p>
    <w:p w14:paraId="1950355F" w14:textId="1D2290EE" w:rsidR="00F32C63" w:rsidRDefault="00F32C63" w:rsidP="00F32C63">
      <w:pPr>
        <w:pStyle w:val="ListBullet"/>
        <w:numPr>
          <w:ilvl w:val="0"/>
          <w:numId w:val="0"/>
        </w:numPr>
        <w:rPr>
          <w:lang w:eastAsia="ja-JP"/>
        </w:rPr>
      </w:pPr>
    </w:p>
    <w:p w14:paraId="351C4FEF" w14:textId="77777777" w:rsidR="00F32C63" w:rsidRPr="00F32C63" w:rsidRDefault="00F32C63" w:rsidP="00F32C63">
      <w:pPr>
        <w:rPr>
          <w:rFonts w:asciiTheme="minorHAnsi" w:eastAsiaTheme="minorEastAsia" w:hAnsiTheme="minorHAnsi" w:cstheme="minorBidi"/>
          <w:b/>
          <w:sz w:val="28"/>
          <w:lang w:eastAsia="ja-JP"/>
        </w:rPr>
      </w:pPr>
      <w:r w:rsidRPr="00F32C63">
        <w:rPr>
          <w:rFonts w:asciiTheme="minorHAnsi" w:eastAsiaTheme="minorEastAsia" w:hAnsiTheme="minorHAnsi" w:cstheme="minorBidi"/>
          <w:b/>
          <w:sz w:val="28"/>
          <w:lang w:eastAsia="ja-JP"/>
        </w:rPr>
        <w:t>Offshore BMSB Treatment Providers Scheme</w:t>
      </w:r>
    </w:p>
    <w:p w14:paraId="1A33562C" w14:textId="57FF23A9" w:rsidR="00F32C63" w:rsidRDefault="00F32C63" w:rsidP="00F32C63">
      <w:pPr>
        <w:pStyle w:val="ListBullet"/>
        <w:rPr>
          <w:lang w:eastAsia="ja-JP"/>
        </w:rPr>
      </w:pPr>
      <w:r>
        <w:rPr>
          <w:lang w:eastAsia="ja-JP"/>
        </w:rPr>
        <w:t>All treatment providers that intend to continue to conduct BMSB treatments must re-register for 2021-22.</w:t>
      </w:r>
    </w:p>
    <w:p w14:paraId="3E7DA15D" w14:textId="371E7D30" w:rsidR="00F32C63" w:rsidRDefault="00F32C63" w:rsidP="00F32C63">
      <w:pPr>
        <w:pStyle w:val="ListBullet"/>
        <w:rPr>
          <w:lang w:eastAsia="ja-JP"/>
        </w:rPr>
      </w:pPr>
      <w:r>
        <w:rPr>
          <w:lang w:eastAsia="ja-JP"/>
        </w:rPr>
        <w:t>BMSB treatment providers in non-target risk countries are encouraged to register</w:t>
      </w:r>
    </w:p>
    <w:p w14:paraId="74A43C48" w14:textId="785A0C87" w:rsidR="00F32C63" w:rsidRDefault="00F32C63" w:rsidP="00F32C63">
      <w:pPr>
        <w:pStyle w:val="ListBullet"/>
        <w:rPr>
          <w:lang w:eastAsia="ja-JP"/>
        </w:rPr>
      </w:pPr>
      <w:r>
        <w:rPr>
          <w:lang w:eastAsia="ja-JP"/>
        </w:rPr>
        <w:t>All applicants must demonstrate their ability to meet all requirements of the scheme for the types of treatments they wish to conduct</w:t>
      </w:r>
    </w:p>
    <w:p w14:paraId="5BA98BA4" w14:textId="53E44D56" w:rsidR="00F32C63" w:rsidRDefault="00F32C63" w:rsidP="00F32C63">
      <w:pPr>
        <w:pStyle w:val="ListBullet"/>
        <w:rPr>
          <w:lang w:eastAsia="ja-JP"/>
        </w:rPr>
      </w:pPr>
      <w:r>
        <w:rPr>
          <w:lang w:eastAsia="ja-JP"/>
        </w:rPr>
        <w:t>Registration allows BMSB treatments to be conducted for both Australia and New Zealand</w:t>
      </w:r>
    </w:p>
    <w:p w14:paraId="125F0B97" w14:textId="27374B46" w:rsidR="00F32C63" w:rsidRDefault="00F32C63" w:rsidP="00F32C63">
      <w:pPr>
        <w:pStyle w:val="ListBullet"/>
        <w:rPr>
          <w:lang w:eastAsia="ja-JP"/>
        </w:rPr>
      </w:pPr>
      <w:r>
        <w:rPr>
          <w:lang w:eastAsia="ja-JP"/>
        </w:rPr>
        <w:t>Approved treatment providers will be listed on Offshore BMSB Treatment Providers scheme webpage</w:t>
      </w:r>
    </w:p>
    <w:p w14:paraId="634C60BE" w14:textId="75F7E3C7" w:rsidR="00F32C63" w:rsidRDefault="00F32C63" w:rsidP="00F32C63">
      <w:pPr>
        <w:pStyle w:val="ListBullet"/>
        <w:rPr>
          <w:lang w:eastAsia="ja-JP"/>
        </w:rPr>
      </w:pPr>
      <w:r>
        <w:rPr>
          <w:lang w:eastAsia="ja-JP"/>
        </w:rPr>
        <w:t>Importers/Exporters use this list to check for most up-to-date details for offshore treatment providers approved to conduct BMSB treatments</w:t>
      </w:r>
    </w:p>
    <w:p w14:paraId="04283E68" w14:textId="77777777" w:rsidR="00F32C63" w:rsidRDefault="00F32C63" w:rsidP="0026163B">
      <w:pPr>
        <w:pStyle w:val="ListBullet"/>
        <w:numPr>
          <w:ilvl w:val="0"/>
          <w:numId w:val="0"/>
        </w:numPr>
        <w:rPr>
          <w:lang w:eastAsia="ja-JP"/>
        </w:rPr>
      </w:pPr>
      <w:r>
        <w:rPr>
          <w:lang w:eastAsia="ja-JP"/>
        </w:rPr>
        <w:t xml:space="preserve"> </w:t>
      </w:r>
    </w:p>
    <w:p w14:paraId="16EEC60B" w14:textId="77777777" w:rsidR="00F32C63" w:rsidRPr="0026163B" w:rsidRDefault="00F32C63" w:rsidP="0026163B">
      <w:pPr>
        <w:rPr>
          <w:rFonts w:asciiTheme="minorHAnsi" w:eastAsiaTheme="minorEastAsia" w:hAnsiTheme="minorHAnsi" w:cstheme="minorBidi"/>
          <w:b/>
          <w:sz w:val="28"/>
          <w:lang w:eastAsia="ja-JP"/>
        </w:rPr>
      </w:pPr>
      <w:r w:rsidRPr="0026163B">
        <w:rPr>
          <w:rFonts w:asciiTheme="minorHAnsi" w:eastAsiaTheme="minorEastAsia" w:hAnsiTheme="minorHAnsi" w:cstheme="minorBidi"/>
          <w:b/>
          <w:sz w:val="28"/>
          <w:lang w:eastAsia="ja-JP"/>
        </w:rPr>
        <w:t>Minimum treatment standards</w:t>
      </w:r>
    </w:p>
    <w:p w14:paraId="6130588E" w14:textId="1605CCF0" w:rsidR="00F32C63" w:rsidRDefault="00F32C63" w:rsidP="00F32C63">
      <w:pPr>
        <w:pStyle w:val="ListBullet"/>
        <w:rPr>
          <w:lang w:eastAsia="ja-JP"/>
        </w:rPr>
      </w:pPr>
      <w:r>
        <w:rPr>
          <w:lang w:eastAsia="ja-JP"/>
        </w:rPr>
        <w:t>All treatments must meet the applicable requirements set out in the respective treatment methodologies as published on the department’s website</w:t>
      </w:r>
    </w:p>
    <w:p w14:paraId="16C22125" w14:textId="7C10CFBA" w:rsidR="00F32C63" w:rsidRDefault="00F32C63" w:rsidP="00F32C63">
      <w:pPr>
        <w:pStyle w:val="ListBullet"/>
        <w:rPr>
          <w:lang w:eastAsia="ja-JP"/>
        </w:rPr>
      </w:pPr>
      <w:r>
        <w:rPr>
          <w:lang w:eastAsia="ja-JP"/>
        </w:rPr>
        <w:t>Treatment fact sheets are available to help achieve treatment compliance</w:t>
      </w:r>
    </w:p>
    <w:p w14:paraId="307E4EF3" w14:textId="4CC14C13" w:rsidR="00F32C63" w:rsidRDefault="00F32C63" w:rsidP="00F32C63">
      <w:pPr>
        <w:pStyle w:val="ListBullet"/>
        <w:rPr>
          <w:lang w:eastAsia="ja-JP"/>
        </w:rPr>
      </w:pPr>
      <w:r>
        <w:rPr>
          <w:lang w:eastAsia="ja-JP"/>
        </w:rPr>
        <w:t xml:space="preserve">A consignment suitability fact sheet is available on the department’s website to assist treatment providers and exporters to present </w:t>
      </w:r>
      <w:proofErr w:type="gramStart"/>
      <w:r>
        <w:rPr>
          <w:lang w:eastAsia="ja-JP"/>
        </w:rPr>
        <w:t>goods</w:t>
      </w:r>
      <w:proofErr w:type="gramEnd"/>
      <w:r>
        <w:rPr>
          <w:lang w:eastAsia="ja-JP"/>
        </w:rPr>
        <w:t xml:space="preserve"> so they are able to be treated effectively. The key points are:</w:t>
      </w:r>
    </w:p>
    <w:p w14:paraId="78A79731" w14:textId="70240C76" w:rsidR="00F32C63" w:rsidRDefault="00F32C63" w:rsidP="0026163B">
      <w:pPr>
        <w:pStyle w:val="ListBullet2"/>
        <w:rPr>
          <w:lang w:eastAsia="ja-JP"/>
        </w:rPr>
      </w:pPr>
      <w:r>
        <w:rPr>
          <w:lang w:eastAsia="ja-JP"/>
        </w:rPr>
        <w:t>Free air space to allow for fumigant or heat to circulate freely and access all areas of the goods where BMSB may harbour</w:t>
      </w:r>
    </w:p>
    <w:p w14:paraId="5060279D" w14:textId="1EFCB303" w:rsidR="00F32C63" w:rsidRDefault="00F32C63" w:rsidP="0026163B">
      <w:pPr>
        <w:pStyle w:val="ListBullet2"/>
        <w:rPr>
          <w:lang w:eastAsia="ja-JP"/>
        </w:rPr>
      </w:pPr>
      <w:r>
        <w:rPr>
          <w:lang w:eastAsia="ja-JP"/>
        </w:rPr>
        <w:t>Correct placement of temperature sensors and/or monitoring tubes</w:t>
      </w:r>
    </w:p>
    <w:p w14:paraId="13DC92C5" w14:textId="561F6E33" w:rsidR="00F32C63" w:rsidRDefault="00F32C63" w:rsidP="0026163B">
      <w:pPr>
        <w:pStyle w:val="ListBullet2"/>
        <w:rPr>
          <w:lang w:eastAsia="ja-JP"/>
        </w:rPr>
      </w:pPr>
      <w:r>
        <w:rPr>
          <w:lang w:eastAsia="ja-JP"/>
        </w:rPr>
        <w:t>Understanding the difference between commercial and shipping packaging and the requirements for each</w:t>
      </w:r>
    </w:p>
    <w:p w14:paraId="0FF75627" w14:textId="5FC27BBA" w:rsidR="00F32C63" w:rsidRDefault="00F32C63" w:rsidP="0026163B">
      <w:pPr>
        <w:pStyle w:val="ListBullet2"/>
        <w:rPr>
          <w:lang w:eastAsia="ja-JP"/>
        </w:rPr>
      </w:pPr>
      <w:r>
        <w:rPr>
          <w:lang w:eastAsia="ja-JP"/>
        </w:rPr>
        <w:t>Using professional judgement to assess overall consignment suitability</w:t>
      </w:r>
    </w:p>
    <w:p w14:paraId="1EB0CDB1" w14:textId="0F076880" w:rsidR="00F32C63" w:rsidRDefault="00F32C63" w:rsidP="00F32C63">
      <w:pPr>
        <w:pStyle w:val="ListBullet"/>
        <w:rPr>
          <w:lang w:eastAsia="ja-JP"/>
        </w:rPr>
      </w:pPr>
      <w:r>
        <w:rPr>
          <w:lang w:eastAsia="ja-JP"/>
        </w:rPr>
        <w:t>Compliance monitoring of treatment providers will continue to be undertaken</w:t>
      </w:r>
    </w:p>
    <w:p w14:paraId="7FCFC9A0" w14:textId="2A40A70E" w:rsidR="00F32C63" w:rsidRDefault="00F32C63" w:rsidP="0026163B">
      <w:pPr>
        <w:pStyle w:val="ListBullet"/>
        <w:numPr>
          <w:ilvl w:val="0"/>
          <w:numId w:val="0"/>
        </w:numPr>
        <w:rPr>
          <w:lang w:eastAsia="ja-JP"/>
        </w:rPr>
      </w:pPr>
    </w:p>
    <w:p w14:paraId="61770685" w14:textId="77777777" w:rsidR="00F32C63" w:rsidRPr="0026163B" w:rsidRDefault="00F32C63" w:rsidP="0026163B">
      <w:pPr>
        <w:rPr>
          <w:rFonts w:asciiTheme="minorHAnsi" w:eastAsiaTheme="minorEastAsia" w:hAnsiTheme="minorHAnsi" w:cstheme="minorBidi"/>
          <w:b/>
          <w:sz w:val="28"/>
          <w:lang w:eastAsia="ja-JP"/>
        </w:rPr>
      </w:pPr>
      <w:r w:rsidRPr="0026163B">
        <w:rPr>
          <w:rFonts w:asciiTheme="minorHAnsi" w:eastAsiaTheme="minorEastAsia" w:hAnsiTheme="minorHAnsi" w:cstheme="minorBidi"/>
          <w:b/>
          <w:sz w:val="28"/>
          <w:lang w:eastAsia="ja-JP"/>
        </w:rPr>
        <w:t>Treatment non-compliance</w:t>
      </w:r>
    </w:p>
    <w:p w14:paraId="2E41FED9" w14:textId="66898784" w:rsidR="00F32C63" w:rsidRDefault="00F32C63" w:rsidP="00F32C63">
      <w:pPr>
        <w:pStyle w:val="ListBullet"/>
        <w:rPr>
          <w:lang w:eastAsia="ja-JP"/>
        </w:rPr>
      </w:pPr>
      <w:r>
        <w:rPr>
          <w:lang w:eastAsia="ja-JP"/>
        </w:rPr>
        <w:t>Intervention and sanctions will continue to be applied against potential and confirmed non-compliant treatment providers, including:</w:t>
      </w:r>
    </w:p>
    <w:p w14:paraId="34DA9F34" w14:textId="0C7395F1" w:rsidR="00F32C63" w:rsidRDefault="0026163B" w:rsidP="0026163B">
      <w:pPr>
        <w:pStyle w:val="ListBullet2"/>
        <w:rPr>
          <w:lang w:eastAsia="ja-JP"/>
        </w:rPr>
      </w:pPr>
      <w:r>
        <w:rPr>
          <w:lang w:eastAsia="ja-JP"/>
        </w:rPr>
        <w:lastRenderedPageBreak/>
        <w:t>Increased</w:t>
      </w:r>
      <w:r w:rsidR="00F32C63">
        <w:rPr>
          <w:lang w:eastAsia="ja-JP"/>
        </w:rPr>
        <w:t xml:space="preserve"> on-arrival inspections</w:t>
      </w:r>
    </w:p>
    <w:p w14:paraId="421A5599" w14:textId="026B3E64" w:rsidR="00F32C63" w:rsidRDefault="0026163B" w:rsidP="0026163B">
      <w:pPr>
        <w:pStyle w:val="ListBullet2"/>
        <w:rPr>
          <w:lang w:eastAsia="ja-JP"/>
        </w:rPr>
      </w:pPr>
      <w:r>
        <w:rPr>
          <w:lang w:eastAsia="ja-JP"/>
        </w:rPr>
        <w:t>Suspension</w:t>
      </w:r>
      <w:r w:rsidR="00F32C63">
        <w:rPr>
          <w:lang w:eastAsia="ja-JP"/>
        </w:rPr>
        <w:t xml:space="preserve"> of treatment providers</w:t>
      </w:r>
    </w:p>
    <w:p w14:paraId="0752A1E8" w14:textId="642B3D26" w:rsidR="00F32C63" w:rsidRDefault="0026163B" w:rsidP="0026163B">
      <w:pPr>
        <w:pStyle w:val="ListBullet2"/>
        <w:rPr>
          <w:lang w:eastAsia="ja-JP"/>
        </w:rPr>
      </w:pPr>
      <w:r>
        <w:rPr>
          <w:lang w:eastAsia="ja-JP"/>
        </w:rPr>
        <w:t>Virtual</w:t>
      </w:r>
      <w:r w:rsidR="00F32C63">
        <w:rPr>
          <w:lang w:eastAsia="ja-JP"/>
        </w:rPr>
        <w:t xml:space="preserve"> audits</w:t>
      </w:r>
    </w:p>
    <w:p w14:paraId="23387421" w14:textId="2903D41E" w:rsidR="00F32C63" w:rsidRDefault="00F32C63" w:rsidP="0026163B">
      <w:pPr>
        <w:pStyle w:val="ListBullet"/>
        <w:rPr>
          <w:lang w:eastAsia="ja-JP"/>
        </w:rPr>
      </w:pPr>
      <w:r>
        <w:rPr>
          <w:lang w:eastAsia="ja-JP"/>
        </w:rPr>
        <w:t>If a treatment provider is suspended both countries</w:t>
      </w:r>
      <w:r w:rsidR="0026163B">
        <w:rPr>
          <w:lang w:eastAsia="ja-JP"/>
        </w:rPr>
        <w:t xml:space="preserve"> </w:t>
      </w:r>
      <w:r>
        <w:rPr>
          <w:lang w:eastAsia="ja-JP"/>
        </w:rPr>
        <w:t>enact the in-transit policy and no certification issued by</w:t>
      </w:r>
      <w:r w:rsidR="0026163B">
        <w:rPr>
          <w:lang w:eastAsia="ja-JP"/>
        </w:rPr>
        <w:t xml:space="preserve"> </w:t>
      </w:r>
      <w:r>
        <w:rPr>
          <w:lang w:eastAsia="ja-JP"/>
        </w:rPr>
        <w:t>the suspended treatment provider is accepted, regardless of</w:t>
      </w:r>
      <w:r w:rsidR="0026163B">
        <w:rPr>
          <w:lang w:eastAsia="ja-JP"/>
        </w:rPr>
        <w:t xml:space="preserve"> </w:t>
      </w:r>
      <w:r>
        <w:rPr>
          <w:lang w:eastAsia="ja-JP"/>
        </w:rPr>
        <w:t>date of issue</w:t>
      </w:r>
      <w:r>
        <w:rPr>
          <w:lang w:eastAsia="ja-JP"/>
        </w:rPr>
        <w:tab/>
        <w:t xml:space="preserve"> </w:t>
      </w:r>
    </w:p>
    <w:p w14:paraId="47CBED6E" w14:textId="12ED3D32" w:rsidR="00F32C63" w:rsidRDefault="00F32C63" w:rsidP="0026163B">
      <w:pPr>
        <w:pStyle w:val="ListBullet"/>
        <w:numPr>
          <w:ilvl w:val="0"/>
          <w:numId w:val="0"/>
        </w:numPr>
        <w:rPr>
          <w:lang w:eastAsia="ja-JP"/>
        </w:rPr>
      </w:pPr>
    </w:p>
    <w:p w14:paraId="75606DD3" w14:textId="77777777" w:rsidR="00F32C63" w:rsidRPr="0026163B" w:rsidRDefault="00F32C63" w:rsidP="0026163B">
      <w:pPr>
        <w:rPr>
          <w:rFonts w:asciiTheme="minorHAnsi" w:eastAsiaTheme="minorEastAsia" w:hAnsiTheme="minorHAnsi" w:cstheme="minorBidi"/>
          <w:b/>
          <w:sz w:val="28"/>
          <w:lang w:eastAsia="ja-JP"/>
        </w:rPr>
      </w:pPr>
      <w:r w:rsidRPr="0026163B">
        <w:rPr>
          <w:rFonts w:asciiTheme="minorHAnsi" w:eastAsiaTheme="minorEastAsia" w:hAnsiTheme="minorHAnsi" w:cstheme="minorBidi"/>
          <w:b/>
          <w:sz w:val="28"/>
          <w:lang w:eastAsia="ja-JP"/>
        </w:rPr>
        <w:t>Key Messages</w:t>
      </w:r>
    </w:p>
    <w:p w14:paraId="0F6221D4" w14:textId="5C0AE1BA" w:rsidR="00F32C63" w:rsidRDefault="00F32C63" w:rsidP="00F32C63">
      <w:pPr>
        <w:pStyle w:val="ListBullet"/>
        <w:rPr>
          <w:lang w:eastAsia="ja-JP"/>
        </w:rPr>
      </w:pPr>
      <w:r>
        <w:rPr>
          <w:lang w:eastAsia="ja-JP"/>
        </w:rPr>
        <w:t>BMSB season remains unchanged for the 2021-22 BMSB season</w:t>
      </w:r>
    </w:p>
    <w:p w14:paraId="42B88454" w14:textId="2FB20F91" w:rsidR="00F32C63" w:rsidRDefault="00F32C63" w:rsidP="00F32C63">
      <w:pPr>
        <w:pStyle w:val="ListBullet"/>
        <w:rPr>
          <w:lang w:eastAsia="ja-JP"/>
        </w:rPr>
      </w:pPr>
      <w:r>
        <w:rPr>
          <w:lang w:eastAsia="ja-JP"/>
        </w:rPr>
        <w:t>One new country added to the target high risk country list:</w:t>
      </w:r>
    </w:p>
    <w:p w14:paraId="3BB95AD7" w14:textId="32217DC6" w:rsidR="00F32C63" w:rsidRDefault="00F32C63" w:rsidP="0026163B">
      <w:pPr>
        <w:pStyle w:val="ListBullet2"/>
        <w:rPr>
          <w:lang w:eastAsia="ja-JP"/>
        </w:rPr>
      </w:pPr>
      <w:r>
        <w:rPr>
          <w:lang w:eastAsia="ja-JP"/>
        </w:rPr>
        <w:t>Poland</w:t>
      </w:r>
    </w:p>
    <w:p w14:paraId="50DEB927" w14:textId="1DE11BED" w:rsidR="00F32C63" w:rsidRDefault="00F32C63" w:rsidP="00F32C63">
      <w:pPr>
        <w:pStyle w:val="ListBullet"/>
        <w:rPr>
          <w:lang w:eastAsia="ja-JP"/>
        </w:rPr>
      </w:pPr>
      <w:r>
        <w:rPr>
          <w:lang w:eastAsia="ja-JP"/>
        </w:rPr>
        <w:t>For Australia:</w:t>
      </w:r>
    </w:p>
    <w:p w14:paraId="0B71FF36" w14:textId="73E7B43F" w:rsidR="00F32C63" w:rsidRDefault="00F32C63" w:rsidP="0026163B">
      <w:pPr>
        <w:pStyle w:val="ListBullet2"/>
        <w:rPr>
          <w:lang w:eastAsia="ja-JP"/>
        </w:rPr>
      </w:pPr>
      <w:r>
        <w:rPr>
          <w:lang w:eastAsia="ja-JP"/>
        </w:rPr>
        <w:t>BMSB treatment of break-bulk, flat-rack and open-top containers must be conducted offshore</w:t>
      </w:r>
    </w:p>
    <w:p w14:paraId="2F587FA1" w14:textId="227D544F" w:rsidR="00F32C63" w:rsidRDefault="00F32C63" w:rsidP="0026163B">
      <w:pPr>
        <w:pStyle w:val="ListBullet2"/>
        <w:rPr>
          <w:lang w:eastAsia="ja-JP"/>
        </w:rPr>
      </w:pPr>
      <w:r>
        <w:rPr>
          <w:lang w:eastAsia="ja-JP"/>
        </w:rPr>
        <w:t>BMSB treatments on consignments in six hard sided containers can be conducted onshore on arrival, the department encourages offshore treatment where possible</w:t>
      </w:r>
    </w:p>
    <w:p w14:paraId="09760633" w14:textId="77777777" w:rsidR="0026163B" w:rsidRDefault="00F32C63" w:rsidP="0026163B">
      <w:pPr>
        <w:pStyle w:val="ListBullet"/>
        <w:rPr>
          <w:lang w:eastAsia="ja-JP"/>
        </w:rPr>
      </w:pPr>
      <w:r>
        <w:rPr>
          <w:lang w:eastAsia="ja-JP"/>
        </w:rPr>
        <w:t xml:space="preserve">For New Zealand: All targeted goods must be treated </w:t>
      </w:r>
      <w:proofErr w:type="gramStart"/>
      <w:r>
        <w:rPr>
          <w:lang w:eastAsia="ja-JP"/>
        </w:rPr>
        <w:t>off-shore</w:t>
      </w:r>
      <w:proofErr w:type="gramEnd"/>
      <w:r>
        <w:rPr>
          <w:lang w:eastAsia="ja-JP"/>
        </w:rPr>
        <w:t xml:space="preserve"> whether containerised or breakbulk</w:t>
      </w:r>
    </w:p>
    <w:p w14:paraId="29BAA700" w14:textId="7CC76B8D" w:rsidR="00F32C63" w:rsidRDefault="00F32C63" w:rsidP="0026163B">
      <w:pPr>
        <w:pStyle w:val="ListBullet"/>
        <w:rPr>
          <w:lang w:eastAsia="ja-JP"/>
        </w:rPr>
      </w:pPr>
      <w:r>
        <w:rPr>
          <w:lang w:eastAsia="ja-JP"/>
        </w:rPr>
        <w:t>BMSB Treatment in NZ or AU is not permitted on the way to either country – we do not treat for each other.</w:t>
      </w:r>
    </w:p>
    <w:p w14:paraId="7BA53D02" w14:textId="0D2264A0" w:rsidR="00F32C63" w:rsidRDefault="00F32C63" w:rsidP="00F32C63">
      <w:pPr>
        <w:pStyle w:val="ListBullet"/>
        <w:numPr>
          <w:ilvl w:val="0"/>
          <w:numId w:val="0"/>
        </w:numPr>
        <w:ind w:left="425" w:hanging="425"/>
        <w:rPr>
          <w:lang w:eastAsia="ja-JP"/>
        </w:rPr>
      </w:pPr>
    </w:p>
    <w:p w14:paraId="7B7AFB01" w14:textId="4E4FE0EE" w:rsidR="00F32C63" w:rsidRDefault="00F32C63" w:rsidP="0026163B">
      <w:pPr>
        <w:rPr>
          <w:lang w:eastAsia="ja-JP"/>
        </w:rPr>
      </w:pPr>
      <w:r>
        <w:rPr>
          <w:lang w:eastAsia="ja-JP"/>
        </w:rPr>
        <w:t>Australia and New Zealand are grateful for this contribution from industry and are committed</w:t>
      </w:r>
      <w:r w:rsidR="0026163B">
        <w:rPr>
          <w:lang w:eastAsia="ja-JP"/>
        </w:rPr>
        <w:t xml:space="preserve"> </w:t>
      </w:r>
      <w:r>
        <w:rPr>
          <w:lang w:eastAsia="ja-JP"/>
        </w:rPr>
        <w:t>to working together to achieve continued compliance</w:t>
      </w:r>
      <w:r w:rsidR="0026163B">
        <w:rPr>
          <w:lang w:eastAsia="ja-JP"/>
        </w:rPr>
        <w:t xml:space="preserve"> </w:t>
      </w:r>
      <w:r>
        <w:rPr>
          <w:lang w:eastAsia="ja-JP"/>
        </w:rPr>
        <w:t>and success</w:t>
      </w:r>
    </w:p>
    <w:p w14:paraId="358F981F" w14:textId="5ACFC34D" w:rsidR="00F32C63" w:rsidRDefault="00F32C63" w:rsidP="00F32C63">
      <w:pPr>
        <w:pStyle w:val="ListBullet"/>
        <w:numPr>
          <w:ilvl w:val="0"/>
          <w:numId w:val="0"/>
        </w:numPr>
        <w:ind w:left="425" w:hanging="425"/>
        <w:rPr>
          <w:lang w:eastAsia="ja-JP"/>
        </w:rPr>
      </w:pPr>
    </w:p>
    <w:p w14:paraId="047E62F9" w14:textId="77777777" w:rsidR="00F32C63" w:rsidRPr="0026163B" w:rsidRDefault="00F32C63" w:rsidP="0026163B">
      <w:pPr>
        <w:rPr>
          <w:rFonts w:asciiTheme="minorHAnsi" w:eastAsiaTheme="minorEastAsia" w:hAnsiTheme="minorHAnsi" w:cstheme="minorBidi"/>
          <w:b/>
          <w:sz w:val="28"/>
          <w:lang w:eastAsia="ja-JP"/>
        </w:rPr>
      </w:pPr>
      <w:r w:rsidRPr="0026163B">
        <w:rPr>
          <w:rFonts w:asciiTheme="minorHAnsi" w:eastAsiaTheme="minorEastAsia" w:hAnsiTheme="minorHAnsi" w:cstheme="minorBidi"/>
          <w:b/>
          <w:sz w:val="28"/>
          <w:lang w:eastAsia="ja-JP"/>
        </w:rPr>
        <w:t>Working together</w:t>
      </w:r>
    </w:p>
    <w:p w14:paraId="6F844167" w14:textId="17B0F7EC" w:rsidR="00F32C63" w:rsidRDefault="00F32C63" w:rsidP="0026163B">
      <w:pPr>
        <w:rPr>
          <w:lang w:eastAsia="ja-JP"/>
        </w:rPr>
      </w:pPr>
      <w:r>
        <w:rPr>
          <w:lang w:eastAsia="ja-JP"/>
        </w:rPr>
        <w:t>Australia and New Zealand understand the important role</w:t>
      </w:r>
      <w:r w:rsidR="0026163B">
        <w:rPr>
          <w:lang w:eastAsia="ja-JP"/>
        </w:rPr>
        <w:t xml:space="preserve"> </w:t>
      </w:r>
      <w:r>
        <w:rPr>
          <w:lang w:eastAsia="ja-JP"/>
        </w:rPr>
        <w:t>industry plays in helping to keep both countries free from</w:t>
      </w:r>
      <w:r w:rsidR="0026163B">
        <w:rPr>
          <w:lang w:eastAsia="ja-JP"/>
        </w:rPr>
        <w:t xml:space="preserve"> </w:t>
      </w:r>
      <w:r>
        <w:rPr>
          <w:lang w:eastAsia="ja-JP"/>
        </w:rPr>
        <w:t>BMSB</w:t>
      </w:r>
    </w:p>
    <w:p w14:paraId="29F64FAA" w14:textId="695AE806" w:rsidR="00F32C63" w:rsidRDefault="00F32C63" w:rsidP="00F32C63">
      <w:pPr>
        <w:pStyle w:val="ListBullet"/>
        <w:numPr>
          <w:ilvl w:val="0"/>
          <w:numId w:val="0"/>
        </w:numPr>
        <w:ind w:left="425" w:hanging="425"/>
        <w:rPr>
          <w:lang w:eastAsia="ja-JP"/>
        </w:rPr>
      </w:pPr>
    </w:p>
    <w:p w14:paraId="18A90C77" w14:textId="50B933EB" w:rsidR="00F32C63" w:rsidRDefault="00F32C63" w:rsidP="0026163B">
      <w:pPr>
        <w:pStyle w:val="ListBullet"/>
        <w:numPr>
          <w:ilvl w:val="0"/>
          <w:numId w:val="0"/>
        </w:numPr>
        <w:ind w:left="425" w:hanging="425"/>
        <w:rPr>
          <w:lang w:eastAsia="ja-JP"/>
        </w:rPr>
      </w:pPr>
      <w:r>
        <w:rPr>
          <w:lang w:eastAsia="ja-JP"/>
        </w:rPr>
        <w:t>Stay updated on the BMSB seasonal measures by</w:t>
      </w:r>
      <w:r w:rsidR="0026163B">
        <w:rPr>
          <w:lang w:eastAsia="ja-JP"/>
        </w:rPr>
        <w:t xml:space="preserve"> </w:t>
      </w:r>
      <w:r>
        <w:rPr>
          <w:lang w:eastAsia="ja-JP"/>
        </w:rPr>
        <w:t>visiting the following webpages</w:t>
      </w:r>
      <w:r w:rsidR="0026163B">
        <w:rPr>
          <w:lang w:eastAsia="ja-JP"/>
        </w:rPr>
        <w:t>:</w:t>
      </w:r>
    </w:p>
    <w:p w14:paraId="284FE9CE" w14:textId="77777777" w:rsidR="00F32C63" w:rsidRDefault="00F32C63" w:rsidP="00F32C63">
      <w:pPr>
        <w:pStyle w:val="ListBullet"/>
        <w:rPr>
          <w:lang w:eastAsia="ja-JP"/>
        </w:rPr>
      </w:pPr>
      <w:r>
        <w:rPr>
          <w:lang w:eastAsia="ja-JP"/>
        </w:rPr>
        <w:t xml:space="preserve">www.agriculture.gov.au/bmsb </w:t>
      </w:r>
    </w:p>
    <w:p w14:paraId="1CC93CA2" w14:textId="77777777" w:rsidR="00F32C63" w:rsidRDefault="00F32C63" w:rsidP="00F32C63">
      <w:pPr>
        <w:pStyle w:val="ListBullet"/>
        <w:rPr>
          <w:lang w:eastAsia="ja-JP"/>
        </w:rPr>
      </w:pPr>
      <w:r>
        <w:rPr>
          <w:lang w:eastAsia="ja-JP"/>
        </w:rPr>
        <w:t>Google: NZ MPI Brown marmorated stink bug guidance</w:t>
      </w:r>
    </w:p>
    <w:p w14:paraId="6F27E08D" w14:textId="77777777" w:rsidR="00F32C63" w:rsidRDefault="00F32C63" w:rsidP="0026163B">
      <w:pPr>
        <w:pStyle w:val="ListBullet"/>
        <w:numPr>
          <w:ilvl w:val="0"/>
          <w:numId w:val="0"/>
        </w:numPr>
        <w:rPr>
          <w:lang w:eastAsia="ja-JP"/>
        </w:rPr>
      </w:pPr>
    </w:p>
    <w:p w14:paraId="5A6C0E8F" w14:textId="4F801AAA" w:rsidR="00F32C63" w:rsidRDefault="00F32C63" w:rsidP="0026163B">
      <w:pPr>
        <w:pStyle w:val="ListBullet"/>
        <w:numPr>
          <w:ilvl w:val="0"/>
          <w:numId w:val="0"/>
        </w:numPr>
        <w:ind w:left="425" w:hanging="425"/>
        <w:rPr>
          <w:lang w:eastAsia="ja-JP"/>
        </w:rPr>
      </w:pPr>
      <w:r>
        <w:rPr>
          <w:lang w:eastAsia="ja-JP"/>
        </w:rPr>
        <w:t>Any questions relating to the policy for seasonal pests</w:t>
      </w:r>
      <w:r w:rsidR="0026163B">
        <w:rPr>
          <w:lang w:eastAsia="ja-JP"/>
        </w:rPr>
        <w:t xml:space="preserve"> </w:t>
      </w:r>
      <w:r>
        <w:rPr>
          <w:lang w:eastAsia="ja-JP"/>
        </w:rPr>
        <w:t>can be emailed to:</w:t>
      </w:r>
    </w:p>
    <w:p w14:paraId="7E776235" w14:textId="77777777" w:rsidR="00F32C63" w:rsidRDefault="00F32C63" w:rsidP="00F32C63">
      <w:pPr>
        <w:pStyle w:val="ListBullet"/>
        <w:rPr>
          <w:lang w:eastAsia="ja-JP"/>
        </w:rPr>
      </w:pPr>
      <w:r>
        <w:rPr>
          <w:lang w:eastAsia="ja-JP"/>
        </w:rPr>
        <w:t xml:space="preserve">spp@awe.gov.au </w:t>
      </w:r>
    </w:p>
    <w:p w14:paraId="17DF3C62" w14:textId="56213866" w:rsidR="00F32C63" w:rsidRDefault="00F32C63" w:rsidP="0026163B">
      <w:pPr>
        <w:pStyle w:val="ListBullet"/>
        <w:rPr>
          <w:lang w:eastAsia="ja-JP"/>
        </w:rPr>
      </w:pPr>
      <w:r>
        <w:rPr>
          <w:lang w:eastAsia="ja-JP"/>
        </w:rPr>
        <w:t xml:space="preserve">BMSB@mpi.govt.nz </w:t>
      </w:r>
    </w:p>
    <w:p w14:paraId="56E7DCB2" w14:textId="6CA0405B" w:rsidR="00F32C63" w:rsidRDefault="00F32C63" w:rsidP="0026163B">
      <w:pPr>
        <w:pStyle w:val="ListBullet"/>
        <w:numPr>
          <w:ilvl w:val="0"/>
          <w:numId w:val="0"/>
        </w:numPr>
        <w:rPr>
          <w:lang w:eastAsia="ja-JP"/>
        </w:rPr>
      </w:pPr>
      <w:r>
        <w:rPr>
          <w:lang w:eastAsia="ja-JP"/>
        </w:rPr>
        <w:t>Any questions relating to BMSB treatments can</w:t>
      </w:r>
      <w:r w:rsidR="0026163B">
        <w:rPr>
          <w:lang w:eastAsia="ja-JP"/>
        </w:rPr>
        <w:t xml:space="preserve"> </w:t>
      </w:r>
      <w:r>
        <w:rPr>
          <w:lang w:eastAsia="ja-JP"/>
        </w:rPr>
        <w:t>be emailed to:</w:t>
      </w:r>
    </w:p>
    <w:p w14:paraId="180A7175" w14:textId="77777777" w:rsidR="00F32C63" w:rsidRDefault="00F32C63" w:rsidP="00F32C63">
      <w:pPr>
        <w:pStyle w:val="ListBullet"/>
        <w:rPr>
          <w:lang w:eastAsia="ja-JP"/>
        </w:rPr>
      </w:pPr>
      <w:r>
        <w:rPr>
          <w:lang w:eastAsia="ja-JP"/>
        </w:rPr>
        <w:t xml:space="preserve">BMSBtreatments@awe.gov.au </w:t>
      </w:r>
    </w:p>
    <w:p w14:paraId="63AF5258" w14:textId="77777777" w:rsidR="00F32C63" w:rsidRDefault="00F32C63" w:rsidP="00F32C63">
      <w:pPr>
        <w:pStyle w:val="ListBullet"/>
        <w:rPr>
          <w:lang w:eastAsia="ja-JP"/>
        </w:rPr>
      </w:pPr>
      <w:r>
        <w:rPr>
          <w:lang w:eastAsia="ja-JP"/>
        </w:rPr>
        <w:t xml:space="preserve">BMSB@mpi.govt.nz </w:t>
      </w:r>
    </w:p>
    <w:p w14:paraId="0116FF50" w14:textId="77777777" w:rsidR="00F32C63" w:rsidRPr="00A26036" w:rsidRDefault="00F32C63" w:rsidP="0026163B">
      <w:pPr>
        <w:pStyle w:val="ListBullet"/>
        <w:numPr>
          <w:ilvl w:val="0"/>
          <w:numId w:val="0"/>
        </w:numPr>
        <w:rPr>
          <w:lang w:eastAsia="ja-JP"/>
        </w:rPr>
      </w:pPr>
    </w:p>
    <w:sectPr w:rsidR="00F32C63" w:rsidRPr="00A26036" w:rsidSect="00EB552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9125" w14:textId="77777777" w:rsidR="00807EEA" w:rsidRDefault="00807EEA">
      <w:r>
        <w:separator/>
      </w:r>
    </w:p>
  </w:endnote>
  <w:endnote w:type="continuationSeparator" w:id="0">
    <w:p w14:paraId="45DB7BDF" w14:textId="77777777" w:rsidR="00807EEA" w:rsidRDefault="00807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298BEE3D" w14:textId="77777777" w:rsidR="00C6669A" w:rsidRDefault="000A7C1A" w:rsidP="00C6669A">
        <w:pPr>
          <w:pStyle w:val="Footer"/>
          <w:jc w:val="right"/>
        </w:pPr>
        <w:r>
          <w:t>Department of Agriculture and Water Resources</w:t>
        </w:r>
        <w:r w:rsidR="00C6669A">
          <w:tab/>
        </w:r>
        <w:r w:rsidR="00EB5521">
          <w:fldChar w:fldCharType="begin"/>
        </w:r>
        <w:r w:rsidR="00C6669A">
          <w:instrText xml:space="preserve"> PAGE   \* MERGEFORMAT </w:instrText>
        </w:r>
        <w:r w:rsidR="00EB5521">
          <w:fldChar w:fldCharType="separate"/>
        </w:r>
        <w:r w:rsidR="00387658">
          <w:rPr>
            <w:noProof/>
          </w:rPr>
          <w:t>1</w:t>
        </w:r>
        <w:r w:rsidR="00EB552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E5B7C" w14:textId="77777777" w:rsidR="00807EEA" w:rsidRDefault="00807EEA">
      <w:r>
        <w:separator/>
      </w:r>
    </w:p>
  </w:footnote>
  <w:footnote w:type="continuationSeparator" w:id="0">
    <w:p w14:paraId="7898E2D4" w14:textId="77777777" w:rsidR="00807EEA" w:rsidRDefault="00807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07A3" w14:textId="77777777" w:rsidR="00626E31" w:rsidRDefault="00B230FF">
    <w:pPr>
      <w:pStyle w:val="Header"/>
    </w:pPr>
    <w:r>
      <w:t>Document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83791F"/>
    <w:multiLevelType w:val="hybridMultilevel"/>
    <w:tmpl w:val="E2E63374"/>
    <w:lvl w:ilvl="0" w:tplc="44DAE0C2">
      <w:start w:val="1"/>
      <w:numFmt w:val="bullet"/>
      <w:lvlText w:val="•"/>
      <w:lvlJc w:val="left"/>
      <w:pPr>
        <w:tabs>
          <w:tab w:val="num" w:pos="720"/>
        </w:tabs>
        <w:ind w:left="720" w:hanging="360"/>
      </w:pPr>
      <w:rPr>
        <w:rFonts w:ascii="Arial" w:hAnsi="Arial" w:hint="default"/>
      </w:rPr>
    </w:lvl>
    <w:lvl w:ilvl="1" w:tplc="F348A0E6" w:tentative="1">
      <w:start w:val="1"/>
      <w:numFmt w:val="bullet"/>
      <w:lvlText w:val="•"/>
      <w:lvlJc w:val="left"/>
      <w:pPr>
        <w:tabs>
          <w:tab w:val="num" w:pos="1440"/>
        </w:tabs>
        <w:ind w:left="1440" w:hanging="360"/>
      </w:pPr>
      <w:rPr>
        <w:rFonts w:ascii="Arial" w:hAnsi="Arial" w:hint="default"/>
      </w:rPr>
    </w:lvl>
    <w:lvl w:ilvl="2" w:tplc="377A990E" w:tentative="1">
      <w:start w:val="1"/>
      <w:numFmt w:val="bullet"/>
      <w:lvlText w:val="•"/>
      <w:lvlJc w:val="left"/>
      <w:pPr>
        <w:tabs>
          <w:tab w:val="num" w:pos="2160"/>
        </w:tabs>
        <w:ind w:left="2160" w:hanging="360"/>
      </w:pPr>
      <w:rPr>
        <w:rFonts w:ascii="Arial" w:hAnsi="Arial" w:hint="default"/>
      </w:rPr>
    </w:lvl>
    <w:lvl w:ilvl="3" w:tplc="3454E0F0" w:tentative="1">
      <w:start w:val="1"/>
      <w:numFmt w:val="bullet"/>
      <w:lvlText w:val="•"/>
      <w:lvlJc w:val="left"/>
      <w:pPr>
        <w:tabs>
          <w:tab w:val="num" w:pos="2880"/>
        </w:tabs>
        <w:ind w:left="2880" w:hanging="360"/>
      </w:pPr>
      <w:rPr>
        <w:rFonts w:ascii="Arial" w:hAnsi="Arial" w:hint="default"/>
      </w:rPr>
    </w:lvl>
    <w:lvl w:ilvl="4" w:tplc="14C2ABFA" w:tentative="1">
      <w:start w:val="1"/>
      <w:numFmt w:val="bullet"/>
      <w:lvlText w:val="•"/>
      <w:lvlJc w:val="left"/>
      <w:pPr>
        <w:tabs>
          <w:tab w:val="num" w:pos="3600"/>
        </w:tabs>
        <w:ind w:left="3600" w:hanging="360"/>
      </w:pPr>
      <w:rPr>
        <w:rFonts w:ascii="Arial" w:hAnsi="Arial" w:hint="default"/>
      </w:rPr>
    </w:lvl>
    <w:lvl w:ilvl="5" w:tplc="372AD682" w:tentative="1">
      <w:start w:val="1"/>
      <w:numFmt w:val="bullet"/>
      <w:lvlText w:val="•"/>
      <w:lvlJc w:val="left"/>
      <w:pPr>
        <w:tabs>
          <w:tab w:val="num" w:pos="4320"/>
        </w:tabs>
        <w:ind w:left="4320" w:hanging="360"/>
      </w:pPr>
      <w:rPr>
        <w:rFonts w:ascii="Arial" w:hAnsi="Arial" w:hint="default"/>
      </w:rPr>
    </w:lvl>
    <w:lvl w:ilvl="6" w:tplc="CD143426" w:tentative="1">
      <w:start w:val="1"/>
      <w:numFmt w:val="bullet"/>
      <w:lvlText w:val="•"/>
      <w:lvlJc w:val="left"/>
      <w:pPr>
        <w:tabs>
          <w:tab w:val="num" w:pos="5040"/>
        </w:tabs>
        <w:ind w:left="5040" w:hanging="360"/>
      </w:pPr>
      <w:rPr>
        <w:rFonts w:ascii="Arial" w:hAnsi="Arial" w:hint="default"/>
      </w:rPr>
    </w:lvl>
    <w:lvl w:ilvl="7" w:tplc="08249B44" w:tentative="1">
      <w:start w:val="1"/>
      <w:numFmt w:val="bullet"/>
      <w:lvlText w:val="•"/>
      <w:lvlJc w:val="left"/>
      <w:pPr>
        <w:tabs>
          <w:tab w:val="num" w:pos="5760"/>
        </w:tabs>
        <w:ind w:left="5760" w:hanging="360"/>
      </w:pPr>
      <w:rPr>
        <w:rFonts w:ascii="Arial" w:hAnsi="Arial" w:hint="default"/>
      </w:rPr>
    </w:lvl>
    <w:lvl w:ilvl="8" w:tplc="1764D4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661608"/>
    <w:multiLevelType w:val="hybridMultilevel"/>
    <w:tmpl w:val="EC866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1C8B3DD7"/>
    <w:multiLevelType w:val="hybridMultilevel"/>
    <w:tmpl w:val="59709066"/>
    <w:lvl w:ilvl="0" w:tplc="02FCF108">
      <w:start w:val="1"/>
      <w:numFmt w:val="bullet"/>
      <w:lvlText w:val="•"/>
      <w:lvlJc w:val="left"/>
      <w:pPr>
        <w:tabs>
          <w:tab w:val="num" w:pos="720"/>
        </w:tabs>
        <w:ind w:left="720" w:hanging="360"/>
      </w:pPr>
      <w:rPr>
        <w:rFonts w:ascii="Arial" w:hAnsi="Arial" w:hint="default"/>
      </w:rPr>
    </w:lvl>
    <w:lvl w:ilvl="1" w:tplc="7AA6AA4A" w:tentative="1">
      <w:start w:val="1"/>
      <w:numFmt w:val="bullet"/>
      <w:lvlText w:val="•"/>
      <w:lvlJc w:val="left"/>
      <w:pPr>
        <w:tabs>
          <w:tab w:val="num" w:pos="1440"/>
        </w:tabs>
        <w:ind w:left="1440" w:hanging="360"/>
      </w:pPr>
      <w:rPr>
        <w:rFonts w:ascii="Arial" w:hAnsi="Arial" w:hint="default"/>
      </w:rPr>
    </w:lvl>
    <w:lvl w:ilvl="2" w:tplc="46CEBF6E" w:tentative="1">
      <w:start w:val="1"/>
      <w:numFmt w:val="bullet"/>
      <w:lvlText w:val="•"/>
      <w:lvlJc w:val="left"/>
      <w:pPr>
        <w:tabs>
          <w:tab w:val="num" w:pos="2160"/>
        </w:tabs>
        <w:ind w:left="2160" w:hanging="360"/>
      </w:pPr>
      <w:rPr>
        <w:rFonts w:ascii="Arial" w:hAnsi="Arial" w:hint="default"/>
      </w:rPr>
    </w:lvl>
    <w:lvl w:ilvl="3" w:tplc="7FBA9ED2" w:tentative="1">
      <w:start w:val="1"/>
      <w:numFmt w:val="bullet"/>
      <w:lvlText w:val="•"/>
      <w:lvlJc w:val="left"/>
      <w:pPr>
        <w:tabs>
          <w:tab w:val="num" w:pos="2880"/>
        </w:tabs>
        <w:ind w:left="2880" w:hanging="360"/>
      </w:pPr>
      <w:rPr>
        <w:rFonts w:ascii="Arial" w:hAnsi="Arial" w:hint="default"/>
      </w:rPr>
    </w:lvl>
    <w:lvl w:ilvl="4" w:tplc="81C60CC8" w:tentative="1">
      <w:start w:val="1"/>
      <w:numFmt w:val="bullet"/>
      <w:lvlText w:val="•"/>
      <w:lvlJc w:val="left"/>
      <w:pPr>
        <w:tabs>
          <w:tab w:val="num" w:pos="3600"/>
        </w:tabs>
        <w:ind w:left="3600" w:hanging="360"/>
      </w:pPr>
      <w:rPr>
        <w:rFonts w:ascii="Arial" w:hAnsi="Arial" w:hint="default"/>
      </w:rPr>
    </w:lvl>
    <w:lvl w:ilvl="5" w:tplc="90C44E94" w:tentative="1">
      <w:start w:val="1"/>
      <w:numFmt w:val="bullet"/>
      <w:lvlText w:val="•"/>
      <w:lvlJc w:val="left"/>
      <w:pPr>
        <w:tabs>
          <w:tab w:val="num" w:pos="4320"/>
        </w:tabs>
        <w:ind w:left="4320" w:hanging="360"/>
      </w:pPr>
      <w:rPr>
        <w:rFonts w:ascii="Arial" w:hAnsi="Arial" w:hint="default"/>
      </w:rPr>
    </w:lvl>
    <w:lvl w:ilvl="6" w:tplc="E64CA0A4" w:tentative="1">
      <w:start w:val="1"/>
      <w:numFmt w:val="bullet"/>
      <w:lvlText w:val="•"/>
      <w:lvlJc w:val="left"/>
      <w:pPr>
        <w:tabs>
          <w:tab w:val="num" w:pos="5040"/>
        </w:tabs>
        <w:ind w:left="5040" w:hanging="360"/>
      </w:pPr>
      <w:rPr>
        <w:rFonts w:ascii="Arial" w:hAnsi="Arial" w:hint="default"/>
      </w:rPr>
    </w:lvl>
    <w:lvl w:ilvl="7" w:tplc="5F360D26" w:tentative="1">
      <w:start w:val="1"/>
      <w:numFmt w:val="bullet"/>
      <w:lvlText w:val="•"/>
      <w:lvlJc w:val="left"/>
      <w:pPr>
        <w:tabs>
          <w:tab w:val="num" w:pos="5760"/>
        </w:tabs>
        <w:ind w:left="5760" w:hanging="360"/>
      </w:pPr>
      <w:rPr>
        <w:rFonts w:ascii="Arial" w:hAnsi="Arial" w:hint="default"/>
      </w:rPr>
    </w:lvl>
    <w:lvl w:ilvl="8" w:tplc="BE0C55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913599"/>
    <w:multiLevelType w:val="multilevel"/>
    <w:tmpl w:val="02AA8FA0"/>
    <w:numStyleLink w:val="ListBullets"/>
  </w:abstractNum>
  <w:abstractNum w:abstractNumId="12" w15:restartNumberingAfterBreak="0">
    <w:nsid w:val="2F2425AB"/>
    <w:multiLevelType w:val="multilevel"/>
    <w:tmpl w:val="BC8603C0"/>
    <w:numStyleLink w:val="ListNumbers"/>
  </w:abstractNum>
  <w:abstractNum w:abstractNumId="13" w15:restartNumberingAfterBreak="0">
    <w:nsid w:val="3E4A5902"/>
    <w:multiLevelType w:val="hybridMultilevel"/>
    <w:tmpl w:val="EA44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6E5CD5"/>
    <w:multiLevelType w:val="hybridMultilevel"/>
    <w:tmpl w:val="461057F8"/>
    <w:lvl w:ilvl="0" w:tplc="53484AB4">
      <w:start w:val="1"/>
      <w:numFmt w:val="bullet"/>
      <w:lvlText w:val="•"/>
      <w:lvlJc w:val="left"/>
      <w:pPr>
        <w:tabs>
          <w:tab w:val="num" w:pos="720"/>
        </w:tabs>
        <w:ind w:left="720" w:hanging="360"/>
      </w:pPr>
      <w:rPr>
        <w:rFonts w:ascii="Arial" w:hAnsi="Arial" w:hint="default"/>
      </w:rPr>
    </w:lvl>
    <w:lvl w:ilvl="1" w:tplc="655CF472" w:tentative="1">
      <w:start w:val="1"/>
      <w:numFmt w:val="bullet"/>
      <w:lvlText w:val="•"/>
      <w:lvlJc w:val="left"/>
      <w:pPr>
        <w:tabs>
          <w:tab w:val="num" w:pos="1440"/>
        </w:tabs>
        <w:ind w:left="1440" w:hanging="360"/>
      </w:pPr>
      <w:rPr>
        <w:rFonts w:ascii="Arial" w:hAnsi="Arial" w:hint="default"/>
      </w:rPr>
    </w:lvl>
    <w:lvl w:ilvl="2" w:tplc="47C0F2EE" w:tentative="1">
      <w:start w:val="1"/>
      <w:numFmt w:val="bullet"/>
      <w:lvlText w:val="•"/>
      <w:lvlJc w:val="left"/>
      <w:pPr>
        <w:tabs>
          <w:tab w:val="num" w:pos="2160"/>
        </w:tabs>
        <w:ind w:left="2160" w:hanging="360"/>
      </w:pPr>
      <w:rPr>
        <w:rFonts w:ascii="Arial" w:hAnsi="Arial" w:hint="default"/>
      </w:rPr>
    </w:lvl>
    <w:lvl w:ilvl="3" w:tplc="45B455C0" w:tentative="1">
      <w:start w:val="1"/>
      <w:numFmt w:val="bullet"/>
      <w:lvlText w:val="•"/>
      <w:lvlJc w:val="left"/>
      <w:pPr>
        <w:tabs>
          <w:tab w:val="num" w:pos="2880"/>
        </w:tabs>
        <w:ind w:left="2880" w:hanging="360"/>
      </w:pPr>
      <w:rPr>
        <w:rFonts w:ascii="Arial" w:hAnsi="Arial" w:hint="default"/>
      </w:rPr>
    </w:lvl>
    <w:lvl w:ilvl="4" w:tplc="32EE1D38" w:tentative="1">
      <w:start w:val="1"/>
      <w:numFmt w:val="bullet"/>
      <w:lvlText w:val="•"/>
      <w:lvlJc w:val="left"/>
      <w:pPr>
        <w:tabs>
          <w:tab w:val="num" w:pos="3600"/>
        </w:tabs>
        <w:ind w:left="3600" w:hanging="360"/>
      </w:pPr>
      <w:rPr>
        <w:rFonts w:ascii="Arial" w:hAnsi="Arial" w:hint="default"/>
      </w:rPr>
    </w:lvl>
    <w:lvl w:ilvl="5" w:tplc="60F2BDEE" w:tentative="1">
      <w:start w:val="1"/>
      <w:numFmt w:val="bullet"/>
      <w:lvlText w:val="•"/>
      <w:lvlJc w:val="left"/>
      <w:pPr>
        <w:tabs>
          <w:tab w:val="num" w:pos="4320"/>
        </w:tabs>
        <w:ind w:left="4320" w:hanging="360"/>
      </w:pPr>
      <w:rPr>
        <w:rFonts w:ascii="Arial" w:hAnsi="Arial" w:hint="default"/>
      </w:rPr>
    </w:lvl>
    <w:lvl w:ilvl="6" w:tplc="0C5EC82C" w:tentative="1">
      <w:start w:val="1"/>
      <w:numFmt w:val="bullet"/>
      <w:lvlText w:val="•"/>
      <w:lvlJc w:val="left"/>
      <w:pPr>
        <w:tabs>
          <w:tab w:val="num" w:pos="5040"/>
        </w:tabs>
        <w:ind w:left="5040" w:hanging="360"/>
      </w:pPr>
      <w:rPr>
        <w:rFonts w:ascii="Arial" w:hAnsi="Arial" w:hint="default"/>
      </w:rPr>
    </w:lvl>
    <w:lvl w:ilvl="7" w:tplc="F6F834D8" w:tentative="1">
      <w:start w:val="1"/>
      <w:numFmt w:val="bullet"/>
      <w:lvlText w:val="•"/>
      <w:lvlJc w:val="left"/>
      <w:pPr>
        <w:tabs>
          <w:tab w:val="num" w:pos="5760"/>
        </w:tabs>
        <w:ind w:left="5760" w:hanging="360"/>
      </w:pPr>
      <w:rPr>
        <w:rFonts w:ascii="Arial" w:hAnsi="Arial" w:hint="default"/>
      </w:rPr>
    </w:lvl>
    <w:lvl w:ilvl="8" w:tplc="CAF6C77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DD5C12"/>
    <w:multiLevelType w:val="multilevel"/>
    <w:tmpl w:val="20F2356A"/>
    <w:numStyleLink w:val="Appendix"/>
  </w:abstractNum>
  <w:abstractNum w:abstractNumId="16" w15:restartNumberingAfterBreak="0">
    <w:nsid w:val="473F6F8E"/>
    <w:multiLevelType w:val="hybridMultilevel"/>
    <w:tmpl w:val="EA2C45E4"/>
    <w:lvl w:ilvl="0" w:tplc="D18A5208">
      <w:start w:val="1"/>
      <w:numFmt w:val="bullet"/>
      <w:lvlText w:val="•"/>
      <w:lvlJc w:val="left"/>
      <w:pPr>
        <w:tabs>
          <w:tab w:val="num" w:pos="720"/>
        </w:tabs>
        <w:ind w:left="720" w:hanging="360"/>
      </w:pPr>
      <w:rPr>
        <w:rFonts w:ascii="Arial" w:hAnsi="Arial" w:hint="default"/>
      </w:rPr>
    </w:lvl>
    <w:lvl w:ilvl="1" w:tplc="7E8E7F7E" w:tentative="1">
      <w:start w:val="1"/>
      <w:numFmt w:val="bullet"/>
      <w:lvlText w:val="•"/>
      <w:lvlJc w:val="left"/>
      <w:pPr>
        <w:tabs>
          <w:tab w:val="num" w:pos="1440"/>
        </w:tabs>
        <w:ind w:left="1440" w:hanging="360"/>
      </w:pPr>
      <w:rPr>
        <w:rFonts w:ascii="Arial" w:hAnsi="Arial" w:hint="default"/>
      </w:rPr>
    </w:lvl>
    <w:lvl w:ilvl="2" w:tplc="6C2EC106" w:tentative="1">
      <w:start w:val="1"/>
      <w:numFmt w:val="bullet"/>
      <w:lvlText w:val="•"/>
      <w:lvlJc w:val="left"/>
      <w:pPr>
        <w:tabs>
          <w:tab w:val="num" w:pos="2160"/>
        </w:tabs>
        <w:ind w:left="2160" w:hanging="360"/>
      </w:pPr>
      <w:rPr>
        <w:rFonts w:ascii="Arial" w:hAnsi="Arial" w:hint="default"/>
      </w:rPr>
    </w:lvl>
    <w:lvl w:ilvl="3" w:tplc="837821E2" w:tentative="1">
      <w:start w:val="1"/>
      <w:numFmt w:val="bullet"/>
      <w:lvlText w:val="•"/>
      <w:lvlJc w:val="left"/>
      <w:pPr>
        <w:tabs>
          <w:tab w:val="num" w:pos="2880"/>
        </w:tabs>
        <w:ind w:left="2880" w:hanging="360"/>
      </w:pPr>
      <w:rPr>
        <w:rFonts w:ascii="Arial" w:hAnsi="Arial" w:hint="default"/>
      </w:rPr>
    </w:lvl>
    <w:lvl w:ilvl="4" w:tplc="4EF473E6" w:tentative="1">
      <w:start w:val="1"/>
      <w:numFmt w:val="bullet"/>
      <w:lvlText w:val="•"/>
      <w:lvlJc w:val="left"/>
      <w:pPr>
        <w:tabs>
          <w:tab w:val="num" w:pos="3600"/>
        </w:tabs>
        <w:ind w:left="3600" w:hanging="360"/>
      </w:pPr>
      <w:rPr>
        <w:rFonts w:ascii="Arial" w:hAnsi="Arial" w:hint="default"/>
      </w:rPr>
    </w:lvl>
    <w:lvl w:ilvl="5" w:tplc="DEEA6B34" w:tentative="1">
      <w:start w:val="1"/>
      <w:numFmt w:val="bullet"/>
      <w:lvlText w:val="•"/>
      <w:lvlJc w:val="left"/>
      <w:pPr>
        <w:tabs>
          <w:tab w:val="num" w:pos="4320"/>
        </w:tabs>
        <w:ind w:left="4320" w:hanging="360"/>
      </w:pPr>
      <w:rPr>
        <w:rFonts w:ascii="Arial" w:hAnsi="Arial" w:hint="default"/>
      </w:rPr>
    </w:lvl>
    <w:lvl w:ilvl="6" w:tplc="40F4660A" w:tentative="1">
      <w:start w:val="1"/>
      <w:numFmt w:val="bullet"/>
      <w:lvlText w:val="•"/>
      <w:lvlJc w:val="left"/>
      <w:pPr>
        <w:tabs>
          <w:tab w:val="num" w:pos="5040"/>
        </w:tabs>
        <w:ind w:left="5040" w:hanging="360"/>
      </w:pPr>
      <w:rPr>
        <w:rFonts w:ascii="Arial" w:hAnsi="Arial" w:hint="default"/>
      </w:rPr>
    </w:lvl>
    <w:lvl w:ilvl="7" w:tplc="F4EA7FFA" w:tentative="1">
      <w:start w:val="1"/>
      <w:numFmt w:val="bullet"/>
      <w:lvlText w:val="•"/>
      <w:lvlJc w:val="left"/>
      <w:pPr>
        <w:tabs>
          <w:tab w:val="num" w:pos="5760"/>
        </w:tabs>
        <w:ind w:left="5760" w:hanging="360"/>
      </w:pPr>
      <w:rPr>
        <w:rFonts w:ascii="Arial" w:hAnsi="Arial" w:hint="default"/>
      </w:rPr>
    </w:lvl>
    <w:lvl w:ilvl="8" w:tplc="394A17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8"/>
  </w:num>
  <w:num w:numId="2">
    <w:abstractNumId w:val="17"/>
  </w:num>
  <w:num w:numId="3">
    <w:abstractNumId w:val="7"/>
  </w:num>
  <w:num w:numId="4">
    <w:abstractNumId w:val="8"/>
  </w:num>
  <w:num w:numId="5">
    <w:abstractNumId w:val="3"/>
  </w:num>
  <w:num w:numId="6">
    <w:abstractNumId w:val="11"/>
  </w:num>
  <w:num w:numId="7">
    <w:abstractNumId w:val="21"/>
  </w:num>
  <w:num w:numId="8">
    <w:abstractNumId w:val="12"/>
  </w:num>
  <w:num w:numId="9">
    <w:abstractNumId w:val="19"/>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0"/>
  </w:num>
  <w:num w:numId="14">
    <w:abstractNumId w:val="2"/>
  </w:num>
  <w:num w:numId="15">
    <w:abstractNumId w:val="1"/>
  </w:num>
  <w:num w:numId="16">
    <w:abstractNumId w:val="0"/>
  </w:num>
  <w:num w:numId="17">
    <w:abstractNumId w:val="4"/>
  </w:num>
  <w:num w:numId="18">
    <w:abstractNumId w:val="13"/>
  </w:num>
  <w:num w:numId="19">
    <w:abstractNumId w:val="6"/>
  </w:num>
  <w:num w:numId="20">
    <w:abstractNumId w:val="14"/>
  </w:num>
  <w:num w:numId="21">
    <w:abstractNumId w:val="5"/>
  </w:num>
  <w:num w:numId="22">
    <w:abstractNumId w:val="9"/>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0B"/>
    <w:rsid w:val="00014D15"/>
    <w:rsid w:val="000700EF"/>
    <w:rsid w:val="000A7C1A"/>
    <w:rsid w:val="000D7DF9"/>
    <w:rsid w:val="001C14FE"/>
    <w:rsid w:val="00216CAE"/>
    <w:rsid w:val="0026163B"/>
    <w:rsid w:val="002769D6"/>
    <w:rsid w:val="003365CE"/>
    <w:rsid w:val="00387658"/>
    <w:rsid w:val="00487B13"/>
    <w:rsid w:val="00596111"/>
    <w:rsid w:val="005F0A16"/>
    <w:rsid w:val="005F59C0"/>
    <w:rsid w:val="00612229"/>
    <w:rsid w:val="00626E31"/>
    <w:rsid w:val="006D6E8A"/>
    <w:rsid w:val="00774EE5"/>
    <w:rsid w:val="00807EEA"/>
    <w:rsid w:val="008D0708"/>
    <w:rsid w:val="00905F94"/>
    <w:rsid w:val="00924AEF"/>
    <w:rsid w:val="009D1F09"/>
    <w:rsid w:val="00A26036"/>
    <w:rsid w:val="00A81E82"/>
    <w:rsid w:val="00AA4B88"/>
    <w:rsid w:val="00AB6F06"/>
    <w:rsid w:val="00B230FF"/>
    <w:rsid w:val="00B57188"/>
    <w:rsid w:val="00B75616"/>
    <w:rsid w:val="00C6669A"/>
    <w:rsid w:val="00DD77B4"/>
    <w:rsid w:val="00DE402A"/>
    <w:rsid w:val="00DF7A0B"/>
    <w:rsid w:val="00E3214D"/>
    <w:rsid w:val="00EB5521"/>
    <w:rsid w:val="00ED4E42"/>
    <w:rsid w:val="00F32C63"/>
    <w:rsid w:val="00F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9A327"/>
  <w15:docId w15:val="{82AEB7FD-F8B3-43E5-8CF3-421E524C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21"/>
    <w:pPr>
      <w:spacing w:before="120"/>
    </w:pPr>
    <w:rPr>
      <w:rFonts w:eastAsia="Calibri"/>
      <w:sz w:val="22"/>
      <w:szCs w:val="22"/>
      <w:lang w:eastAsia="en-US"/>
    </w:rPr>
  </w:style>
  <w:style w:type="paragraph" w:styleId="Heading1">
    <w:name w:val="heading 1"/>
    <w:basedOn w:val="Heading4"/>
    <w:next w:val="Normal"/>
    <w:link w:val="Heading1Char"/>
    <w:uiPriority w:val="1"/>
    <w:qFormat/>
    <w:rsid w:val="002769D6"/>
    <w:pPr>
      <w:outlineLvl w:val="0"/>
    </w:pPr>
    <w:rPr>
      <w:rFonts w:ascii="Calibri" w:hAnsi="Calibri"/>
      <w:bCs/>
      <w:color w:val="000000"/>
      <w:sz w:val="56"/>
      <w:szCs w:val="28"/>
    </w:rPr>
  </w:style>
  <w:style w:type="paragraph" w:styleId="Heading2">
    <w:name w:val="heading 2"/>
    <w:basedOn w:val="Normal"/>
    <w:next w:val="Normal"/>
    <w:link w:val="Heading2Char"/>
    <w:uiPriority w:val="3"/>
    <w:qFormat/>
    <w:rsid w:val="00EB5521"/>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EB5521"/>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next w:val="Normal"/>
    <w:link w:val="Heading4Char"/>
    <w:uiPriority w:val="5"/>
    <w:qFormat/>
    <w:rsid w:val="006D6E8A"/>
    <w:pPr>
      <w:spacing w:before="120"/>
      <w:outlineLvl w:val="3"/>
    </w:pPr>
    <w:rPr>
      <w:rFonts w:asciiTheme="minorHAnsi" w:eastAsiaTheme="minorEastAsia" w:hAnsiTheme="minorHAnsi" w:cstheme="minorBidi"/>
      <w:b/>
      <w:sz w:val="28"/>
      <w:szCs w:val="22"/>
      <w:lang w:eastAsia="ja-JP"/>
    </w:rPr>
  </w:style>
  <w:style w:type="paragraph" w:styleId="Heading5">
    <w:name w:val="heading 5"/>
    <w:next w:val="Normal"/>
    <w:link w:val="Heading5Char"/>
    <w:uiPriority w:val="9"/>
    <w:unhideWhenUsed/>
    <w:rsid w:val="006D6E8A"/>
    <w:pPr>
      <w:keepNext/>
      <w:keepLines/>
      <w:spacing w:before="200"/>
      <w:outlineLvl w:val="4"/>
    </w:pPr>
    <w:rPr>
      <w:rFonts w:eastAsiaTheme="majorEastAsia" w:cstheme="majorBidi"/>
      <w:b/>
      <w:i/>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rsid w:val="00EB5521"/>
    <w:pPr>
      <w:numPr>
        <w:numId w:val="1"/>
      </w:numPr>
    </w:pPr>
  </w:style>
  <w:style w:type="character" w:customStyle="1" w:styleId="Heading1Char">
    <w:name w:val="Heading 1 Char"/>
    <w:basedOn w:val="DefaultParagraphFont"/>
    <w:link w:val="Heading1"/>
    <w:uiPriority w:val="1"/>
    <w:rsid w:val="002769D6"/>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sid w:val="00EB5521"/>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sid w:val="00EB5521"/>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6D6E8A"/>
    <w:rPr>
      <w:rFonts w:asciiTheme="minorHAnsi" w:eastAsiaTheme="minorEastAsia" w:hAnsiTheme="minorHAnsi" w:cstheme="minorBidi"/>
      <w:b/>
      <w:sz w:val="28"/>
      <w:szCs w:val="22"/>
      <w:lang w:eastAsia="ja-JP"/>
    </w:rPr>
  </w:style>
  <w:style w:type="character" w:customStyle="1" w:styleId="Heading5Char">
    <w:name w:val="Heading 5 Char"/>
    <w:basedOn w:val="DefaultParagraphFont"/>
    <w:link w:val="Heading5"/>
    <w:uiPriority w:val="9"/>
    <w:rsid w:val="006D6E8A"/>
    <w:rPr>
      <w:rFonts w:eastAsiaTheme="majorEastAsia" w:cstheme="majorBidi"/>
      <w:b/>
      <w:i/>
      <w:sz w:val="24"/>
      <w:szCs w:val="22"/>
      <w:lang w:eastAsia="en-US"/>
    </w:rPr>
  </w:style>
  <w:style w:type="paragraph" w:styleId="TOC1">
    <w:name w:val="toc 1"/>
    <w:basedOn w:val="Normal"/>
    <w:next w:val="Normal"/>
    <w:uiPriority w:val="39"/>
    <w:unhideWhenUsed/>
    <w:qFormat/>
    <w:rsid w:val="00EB5521"/>
    <w:pPr>
      <w:tabs>
        <w:tab w:val="left" w:pos="426"/>
        <w:tab w:val="right" w:leader="dot" w:pos="9072"/>
      </w:tabs>
      <w:spacing w:after="120"/>
    </w:pPr>
    <w:rPr>
      <w:b/>
      <w:noProof/>
    </w:rPr>
  </w:style>
  <w:style w:type="paragraph" w:styleId="TOC2">
    <w:name w:val="toc 2"/>
    <w:basedOn w:val="Normal"/>
    <w:next w:val="Normal"/>
    <w:uiPriority w:val="39"/>
    <w:unhideWhenUsed/>
    <w:qFormat/>
    <w:rsid w:val="00EB5521"/>
    <w:pPr>
      <w:tabs>
        <w:tab w:val="right" w:leader="dot" w:pos="9060"/>
      </w:tabs>
      <w:spacing w:after="120"/>
      <w:ind w:firstLine="425"/>
    </w:pPr>
    <w:rPr>
      <w:noProof/>
    </w:rPr>
  </w:style>
  <w:style w:type="paragraph" w:styleId="TOC3">
    <w:name w:val="toc 3"/>
    <w:basedOn w:val="Normal"/>
    <w:next w:val="Normal"/>
    <w:uiPriority w:val="39"/>
    <w:unhideWhenUsed/>
    <w:qFormat/>
    <w:rsid w:val="00EB5521"/>
    <w:pPr>
      <w:tabs>
        <w:tab w:val="right" w:leader="dot" w:pos="9072"/>
      </w:tabs>
      <w:spacing w:after="120"/>
      <w:ind w:firstLine="851"/>
    </w:pPr>
    <w:rPr>
      <w:noProof/>
    </w:rPr>
  </w:style>
  <w:style w:type="paragraph" w:styleId="Caption">
    <w:name w:val="caption"/>
    <w:basedOn w:val="Normal"/>
    <w:next w:val="Normal"/>
    <w:uiPriority w:val="12"/>
    <w:qFormat/>
    <w:rsid w:val="00EB5521"/>
    <w:pPr>
      <w:keepNext/>
      <w:spacing w:before="360" w:after="120"/>
    </w:pPr>
    <w:rPr>
      <w:b/>
      <w:bCs/>
      <w:sz w:val="24"/>
      <w:szCs w:val="18"/>
    </w:rPr>
  </w:style>
  <w:style w:type="paragraph" w:styleId="ListBullet">
    <w:name w:val="List Bullet"/>
    <w:basedOn w:val="Normal"/>
    <w:uiPriority w:val="7"/>
    <w:qFormat/>
    <w:rsid w:val="00EB5521"/>
    <w:pPr>
      <w:numPr>
        <w:numId w:val="6"/>
      </w:numPr>
      <w:spacing w:after="120"/>
    </w:pPr>
  </w:style>
  <w:style w:type="paragraph" w:styleId="ListNumber">
    <w:name w:val="List Number"/>
    <w:basedOn w:val="Normal"/>
    <w:uiPriority w:val="9"/>
    <w:qFormat/>
    <w:rsid w:val="00EB5521"/>
    <w:pPr>
      <w:numPr>
        <w:numId w:val="8"/>
      </w:numPr>
      <w:spacing w:after="120"/>
    </w:pPr>
  </w:style>
  <w:style w:type="paragraph" w:styleId="ListBullet2">
    <w:name w:val="List Bullet 2"/>
    <w:basedOn w:val="Normal"/>
    <w:uiPriority w:val="8"/>
    <w:qFormat/>
    <w:rsid w:val="00EB5521"/>
    <w:pPr>
      <w:numPr>
        <w:ilvl w:val="1"/>
        <w:numId w:val="6"/>
      </w:numPr>
      <w:spacing w:after="120"/>
      <w:contextualSpacing/>
    </w:pPr>
  </w:style>
  <w:style w:type="paragraph" w:styleId="ListNumber2">
    <w:name w:val="List Number 2"/>
    <w:uiPriority w:val="10"/>
    <w:qFormat/>
    <w:rsid w:val="00EB5521"/>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rsid w:val="00EB5521"/>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rsid w:val="00EB5521"/>
    <w:pPr>
      <w:tabs>
        <w:tab w:val="center" w:pos="4820"/>
      </w:tabs>
      <w:jc w:val="center"/>
    </w:pPr>
    <w:rPr>
      <w:rFonts w:ascii="Calibri" w:eastAsia="Calibri" w:hAnsi="Calibri"/>
      <w:b/>
      <w:color w:val="FF0000"/>
      <w:sz w:val="36"/>
      <w:szCs w:val="36"/>
      <w:lang w:eastAsia="en-US"/>
    </w:rPr>
  </w:style>
  <w:style w:type="character" w:styleId="Hyperlink">
    <w:name w:val="Hyperlink"/>
    <w:basedOn w:val="DefaultParagraphFont"/>
    <w:uiPriority w:val="99"/>
    <w:qFormat/>
    <w:rsid w:val="00EB5521"/>
    <w:rPr>
      <w:color w:val="165788"/>
      <w:u w:val="single"/>
    </w:rPr>
  </w:style>
  <w:style w:type="character" w:styleId="Strong">
    <w:name w:val="Strong"/>
    <w:basedOn w:val="DefaultParagraphFont"/>
    <w:uiPriority w:val="99"/>
    <w:qFormat/>
    <w:rsid w:val="00EB5521"/>
    <w:rPr>
      <w:b/>
      <w:bCs/>
    </w:rPr>
  </w:style>
  <w:style w:type="character" w:styleId="Emphasis">
    <w:name w:val="Emphasis"/>
    <w:basedOn w:val="DefaultParagraphFont"/>
    <w:uiPriority w:val="99"/>
    <w:qFormat/>
    <w:rsid w:val="00EB5521"/>
    <w:rPr>
      <w:i/>
      <w:iCs/>
    </w:rPr>
  </w:style>
  <w:style w:type="paragraph" w:styleId="Quote">
    <w:name w:val="Quote"/>
    <w:basedOn w:val="Normal"/>
    <w:next w:val="Normal"/>
    <w:link w:val="QuoteChar"/>
    <w:uiPriority w:val="18"/>
    <w:qFormat/>
    <w:rsid w:val="00EB5521"/>
    <w:pPr>
      <w:ind w:left="709" w:right="567"/>
    </w:pPr>
    <w:rPr>
      <w:rFonts w:eastAsia="Times New Roman"/>
      <w:iCs/>
      <w:color w:val="000000"/>
      <w:sz w:val="20"/>
      <w:szCs w:val="24"/>
    </w:rPr>
  </w:style>
  <w:style w:type="character" w:customStyle="1" w:styleId="QuoteChar">
    <w:name w:val="Quote Char"/>
    <w:basedOn w:val="DefaultParagraphFont"/>
    <w:link w:val="Quote"/>
    <w:uiPriority w:val="18"/>
    <w:rsid w:val="00EB5521"/>
    <w:rPr>
      <w:rFonts w:eastAsia="Times New Roman"/>
      <w:iCs/>
      <w:color w:val="000000"/>
      <w:szCs w:val="24"/>
      <w:lang w:eastAsia="en-US"/>
    </w:rPr>
  </w:style>
  <w:style w:type="paragraph" w:styleId="TOCHeading">
    <w:name w:val="TOC Heading"/>
    <w:next w:val="Normal"/>
    <w:uiPriority w:val="39"/>
    <w:qFormat/>
    <w:rsid w:val="00EB5521"/>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rsid w:val="00EB5521"/>
    <w:pPr>
      <w:tabs>
        <w:tab w:val="center" w:pos="4536"/>
      </w:tabs>
      <w:spacing w:after="120"/>
      <w:jc w:val="center"/>
    </w:pPr>
    <w:rPr>
      <w:sz w:val="16"/>
    </w:rPr>
  </w:style>
  <w:style w:type="paragraph" w:styleId="Footer">
    <w:name w:val="footer"/>
    <w:next w:val="Footeraddress"/>
    <w:link w:val="FooterChar"/>
    <w:uiPriority w:val="99"/>
    <w:unhideWhenUsed/>
    <w:rsid w:val="00EB5521"/>
    <w:pPr>
      <w:tabs>
        <w:tab w:val="right" w:pos="9026"/>
      </w:tabs>
    </w:pPr>
    <w:rPr>
      <w:rFonts w:ascii="Calibri" w:hAnsi="Calibri"/>
    </w:rPr>
  </w:style>
  <w:style w:type="character" w:customStyle="1" w:styleId="FooterChar">
    <w:name w:val="Footer Char"/>
    <w:basedOn w:val="DefaultParagraphFont"/>
    <w:link w:val="Footer"/>
    <w:uiPriority w:val="99"/>
    <w:rsid w:val="00EB5521"/>
    <w:rPr>
      <w:rFonts w:ascii="Calibri" w:hAnsi="Calibri"/>
    </w:rPr>
  </w:style>
  <w:style w:type="paragraph" w:customStyle="1" w:styleId="BoxText">
    <w:name w:val="Box Text"/>
    <w:basedOn w:val="Normal"/>
    <w:uiPriority w:val="19"/>
    <w:qFormat/>
    <w:rsid w:val="00EB5521"/>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rsid w:val="00EB5521"/>
    <w:pPr>
      <w:spacing w:line="264" w:lineRule="auto"/>
      <w:contextualSpacing/>
    </w:pPr>
    <w:rPr>
      <w:sz w:val="18"/>
    </w:rPr>
  </w:style>
  <w:style w:type="paragraph" w:customStyle="1" w:styleId="BasicParagraph">
    <w:name w:val="[Basic Paragraph]"/>
    <w:basedOn w:val="Normal"/>
    <w:uiPriority w:val="99"/>
    <w:rsid w:val="00EB5521"/>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rsid w:val="00EB5521"/>
    <w:pPr>
      <w:spacing w:before="60" w:after="60"/>
    </w:pPr>
    <w:rPr>
      <w:sz w:val="18"/>
    </w:rPr>
  </w:style>
  <w:style w:type="paragraph" w:customStyle="1" w:styleId="TableHeading">
    <w:name w:val="Table Heading"/>
    <w:basedOn w:val="TableText"/>
    <w:uiPriority w:val="14"/>
    <w:qFormat/>
    <w:rsid w:val="00EB5521"/>
    <w:pPr>
      <w:keepNext/>
    </w:pPr>
    <w:rPr>
      <w:b/>
    </w:rPr>
  </w:style>
  <w:style w:type="numbering" w:customStyle="1" w:styleId="Headings">
    <w:name w:val="Headings"/>
    <w:uiPriority w:val="99"/>
    <w:rsid w:val="00EB5521"/>
    <w:pPr>
      <w:numPr>
        <w:numId w:val="9"/>
      </w:numPr>
    </w:pPr>
  </w:style>
  <w:style w:type="paragraph" w:customStyle="1" w:styleId="BoxTextBullet">
    <w:name w:val="Box Text Bullet"/>
    <w:basedOn w:val="BoxText"/>
    <w:uiPriority w:val="21"/>
    <w:qFormat/>
    <w:rsid w:val="00EB5521"/>
    <w:pPr>
      <w:numPr>
        <w:numId w:val="2"/>
      </w:numPr>
      <w:tabs>
        <w:tab w:val="left" w:pos="227"/>
      </w:tabs>
      <w:ind w:left="0" w:firstLine="0"/>
    </w:pPr>
  </w:style>
  <w:style w:type="paragraph" w:customStyle="1" w:styleId="TableBullet">
    <w:name w:val="Table Bullet"/>
    <w:basedOn w:val="TableText"/>
    <w:uiPriority w:val="15"/>
    <w:qFormat/>
    <w:rsid w:val="00EB5521"/>
    <w:pPr>
      <w:numPr>
        <w:numId w:val="3"/>
      </w:numPr>
    </w:pPr>
  </w:style>
  <w:style w:type="paragraph" w:customStyle="1" w:styleId="BoxHeading">
    <w:name w:val="Box Heading"/>
    <w:basedOn w:val="BoxText"/>
    <w:uiPriority w:val="20"/>
    <w:qFormat/>
    <w:rsid w:val="00EB5521"/>
    <w:rPr>
      <w:b/>
    </w:rPr>
  </w:style>
  <w:style w:type="paragraph" w:customStyle="1" w:styleId="Securityclassification">
    <w:name w:val="Security classification"/>
    <w:basedOn w:val="Normal"/>
    <w:uiPriority w:val="26"/>
    <w:qFormat/>
    <w:rsid w:val="00EB5521"/>
    <w:pPr>
      <w:tabs>
        <w:tab w:val="center" w:pos="4820"/>
      </w:tabs>
      <w:jc w:val="center"/>
    </w:pPr>
    <w:rPr>
      <w:b/>
      <w:caps/>
      <w:color w:val="FF0000"/>
      <w:sz w:val="36"/>
      <w:szCs w:val="36"/>
    </w:rPr>
  </w:style>
  <w:style w:type="paragraph" w:styleId="Header">
    <w:name w:val="header"/>
    <w:link w:val="HeaderChar"/>
    <w:unhideWhenUsed/>
    <w:rsid w:val="00EB5521"/>
    <w:pPr>
      <w:tabs>
        <w:tab w:val="right" w:pos="9026"/>
      </w:tabs>
    </w:pPr>
    <w:rPr>
      <w:rFonts w:ascii="Calibri" w:hAnsi="Calibri"/>
    </w:rPr>
  </w:style>
  <w:style w:type="character" w:customStyle="1" w:styleId="HeaderChar">
    <w:name w:val="Header Char"/>
    <w:basedOn w:val="DefaultParagraphFont"/>
    <w:link w:val="Header"/>
    <w:rsid w:val="00EB5521"/>
    <w:rPr>
      <w:rFonts w:ascii="Calibri" w:hAnsi="Calibri"/>
    </w:rPr>
  </w:style>
  <w:style w:type="paragraph" w:customStyle="1" w:styleId="BoxSource">
    <w:name w:val="Box Source"/>
    <w:basedOn w:val="FigureTableNoteSource"/>
    <w:uiPriority w:val="22"/>
    <w:qFormat/>
    <w:rsid w:val="00EB5521"/>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rsid w:val="00EB5521"/>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sid w:val="00EB5521"/>
    <w:rPr>
      <w:rFonts w:ascii="Tahoma" w:hAnsi="Tahoma" w:cs="Tahoma"/>
      <w:sz w:val="16"/>
      <w:szCs w:val="16"/>
    </w:rPr>
  </w:style>
  <w:style w:type="character" w:customStyle="1" w:styleId="BalloonTextChar">
    <w:name w:val="Balloon Text Char"/>
    <w:basedOn w:val="DefaultParagraphFont"/>
    <w:link w:val="BalloonText"/>
    <w:uiPriority w:val="99"/>
    <w:semiHidden/>
    <w:rsid w:val="00EB5521"/>
    <w:rPr>
      <w:rFonts w:ascii="Tahoma" w:eastAsia="Calibri" w:hAnsi="Tahoma" w:cs="Tahoma"/>
      <w:sz w:val="16"/>
      <w:szCs w:val="16"/>
      <w:lang w:eastAsia="en-US"/>
    </w:rPr>
  </w:style>
  <w:style w:type="paragraph" w:styleId="TableofFigures">
    <w:name w:val="table of figures"/>
    <w:basedOn w:val="Normal"/>
    <w:next w:val="Normal"/>
    <w:uiPriority w:val="99"/>
    <w:unhideWhenUsed/>
    <w:rsid w:val="00EB5521"/>
  </w:style>
  <w:style w:type="numbering" w:customStyle="1" w:styleId="Appendix">
    <w:name w:val="Appendix"/>
    <w:uiPriority w:val="99"/>
    <w:rsid w:val="00EB5521"/>
    <w:pPr>
      <w:numPr>
        <w:numId w:val="10"/>
      </w:numPr>
    </w:pPr>
  </w:style>
  <w:style w:type="character" w:styleId="CommentReference">
    <w:name w:val="annotation reference"/>
    <w:basedOn w:val="DefaultParagraphFont"/>
    <w:uiPriority w:val="99"/>
    <w:semiHidden/>
    <w:unhideWhenUsed/>
    <w:rsid w:val="00EB5521"/>
    <w:rPr>
      <w:sz w:val="16"/>
      <w:szCs w:val="16"/>
    </w:rPr>
  </w:style>
  <w:style w:type="paragraph" w:styleId="CommentText">
    <w:name w:val="annotation text"/>
    <w:basedOn w:val="Normal"/>
    <w:link w:val="CommentTextChar"/>
    <w:uiPriority w:val="99"/>
    <w:semiHidden/>
    <w:unhideWhenUsed/>
    <w:rsid w:val="00EB5521"/>
    <w:rPr>
      <w:sz w:val="20"/>
      <w:szCs w:val="20"/>
    </w:rPr>
  </w:style>
  <w:style w:type="character" w:customStyle="1" w:styleId="CommentTextChar">
    <w:name w:val="Comment Text Char"/>
    <w:basedOn w:val="DefaultParagraphFont"/>
    <w:link w:val="CommentText"/>
    <w:uiPriority w:val="99"/>
    <w:semiHidden/>
    <w:rsid w:val="00EB5521"/>
    <w:rPr>
      <w:rFonts w:eastAsia="Calibri"/>
      <w:lang w:eastAsia="en-US"/>
    </w:rPr>
  </w:style>
  <w:style w:type="paragraph" w:styleId="CommentSubject">
    <w:name w:val="annotation subject"/>
    <w:basedOn w:val="CommentText"/>
    <w:next w:val="CommentText"/>
    <w:link w:val="CommentSubjectChar"/>
    <w:uiPriority w:val="99"/>
    <w:semiHidden/>
    <w:unhideWhenUsed/>
    <w:rsid w:val="00EB5521"/>
    <w:rPr>
      <w:b/>
      <w:bCs/>
    </w:rPr>
  </w:style>
  <w:style w:type="character" w:customStyle="1" w:styleId="CommentSubjectChar">
    <w:name w:val="Comment Subject Char"/>
    <w:basedOn w:val="CommentTextChar"/>
    <w:link w:val="CommentSubject"/>
    <w:uiPriority w:val="99"/>
    <w:semiHidden/>
    <w:rsid w:val="00EB5521"/>
    <w:rPr>
      <w:rFonts w:eastAsia="Calibri"/>
      <w:b/>
      <w:bCs/>
      <w:lang w:eastAsia="en-US"/>
    </w:rPr>
  </w:style>
  <w:style w:type="character" w:styleId="FollowedHyperlink">
    <w:name w:val="FollowedHyperlink"/>
    <w:basedOn w:val="DefaultParagraphFont"/>
    <w:uiPriority w:val="99"/>
    <w:semiHidden/>
    <w:unhideWhenUsed/>
    <w:rsid w:val="00EB5521"/>
    <w:rPr>
      <w:color w:val="800080" w:themeColor="followedHyperlink"/>
      <w:u w:val="single"/>
    </w:rPr>
  </w:style>
  <w:style w:type="numbering" w:customStyle="1" w:styleId="ListBullets">
    <w:name w:val="ListBullets"/>
    <w:uiPriority w:val="99"/>
    <w:rsid w:val="00EB5521"/>
    <w:pPr>
      <w:numPr>
        <w:numId w:val="4"/>
      </w:numPr>
    </w:pPr>
  </w:style>
  <w:style w:type="paragraph" w:styleId="ListBullet4">
    <w:name w:val="List Bullet 4"/>
    <w:basedOn w:val="Normal"/>
    <w:uiPriority w:val="99"/>
    <w:unhideWhenUsed/>
    <w:rsid w:val="00EB5521"/>
    <w:pPr>
      <w:numPr>
        <w:numId w:val="5"/>
      </w:numPr>
      <w:contextualSpacing/>
    </w:pPr>
  </w:style>
  <w:style w:type="paragraph" w:styleId="ListBullet3">
    <w:name w:val="List Bullet 3"/>
    <w:basedOn w:val="Normal"/>
    <w:uiPriority w:val="99"/>
    <w:unhideWhenUsed/>
    <w:rsid w:val="00EB5521"/>
    <w:pPr>
      <w:numPr>
        <w:ilvl w:val="2"/>
        <w:numId w:val="6"/>
      </w:numPr>
      <w:contextualSpacing/>
    </w:pPr>
  </w:style>
  <w:style w:type="numbering" w:customStyle="1" w:styleId="ListNumbers">
    <w:name w:val="ListNumbers"/>
    <w:uiPriority w:val="99"/>
    <w:rsid w:val="00EB5521"/>
    <w:pPr>
      <w:numPr>
        <w:numId w:val="7"/>
      </w:numPr>
    </w:pPr>
  </w:style>
  <w:style w:type="paragraph" w:customStyle="1" w:styleId="Picture">
    <w:name w:val="Picture"/>
    <w:qFormat/>
    <w:rsid w:val="00EB5521"/>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rsid w:val="00EB5521"/>
    <w:pPr>
      <w:ind w:left="1701"/>
    </w:pPr>
    <w:rPr>
      <w:sz w:val="40"/>
      <w:szCs w:val="40"/>
      <w:lang w:eastAsia="ja-JP"/>
    </w:rPr>
  </w:style>
  <w:style w:type="character" w:customStyle="1" w:styleId="SubtitleChar">
    <w:name w:val="Subtitle Char"/>
    <w:basedOn w:val="DefaultParagraphFont"/>
    <w:link w:val="Subtitle"/>
    <w:uiPriority w:val="23"/>
    <w:rsid w:val="00EB5521"/>
    <w:rPr>
      <w:rFonts w:eastAsia="Calibri"/>
      <w:sz w:val="40"/>
      <w:szCs w:val="40"/>
      <w:lang w:eastAsia="ja-JP"/>
    </w:rPr>
  </w:style>
  <w:style w:type="paragraph" w:styleId="Date">
    <w:name w:val="Date"/>
    <w:basedOn w:val="Normal"/>
    <w:next w:val="Normal"/>
    <w:link w:val="DateChar"/>
    <w:uiPriority w:val="99"/>
    <w:unhideWhenUsed/>
    <w:rsid w:val="00EB5521"/>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EB5521"/>
    <w:rPr>
      <w:rFonts w:eastAsia="Calibri"/>
      <w:sz w:val="28"/>
      <w:szCs w:val="28"/>
      <w:lang w:eastAsia="en-US"/>
    </w:rPr>
  </w:style>
  <w:style w:type="paragraph" w:customStyle="1" w:styleId="AppendixHeading2">
    <w:name w:val="Appendix Heading 2"/>
    <w:qFormat/>
    <w:rsid w:val="00EB5521"/>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rsid w:val="00EB5521"/>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rsid w:val="00EB5521"/>
    <w:pPr>
      <w:keepNext/>
      <w:tabs>
        <w:tab w:val="num" w:pos="1077"/>
      </w:tabs>
      <w:spacing w:after="120"/>
      <w:ind w:left="1077" w:hanging="1077"/>
    </w:pPr>
    <w:rPr>
      <w:rFonts w:ascii="Calibri" w:eastAsia="Times New Roman" w:hAnsi="Calibri"/>
      <w:b/>
      <w:sz w:val="22"/>
      <w:szCs w:val="24"/>
      <w:lang w:val="en-US" w:eastAsia="en-US" w:bidi="en-US"/>
    </w:rPr>
  </w:style>
  <w:style w:type="paragraph" w:styleId="Revision">
    <w:name w:val="Revision"/>
    <w:hidden/>
    <w:uiPriority w:val="99"/>
    <w:semiHidden/>
    <w:rsid w:val="00EB5521"/>
    <w:rPr>
      <w:rFonts w:eastAsia="Calibri"/>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81E82"/>
    <w:pPr>
      <w:ind w:left="720"/>
      <w:contextualSpacing/>
    </w:pPr>
  </w:style>
  <w:style w:type="paragraph" w:styleId="NormalWeb">
    <w:name w:val="Normal (Web)"/>
    <w:basedOn w:val="Normal"/>
    <w:uiPriority w:val="99"/>
    <w:semiHidden/>
    <w:unhideWhenUsed/>
    <w:rsid w:val="00ED4E42"/>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252">
      <w:bodyDiv w:val="1"/>
      <w:marLeft w:val="0"/>
      <w:marRight w:val="0"/>
      <w:marTop w:val="0"/>
      <w:marBottom w:val="0"/>
      <w:divBdr>
        <w:top w:val="none" w:sz="0" w:space="0" w:color="auto"/>
        <w:left w:val="none" w:sz="0" w:space="0" w:color="auto"/>
        <w:bottom w:val="none" w:sz="0" w:space="0" w:color="auto"/>
        <w:right w:val="none" w:sz="0" w:space="0" w:color="auto"/>
      </w:divBdr>
    </w:div>
    <w:div w:id="65613287">
      <w:bodyDiv w:val="1"/>
      <w:marLeft w:val="0"/>
      <w:marRight w:val="0"/>
      <w:marTop w:val="0"/>
      <w:marBottom w:val="0"/>
      <w:divBdr>
        <w:top w:val="none" w:sz="0" w:space="0" w:color="auto"/>
        <w:left w:val="none" w:sz="0" w:space="0" w:color="auto"/>
        <w:bottom w:val="none" w:sz="0" w:space="0" w:color="auto"/>
        <w:right w:val="none" w:sz="0" w:space="0" w:color="auto"/>
      </w:divBdr>
    </w:div>
    <w:div w:id="94836712">
      <w:bodyDiv w:val="1"/>
      <w:marLeft w:val="0"/>
      <w:marRight w:val="0"/>
      <w:marTop w:val="0"/>
      <w:marBottom w:val="0"/>
      <w:divBdr>
        <w:top w:val="none" w:sz="0" w:space="0" w:color="auto"/>
        <w:left w:val="none" w:sz="0" w:space="0" w:color="auto"/>
        <w:bottom w:val="none" w:sz="0" w:space="0" w:color="auto"/>
        <w:right w:val="none" w:sz="0" w:space="0" w:color="auto"/>
      </w:divBdr>
    </w:div>
    <w:div w:id="110363628">
      <w:bodyDiv w:val="1"/>
      <w:marLeft w:val="0"/>
      <w:marRight w:val="0"/>
      <w:marTop w:val="0"/>
      <w:marBottom w:val="0"/>
      <w:divBdr>
        <w:top w:val="none" w:sz="0" w:space="0" w:color="auto"/>
        <w:left w:val="none" w:sz="0" w:space="0" w:color="auto"/>
        <w:bottom w:val="none" w:sz="0" w:space="0" w:color="auto"/>
        <w:right w:val="none" w:sz="0" w:space="0" w:color="auto"/>
      </w:divBdr>
    </w:div>
    <w:div w:id="175316030">
      <w:bodyDiv w:val="1"/>
      <w:marLeft w:val="0"/>
      <w:marRight w:val="0"/>
      <w:marTop w:val="0"/>
      <w:marBottom w:val="0"/>
      <w:divBdr>
        <w:top w:val="none" w:sz="0" w:space="0" w:color="auto"/>
        <w:left w:val="none" w:sz="0" w:space="0" w:color="auto"/>
        <w:bottom w:val="none" w:sz="0" w:space="0" w:color="auto"/>
        <w:right w:val="none" w:sz="0" w:space="0" w:color="auto"/>
      </w:divBdr>
    </w:div>
    <w:div w:id="175848014">
      <w:bodyDiv w:val="1"/>
      <w:marLeft w:val="0"/>
      <w:marRight w:val="0"/>
      <w:marTop w:val="0"/>
      <w:marBottom w:val="0"/>
      <w:divBdr>
        <w:top w:val="none" w:sz="0" w:space="0" w:color="auto"/>
        <w:left w:val="none" w:sz="0" w:space="0" w:color="auto"/>
        <w:bottom w:val="none" w:sz="0" w:space="0" w:color="auto"/>
        <w:right w:val="none" w:sz="0" w:space="0" w:color="auto"/>
      </w:divBdr>
    </w:div>
    <w:div w:id="237598894">
      <w:bodyDiv w:val="1"/>
      <w:marLeft w:val="0"/>
      <w:marRight w:val="0"/>
      <w:marTop w:val="0"/>
      <w:marBottom w:val="0"/>
      <w:divBdr>
        <w:top w:val="none" w:sz="0" w:space="0" w:color="auto"/>
        <w:left w:val="none" w:sz="0" w:space="0" w:color="auto"/>
        <w:bottom w:val="none" w:sz="0" w:space="0" w:color="auto"/>
        <w:right w:val="none" w:sz="0" w:space="0" w:color="auto"/>
      </w:divBdr>
    </w:div>
    <w:div w:id="310915015">
      <w:bodyDiv w:val="1"/>
      <w:marLeft w:val="0"/>
      <w:marRight w:val="0"/>
      <w:marTop w:val="0"/>
      <w:marBottom w:val="0"/>
      <w:divBdr>
        <w:top w:val="none" w:sz="0" w:space="0" w:color="auto"/>
        <w:left w:val="none" w:sz="0" w:space="0" w:color="auto"/>
        <w:bottom w:val="none" w:sz="0" w:space="0" w:color="auto"/>
        <w:right w:val="none" w:sz="0" w:space="0" w:color="auto"/>
      </w:divBdr>
    </w:div>
    <w:div w:id="362677255">
      <w:bodyDiv w:val="1"/>
      <w:marLeft w:val="0"/>
      <w:marRight w:val="0"/>
      <w:marTop w:val="0"/>
      <w:marBottom w:val="0"/>
      <w:divBdr>
        <w:top w:val="none" w:sz="0" w:space="0" w:color="auto"/>
        <w:left w:val="none" w:sz="0" w:space="0" w:color="auto"/>
        <w:bottom w:val="none" w:sz="0" w:space="0" w:color="auto"/>
        <w:right w:val="none" w:sz="0" w:space="0" w:color="auto"/>
      </w:divBdr>
    </w:div>
    <w:div w:id="394160996">
      <w:bodyDiv w:val="1"/>
      <w:marLeft w:val="0"/>
      <w:marRight w:val="0"/>
      <w:marTop w:val="0"/>
      <w:marBottom w:val="0"/>
      <w:divBdr>
        <w:top w:val="none" w:sz="0" w:space="0" w:color="auto"/>
        <w:left w:val="none" w:sz="0" w:space="0" w:color="auto"/>
        <w:bottom w:val="none" w:sz="0" w:space="0" w:color="auto"/>
        <w:right w:val="none" w:sz="0" w:space="0" w:color="auto"/>
      </w:divBdr>
    </w:div>
    <w:div w:id="406732858">
      <w:bodyDiv w:val="1"/>
      <w:marLeft w:val="0"/>
      <w:marRight w:val="0"/>
      <w:marTop w:val="0"/>
      <w:marBottom w:val="0"/>
      <w:divBdr>
        <w:top w:val="none" w:sz="0" w:space="0" w:color="auto"/>
        <w:left w:val="none" w:sz="0" w:space="0" w:color="auto"/>
        <w:bottom w:val="none" w:sz="0" w:space="0" w:color="auto"/>
        <w:right w:val="none" w:sz="0" w:space="0" w:color="auto"/>
      </w:divBdr>
    </w:div>
    <w:div w:id="418063220">
      <w:bodyDiv w:val="1"/>
      <w:marLeft w:val="0"/>
      <w:marRight w:val="0"/>
      <w:marTop w:val="0"/>
      <w:marBottom w:val="0"/>
      <w:divBdr>
        <w:top w:val="none" w:sz="0" w:space="0" w:color="auto"/>
        <w:left w:val="none" w:sz="0" w:space="0" w:color="auto"/>
        <w:bottom w:val="none" w:sz="0" w:space="0" w:color="auto"/>
        <w:right w:val="none" w:sz="0" w:space="0" w:color="auto"/>
      </w:divBdr>
    </w:div>
    <w:div w:id="468279877">
      <w:bodyDiv w:val="1"/>
      <w:marLeft w:val="0"/>
      <w:marRight w:val="0"/>
      <w:marTop w:val="0"/>
      <w:marBottom w:val="0"/>
      <w:divBdr>
        <w:top w:val="none" w:sz="0" w:space="0" w:color="auto"/>
        <w:left w:val="none" w:sz="0" w:space="0" w:color="auto"/>
        <w:bottom w:val="none" w:sz="0" w:space="0" w:color="auto"/>
        <w:right w:val="none" w:sz="0" w:space="0" w:color="auto"/>
      </w:divBdr>
    </w:div>
    <w:div w:id="476800368">
      <w:bodyDiv w:val="1"/>
      <w:marLeft w:val="0"/>
      <w:marRight w:val="0"/>
      <w:marTop w:val="0"/>
      <w:marBottom w:val="0"/>
      <w:divBdr>
        <w:top w:val="none" w:sz="0" w:space="0" w:color="auto"/>
        <w:left w:val="none" w:sz="0" w:space="0" w:color="auto"/>
        <w:bottom w:val="none" w:sz="0" w:space="0" w:color="auto"/>
        <w:right w:val="none" w:sz="0" w:space="0" w:color="auto"/>
      </w:divBdr>
    </w:div>
    <w:div w:id="642464789">
      <w:bodyDiv w:val="1"/>
      <w:marLeft w:val="0"/>
      <w:marRight w:val="0"/>
      <w:marTop w:val="0"/>
      <w:marBottom w:val="0"/>
      <w:divBdr>
        <w:top w:val="none" w:sz="0" w:space="0" w:color="auto"/>
        <w:left w:val="none" w:sz="0" w:space="0" w:color="auto"/>
        <w:bottom w:val="none" w:sz="0" w:space="0" w:color="auto"/>
        <w:right w:val="none" w:sz="0" w:space="0" w:color="auto"/>
      </w:divBdr>
    </w:div>
    <w:div w:id="659193482">
      <w:bodyDiv w:val="1"/>
      <w:marLeft w:val="0"/>
      <w:marRight w:val="0"/>
      <w:marTop w:val="0"/>
      <w:marBottom w:val="0"/>
      <w:divBdr>
        <w:top w:val="none" w:sz="0" w:space="0" w:color="auto"/>
        <w:left w:val="none" w:sz="0" w:space="0" w:color="auto"/>
        <w:bottom w:val="none" w:sz="0" w:space="0" w:color="auto"/>
        <w:right w:val="none" w:sz="0" w:space="0" w:color="auto"/>
      </w:divBdr>
    </w:div>
    <w:div w:id="660083422">
      <w:bodyDiv w:val="1"/>
      <w:marLeft w:val="0"/>
      <w:marRight w:val="0"/>
      <w:marTop w:val="0"/>
      <w:marBottom w:val="0"/>
      <w:divBdr>
        <w:top w:val="none" w:sz="0" w:space="0" w:color="auto"/>
        <w:left w:val="none" w:sz="0" w:space="0" w:color="auto"/>
        <w:bottom w:val="none" w:sz="0" w:space="0" w:color="auto"/>
        <w:right w:val="none" w:sz="0" w:space="0" w:color="auto"/>
      </w:divBdr>
      <w:divsChild>
        <w:div w:id="959846357">
          <w:marLeft w:val="547"/>
          <w:marRight w:val="0"/>
          <w:marTop w:val="0"/>
          <w:marBottom w:val="0"/>
          <w:divBdr>
            <w:top w:val="none" w:sz="0" w:space="0" w:color="auto"/>
            <w:left w:val="none" w:sz="0" w:space="0" w:color="auto"/>
            <w:bottom w:val="none" w:sz="0" w:space="0" w:color="auto"/>
            <w:right w:val="none" w:sz="0" w:space="0" w:color="auto"/>
          </w:divBdr>
        </w:div>
        <w:div w:id="330957737">
          <w:marLeft w:val="547"/>
          <w:marRight w:val="0"/>
          <w:marTop w:val="0"/>
          <w:marBottom w:val="0"/>
          <w:divBdr>
            <w:top w:val="none" w:sz="0" w:space="0" w:color="auto"/>
            <w:left w:val="none" w:sz="0" w:space="0" w:color="auto"/>
            <w:bottom w:val="none" w:sz="0" w:space="0" w:color="auto"/>
            <w:right w:val="none" w:sz="0" w:space="0" w:color="auto"/>
          </w:divBdr>
        </w:div>
        <w:div w:id="1544444440">
          <w:marLeft w:val="547"/>
          <w:marRight w:val="0"/>
          <w:marTop w:val="0"/>
          <w:marBottom w:val="0"/>
          <w:divBdr>
            <w:top w:val="none" w:sz="0" w:space="0" w:color="auto"/>
            <w:left w:val="none" w:sz="0" w:space="0" w:color="auto"/>
            <w:bottom w:val="none" w:sz="0" w:space="0" w:color="auto"/>
            <w:right w:val="none" w:sz="0" w:space="0" w:color="auto"/>
          </w:divBdr>
        </w:div>
        <w:div w:id="1619026612">
          <w:marLeft w:val="547"/>
          <w:marRight w:val="0"/>
          <w:marTop w:val="0"/>
          <w:marBottom w:val="0"/>
          <w:divBdr>
            <w:top w:val="none" w:sz="0" w:space="0" w:color="auto"/>
            <w:left w:val="none" w:sz="0" w:space="0" w:color="auto"/>
            <w:bottom w:val="none" w:sz="0" w:space="0" w:color="auto"/>
            <w:right w:val="none" w:sz="0" w:space="0" w:color="auto"/>
          </w:divBdr>
        </w:div>
        <w:div w:id="96684841">
          <w:marLeft w:val="547"/>
          <w:marRight w:val="0"/>
          <w:marTop w:val="0"/>
          <w:marBottom w:val="0"/>
          <w:divBdr>
            <w:top w:val="none" w:sz="0" w:space="0" w:color="auto"/>
            <w:left w:val="none" w:sz="0" w:space="0" w:color="auto"/>
            <w:bottom w:val="none" w:sz="0" w:space="0" w:color="auto"/>
            <w:right w:val="none" w:sz="0" w:space="0" w:color="auto"/>
          </w:divBdr>
        </w:div>
        <w:div w:id="1288776672">
          <w:marLeft w:val="547"/>
          <w:marRight w:val="0"/>
          <w:marTop w:val="0"/>
          <w:marBottom w:val="0"/>
          <w:divBdr>
            <w:top w:val="none" w:sz="0" w:space="0" w:color="auto"/>
            <w:left w:val="none" w:sz="0" w:space="0" w:color="auto"/>
            <w:bottom w:val="none" w:sz="0" w:space="0" w:color="auto"/>
            <w:right w:val="none" w:sz="0" w:space="0" w:color="auto"/>
          </w:divBdr>
        </w:div>
        <w:div w:id="930695715">
          <w:marLeft w:val="547"/>
          <w:marRight w:val="0"/>
          <w:marTop w:val="0"/>
          <w:marBottom w:val="0"/>
          <w:divBdr>
            <w:top w:val="none" w:sz="0" w:space="0" w:color="auto"/>
            <w:left w:val="none" w:sz="0" w:space="0" w:color="auto"/>
            <w:bottom w:val="none" w:sz="0" w:space="0" w:color="auto"/>
            <w:right w:val="none" w:sz="0" w:space="0" w:color="auto"/>
          </w:divBdr>
        </w:div>
        <w:div w:id="819728981">
          <w:marLeft w:val="547"/>
          <w:marRight w:val="0"/>
          <w:marTop w:val="0"/>
          <w:marBottom w:val="0"/>
          <w:divBdr>
            <w:top w:val="none" w:sz="0" w:space="0" w:color="auto"/>
            <w:left w:val="none" w:sz="0" w:space="0" w:color="auto"/>
            <w:bottom w:val="none" w:sz="0" w:space="0" w:color="auto"/>
            <w:right w:val="none" w:sz="0" w:space="0" w:color="auto"/>
          </w:divBdr>
        </w:div>
        <w:div w:id="2061509980">
          <w:marLeft w:val="547"/>
          <w:marRight w:val="0"/>
          <w:marTop w:val="0"/>
          <w:marBottom w:val="0"/>
          <w:divBdr>
            <w:top w:val="none" w:sz="0" w:space="0" w:color="auto"/>
            <w:left w:val="none" w:sz="0" w:space="0" w:color="auto"/>
            <w:bottom w:val="none" w:sz="0" w:space="0" w:color="auto"/>
            <w:right w:val="none" w:sz="0" w:space="0" w:color="auto"/>
          </w:divBdr>
        </w:div>
        <w:div w:id="2118520817">
          <w:marLeft w:val="547"/>
          <w:marRight w:val="0"/>
          <w:marTop w:val="0"/>
          <w:marBottom w:val="0"/>
          <w:divBdr>
            <w:top w:val="none" w:sz="0" w:space="0" w:color="auto"/>
            <w:left w:val="none" w:sz="0" w:space="0" w:color="auto"/>
            <w:bottom w:val="none" w:sz="0" w:space="0" w:color="auto"/>
            <w:right w:val="none" w:sz="0" w:space="0" w:color="auto"/>
          </w:divBdr>
        </w:div>
      </w:divsChild>
    </w:div>
    <w:div w:id="701244915">
      <w:bodyDiv w:val="1"/>
      <w:marLeft w:val="0"/>
      <w:marRight w:val="0"/>
      <w:marTop w:val="0"/>
      <w:marBottom w:val="0"/>
      <w:divBdr>
        <w:top w:val="none" w:sz="0" w:space="0" w:color="auto"/>
        <w:left w:val="none" w:sz="0" w:space="0" w:color="auto"/>
        <w:bottom w:val="none" w:sz="0" w:space="0" w:color="auto"/>
        <w:right w:val="none" w:sz="0" w:space="0" w:color="auto"/>
      </w:divBdr>
    </w:div>
    <w:div w:id="721055206">
      <w:bodyDiv w:val="1"/>
      <w:marLeft w:val="0"/>
      <w:marRight w:val="0"/>
      <w:marTop w:val="0"/>
      <w:marBottom w:val="0"/>
      <w:divBdr>
        <w:top w:val="none" w:sz="0" w:space="0" w:color="auto"/>
        <w:left w:val="none" w:sz="0" w:space="0" w:color="auto"/>
        <w:bottom w:val="none" w:sz="0" w:space="0" w:color="auto"/>
        <w:right w:val="none" w:sz="0" w:space="0" w:color="auto"/>
      </w:divBdr>
      <w:divsChild>
        <w:div w:id="18969909">
          <w:marLeft w:val="547"/>
          <w:marRight w:val="0"/>
          <w:marTop w:val="0"/>
          <w:marBottom w:val="0"/>
          <w:divBdr>
            <w:top w:val="none" w:sz="0" w:space="0" w:color="auto"/>
            <w:left w:val="none" w:sz="0" w:space="0" w:color="auto"/>
            <w:bottom w:val="none" w:sz="0" w:space="0" w:color="auto"/>
            <w:right w:val="none" w:sz="0" w:space="0" w:color="auto"/>
          </w:divBdr>
        </w:div>
        <w:div w:id="234559506">
          <w:marLeft w:val="547"/>
          <w:marRight w:val="0"/>
          <w:marTop w:val="0"/>
          <w:marBottom w:val="0"/>
          <w:divBdr>
            <w:top w:val="none" w:sz="0" w:space="0" w:color="auto"/>
            <w:left w:val="none" w:sz="0" w:space="0" w:color="auto"/>
            <w:bottom w:val="none" w:sz="0" w:space="0" w:color="auto"/>
            <w:right w:val="none" w:sz="0" w:space="0" w:color="auto"/>
          </w:divBdr>
        </w:div>
        <w:div w:id="467550511">
          <w:marLeft w:val="547"/>
          <w:marRight w:val="0"/>
          <w:marTop w:val="0"/>
          <w:marBottom w:val="0"/>
          <w:divBdr>
            <w:top w:val="none" w:sz="0" w:space="0" w:color="auto"/>
            <w:left w:val="none" w:sz="0" w:space="0" w:color="auto"/>
            <w:bottom w:val="none" w:sz="0" w:space="0" w:color="auto"/>
            <w:right w:val="none" w:sz="0" w:space="0" w:color="auto"/>
          </w:divBdr>
        </w:div>
        <w:div w:id="1145395139">
          <w:marLeft w:val="547"/>
          <w:marRight w:val="0"/>
          <w:marTop w:val="0"/>
          <w:marBottom w:val="0"/>
          <w:divBdr>
            <w:top w:val="none" w:sz="0" w:space="0" w:color="auto"/>
            <w:left w:val="none" w:sz="0" w:space="0" w:color="auto"/>
            <w:bottom w:val="none" w:sz="0" w:space="0" w:color="auto"/>
            <w:right w:val="none" w:sz="0" w:space="0" w:color="auto"/>
          </w:divBdr>
        </w:div>
        <w:div w:id="293561542">
          <w:marLeft w:val="547"/>
          <w:marRight w:val="0"/>
          <w:marTop w:val="0"/>
          <w:marBottom w:val="0"/>
          <w:divBdr>
            <w:top w:val="none" w:sz="0" w:space="0" w:color="auto"/>
            <w:left w:val="none" w:sz="0" w:space="0" w:color="auto"/>
            <w:bottom w:val="none" w:sz="0" w:space="0" w:color="auto"/>
            <w:right w:val="none" w:sz="0" w:space="0" w:color="auto"/>
          </w:divBdr>
        </w:div>
        <w:div w:id="902327807">
          <w:marLeft w:val="547"/>
          <w:marRight w:val="0"/>
          <w:marTop w:val="0"/>
          <w:marBottom w:val="0"/>
          <w:divBdr>
            <w:top w:val="none" w:sz="0" w:space="0" w:color="auto"/>
            <w:left w:val="none" w:sz="0" w:space="0" w:color="auto"/>
            <w:bottom w:val="none" w:sz="0" w:space="0" w:color="auto"/>
            <w:right w:val="none" w:sz="0" w:space="0" w:color="auto"/>
          </w:divBdr>
        </w:div>
        <w:div w:id="1570113053">
          <w:marLeft w:val="547"/>
          <w:marRight w:val="0"/>
          <w:marTop w:val="0"/>
          <w:marBottom w:val="0"/>
          <w:divBdr>
            <w:top w:val="none" w:sz="0" w:space="0" w:color="auto"/>
            <w:left w:val="none" w:sz="0" w:space="0" w:color="auto"/>
            <w:bottom w:val="none" w:sz="0" w:space="0" w:color="auto"/>
            <w:right w:val="none" w:sz="0" w:space="0" w:color="auto"/>
          </w:divBdr>
        </w:div>
        <w:div w:id="42410290">
          <w:marLeft w:val="547"/>
          <w:marRight w:val="0"/>
          <w:marTop w:val="0"/>
          <w:marBottom w:val="0"/>
          <w:divBdr>
            <w:top w:val="none" w:sz="0" w:space="0" w:color="auto"/>
            <w:left w:val="none" w:sz="0" w:space="0" w:color="auto"/>
            <w:bottom w:val="none" w:sz="0" w:space="0" w:color="auto"/>
            <w:right w:val="none" w:sz="0" w:space="0" w:color="auto"/>
          </w:divBdr>
        </w:div>
        <w:div w:id="1109935403">
          <w:marLeft w:val="547"/>
          <w:marRight w:val="0"/>
          <w:marTop w:val="0"/>
          <w:marBottom w:val="0"/>
          <w:divBdr>
            <w:top w:val="none" w:sz="0" w:space="0" w:color="auto"/>
            <w:left w:val="none" w:sz="0" w:space="0" w:color="auto"/>
            <w:bottom w:val="none" w:sz="0" w:space="0" w:color="auto"/>
            <w:right w:val="none" w:sz="0" w:space="0" w:color="auto"/>
          </w:divBdr>
        </w:div>
        <w:div w:id="1195968617">
          <w:marLeft w:val="547"/>
          <w:marRight w:val="0"/>
          <w:marTop w:val="0"/>
          <w:marBottom w:val="0"/>
          <w:divBdr>
            <w:top w:val="none" w:sz="0" w:space="0" w:color="auto"/>
            <w:left w:val="none" w:sz="0" w:space="0" w:color="auto"/>
            <w:bottom w:val="none" w:sz="0" w:space="0" w:color="auto"/>
            <w:right w:val="none" w:sz="0" w:space="0" w:color="auto"/>
          </w:divBdr>
        </w:div>
      </w:divsChild>
    </w:div>
    <w:div w:id="730614875">
      <w:bodyDiv w:val="1"/>
      <w:marLeft w:val="0"/>
      <w:marRight w:val="0"/>
      <w:marTop w:val="0"/>
      <w:marBottom w:val="0"/>
      <w:divBdr>
        <w:top w:val="none" w:sz="0" w:space="0" w:color="auto"/>
        <w:left w:val="none" w:sz="0" w:space="0" w:color="auto"/>
        <w:bottom w:val="none" w:sz="0" w:space="0" w:color="auto"/>
        <w:right w:val="none" w:sz="0" w:space="0" w:color="auto"/>
      </w:divBdr>
    </w:div>
    <w:div w:id="845632783">
      <w:bodyDiv w:val="1"/>
      <w:marLeft w:val="0"/>
      <w:marRight w:val="0"/>
      <w:marTop w:val="0"/>
      <w:marBottom w:val="0"/>
      <w:divBdr>
        <w:top w:val="none" w:sz="0" w:space="0" w:color="auto"/>
        <w:left w:val="none" w:sz="0" w:space="0" w:color="auto"/>
        <w:bottom w:val="none" w:sz="0" w:space="0" w:color="auto"/>
        <w:right w:val="none" w:sz="0" w:space="0" w:color="auto"/>
      </w:divBdr>
    </w:div>
    <w:div w:id="855462296">
      <w:bodyDiv w:val="1"/>
      <w:marLeft w:val="0"/>
      <w:marRight w:val="0"/>
      <w:marTop w:val="0"/>
      <w:marBottom w:val="0"/>
      <w:divBdr>
        <w:top w:val="none" w:sz="0" w:space="0" w:color="auto"/>
        <w:left w:val="none" w:sz="0" w:space="0" w:color="auto"/>
        <w:bottom w:val="none" w:sz="0" w:space="0" w:color="auto"/>
        <w:right w:val="none" w:sz="0" w:space="0" w:color="auto"/>
      </w:divBdr>
    </w:div>
    <w:div w:id="855575298">
      <w:bodyDiv w:val="1"/>
      <w:marLeft w:val="0"/>
      <w:marRight w:val="0"/>
      <w:marTop w:val="0"/>
      <w:marBottom w:val="0"/>
      <w:divBdr>
        <w:top w:val="none" w:sz="0" w:space="0" w:color="auto"/>
        <w:left w:val="none" w:sz="0" w:space="0" w:color="auto"/>
        <w:bottom w:val="none" w:sz="0" w:space="0" w:color="auto"/>
        <w:right w:val="none" w:sz="0" w:space="0" w:color="auto"/>
      </w:divBdr>
    </w:div>
    <w:div w:id="884414383">
      <w:bodyDiv w:val="1"/>
      <w:marLeft w:val="0"/>
      <w:marRight w:val="0"/>
      <w:marTop w:val="0"/>
      <w:marBottom w:val="0"/>
      <w:divBdr>
        <w:top w:val="none" w:sz="0" w:space="0" w:color="auto"/>
        <w:left w:val="none" w:sz="0" w:space="0" w:color="auto"/>
        <w:bottom w:val="none" w:sz="0" w:space="0" w:color="auto"/>
        <w:right w:val="none" w:sz="0" w:space="0" w:color="auto"/>
      </w:divBdr>
    </w:div>
    <w:div w:id="1208376496">
      <w:bodyDiv w:val="1"/>
      <w:marLeft w:val="0"/>
      <w:marRight w:val="0"/>
      <w:marTop w:val="0"/>
      <w:marBottom w:val="0"/>
      <w:divBdr>
        <w:top w:val="none" w:sz="0" w:space="0" w:color="auto"/>
        <w:left w:val="none" w:sz="0" w:space="0" w:color="auto"/>
        <w:bottom w:val="none" w:sz="0" w:space="0" w:color="auto"/>
        <w:right w:val="none" w:sz="0" w:space="0" w:color="auto"/>
      </w:divBdr>
      <w:divsChild>
        <w:div w:id="580801057">
          <w:marLeft w:val="547"/>
          <w:marRight w:val="0"/>
          <w:marTop w:val="0"/>
          <w:marBottom w:val="0"/>
          <w:divBdr>
            <w:top w:val="none" w:sz="0" w:space="0" w:color="auto"/>
            <w:left w:val="none" w:sz="0" w:space="0" w:color="auto"/>
            <w:bottom w:val="none" w:sz="0" w:space="0" w:color="auto"/>
            <w:right w:val="none" w:sz="0" w:space="0" w:color="auto"/>
          </w:divBdr>
        </w:div>
        <w:div w:id="61027379">
          <w:marLeft w:val="547"/>
          <w:marRight w:val="0"/>
          <w:marTop w:val="0"/>
          <w:marBottom w:val="0"/>
          <w:divBdr>
            <w:top w:val="none" w:sz="0" w:space="0" w:color="auto"/>
            <w:left w:val="none" w:sz="0" w:space="0" w:color="auto"/>
            <w:bottom w:val="none" w:sz="0" w:space="0" w:color="auto"/>
            <w:right w:val="none" w:sz="0" w:space="0" w:color="auto"/>
          </w:divBdr>
        </w:div>
        <w:div w:id="715348423">
          <w:marLeft w:val="547"/>
          <w:marRight w:val="0"/>
          <w:marTop w:val="0"/>
          <w:marBottom w:val="0"/>
          <w:divBdr>
            <w:top w:val="none" w:sz="0" w:space="0" w:color="auto"/>
            <w:left w:val="none" w:sz="0" w:space="0" w:color="auto"/>
            <w:bottom w:val="none" w:sz="0" w:space="0" w:color="auto"/>
            <w:right w:val="none" w:sz="0" w:space="0" w:color="auto"/>
          </w:divBdr>
        </w:div>
        <w:div w:id="1233076964">
          <w:marLeft w:val="547"/>
          <w:marRight w:val="0"/>
          <w:marTop w:val="0"/>
          <w:marBottom w:val="0"/>
          <w:divBdr>
            <w:top w:val="none" w:sz="0" w:space="0" w:color="auto"/>
            <w:left w:val="none" w:sz="0" w:space="0" w:color="auto"/>
            <w:bottom w:val="none" w:sz="0" w:space="0" w:color="auto"/>
            <w:right w:val="none" w:sz="0" w:space="0" w:color="auto"/>
          </w:divBdr>
        </w:div>
        <w:div w:id="2068840987">
          <w:marLeft w:val="547"/>
          <w:marRight w:val="0"/>
          <w:marTop w:val="0"/>
          <w:marBottom w:val="0"/>
          <w:divBdr>
            <w:top w:val="none" w:sz="0" w:space="0" w:color="auto"/>
            <w:left w:val="none" w:sz="0" w:space="0" w:color="auto"/>
            <w:bottom w:val="none" w:sz="0" w:space="0" w:color="auto"/>
            <w:right w:val="none" w:sz="0" w:space="0" w:color="auto"/>
          </w:divBdr>
        </w:div>
        <w:div w:id="1734769870">
          <w:marLeft w:val="547"/>
          <w:marRight w:val="0"/>
          <w:marTop w:val="0"/>
          <w:marBottom w:val="0"/>
          <w:divBdr>
            <w:top w:val="none" w:sz="0" w:space="0" w:color="auto"/>
            <w:left w:val="none" w:sz="0" w:space="0" w:color="auto"/>
            <w:bottom w:val="none" w:sz="0" w:space="0" w:color="auto"/>
            <w:right w:val="none" w:sz="0" w:space="0" w:color="auto"/>
          </w:divBdr>
        </w:div>
        <w:div w:id="238440428">
          <w:marLeft w:val="547"/>
          <w:marRight w:val="0"/>
          <w:marTop w:val="0"/>
          <w:marBottom w:val="0"/>
          <w:divBdr>
            <w:top w:val="none" w:sz="0" w:space="0" w:color="auto"/>
            <w:left w:val="none" w:sz="0" w:space="0" w:color="auto"/>
            <w:bottom w:val="none" w:sz="0" w:space="0" w:color="auto"/>
            <w:right w:val="none" w:sz="0" w:space="0" w:color="auto"/>
          </w:divBdr>
        </w:div>
        <w:div w:id="841899199">
          <w:marLeft w:val="547"/>
          <w:marRight w:val="0"/>
          <w:marTop w:val="0"/>
          <w:marBottom w:val="0"/>
          <w:divBdr>
            <w:top w:val="none" w:sz="0" w:space="0" w:color="auto"/>
            <w:left w:val="none" w:sz="0" w:space="0" w:color="auto"/>
            <w:bottom w:val="none" w:sz="0" w:space="0" w:color="auto"/>
            <w:right w:val="none" w:sz="0" w:space="0" w:color="auto"/>
          </w:divBdr>
        </w:div>
        <w:div w:id="1121338111">
          <w:marLeft w:val="547"/>
          <w:marRight w:val="0"/>
          <w:marTop w:val="0"/>
          <w:marBottom w:val="0"/>
          <w:divBdr>
            <w:top w:val="none" w:sz="0" w:space="0" w:color="auto"/>
            <w:left w:val="none" w:sz="0" w:space="0" w:color="auto"/>
            <w:bottom w:val="none" w:sz="0" w:space="0" w:color="auto"/>
            <w:right w:val="none" w:sz="0" w:space="0" w:color="auto"/>
          </w:divBdr>
        </w:div>
      </w:divsChild>
    </w:div>
    <w:div w:id="1254053678">
      <w:bodyDiv w:val="1"/>
      <w:marLeft w:val="0"/>
      <w:marRight w:val="0"/>
      <w:marTop w:val="0"/>
      <w:marBottom w:val="0"/>
      <w:divBdr>
        <w:top w:val="none" w:sz="0" w:space="0" w:color="auto"/>
        <w:left w:val="none" w:sz="0" w:space="0" w:color="auto"/>
        <w:bottom w:val="none" w:sz="0" w:space="0" w:color="auto"/>
        <w:right w:val="none" w:sz="0" w:space="0" w:color="auto"/>
      </w:divBdr>
    </w:div>
    <w:div w:id="1297680427">
      <w:bodyDiv w:val="1"/>
      <w:marLeft w:val="0"/>
      <w:marRight w:val="0"/>
      <w:marTop w:val="0"/>
      <w:marBottom w:val="0"/>
      <w:divBdr>
        <w:top w:val="none" w:sz="0" w:space="0" w:color="auto"/>
        <w:left w:val="none" w:sz="0" w:space="0" w:color="auto"/>
        <w:bottom w:val="none" w:sz="0" w:space="0" w:color="auto"/>
        <w:right w:val="none" w:sz="0" w:space="0" w:color="auto"/>
      </w:divBdr>
    </w:div>
    <w:div w:id="1328509799">
      <w:bodyDiv w:val="1"/>
      <w:marLeft w:val="0"/>
      <w:marRight w:val="0"/>
      <w:marTop w:val="0"/>
      <w:marBottom w:val="0"/>
      <w:divBdr>
        <w:top w:val="none" w:sz="0" w:space="0" w:color="auto"/>
        <w:left w:val="none" w:sz="0" w:space="0" w:color="auto"/>
        <w:bottom w:val="none" w:sz="0" w:space="0" w:color="auto"/>
        <w:right w:val="none" w:sz="0" w:space="0" w:color="auto"/>
      </w:divBdr>
    </w:div>
    <w:div w:id="1408769047">
      <w:bodyDiv w:val="1"/>
      <w:marLeft w:val="0"/>
      <w:marRight w:val="0"/>
      <w:marTop w:val="0"/>
      <w:marBottom w:val="0"/>
      <w:divBdr>
        <w:top w:val="none" w:sz="0" w:space="0" w:color="auto"/>
        <w:left w:val="none" w:sz="0" w:space="0" w:color="auto"/>
        <w:bottom w:val="none" w:sz="0" w:space="0" w:color="auto"/>
        <w:right w:val="none" w:sz="0" w:space="0" w:color="auto"/>
      </w:divBdr>
    </w:div>
    <w:div w:id="1499660574">
      <w:bodyDiv w:val="1"/>
      <w:marLeft w:val="0"/>
      <w:marRight w:val="0"/>
      <w:marTop w:val="0"/>
      <w:marBottom w:val="0"/>
      <w:divBdr>
        <w:top w:val="none" w:sz="0" w:space="0" w:color="auto"/>
        <w:left w:val="none" w:sz="0" w:space="0" w:color="auto"/>
        <w:bottom w:val="none" w:sz="0" w:space="0" w:color="auto"/>
        <w:right w:val="none" w:sz="0" w:space="0" w:color="auto"/>
      </w:divBdr>
      <w:divsChild>
        <w:div w:id="2035810775">
          <w:marLeft w:val="547"/>
          <w:marRight w:val="0"/>
          <w:marTop w:val="0"/>
          <w:marBottom w:val="0"/>
          <w:divBdr>
            <w:top w:val="none" w:sz="0" w:space="0" w:color="auto"/>
            <w:left w:val="none" w:sz="0" w:space="0" w:color="auto"/>
            <w:bottom w:val="none" w:sz="0" w:space="0" w:color="auto"/>
            <w:right w:val="none" w:sz="0" w:space="0" w:color="auto"/>
          </w:divBdr>
        </w:div>
        <w:div w:id="2102220256">
          <w:marLeft w:val="547"/>
          <w:marRight w:val="0"/>
          <w:marTop w:val="0"/>
          <w:marBottom w:val="0"/>
          <w:divBdr>
            <w:top w:val="none" w:sz="0" w:space="0" w:color="auto"/>
            <w:left w:val="none" w:sz="0" w:space="0" w:color="auto"/>
            <w:bottom w:val="none" w:sz="0" w:space="0" w:color="auto"/>
            <w:right w:val="none" w:sz="0" w:space="0" w:color="auto"/>
          </w:divBdr>
        </w:div>
        <w:div w:id="765805746">
          <w:marLeft w:val="547"/>
          <w:marRight w:val="0"/>
          <w:marTop w:val="0"/>
          <w:marBottom w:val="0"/>
          <w:divBdr>
            <w:top w:val="none" w:sz="0" w:space="0" w:color="auto"/>
            <w:left w:val="none" w:sz="0" w:space="0" w:color="auto"/>
            <w:bottom w:val="none" w:sz="0" w:space="0" w:color="auto"/>
            <w:right w:val="none" w:sz="0" w:space="0" w:color="auto"/>
          </w:divBdr>
        </w:div>
        <w:div w:id="1209495536">
          <w:marLeft w:val="547"/>
          <w:marRight w:val="0"/>
          <w:marTop w:val="0"/>
          <w:marBottom w:val="0"/>
          <w:divBdr>
            <w:top w:val="none" w:sz="0" w:space="0" w:color="auto"/>
            <w:left w:val="none" w:sz="0" w:space="0" w:color="auto"/>
            <w:bottom w:val="none" w:sz="0" w:space="0" w:color="auto"/>
            <w:right w:val="none" w:sz="0" w:space="0" w:color="auto"/>
          </w:divBdr>
        </w:div>
        <w:div w:id="1716465526">
          <w:marLeft w:val="547"/>
          <w:marRight w:val="0"/>
          <w:marTop w:val="0"/>
          <w:marBottom w:val="0"/>
          <w:divBdr>
            <w:top w:val="none" w:sz="0" w:space="0" w:color="auto"/>
            <w:left w:val="none" w:sz="0" w:space="0" w:color="auto"/>
            <w:bottom w:val="none" w:sz="0" w:space="0" w:color="auto"/>
            <w:right w:val="none" w:sz="0" w:space="0" w:color="auto"/>
          </w:divBdr>
        </w:div>
        <w:div w:id="1943032527">
          <w:marLeft w:val="547"/>
          <w:marRight w:val="0"/>
          <w:marTop w:val="0"/>
          <w:marBottom w:val="0"/>
          <w:divBdr>
            <w:top w:val="none" w:sz="0" w:space="0" w:color="auto"/>
            <w:left w:val="none" w:sz="0" w:space="0" w:color="auto"/>
            <w:bottom w:val="none" w:sz="0" w:space="0" w:color="auto"/>
            <w:right w:val="none" w:sz="0" w:space="0" w:color="auto"/>
          </w:divBdr>
        </w:div>
        <w:div w:id="1050804845">
          <w:marLeft w:val="547"/>
          <w:marRight w:val="0"/>
          <w:marTop w:val="0"/>
          <w:marBottom w:val="0"/>
          <w:divBdr>
            <w:top w:val="none" w:sz="0" w:space="0" w:color="auto"/>
            <w:left w:val="none" w:sz="0" w:space="0" w:color="auto"/>
            <w:bottom w:val="none" w:sz="0" w:space="0" w:color="auto"/>
            <w:right w:val="none" w:sz="0" w:space="0" w:color="auto"/>
          </w:divBdr>
        </w:div>
        <w:div w:id="791751999">
          <w:marLeft w:val="547"/>
          <w:marRight w:val="0"/>
          <w:marTop w:val="0"/>
          <w:marBottom w:val="0"/>
          <w:divBdr>
            <w:top w:val="none" w:sz="0" w:space="0" w:color="auto"/>
            <w:left w:val="none" w:sz="0" w:space="0" w:color="auto"/>
            <w:bottom w:val="none" w:sz="0" w:space="0" w:color="auto"/>
            <w:right w:val="none" w:sz="0" w:space="0" w:color="auto"/>
          </w:divBdr>
        </w:div>
        <w:div w:id="1555122167">
          <w:marLeft w:val="547"/>
          <w:marRight w:val="0"/>
          <w:marTop w:val="0"/>
          <w:marBottom w:val="0"/>
          <w:divBdr>
            <w:top w:val="none" w:sz="0" w:space="0" w:color="auto"/>
            <w:left w:val="none" w:sz="0" w:space="0" w:color="auto"/>
            <w:bottom w:val="none" w:sz="0" w:space="0" w:color="auto"/>
            <w:right w:val="none" w:sz="0" w:space="0" w:color="auto"/>
          </w:divBdr>
        </w:div>
      </w:divsChild>
    </w:div>
    <w:div w:id="1524704420">
      <w:bodyDiv w:val="1"/>
      <w:marLeft w:val="0"/>
      <w:marRight w:val="0"/>
      <w:marTop w:val="0"/>
      <w:marBottom w:val="0"/>
      <w:divBdr>
        <w:top w:val="none" w:sz="0" w:space="0" w:color="auto"/>
        <w:left w:val="none" w:sz="0" w:space="0" w:color="auto"/>
        <w:bottom w:val="none" w:sz="0" w:space="0" w:color="auto"/>
        <w:right w:val="none" w:sz="0" w:space="0" w:color="auto"/>
      </w:divBdr>
    </w:div>
    <w:div w:id="1605460418">
      <w:bodyDiv w:val="1"/>
      <w:marLeft w:val="0"/>
      <w:marRight w:val="0"/>
      <w:marTop w:val="0"/>
      <w:marBottom w:val="0"/>
      <w:divBdr>
        <w:top w:val="none" w:sz="0" w:space="0" w:color="auto"/>
        <w:left w:val="none" w:sz="0" w:space="0" w:color="auto"/>
        <w:bottom w:val="none" w:sz="0" w:space="0" w:color="auto"/>
        <w:right w:val="none" w:sz="0" w:space="0" w:color="auto"/>
      </w:divBdr>
    </w:div>
    <w:div w:id="1657416696">
      <w:bodyDiv w:val="1"/>
      <w:marLeft w:val="0"/>
      <w:marRight w:val="0"/>
      <w:marTop w:val="0"/>
      <w:marBottom w:val="0"/>
      <w:divBdr>
        <w:top w:val="none" w:sz="0" w:space="0" w:color="auto"/>
        <w:left w:val="none" w:sz="0" w:space="0" w:color="auto"/>
        <w:bottom w:val="none" w:sz="0" w:space="0" w:color="auto"/>
        <w:right w:val="none" w:sz="0" w:space="0" w:color="auto"/>
      </w:divBdr>
    </w:div>
    <w:div w:id="1812361253">
      <w:bodyDiv w:val="1"/>
      <w:marLeft w:val="0"/>
      <w:marRight w:val="0"/>
      <w:marTop w:val="0"/>
      <w:marBottom w:val="0"/>
      <w:divBdr>
        <w:top w:val="none" w:sz="0" w:space="0" w:color="auto"/>
        <w:left w:val="none" w:sz="0" w:space="0" w:color="auto"/>
        <w:bottom w:val="none" w:sz="0" w:space="0" w:color="auto"/>
        <w:right w:val="none" w:sz="0" w:space="0" w:color="auto"/>
      </w:divBdr>
    </w:div>
    <w:div w:id="1907061411">
      <w:bodyDiv w:val="1"/>
      <w:marLeft w:val="0"/>
      <w:marRight w:val="0"/>
      <w:marTop w:val="0"/>
      <w:marBottom w:val="0"/>
      <w:divBdr>
        <w:top w:val="none" w:sz="0" w:space="0" w:color="auto"/>
        <w:left w:val="none" w:sz="0" w:space="0" w:color="auto"/>
        <w:bottom w:val="none" w:sz="0" w:space="0" w:color="auto"/>
        <w:right w:val="none" w:sz="0" w:space="0" w:color="auto"/>
      </w:divBdr>
    </w:div>
    <w:div w:id="1929803999">
      <w:bodyDiv w:val="1"/>
      <w:marLeft w:val="0"/>
      <w:marRight w:val="0"/>
      <w:marTop w:val="0"/>
      <w:marBottom w:val="0"/>
      <w:divBdr>
        <w:top w:val="none" w:sz="0" w:space="0" w:color="auto"/>
        <w:left w:val="none" w:sz="0" w:space="0" w:color="auto"/>
        <w:bottom w:val="none" w:sz="0" w:space="0" w:color="auto"/>
        <w:right w:val="none" w:sz="0" w:space="0" w:color="auto"/>
      </w:divBdr>
      <w:divsChild>
        <w:div w:id="510222750">
          <w:marLeft w:val="547"/>
          <w:marRight w:val="0"/>
          <w:marTop w:val="0"/>
          <w:marBottom w:val="0"/>
          <w:divBdr>
            <w:top w:val="none" w:sz="0" w:space="0" w:color="auto"/>
            <w:left w:val="none" w:sz="0" w:space="0" w:color="auto"/>
            <w:bottom w:val="none" w:sz="0" w:space="0" w:color="auto"/>
            <w:right w:val="none" w:sz="0" w:space="0" w:color="auto"/>
          </w:divBdr>
        </w:div>
        <w:div w:id="1634556321">
          <w:marLeft w:val="547"/>
          <w:marRight w:val="0"/>
          <w:marTop w:val="0"/>
          <w:marBottom w:val="0"/>
          <w:divBdr>
            <w:top w:val="none" w:sz="0" w:space="0" w:color="auto"/>
            <w:left w:val="none" w:sz="0" w:space="0" w:color="auto"/>
            <w:bottom w:val="none" w:sz="0" w:space="0" w:color="auto"/>
            <w:right w:val="none" w:sz="0" w:space="0" w:color="auto"/>
          </w:divBdr>
        </w:div>
        <w:div w:id="1547838033">
          <w:marLeft w:val="547"/>
          <w:marRight w:val="0"/>
          <w:marTop w:val="0"/>
          <w:marBottom w:val="0"/>
          <w:divBdr>
            <w:top w:val="none" w:sz="0" w:space="0" w:color="auto"/>
            <w:left w:val="none" w:sz="0" w:space="0" w:color="auto"/>
            <w:bottom w:val="none" w:sz="0" w:space="0" w:color="auto"/>
            <w:right w:val="none" w:sz="0" w:space="0" w:color="auto"/>
          </w:divBdr>
        </w:div>
        <w:div w:id="141392037">
          <w:marLeft w:val="547"/>
          <w:marRight w:val="0"/>
          <w:marTop w:val="0"/>
          <w:marBottom w:val="0"/>
          <w:divBdr>
            <w:top w:val="none" w:sz="0" w:space="0" w:color="auto"/>
            <w:left w:val="none" w:sz="0" w:space="0" w:color="auto"/>
            <w:bottom w:val="none" w:sz="0" w:space="0" w:color="auto"/>
            <w:right w:val="none" w:sz="0" w:space="0" w:color="auto"/>
          </w:divBdr>
        </w:div>
        <w:div w:id="640885128">
          <w:marLeft w:val="547"/>
          <w:marRight w:val="0"/>
          <w:marTop w:val="0"/>
          <w:marBottom w:val="0"/>
          <w:divBdr>
            <w:top w:val="none" w:sz="0" w:space="0" w:color="auto"/>
            <w:left w:val="none" w:sz="0" w:space="0" w:color="auto"/>
            <w:bottom w:val="none" w:sz="0" w:space="0" w:color="auto"/>
            <w:right w:val="none" w:sz="0" w:space="0" w:color="auto"/>
          </w:divBdr>
        </w:div>
        <w:div w:id="976690247">
          <w:marLeft w:val="547"/>
          <w:marRight w:val="0"/>
          <w:marTop w:val="0"/>
          <w:marBottom w:val="0"/>
          <w:divBdr>
            <w:top w:val="none" w:sz="0" w:space="0" w:color="auto"/>
            <w:left w:val="none" w:sz="0" w:space="0" w:color="auto"/>
            <w:bottom w:val="none" w:sz="0" w:space="0" w:color="auto"/>
            <w:right w:val="none" w:sz="0" w:space="0" w:color="auto"/>
          </w:divBdr>
        </w:div>
        <w:div w:id="1745952445">
          <w:marLeft w:val="547"/>
          <w:marRight w:val="0"/>
          <w:marTop w:val="0"/>
          <w:marBottom w:val="0"/>
          <w:divBdr>
            <w:top w:val="none" w:sz="0" w:space="0" w:color="auto"/>
            <w:left w:val="none" w:sz="0" w:space="0" w:color="auto"/>
            <w:bottom w:val="none" w:sz="0" w:space="0" w:color="auto"/>
            <w:right w:val="none" w:sz="0" w:space="0" w:color="auto"/>
          </w:divBdr>
        </w:div>
        <w:div w:id="2080595962">
          <w:marLeft w:val="547"/>
          <w:marRight w:val="0"/>
          <w:marTop w:val="0"/>
          <w:marBottom w:val="0"/>
          <w:divBdr>
            <w:top w:val="none" w:sz="0" w:space="0" w:color="auto"/>
            <w:left w:val="none" w:sz="0" w:space="0" w:color="auto"/>
            <w:bottom w:val="none" w:sz="0" w:space="0" w:color="auto"/>
            <w:right w:val="none" w:sz="0" w:space="0" w:color="auto"/>
          </w:divBdr>
        </w:div>
        <w:div w:id="2055540588">
          <w:marLeft w:val="547"/>
          <w:marRight w:val="0"/>
          <w:marTop w:val="0"/>
          <w:marBottom w:val="0"/>
          <w:divBdr>
            <w:top w:val="none" w:sz="0" w:space="0" w:color="auto"/>
            <w:left w:val="none" w:sz="0" w:space="0" w:color="auto"/>
            <w:bottom w:val="none" w:sz="0" w:space="0" w:color="auto"/>
            <w:right w:val="none" w:sz="0" w:space="0" w:color="auto"/>
          </w:divBdr>
        </w:div>
        <w:div w:id="851068964">
          <w:marLeft w:val="547"/>
          <w:marRight w:val="0"/>
          <w:marTop w:val="0"/>
          <w:marBottom w:val="0"/>
          <w:divBdr>
            <w:top w:val="none" w:sz="0" w:space="0" w:color="auto"/>
            <w:left w:val="none" w:sz="0" w:space="0" w:color="auto"/>
            <w:bottom w:val="none" w:sz="0" w:space="0" w:color="auto"/>
            <w:right w:val="none" w:sz="0" w:space="0" w:color="auto"/>
          </w:divBdr>
        </w:div>
      </w:divsChild>
    </w:div>
    <w:div w:id="1952587455">
      <w:bodyDiv w:val="1"/>
      <w:marLeft w:val="0"/>
      <w:marRight w:val="0"/>
      <w:marTop w:val="0"/>
      <w:marBottom w:val="0"/>
      <w:divBdr>
        <w:top w:val="none" w:sz="0" w:space="0" w:color="auto"/>
        <w:left w:val="none" w:sz="0" w:space="0" w:color="auto"/>
        <w:bottom w:val="none" w:sz="0" w:space="0" w:color="auto"/>
        <w:right w:val="none" w:sz="0" w:space="0" w:color="auto"/>
      </w:divBdr>
    </w:div>
    <w:div w:id="1973486681">
      <w:bodyDiv w:val="1"/>
      <w:marLeft w:val="0"/>
      <w:marRight w:val="0"/>
      <w:marTop w:val="0"/>
      <w:marBottom w:val="0"/>
      <w:divBdr>
        <w:top w:val="none" w:sz="0" w:space="0" w:color="auto"/>
        <w:left w:val="none" w:sz="0" w:space="0" w:color="auto"/>
        <w:bottom w:val="none" w:sz="0" w:space="0" w:color="auto"/>
        <w:right w:val="none" w:sz="0" w:space="0" w:color="auto"/>
      </w:divBdr>
    </w:div>
    <w:div w:id="2023126178">
      <w:bodyDiv w:val="1"/>
      <w:marLeft w:val="0"/>
      <w:marRight w:val="0"/>
      <w:marTop w:val="0"/>
      <w:marBottom w:val="0"/>
      <w:divBdr>
        <w:top w:val="none" w:sz="0" w:space="0" w:color="auto"/>
        <w:left w:val="none" w:sz="0" w:space="0" w:color="auto"/>
        <w:bottom w:val="none" w:sz="0" w:space="0" w:color="auto"/>
        <w:right w:val="none" w:sz="0" w:space="0" w:color="auto"/>
      </w:divBdr>
      <w:divsChild>
        <w:div w:id="1537498588">
          <w:marLeft w:val="547"/>
          <w:marRight w:val="0"/>
          <w:marTop w:val="0"/>
          <w:marBottom w:val="0"/>
          <w:divBdr>
            <w:top w:val="none" w:sz="0" w:space="0" w:color="auto"/>
            <w:left w:val="none" w:sz="0" w:space="0" w:color="auto"/>
            <w:bottom w:val="none" w:sz="0" w:space="0" w:color="auto"/>
            <w:right w:val="none" w:sz="0" w:space="0" w:color="auto"/>
          </w:divBdr>
        </w:div>
        <w:div w:id="1791969124">
          <w:marLeft w:val="547"/>
          <w:marRight w:val="0"/>
          <w:marTop w:val="0"/>
          <w:marBottom w:val="0"/>
          <w:divBdr>
            <w:top w:val="none" w:sz="0" w:space="0" w:color="auto"/>
            <w:left w:val="none" w:sz="0" w:space="0" w:color="auto"/>
            <w:bottom w:val="none" w:sz="0" w:space="0" w:color="auto"/>
            <w:right w:val="none" w:sz="0" w:space="0" w:color="auto"/>
          </w:divBdr>
        </w:div>
        <w:div w:id="1153834127">
          <w:marLeft w:val="547"/>
          <w:marRight w:val="0"/>
          <w:marTop w:val="0"/>
          <w:marBottom w:val="0"/>
          <w:divBdr>
            <w:top w:val="none" w:sz="0" w:space="0" w:color="auto"/>
            <w:left w:val="none" w:sz="0" w:space="0" w:color="auto"/>
            <w:bottom w:val="none" w:sz="0" w:space="0" w:color="auto"/>
            <w:right w:val="none" w:sz="0" w:space="0" w:color="auto"/>
          </w:divBdr>
        </w:div>
        <w:div w:id="2121414181">
          <w:marLeft w:val="547"/>
          <w:marRight w:val="0"/>
          <w:marTop w:val="0"/>
          <w:marBottom w:val="0"/>
          <w:divBdr>
            <w:top w:val="none" w:sz="0" w:space="0" w:color="auto"/>
            <w:left w:val="none" w:sz="0" w:space="0" w:color="auto"/>
            <w:bottom w:val="none" w:sz="0" w:space="0" w:color="auto"/>
            <w:right w:val="none" w:sz="0" w:space="0" w:color="auto"/>
          </w:divBdr>
        </w:div>
        <w:div w:id="1905872648">
          <w:marLeft w:val="547"/>
          <w:marRight w:val="0"/>
          <w:marTop w:val="0"/>
          <w:marBottom w:val="0"/>
          <w:divBdr>
            <w:top w:val="none" w:sz="0" w:space="0" w:color="auto"/>
            <w:left w:val="none" w:sz="0" w:space="0" w:color="auto"/>
            <w:bottom w:val="none" w:sz="0" w:space="0" w:color="auto"/>
            <w:right w:val="none" w:sz="0" w:space="0" w:color="auto"/>
          </w:divBdr>
        </w:div>
        <w:div w:id="861557573">
          <w:marLeft w:val="547"/>
          <w:marRight w:val="0"/>
          <w:marTop w:val="0"/>
          <w:marBottom w:val="0"/>
          <w:divBdr>
            <w:top w:val="none" w:sz="0" w:space="0" w:color="auto"/>
            <w:left w:val="none" w:sz="0" w:space="0" w:color="auto"/>
            <w:bottom w:val="none" w:sz="0" w:space="0" w:color="auto"/>
            <w:right w:val="none" w:sz="0" w:space="0" w:color="auto"/>
          </w:divBdr>
        </w:div>
        <w:div w:id="1916429520">
          <w:marLeft w:val="547"/>
          <w:marRight w:val="0"/>
          <w:marTop w:val="0"/>
          <w:marBottom w:val="0"/>
          <w:divBdr>
            <w:top w:val="none" w:sz="0" w:space="0" w:color="auto"/>
            <w:left w:val="none" w:sz="0" w:space="0" w:color="auto"/>
            <w:bottom w:val="none" w:sz="0" w:space="0" w:color="auto"/>
            <w:right w:val="none" w:sz="0" w:space="0" w:color="auto"/>
          </w:divBdr>
        </w:div>
        <w:div w:id="610863674">
          <w:marLeft w:val="547"/>
          <w:marRight w:val="0"/>
          <w:marTop w:val="0"/>
          <w:marBottom w:val="0"/>
          <w:divBdr>
            <w:top w:val="none" w:sz="0" w:space="0" w:color="auto"/>
            <w:left w:val="none" w:sz="0" w:space="0" w:color="auto"/>
            <w:bottom w:val="none" w:sz="0" w:space="0" w:color="auto"/>
            <w:right w:val="none" w:sz="0" w:space="0" w:color="auto"/>
          </w:divBdr>
        </w:div>
        <w:div w:id="112602635">
          <w:marLeft w:val="547"/>
          <w:marRight w:val="0"/>
          <w:marTop w:val="0"/>
          <w:marBottom w:val="0"/>
          <w:divBdr>
            <w:top w:val="none" w:sz="0" w:space="0" w:color="auto"/>
            <w:left w:val="none" w:sz="0" w:space="0" w:color="auto"/>
            <w:bottom w:val="none" w:sz="0" w:space="0" w:color="auto"/>
            <w:right w:val="none" w:sz="0" w:space="0" w:color="auto"/>
          </w:divBdr>
        </w:div>
        <w:div w:id="1153718078">
          <w:marLeft w:val="547"/>
          <w:marRight w:val="0"/>
          <w:marTop w:val="0"/>
          <w:marBottom w:val="0"/>
          <w:divBdr>
            <w:top w:val="none" w:sz="0" w:space="0" w:color="auto"/>
            <w:left w:val="none" w:sz="0" w:space="0" w:color="auto"/>
            <w:bottom w:val="none" w:sz="0" w:space="0" w:color="auto"/>
            <w:right w:val="none" w:sz="0" w:space="0" w:color="auto"/>
          </w:divBdr>
        </w:div>
      </w:divsChild>
    </w:div>
    <w:div w:id="2117019892">
      <w:bodyDiv w:val="1"/>
      <w:marLeft w:val="0"/>
      <w:marRight w:val="0"/>
      <w:marTop w:val="0"/>
      <w:marBottom w:val="0"/>
      <w:divBdr>
        <w:top w:val="none" w:sz="0" w:space="0" w:color="auto"/>
        <w:left w:val="none" w:sz="0" w:space="0" w:color="auto"/>
        <w:bottom w:val="none" w:sz="0" w:space="0" w:color="auto"/>
        <w:right w:val="none" w:sz="0" w:space="0" w:color="auto"/>
      </w:divBdr>
    </w:div>
    <w:div w:id="214364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rter%20saffron\Downloads\Word-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Style guides and writing</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0B0A1-B588-43A6-95C6-EDA54CEB783A}">
  <ds:schemaRefs>
    <ds:schemaRef ds:uri="http://schemas.microsoft.com/sharepoint/v3/contenttype/forms"/>
  </ds:schemaRefs>
</ds:datastoreItem>
</file>

<file path=customXml/itemProps2.xml><?xml version="1.0" encoding="utf-8"?>
<ds:datastoreItem xmlns:ds="http://schemas.openxmlformats.org/officeDocument/2006/customXml" ds:itemID="{89DC2663-4D88-40E8-A678-F76FE90CDC62}">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3.xml><?xml version="1.0" encoding="utf-8"?>
<ds:datastoreItem xmlns:ds="http://schemas.openxmlformats.org/officeDocument/2006/customXml" ds:itemID="{86E65ABE-16D0-4809-8D37-386F325C8821}">
  <ds:schemaRefs>
    <ds:schemaRef ds:uri="http://schemas.openxmlformats.org/officeDocument/2006/bibliography"/>
  </ds:schemaRefs>
</ds:datastoreItem>
</file>

<file path=customXml/itemProps4.xml><?xml version="1.0" encoding="utf-8"?>
<ds:datastoreItem xmlns:ds="http://schemas.openxmlformats.org/officeDocument/2006/customXml" ds:itemID="{7B0DD48E-5127-4DAC-BC46-D64D526EF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Word-document-template.dotx</Template>
  <TotalTime>3</TotalTime>
  <Pages>8</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Offshore Industry Information Session for 2021-22 BMSB Season</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Industry Information Session for 2021-22 BMSB Season</dc:title>
  <dc:creator>Department of Agriculture, Water and the Environment</dc:creator>
  <cp:lastModifiedBy>Dang, Van</cp:lastModifiedBy>
  <cp:revision>4</cp:revision>
  <cp:lastPrinted>2015-08-14T05:36:00Z</cp:lastPrinted>
  <dcterms:created xsi:type="dcterms:W3CDTF">2021-10-04T22:49:00Z</dcterms:created>
  <dcterms:modified xsi:type="dcterms:W3CDTF">2021-10-05T00:01:00Z</dcterms:modified>
  <cp:contentStatus>Updated August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Display as">
    <vt:lpwstr>;#Template;#</vt:lpwstr>
  </property>
</Properties>
</file>