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7EBBB" w14:textId="77777777" w:rsidR="00457AD1" w:rsidRDefault="00457AD1" w:rsidP="00457AD1">
      <w:pPr>
        <w:pStyle w:val="Subtitle"/>
        <w:rPr>
          <w:b/>
          <w:sz w:val="72"/>
          <w:szCs w:val="28"/>
        </w:rPr>
      </w:pPr>
    </w:p>
    <w:p w14:paraId="52602AF9" w14:textId="77777777" w:rsidR="00457AD1" w:rsidRDefault="00457AD1" w:rsidP="00457AD1">
      <w:pPr>
        <w:pStyle w:val="Subtitle"/>
        <w:rPr>
          <w:b/>
          <w:sz w:val="72"/>
          <w:szCs w:val="28"/>
        </w:rPr>
      </w:pPr>
    </w:p>
    <w:p w14:paraId="71B460E9" w14:textId="77777777" w:rsidR="00457AD1" w:rsidRDefault="00457AD1" w:rsidP="00457AD1">
      <w:pPr>
        <w:pStyle w:val="Subtitle"/>
        <w:rPr>
          <w:b/>
          <w:sz w:val="72"/>
          <w:szCs w:val="28"/>
        </w:rPr>
      </w:pPr>
    </w:p>
    <w:p w14:paraId="5D0C66D2" w14:textId="77777777" w:rsidR="00457AD1" w:rsidRDefault="00457AD1" w:rsidP="00457AD1">
      <w:pPr>
        <w:pStyle w:val="Subtitle"/>
        <w:rPr>
          <w:b/>
          <w:sz w:val="72"/>
          <w:szCs w:val="28"/>
        </w:rPr>
      </w:pPr>
      <w:bookmarkStart w:id="0" w:name="_Hlk173743587"/>
      <w:r>
        <w:rPr>
          <w:b/>
          <w:sz w:val="72"/>
          <w:szCs w:val="28"/>
        </w:rPr>
        <w:t xml:space="preserve">2024–2030 Operations </w:t>
      </w:r>
      <w:r w:rsidRPr="00A32E62">
        <w:rPr>
          <w:b/>
          <w:sz w:val="72"/>
          <w:szCs w:val="28"/>
        </w:rPr>
        <w:t>Emissions Reduction Plan</w:t>
      </w:r>
    </w:p>
    <w:bookmarkEnd w:id="0"/>
    <w:p w14:paraId="01E13BFC" w14:textId="77777777" w:rsidR="00457AD1" w:rsidRDefault="00457AD1" w:rsidP="00441BFD">
      <w:pPr>
        <w:pStyle w:val="Subtitle"/>
      </w:pPr>
    </w:p>
    <w:p w14:paraId="56018E2F" w14:textId="6620F2E1" w:rsidR="00764D6A" w:rsidRDefault="00E91D72">
      <w:pPr>
        <w:pStyle w:val="Normalsmall"/>
      </w:pPr>
      <w:r>
        <w:br w:type="page"/>
      </w:r>
      <w:r>
        <w:lastRenderedPageBreak/>
        <w:t xml:space="preserve">© Commonwealth of Australia </w:t>
      </w:r>
      <w:r w:rsidR="00B97E61">
        <w:t>202</w:t>
      </w:r>
      <w:r w:rsidR="0071381A">
        <w:t>4</w:t>
      </w:r>
    </w:p>
    <w:p w14:paraId="14B874FF" w14:textId="77777777" w:rsidR="00764D6A" w:rsidRDefault="00E91D72">
      <w:pPr>
        <w:pStyle w:val="Normalsmall"/>
        <w:rPr>
          <w:rStyle w:val="Strong"/>
        </w:rPr>
      </w:pPr>
      <w:r>
        <w:rPr>
          <w:rStyle w:val="Strong"/>
        </w:rPr>
        <w:t>Ownership of intellectual property rights</w:t>
      </w:r>
    </w:p>
    <w:p w14:paraId="036D1EE7"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0C47233E" w14:textId="77777777" w:rsidR="00764D6A" w:rsidRDefault="00E91D72">
      <w:pPr>
        <w:pStyle w:val="Normalsmall"/>
        <w:rPr>
          <w:rStyle w:val="Strong"/>
        </w:rPr>
      </w:pPr>
      <w:r>
        <w:rPr>
          <w:rStyle w:val="Strong"/>
        </w:rPr>
        <w:t>Creative Commons licence</w:t>
      </w:r>
    </w:p>
    <w:p w14:paraId="201FB227"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025795" w14:textId="77777777" w:rsidR="00764D6A" w:rsidRPr="00364A4A" w:rsidRDefault="00E91D72">
      <w:pPr>
        <w:pStyle w:val="Normalsmall"/>
      </w:pPr>
      <w:r w:rsidRPr="00364A4A">
        <w:rPr>
          <w:noProof/>
          <w:lang w:eastAsia="en-AU"/>
        </w:rPr>
        <w:drawing>
          <wp:inline distT="0" distB="0" distL="0" distR="0" wp14:anchorId="11B4A210" wp14:editId="59BA0605">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3E6F208" w14:textId="77777777" w:rsidR="00764D6A" w:rsidRPr="00364A4A" w:rsidRDefault="00E91D72">
      <w:pPr>
        <w:pStyle w:val="Normalsmall"/>
        <w:rPr>
          <w:rStyle w:val="Strong"/>
        </w:rPr>
      </w:pPr>
      <w:r w:rsidRPr="00364A4A">
        <w:rPr>
          <w:rStyle w:val="Strong"/>
        </w:rPr>
        <w:t>Cataloguing data</w:t>
      </w:r>
    </w:p>
    <w:p w14:paraId="6DDFDCF8" w14:textId="659EAB50" w:rsidR="00764D6A" w:rsidRPr="00B4114A" w:rsidRDefault="00E91D72">
      <w:pPr>
        <w:pStyle w:val="Normalsmall"/>
      </w:pPr>
      <w:r w:rsidRPr="00B4114A">
        <w:t xml:space="preserve">This publication (and any material sourced from it) should be attributed as: </w:t>
      </w:r>
      <w:r w:rsidR="00D92764" w:rsidRPr="00B4114A">
        <w:t>Department of Agriculture Fisheries and Forestry</w:t>
      </w:r>
      <w:r w:rsidR="0088612A" w:rsidRPr="00B4114A">
        <w:t xml:space="preserve"> 2024-2030 Operations</w:t>
      </w:r>
      <w:r w:rsidR="00D92764" w:rsidRPr="00B4114A">
        <w:t xml:space="preserve"> Emissions Reduction Plan</w:t>
      </w:r>
      <w:r w:rsidRPr="00B4114A">
        <w:t xml:space="preserve">, </w:t>
      </w:r>
      <w:r w:rsidR="00DE0AAE" w:rsidRPr="00B4114A">
        <w:t>Department of Agriculture, Fisheries and Forestry</w:t>
      </w:r>
      <w:r w:rsidRPr="00B4114A">
        <w:t>, Canberra. CC BY 4.0.</w:t>
      </w:r>
    </w:p>
    <w:p w14:paraId="402CFB8C" w14:textId="77777777" w:rsidR="00764D6A" w:rsidRDefault="00E91D72">
      <w:pPr>
        <w:pStyle w:val="Normalsmall"/>
      </w:pPr>
      <w:r w:rsidRPr="00B4114A">
        <w:t xml:space="preserve">This publication is available at </w:t>
      </w:r>
      <w:hyperlink r:id="rId13" w:history="1">
        <w:r w:rsidR="00DE0AAE" w:rsidRPr="00B4114A">
          <w:rPr>
            <w:rStyle w:val="Hyperlink"/>
          </w:rPr>
          <w:t>agriculture.gov.au/publications</w:t>
        </w:r>
      </w:hyperlink>
      <w:r w:rsidRPr="00B4114A">
        <w:t>.</w:t>
      </w:r>
    </w:p>
    <w:p w14:paraId="18BB019A" w14:textId="77777777" w:rsidR="00DE0AAE" w:rsidRDefault="00DE0AAE">
      <w:pPr>
        <w:pStyle w:val="Normalsmall"/>
        <w:spacing w:after="0"/>
      </w:pPr>
      <w:r w:rsidRPr="00DE0AAE">
        <w:t>Department of Agriculture, Fisheries and Forestry</w:t>
      </w:r>
    </w:p>
    <w:p w14:paraId="59393F52" w14:textId="77777777" w:rsidR="00764D6A" w:rsidRPr="00364A4A" w:rsidRDefault="00E91D72">
      <w:pPr>
        <w:pStyle w:val="Normalsmall"/>
        <w:spacing w:after="0"/>
      </w:pPr>
      <w:r w:rsidRPr="00364A4A">
        <w:t>GPO Box 858 Canberra ACT 2601</w:t>
      </w:r>
    </w:p>
    <w:p w14:paraId="043F067B" w14:textId="77777777" w:rsidR="00764D6A" w:rsidRPr="00364A4A" w:rsidRDefault="00E91D72">
      <w:pPr>
        <w:pStyle w:val="Normalsmall"/>
        <w:spacing w:after="0"/>
      </w:pPr>
      <w:r w:rsidRPr="00364A4A">
        <w:t>Telephone 1800 900 090</w:t>
      </w:r>
    </w:p>
    <w:p w14:paraId="00E8606C"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6DC7CA80" w14:textId="77777777" w:rsidR="007C358A" w:rsidRDefault="007C358A">
      <w:pPr>
        <w:pStyle w:val="Normalsmall"/>
      </w:pPr>
      <w:r w:rsidRPr="00364A4A">
        <w:rPr>
          <w:rStyle w:val="Strong"/>
        </w:rPr>
        <w:t>Disclaimer</w:t>
      </w:r>
    </w:p>
    <w:p w14:paraId="24B08458"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6934B0D2" w14:textId="77777777" w:rsidR="00B02B9B" w:rsidRDefault="00B02B9B" w:rsidP="00B02B9B">
      <w:pPr>
        <w:pStyle w:val="Normalsmall"/>
      </w:pPr>
      <w:r>
        <w:rPr>
          <w:rStyle w:val="Strong"/>
        </w:rPr>
        <w:t>Acknowledgement of Country</w:t>
      </w:r>
    </w:p>
    <w:p w14:paraId="25704CFF" w14:textId="77777777" w:rsidR="00517A68"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3EEF3FE" w14:textId="0FC01260" w:rsidR="00764D6A" w:rsidRDefault="00E91D72">
      <w:pPr>
        <w:spacing w:after="0" w:line="240" w:lineRule="auto"/>
      </w:pPr>
      <w:r>
        <w:br w:type="page"/>
      </w:r>
    </w:p>
    <w:p w14:paraId="637B3868" w14:textId="77777777" w:rsidR="00977CFD" w:rsidRDefault="00977CFD" w:rsidP="00977CFD">
      <w:pPr>
        <w:pStyle w:val="Heading2"/>
        <w:numPr>
          <w:ilvl w:val="0"/>
          <w:numId w:val="0"/>
        </w:numPr>
        <w:ind w:left="720" w:right="-144" w:hanging="720"/>
      </w:pPr>
      <w:bookmarkStart w:id="1" w:name="_Toc175044413"/>
      <w:r>
        <w:lastRenderedPageBreak/>
        <w:t>Chief Sustainability Officer endorsement</w:t>
      </w:r>
      <w:bookmarkEnd w:id="1"/>
    </w:p>
    <w:p w14:paraId="092FE632" w14:textId="77777777" w:rsidR="00977CFD" w:rsidRDefault="00977CFD" w:rsidP="00977CFD">
      <w:pPr>
        <w:pStyle w:val="BodyText1"/>
      </w:pPr>
      <w:r>
        <w:t xml:space="preserve">The Australian Government released the Net Zero in Government Operations Strategy in November 2023, setting out the overall approach and action required by Commonwealth entities to achieve the APS Net Zero 2030 target. </w:t>
      </w:r>
    </w:p>
    <w:p w14:paraId="0D9EBBAC" w14:textId="77777777" w:rsidR="00977CFD" w:rsidRPr="0007750F" w:rsidRDefault="00977CFD" w:rsidP="00977CFD">
      <w:pPr>
        <w:pStyle w:val="BodyText1"/>
      </w:pPr>
      <w:r>
        <w:t>The Net Zero in Government Operations Strategy represents a strong commitment by the Australian Government to lead by example on emissions reduction and contribute to the decarbonisation of Australia’s economy</w:t>
      </w:r>
      <w:r w:rsidRPr="0007750F">
        <w:t xml:space="preserve">. </w:t>
      </w:r>
    </w:p>
    <w:p w14:paraId="1D926F1B" w14:textId="3E081DE9" w:rsidR="00977CFD" w:rsidRPr="0007750F" w:rsidRDefault="00977CFD" w:rsidP="00977CFD">
      <w:pPr>
        <w:pStyle w:val="BodyText1"/>
      </w:pPr>
      <w:r w:rsidRPr="0007750F">
        <w:t xml:space="preserve">The </w:t>
      </w:r>
      <w:r>
        <w:t>Department of Agriculture Fisheries and Forestry (the department)</w:t>
      </w:r>
      <w:r w:rsidRPr="0007750F">
        <w:t xml:space="preserve"> is committed to </w:t>
      </w:r>
      <w:r>
        <w:t xml:space="preserve">the </w:t>
      </w:r>
      <w:r w:rsidRPr="0007750F">
        <w:t>achiev</w:t>
      </w:r>
      <w:r>
        <w:t>ement of the Australian Government’s APS N</w:t>
      </w:r>
      <w:r w:rsidRPr="0007750F">
        <w:t xml:space="preserve">et </w:t>
      </w:r>
      <w:r>
        <w:t>Z</w:t>
      </w:r>
      <w:r w:rsidRPr="0007750F">
        <w:t>ero 2030</w:t>
      </w:r>
      <w:r>
        <w:t xml:space="preserve"> target</w:t>
      </w:r>
      <w:r w:rsidRPr="0007750F">
        <w:t xml:space="preserve">. </w:t>
      </w:r>
      <w:r>
        <w:t xml:space="preserve">The department </w:t>
      </w:r>
      <w:r w:rsidRPr="00892A96">
        <w:t xml:space="preserve">is following the APS Net Zero 2030 target in full, as per the Net Zero in Government Operations Strategy. </w:t>
      </w:r>
    </w:p>
    <w:p w14:paraId="15BD2C70" w14:textId="721DB4DB" w:rsidR="00977CFD" w:rsidRPr="0007750F" w:rsidRDefault="00977CFD" w:rsidP="00977CFD">
      <w:pPr>
        <w:pStyle w:val="BodyText1"/>
      </w:pPr>
      <w:r>
        <w:t>This Operations Emissions Reduction Plan describes the priorities and actions the department</w:t>
      </w:r>
      <w:r w:rsidRPr="0007750F">
        <w:t xml:space="preserve"> </w:t>
      </w:r>
      <w:r>
        <w:t>is taking</w:t>
      </w:r>
      <w:r w:rsidRPr="0007750F">
        <w:t xml:space="preserve"> to reduce operational emissions</w:t>
      </w:r>
      <w:r>
        <w:t xml:space="preserve"> and contribute to the APS Net Zero 2030 target</w:t>
      </w:r>
      <w:r w:rsidRPr="0007750F">
        <w:t>.</w:t>
      </w:r>
    </w:p>
    <w:p w14:paraId="653D2908" w14:textId="39082668" w:rsidR="00977CFD" w:rsidRDefault="00977CFD" w:rsidP="00977CFD"/>
    <w:p w14:paraId="40F13713" w14:textId="0694AE0C" w:rsidR="00977CFD" w:rsidRPr="0007750F" w:rsidRDefault="00977CFD" w:rsidP="00977CFD">
      <w:pPr>
        <w:pStyle w:val="BodyText1"/>
      </w:pPr>
      <w:r w:rsidRPr="006668A1">
        <w:t>Tim Simpson</w:t>
      </w:r>
      <w:r w:rsidR="006668A1">
        <w:br/>
      </w:r>
      <w:r w:rsidR="00B4114A">
        <w:t>Acting</w:t>
      </w:r>
      <w:r w:rsidR="007041B5" w:rsidRPr="007041B5">
        <w:t xml:space="preserve"> </w:t>
      </w:r>
      <w:r w:rsidRPr="006668A1">
        <w:t>Chief Sustainability Officer</w:t>
      </w:r>
    </w:p>
    <w:p w14:paraId="00DAB4F0" w14:textId="3354FB04" w:rsidR="00977CFD" w:rsidRDefault="00977CFD" w:rsidP="00977CFD"/>
    <w:p w14:paraId="615C1747" w14:textId="77777777" w:rsidR="00977CFD" w:rsidRDefault="00977CFD" w:rsidP="00977CFD"/>
    <w:p w14:paraId="5116B8FB" w14:textId="7026261A" w:rsidR="00977CFD" w:rsidRDefault="00977CFD">
      <w:pPr>
        <w:spacing w:after="0" w:line="240" w:lineRule="auto"/>
      </w:pPr>
      <w:r>
        <w:br w:type="page"/>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31134ABD" w14:textId="20A3B955" w:rsidR="00764D6A" w:rsidRDefault="00E91D72">
          <w:pPr>
            <w:pStyle w:val="TOCHeading"/>
          </w:pPr>
          <w:r>
            <w:t>Contents</w:t>
          </w:r>
        </w:p>
        <w:p w14:paraId="3ED36D3A" w14:textId="526F6E0B" w:rsidR="00191C2A"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5044413" w:history="1">
            <w:r w:rsidR="00191C2A" w:rsidRPr="006D151F">
              <w:rPr>
                <w:rStyle w:val="Hyperlink"/>
              </w:rPr>
              <w:t>Chief Sustainability Officer endorsement</w:t>
            </w:r>
            <w:r w:rsidR="00191C2A">
              <w:rPr>
                <w:webHidden/>
              </w:rPr>
              <w:tab/>
            </w:r>
            <w:r w:rsidR="00191C2A">
              <w:rPr>
                <w:webHidden/>
              </w:rPr>
              <w:fldChar w:fldCharType="begin"/>
            </w:r>
            <w:r w:rsidR="00191C2A">
              <w:rPr>
                <w:webHidden/>
              </w:rPr>
              <w:instrText xml:space="preserve"> PAGEREF _Toc175044413 \h </w:instrText>
            </w:r>
            <w:r w:rsidR="00191C2A">
              <w:rPr>
                <w:webHidden/>
              </w:rPr>
            </w:r>
            <w:r w:rsidR="00191C2A">
              <w:rPr>
                <w:webHidden/>
              </w:rPr>
              <w:fldChar w:fldCharType="separate"/>
            </w:r>
            <w:r w:rsidR="00B23DEB">
              <w:rPr>
                <w:webHidden/>
              </w:rPr>
              <w:t>iii</w:t>
            </w:r>
            <w:r w:rsidR="00191C2A">
              <w:rPr>
                <w:webHidden/>
              </w:rPr>
              <w:fldChar w:fldCharType="end"/>
            </w:r>
          </w:hyperlink>
        </w:p>
        <w:p w14:paraId="50122209" w14:textId="40897D3D" w:rsidR="00191C2A" w:rsidRDefault="00191C2A">
          <w:pPr>
            <w:pStyle w:val="TOC1"/>
            <w:rPr>
              <w:rFonts w:eastAsiaTheme="minorEastAsia"/>
              <w:b w:val="0"/>
              <w:kern w:val="2"/>
              <w:sz w:val="24"/>
              <w:szCs w:val="24"/>
              <w:lang w:eastAsia="en-AU"/>
              <w14:ligatures w14:val="standardContextual"/>
            </w:rPr>
          </w:pPr>
          <w:hyperlink w:anchor="_Toc175044414" w:history="1">
            <w:r w:rsidRPr="006D151F">
              <w:rPr>
                <w:rStyle w:val="Hyperlink"/>
              </w:rPr>
              <w:t>1</w:t>
            </w:r>
            <w:r>
              <w:rPr>
                <w:rFonts w:eastAsiaTheme="minorEastAsia"/>
                <w:b w:val="0"/>
                <w:kern w:val="2"/>
                <w:sz w:val="24"/>
                <w:szCs w:val="24"/>
                <w:lang w:eastAsia="en-AU"/>
                <w14:ligatures w14:val="standardContextual"/>
              </w:rPr>
              <w:tab/>
            </w:r>
            <w:r w:rsidRPr="006D151F">
              <w:rPr>
                <w:rStyle w:val="Hyperlink"/>
              </w:rPr>
              <w:t>Purpose</w:t>
            </w:r>
            <w:r>
              <w:rPr>
                <w:webHidden/>
              </w:rPr>
              <w:tab/>
            </w:r>
            <w:r>
              <w:rPr>
                <w:webHidden/>
              </w:rPr>
              <w:fldChar w:fldCharType="begin"/>
            </w:r>
            <w:r>
              <w:rPr>
                <w:webHidden/>
              </w:rPr>
              <w:instrText xml:space="preserve"> PAGEREF _Toc175044414 \h </w:instrText>
            </w:r>
            <w:r>
              <w:rPr>
                <w:webHidden/>
              </w:rPr>
            </w:r>
            <w:r>
              <w:rPr>
                <w:webHidden/>
              </w:rPr>
              <w:fldChar w:fldCharType="separate"/>
            </w:r>
            <w:r w:rsidR="00B23DEB">
              <w:rPr>
                <w:webHidden/>
              </w:rPr>
              <w:t>5</w:t>
            </w:r>
            <w:r>
              <w:rPr>
                <w:webHidden/>
              </w:rPr>
              <w:fldChar w:fldCharType="end"/>
            </w:r>
          </w:hyperlink>
        </w:p>
        <w:p w14:paraId="62B0968C" w14:textId="23035ED1" w:rsidR="00191C2A" w:rsidRDefault="00191C2A">
          <w:pPr>
            <w:pStyle w:val="TOC1"/>
            <w:rPr>
              <w:rFonts w:eastAsiaTheme="minorEastAsia"/>
              <w:b w:val="0"/>
              <w:kern w:val="2"/>
              <w:sz w:val="24"/>
              <w:szCs w:val="24"/>
              <w:lang w:eastAsia="en-AU"/>
              <w14:ligatures w14:val="standardContextual"/>
            </w:rPr>
          </w:pPr>
          <w:hyperlink w:anchor="_Toc175044415" w:history="1">
            <w:r w:rsidRPr="006D151F">
              <w:rPr>
                <w:rStyle w:val="Hyperlink"/>
              </w:rPr>
              <w:t>2</w:t>
            </w:r>
            <w:r>
              <w:rPr>
                <w:rFonts w:eastAsiaTheme="minorEastAsia"/>
                <w:b w:val="0"/>
                <w:kern w:val="2"/>
                <w:sz w:val="24"/>
                <w:szCs w:val="24"/>
                <w:lang w:eastAsia="en-AU"/>
                <w14:ligatures w14:val="standardContextual"/>
              </w:rPr>
              <w:tab/>
            </w:r>
            <w:r w:rsidRPr="006D151F">
              <w:rPr>
                <w:rStyle w:val="Hyperlink"/>
              </w:rPr>
              <w:t>Net zero greenhouse gas emissions</w:t>
            </w:r>
            <w:r>
              <w:rPr>
                <w:webHidden/>
              </w:rPr>
              <w:tab/>
            </w:r>
            <w:r>
              <w:rPr>
                <w:webHidden/>
              </w:rPr>
              <w:fldChar w:fldCharType="begin"/>
            </w:r>
            <w:r>
              <w:rPr>
                <w:webHidden/>
              </w:rPr>
              <w:instrText xml:space="preserve"> PAGEREF _Toc175044415 \h </w:instrText>
            </w:r>
            <w:r>
              <w:rPr>
                <w:webHidden/>
              </w:rPr>
            </w:r>
            <w:r>
              <w:rPr>
                <w:webHidden/>
              </w:rPr>
              <w:fldChar w:fldCharType="separate"/>
            </w:r>
            <w:r w:rsidR="00B23DEB">
              <w:rPr>
                <w:webHidden/>
              </w:rPr>
              <w:t>5</w:t>
            </w:r>
            <w:r>
              <w:rPr>
                <w:webHidden/>
              </w:rPr>
              <w:fldChar w:fldCharType="end"/>
            </w:r>
          </w:hyperlink>
        </w:p>
        <w:p w14:paraId="2B8C6C8D" w14:textId="20E848D0" w:rsidR="00191C2A" w:rsidRDefault="00191C2A">
          <w:pPr>
            <w:pStyle w:val="TOC1"/>
            <w:rPr>
              <w:rFonts w:eastAsiaTheme="minorEastAsia"/>
              <w:b w:val="0"/>
              <w:kern w:val="2"/>
              <w:sz w:val="24"/>
              <w:szCs w:val="24"/>
              <w:lang w:eastAsia="en-AU"/>
              <w14:ligatures w14:val="standardContextual"/>
            </w:rPr>
          </w:pPr>
          <w:hyperlink w:anchor="_Toc175044416" w:history="1">
            <w:r w:rsidRPr="006D151F">
              <w:rPr>
                <w:rStyle w:val="Hyperlink"/>
              </w:rPr>
              <w:t>3</w:t>
            </w:r>
            <w:r>
              <w:rPr>
                <w:rFonts w:eastAsiaTheme="minorEastAsia"/>
                <w:b w:val="0"/>
                <w:kern w:val="2"/>
                <w:sz w:val="24"/>
                <w:szCs w:val="24"/>
                <w:lang w:eastAsia="en-AU"/>
                <w14:ligatures w14:val="standardContextual"/>
              </w:rPr>
              <w:tab/>
            </w:r>
            <w:r w:rsidRPr="006D151F">
              <w:rPr>
                <w:rStyle w:val="Hyperlink"/>
              </w:rPr>
              <w:t>Governance and reporting</w:t>
            </w:r>
            <w:r>
              <w:rPr>
                <w:webHidden/>
              </w:rPr>
              <w:tab/>
            </w:r>
            <w:r>
              <w:rPr>
                <w:webHidden/>
              </w:rPr>
              <w:fldChar w:fldCharType="begin"/>
            </w:r>
            <w:r>
              <w:rPr>
                <w:webHidden/>
              </w:rPr>
              <w:instrText xml:space="preserve"> PAGEREF _Toc175044416 \h </w:instrText>
            </w:r>
            <w:r>
              <w:rPr>
                <w:webHidden/>
              </w:rPr>
            </w:r>
            <w:r>
              <w:rPr>
                <w:webHidden/>
              </w:rPr>
              <w:fldChar w:fldCharType="separate"/>
            </w:r>
            <w:r w:rsidR="00B23DEB">
              <w:rPr>
                <w:webHidden/>
              </w:rPr>
              <w:t>5</w:t>
            </w:r>
            <w:r>
              <w:rPr>
                <w:webHidden/>
              </w:rPr>
              <w:fldChar w:fldCharType="end"/>
            </w:r>
          </w:hyperlink>
        </w:p>
        <w:p w14:paraId="452D2215" w14:textId="0C60F11D" w:rsidR="00191C2A" w:rsidRDefault="00191C2A">
          <w:pPr>
            <w:pStyle w:val="TOC1"/>
            <w:rPr>
              <w:rFonts w:eastAsiaTheme="minorEastAsia"/>
              <w:b w:val="0"/>
              <w:kern w:val="2"/>
              <w:sz w:val="24"/>
              <w:szCs w:val="24"/>
              <w:lang w:eastAsia="en-AU"/>
              <w14:ligatures w14:val="standardContextual"/>
            </w:rPr>
          </w:pPr>
          <w:hyperlink w:anchor="_Toc175044417" w:history="1">
            <w:r w:rsidRPr="006D151F">
              <w:rPr>
                <w:rStyle w:val="Hyperlink"/>
              </w:rPr>
              <w:t>4</w:t>
            </w:r>
            <w:r>
              <w:rPr>
                <w:rFonts w:eastAsiaTheme="minorEastAsia"/>
                <w:b w:val="0"/>
                <w:kern w:val="2"/>
                <w:sz w:val="24"/>
                <w:szCs w:val="24"/>
                <w:lang w:eastAsia="en-AU"/>
                <w14:ligatures w14:val="standardContextual"/>
              </w:rPr>
              <w:tab/>
            </w:r>
            <w:r w:rsidRPr="006D151F">
              <w:rPr>
                <w:rStyle w:val="Hyperlink"/>
              </w:rPr>
              <w:t>The department’s operational context</w:t>
            </w:r>
            <w:r>
              <w:rPr>
                <w:webHidden/>
              </w:rPr>
              <w:tab/>
            </w:r>
            <w:r>
              <w:rPr>
                <w:webHidden/>
              </w:rPr>
              <w:fldChar w:fldCharType="begin"/>
            </w:r>
            <w:r>
              <w:rPr>
                <w:webHidden/>
              </w:rPr>
              <w:instrText xml:space="preserve"> PAGEREF _Toc175044417 \h </w:instrText>
            </w:r>
            <w:r>
              <w:rPr>
                <w:webHidden/>
              </w:rPr>
            </w:r>
            <w:r>
              <w:rPr>
                <w:webHidden/>
              </w:rPr>
              <w:fldChar w:fldCharType="separate"/>
            </w:r>
            <w:r w:rsidR="00B23DEB">
              <w:rPr>
                <w:webHidden/>
              </w:rPr>
              <w:t>6</w:t>
            </w:r>
            <w:r>
              <w:rPr>
                <w:webHidden/>
              </w:rPr>
              <w:fldChar w:fldCharType="end"/>
            </w:r>
          </w:hyperlink>
        </w:p>
        <w:p w14:paraId="6F8156B1" w14:textId="11B1D286" w:rsidR="00191C2A" w:rsidRDefault="00191C2A">
          <w:pPr>
            <w:pStyle w:val="TOC1"/>
            <w:rPr>
              <w:rFonts w:eastAsiaTheme="minorEastAsia"/>
              <w:b w:val="0"/>
              <w:kern w:val="2"/>
              <w:sz w:val="24"/>
              <w:szCs w:val="24"/>
              <w:lang w:eastAsia="en-AU"/>
              <w14:ligatures w14:val="standardContextual"/>
            </w:rPr>
          </w:pPr>
          <w:hyperlink w:anchor="_Toc175044418" w:history="1">
            <w:r w:rsidRPr="006D151F">
              <w:rPr>
                <w:rStyle w:val="Hyperlink"/>
              </w:rPr>
              <w:t>5</w:t>
            </w:r>
            <w:r>
              <w:rPr>
                <w:rFonts w:eastAsiaTheme="minorEastAsia"/>
                <w:b w:val="0"/>
                <w:kern w:val="2"/>
                <w:sz w:val="24"/>
                <w:szCs w:val="24"/>
                <w:lang w:eastAsia="en-AU"/>
                <w14:ligatures w14:val="standardContextual"/>
              </w:rPr>
              <w:tab/>
            </w:r>
            <w:r w:rsidRPr="006D151F">
              <w:rPr>
                <w:rStyle w:val="Hyperlink"/>
              </w:rPr>
              <w:t>Baseline emissions</w:t>
            </w:r>
            <w:r>
              <w:rPr>
                <w:webHidden/>
              </w:rPr>
              <w:tab/>
            </w:r>
            <w:r>
              <w:rPr>
                <w:webHidden/>
              </w:rPr>
              <w:fldChar w:fldCharType="begin"/>
            </w:r>
            <w:r>
              <w:rPr>
                <w:webHidden/>
              </w:rPr>
              <w:instrText xml:space="preserve"> PAGEREF _Toc175044418 \h </w:instrText>
            </w:r>
            <w:r>
              <w:rPr>
                <w:webHidden/>
              </w:rPr>
            </w:r>
            <w:r>
              <w:rPr>
                <w:webHidden/>
              </w:rPr>
              <w:fldChar w:fldCharType="separate"/>
            </w:r>
            <w:r w:rsidR="00B23DEB">
              <w:rPr>
                <w:webHidden/>
              </w:rPr>
              <w:t>7</w:t>
            </w:r>
            <w:r>
              <w:rPr>
                <w:webHidden/>
              </w:rPr>
              <w:fldChar w:fldCharType="end"/>
            </w:r>
          </w:hyperlink>
        </w:p>
        <w:p w14:paraId="4FE7C70D" w14:textId="2E30DBC2" w:rsidR="00191C2A" w:rsidRDefault="00191C2A">
          <w:pPr>
            <w:pStyle w:val="TOC1"/>
            <w:rPr>
              <w:rFonts w:eastAsiaTheme="minorEastAsia"/>
              <w:b w:val="0"/>
              <w:kern w:val="2"/>
              <w:sz w:val="24"/>
              <w:szCs w:val="24"/>
              <w:lang w:eastAsia="en-AU"/>
              <w14:ligatures w14:val="standardContextual"/>
            </w:rPr>
          </w:pPr>
          <w:hyperlink w:anchor="_Toc175044419" w:history="1">
            <w:r w:rsidRPr="006D151F">
              <w:rPr>
                <w:rStyle w:val="Hyperlink"/>
              </w:rPr>
              <w:t>6</w:t>
            </w:r>
            <w:r>
              <w:rPr>
                <w:rFonts w:eastAsiaTheme="minorEastAsia"/>
                <w:b w:val="0"/>
                <w:kern w:val="2"/>
                <w:sz w:val="24"/>
                <w:szCs w:val="24"/>
                <w:lang w:eastAsia="en-AU"/>
                <w14:ligatures w14:val="standardContextual"/>
              </w:rPr>
              <w:tab/>
            </w:r>
            <w:r w:rsidRPr="006D151F">
              <w:rPr>
                <w:rStyle w:val="Hyperlink"/>
              </w:rPr>
              <w:t>Engagement</w:t>
            </w:r>
            <w:r>
              <w:rPr>
                <w:webHidden/>
              </w:rPr>
              <w:tab/>
            </w:r>
            <w:r>
              <w:rPr>
                <w:webHidden/>
              </w:rPr>
              <w:fldChar w:fldCharType="begin"/>
            </w:r>
            <w:r>
              <w:rPr>
                <w:webHidden/>
              </w:rPr>
              <w:instrText xml:space="preserve"> PAGEREF _Toc175044419 \h </w:instrText>
            </w:r>
            <w:r>
              <w:rPr>
                <w:webHidden/>
              </w:rPr>
            </w:r>
            <w:r>
              <w:rPr>
                <w:webHidden/>
              </w:rPr>
              <w:fldChar w:fldCharType="separate"/>
            </w:r>
            <w:r w:rsidR="00B23DEB">
              <w:rPr>
                <w:webHidden/>
              </w:rPr>
              <w:t>8</w:t>
            </w:r>
            <w:r>
              <w:rPr>
                <w:webHidden/>
              </w:rPr>
              <w:fldChar w:fldCharType="end"/>
            </w:r>
          </w:hyperlink>
        </w:p>
        <w:p w14:paraId="09CC1637" w14:textId="6944D3B0" w:rsidR="00191C2A" w:rsidRDefault="00191C2A">
          <w:pPr>
            <w:pStyle w:val="TOC1"/>
            <w:rPr>
              <w:rFonts w:eastAsiaTheme="minorEastAsia"/>
              <w:b w:val="0"/>
              <w:kern w:val="2"/>
              <w:sz w:val="24"/>
              <w:szCs w:val="24"/>
              <w:lang w:eastAsia="en-AU"/>
              <w14:ligatures w14:val="standardContextual"/>
            </w:rPr>
          </w:pPr>
          <w:hyperlink w:anchor="_Toc175044420" w:history="1">
            <w:r w:rsidRPr="006D151F">
              <w:rPr>
                <w:rStyle w:val="Hyperlink"/>
              </w:rPr>
              <w:t>7</w:t>
            </w:r>
            <w:r>
              <w:rPr>
                <w:rFonts w:eastAsiaTheme="minorEastAsia"/>
                <w:b w:val="0"/>
                <w:kern w:val="2"/>
                <w:sz w:val="24"/>
                <w:szCs w:val="24"/>
                <w:lang w:eastAsia="en-AU"/>
                <w14:ligatures w14:val="standardContextual"/>
              </w:rPr>
              <w:tab/>
            </w:r>
            <w:r w:rsidRPr="006D151F">
              <w:rPr>
                <w:rStyle w:val="Hyperlink"/>
              </w:rPr>
              <w:t>Emissions reduction targets</w:t>
            </w:r>
            <w:r>
              <w:rPr>
                <w:webHidden/>
              </w:rPr>
              <w:tab/>
            </w:r>
            <w:r>
              <w:rPr>
                <w:webHidden/>
              </w:rPr>
              <w:fldChar w:fldCharType="begin"/>
            </w:r>
            <w:r>
              <w:rPr>
                <w:webHidden/>
              </w:rPr>
              <w:instrText xml:space="preserve"> PAGEREF _Toc175044420 \h </w:instrText>
            </w:r>
            <w:r>
              <w:rPr>
                <w:webHidden/>
              </w:rPr>
            </w:r>
            <w:r>
              <w:rPr>
                <w:webHidden/>
              </w:rPr>
              <w:fldChar w:fldCharType="separate"/>
            </w:r>
            <w:r w:rsidR="00B23DEB">
              <w:rPr>
                <w:webHidden/>
              </w:rPr>
              <w:t>8</w:t>
            </w:r>
            <w:r>
              <w:rPr>
                <w:webHidden/>
              </w:rPr>
              <w:fldChar w:fldCharType="end"/>
            </w:r>
          </w:hyperlink>
        </w:p>
        <w:p w14:paraId="757D034F" w14:textId="31ADA191" w:rsidR="00191C2A" w:rsidRDefault="00191C2A">
          <w:pPr>
            <w:pStyle w:val="TOC1"/>
            <w:rPr>
              <w:rFonts w:eastAsiaTheme="minorEastAsia"/>
              <w:b w:val="0"/>
              <w:kern w:val="2"/>
              <w:sz w:val="24"/>
              <w:szCs w:val="24"/>
              <w:lang w:eastAsia="en-AU"/>
              <w14:ligatures w14:val="standardContextual"/>
            </w:rPr>
          </w:pPr>
          <w:hyperlink w:anchor="_Toc175044421" w:history="1">
            <w:r w:rsidRPr="006D151F">
              <w:rPr>
                <w:rStyle w:val="Hyperlink"/>
              </w:rPr>
              <w:t>8</w:t>
            </w:r>
            <w:r>
              <w:rPr>
                <w:rFonts w:eastAsiaTheme="minorEastAsia"/>
                <w:b w:val="0"/>
                <w:kern w:val="2"/>
                <w:sz w:val="24"/>
                <w:szCs w:val="24"/>
                <w:lang w:eastAsia="en-AU"/>
                <w14:ligatures w14:val="standardContextual"/>
              </w:rPr>
              <w:tab/>
            </w:r>
            <w:r w:rsidRPr="006D151F">
              <w:rPr>
                <w:rStyle w:val="Hyperlink"/>
              </w:rPr>
              <w:t>Priorities and actions</w:t>
            </w:r>
            <w:r>
              <w:rPr>
                <w:webHidden/>
              </w:rPr>
              <w:tab/>
            </w:r>
            <w:r>
              <w:rPr>
                <w:webHidden/>
              </w:rPr>
              <w:fldChar w:fldCharType="begin"/>
            </w:r>
            <w:r>
              <w:rPr>
                <w:webHidden/>
              </w:rPr>
              <w:instrText xml:space="preserve"> PAGEREF _Toc175044421 \h </w:instrText>
            </w:r>
            <w:r>
              <w:rPr>
                <w:webHidden/>
              </w:rPr>
            </w:r>
            <w:r>
              <w:rPr>
                <w:webHidden/>
              </w:rPr>
              <w:fldChar w:fldCharType="separate"/>
            </w:r>
            <w:r w:rsidR="00B23DEB">
              <w:rPr>
                <w:webHidden/>
              </w:rPr>
              <w:t>8</w:t>
            </w:r>
            <w:r>
              <w:rPr>
                <w:webHidden/>
              </w:rPr>
              <w:fldChar w:fldCharType="end"/>
            </w:r>
          </w:hyperlink>
        </w:p>
        <w:p w14:paraId="57F4EAE7" w14:textId="657A6D6C" w:rsidR="00191C2A" w:rsidRDefault="00191C2A">
          <w:pPr>
            <w:pStyle w:val="TOC2"/>
            <w:tabs>
              <w:tab w:val="left" w:pos="1200"/>
            </w:tabs>
            <w:rPr>
              <w:rFonts w:eastAsiaTheme="minorEastAsia"/>
              <w:kern w:val="2"/>
              <w:sz w:val="24"/>
              <w:szCs w:val="24"/>
              <w:lang w:eastAsia="en-AU"/>
              <w14:ligatures w14:val="standardContextual"/>
            </w:rPr>
          </w:pPr>
          <w:hyperlink w:anchor="_Toc175044422" w:history="1">
            <w:r w:rsidRPr="006D151F">
              <w:rPr>
                <w:rStyle w:val="Hyperlink"/>
              </w:rPr>
              <w:t>8.1</w:t>
            </w:r>
            <w:r>
              <w:rPr>
                <w:rFonts w:eastAsiaTheme="minorEastAsia"/>
                <w:kern w:val="2"/>
                <w:sz w:val="24"/>
                <w:szCs w:val="24"/>
                <w:lang w:eastAsia="en-AU"/>
                <w14:ligatures w14:val="standardContextual"/>
              </w:rPr>
              <w:tab/>
            </w:r>
            <w:r w:rsidRPr="006D151F">
              <w:rPr>
                <w:rStyle w:val="Hyperlink"/>
              </w:rPr>
              <w:t>Buildings</w:t>
            </w:r>
            <w:r>
              <w:rPr>
                <w:webHidden/>
              </w:rPr>
              <w:tab/>
            </w:r>
            <w:r>
              <w:rPr>
                <w:webHidden/>
              </w:rPr>
              <w:fldChar w:fldCharType="begin"/>
            </w:r>
            <w:r>
              <w:rPr>
                <w:webHidden/>
              </w:rPr>
              <w:instrText xml:space="preserve"> PAGEREF _Toc175044422 \h </w:instrText>
            </w:r>
            <w:r>
              <w:rPr>
                <w:webHidden/>
              </w:rPr>
            </w:r>
            <w:r>
              <w:rPr>
                <w:webHidden/>
              </w:rPr>
              <w:fldChar w:fldCharType="separate"/>
            </w:r>
            <w:r w:rsidR="00B23DEB">
              <w:rPr>
                <w:webHidden/>
              </w:rPr>
              <w:t>9</w:t>
            </w:r>
            <w:r>
              <w:rPr>
                <w:webHidden/>
              </w:rPr>
              <w:fldChar w:fldCharType="end"/>
            </w:r>
          </w:hyperlink>
        </w:p>
        <w:p w14:paraId="69E48DD6" w14:textId="27CC7617" w:rsidR="00191C2A" w:rsidRDefault="00191C2A">
          <w:pPr>
            <w:pStyle w:val="TOC2"/>
            <w:tabs>
              <w:tab w:val="left" w:pos="1200"/>
            </w:tabs>
            <w:rPr>
              <w:rFonts w:eastAsiaTheme="minorEastAsia"/>
              <w:kern w:val="2"/>
              <w:sz w:val="24"/>
              <w:szCs w:val="24"/>
              <w:lang w:eastAsia="en-AU"/>
              <w14:ligatures w14:val="standardContextual"/>
            </w:rPr>
          </w:pPr>
          <w:hyperlink w:anchor="_Toc175044423" w:history="1">
            <w:r w:rsidRPr="006D151F">
              <w:rPr>
                <w:rStyle w:val="Hyperlink"/>
              </w:rPr>
              <w:t>8.2</w:t>
            </w:r>
            <w:r>
              <w:rPr>
                <w:rFonts w:eastAsiaTheme="minorEastAsia"/>
                <w:kern w:val="2"/>
                <w:sz w:val="24"/>
                <w:szCs w:val="24"/>
                <w:lang w:eastAsia="en-AU"/>
                <w14:ligatures w14:val="standardContextual"/>
              </w:rPr>
              <w:tab/>
            </w:r>
            <w:r w:rsidRPr="006D151F">
              <w:rPr>
                <w:rStyle w:val="Hyperlink"/>
              </w:rPr>
              <w:t>Electricity</w:t>
            </w:r>
            <w:r>
              <w:rPr>
                <w:webHidden/>
              </w:rPr>
              <w:tab/>
            </w:r>
            <w:r>
              <w:rPr>
                <w:webHidden/>
              </w:rPr>
              <w:fldChar w:fldCharType="begin"/>
            </w:r>
            <w:r>
              <w:rPr>
                <w:webHidden/>
              </w:rPr>
              <w:instrText xml:space="preserve"> PAGEREF _Toc175044423 \h </w:instrText>
            </w:r>
            <w:r>
              <w:rPr>
                <w:webHidden/>
              </w:rPr>
            </w:r>
            <w:r>
              <w:rPr>
                <w:webHidden/>
              </w:rPr>
              <w:fldChar w:fldCharType="separate"/>
            </w:r>
            <w:r w:rsidR="00B23DEB">
              <w:rPr>
                <w:webHidden/>
              </w:rPr>
              <w:t>10</w:t>
            </w:r>
            <w:r>
              <w:rPr>
                <w:webHidden/>
              </w:rPr>
              <w:fldChar w:fldCharType="end"/>
            </w:r>
          </w:hyperlink>
        </w:p>
        <w:p w14:paraId="0022367E" w14:textId="17AF54AF" w:rsidR="00191C2A" w:rsidRDefault="00191C2A">
          <w:pPr>
            <w:pStyle w:val="TOC2"/>
            <w:tabs>
              <w:tab w:val="left" w:pos="1200"/>
            </w:tabs>
            <w:rPr>
              <w:rFonts w:eastAsiaTheme="minorEastAsia"/>
              <w:kern w:val="2"/>
              <w:sz w:val="24"/>
              <w:szCs w:val="24"/>
              <w:lang w:eastAsia="en-AU"/>
              <w14:ligatures w14:val="standardContextual"/>
            </w:rPr>
          </w:pPr>
          <w:hyperlink w:anchor="_Toc175044424" w:history="1">
            <w:r w:rsidRPr="006D151F">
              <w:rPr>
                <w:rStyle w:val="Hyperlink"/>
              </w:rPr>
              <w:t>8.3</w:t>
            </w:r>
            <w:r>
              <w:rPr>
                <w:rFonts w:eastAsiaTheme="minorEastAsia"/>
                <w:kern w:val="2"/>
                <w:sz w:val="24"/>
                <w:szCs w:val="24"/>
                <w:lang w:eastAsia="en-AU"/>
                <w14:ligatures w14:val="standardContextual"/>
              </w:rPr>
              <w:tab/>
            </w:r>
            <w:r w:rsidRPr="006D151F">
              <w:rPr>
                <w:rStyle w:val="Hyperlink"/>
              </w:rPr>
              <w:t>Fleet</w:t>
            </w:r>
            <w:r>
              <w:rPr>
                <w:webHidden/>
              </w:rPr>
              <w:tab/>
            </w:r>
            <w:r>
              <w:rPr>
                <w:webHidden/>
              </w:rPr>
              <w:fldChar w:fldCharType="begin"/>
            </w:r>
            <w:r>
              <w:rPr>
                <w:webHidden/>
              </w:rPr>
              <w:instrText xml:space="preserve"> PAGEREF _Toc175044424 \h </w:instrText>
            </w:r>
            <w:r>
              <w:rPr>
                <w:webHidden/>
              </w:rPr>
            </w:r>
            <w:r>
              <w:rPr>
                <w:webHidden/>
              </w:rPr>
              <w:fldChar w:fldCharType="separate"/>
            </w:r>
            <w:r w:rsidR="00B23DEB">
              <w:rPr>
                <w:webHidden/>
              </w:rPr>
              <w:t>11</w:t>
            </w:r>
            <w:r>
              <w:rPr>
                <w:webHidden/>
              </w:rPr>
              <w:fldChar w:fldCharType="end"/>
            </w:r>
          </w:hyperlink>
        </w:p>
        <w:p w14:paraId="0B03161F" w14:textId="3B913AE4" w:rsidR="00764D6A" w:rsidRDefault="00E91D72" w:rsidP="004B3F30">
          <w:pPr>
            <w:pStyle w:val="TOC1"/>
          </w:pPr>
          <w:r>
            <w:rPr>
              <w:b w:val="0"/>
            </w:rPr>
            <w:fldChar w:fldCharType="end"/>
          </w:r>
        </w:p>
      </w:sdtContent>
    </w:sdt>
    <w:p w14:paraId="1074497A" w14:textId="77777777" w:rsidR="00764D6A" w:rsidRDefault="00E91D72" w:rsidP="004B3F30">
      <w:pPr>
        <w:pStyle w:val="TOCHeading2"/>
        <w:spacing w:before="240"/>
        <w:rPr>
          <w:rStyle w:val="Strong"/>
        </w:rPr>
      </w:pPr>
      <w:r>
        <w:rPr>
          <w:rStyle w:val="Strong"/>
        </w:rPr>
        <w:t>Tables</w:t>
      </w:r>
    </w:p>
    <w:p w14:paraId="0E9298D7" w14:textId="44B7239A" w:rsidR="00CA7B29" w:rsidRDefault="00E91D72">
      <w:pPr>
        <w:pStyle w:val="TableofFigures"/>
        <w:tabs>
          <w:tab w:val="right" w:leader="dot" w:pos="9060"/>
        </w:tabs>
        <w:rPr>
          <w:rFonts w:eastAsiaTheme="minorEastAsia"/>
          <w:noProof/>
          <w:kern w:val="2"/>
          <w:sz w:val="24"/>
          <w:szCs w:val="24"/>
          <w:lang w:eastAsia="en-AU"/>
          <w14:ligatures w14:val="standardContextual"/>
        </w:rPr>
      </w:pPr>
      <w:r>
        <w:rPr>
          <w:rStyle w:val="Hyperlink"/>
        </w:rPr>
        <w:fldChar w:fldCharType="begin"/>
      </w:r>
      <w:r>
        <w:rPr>
          <w:rStyle w:val="Hyperlink"/>
          <w:noProof/>
        </w:rPr>
        <w:instrText xml:space="preserve"> TOC \h \z \c "Table" </w:instrText>
      </w:r>
      <w:r>
        <w:rPr>
          <w:rStyle w:val="Hyperlink"/>
        </w:rPr>
        <w:fldChar w:fldCharType="separate"/>
      </w:r>
      <w:hyperlink w:anchor="_Toc172628248" w:history="1">
        <w:r w:rsidR="00CA7B29" w:rsidRPr="00EF3178">
          <w:rPr>
            <w:rStyle w:val="Hyperlink"/>
            <w:noProof/>
          </w:rPr>
          <w:t>Table 1. the department’s 2022-23 greenhouse gas emissions (location-based)</w:t>
        </w:r>
        <w:r w:rsidR="00CA7B29">
          <w:rPr>
            <w:noProof/>
            <w:webHidden/>
          </w:rPr>
          <w:tab/>
        </w:r>
        <w:r w:rsidR="00CA7B29">
          <w:rPr>
            <w:noProof/>
            <w:webHidden/>
          </w:rPr>
          <w:fldChar w:fldCharType="begin"/>
        </w:r>
        <w:r w:rsidR="00CA7B29">
          <w:rPr>
            <w:noProof/>
            <w:webHidden/>
          </w:rPr>
          <w:instrText xml:space="preserve"> PAGEREF _Toc172628248 \h </w:instrText>
        </w:r>
        <w:r w:rsidR="00CA7B29">
          <w:rPr>
            <w:noProof/>
            <w:webHidden/>
          </w:rPr>
        </w:r>
        <w:r w:rsidR="00CA7B29">
          <w:rPr>
            <w:noProof/>
            <w:webHidden/>
          </w:rPr>
          <w:fldChar w:fldCharType="separate"/>
        </w:r>
        <w:r w:rsidR="00B23DEB">
          <w:rPr>
            <w:noProof/>
            <w:webHidden/>
          </w:rPr>
          <w:t>7</w:t>
        </w:r>
        <w:r w:rsidR="00CA7B29">
          <w:rPr>
            <w:noProof/>
            <w:webHidden/>
          </w:rPr>
          <w:fldChar w:fldCharType="end"/>
        </w:r>
      </w:hyperlink>
    </w:p>
    <w:p w14:paraId="28FE38B6" w14:textId="112D0E86" w:rsidR="00CA7B29" w:rsidRDefault="00CA7B29">
      <w:pPr>
        <w:pStyle w:val="TableofFigures"/>
        <w:tabs>
          <w:tab w:val="right" w:leader="dot" w:pos="9060"/>
        </w:tabs>
        <w:rPr>
          <w:rFonts w:eastAsiaTheme="minorEastAsia"/>
          <w:noProof/>
          <w:kern w:val="2"/>
          <w:sz w:val="24"/>
          <w:szCs w:val="24"/>
          <w:lang w:eastAsia="en-AU"/>
          <w14:ligatures w14:val="standardContextual"/>
        </w:rPr>
      </w:pPr>
      <w:hyperlink w:anchor="_Toc172628249" w:history="1">
        <w:r w:rsidRPr="00EF3178">
          <w:rPr>
            <w:rStyle w:val="Hyperlink"/>
            <w:noProof/>
          </w:rPr>
          <w:t>Table 2. the department’s 2022-23 greenhouse gas emissions (market-based)</w:t>
        </w:r>
        <w:r>
          <w:rPr>
            <w:noProof/>
            <w:webHidden/>
          </w:rPr>
          <w:tab/>
        </w:r>
        <w:r>
          <w:rPr>
            <w:noProof/>
            <w:webHidden/>
          </w:rPr>
          <w:fldChar w:fldCharType="begin"/>
        </w:r>
        <w:r>
          <w:rPr>
            <w:noProof/>
            <w:webHidden/>
          </w:rPr>
          <w:instrText xml:space="preserve"> PAGEREF _Toc172628249 \h </w:instrText>
        </w:r>
        <w:r>
          <w:rPr>
            <w:noProof/>
            <w:webHidden/>
          </w:rPr>
        </w:r>
        <w:r>
          <w:rPr>
            <w:noProof/>
            <w:webHidden/>
          </w:rPr>
          <w:fldChar w:fldCharType="separate"/>
        </w:r>
        <w:r w:rsidR="00B23DEB">
          <w:rPr>
            <w:noProof/>
            <w:webHidden/>
          </w:rPr>
          <w:t>8</w:t>
        </w:r>
        <w:r>
          <w:rPr>
            <w:noProof/>
            <w:webHidden/>
          </w:rPr>
          <w:fldChar w:fldCharType="end"/>
        </w:r>
      </w:hyperlink>
    </w:p>
    <w:p w14:paraId="3BD27855" w14:textId="0641AC1F" w:rsidR="00CA7B29" w:rsidRDefault="00CA7B29">
      <w:pPr>
        <w:pStyle w:val="TableofFigures"/>
        <w:tabs>
          <w:tab w:val="right" w:leader="dot" w:pos="9060"/>
        </w:tabs>
        <w:rPr>
          <w:rFonts w:eastAsiaTheme="minorEastAsia"/>
          <w:noProof/>
          <w:kern w:val="2"/>
          <w:sz w:val="24"/>
          <w:szCs w:val="24"/>
          <w:lang w:eastAsia="en-AU"/>
          <w14:ligatures w14:val="standardContextual"/>
        </w:rPr>
      </w:pPr>
      <w:hyperlink w:anchor="_Toc172628250" w:history="1">
        <w:r w:rsidRPr="00EF3178">
          <w:rPr>
            <w:rStyle w:val="Hyperlink"/>
            <w:noProof/>
          </w:rPr>
          <w:t>Table 3. APS Net Zero by 2030 Targets - Buildings</w:t>
        </w:r>
        <w:r>
          <w:rPr>
            <w:noProof/>
            <w:webHidden/>
          </w:rPr>
          <w:tab/>
        </w:r>
        <w:r>
          <w:rPr>
            <w:noProof/>
            <w:webHidden/>
          </w:rPr>
          <w:fldChar w:fldCharType="begin"/>
        </w:r>
        <w:r>
          <w:rPr>
            <w:noProof/>
            <w:webHidden/>
          </w:rPr>
          <w:instrText xml:space="preserve"> PAGEREF _Toc172628250 \h </w:instrText>
        </w:r>
        <w:r>
          <w:rPr>
            <w:noProof/>
            <w:webHidden/>
          </w:rPr>
        </w:r>
        <w:r>
          <w:rPr>
            <w:noProof/>
            <w:webHidden/>
          </w:rPr>
          <w:fldChar w:fldCharType="separate"/>
        </w:r>
        <w:r w:rsidR="00B23DEB">
          <w:rPr>
            <w:noProof/>
            <w:webHidden/>
          </w:rPr>
          <w:t>9</w:t>
        </w:r>
        <w:r>
          <w:rPr>
            <w:noProof/>
            <w:webHidden/>
          </w:rPr>
          <w:fldChar w:fldCharType="end"/>
        </w:r>
      </w:hyperlink>
    </w:p>
    <w:p w14:paraId="145F2308" w14:textId="3AD34233" w:rsidR="00CA7B29" w:rsidRDefault="00CA7B29">
      <w:pPr>
        <w:pStyle w:val="TableofFigures"/>
        <w:tabs>
          <w:tab w:val="right" w:leader="dot" w:pos="9060"/>
        </w:tabs>
        <w:rPr>
          <w:rFonts w:eastAsiaTheme="minorEastAsia"/>
          <w:noProof/>
          <w:kern w:val="2"/>
          <w:sz w:val="24"/>
          <w:szCs w:val="24"/>
          <w:lang w:eastAsia="en-AU"/>
          <w14:ligatures w14:val="standardContextual"/>
        </w:rPr>
      </w:pPr>
      <w:hyperlink w:anchor="_Toc172628251" w:history="1">
        <w:r w:rsidRPr="00EF3178">
          <w:rPr>
            <w:rStyle w:val="Hyperlink"/>
            <w:noProof/>
          </w:rPr>
          <w:t>Table 4. APS Net Zero by 2030 Targets – EV Charging</w:t>
        </w:r>
        <w:r>
          <w:rPr>
            <w:noProof/>
            <w:webHidden/>
          </w:rPr>
          <w:tab/>
        </w:r>
        <w:r>
          <w:rPr>
            <w:noProof/>
            <w:webHidden/>
          </w:rPr>
          <w:fldChar w:fldCharType="begin"/>
        </w:r>
        <w:r>
          <w:rPr>
            <w:noProof/>
            <w:webHidden/>
          </w:rPr>
          <w:instrText xml:space="preserve"> PAGEREF _Toc172628251 \h </w:instrText>
        </w:r>
        <w:r>
          <w:rPr>
            <w:noProof/>
            <w:webHidden/>
          </w:rPr>
        </w:r>
        <w:r>
          <w:rPr>
            <w:noProof/>
            <w:webHidden/>
          </w:rPr>
          <w:fldChar w:fldCharType="separate"/>
        </w:r>
        <w:r w:rsidR="00B23DEB">
          <w:rPr>
            <w:noProof/>
            <w:webHidden/>
          </w:rPr>
          <w:t>10</w:t>
        </w:r>
        <w:r>
          <w:rPr>
            <w:noProof/>
            <w:webHidden/>
          </w:rPr>
          <w:fldChar w:fldCharType="end"/>
        </w:r>
      </w:hyperlink>
    </w:p>
    <w:p w14:paraId="20CFAEB1" w14:textId="5ED162BD" w:rsidR="00CA7B29" w:rsidRDefault="00CA7B29">
      <w:pPr>
        <w:pStyle w:val="TableofFigures"/>
        <w:tabs>
          <w:tab w:val="right" w:leader="dot" w:pos="9060"/>
        </w:tabs>
        <w:rPr>
          <w:rFonts w:eastAsiaTheme="minorEastAsia"/>
          <w:noProof/>
          <w:kern w:val="2"/>
          <w:sz w:val="24"/>
          <w:szCs w:val="24"/>
          <w:lang w:eastAsia="en-AU"/>
          <w14:ligatures w14:val="standardContextual"/>
        </w:rPr>
      </w:pPr>
      <w:hyperlink w:anchor="_Toc172628252" w:history="1">
        <w:r w:rsidRPr="00EF3178">
          <w:rPr>
            <w:rStyle w:val="Hyperlink"/>
            <w:noProof/>
          </w:rPr>
          <w:t>Table 5.</w:t>
        </w:r>
        <w:r w:rsidRPr="00EF3178">
          <w:rPr>
            <w:rStyle w:val="Hyperlink"/>
            <w:noProof/>
            <w:lang w:eastAsia="ja-JP"/>
          </w:rPr>
          <w:t xml:space="preserve"> APS Net Zero by 2030 Targets – renewable electricity</w:t>
        </w:r>
        <w:r>
          <w:rPr>
            <w:noProof/>
            <w:webHidden/>
          </w:rPr>
          <w:tab/>
        </w:r>
        <w:r>
          <w:rPr>
            <w:noProof/>
            <w:webHidden/>
          </w:rPr>
          <w:fldChar w:fldCharType="begin"/>
        </w:r>
        <w:r>
          <w:rPr>
            <w:noProof/>
            <w:webHidden/>
          </w:rPr>
          <w:instrText xml:space="preserve"> PAGEREF _Toc172628252 \h </w:instrText>
        </w:r>
        <w:r>
          <w:rPr>
            <w:noProof/>
            <w:webHidden/>
          </w:rPr>
        </w:r>
        <w:r>
          <w:rPr>
            <w:noProof/>
            <w:webHidden/>
          </w:rPr>
          <w:fldChar w:fldCharType="separate"/>
        </w:r>
        <w:r w:rsidR="00B23DEB">
          <w:rPr>
            <w:noProof/>
            <w:webHidden/>
          </w:rPr>
          <w:t>10</w:t>
        </w:r>
        <w:r>
          <w:rPr>
            <w:noProof/>
            <w:webHidden/>
          </w:rPr>
          <w:fldChar w:fldCharType="end"/>
        </w:r>
      </w:hyperlink>
    </w:p>
    <w:p w14:paraId="5A6D8C66" w14:textId="3B516EB1" w:rsidR="00CA7B29" w:rsidRDefault="00CA7B29">
      <w:pPr>
        <w:pStyle w:val="TableofFigures"/>
        <w:tabs>
          <w:tab w:val="right" w:leader="dot" w:pos="9060"/>
        </w:tabs>
        <w:rPr>
          <w:rFonts w:eastAsiaTheme="minorEastAsia"/>
          <w:noProof/>
          <w:kern w:val="2"/>
          <w:sz w:val="24"/>
          <w:szCs w:val="24"/>
          <w:lang w:eastAsia="en-AU"/>
          <w14:ligatures w14:val="standardContextual"/>
        </w:rPr>
      </w:pPr>
      <w:hyperlink w:anchor="_Toc172628253" w:history="1">
        <w:r w:rsidRPr="00EF3178">
          <w:rPr>
            <w:rStyle w:val="Hyperlink"/>
            <w:noProof/>
          </w:rPr>
          <w:t>Table 6. APS Net Zero by 2030 Targets – Buildings – Electrification</w:t>
        </w:r>
        <w:r>
          <w:rPr>
            <w:noProof/>
            <w:webHidden/>
          </w:rPr>
          <w:tab/>
        </w:r>
        <w:r>
          <w:rPr>
            <w:noProof/>
            <w:webHidden/>
          </w:rPr>
          <w:fldChar w:fldCharType="begin"/>
        </w:r>
        <w:r>
          <w:rPr>
            <w:noProof/>
            <w:webHidden/>
          </w:rPr>
          <w:instrText xml:space="preserve"> PAGEREF _Toc172628253 \h </w:instrText>
        </w:r>
        <w:r>
          <w:rPr>
            <w:noProof/>
            <w:webHidden/>
          </w:rPr>
        </w:r>
        <w:r>
          <w:rPr>
            <w:noProof/>
            <w:webHidden/>
          </w:rPr>
          <w:fldChar w:fldCharType="separate"/>
        </w:r>
        <w:r w:rsidR="00B23DEB">
          <w:rPr>
            <w:noProof/>
            <w:webHidden/>
          </w:rPr>
          <w:t>11</w:t>
        </w:r>
        <w:r>
          <w:rPr>
            <w:noProof/>
            <w:webHidden/>
          </w:rPr>
          <w:fldChar w:fldCharType="end"/>
        </w:r>
      </w:hyperlink>
    </w:p>
    <w:p w14:paraId="37B00590" w14:textId="106CDB4B" w:rsidR="00CA7B29" w:rsidRDefault="00CA7B29">
      <w:pPr>
        <w:pStyle w:val="TableofFigures"/>
        <w:tabs>
          <w:tab w:val="right" w:leader="dot" w:pos="9060"/>
        </w:tabs>
        <w:rPr>
          <w:rFonts w:eastAsiaTheme="minorEastAsia"/>
          <w:noProof/>
          <w:kern w:val="2"/>
          <w:sz w:val="24"/>
          <w:szCs w:val="24"/>
          <w:lang w:eastAsia="en-AU"/>
          <w14:ligatures w14:val="standardContextual"/>
        </w:rPr>
      </w:pPr>
      <w:hyperlink w:anchor="_Toc172628254" w:history="1">
        <w:r w:rsidRPr="00EF3178">
          <w:rPr>
            <w:rStyle w:val="Hyperlink"/>
            <w:noProof/>
          </w:rPr>
          <w:t>Table 7. APS Net Zero by 2030 Targets – Fleet</w:t>
        </w:r>
        <w:r>
          <w:rPr>
            <w:noProof/>
            <w:webHidden/>
          </w:rPr>
          <w:tab/>
        </w:r>
        <w:r>
          <w:rPr>
            <w:noProof/>
            <w:webHidden/>
          </w:rPr>
          <w:fldChar w:fldCharType="begin"/>
        </w:r>
        <w:r>
          <w:rPr>
            <w:noProof/>
            <w:webHidden/>
          </w:rPr>
          <w:instrText xml:space="preserve"> PAGEREF _Toc172628254 \h </w:instrText>
        </w:r>
        <w:r>
          <w:rPr>
            <w:noProof/>
            <w:webHidden/>
          </w:rPr>
        </w:r>
        <w:r>
          <w:rPr>
            <w:noProof/>
            <w:webHidden/>
          </w:rPr>
          <w:fldChar w:fldCharType="separate"/>
        </w:r>
        <w:r w:rsidR="00B23DEB">
          <w:rPr>
            <w:noProof/>
            <w:webHidden/>
          </w:rPr>
          <w:t>11</w:t>
        </w:r>
        <w:r>
          <w:rPr>
            <w:noProof/>
            <w:webHidden/>
          </w:rPr>
          <w:fldChar w:fldCharType="end"/>
        </w:r>
      </w:hyperlink>
    </w:p>
    <w:p w14:paraId="25881A83" w14:textId="6F03974B" w:rsidR="00CA7B29" w:rsidRPr="00D92764" w:rsidRDefault="00E91D72" w:rsidP="00CA7B29">
      <w:pPr>
        <w:pStyle w:val="TableofFigures"/>
        <w:tabs>
          <w:tab w:val="right" w:leader="dot" w:pos="9060"/>
        </w:tabs>
      </w:pPr>
      <w:r>
        <w:rPr>
          <w:noProof/>
        </w:rPr>
        <w:fldChar w:fldCharType="end"/>
      </w:r>
      <w:bookmarkStart w:id="2" w:name="_Toc430782149"/>
    </w:p>
    <w:bookmarkEnd w:id="2"/>
    <w:p w14:paraId="5D130068" w14:textId="1968499E" w:rsidR="00D92764" w:rsidRDefault="00D92764">
      <w:pPr>
        <w:sectPr w:rsidR="00D92764">
          <w:headerReference w:type="even" r:id="rId15"/>
          <w:headerReference w:type="default" r:id="rId16"/>
          <w:footerReference w:type="even"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14:paraId="3D03776A" w14:textId="4BF4A07F" w:rsidR="00764D6A" w:rsidRDefault="00CB6015" w:rsidP="00CB6015">
      <w:pPr>
        <w:pStyle w:val="Heading2"/>
      </w:pPr>
      <w:bookmarkStart w:id="3" w:name="_Toc175044414"/>
      <w:r w:rsidRPr="00CB6015">
        <w:lastRenderedPageBreak/>
        <w:t>Purpose</w:t>
      </w:r>
      <w:bookmarkEnd w:id="3"/>
    </w:p>
    <w:p w14:paraId="16090F64" w14:textId="488A2207" w:rsidR="00CB6015" w:rsidRDefault="00CB6015" w:rsidP="00CB6015">
      <w:r>
        <w:t xml:space="preserve">The department is responsible for managing and implementing emissions reduction initiatives set by the Australian Government’s Net Zero in Government Operations Strategy (the Strategy) developed by </w:t>
      </w:r>
      <w:r w:rsidR="00EB01FF">
        <w:t xml:space="preserve">the </w:t>
      </w:r>
      <w:r>
        <w:t>Department of Finance. The Strategy sets out the Australian Government’s approach to achieving net zero greenhouse gas emissions from its operations by 2030 and the reinstatement of public emissions reporting.</w:t>
      </w:r>
    </w:p>
    <w:p w14:paraId="74A02DAA" w14:textId="765B62C1" w:rsidR="00CB6015" w:rsidRDefault="00CB6015" w:rsidP="00CB6015">
      <w:r>
        <w:t>The goal of this Emissions Reduction Plan</w:t>
      </w:r>
      <w:r w:rsidR="00D66AD6">
        <w:t xml:space="preserve"> (the Plan)</w:t>
      </w:r>
      <w:r>
        <w:t xml:space="preserve"> is to provide a pathway for the department to contribute to the achievement of the APS Net Zero 2030 target through emissions reduction activities. This plan encompasses existing and new priorities and actions within the department to reduce emissions.</w:t>
      </w:r>
    </w:p>
    <w:p w14:paraId="3ABBB106" w14:textId="7EBF6879" w:rsidR="00CB6015" w:rsidRDefault="00CB6015" w:rsidP="00284D14">
      <w:r>
        <w:t>This Plan has been completed in accordance with the Strategy, associated guidance and reporting standards for annual emissions reporting.</w:t>
      </w:r>
    </w:p>
    <w:p w14:paraId="0EFD9816" w14:textId="77777777" w:rsidR="00CB6015" w:rsidRPr="0007750F" w:rsidRDefault="00CB6015" w:rsidP="001F0B69">
      <w:pPr>
        <w:pStyle w:val="Heading2"/>
        <w:pageBreakBefore w:val="0"/>
      </w:pPr>
      <w:bookmarkStart w:id="4" w:name="_Toc169538673"/>
      <w:bookmarkStart w:id="5" w:name="_Toc172544753"/>
      <w:bookmarkStart w:id="6" w:name="_Toc175044415"/>
      <w:r w:rsidRPr="0007750F">
        <w:t xml:space="preserve">Net </w:t>
      </w:r>
      <w:r>
        <w:t>z</w:t>
      </w:r>
      <w:r w:rsidRPr="0007750F">
        <w:t xml:space="preserve">ero </w:t>
      </w:r>
      <w:r>
        <w:t>g</w:t>
      </w:r>
      <w:r w:rsidRPr="0007750F">
        <w:t xml:space="preserve">reenhouse </w:t>
      </w:r>
      <w:r>
        <w:t>g</w:t>
      </w:r>
      <w:r w:rsidRPr="0007750F">
        <w:t xml:space="preserve">as </w:t>
      </w:r>
      <w:r>
        <w:t>e</w:t>
      </w:r>
      <w:r w:rsidRPr="0007750F">
        <w:t>missions</w:t>
      </w:r>
      <w:bookmarkEnd w:id="4"/>
      <w:bookmarkEnd w:id="5"/>
      <w:bookmarkEnd w:id="6"/>
    </w:p>
    <w:p w14:paraId="31C033B9" w14:textId="1C3DA4C2" w:rsidR="00CB6015" w:rsidRDefault="00E66558" w:rsidP="00CB6015">
      <w:pPr>
        <w:pStyle w:val="BodyText1"/>
      </w:pPr>
      <w:r>
        <w:rPr>
          <w:noProof/>
        </w:rPr>
        <mc:AlternateContent>
          <mc:Choice Requires="wps">
            <w:drawing>
              <wp:anchor distT="45720" distB="45720" distL="114300" distR="114300" simplePos="0" relativeHeight="251659264" behindDoc="0" locked="0" layoutInCell="1" allowOverlap="1" wp14:anchorId="37F5709F" wp14:editId="3720E8EF">
                <wp:simplePos x="0" y="0"/>
                <wp:positionH relativeFrom="margin">
                  <wp:align>left</wp:align>
                </wp:positionH>
                <wp:positionV relativeFrom="paragraph">
                  <wp:posOffset>1435100</wp:posOffset>
                </wp:positionV>
                <wp:extent cx="5556250" cy="1404620"/>
                <wp:effectExtent l="0" t="0" r="2540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404620"/>
                        </a:xfrm>
                        <a:prstGeom prst="rect">
                          <a:avLst/>
                        </a:prstGeom>
                        <a:solidFill>
                          <a:srgbClr val="FFFFFF"/>
                        </a:solidFill>
                        <a:ln w="9525">
                          <a:solidFill>
                            <a:srgbClr val="000000"/>
                          </a:solidFill>
                          <a:miter lim="800000"/>
                          <a:headEnd/>
                          <a:tailEnd/>
                        </a:ln>
                      </wps:spPr>
                      <wps:txbx>
                        <w:txbxContent>
                          <w:p w14:paraId="66995611" w14:textId="346C0918" w:rsidR="00E66558" w:rsidRDefault="00E66558" w:rsidP="00E66558">
                            <w:r>
                              <w:t xml:space="preserve">Scope 1: </w:t>
                            </w:r>
                            <w:r w:rsidR="00804476">
                              <w:t>D</w:t>
                            </w:r>
                            <w:r>
                              <w:t>irect emissions from entity sites consumption of gas and company owned vehicles.</w:t>
                            </w:r>
                          </w:p>
                          <w:p w14:paraId="2387A61D" w14:textId="0282C601" w:rsidR="00E66558" w:rsidRDefault="00E66558" w:rsidP="00E66558">
                            <w:r>
                              <w:t xml:space="preserve">Scope 2: </w:t>
                            </w:r>
                            <w:r w:rsidR="00804476">
                              <w:t>I</w:t>
                            </w:r>
                            <w:r>
                              <w:t>ndirect emissions from purchased electricity, steam, heating and cooling for the department’s own use.</w:t>
                            </w:r>
                          </w:p>
                          <w:p w14:paraId="43D09B04" w14:textId="1872F78E" w:rsidR="00E66558" w:rsidRDefault="00E66558" w:rsidP="00E66558">
                            <w:r>
                              <w:t xml:space="preserve">Scope 3: </w:t>
                            </w:r>
                            <w:r w:rsidR="00804476">
                              <w:t>A</w:t>
                            </w:r>
                            <w:r>
                              <w:t>ll other indirect emissions from upstream and downstream operational delivery.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F5709F" id="_x0000_t202" coordsize="21600,21600" o:spt="202" path="m,l,21600r21600,l21600,xe">
                <v:stroke joinstyle="miter"/>
                <v:path gradientshapeok="t" o:connecttype="rect"/>
              </v:shapetype>
              <v:shape id="Text Box 2" o:spid="_x0000_s1026" type="#_x0000_t202" style="position:absolute;margin-left:0;margin-top:113pt;width:43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">
                <v:textbox style="mso-fit-shape-to-text:t">
                  <w:txbxContent>
                    <w:p w14:paraId="66995611" w14:textId="346C0918" w:rsidR="00E66558" w:rsidRDefault="00E66558" w:rsidP="00E66558">
                      <w:r>
                        <w:t xml:space="preserve">Scope 1: </w:t>
                      </w:r>
                      <w:r w:rsidR="00804476">
                        <w:t>D</w:t>
                      </w:r>
                      <w:r>
                        <w:t>irect emissions from entity sites consumption of gas and company owned vehicles.</w:t>
                      </w:r>
                    </w:p>
                    <w:p w14:paraId="2387A61D" w14:textId="0282C601" w:rsidR="00E66558" w:rsidRDefault="00E66558" w:rsidP="00E66558">
                      <w:r>
                        <w:t xml:space="preserve">Scope 2: </w:t>
                      </w:r>
                      <w:r w:rsidR="00804476">
                        <w:t>I</w:t>
                      </w:r>
                      <w:r>
                        <w:t>ndirect emissions from purchased electricity, steam, heating and cooling for the department’s own use.</w:t>
                      </w:r>
                    </w:p>
                    <w:p w14:paraId="43D09B04" w14:textId="1872F78E" w:rsidR="00E66558" w:rsidRDefault="00E66558" w:rsidP="00E66558">
                      <w:r>
                        <w:t xml:space="preserve">Scope 3: </w:t>
                      </w:r>
                      <w:r w:rsidR="00804476">
                        <w:t>A</w:t>
                      </w:r>
                      <w:r>
                        <w:t>ll other indirect emissions from upstream and downstream operational delivery.</w:t>
                      </w:r>
                    </w:p>
                  </w:txbxContent>
                </v:textbox>
                <w10:wrap type="square" anchorx="margin"/>
              </v:shape>
            </w:pict>
          </mc:Fallback>
        </mc:AlternateContent>
      </w:r>
      <w:r w:rsidR="00CB6015">
        <w:t xml:space="preserve">APS </w:t>
      </w:r>
      <w:r w:rsidR="00CB6015" w:rsidRPr="0007750F">
        <w:t xml:space="preserve">Net </w:t>
      </w:r>
      <w:r w:rsidR="00CB6015">
        <w:t>Z</w:t>
      </w:r>
      <w:r w:rsidR="00CB6015" w:rsidRPr="0007750F">
        <w:t>ero</w:t>
      </w:r>
      <w:r w:rsidR="00CB6015">
        <w:t xml:space="preserve"> 2030</w:t>
      </w:r>
      <w:r w:rsidR="00CB6015" w:rsidRPr="0007750F">
        <w:t xml:space="preserve"> target</w:t>
      </w:r>
      <w:r w:rsidR="00EB01FF">
        <w:t>s have been</w:t>
      </w:r>
      <w:r w:rsidR="00CB6015" w:rsidRPr="0007750F">
        <w:t xml:space="preserve"> set by the Australian Government to achieve net zero greenhouse gas emissions from government operations by the year 2030.</w:t>
      </w:r>
      <w:r w:rsidR="00CB6015">
        <w:t xml:space="preserve"> It includes scope 1 and scope 2 emissions from activities in Australia and its territories, as described in the Strategy. The </w:t>
      </w:r>
      <w:r w:rsidR="00CB6015" w:rsidRPr="00156764">
        <w:t xml:space="preserve">APS Net Zero </w:t>
      </w:r>
      <w:r w:rsidR="00CB6015">
        <w:t xml:space="preserve">2030 </w:t>
      </w:r>
      <w:r w:rsidR="00CB6015" w:rsidRPr="00156764">
        <w:t>target applies at the aggregate level to non-corporate Commonwealth entities and generally covers the entirety of the entity’s organisation</w:t>
      </w:r>
      <w:r w:rsidR="00CB6015">
        <w:t xml:space="preserve">. </w:t>
      </w:r>
      <w:r w:rsidR="00CB6015" w:rsidRPr="0007750F">
        <w:t>From a</w:t>
      </w:r>
      <w:r w:rsidR="007A7663">
        <w:t xml:space="preserve"> departmental</w:t>
      </w:r>
      <w:r w:rsidR="00CB6015" w:rsidRPr="0007750F">
        <w:t xml:space="preserve"> perspective, this means minimis</w:t>
      </w:r>
      <w:r w:rsidR="00CB6015">
        <w:t>ing</w:t>
      </w:r>
      <w:r w:rsidR="00CB6015" w:rsidRPr="0007750F">
        <w:t xml:space="preserve"> </w:t>
      </w:r>
      <w:r w:rsidR="00CB6015">
        <w:t>the</w:t>
      </w:r>
      <w:r w:rsidR="00CB6015" w:rsidRPr="0007750F">
        <w:t xml:space="preserve"> greenhouse gas emissions that </w:t>
      </w:r>
      <w:r w:rsidR="00CB6015">
        <w:t>are</w:t>
      </w:r>
      <w:r w:rsidR="00CB6015" w:rsidRPr="0007750F">
        <w:t xml:space="preserve"> within our control. </w:t>
      </w:r>
    </w:p>
    <w:p w14:paraId="2D9B5DAF" w14:textId="4B21AB2E" w:rsidR="00E66558" w:rsidRPr="0007750F" w:rsidRDefault="00E66558" w:rsidP="00CB6015">
      <w:pPr>
        <w:pStyle w:val="BodyText1"/>
      </w:pPr>
    </w:p>
    <w:p w14:paraId="2C36283D" w14:textId="77777777" w:rsidR="001F0B69" w:rsidRDefault="001F0B69" w:rsidP="001F0B69">
      <w:pPr>
        <w:pStyle w:val="Heading2"/>
        <w:pageBreakBefore w:val="0"/>
      </w:pPr>
      <w:bookmarkStart w:id="7" w:name="_Toc169538674"/>
      <w:bookmarkStart w:id="8" w:name="_Toc172544754"/>
      <w:bookmarkStart w:id="9" w:name="_Toc175044416"/>
      <w:r>
        <w:t>Governance and reporting</w:t>
      </w:r>
      <w:bookmarkEnd w:id="7"/>
      <w:bookmarkEnd w:id="8"/>
      <w:bookmarkEnd w:id="9"/>
    </w:p>
    <w:p w14:paraId="34B283FA" w14:textId="60B6F6EA" w:rsidR="001F0B69" w:rsidRDefault="001F0B69" w:rsidP="001F0B69">
      <w:pPr>
        <w:pStyle w:val="BodyText1"/>
      </w:pPr>
      <w:r w:rsidRPr="00FD066F">
        <w:t xml:space="preserve">Progress against actions identified within </w:t>
      </w:r>
      <w:r>
        <w:t>this Plan, and any additional measures adopted, will</w:t>
      </w:r>
      <w:r w:rsidRPr="00FD066F">
        <w:t xml:space="preserve"> be included in </w:t>
      </w:r>
      <w:r w:rsidR="007A7663">
        <w:t xml:space="preserve">the </w:t>
      </w:r>
      <w:r w:rsidR="00977CFD">
        <w:t>department’s</w:t>
      </w:r>
      <w:r w:rsidR="007A7663">
        <w:t xml:space="preserve"> </w:t>
      </w:r>
      <w:r w:rsidRPr="00FD066F">
        <w:t xml:space="preserve">annual reports. This, combined with annual emissions reporting, will be used as a measure of </w:t>
      </w:r>
      <w:r>
        <w:t xml:space="preserve">the department’s </w:t>
      </w:r>
      <w:r w:rsidRPr="00FD066F">
        <w:t xml:space="preserve">progress towards reducing </w:t>
      </w:r>
      <w:r>
        <w:t>its</w:t>
      </w:r>
      <w:r w:rsidRPr="00FD066F">
        <w:t xml:space="preserve"> emissions.</w:t>
      </w:r>
    </w:p>
    <w:p w14:paraId="2DDC0418" w14:textId="240A6F84" w:rsidR="00EB01FF" w:rsidRDefault="001F0B69" w:rsidP="00EB01FF">
      <w:pPr>
        <w:pStyle w:val="BodyText1"/>
      </w:pPr>
      <w:r>
        <w:t xml:space="preserve">As part of the Net Zero in Government Operations Annual Progress Report, the Department of Finance </w:t>
      </w:r>
      <w:r w:rsidRPr="0007750F">
        <w:t xml:space="preserve">will </w:t>
      </w:r>
      <w:r w:rsidR="001502AB">
        <w:t>combine</w:t>
      </w:r>
      <w:r>
        <w:t xml:space="preserve"> these measures to provide </w:t>
      </w:r>
      <w:r w:rsidR="001502AB">
        <w:t>W</w:t>
      </w:r>
      <w:r>
        <w:t>hole-of-Australian Government</w:t>
      </w:r>
      <w:r w:rsidR="003F3F77">
        <w:t xml:space="preserve"> (WoAG)</w:t>
      </w:r>
      <w:r w:rsidRPr="0007750F">
        <w:t xml:space="preserve"> emissions </w:t>
      </w:r>
      <w:r>
        <w:t>reporting</w:t>
      </w:r>
      <w:r w:rsidRPr="0007750F">
        <w:t xml:space="preserve">. </w:t>
      </w:r>
      <w:bookmarkStart w:id="10" w:name="_Toc169538675"/>
      <w:bookmarkStart w:id="11" w:name="_Toc172544755"/>
    </w:p>
    <w:p w14:paraId="4107D347" w14:textId="5B6E345F" w:rsidR="001F0B69" w:rsidRPr="0007750F" w:rsidRDefault="001F0B69" w:rsidP="00EB01FF">
      <w:pPr>
        <w:pStyle w:val="Heading2"/>
        <w:pageBreakBefore w:val="0"/>
      </w:pPr>
      <w:bookmarkStart w:id="12" w:name="_Toc175044417"/>
      <w:r>
        <w:lastRenderedPageBreak/>
        <w:t>The department’s</w:t>
      </w:r>
      <w:r w:rsidRPr="0007750F">
        <w:t xml:space="preserve"> </w:t>
      </w:r>
      <w:r>
        <w:t>o</w:t>
      </w:r>
      <w:r w:rsidRPr="0007750F">
        <w:t xml:space="preserve">perational </w:t>
      </w:r>
      <w:r>
        <w:t>c</w:t>
      </w:r>
      <w:r w:rsidRPr="0007750F">
        <w:t>ontext</w:t>
      </w:r>
      <w:bookmarkEnd w:id="10"/>
      <w:bookmarkEnd w:id="11"/>
      <w:bookmarkEnd w:id="12"/>
    </w:p>
    <w:p w14:paraId="334F3F34" w14:textId="024D11B5" w:rsidR="001F0B69" w:rsidRPr="00E6316C" w:rsidRDefault="00DA79C5" w:rsidP="001F0B69">
      <w:r>
        <w:t>The Department of Agriculture, Fisheries and Forestry</w:t>
      </w:r>
      <w:r w:rsidR="00632112">
        <w:t>’s</w:t>
      </w:r>
      <w:r>
        <w:t xml:space="preserve"> (DAFF</w:t>
      </w:r>
      <w:r w:rsidR="0033522D">
        <w:t>)</w:t>
      </w:r>
      <w:r w:rsidR="008A5A3C">
        <w:t xml:space="preserve"> </w:t>
      </w:r>
      <w:r w:rsidR="001F0B69" w:rsidRPr="00E6316C">
        <w:t>purpose is ‘working together to safeguard and grow sustainable agriculture, fisheries and forestry for all Australians’.</w:t>
      </w:r>
    </w:p>
    <w:p w14:paraId="023884D0" w14:textId="4B0BDA07" w:rsidR="001F0B69" w:rsidRPr="00E6316C" w:rsidRDefault="001F0B69" w:rsidP="001F0B69">
      <w:r>
        <w:t>The department’s</w:t>
      </w:r>
      <w:r w:rsidRPr="00E6316C">
        <w:t xml:space="preserve"> three </w:t>
      </w:r>
      <w:r>
        <w:t xml:space="preserve">strategic </w:t>
      </w:r>
      <w:r w:rsidRPr="00E6316C">
        <w:t>objectives are:</w:t>
      </w:r>
    </w:p>
    <w:p w14:paraId="4D4BC7A6" w14:textId="50E74D54" w:rsidR="001F0B69" w:rsidRPr="00231C54" w:rsidRDefault="001F0B69" w:rsidP="001F0B69">
      <w:pPr>
        <w:pStyle w:val="ListParagraph"/>
        <w:numPr>
          <w:ilvl w:val="0"/>
          <w:numId w:val="15"/>
        </w:numPr>
        <w:ind w:left="426"/>
      </w:pPr>
      <w:r w:rsidRPr="00231C54">
        <w:t xml:space="preserve">Sector growth - </w:t>
      </w:r>
      <w:r w:rsidR="001D491B">
        <w:t xml:space="preserve">Support </w:t>
      </w:r>
      <w:r w:rsidR="00A656B6">
        <w:t>Australia’s</w:t>
      </w:r>
      <w:r w:rsidR="001D491B">
        <w:t xml:space="preserve"> </w:t>
      </w:r>
      <w:r w:rsidR="00A656B6">
        <w:t>agricultural</w:t>
      </w:r>
      <w:r w:rsidR="001D491B">
        <w:t xml:space="preserve"> </w:t>
      </w:r>
      <w:r w:rsidR="00A656B6">
        <w:t>sector, including the food and fibre industries, to be increasingly prosperous and internationally competitive in an ever-changing world.</w:t>
      </w:r>
    </w:p>
    <w:p w14:paraId="6F370BF6" w14:textId="47CE9379" w:rsidR="001F0B69" w:rsidRPr="00231C54" w:rsidRDefault="00E4123F" w:rsidP="001F0B69">
      <w:pPr>
        <w:pStyle w:val="ListParagraph"/>
        <w:numPr>
          <w:ilvl w:val="0"/>
          <w:numId w:val="15"/>
        </w:numPr>
        <w:ind w:left="426"/>
      </w:pPr>
      <w:r>
        <w:t>Sector resilience and sustainability – Increase the contribution agriculture, fisheries and forestry make to a healthy, sustainable and low-emissions environment.</w:t>
      </w:r>
    </w:p>
    <w:p w14:paraId="2DD2D959" w14:textId="5E8BEEDE" w:rsidR="001F0B69" w:rsidRDefault="00E4123F" w:rsidP="001F0B69">
      <w:pPr>
        <w:pStyle w:val="ListParagraph"/>
        <w:numPr>
          <w:ilvl w:val="0"/>
          <w:numId w:val="15"/>
        </w:numPr>
        <w:ind w:left="426"/>
      </w:pPr>
      <w:r>
        <w:t xml:space="preserve">National biosecurity </w:t>
      </w:r>
      <w:r w:rsidR="00D66DDA">
        <w:t xml:space="preserve">- Strengthen our national biosecurity system to provide a </w:t>
      </w:r>
      <w:r w:rsidR="00A471A5">
        <w:t>risk</w:t>
      </w:r>
      <w:r w:rsidR="00D66DDA">
        <w:t xml:space="preserve">-based approach and an appropriate level of protection to Australia’s </w:t>
      </w:r>
      <w:r w:rsidR="00513FBB">
        <w:t xml:space="preserve">people, our environment and </w:t>
      </w:r>
      <w:r w:rsidR="00A471A5">
        <w:t>economy</w:t>
      </w:r>
      <w:r w:rsidR="00513FBB">
        <w:t>.</w:t>
      </w:r>
    </w:p>
    <w:p w14:paraId="3F7AA62A" w14:textId="77777777" w:rsidR="00632112" w:rsidRDefault="00632112" w:rsidP="008A5A3C">
      <w:pPr>
        <w:spacing w:after="0"/>
      </w:pPr>
    </w:p>
    <w:p w14:paraId="408A342C" w14:textId="77777777" w:rsidR="001608C9" w:rsidRDefault="001608C9" w:rsidP="001608C9">
      <w:r>
        <w:t xml:space="preserve">The department’s work is central to the health and prosperity of the nation. Our policies and services protect and span the entire supply chain, helping to grow Australia’s economy and enable the Australian agricultural sector to produce high quality, more sustainable products for consumption within Australia and overseas. </w:t>
      </w:r>
    </w:p>
    <w:p w14:paraId="3B4B8A6D" w14:textId="294A963F" w:rsidR="001608C9" w:rsidRDefault="001608C9" w:rsidP="001608C9">
      <w:r>
        <w:t>The department is a national regulator with portfolio responsibilities that include biosecurity and trade. We work in partnership with all levels of government and with local communities. We have scientific and technical expertise, connections with a range of domestic and international stakeholders and important partnerships across the private sector, from small agricultural businesses to multinational enterprises.</w:t>
      </w:r>
    </w:p>
    <w:p w14:paraId="0E2221BC" w14:textId="528F8EDF" w:rsidR="001F0B69" w:rsidRPr="00E6316C" w:rsidRDefault="001F0B69" w:rsidP="001F0B69">
      <w:r w:rsidRPr="00E6316C">
        <w:t xml:space="preserve">This diversity and operational focus </w:t>
      </w:r>
      <w:proofErr w:type="gramStart"/>
      <w:r w:rsidRPr="00E6316C">
        <w:t>present</w:t>
      </w:r>
      <w:r w:rsidR="001946F1">
        <w:t>s</w:t>
      </w:r>
      <w:proofErr w:type="gramEnd"/>
      <w:r w:rsidRPr="00E6316C">
        <w:t xml:space="preserve"> a challenge for the department in reducing its emissions. </w:t>
      </w:r>
      <w:r>
        <w:t>The department is</w:t>
      </w:r>
      <w:r w:rsidRPr="00E6316C">
        <w:t xml:space="preserve"> committed to reducing our operational emissions</w:t>
      </w:r>
      <w:r>
        <w:t xml:space="preserve"> in line with the </w:t>
      </w:r>
      <w:r w:rsidRPr="00E6316C">
        <w:t>APS Net Zero 2030 targets, while still achieving our objectives of industry growth, biosecurity and resilience and sustainability of agriculture, fisheries and forestry industries.</w:t>
      </w:r>
    </w:p>
    <w:p w14:paraId="4E74F307" w14:textId="218E7FEA" w:rsidR="001F0B69" w:rsidRPr="00E6316C" w:rsidRDefault="001F0B69" w:rsidP="001F0B69">
      <w:r w:rsidRPr="00E6316C">
        <w:t xml:space="preserve">Alignment to the APS Net Zero 2030 targets is </w:t>
      </w:r>
      <w:r>
        <w:t>important</w:t>
      </w:r>
      <w:r w:rsidRPr="00717E61">
        <w:t xml:space="preserve"> to </w:t>
      </w:r>
      <w:r>
        <w:t>the department’s</w:t>
      </w:r>
      <w:r w:rsidRPr="00717E61">
        <w:t xml:space="preserve"> operations. </w:t>
      </w:r>
      <w:r w:rsidRPr="00E6316C">
        <w:t>The department has already commenced its net zero emissions pathway in line with the direction set in the</w:t>
      </w:r>
      <w:r>
        <w:t xml:space="preserve"> </w:t>
      </w:r>
      <w:r w:rsidRPr="00E6316C">
        <w:t>Strategy. This includes the following key activities:</w:t>
      </w:r>
    </w:p>
    <w:p w14:paraId="779C2330" w14:textId="54014F2D" w:rsidR="001F0B69" w:rsidRPr="00E6316C" w:rsidRDefault="001F0B69" w:rsidP="001F0B69">
      <w:pPr>
        <w:pStyle w:val="ListParagraph"/>
        <w:numPr>
          <w:ilvl w:val="0"/>
          <w:numId w:val="15"/>
        </w:numPr>
        <w:ind w:left="426"/>
      </w:pPr>
      <w:r w:rsidRPr="00E6316C">
        <w:t xml:space="preserve">Net zero emissions by 2030 readiness </w:t>
      </w:r>
      <w:r w:rsidR="00977CFD">
        <w:t>at key site</w:t>
      </w:r>
      <w:r w:rsidR="000E41B5">
        <w:t>s</w:t>
      </w:r>
      <w:r w:rsidR="007700FA">
        <w:t>.</w:t>
      </w:r>
    </w:p>
    <w:p w14:paraId="3BFEEBDD" w14:textId="76E86D1C" w:rsidR="001F0B69" w:rsidRPr="00E6316C" w:rsidRDefault="001F0B69" w:rsidP="001F0B69">
      <w:pPr>
        <w:pStyle w:val="ListParagraph"/>
        <w:numPr>
          <w:ilvl w:val="0"/>
          <w:numId w:val="15"/>
        </w:numPr>
        <w:ind w:left="426"/>
      </w:pPr>
      <w:r w:rsidRPr="00E6316C">
        <w:t xml:space="preserve">Installation </w:t>
      </w:r>
      <w:r>
        <w:t xml:space="preserve">and planning for </w:t>
      </w:r>
      <w:r w:rsidRPr="00E6316C">
        <w:t xml:space="preserve">rooftop solar </w:t>
      </w:r>
      <w:r>
        <w:t>P</w:t>
      </w:r>
      <w:r w:rsidR="003F3F77">
        <w:t>hotovoltaic</w:t>
      </w:r>
      <w:r w:rsidR="003008D6">
        <w:t xml:space="preserve"> (PV)</w:t>
      </w:r>
      <w:r>
        <w:t xml:space="preserve"> where applicable</w:t>
      </w:r>
      <w:r w:rsidR="007700FA">
        <w:t>.</w:t>
      </w:r>
    </w:p>
    <w:p w14:paraId="3DAB47D7" w14:textId="4DAEC411" w:rsidR="001F0B69" w:rsidRPr="00E6316C" w:rsidRDefault="001F0B69" w:rsidP="001F0B69">
      <w:pPr>
        <w:pStyle w:val="ListParagraph"/>
        <w:numPr>
          <w:ilvl w:val="0"/>
          <w:numId w:val="15"/>
        </w:numPr>
        <w:ind w:left="426"/>
      </w:pPr>
      <w:r w:rsidRPr="00E6316C">
        <w:t>Green lease schedules incorporated into new lease strategies</w:t>
      </w:r>
      <w:r>
        <w:t>, where required</w:t>
      </w:r>
      <w:r w:rsidR="007700FA">
        <w:t>.</w:t>
      </w:r>
    </w:p>
    <w:p w14:paraId="6EEFD2AD" w14:textId="44A4B032" w:rsidR="001F0B69" w:rsidRPr="00E6316C" w:rsidRDefault="001F0B69" w:rsidP="001F0B69">
      <w:pPr>
        <w:pStyle w:val="ListParagraph"/>
        <w:numPr>
          <w:ilvl w:val="0"/>
          <w:numId w:val="15"/>
        </w:numPr>
        <w:ind w:left="426"/>
      </w:pPr>
      <w:r w:rsidRPr="00E6316C">
        <w:t>Negotiation with landlords to require minimum</w:t>
      </w:r>
      <w:r>
        <w:t xml:space="preserve"> </w:t>
      </w:r>
      <w:r w:rsidR="003F3F77">
        <w:t>(</w:t>
      </w:r>
      <w:r w:rsidR="003F3F77" w:rsidRPr="003F3F77">
        <w:t>National Australian Built Environment Rating System</w:t>
      </w:r>
      <w:r w:rsidR="003F3F77">
        <w:t xml:space="preserve">) </w:t>
      </w:r>
      <w:r w:rsidRPr="00E6316C">
        <w:t>NABERS ratings and/or energy efficiency upgrades as part of lease renewals</w:t>
      </w:r>
      <w:r>
        <w:t>, where required</w:t>
      </w:r>
      <w:r w:rsidR="007700FA">
        <w:t>.</w:t>
      </w:r>
      <w:r w:rsidRPr="00E6316C">
        <w:t xml:space="preserve"> </w:t>
      </w:r>
    </w:p>
    <w:p w14:paraId="0172334F" w14:textId="7D0836D7" w:rsidR="001F0B69" w:rsidRPr="00E6316C" w:rsidRDefault="001F0B69" w:rsidP="001F0B69">
      <w:pPr>
        <w:pStyle w:val="ListParagraph"/>
        <w:numPr>
          <w:ilvl w:val="0"/>
          <w:numId w:val="15"/>
        </w:numPr>
        <w:ind w:left="426"/>
      </w:pPr>
      <w:r w:rsidRPr="00E6316C">
        <w:t xml:space="preserve">Purchase of </w:t>
      </w:r>
      <w:r w:rsidR="003F3F77">
        <w:t>Low Emissions Vehicles (</w:t>
      </w:r>
      <w:r w:rsidRPr="00E6316C">
        <w:t>LEV</w:t>
      </w:r>
      <w:r w:rsidR="003F3F77">
        <w:t>)</w:t>
      </w:r>
      <w:r w:rsidRPr="00E6316C">
        <w:t xml:space="preserve"> to replace aging </w:t>
      </w:r>
      <w:r>
        <w:t xml:space="preserve">passenger </w:t>
      </w:r>
      <w:r w:rsidRPr="00E6316C">
        <w:t>fleet vehicles</w:t>
      </w:r>
      <w:r>
        <w:t xml:space="preserve"> where leases are expiring</w:t>
      </w:r>
      <w:r w:rsidR="007700FA">
        <w:t>.</w:t>
      </w:r>
    </w:p>
    <w:p w14:paraId="152705F0" w14:textId="77777777" w:rsidR="001F0B69" w:rsidRPr="00E6316C" w:rsidRDefault="001F0B69" w:rsidP="001F0B69">
      <w:pPr>
        <w:pStyle w:val="ListParagraph"/>
        <w:numPr>
          <w:ilvl w:val="0"/>
          <w:numId w:val="15"/>
        </w:numPr>
        <w:ind w:left="426"/>
      </w:pPr>
      <w:r w:rsidRPr="00E6316C">
        <w:t>Fleet audit to support LEV strategy development.</w:t>
      </w:r>
    </w:p>
    <w:p w14:paraId="5D80421B" w14:textId="77777777" w:rsidR="001F0B69" w:rsidRDefault="001F0B69" w:rsidP="001F0B69">
      <w:pPr>
        <w:pStyle w:val="ListParagraph"/>
      </w:pPr>
    </w:p>
    <w:p w14:paraId="1C74F737" w14:textId="354F8258" w:rsidR="001F0B69" w:rsidRDefault="001F0B69" w:rsidP="001F0B69">
      <w:r>
        <w:lastRenderedPageBreak/>
        <w:t>The Strategy is designed to support and integrate with existing WoAG policies and frameworks, such as the Commonwealth Procurement Framework, the Australian Government Travel Policy, and the Commonwealth Property Management Framework. Other relevant documents include:</w:t>
      </w:r>
    </w:p>
    <w:p w14:paraId="4E3CBC44" w14:textId="77777777" w:rsidR="001F0B69" w:rsidRDefault="001F0B69" w:rsidP="001F0B69">
      <w:pPr>
        <w:pStyle w:val="ListParagraph"/>
        <w:numPr>
          <w:ilvl w:val="0"/>
          <w:numId w:val="15"/>
        </w:numPr>
        <w:ind w:left="426"/>
      </w:pPr>
      <w:r>
        <w:t>Commonwealth Leasing Strategy</w:t>
      </w:r>
    </w:p>
    <w:p w14:paraId="0B0F5AE4" w14:textId="77777777" w:rsidR="001F0B69" w:rsidRDefault="001F0B69" w:rsidP="001F0B69">
      <w:pPr>
        <w:pStyle w:val="ListParagraph"/>
        <w:numPr>
          <w:ilvl w:val="0"/>
          <w:numId w:val="15"/>
        </w:numPr>
        <w:ind w:left="426"/>
      </w:pPr>
      <w:r>
        <w:t xml:space="preserve">Commonwealth Procurement Rules </w:t>
      </w:r>
    </w:p>
    <w:p w14:paraId="671E9CAA" w14:textId="77777777" w:rsidR="001F0B69" w:rsidRPr="005777E4" w:rsidRDefault="001F0B69" w:rsidP="001F0B69">
      <w:pPr>
        <w:pStyle w:val="ListParagraph"/>
        <w:numPr>
          <w:ilvl w:val="0"/>
          <w:numId w:val="15"/>
        </w:numPr>
        <w:ind w:left="426"/>
        <w:rPr>
          <w:i/>
          <w:iCs/>
        </w:rPr>
      </w:pPr>
      <w:r w:rsidRPr="005777E4">
        <w:rPr>
          <w:i/>
          <w:iCs/>
        </w:rPr>
        <w:t>Public Governance Performance and Accountability Act 2013</w:t>
      </w:r>
    </w:p>
    <w:p w14:paraId="1C6D1CAC" w14:textId="77777777" w:rsidR="001F0B69" w:rsidRDefault="001F0B69" w:rsidP="001F0B69">
      <w:pPr>
        <w:pStyle w:val="ListParagraph"/>
        <w:numPr>
          <w:ilvl w:val="0"/>
          <w:numId w:val="15"/>
        </w:numPr>
        <w:ind w:left="426"/>
      </w:pPr>
      <w:r>
        <w:t>Australian Government Property Register</w:t>
      </w:r>
    </w:p>
    <w:p w14:paraId="20F1B014" w14:textId="374019C6" w:rsidR="001F0B69" w:rsidRDefault="001F0B69" w:rsidP="00EB01FF">
      <w:pPr>
        <w:pStyle w:val="ListParagraph"/>
        <w:numPr>
          <w:ilvl w:val="0"/>
          <w:numId w:val="15"/>
        </w:numPr>
        <w:spacing w:after="240"/>
        <w:ind w:left="425" w:hanging="357"/>
      </w:pPr>
      <w:r>
        <w:t>Commonwealth Sustainable Procurement Policy</w:t>
      </w:r>
      <w:r w:rsidR="007700FA">
        <w:t>.</w:t>
      </w:r>
    </w:p>
    <w:p w14:paraId="6EE0B52C" w14:textId="43C843A2" w:rsidR="00EB01FF" w:rsidRDefault="001F0B69" w:rsidP="00EB01FF">
      <w:r w:rsidRPr="003D2050">
        <w:t xml:space="preserve">Commonwealth Climate Disclosure is the </w:t>
      </w:r>
      <w:r>
        <w:t xml:space="preserve">Australian </w:t>
      </w:r>
      <w:r w:rsidRPr="003D2050">
        <w:t>Government's policy for Commonwealth entities to publicly report on their exposure to climate risks and opportunities, as well as their actions to manage them. Under this policy, Commonwealth entities and Commonwealth companies must disclose climate-related information in their annual reports.</w:t>
      </w:r>
      <w:r w:rsidRPr="00350B06">
        <w:t xml:space="preserve"> Under Climate Disclosure, progress towards this </w:t>
      </w:r>
      <w:r w:rsidR="003F3F77">
        <w:t>P</w:t>
      </w:r>
      <w:r w:rsidRPr="00350B06">
        <w:t>lan forms part of the Metrics and Targets reporting stream.</w:t>
      </w:r>
      <w:r>
        <w:t xml:space="preserve"> </w:t>
      </w:r>
      <w:r w:rsidR="002D15A9">
        <w:t>Agencies</w:t>
      </w:r>
      <w:r w:rsidR="002D15A9" w:rsidRPr="007B02B0">
        <w:t xml:space="preserve"> </w:t>
      </w:r>
      <w:r w:rsidRPr="007B02B0">
        <w:t>are to identify their greenhouse gas emissions profiles and the APS Net Zero 2030 target they are working towards for emissions reduction.</w:t>
      </w:r>
      <w:bookmarkStart w:id="13" w:name="_Toc172544756"/>
    </w:p>
    <w:p w14:paraId="0DD8395C" w14:textId="2EC3BBA8" w:rsidR="00134A68" w:rsidRPr="0007750F" w:rsidRDefault="00134A68" w:rsidP="00EB01FF">
      <w:pPr>
        <w:pStyle w:val="Heading2"/>
        <w:pageBreakBefore w:val="0"/>
      </w:pPr>
      <w:bookmarkStart w:id="14" w:name="_Toc175044418"/>
      <w:r w:rsidRPr="0007750F">
        <w:t xml:space="preserve">Baseline </w:t>
      </w:r>
      <w:r>
        <w:t>emissions</w:t>
      </w:r>
      <w:bookmarkEnd w:id="13"/>
      <w:bookmarkEnd w:id="14"/>
    </w:p>
    <w:p w14:paraId="3B1D37E4" w14:textId="77680BB5" w:rsidR="00134A68" w:rsidRDefault="00134A68" w:rsidP="00134A68">
      <w:pPr>
        <w:pStyle w:val="BodyText1"/>
      </w:pPr>
      <w:r w:rsidRPr="0007750F">
        <w:t xml:space="preserve">Baseline emissions are a record of greenhouse gases that </w:t>
      </w:r>
      <w:r w:rsidRPr="007700FA">
        <w:t>have been produced</w:t>
      </w:r>
      <w:r w:rsidRPr="0007750F">
        <w:t xml:space="preserve"> in the past and were produced prior to the introduction of any strategies to reduce emissions.</w:t>
      </w:r>
      <w:r w:rsidR="00977CFD">
        <w:t xml:space="preserve"> </w:t>
      </w:r>
      <w:r w:rsidR="00977CFD" w:rsidRPr="00CF18FA">
        <w:t xml:space="preserve">The department’s 2022-23 emissions </w:t>
      </w:r>
      <w:r w:rsidR="00977CFD">
        <w:t xml:space="preserve">(Tables 1 and 2) </w:t>
      </w:r>
      <w:r w:rsidR="00977CFD" w:rsidRPr="00CF18FA">
        <w:t>are a reference point against which reductions are measured</w:t>
      </w:r>
      <w:r w:rsidR="00977CFD">
        <w:t>.</w:t>
      </w:r>
      <w:r w:rsidRPr="0007750F">
        <w:t xml:space="preserve"> </w:t>
      </w:r>
      <w:r>
        <w:t xml:space="preserve"> </w:t>
      </w:r>
    </w:p>
    <w:p w14:paraId="6AF60BE1" w14:textId="72717C19" w:rsidR="00134A68" w:rsidRPr="0007750F" w:rsidRDefault="00134A68" w:rsidP="00134A68">
      <w:pPr>
        <w:pStyle w:val="BodyText1"/>
      </w:pPr>
      <w:r>
        <w:t>The baseline emissions for this plan focus on scope 1 and scope 2 emissions, consistent with the APS Net Zero 2030 target. Electricity-related emissions were calculated using the location-based method. The complete 2022</w:t>
      </w:r>
      <w:r w:rsidR="00365E3B">
        <w:t>–</w:t>
      </w:r>
      <w:r>
        <w:t>23 greenhouse gas emissions inventory tables for the department are presented in our 2022</w:t>
      </w:r>
      <w:r w:rsidR="00365E3B">
        <w:t>–</w:t>
      </w:r>
      <w:r>
        <w:t>23 annual report.</w:t>
      </w:r>
    </w:p>
    <w:p w14:paraId="6019EA0E" w14:textId="5E63AA68" w:rsidR="00134A68" w:rsidRDefault="00134A68" w:rsidP="000C07F8">
      <w:pPr>
        <w:pStyle w:val="Caption"/>
      </w:pPr>
      <w:bookmarkStart w:id="15" w:name="_Toc172544660"/>
      <w:bookmarkStart w:id="16" w:name="_Toc172628248"/>
      <w:r>
        <w:t xml:space="preserve">Table </w:t>
      </w:r>
      <w:r>
        <w:fldChar w:fldCharType="begin"/>
      </w:r>
      <w:r>
        <w:instrText xml:space="preserve"> SEQ Table \* ARABIC </w:instrText>
      </w:r>
      <w:r>
        <w:fldChar w:fldCharType="separate"/>
      </w:r>
      <w:r w:rsidR="00B23DEB">
        <w:rPr>
          <w:noProof/>
        </w:rPr>
        <w:t>1</w:t>
      </w:r>
      <w:r>
        <w:fldChar w:fldCharType="end"/>
      </w:r>
      <w:r>
        <w:t xml:space="preserve">. </w:t>
      </w:r>
      <w:r w:rsidR="002D15A9">
        <w:t>T</w:t>
      </w:r>
      <w:r>
        <w:t>he department’s 2022</w:t>
      </w:r>
      <w:r w:rsidR="00365E3B">
        <w:t>–</w:t>
      </w:r>
      <w:r>
        <w:t>23 greenhouse gas emissions (location-based)</w:t>
      </w:r>
      <w:bookmarkEnd w:id="15"/>
      <w:bookmarkEnd w:id="16"/>
    </w:p>
    <w:tbl>
      <w:tblPr>
        <w:tblW w:w="3282"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119"/>
        <w:gridCol w:w="2835"/>
      </w:tblGrid>
      <w:tr w:rsidR="000C07F8" w:rsidRPr="009A501D" w14:paraId="0F64935A" w14:textId="77777777" w:rsidTr="000C07F8">
        <w:trPr>
          <w:cantSplit/>
          <w:tblHeader/>
        </w:trPr>
        <w:tc>
          <w:tcPr>
            <w:tcW w:w="2619" w:type="pct"/>
            <w:tcMar>
              <w:left w:w="108" w:type="dxa"/>
              <w:right w:w="108" w:type="dxa"/>
            </w:tcMar>
          </w:tcPr>
          <w:p w14:paraId="28582721" w14:textId="3EDE7336" w:rsidR="000C07F8" w:rsidRPr="009A501D" w:rsidRDefault="000C07F8" w:rsidP="00134A68">
            <w:pPr>
              <w:pStyle w:val="TableHeading"/>
            </w:pPr>
            <w:r w:rsidRPr="0000018B">
              <w:t>Baseline year</w:t>
            </w:r>
          </w:p>
        </w:tc>
        <w:tc>
          <w:tcPr>
            <w:tcW w:w="2381" w:type="pct"/>
            <w:tcMar>
              <w:left w:w="108" w:type="dxa"/>
              <w:right w:w="108" w:type="dxa"/>
            </w:tcMar>
          </w:tcPr>
          <w:p w14:paraId="58E1EF42" w14:textId="427067CB" w:rsidR="000C07F8" w:rsidRPr="009A501D" w:rsidRDefault="000C07F8" w:rsidP="000C07F8">
            <w:pPr>
              <w:pStyle w:val="TableHeading"/>
            </w:pPr>
            <w:r>
              <w:t>Financial year 2022-23</w:t>
            </w:r>
          </w:p>
        </w:tc>
      </w:tr>
      <w:tr w:rsidR="000C07F8" w:rsidRPr="009A501D" w14:paraId="3461192A" w14:textId="77777777" w:rsidTr="000C07F8">
        <w:tc>
          <w:tcPr>
            <w:tcW w:w="2619" w:type="pct"/>
            <w:tcMar>
              <w:left w:w="108" w:type="dxa"/>
              <w:right w:w="108" w:type="dxa"/>
            </w:tcMar>
          </w:tcPr>
          <w:p w14:paraId="20759F91" w14:textId="6F2F5348" w:rsidR="000C07F8" w:rsidRPr="009A501D" w:rsidRDefault="000C07F8" w:rsidP="00134A68">
            <w:pPr>
              <w:pStyle w:val="TableText"/>
            </w:pPr>
            <w:r w:rsidRPr="0000018B">
              <w:t>Scope 1 emissions</w:t>
            </w:r>
          </w:p>
        </w:tc>
        <w:tc>
          <w:tcPr>
            <w:tcW w:w="2381" w:type="pct"/>
            <w:tcMar>
              <w:left w:w="108" w:type="dxa"/>
              <w:right w:w="108" w:type="dxa"/>
            </w:tcMar>
          </w:tcPr>
          <w:p w14:paraId="5B77362C" w14:textId="5684BAB1" w:rsidR="000C07F8" w:rsidRPr="009A501D" w:rsidRDefault="000C07F8" w:rsidP="000C07F8">
            <w:pPr>
              <w:pStyle w:val="TableText"/>
            </w:pPr>
            <w:r>
              <w:t xml:space="preserve">2,995 </w:t>
            </w:r>
            <w:r w:rsidRPr="00C06A22">
              <w:t>tCO</w:t>
            </w:r>
            <w:r w:rsidRPr="00C06A22">
              <w:rPr>
                <w:vertAlign w:val="subscript"/>
              </w:rPr>
              <w:t>2</w:t>
            </w:r>
            <w:r w:rsidRPr="00C06A22">
              <w:t>e</w:t>
            </w:r>
            <w:r w:rsidR="00977CFD">
              <w:t xml:space="preserve"> </w:t>
            </w:r>
            <w:r w:rsidR="00977CFD">
              <w:rPr>
                <w:rStyle w:val="FootnoteReference"/>
              </w:rPr>
              <w:footnoteReference w:id="2"/>
            </w:r>
          </w:p>
        </w:tc>
      </w:tr>
      <w:tr w:rsidR="000C07F8" w:rsidRPr="009A501D" w14:paraId="60945666" w14:textId="77777777" w:rsidTr="000C07F8">
        <w:tc>
          <w:tcPr>
            <w:tcW w:w="2619" w:type="pct"/>
            <w:tcMar>
              <w:left w:w="108" w:type="dxa"/>
              <w:right w:w="108" w:type="dxa"/>
            </w:tcMar>
          </w:tcPr>
          <w:p w14:paraId="0C0F3A8D" w14:textId="213EC9CC" w:rsidR="000C07F8" w:rsidRPr="009A501D" w:rsidRDefault="000C07F8" w:rsidP="00134A68">
            <w:pPr>
              <w:pStyle w:val="TableText"/>
            </w:pPr>
            <w:r w:rsidRPr="0000018B">
              <w:t>Scope 2 emissions</w:t>
            </w:r>
          </w:p>
        </w:tc>
        <w:tc>
          <w:tcPr>
            <w:tcW w:w="2381" w:type="pct"/>
            <w:tcMar>
              <w:left w:w="108" w:type="dxa"/>
              <w:right w:w="108" w:type="dxa"/>
            </w:tcMar>
          </w:tcPr>
          <w:p w14:paraId="3F45E1FA" w14:textId="794FBB52" w:rsidR="000C07F8" w:rsidRPr="009A501D" w:rsidRDefault="000C07F8" w:rsidP="000C07F8">
            <w:pPr>
              <w:pStyle w:val="TableText"/>
            </w:pPr>
            <w:r>
              <w:t>7,653</w:t>
            </w:r>
            <w:r w:rsidRPr="00C06A22">
              <w:t xml:space="preserve"> tCO</w:t>
            </w:r>
            <w:r w:rsidRPr="00C06A22">
              <w:rPr>
                <w:vertAlign w:val="subscript"/>
              </w:rPr>
              <w:t>2</w:t>
            </w:r>
            <w:r w:rsidRPr="00C06A22">
              <w:t>e</w:t>
            </w:r>
          </w:p>
        </w:tc>
      </w:tr>
      <w:tr w:rsidR="000C07F8" w:rsidRPr="009A501D" w14:paraId="00A35306" w14:textId="77777777" w:rsidTr="000C07F8">
        <w:tc>
          <w:tcPr>
            <w:tcW w:w="2619" w:type="pct"/>
            <w:tcMar>
              <w:left w:w="108" w:type="dxa"/>
              <w:right w:w="108" w:type="dxa"/>
            </w:tcMar>
          </w:tcPr>
          <w:p w14:paraId="35C377AC" w14:textId="3803ECEB" w:rsidR="000C07F8" w:rsidRPr="009A501D" w:rsidRDefault="000C07F8" w:rsidP="00134A68">
            <w:pPr>
              <w:pStyle w:val="TableText"/>
            </w:pPr>
            <w:r w:rsidRPr="0000018B">
              <w:t xml:space="preserve">Total </w:t>
            </w:r>
            <w:r>
              <w:t xml:space="preserve">Scope 1 and 2 </w:t>
            </w:r>
            <w:r w:rsidRPr="0000018B">
              <w:t>emissions</w:t>
            </w:r>
          </w:p>
        </w:tc>
        <w:tc>
          <w:tcPr>
            <w:tcW w:w="2381" w:type="pct"/>
            <w:tcMar>
              <w:left w:w="108" w:type="dxa"/>
              <w:right w:w="108" w:type="dxa"/>
            </w:tcMar>
          </w:tcPr>
          <w:p w14:paraId="26D2DB8D" w14:textId="4B91C180" w:rsidR="000C07F8" w:rsidRPr="009A501D" w:rsidRDefault="000C07F8" w:rsidP="000C07F8">
            <w:pPr>
              <w:pStyle w:val="TableText"/>
            </w:pPr>
            <w:r>
              <w:t>10648 tCO</w:t>
            </w:r>
            <w:r w:rsidRPr="00C06A22">
              <w:rPr>
                <w:vertAlign w:val="subscript"/>
              </w:rPr>
              <w:t>2</w:t>
            </w:r>
            <w:r>
              <w:t>e</w:t>
            </w:r>
          </w:p>
        </w:tc>
      </w:tr>
    </w:tbl>
    <w:p w14:paraId="5D3510B9" w14:textId="35C229BE" w:rsidR="00134A68" w:rsidRDefault="00134A68" w:rsidP="006871D7">
      <w:pPr>
        <w:spacing w:before="200"/>
      </w:pPr>
      <w:r w:rsidRPr="00E34C8E">
        <w:t xml:space="preserve">The electricity emissions reported above are calculated using the </w:t>
      </w:r>
      <w:r w:rsidR="00365E3B" w:rsidRPr="00E34C8E">
        <w:t>location-based</w:t>
      </w:r>
      <w:r w:rsidRPr="00E34C8E">
        <w:t xml:space="preserve"> approach. </w:t>
      </w:r>
    </w:p>
    <w:p w14:paraId="57CF69CA" w14:textId="6D35A314" w:rsidR="00134A68" w:rsidRDefault="00134A68" w:rsidP="00134A68">
      <w:pPr>
        <w:pStyle w:val="Caption"/>
      </w:pPr>
      <w:bookmarkStart w:id="17" w:name="_Toc172544661"/>
      <w:bookmarkStart w:id="18" w:name="_Toc172628249"/>
      <w:r>
        <w:lastRenderedPageBreak/>
        <w:t xml:space="preserve">Table </w:t>
      </w:r>
      <w:r>
        <w:fldChar w:fldCharType="begin"/>
      </w:r>
      <w:r>
        <w:instrText xml:space="preserve"> SEQ Table \* ARABIC </w:instrText>
      </w:r>
      <w:r>
        <w:fldChar w:fldCharType="separate"/>
      </w:r>
      <w:r w:rsidR="00B23DEB">
        <w:rPr>
          <w:noProof/>
        </w:rPr>
        <w:t>2</w:t>
      </w:r>
      <w:r>
        <w:fldChar w:fldCharType="end"/>
      </w:r>
      <w:r>
        <w:t xml:space="preserve">. </w:t>
      </w:r>
      <w:r w:rsidR="002D15A9">
        <w:t>T</w:t>
      </w:r>
      <w:r>
        <w:t>he department’s 2022</w:t>
      </w:r>
      <w:r w:rsidR="00365E3B">
        <w:t>–</w:t>
      </w:r>
      <w:r>
        <w:t>23 greenhouse gas emissions (market-based)</w:t>
      </w:r>
      <w:bookmarkEnd w:id="17"/>
      <w:bookmarkEnd w:id="18"/>
    </w:p>
    <w:tbl>
      <w:tblPr>
        <w:tblW w:w="3361"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3119"/>
        <w:gridCol w:w="2978"/>
      </w:tblGrid>
      <w:tr w:rsidR="000C07F8" w:rsidRPr="009A501D" w14:paraId="4EE4BE12" w14:textId="77777777" w:rsidTr="000C07F8">
        <w:trPr>
          <w:cantSplit/>
          <w:tblHeader/>
        </w:trPr>
        <w:tc>
          <w:tcPr>
            <w:tcW w:w="2558" w:type="pct"/>
            <w:tcMar>
              <w:left w:w="108" w:type="dxa"/>
              <w:right w:w="108" w:type="dxa"/>
            </w:tcMar>
          </w:tcPr>
          <w:p w14:paraId="43CCD304" w14:textId="77777777" w:rsidR="000C07F8" w:rsidRPr="009A501D" w:rsidRDefault="000C07F8" w:rsidP="009B0A2A">
            <w:pPr>
              <w:pStyle w:val="TableHeading"/>
            </w:pPr>
            <w:r w:rsidRPr="0000018B">
              <w:t>Baseline year</w:t>
            </w:r>
          </w:p>
        </w:tc>
        <w:tc>
          <w:tcPr>
            <w:tcW w:w="2442" w:type="pct"/>
            <w:tcMar>
              <w:left w:w="108" w:type="dxa"/>
              <w:right w:w="108" w:type="dxa"/>
            </w:tcMar>
          </w:tcPr>
          <w:p w14:paraId="23C81BF1" w14:textId="77777777" w:rsidR="000C07F8" w:rsidRPr="009A501D" w:rsidRDefault="000C07F8" w:rsidP="009B0A2A">
            <w:pPr>
              <w:pStyle w:val="TableHeading"/>
            </w:pPr>
            <w:r>
              <w:t>Financial year 2022-23</w:t>
            </w:r>
          </w:p>
        </w:tc>
      </w:tr>
      <w:tr w:rsidR="000C07F8" w:rsidRPr="009A501D" w14:paraId="61F8750B" w14:textId="77777777" w:rsidTr="000C07F8">
        <w:tc>
          <w:tcPr>
            <w:tcW w:w="2558" w:type="pct"/>
            <w:tcMar>
              <w:left w:w="108" w:type="dxa"/>
              <w:right w:w="108" w:type="dxa"/>
            </w:tcMar>
          </w:tcPr>
          <w:p w14:paraId="385CAA5B" w14:textId="77777777" w:rsidR="000C07F8" w:rsidRPr="009A501D" w:rsidRDefault="000C07F8" w:rsidP="009B0A2A">
            <w:pPr>
              <w:pStyle w:val="TableText"/>
            </w:pPr>
            <w:r w:rsidRPr="0000018B">
              <w:t>Scope 1 emissions</w:t>
            </w:r>
          </w:p>
        </w:tc>
        <w:tc>
          <w:tcPr>
            <w:tcW w:w="2442" w:type="pct"/>
            <w:tcMar>
              <w:left w:w="108" w:type="dxa"/>
              <w:right w:w="108" w:type="dxa"/>
            </w:tcMar>
          </w:tcPr>
          <w:p w14:paraId="56003B86" w14:textId="3B3C823B" w:rsidR="000C07F8" w:rsidRPr="009A501D" w:rsidRDefault="000C07F8" w:rsidP="009B0A2A">
            <w:pPr>
              <w:pStyle w:val="TableText"/>
            </w:pPr>
            <w:r>
              <w:t xml:space="preserve">2,995 </w:t>
            </w:r>
            <w:r w:rsidRPr="00C06A22">
              <w:t>tCO</w:t>
            </w:r>
            <w:r w:rsidRPr="00C06A22">
              <w:rPr>
                <w:vertAlign w:val="subscript"/>
              </w:rPr>
              <w:t>2</w:t>
            </w:r>
            <w:r w:rsidRPr="00C06A22">
              <w:t>e</w:t>
            </w:r>
          </w:p>
        </w:tc>
      </w:tr>
      <w:tr w:rsidR="000C07F8" w:rsidRPr="009A501D" w14:paraId="255056DE" w14:textId="77777777" w:rsidTr="000C07F8">
        <w:tc>
          <w:tcPr>
            <w:tcW w:w="2558" w:type="pct"/>
            <w:tcMar>
              <w:left w:w="108" w:type="dxa"/>
              <w:right w:w="108" w:type="dxa"/>
            </w:tcMar>
          </w:tcPr>
          <w:p w14:paraId="13AF2062" w14:textId="77777777" w:rsidR="000C07F8" w:rsidRPr="009A501D" w:rsidRDefault="000C07F8" w:rsidP="009B0A2A">
            <w:pPr>
              <w:pStyle w:val="TableText"/>
            </w:pPr>
            <w:r w:rsidRPr="0000018B">
              <w:t>Scope 2 emissions</w:t>
            </w:r>
          </w:p>
        </w:tc>
        <w:tc>
          <w:tcPr>
            <w:tcW w:w="2442" w:type="pct"/>
            <w:tcMar>
              <w:left w:w="108" w:type="dxa"/>
              <w:right w:w="108" w:type="dxa"/>
            </w:tcMar>
          </w:tcPr>
          <w:p w14:paraId="407A0CF8" w14:textId="17E4DE0C" w:rsidR="000C07F8" w:rsidRPr="009A501D" w:rsidRDefault="000C07F8" w:rsidP="009B0A2A">
            <w:pPr>
              <w:pStyle w:val="TableText"/>
            </w:pPr>
            <w:r>
              <w:t>5,046</w:t>
            </w:r>
            <w:r w:rsidRPr="00C06A22">
              <w:t xml:space="preserve"> tCO</w:t>
            </w:r>
            <w:r w:rsidRPr="00C06A22">
              <w:rPr>
                <w:vertAlign w:val="subscript"/>
              </w:rPr>
              <w:t>2</w:t>
            </w:r>
            <w:r w:rsidRPr="00C06A22">
              <w:t>e</w:t>
            </w:r>
          </w:p>
        </w:tc>
      </w:tr>
      <w:tr w:rsidR="000C07F8" w:rsidRPr="009A501D" w14:paraId="129CEABD" w14:textId="77777777" w:rsidTr="000C07F8">
        <w:tc>
          <w:tcPr>
            <w:tcW w:w="2558" w:type="pct"/>
            <w:tcMar>
              <w:left w:w="108" w:type="dxa"/>
              <w:right w:w="108" w:type="dxa"/>
            </w:tcMar>
          </w:tcPr>
          <w:p w14:paraId="16215526" w14:textId="77777777" w:rsidR="000C07F8" w:rsidRPr="009A501D" w:rsidRDefault="000C07F8" w:rsidP="009B0A2A">
            <w:pPr>
              <w:pStyle w:val="TableText"/>
            </w:pPr>
            <w:r w:rsidRPr="0000018B">
              <w:t xml:space="preserve">Total </w:t>
            </w:r>
            <w:r>
              <w:t xml:space="preserve">Scope 1 and 2 </w:t>
            </w:r>
            <w:r w:rsidRPr="0000018B">
              <w:t>emissions</w:t>
            </w:r>
          </w:p>
        </w:tc>
        <w:tc>
          <w:tcPr>
            <w:tcW w:w="2442" w:type="pct"/>
            <w:tcMar>
              <w:left w:w="108" w:type="dxa"/>
              <w:right w:w="108" w:type="dxa"/>
            </w:tcMar>
          </w:tcPr>
          <w:p w14:paraId="17CC45C2" w14:textId="7DB997BB" w:rsidR="000C07F8" w:rsidRPr="009A501D" w:rsidRDefault="000C07F8" w:rsidP="009B0A2A">
            <w:pPr>
              <w:pStyle w:val="TableText"/>
            </w:pPr>
            <w:r>
              <w:t>8,041 tCO</w:t>
            </w:r>
            <w:r w:rsidRPr="00C06A22">
              <w:rPr>
                <w:vertAlign w:val="subscript"/>
              </w:rPr>
              <w:t>2</w:t>
            </w:r>
            <w:r>
              <w:t>e</w:t>
            </w:r>
          </w:p>
        </w:tc>
      </w:tr>
    </w:tbl>
    <w:p w14:paraId="4D8D3316" w14:textId="78E22DC3" w:rsidR="00365E3B" w:rsidRDefault="00365E3B" w:rsidP="006871D7">
      <w:pPr>
        <w:spacing w:before="200"/>
      </w:pPr>
      <w:r w:rsidRPr="00E34C8E">
        <w:t xml:space="preserve">The electricity emissions reported above are calculated using the market-based method, which accounts for activities such as Greenpower, </w:t>
      </w:r>
      <w:r w:rsidRPr="00401C27">
        <w:t>purchased L</w:t>
      </w:r>
      <w:r w:rsidR="00BB0888" w:rsidRPr="00401C27">
        <w:t>arge</w:t>
      </w:r>
      <w:r w:rsidR="00401C27" w:rsidRPr="00401C27">
        <w:t>-s</w:t>
      </w:r>
      <w:r w:rsidR="00BB0888" w:rsidRPr="00401C27">
        <w:t>cale Generations Certificat</w:t>
      </w:r>
      <w:r w:rsidR="00401C27" w:rsidRPr="00401C27">
        <w:t>es</w:t>
      </w:r>
      <w:r w:rsidRPr="00401C27">
        <w:t xml:space="preserve"> </w:t>
      </w:r>
      <w:r w:rsidR="00CE600D">
        <w:t>(</w:t>
      </w:r>
      <w:r w:rsidR="00CE600D" w:rsidRPr="00CE600D">
        <w:t>tradable certificates created for eligible large-scale renewable energy power stations</w:t>
      </w:r>
      <w:r w:rsidR="00CE600D">
        <w:t xml:space="preserve">) </w:t>
      </w:r>
      <w:r w:rsidRPr="00401C27">
        <w:t>and</w:t>
      </w:r>
      <w:r w:rsidRPr="00E34C8E">
        <w:t xml:space="preserve">/or </w:t>
      </w:r>
      <w:proofErr w:type="gramStart"/>
      <w:r w:rsidRPr="00E34C8E">
        <w:t>being located in</w:t>
      </w:r>
      <w:proofErr w:type="gramEnd"/>
      <w:r w:rsidRPr="00E34C8E">
        <w:t xml:space="preserve"> the ACT</w:t>
      </w:r>
      <w:r w:rsidR="00735C70">
        <w:t>.</w:t>
      </w:r>
    </w:p>
    <w:p w14:paraId="608C1F25" w14:textId="77777777" w:rsidR="000C07F8" w:rsidRDefault="000C07F8" w:rsidP="00E66558">
      <w:pPr>
        <w:pStyle w:val="Heading2"/>
        <w:pageBreakBefore w:val="0"/>
      </w:pPr>
      <w:bookmarkStart w:id="19" w:name="_Toc169538677"/>
      <w:bookmarkStart w:id="20" w:name="_Toc172544757"/>
      <w:bookmarkStart w:id="21" w:name="_Toc175044419"/>
      <w:r>
        <w:t>Engagement</w:t>
      </w:r>
      <w:bookmarkEnd w:id="19"/>
      <w:bookmarkEnd w:id="20"/>
      <w:bookmarkEnd w:id="21"/>
    </w:p>
    <w:p w14:paraId="6C141374" w14:textId="1BBC0E1E" w:rsidR="000C07F8" w:rsidRDefault="000C07F8" w:rsidP="000C07F8">
      <w:r>
        <w:t xml:space="preserve">The development of this Plan incorporated relevant stakeholder consultation activities. </w:t>
      </w:r>
    </w:p>
    <w:p w14:paraId="03E0A566" w14:textId="77777777" w:rsidR="00AD4F9E" w:rsidRPr="0007750F" w:rsidRDefault="00AD4F9E" w:rsidP="00CA7B29">
      <w:pPr>
        <w:pStyle w:val="Heading2"/>
        <w:pageBreakBefore w:val="0"/>
      </w:pPr>
      <w:bookmarkStart w:id="22" w:name="_Toc169538678"/>
      <w:bookmarkStart w:id="23" w:name="_Toc172544758"/>
      <w:bookmarkStart w:id="24" w:name="_Toc175044420"/>
      <w:r>
        <w:t>Emissions reduction targets</w:t>
      </w:r>
      <w:bookmarkEnd w:id="22"/>
      <w:bookmarkEnd w:id="23"/>
      <w:bookmarkEnd w:id="24"/>
    </w:p>
    <w:p w14:paraId="3D288370" w14:textId="153F1E3E" w:rsidR="00AD4F9E" w:rsidRDefault="00AD4F9E" w:rsidP="000C07F8">
      <w:r>
        <w:t xml:space="preserve">The department is following the </w:t>
      </w:r>
      <w:r w:rsidRPr="00156764">
        <w:t xml:space="preserve">APS Net Zero </w:t>
      </w:r>
      <w:r>
        <w:t xml:space="preserve">2030 </w:t>
      </w:r>
      <w:r w:rsidRPr="00156764">
        <w:t>target</w:t>
      </w:r>
      <w:r w:rsidR="002D15A9">
        <w:t>s</w:t>
      </w:r>
      <w:r w:rsidRPr="00156764">
        <w:t xml:space="preserve"> </w:t>
      </w:r>
      <w:r>
        <w:t>in full, as per the Strategy. The target</w:t>
      </w:r>
      <w:r w:rsidR="002D15A9">
        <w:t>s</w:t>
      </w:r>
      <w:r>
        <w:t xml:space="preserve"> </w:t>
      </w:r>
      <w:r w:rsidRPr="00156764">
        <w:t xml:space="preserve">cover the entirety of </w:t>
      </w:r>
      <w:r w:rsidR="002D15A9">
        <w:t xml:space="preserve">the department’s </w:t>
      </w:r>
      <w:r>
        <w:t>operations within Australia and its territories for scope 1 and scope 2 emissions, as described in the Strategy.</w:t>
      </w:r>
    </w:p>
    <w:p w14:paraId="45F60F4A" w14:textId="77777777" w:rsidR="00AD4F9E" w:rsidRPr="0007750F" w:rsidRDefault="00AD4F9E" w:rsidP="00AD4F9E">
      <w:pPr>
        <w:pStyle w:val="Heading2"/>
        <w:pageBreakBefore w:val="0"/>
      </w:pPr>
      <w:bookmarkStart w:id="25" w:name="_Toc169538679"/>
      <w:bookmarkStart w:id="26" w:name="_Toc172544759"/>
      <w:bookmarkStart w:id="27" w:name="_Toc175044421"/>
      <w:r w:rsidRPr="0007750F">
        <w:t xml:space="preserve">Priorities and </w:t>
      </w:r>
      <w:r>
        <w:t>a</w:t>
      </w:r>
      <w:r w:rsidRPr="0007750F">
        <w:t>ctions</w:t>
      </w:r>
      <w:bookmarkEnd w:id="25"/>
      <w:bookmarkEnd w:id="26"/>
      <w:bookmarkEnd w:id="27"/>
      <w:r w:rsidRPr="0007750F">
        <w:t xml:space="preserve"> </w:t>
      </w:r>
    </w:p>
    <w:p w14:paraId="71E3A9CD" w14:textId="15E776B1" w:rsidR="00AD4F9E" w:rsidRDefault="00AD4F9E" w:rsidP="00AD4F9E">
      <w:pPr>
        <w:spacing w:after="120"/>
      </w:pPr>
      <w:r w:rsidRPr="00AD4F9E">
        <w:t xml:space="preserve">For the department to contribute to the achievement of the APS Net Zero 2030 </w:t>
      </w:r>
      <w:r w:rsidRPr="00C32FFC">
        <w:t xml:space="preserve">target, </w:t>
      </w:r>
      <w:r w:rsidR="007700FA" w:rsidRPr="00C32FFC">
        <w:t>focused</w:t>
      </w:r>
      <w:r w:rsidR="007700FA">
        <w:t xml:space="preserve"> </w:t>
      </w:r>
      <w:r w:rsidRPr="00AD4F9E">
        <w:t>action on existing emissions reduction measures and the introduction of further or new measures is required. These actions are:</w:t>
      </w:r>
    </w:p>
    <w:p w14:paraId="35AD73AD" w14:textId="02AC01C3" w:rsidR="00AD4F9E" w:rsidRDefault="0008364B" w:rsidP="00AD4F9E">
      <w:pPr>
        <w:pStyle w:val="ListParagraph"/>
        <w:numPr>
          <w:ilvl w:val="0"/>
          <w:numId w:val="16"/>
        </w:numPr>
      </w:pPr>
      <w:r>
        <w:t>S</w:t>
      </w:r>
      <w:r w:rsidR="00AD4F9E">
        <w:t>olar PV installations</w:t>
      </w:r>
    </w:p>
    <w:p w14:paraId="5A3B7782" w14:textId="43D1DF11" w:rsidR="00AD4F9E" w:rsidRDefault="00AD4F9E" w:rsidP="00AD4F9E">
      <w:pPr>
        <w:pStyle w:val="ListParagraph"/>
        <w:numPr>
          <w:ilvl w:val="0"/>
          <w:numId w:val="16"/>
        </w:numPr>
      </w:pPr>
      <w:r>
        <w:t>Procuring renewable electricity</w:t>
      </w:r>
    </w:p>
    <w:p w14:paraId="4B174C6D" w14:textId="3BFB48FD" w:rsidR="00AD4F9E" w:rsidRDefault="00AD4F9E" w:rsidP="00AD4F9E">
      <w:pPr>
        <w:pStyle w:val="ListParagraph"/>
        <w:numPr>
          <w:ilvl w:val="0"/>
          <w:numId w:val="16"/>
        </w:numPr>
      </w:pPr>
      <w:r>
        <w:t xml:space="preserve">Transitioning </w:t>
      </w:r>
      <w:r w:rsidR="005404B0">
        <w:t>passenger</w:t>
      </w:r>
      <w:r>
        <w:t xml:space="preserve"> fleet vehicles to </w:t>
      </w:r>
      <w:r w:rsidR="003008D6">
        <w:t>LEVs</w:t>
      </w:r>
    </w:p>
    <w:p w14:paraId="07BA8284" w14:textId="41B6D8B4" w:rsidR="00AD4F9E" w:rsidRPr="00AD4F9E" w:rsidRDefault="00AD4F9E" w:rsidP="00AD4F9E">
      <w:pPr>
        <w:pStyle w:val="ListParagraph"/>
        <w:numPr>
          <w:ilvl w:val="0"/>
          <w:numId w:val="16"/>
        </w:numPr>
        <w:spacing w:after="120"/>
        <w:ind w:left="714" w:hanging="357"/>
        <w:rPr>
          <w:rFonts w:asciiTheme="minorHAnsi" w:hAnsiTheme="minorHAnsi" w:cstheme="minorBidi"/>
        </w:rPr>
      </w:pPr>
      <w:r w:rsidRPr="00AD4F9E">
        <w:rPr>
          <w:rFonts w:asciiTheme="minorHAnsi" w:hAnsiTheme="minorHAnsi" w:cstheme="minorBidi"/>
        </w:rPr>
        <w:t>Sustainable procurement</w:t>
      </w:r>
      <w:r w:rsidR="0008364B">
        <w:rPr>
          <w:rFonts w:asciiTheme="minorHAnsi" w:hAnsiTheme="minorHAnsi" w:cstheme="minorBidi"/>
        </w:rPr>
        <w:t>.</w:t>
      </w:r>
    </w:p>
    <w:p w14:paraId="69EE04A2" w14:textId="42F460F8" w:rsidR="00AD4F9E" w:rsidRDefault="00AD4F9E" w:rsidP="00AD4F9E">
      <w:pPr>
        <w:spacing w:after="120"/>
      </w:pPr>
      <w:r>
        <w:t xml:space="preserve">Additional </w:t>
      </w:r>
      <w:r w:rsidR="00E66558">
        <w:t xml:space="preserve">planned </w:t>
      </w:r>
      <w:r>
        <w:t>actions</w:t>
      </w:r>
      <w:r w:rsidR="005404B0">
        <w:t>:</w:t>
      </w:r>
      <w:r>
        <w:t xml:space="preserve"> </w:t>
      </w:r>
    </w:p>
    <w:p w14:paraId="6B34B0B6" w14:textId="0D12F082" w:rsidR="00AD4F9E" w:rsidRDefault="00AD4F9E" w:rsidP="00AD4F9E">
      <w:pPr>
        <w:pStyle w:val="ListParagraph"/>
        <w:numPr>
          <w:ilvl w:val="0"/>
          <w:numId w:val="17"/>
        </w:numPr>
      </w:pPr>
      <w:r>
        <w:t xml:space="preserve">LED lighting </w:t>
      </w:r>
      <w:r w:rsidR="00E66558">
        <w:t xml:space="preserve">upgrades and </w:t>
      </w:r>
      <w:r>
        <w:t>planning</w:t>
      </w:r>
    </w:p>
    <w:p w14:paraId="29D0060B" w14:textId="02E1BE5C" w:rsidR="00AD4F9E" w:rsidRDefault="008D54DD" w:rsidP="00AD4F9E">
      <w:pPr>
        <w:pStyle w:val="ListParagraph"/>
        <w:numPr>
          <w:ilvl w:val="0"/>
          <w:numId w:val="17"/>
        </w:numPr>
      </w:pPr>
      <w:r>
        <w:t xml:space="preserve">Additional </w:t>
      </w:r>
      <w:r w:rsidR="00AD4F9E">
        <w:t>Solar PV</w:t>
      </w:r>
      <w:r>
        <w:t xml:space="preserve"> feasibility assessments </w:t>
      </w:r>
      <w:r w:rsidR="0008364B">
        <w:t xml:space="preserve">and </w:t>
      </w:r>
      <w:r w:rsidR="00E66558">
        <w:t>installations</w:t>
      </w:r>
    </w:p>
    <w:p w14:paraId="167D87F1" w14:textId="7C22D24D" w:rsidR="00AD4F9E" w:rsidRPr="00AD4F9E" w:rsidRDefault="00AD4F9E" w:rsidP="00AD4F9E">
      <w:pPr>
        <w:pStyle w:val="ListParagraph"/>
        <w:numPr>
          <w:ilvl w:val="0"/>
          <w:numId w:val="16"/>
        </w:numPr>
        <w:spacing w:after="120"/>
        <w:ind w:left="714" w:hanging="357"/>
        <w:rPr>
          <w:rFonts w:asciiTheme="minorHAnsi" w:hAnsiTheme="minorHAnsi" w:cstheme="minorBidi"/>
        </w:rPr>
      </w:pPr>
      <w:r w:rsidRPr="00AD4F9E">
        <w:rPr>
          <w:rFonts w:asciiTheme="minorHAnsi" w:hAnsiTheme="minorHAnsi" w:cstheme="minorBidi"/>
        </w:rPr>
        <w:t>Degasification and electrification planning</w:t>
      </w:r>
      <w:r w:rsidR="0008364B">
        <w:rPr>
          <w:rFonts w:asciiTheme="minorHAnsi" w:hAnsiTheme="minorHAnsi" w:cstheme="minorBidi"/>
        </w:rPr>
        <w:t>.</w:t>
      </w:r>
    </w:p>
    <w:p w14:paraId="3B25CC7D" w14:textId="4138AFED" w:rsidR="00AD4F9E" w:rsidRDefault="00AD4F9E" w:rsidP="00AD4F9E">
      <w:r>
        <w:t>The department plans to achieve the below</w:t>
      </w:r>
      <w:r w:rsidRPr="00AD4F9E">
        <w:t xml:space="preserve"> APS Net Zero 2030 target</w:t>
      </w:r>
      <w:r>
        <w:t>s.</w:t>
      </w:r>
    </w:p>
    <w:p w14:paraId="1B6DCAC6" w14:textId="789672F6" w:rsidR="005404B0" w:rsidRPr="005404B0" w:rsidRDefault="00AD4F9E" w:rsidP="00CA7B29">
      <w:pPr>
        <w:pStyle w:val="Heading3"/>
        <w:pageBreakBefore/>
        <w:spacing w:after="100" w:afterAutospacing="1"/>
      </w:pPr>
      <w:bookmarkStart w:id="28" w:name="_Toc172544760"/>
      <w:bookmarkStart w:id="29" w:name="_Toc175044422"/>
      <w:r w:rsidRPr="0007750F">
        <w:lastRenderedPageBreak/>
        <w:t>Buildings</w:t>
      </w:r>
      <w:bookmarkEnd w:id="28"/>
      <w:bookmarkEnd w:id="29"/>
    </w:p>
    <w:p w14:paraId="3ED0A992" w14:textId="49DAC698" w:rsidR="00AD4F9E" w:rsidRDefault="00AD4F9E" w:rsidP="00AD4F9E">
      <w:pPr>
        <w:pStyle w:val="Caption"/>
      </w:pPr>
      <w:bookmarkStart w:id="30" w:name="_Toc172544662"/>
      <w:bookmarkStart w:id="31" w:name="_Toc172628250"/>
      <w:r>
        <w:t xml:space="preserve">Table </w:t>
      </w:r>
      <w:r>
        <w:fldChar w:fldCharType="begin"/>
      </w:r>
      <w:r>
        <w:instrText xml:space="preserve"> SEQ Table \* ARABIC </w:instrText>
      </w:r>
      <w:r>
        <w:fldChar w:fldCharType="separate"/>
      </w:r>
      <w:r w:rsidR="00B23DEB">
        <w:rPr>
          <w:noProof/>
        </w:rPr>
        <w:t>3</w:t>
      </w:r>
      <w:r>
        <w:fldChar w:fldCharType="end"/>
      </w:r>
      <w:r>
        <w:t xml:space="preserve">. </w:t>
      </w:r>
      <w:r w:rsidRPr="00747059">
        <w:t>APS Net Zero 2030 Targets - Buildings</w:t>
      </w:r>
      <w:bookmarkEnd w:id="30"/>
      <w:bookmarkEnd w:id="31"/>
    </w:p>
    <w:tbl>
      <w:tblPr>
        <w:tblW w:w="8789" w:type="dxa"/>
        <w:tblCellMar>
          <w:left w:w="0" w:type="dxa"/>
          <w:right w:w="0" w:type="dxa"/>
        </w:tblCellMar>
        <w:tblLook w:val="04A0" w:firstRow="1" w:lastRow="0" w:firstColumn="1" w:lastColumn="0" w:noHBand="0" w:noVBand="1"/>
      </w:tblPr>
      <w:tblGrid>
        <w:gridCol w:w="4678"/>
        <w:gridCol w:w="4111"/>
      </w:tblGrid>
      <w:tr w:rsidR="004F46C7" w:rsidRPr="009C66D6" w14:paraId="327EC339" w14:textId="77777777" w:rsidTr="004F46C7">
        <w:trPr>
          <w:trHeight w:val="403"/>
          <w:tblHeader/>
        </w:trPr>
        <w:tc>
          <w:tcPr>
            <w:tcW w:w="4678" w:type="dxa"/>
            <w:tcBorders>
              <w:top w:val="nil"/>
              <w:left w:val="nil"/>
              <w:bottom w:val="nil"/>
              <w:right w:val="nil"/>
            </w:tcBorders>
            <w:shd w:val="clear" w:color="auto" w:fill="BFBFBF"/>
            <w:tcMar>
              <w:top w:w="15" w:type="dxa"/>
              <w:left w:w="107" w:type="dxa"/>
              <w:bottom w:w="0" w:type="dxa"/>
              <w:right w:w="107" w:type="dxa"/>
            </w:tcMar>
            <w:vAlign w:val="center"/>
            <w:hideMark/>
          </w:tcPr>
          <w:p w14:paraId="11C00668" w14:textId="65D65906" w:rsidR="004F46C7" w:rsidRPr="00A82046" w:rsidRDefault="004F46C7" w:rsidP="00AD4F9E">
            <w:pPr>
              <w:pStyle w:val="TableText"/>
              <w:rPr>
                <w:b/>
                <w:bCs/>
              </w:rPr>
            </w:pPr>
            <w:r w:rsidRPr="00A82046">
              <w:rPr>
                <w:b/>
                <w:bCs/>
              </w:rPr>
              <w:t>Strategy Target</w:t>
            </w:r>
          </w:p>
        </w:tc>
        <w:tc>
          <w:tcPr>
            <w:tcW w:w="4111" w:type="dxa"/>
            <w:tcBorders>
              <w:top w:val="nil"/>
              <w:left w:val="nil"/>
              <w:bottom w:val="nil"/>
              <w:right w:val="nil"/>
            </w:tcBorders>
            <w:shd w:val="clear" w:color="auto" w:fill="BFBFBF"/>
            <w:tcMar>
              <w:top w:w="15" w:type="dxa"/>
              <w:left w:w="107" w:type="dxa"/>
              <w:bottom w:w="0" w:type="dxa"/>
              <w:right w:w="107" w:type="dxa"/>
            </w:tcMar>
            <w:vAlign w:val="center"/>
            <w:hideMark/>
          </w:tcPr>
          <w:p w14:paraId="0EC28D84" w14:textId="77777777" w:rsidR="004F46C7" w:rsidRPr="00A82046" w:rsidRDefault="004F46C7" w:rsidP="00AD4F9E">
            <w:pPr>
              <w:pStyle w:val="TableText"/>
              <w:rPr>
                <w:b/>
                <w:bCs/>
              </w:rPr>
            </w:pPr>
            <w:r w:rsidRPr="00A82046">
              <w:rPr>
                <w:b/>
                <w:bCs/>
              </w:rPr>
              <w:t>Measure</w:t>
            </w:r>
          </w:p>
        </w:tc>
      </w:tr>
      <w:tr w:rsidR="004F46C7" w:rsidRPr="009C66D6" w14:paraId="5AE0F1FB" w14:textId="77777777" w:rsidTr="00903121">
        <w:trPr>
          <w:trHeight w:val="1943"/>
        </w:trPr>
        <w:tc>
          <w:tcPr>
            <w:tcW w:w="4678"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1B1DDD94" w14:textId="452BC794" w:rsidR="004F46C7" w:rsidRDefault="004F46C7" w:rsidP="000752D2">
            <w:pPr>
              <w:pStyle w:val="TableText"/>
            </w:pPr>
            <w:r>
              <w:t>Office space leased from 1 July 2025 for four or more years, over 1000sqm:</w:t>
            </w:r>
          </w:p>
          <w:p w14:paraId="7B6A4A4F" w14:textId="60D838EA" w:rsidR="004F46C7" w:rsidRDefault="004F46C7" w:rsidP="000752D2">
            <w:pPr>
              <w:pStyle w:val="TableText"/>
            </w:pPr>
            <w:r>
              <w:t>• achieved the relevant base building and/or tenancy NABERS energy rating of 5.5 star or 4.5 outside metro cities</w:t>
            </w:r>
            <w:r w:rsidR="001A307B">
              <w:t>,</w:t>
            </w:r>
            <w:r>
              <w:t xml:space="preserve"> and</w:t>
            </w:r>
          </w:p>
          <w:p w14:paraId="54ED162C" w14:textId="10AE93FC" w:rsidR="004F46C7" w:rsidRPr="009C66D6" w:rsidRDefault="004F46C7" w:rsidP="004F46C7">
            <w:pPr>
              <w:pStyle w:val="TableText"/>
            </w:pPr>
            <w:r>
              <w:t>• maintained the relevant base building and/or tenancy NABERS energy rating of 5.5 star or 4.5 outside metro cities.</w:t>
            </w:r>
          </w:p>
        </w:tc>
        <w:tc>
          <w:tcPr>
            <w:tcW w:w="4111"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6E6815F2" w14:textId="7FBF442A" w:rsidR="004F46C7" w:rsidRDefault="004F46C7" w:rsidP="000752D2">
            <w:pPr>
              <w:pStyle w:val="TableText"/>
            </w:pPr>
            <w:r>
              <w:t xml:space="preserve">Percentage of leased office space that meets the </w:t>
            </w:r>
          </w:p>
          <w:p w14:paraId="26787452" w14:textId="07BF1E94" w:rsidR="004F46C7" w:rsidRPr="009C66D6" w:rsidRDefault="004F46C7" w:rsidP="000752D2">
            <w:pPr>
              <w:pStyle w:val="TableText"/>
            </w:pPr>
            <w:r>
              <w:t>respective targets.</w:t>
            </w:r>
          </w:p>
        </w:tc>
      </w:tr>
      <w:tr w:rsidR="004F46C7" w:rsidRPr="009C66D6" w14:paraId="77C011A1" w14:textId="77777777" w:rsidTr="00903121">
        <w:trPr>
          <w:trHeight w:val="1254"/>
        </w:trPr>
        <w:tc>
          <w:tcPr>
            <w:tcW w:w="4678"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67208FFE" w14:textId="6D389092" w:rsidR="004F46C7" w:rsidRDefault="004F46C7" w:rsidP="000752D2">
            <w:pPr>
              <w:pStyle w:val="TableText"/>
            </w:pPr>
            <w:r>
              <w:t>Office space refurbished from July 2026, greater than 1000sqm:</w:t>
            </w:r>
          </w:p>
          <w:p w14:paraId="42D080C5" w14:textId="1EAEDB6B" w:rsidR="004F46C7" w:rsidRDefault="004F46C7" w:rsidP="000752D2">
            <w:pPr>
              <w:pStyle w:val="TableText"/>
            </w:pPr>
            <w:r>
              <w:t>• achieved a 5.5 star or higher NABERS energy rating</w:t>
            </w:r>
            <w:r w:rsidR="001A307B">
              <w:t>, and</w:t>
            </w:r>
          </w:p>
          <w:p w14:paraId="6139D453" w14:textId="2273747C" w:rsidR="004F46C7" w:rsidRPr="009C66D6" w:rsidRDefault="004F46C7" w:rsidP="004F46C7">
            <w:pPr>
              <w:pStyle w:val="TableText"/>
            </w:pPr>
            <w:r>
              <w:t>• maintained a 5.5 star or higher NABERS energy rating.</w:t>
            </w:r>
          </w:p>
        </w:tc>
        <w:tc>
          <w:tcPr>
            <w:tcW w:w="4111"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02934DC5" w14:textId="42064FD4" w:rsidR="004F46C7" w:rsidRPr="009C66D6" w:rsidRDefault="004F46C7" w:rsidP="004F46C7">
            <w:pPr>
              <w:pStyle w:val="TableText"/>
            </w:pPr>
            <w:r>
              <w:t>Percentage of office space refurbished in the reporting period that meets the respective targets.</w:t>
            </w:r>
          </w:p>
        </w:tc>
      </w:tr>
      <w:tr w:rsidR="004F46C7" w:rsidRPr="009C66D6" w14:paraId="3A5A6521" w14:textId="77777777" w:rsidTr="00903121">
        <w:trPr>
          <w:trHeight w:val="1244"/>
        </w:trPr>
        <w:tc>
          <w:tcPr>
            <w:tcW w:w="4678"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43CFF47F" w14:textId="5C157C2D" w:rsidR="004F46C7" w:rsidRPr="009C66D6" w:rsidRDefault="004F46C7" w:rsidP="00903121">
            <w:pPr>
              <w:pStyle w:val="TableText"/>
            </w:pPr>
            <w:r>
              <w:t xml:space="preserve">From 1 July 2026, office space purchased or constructed by or for the Commonwealth with a value greater than </w:t>
            </w:r>
            <w:r w:rsidR="008315D6">
              <w:br/>
            </w:r>
            <w:r>
              <w:t xml:space="preserve">$15 million must obtain a </w:t>
            </w:r>
            <w:proofErr w:type="gramStart"/>
            <w:r w:rsidR="008315D6">
              <w:t>4</w:t>
            </w:r>
            <w:r w:rsidR="00AB51FA">
              <w:t xml:space="preserve"> </w:t>
            </w:r>
            <w:r w:rsidR="008315D6">
              <w:t>star</w:t>
            </w:r>
            <w:proofErr w:type="gramEnd"/>
            <w:r>
              <w:t xml:space="preserve"> Green Star certification using the</w:t>
            </w:r>
            <w:r w:rsidR="00903121">
              <w:t xml:space="preserve"> </w:t>
            </w:r>
            <w:r>
              <w:t>climate positive pathway and 6</w:t>
            </w:r>
            <w:r w:rsidR="00AB51FA">
              <w:t xml:space="preserve"> </w:t>
            </w:r>
            <w:r>
              <w:t>star NABERS rating.</w:t>
            </w:r>
          </w:p>
        </w:tc>
        <w:tc>
          <w:tcPr>
            <w:tcW w:w="4111"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1BE37FD6" w14:textId="727C82B6" w:rsidR="004F46C7" w:rsidRPr="009C66D6" w:rsidRDefault="004F46C7" w:rsidP="004F46C7">
            <w:pPr>
              <w:pStyle w:val="TableText"/>
            </w:pPr>
            <w:r>
              <w:t>Percentage of purchased or constructed office space that meets the respective targets.</w:t>
            </w:r>
          </w:p>
        </w:tc>
      </w:tr>
    </w:tbl>
    <w:p w14:paraId="5E7E0B66" w14:textId="6AEA0E60" w:rsidR="00AD4F9E" w:rsidRPr="004F46C7" w:rsidRDefault="00AD4F9E" w:rsidP="00AD4F9E">
      <w:pPr>
        <w:rPr>
          <w:rStyle w:val="Heading5Char"/>
          <w:rFonts w:asciiTheme="minorHAnsi" w:hAnsiTheme="minorHAnsi"/>
          <w:b w:val="0"/>
          <w:sz w:val="18"/>
          <w:szCs w:val="18"/>
          <w:lang w:eastAsia="ja-JP"/>
        </w:rPr>
      </w:pPr>
      <w:r w:rsidRPr="004F46C7">
        <w:rPr>
          <w:sz w:val="18"/>
          <w:szCs w:val="18"/>
          <w:lang w:eastAsia="ja-JP"/>
        </w:rPr>
        <w:t xml:space="preserve">Source: APS </w:t>
      </w:r>
      <w:hyperlink r:id="rId20" w:history="1">
        <w:r w:rsidRPr="004F46C7">
          <w:rPr>
            <w:color w:val="0000FF"/>
            <w:sz w:val="18"/>
            <w:szCs w:val="18"/>
            <w:u w:val="single"/>
          </w:rPr>
          <w:t>Net Zero in Government Operations Strategy (finance.gov.au)</w:t>
        </w:r>
      </w:hyperlink>
    </w:p>
    <w:p w14:paraId="24883D3F" w14:textId="13BAC039" w:rsidR="00AD4F9E" w:rsidRDefault="00AD4F9E" w:rsidP="00AD4F9E">
      <w:pPr>
        <w:pStyle w:val="BodyText1"/>
      </w:pPr>
      <w:r w:rsidRPr="003F26E6">
        <w:rPr>
          <w:rStyle w:val="Heading5Char"/>
        </w:rPr>
        <w:t>ACTION</w:t>
      </w:r>
      <w:r w:rsidRPr="003F26E6">
        <w:t>:</w:t>
      </w:r>
      <w:r>
        <w:t xml:space="preserve"> </w:t>
      </w:r>
      <w:r w:rsidR="00EF5358">
        <w:t>T</w:t>
      </w:r>
      <w:r>
        <w:t xml:space="preserve">he department will </w:t>
      </w:r>
      <w:r w:rsidR="00EF149C">
        <w:t xml:space="preserve">undertake </w:t>
      </w:r>
      <w:r>
        <w:t xml:space="preserve">office space improvements required to meet the Strategy Targets of </w:t>
      </w:r>
      <w:proofErr w:type="gramStart"/>
      <w:r w:rsidR="003008D6">
        <w:t>5.5</w:t>
      </w:r>
      <w:r w:rsidR="009E56EF">
        <w:t xml:space="preserve"> </w:t>
      </w:r>
      <w:r w:rsidR="003008D6">
        <w:t>star</w:t>
      </w:r>
      <w:proofErr w:type="gramEnd"/>
      <w:r>
        <w:t xml:space="preserve"> NABERS ratings or 4.5 outside metropolitan cities</w:t>
      </w:r>
      <w:r w:rsidRPr="004B07CE">
        <w:t xml:space="preserve"> </w:t>
      </w:r>
      <w:r>
        <w:t>at our sites of 1</w:t>
      </w:r>
      <w:r w:rsidR="008D41E8">
        <w:t>,</w:t>
      </w:r>
      <w:r>
        <w:t>000m</w:t>
      </w:r>
      <w:r w:rsidRPr="004B07CE">
        <w:rPr>
          <w:vertAlign w:val="superscript"/>
        </w:rPr>
        <w:t>2</w:t>
      </w:r>
      <w:r>
        <w:t xml:space="preserve"> or more by 1 July 2025</w:t>
      </w:r>
      <w:r w:rsidR="00A82046">
        <w:t xml:space="preserve"> as applicable</w:t>
      </w:r>
      <w:r>
        <w:t xml:space="preserve">. </w:t>
      </w:r>
    </w:p>
    <w:p w14:paraId="19A250A9" w14:textId="05216431" w:rsidR="00AD4F9E" w:rsidRDefault="00AD4F9E" w:rsidP="00AD4F9E">
      <w:pPr>
        <w:pStyle w:val="BodyText1"/>
      </w:pPr>
      <w:r>
        <w:t xml:space="preserve">By 1 July 2026, we will purchase or construct </w:t>
      </w:r>
      <w:r w:rsidR="00733701">
        <w:t xml:space="preserve">office space </w:t>
      </w:r>
      <w:r>
        <w:t xml:space="preserve">with a value of $15 million or more </w:t>
      </w:r>
      <w:r w:rsidR="00944508">
        <w:t>with</w:t>
      </w:r>
      <w:r>
        <w:t xml:space="preserve"> a </w:t>
      </w:r>
      <w:proofErr w:type="gramStart"/>
      <w:r w:rsidR="00EB01FF">
        <w:t>4</w:t>
      </w:r>
      <w:r w:rsidR="009E56EF">
        <w:t xml:space="preserve"> </w:t>
      </w:r>
      <w:r w:rsidR="00EB01FF">
        <w:t>star</w:t>
      </w:r>
      <w:proofErr w:type="gramEnd"/>
      <w:r>
        <w:t xml:space="preserve"> Green Star certification using the climate positive pathway and </w:t>
      </w:r>
      <w:r w:rsidR="003008D6">
        <w:t>6</w:t>
      </w:r>
      <w:r w:rsidR="009E56EF">
        <w:t xml:space="preserve"> </w:t>
      </w:r>
      <w:r w:rsidR="003008D6">
        <w:t>star</w:t>
      </w:r>
      <w:r>
        <w:t xml:space="preserve"> NABERS rating</w:t>
      </w:r>
      <w:r w:rsidR="00A82046">
        <w:t xml:space="preserve"> as applicable</w:t>
      </w:r>
      <w:r>
        <w:t>.</w:t>
      </w:r>
    </w:p>
    <w:p w14:paraId="591E7080" w14:textId="6733931C" w:rsidR="00CA7B29" w:rsidRDefault="00CA7B29">
      <w:pPr>
        <w:spacing w:after="0" w:line="240" w:lineRule="auto"/>
      </w:pPr>
      <w:r>
        <w:br w:type="page"/>
      </w:r>
    </w:p>
    <w:p w14:paraId="409F866B" w14:textId="77777777" w:rsidR="005404B0" w:rsidRDefault="005404B0" w:rsidP="00AD4F9E">
      <w:pPr>
        <w:pStyle w:val="BodyText1"/>
      </w:pPr>
    </w:p>
    <w:p w14:paraId="4FF63E2C" w14:textId="412CB1DE" w:rsidR="00A82046" w:rsidRDefault="00A82046" w:rsidP="00A82046">
      <w:pPr>
        <w:pStyle w:val="Caption"/>
      </w:pPr>
      <w:bookmarkStart w:id="32" w:name="_Toc172544663"/>
      <w:bookmarkStart w:id="33" w:name="_Toc172628251"/>
      <w:r>
        <w:t xml:space="preserve">Table </w:t>
      </w:r>
      <w:r>
        <w:fldChar w:fldCharType="begin"/>
      </w:r>
      <w:r>
        <w:instrText xml:space="preserve"> SEQ Table \* ARABIC </w:instrText>
      </w:r>
      <w:r>
        <w:fldChar w:fldCharType="separate"/>
      </w:r>
      <w:r w:rsidR="00B23DEB">
        <w:rPr>
          <w:noProof/>
        </w:rPr>
        <w:t>4</w:t>
      </w:r>
      <w:r>
        <w:fldChar w:fldCharType="end"/>
      </w:r>
      <w:r>
        <w:t xml:space="preserve">. APS Net Zero 2030 Targets – </w:t>
      </w:r>
      <w:r w:rsidR="00CA7B29" w:rsidRPr="00747059">
        <w:t>Buildings</w:t>
      </w:r>
      <w:r w:rsidR="00CA7B29">
        <w:t xml:space="preserve"> </w:t>
      </w:r>
      <w:r w:rsidR="003008D6">
        <w:t xml:space="preserve">– </w:t>
      </w:r>
      <w:r>
        <w:t>E</w:t>
      </w:r>
      <w:r w:rsidR="003008D6">
        <w:t xml:space="preserve">lectric </w:t>
      </w:r>
      <w:r>
        <w:t>V</w:t>
      </w:r>
      <w:r w:rsidR="003008D6">
        <w:t>ehicle</w:t>
      </w:r>
      <w:r>
        <w:t xml:space="preserve"> Charging</w:t>
      </w:r>
      <w:bookmarkEnd w:id="32"/>
      <w:bookmarkEnd w:id="33"/>
      <w:r w:rsidR="003008D6">
        <w:t xml:space="preserve"> </w:t>
      </w:r>
    </w:p>
    <w:tbl>
      <w:tblPr>
        <w:tblpPr w:leftFromText="180" w:rightFromText="180" w:vertAnchor="text" w:horzAnchor="margin" w:tblpY="137"/>
        <w:tblW w:w="8789" w:type="dxa"/>
        <w:tblCellMar>
          <w:left w:w="0" w:type="dxa"/>
          <w:right w:w="0" w:type="dxa"/>
        </w:tblCellMar>
        <w:tblLook w:val="04A0" w:firstRow="1" w:lastRow="0" w:firstColumn="1" w:lastColumn="0" w:noHBand="0" w:noVBand="1"/>
      </w:tblPr>
      <w:tblGrid>
        <w:gridCol w:w="4678"/>
        <w:gridCol w:w="4111"/>
      </w:tblGrid>
      <w:tr w:rsidR="004F46C7" w:rsidRPr="00A82046" w14:paraId="6A9D08D4" w14:textId="77777777" w:rsidTr="004F46C7">
        <w:trPr>
          <w:trHeight w:val="414"/>
        </w:trPr>
        <w:tc>
          <w:tcPr>
            <w:tcW w:w="4678" w:type="dxa"/>
            <w:tcBorders>
              <w:top w:val="nil"/>
              <w:left w:val="nil"/>
              <w:bottom w:val="nil"/>
              <w:right w:val="nil"/>
            </w:tcBorders>
            <w:shd w:val="clear" w:color="auto" w:fill="BFBFBF"/>
            <w:tcMar>
              <w:top w:w="15" w:type="dxa"/>
              <w:left w:w="107" w:type="dxa"/>
              <w:bottom w:w="0" w:type="dxa"/>
              <w:right w:w="107" w:type="dxa"/>
            </w:tcMar>
            <w:vAlign w:val="center"/>
            <w:hideMark/>
          </w:tcPr>
          <w:p w14:paraId="29A950A1" w14:textId="344B8CFE" w:rsidR="004F46C7" w:rsidRPr="00A82046" w:rsidRDefault="004F46C7" w:rsidP="00A82046">
            <w:pPr>
              <w:pStyle w:val="TableText"/>
              <w:rPr>
                <w:b/>
                <w:bCs/>
              </w:rPr>
            </w:pPr>
            <w:r w:rsidRPr="00A82046">
              <w:rPr>
                <w:b/>
                <w:bCs/>
              </w:rPr>
              <w:t>Strategy Target</w:t>
            </w:r>
          </w:p>
        </w:tc>
        <w:tc>
          <w:tcPr>
            <w:tcW w:w="4111" w:type="dxa"/>
            <w:tcBorders>
              <w:top w:val="nil"/>
              <w:left w:val="nil"/>
              <w:bottom w:val="nil"/>
              <w:right w:val="nil"/>
            </w:tcBorders>
            <w:shd w:val="clear" w:color="auto" w:fill="BFBFBF"/>
            <w:tcMar>
              <w:top w:w="15" w:type="dxa"/>
              <w:left w:w="107" w:type="dxa"/>
              <w:bottom w:w="0" w:type="dxa"/>
              <w:right w:w="107" w:type="dxa"/>
            </w:tcMar>
            <w:vAlign w:val="center"/>
            <w:hideMark/>
          </w:tcPr>
          <w:p w14:paraId="5F86F306" w14:textId="77777777" w:rsidR="004F46C7" w:rsidRPr="00A82046" w:rsidRDefault="004F46C7" w:rsidP="00A82046">
            <w:pPr>
              <w:pStyle w:val="TableText"/>
              <w:rPr>
                <w:b/>
                <w:bCs/>
              </w:rPr>
            </w:pPr>
            <w:r w:rsidRPr="00A82046">
              <w:rPr>
                <w:b/>
                <w:bCs/>
              </w:rPr>
              <w:t>Measure</w:t>
            </w:r>
          </w:p>
        </w:tc>
      </w:tr>
      <w:tr w:rsidR="004F46C7" w:rsidRPr="00593281" w14:paraId="4A28DF36" w14:textId="77777777" w:rsidTr="00903121">
        <w:trPr>
          <w:trHeight w:val="1256"/>
        </w:trPr>
        <w:tc>
          <w:tcPr>
            <w:tcW w:w="4678"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39D5E585" w14:textId="4AC814D2" w:rsidR="004F46C7" w:rsidRPr="00593281" w:rsidRDefault="004F46C7" w:rsidP="00A82046">
            <w:pPr>
              <w:pStyle w:val="TableText"/>
            </w:pPr>
            <w:r>
              <w:t>Office space with allocated parking and fleet from 1 July 2024 have an electric vehicle charging plan where possible.</w:t>
            </w:r>
          </w:p>
        </w:tc>
        <w:tc>
          <w:tcPr>
            <w:tcW w:w="4111"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2550EE1C" w14:textId="77777777" w:rsidR="00903121" w:rsidRDefault="004F46C7" w:rsidP="00A82046">
            <w:pPr>
              <w:pStyle w:val="TableText"/>
            </w:pPr>
            <w:r>
              <w:t xml:space="preserve">Percentage of office spaces with allocated parking areas that have: </w:t>
            </w:r>
          </w:p>
          <w:p w14:paraId="10DB8D4B" w14:textId="77777777" w:rsidR="00903121" w:rsidRDefault="004F46C7" w:rsidP="00A82046">
            <w:pPr>
              <w:pStyle w:val="TableText"/>
            </w:pPr>
            <w:r>
              <w:t xml:space="preserve">• EV charging plans </w:t>
            </w:r>
          </w:p>
          <w:p w14:paraId="5DD2ECDE" w14:textId="27F22E00" w:rsidR="004F46C7" w:rsidRPr="00593281" w:rsidRDefault="004F46C7" w:rsidP="00A82046">
            <w:pPr>
              <w:pStyle w:val="TableText"/>
            </w:pPr>
            <w:r>
              <w:t>• EV charging available.</w:t>
            </w:r>
          </w:p>
        </w:tc>
      </w:tr>
      <w:tr w:rsidR="004F46C7" w:rsidRPr="00593281" w14:paraId="13B805AC" w14:textId="77777777" w:rsidTr="00AF6A5B">
        <w:trPr>
          <w:trHeight w:val="956"/>
        </w:trPr>
        <w:tc>
          <w:tcPr>
            <w:tcW w:w="4678"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55C9B7B5" w14:textId="14FA57B3" w:rsidR="004F46C7" w:rsidRPr="00593281" w:rsidRDefault="004F46C7" w:rsidP="00A82046">
            <w:pPr>
              <w:pStyle w:val="TableText"/>
            </w:pPr>
            <w:r>
              <w:t>Office space with allocated parking from 1 January 2025 to have facilities to support electric vehicle charging if an entity has electric fleet vehicles on site where possible.</w:t>
            </w:r>
          </w:p>
        </w:tc>
        <w:tc>
          <w:tcPr>
            <w:tcW w:w="4111"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36998C45" w14:textId="0E03172E" w:rsidR="004F46C7" w:rsidRPr="00593281" w:rsidRDefault="004F46C7" w:rsidP="00A82046">
            <w:pPr>
              <w:pStyle w:val="TableText"/>
            </w:pPr>
          </w:p>
        </w:tc>
      </w:tr>
    </w:tbl>
    <w:p w14:paraId="15BE42A5" w14:textId="77777777" w:rsidR="00A82046" w:rsidRPr="004F46C7" w:rsidRDefault="00A82046" w:rsidP="00A82046">
      <w:pPr>
        <w:rPr>
          <w:rStyle w:val="Heading5Char"/>
          <w:rFonts w:asciiTheme="minorHAnsi" w:hAnsiTheme="minorHAnsi"/>
          <w:b w:val="0"/>
          <w:sz w:val="18"/>
          <w:szCs w:val="18"/>
          <w:lang w:eastAsia="ja-JP"/>
        </w:rPr>
      </w:pPr>
      <w:r w:rsidRPr="004F46C7">
        <w:rPr>
          <w:sz w:val="18"/>
          <w:szCs w:val="18"/>
          <w:lang w:eastAsia="ja-JP"/>
        </w:rPr>
        <w:t xml:space="preserve">Source: APS </w:t>
      </w:r>
      <w:hyperlink r:id="rId21" w:history="1">
        <w:r w:rsidRPr="004F46C7">
          <w:rPr>
            <w:color w:val="0000FF"/>
            <w:sz w:val="18"/>
            <w:szCs w:val="18"/>
            <w:u w:val="single"/>
          </w:rPr>
          <w:t>Net Zero in Government Operations Strategy (finance.gov.au)</w:t>
        </w:r>
      </w:hyperlink>
    </w:p>
    <w:p w14:paraId="5300D78A" w14:textId="3FF48BF9" w:rsidR="00A82046" w:rsidRDefault="00A82046" w:rsidP="00A82046">
      <w:pPr>
        <w:pStyle w:val="BodyText1"/>
      </w:pPr>
      <w:r w:rsidRPr="003F26E6">
        <w:rPr>
          <w:rStyle w:val="Heading5Char"/>
        </w:rPr>
        <w:t>ACTION</w:t>
      </w:r>
      <w:r w:rsidRPr="003F26E6">
        <w:t>:</w:t>
      </w:r>
      <w:r>
        <w:t xml:space="preserve"> </w:t>
      </w:r>
      <w:r w:rsidR="00EF5358">
        <w:t>T</w:t>
      </w:r>
      <w:r>
        <w:t xml:space="preserve">he department will </w:t>
      </w:r>
      <w:r w:rsidR="00EF149C">
        <w:t xml:space="preserve">work towards </w:t>
      </w:r>
      <w:r>
        <w:t>o</w:t>
      </w:r>
      <w:r w:rsidRPr="00593281">
        <w:t>ffice space with allocated parking and fleet ha</w:t>
      </w:r>
      <w:r>
        <w:t>s</w:t>
      </w:r>
      <w:r w:rsidRPr="00593281">
        <w:t xml:space="preserve"> an electric vehicle charging plan</w:t>
      </w:r>
      <w:r w:rsidR="00CA34D8">
        <w:t>,</w:t>
      </w:r>
      <w:r>
        <w:t xml:space="preserve"> and </w:t>
      </w:r>
      <w:r w:rsidRPr="00593281">
        <w:t>allocated parking areas support E</w:t>
      </w:r>
      <w:r w:rsidR="003008D6">
        <w:t xml:space="preserve">lectric </w:t>
      </w:r>
      <w:r w:rsidRPr="00593281">
        <w:t>V</w:t>
      </w:r>
      <w:r w:rsidR="003008D6">
        <w:t>ehicle</w:t>
      </w:r>
      <w:r w:rsidRPr="00593281">
        <w:t xml:space="preserve"> charging</w:t>
      </w:r>
      <w:r>
        <w:t xml:space="preserve"> by 1</w:t>
      </w:r>
      <w:r w:rsidR="003008D6">
        <w:t> </w:t>
      </w:r>
      <w:r>
        <w:t>January</w:t>
      </w:r>
      <w:r w:rsidR="003008D6">
        <w:t> </w:t>
      </w:r>
      <w:r>
        <w:t>2025.</w:t>
      </w:r>
    </w:p>
    <w:p w14:paraId="39A50637" w14:textId="77777777" w:rsidR="005404B0" w:rsidRDefault="005404B0" w:rsidP="00A82046">
      <w:pPr>
        <w:pStyle w:val="BodyText1"/>
      </w:pPr>
    </w:p>
    <w:p w14:paraId="7FE9813C" w14:textId="77777777" w:rsidR="00A82046" w:rsidRDefault="00A82046" w:rsidP="006871D7">
      <w:pPr>
        <w:pStyle w:val="Heading3"/>
        <w:spacing w:after="240"/>
      </w:pPr>
      <w:bookmarkStart w:id="34" w:name="_Toc172544761"/>
      <w:bookmarkStart w:id="35" w:name="_Toc175044423"/>
      <w:r w:rsidRPr="0007750F">
        <w:t>Electricity</w:t>
      </w:r>
      <w:bookmarkEnd w:id="34"/>
      <w:bookmarkEnd w:id="35"/>
    </w:p>
    <w:p w14:paraId="719364BE" w14:textId="18878527" w:rsidR="005404B0" w:rsidRPr="005404B0" w:rsidRDefault="00A82046" w:rsidP="00CA7B29">
      <w:pPr>
        <w:pStyle w:val="Heading4"/>
        <w:spacing w:after="100" w:afterAutospacing="1"/>
      </w:pPr>
      <w:r>
        <w:t>Renewable electricity</w:t>
      </w:r>
    </w:p>
    <w:p w14:paraId="3BB00269" w14:textId="152ADDB3" w:rsidR="00A82046" w:rsidRDefault="00A82046" w:rsidP="00A82046">
      <w:pPr>
        <w:pStyle w:val="Caption"/>
      </w:pPr>
      <w:bookmarkStart w:id="36" w:name="_Toc172544664"/>
      <w:bookmarkStart w:id="37" w:name="_Toc172628252"/>
      <w:r>
        <w:t xml:space="preserve">Table </w:t>
      </w:r>
      <w:r>
        <w:fldChar w:fldCharType="begin"/>
      </w:r>
      <w:r>
        <w:instrText xml:space="preserve"> SEQ Table \* ARABIC </w:instrText>
      </w:r>
      <w:r>
        <w:fldChar w:fldCharType="separate"/>
      </w:r>
      <w:r w:rsidR="00B23DEB">
        <w:rPr>
          <w:noProof/>
        </w:rPr>
        <w:t>5</w:t>
      </w:r>
      <w:r>
        <w:fldChar w:fldCharType="end"/>
      </w:r>
      <w:r>
        <w:t>.</w:t>
      </w:r>
      <w:r w:rsidRPr="001A29C1">
        <w:rPr>
          <w:lang w:eastAsia="ja-JP"/>
        </w:rPr>
        <w:t xml:space="preserve"> </w:t>
      </w:r>
      <w:r>
        <w:rPr>
          <w:lang w:eastAsia="ja-JP"/>
        </w:rPr>
        <w:t>APS Net Zero 2030 Targets – renewable electricity</w:t>
      </w:r>
      <w:bookmarkEnd w:id="36"/>
      <w:bookmarkEnd w:id="37"/>
    </w:p>
    <w:tbl>
      <w:tblPr>
        <w:tblW w:w="8789" w:type="dxa"/>
        <w:tblCellMar>
          <w:left w:w="0" w:type="dxa"/>
          <w:right w:w="0" w:type="dxa"/>
        </w:tblCellMar>
        <w:tblLook w:val="04A0" w:firstRow="1" w:lastRow="0" w:firstColumn="1" w:lastColumn="0" w:noHBand="0" w:noVBand="1"/>
      </w:tblPr>
      <w:tblGrid>
        <w:gridCol w:w="4678"/>
        <w:gridCol w:w="4111"/>
      </w:tblGrid>
      <w:tr w:rsidR="00695D45" w:rsidRPr="009C66D6" w14:paraId="3E86380C" w14:textId="77777777" w:rsidTr="00695D45">
        <w:trPr>
          <w:trHeight w:val="243"/>
        </w:trPr>
        <w:tc>
          <w:tcPr>
            <w:tcW w:w="4678" w:type="dxa"/>
            <w:tcBorders>
              <w:top w:val="nil"/>
              <w:left w:val="nil"/>
              <w:bottom w:val="nil"/>
              <w:right w:val="nil"/>
            </w:tcBorders>
            <w:shd w:val="clear" w:color="auto" w:fill="BFBFBF"/>
            <w:tcMar>
              <w:top w:w="15" w:type="dxa"/>
              <w:left w:w="107" w:type="dxa"/>
              <w:bottom w:w="0" w:type="dxa"/>
              <w:right w:w="107" w:type="dxa"/>
            </w:tcMar>
            <w:vAlign w:val="center"/>
            <w:hideMark/>
          </w:tcPr>
          <w:p w14:paraId="008EFA84" w14:textId="7901D9B9" w:rsidR="00695D45" w:rsidRPr="009C66D6" w:rsidRDefault="00695D45" w:rsidP="00A82046">
            <w:pPr>
              <w:pStyle w:val="TableText"/>
            </w:pPr>
            <w:r>
              <w:t xml:space="preserve">Strategy </w:t>
            </w:r>
            <w:r w:rsidRPr="009C66D6">
              <w:t>Target</w:t>
            </w:r>
          </w:p>
        </w:tc>
        <w:tc>
          <w:tcPr>
            <w:tcW w:w="4111" w:type="dxa"/>
            <w:tcBorders>
              <w:top w:val="nil"/>
              <w:left w:val="nil"/>
              <w:bottom w:val="nil"/>
              <w:right w:val="nil"/>
            </w:tcBorders>
            <w:shd w:val="clear" w:color="auto" w:fill="BFBFBF"/>
            <w:tcMar>
              <w:top w:w="15" w:type="dxa"/>
              <w:left w:w="107" w:type="dxa"/>
              <w:bottom w:w="0" w:type="dxa"/>
              <w:right w:w="107" w:type="dxa"/>
            </w:tcMar>
            <w:vAlign w:val="center"/>
            <w:hideMark/>
          </w:tcPr>
          <w:p w14:paraId="082D3E26" w14:textId="77777777" w:rsidR="00695D45" w:rsidRPr="009C66D6" w:rsidRDefault="00695D45" w:rsidP="00A82046">
            <w:pPr>
              <w:pStyle w:val="TableText"/>
            </w:pPr>
            <w:r w:rsidRPr="009C66D6">
              <w:t>Measure</w:t>
            </w:r>
          </w:p>
        </w:tc>
      </w:tr>
      <w:tr w:rsidR="00695D45" w:rsidRPr="009C66D6" w14:paraId="5643DD29" w14:textId="77777777" w:rsidTr="00D64EA4">
        <w:trPr>
          <w:trHeight w:val="1336"/>
        </w:trPr>
        <w:tc>
          <w:tcPr>
            <w:tcW w:w="4678"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13461662" w14:textId="1A58B570" w:rsidR="00695D45" w:rsidRPr="009C66D6" w:rsidRDefault="00695D45" w:rsidP="00695D45">
            <w:pPr>
              <w:pStyle w:val="TableText"/>
            </w:pPr>
            <w:r>
              <w:t>By 1 January 2028, 80% of the Commonwealth’s procured electricity that is generated off-site and purchased by entities, must be renewable where available.</w:t>
            </w:r>
          </w:p>
        </w:tc>
        <w:tc>
          <w:tcPr>
            <w:tcW w:w="4111"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71B036F0" w14:textId="14CEAA88" w:rsidR="00695D45" w:rsidRPr="009C66D6" w:rsidRDefault="00D64EA4" w:rsidP="00D64EA4">
            <w:pPr>
              <w:pStyle w:val="TableText"/>
            </w:pPr>
            <w:r>
              <w:t>Percentage of electricity consumption generated offsite and purchased, from renewable sources.</w:t>
            </w:r>
          </w:p>
        </w:tc>
      </w:tr>
    </w:tbl>
    <w:tbl>
      <w:tblPr>
        <w:tblpPr w:leftFromText="180" w:rightFromText="180" w:vertAnchor="text" w:horzAnchor="margin" w:tblpY="137"/>
        <w:tblW w:w="8789" w:type="dxa"/>
        <w:tblCellMar>
          <w:left w:w="0" w:type="dxa"/>
          <w:right w:w="0" w:type="dxa"/>
        </w:tblCellMar>
        <w:tblLook w:val="04A0" w:firstRow="1" w:lastRow="0" w:firstColumn="1" w:lastColumn="0" w:noHBand="0" w:noVBand="1"/>
      </w:tblPr>
      <w:tblGrid>
        <w:gridCol w:w="4678"/>
        <w:gridCol w:w="4111"/>
      </w:tblGrid>
      <w:tr w:rsidR="00D64EA4" w:rsidRPr="00593281" w14:paraId="1D14C310" w14:textId="77777777" w:rsidTr="001E2C2B">
        <w:trPr>
          <w:trHeight w:val="956"/>
        </w:trPr>
        <w:tc>
          <w:tcPr>
            <w:tcW w:w="4678"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6FBD9CCF" w14:textId="0CA981F2" w:rsidR="00D64EA4" w:rsidRPr="00593281" w:rsidRDefault="00D64EA4" w:rsidP="001E2C2B">
            <w:pPr>
              <w:pStyle w:val="TableText"/>
            </w:pPr>
            <w:r>
              <w:t>By 1 January 2030, 100% of the Commonwealth’s procured electricity that is generated off-site and purchased by entities, must be renewable where available.</w:t>
            </w:r>
          </w:p>
        </w:tc>
        <w:tc>
          <w:tcPr>
            <w:tcW w:w="4111"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54773C39" w14:textId="77777777" w:rsidR="00D64EA4" w:rsidRDefault="00D64EA4" w:rsidP="00D64EA4">
            <w:pPr>
              <w:pStyle w:val="TableText"/>
            </w:pPr>
            <w:r>
              <w:t>Percentage of electricity generated on-site that is certified renewable energy.</w:t>
            </w:r>
          </w:p>
          <w:p w14:paraId="5835A556" w14:textId="08ED5B27" w:rsidR="00D64EA4" w:rsidRPr="00593281" w:rsidRDefault="00273EDB" w:rsidP="001E2C2B">
            <w:pPr>
              <w:pStyle w:val="TableText"/>
            </w:pPr>
            <w:r>
              <w:t>Percentage of total electricity usage that is renewable.</w:t>
            </w:r>
          </w:p>
        </w:tc>
      </w:tr>
    </w:tbl>
    <w:p w14:paraId="5A5D4DB3" w14:textId="6375C638" w:rsidR="00A82046" w:rsidRPr="00E34ED2" w:rsidRDefault="00A82046" w:rsidP="00A82046">
      <w:pPr>
        <w:rPr>
          <w:b/>
          <w:bCs/>
          <w:sz w:val="18"/>
          <w:szCs w:val="18"/>
        </w:rPr>
      </w:pPr>
      <w:r w:rsidRPr="00E34ED2">
        <w:rPr>
          <w:sz w:val="18"/>
          <w:szCs w:val="18"/>
          <w:lang w:eastAsia="ja-JP"/>
        </w:rPr>
        <w:t xml:space="preserve">Source: APS </w:t>
      </w:r>
      <w:hyperlink r:id="rId22" w:history="1">
        <w:r w:rsidRPr="00E34ED2">
          <w:rPr>
            <w:color w:val="0000FF"/>
            <w:sz w:val="18"/>
            <w:szCs w:val="18"/>
            <w:u w:val="single"/>
          </w:rPr>
          <w:t>Net Zero in Government Operations Strategy (finance.gov.au)</w:t>
        </w:r>
      </w:hyperlink>
    </w:p>
    <w:p w14:paraId="71CB1322" w14:textId="5770E232" w:rsidR="00AF6A5B" w:rsidRDefault="00701C2A" w:rsidP="00701C2A">
      <w:pPr>
        <w:pStyle w:val="BodyText1"/>
      </w:pPr>
      <w:r w:rsidRPr="003F26E6">
        <w:rPr>
          <w:rStyle w:val="Heading5Char"/>
        </w:rPr>
        <w:t>ACTION</w:t>
      </w:r>
      <w:r w:rsidRPr="003F26E6">
        <w:t>:</w:t>
      </w:r>
      <w:r>
        <w:t xml:space="preserve"> </w:t>
      </w:r>
      <w:r w:rsidR="00EF5358">
        <w:t>T</w:t>
      </w:r>
      <w:r>
        <w:t xml:space="preserve">he department will </w:t>
      </w:r>
      <w:r w:rsidRPr="003F26E6">
        <w:t>participat</w:t>
      </w:r>
      <w:r w:rsidR="008D41E8">
        <w:t>e</w:t>
      </w:r>
      <w:r w:rsidRPr="003F26E6">
        <w:t xml:space="preserve"> in </w:t>
      </w:r>
      <w:r w:rsidR="00944508">
        <w:t xml:space="preserve">the </w:t>
      </w:r>
      <w:r w:rsidRPr="003F26E6">
        <w:t>WoAG electricity procurement</w:t>
      </w:r>
      <w:r w:rsidR="007A314F">
        <w:t>.</w:t>
      </w:r>
    </w:p>
    <w:p w14:paraId="143893D0" w14:textId="77777777" w:rsidR="00273EDB" w:rsidRDefault="00273EDB" w:rsidP="00701C2A">
      <w:pPr>
        <w:pStyle w:val="BodyText1"/>
      </w:pPr>
    </w:p>
    <w:p w14:paraId="5007B3EC" w14:textId="77777777" w:rsidR="00273EDB" w:rsidRDefault="00273EDB" w:rsidP="00701C2A">
      <w:pPr>
        <w:pStyle w:val="BodyText1"/>
      </w:pPr>
    </w:p>
    <w:p w14:paraId="3916FBA4" w14:textId="77777777" w:rsidR="00273EDB" w:rsidRDefault="00273EDB" w:rsidP="00701C2A">
      <w:pPr>
        <w:pStyle w:val="BodyText1"/>
      </w:pPr>
    </w:p>
    <w:p w14:paraId="12AE2408" w14:textId="77777777" w:rsidR="00273EDB" w:rsidRDefault="00273EDB" w:rsidP="00701C2A">
      <w:pPr>
        <w:pStyle w:val="BodyText1"/>
      </w:pPr>
    </w:p>
    <w:p w14:paraId="051D23BC" w14:textId="1A660EB2" w:rsidR="00701C2A" w:rsidRPr="00701C2A" w:rsidRDefault="009205CD" w:rsidP="00CA7B29">
      <w:pPr>
        <w:pStyle w:val="Heading4"/>
        <w:spacing w:after="100" w:afterAutospacing="1"/>
      </w:pPr>
      <w:r w:rsidRPr="009205CD">
        <w:lastRenderedPageBreak/>
        <w:t>Buildings – Electrification</w:t>
      </w:r>
    </w:p>
    <w:p w14:paraId="7F7E87D2" w14:textId="77204338" w:rsidR="00701C2A" w:rsidRDefault="00701C2A" w:rsidP="00701C2A">
      <w:pPr>
        <w:pStyle w:val="Caption"/>
      </w:pPr>
      <w:bookmarkStart w:id="38" w:name="_Toc172628253"/>
      <w:r>
        <w:t xml:space="preserve">Table </w:t>
      </w:r>
      <w:r>
        <w:fldChar w:fldCharType="begin"/>
      </w:r>
      <w:r>
        <w:instrText xml:space="preserve"> SEQ Table \* ARABIC </w:instrText>
      </w:r>
      <w:r>
        <w:fldChar w:fldCharType="separate"/>
      </w:r>
      <w:r w:rsidR="00B23DEB">
        <w:rPr>
          <w:noProof/>
        </w:rPr>
        <w:t>6</w:t>
      </w:r>
      <w:r>
        <w:fldChar w:fldCharType="end"/>
      </w:r>
      <w:r>
        <w:t>.</w:t>
      </w:r>
      <w:r w:rsidR="009205CD" w:rsidRPr="009205CD">
        <w:t xml:space="preserve"> APS Net Zero 2030 Targets – </w:t>
      </w:r>
      <w:bookmarkStart w:id="39" w:name="_Hlk172627722"/>
      <w:r w:rsidR="009205CD" w:rsidRPr="009205CD">
        <w:t>Buildings – Electrification</w:t>
      </w:r>
      <w:bookmarkEnd w:id="38"/>
      <w:bookmarkEnd w:id="39"/>
    </w:p>
    <w:tbl>
      <w:tblPr>
        <w:tblW w:w="8789" w:type="dxa"/>
        <w:tblCellMar>
          <w:left w:w="0" w:type="dxa"/>
          <w:right w:w="0" w:type="dxa"/>
        </w:tblCellMar>
        <w:tblLook w:val="04A0" w:firstRow="1" w:lastRow="0" w:firstColumn="1" w:lastColumn="0" w:noHBand="0" w:noVBand="1"/>
      </w:tblPr>
      <w:tblGrid>
        <w:gridCol w:w="4427"/>
        <w:gridCol w:w="4362"/>
      </w:tblGrid>
      <w:tr w:rsidR="00E34ED2" w:rsidRPr="000A1140" w14:paraId="1550F768" w14:textId="77777777" w:rsidTr="00E34ED2">
        <w:trPr>
          <w:trHeight w:val="337"/>
        </w:trPr>
        <w:tc>
          <w:tcPr>
            <w:tcW w:w="4427" w:type="dxa"/>
            <w:tcBorders>
              <w:top w:val="nil"/>
              <w:left w:val="nil"/>
              <w:bottom w:val="nil"/>
              <w:right w:val="nil"/>
            </w:tcBorders>
            <w:shd w:val="clear" w:color="auto" w:fill="BFBFBF"/>
            <w:tcMar>
              <w:top w:w="15" w:type="dxa"/>
              <w:left w:w="107" w:type="dxa"/>
              <w:bottom w:w="0" w:type="dxa"/>
              <w:right w:w="107" w:type="dxa"/>
            </w:tcMar>
            <w:vAlign w:val="center"/>
            <w:hideMark/>
          </w:tcPr>
          <w:p w14:paraId="2EB2A562" w14:textId="55B591C0" w:rsidR="00E34ED2" w:rsidRPr="00701C2A" w:rsidRDefault="00E34ED2" w:rsidP="00701C2A">
            <w:pPr>
              <w:pStyle w:val="TableText"/>
              <w:rPr>
                <w:b/>
                <w:bCs/>
              </w:rPr>
            </w:pPr>
            <w:r w:rsidRPr="00701C2A">
              <w:rPr>
                <w:b/>
                <w:bCs/>
              </w:rPr>
              <w:t>Strategy Target</w:t>
            </w:r>
          </w:p>
        </w:tc>
        <w:tc>
          <w:tcPr>
            <w:tcW w:w="4362" w:type="dxa"/>
            <w:tcBorders>
              <w:top w:val="nil"/>
              <w:left w:val="nil"/>
              <w:bottom w:val="nil"/>
              <w:right w:val="nil"/>
            </w:tcBorders>
            <w:shd w:val="clear" w:color="auto" w:fill="BFBFBF"/>
            <w:tcMar>
              <w:top w:w="15" w:type="dxa"/>
              <w:left w:w="107" w:type="dxa"/>
              <w:bottom w:w="0" w:type="dxa"/>
              <w:right w:w="107" w:type="dxa"/>
            </w:tcMar>
            <w:vAlign w:val="center"/>
            <w:hideMark/>
          </w:tcPr>
          <w:p w14:paraId="167F6D8E" w14:textId="77777777" w:rsidR="00E34ED2" w:rsidRPr="00701C2A" w:rsidRDefault="00E34ED2" w:rsidP="00701C2A">
            <w:pPr>
              <w:pStyle w:val="TableText"/>
              <w:rPr>
                <w:b/>
                <w:bCs/>
              </w:rPr>
            </w:pPr>
            <w:r w:rsidRPr="00701C2A">
              <w:rPr>
                <w:b/>
                <w:bCs/>
              </w:rPr>
              <w:t>Measure</w:t>
            </w:r>
          </w:p>
        </w:tc>
      </w:tr>
      <w:tr w:rsidR="00E34ED2" w:rsidRPr="000A1140" w14:paraId="6C2BA8A4" w14:textId="77777777" w:rsidTr="00E34ED2">
        <w:trPr>
          <w:trHeight w:val="1205"/>
        </w:trPr>
        <w:tc>
          <w:tcPr>
            <w:tcW w:w="4427"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733A087B" w14:textId="2FD3E5CA" w:rsidR="00E34ED2" w:rsidRPr="000A1140" w:rsidRDefault="00E34ED2" w:rsidP="00414B27">
            <w:pPr>
              <w:pStyle w:val="TableText"/>
            </w:pPr>
            <w:r>
              <w:t>From 1 July 2024, where a lease is to be entered into for office space, entities should prefer all-electric buildings, particularly if the Commonwealth is directly responsible for base building services costs.</w:t>
            </w:r>
          </w:p>
        </w:tc>
        <w:tc>
          <w:tcPr>
            <w:tcW w:w="4362"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146457B7" w14:textId="507B9D63" w:rsidR="00E34ED2" w:rsidRPr="000A1140" w:rsidRDefault="00E34ED2" w:rsidP="00701C2A">
            <w:pPr>
              <w:pStyle w:val="TableText"/>
            </w:pPr>
            <w:r w:rsidRPr="000A1140">
              <w:t>% of leased office space that is all electric</w:t>
            </w:r>
            <w:r w:rsidR="005248D5">
              <w:t>.</w:t>
            </w:r>
          </w:p>
        </w:tc>
      </w:tr>
      <w:tr w:rsidR="00E34ED2" w:rsidRPr="000A1140" w14:paraId="7C9D99B0" w14:textId="77777777" w:rsidTr="00E34ED2">
        <w:trPr>
          <w:trHeight w:val="1382"/>
        </w:trPr>
        <w:tc>
          <w:tcPr>
            <w:tcW w:w="4427"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0A967491" w14:textId="3F9972BB" w:rsidR="00E34ED2" w:rsidRPr="000A1140" w:rsidRDefault="00E34ED2" w:rsidP="00E2015A">
            <w:pPr>
              <w:pStyle w:val="TableText"/>
            </w:pPr>
            <w:r>
              <w:t>From 1 July 2026, where a contract is entered for the</w:t>
            </w:r>
            <w:r w:rsidR="00E2015A">
              <w:t xml:space="preserve"> </w:t>
            </w:r>
            <w:r>
              <w:t>purchase or construction by or for the Commonwealth of office space, the office space must be all-electric where available. This includes building heating, cooling and water heating but excludes backup generation, subject to the 2026-27 review</w:t>
            </w:r>
            <w:r w:rsidR="00E2015A">
              <w:t>.</w:t>
            </w:r>
          </w:p>
        </w:tc>
        <w:tc>
          <w:tcPr>
            <w:tcW w:w="4362"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490287BC" w14:textId="25655CF1" w:rsidR="00E34ED2" w:rsidRPr="000A1140" w:rsidRDefault="00E34ED2" w:rsidP="00701C2A">
            <w:pPr>
              <w:pStyle w:val="TableText"/>
            </w:pPr>
            <w:r w:rsidRPr="000A1140">
              <w:t>% of purchased or constructed office space that is all electric</w:t>
            </w:r>
            <w:r w:rsidR="005248D5">
              <w:t>.</w:t>
            </w:r>
          </w:p>
        </w:tc>
      </w:tr>
      <w:tr w:rsidR="00E34ED2" w:rsidRPr="000A1140" w14:paraId="3271DEB9" w14:textId="77777777" w:rsidTr="00E34ED2">
        <w:trPr>
          <w:trHeight w:val="741"/>
        </w:trPr>
        <w:tc>
          <w:tcPr>
            <w:tcW w:w="4427"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2B466CDD" w14:textId="4506FE5F" w:rsidR="00E34ED2" w:rsidRPr="000A1140" w:rsidRDefault="00E34ED2" w:rsidP="00414B27">
            <w:pPr>
              <w:pStyle w:val="TableText"/>
            </w:pPr>
            <w:r>
              <w:t xml:space="preserve">By 1 January 2040, entities should only lease or own </w:t>
            </w:r>
            <w:r w:rsidR="00E2015A">
              <w:t>o</w:t>
            </w:r>
            <w:r>
              <w:t>ffice space that is all-electric.</w:t>
            </w:r>
          </w:p>
        </w:tc>
        <w:tc>
          <w:tcPr>
            <w:tcW w:w="4362"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47CB1F12" w14:textId="7EE22493" w:rsidR="00E34ED2" w:rsidRPr="000A1140" w:rsidRDefault="00E34ED2" w:rsidP="00701C2A">
            <w:pPr>
              <w:pStyle w:val="TableText"/>
            </w:pPr>
            <w:r w:rsidRPr="000A1140">
              <w:t xml:space="preserve">% of office space </w:t>
            </w:r>
            <w:r>
              <w:t xml:space="preserve">that </w:t>
            </w:r>
            <w:r w:rsidRPr="000A1140">
              <w:t>is all electric</w:t>
            </w:r>
            <w:r w:rsidR="005248D5">
              <w:t>.</w:t>
            </w:r>
          </w:p>
        </w:tc>
      </w:tr>
    </w:tbl>
    <w:p w14:paraId="49E4E1A7" w14:textId="4D3A41CA" w:rsidR="00701C2A" w:rsidRPr="00E34ED2" w:rsidRDefault="00701C2A" w:rsidP="009205CD">
      <w:pPr>
        <w:rPr>
          <w:rStyle w:val="Heading5Char"/>
          <w:rFonts w:asciiTheme="minorHAnsi" w:hAnsiTheme="minorHAnsi"/>
          <w:bCs/>
          <w:sz w:val="18"/>
          <w:szCs w:val="18"/>
        </w:rPr>
      </w:pPr>
      <w:r w:rsidRPr="00E34ED2">
        <w:rPr>
          <w:sz w:val="18"/>
          <w:szCs w:val="18"/>
          <w:lang w:eastAsia="ja-JP"/>
        </w:rPr>
        <w:t xml:space="preserve">Source: APS </w:t>
      </w:r>
      <w:hyperlink r:id="rId23" w:history="1">
        <w:r w:rsidRPr="00E34ED2">
          <w:rPr>
            <w:color w:val="0000FF"/>
            <w:sz w:val="18"/>
            <w:szCs w:val="18"/>
            <w:u w:val="single"/>
          </w:rPr>
          <w:t>Net Zero in Government Operations Strategy (finance.gov.au)</w:t>
        </w:r>
      </w:hyperlink>
    </w:p>
    <w:p w14:paraId="0DC79AF7" w14:textId="0F847819" w:rsidR="00701C2A" w:rsidRDefault="00701C2A" w:rsidP="00701C2A">
      <w:pPr>
        <w:pStyle w:val="BodyText1"/>
      </w:pPr>
      <w:r w:rsidRPr="003F26E6">
        <w:rPr>
          <w:rStyle w:val="Heading5Char"/>
        </w:rPr>
        <w:t>ACTION</w:t>
      </w:r>
      <w:r w:rsidRPr="003F26E6">
        <w:t>:</w:t>
      </w:r>
      <w:r>
        <w:t xml:space="preserve">  Where available, the department will </w:t>
      </w:r>
      <w:r w:rsidR="00D66B1F">
        <w:t>procure</w:t>
      </w:r>
      <w:r>
        <w:t xml:space="preserve"> office space </w:t>
      </w:r>
      <w:r w:rsidR="00D66B1F">
        <w:t xml:space="preserve">that </w:t>
      </w:r>
      <w:r>
        <w:t xml:space="preserve">is all-electric </w:t>
      </w:r>
      <w:r w:rsidR="00D66B1F">
        <w:t>from 1 July 2026</w:t>
      </w:r>
      <w:r w:rsidR="007A314F">
        <w:t>.</w:t>
      </w:r>
    </w:p>
    <w:p w14:paraId="75A8BB1F" w14:textId="77777777" w:rsidR="00701C2A" w:rsidRDefault="00701C2A" w:rsidP="00701C2A">
      <w:pPr>
        <w:pStyle w:val="BodyText1"/>
      </w:pPr>
    </w:p>
    <w:p w14:paraId="716B47D7" w14:textId="6F1CAB3C" w:rsidR="00A82046" w:rsidRDefault="00701C2A" w:rsidP="00CA7B29">
      <w:pPr>
        <w:pStyle w:val="Heading3"/>
        <w:spacing w:after="100" w:afterAutospacing="1"/>
      </w:pPr>
      <w:bookmarkStart w:id="40" w:name="_Toc172544762"/>
      <w:bookmarkStart w:id="41" w:name="_Toc175044424"/>
      <w:r w:rsidRPr="0007750F">
        <w:t>Fleet</w:t>
      </w:r>
      <w:bookmarkEnd w:id="40"/>
      <w:bookmarkEnd w:id="41"/>
    </w:p>
    <w:p w14:paraId="225E702F" w14:textId="366BB169" w:rsidR="00701C2A" w:rsidRDefault="00701C2A" w:rsidP="00701C2A">
      <w:pPr>
        <w:pStyle w:val="Caption"/>
      </w:pPr>
      <w:bookmarkStart w:id="42" w:name="_Toc172544665"/>
      <w:bookmarkStart w:id="43" w:name="_Toc172628254"/>
      <w:r>
        <w:t xml:space="preserve">Table </w:t>
      </w:r>
      <w:r>
        <w:fldChar w:fldCharType="begin"/>
      </w:r>
      <w:r>
        <w:instrText xml:space="preserve"> SEQ Table \* ARABIC </w:instrText>
      </w:r>
      <w:r>
        <w:fldChar w:fldCharType="separate"/>
      </w:r>
      <w:r w:rsidR="00B23DEB">
        <w:rPr>
          <w:noProof/>
        </w:rPr>
        <w:t>7</w:t>
      </w:r>
      <w:r>
        <w:fldChar w:fldCharType="end"/>
      </w:r>
      <w:r>
        <w:t>. APS Net Zero 2030 Targets – Fleet</w:t>
      </w:r>
      <w:bookmarkEnd w:id="42"/>
      <w:bookmarkEnd w:id="43"/>
    </w:p>
    <w:tbl>
      <w:tblPr>
        <w:tblW w:w="8789" w:type="dxa"/>
        <w:tblInd w:w="-142" w:type="dxa"/>
        <w:tblCellMar>
          <w:left w:w="0" w:type="dxa"/>
          <w:right w:w="0" w:type="dxa"/>
        </w:tblCellMar>
        <w:tblLook w:val="04A0" w:firstRow="1" w:lastRow="0" w:firstColumn="1" w:lastColumn="0" w:noHBand="0" w:noVBand="1"/>
      </w:tblPr>
      <w:tblGrid>
        <w:gridCol w:w="4268"/>
        <w:gridCol w:w="4521"/>
      </w:tblGrid>
      <w:tr w:rsidR="000663D7" w:rsidRPr="00DB1622" w14:paraId="338D8123" w14:textId="77777777" w:rsidTr="000663D7">
        <w:trPr>
          <w:trHeight w:val="336"/>
        </w:trPr>
        <w:tc>
          <w:tcPr>
            <w:tcW w:w="4268" w:type="dxa"/>
            <w:tcBorders>
              <w:top w:val="nil"/>
              <w:left w:val="nil"/>
              <w:bottom w:val="nil"/>
              <w:right w:val="nil"/>
            </w:tcBorders>
            <w:shd w:val="clear" w:color="auto" w:fill="BFBFBF"/>
            <w:tcMar>
              <w:top w:w="15" w:type="dxa"/>
              <w:left w:w="107" w:type="dxa"/>
              <w:bottom w:w="0" w:type="dxa"/>
              <w:right w:w="107" w:type="dxa"/>
            </w:tcMar>
            <w:vAlign w:val="center"/>
            <w:hideMark/>
          </w:tcPr>
          <w:p w14:paraId="28A4D75D" w14:textId="785F0D29" w:rsidR="000663D7" w:rsidRPr="00701C2A" w:rsidRDefault="000663D7" w:rsidP="00701C2A">
            <w:pPr>
              <w:pStyle w:val="TableText"/>
              <w:rPr>
                <w:b/>
                <w:bCs/>
              </w:rPr>
            </w:pPr>
            <w:r w:rsidRPr="00701C2A">
              <w:rPr>
                <w:b/>
                <w:bCs/>
              </w:rPr>
              <w:t>Strategy Target</w:t>
            </w:r>
          </w:p>
        </w:tc>
        <w:tc>
          <w:tcPr>
            <w:tcW w:w="4521" w:type="dxa"/>
            <w:tcBorders>
              <w:top w:val="nil"/>
              <w:left w:val="nil"/>
              <w:bottom w:val="nil"/>
              <w:right w:val="nil"/>
            </w:tcBorders>
            <w:shd w:val="clear" w:color="auto" w:fill="BFBFBF"/>
            <w:tcMar>
              <w:top w:w="15" w:type="dxa"/>
              <w:left w:w="107" w:type="dxa"/>
              <w:bottom w:w="0" w:type="dxa"/>
              <w:right w:w="107" w:type="dxa"/>
            </w:tcMar>
            <w:vAlign w:val="center"/>
            <w:hideMark/>
          </w:tcPr>
          <w:p w14:paraId="56E6DEB4" w14:textId="77777777" w:rsidR="000663D7" w:rsidRPr="00701C2A" w:rsidRDefault="000663D7" w:rsidP="00701C2A">
            <w:pPr>
              <w:pStyle w:val="TableText"/>
              <w:rPr>
                <w:b/>
                <w:bCs/>
              </w:rPr>
            </w:pPr>
            <w:r w:rsidRPr="00701C2A">
              <w:rPr>
                <w:b/>
                <w:bCs/>
              </w:rPr>
              <w:t>Measure</w:t>
            </w:r>
          </w:p>
        </w:tc>
      </w:tr>
      <w:tr w:rsidR="000663D7" w:rsidRPr="00DB1622" w14:paraId="0ED9A059" w14:textId="77777777" w:rsidTr="006F3D9C">
        <w:trPr>
          <w:trHeight w:val="745"/>
        </w:trPr>
        <w:tc>
          <w:tcPr>
            <w:tcW w:w="4268"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51349EEA" w14:textId="4F5DBB88" w:rsidR="000663D7" w:rsidRPr="00701C2A" w:rsidRDefault="000663D7" w:rsidP="00701C2A">
            <w:pPr>
              <w:pStyle w:val="TableText"/>
            </w:pPr>
            <w:r w:rsidRPr="00701C2A">
              <w:t>25% of new passenger vehicles orders to be low emission vehicles (LEVs) within 2022-23</w:t>
            </w:r>
            <w:r w:rsidR="006F3D9C">
              <w:t>.</w:t>
            </w:r>
          </w:p>
        </w:tc>
        <w:tc>
          <w:tcPr>
            <w:tcW w:w="4521" w:type="dxa"/>
            <w:tcBorders>
              <w:top w:val="nil"/>
              <w:left w:val="nil"/>
              <w:bottom w:val="single" w:sz="8" w:space="0" w:color="BFBFBF"/>
              <w:right w:val="nil"/>
            </w:tcBorders>
            <w:shd w:val="clear" w:color="auto" w:fill="auto"/>
            <w:tcMar>
              <w:top w:w="15" w:type="dxa"/>
              <w:left w:w="107" w:type="dxa"/>
              <w:bottom w:w="0" w:type="dxa"/>
              <w:right w:w="107" w:type="dxa"/>
            </w:tcMar>
            <w:vAlign w:val="center"/>
            <w:hideMark/>
          </w:tcPr>
          <w:p w14:paraId="6AC14B4D" w14:textId="7356FF3E" w:rsidR="000663D7" w:rsidRPr="00701C2A" w:rsidRDefault="000663D7" w:rsidP="00701C2A">
            <w:pPr>
              <w:pStyle w:val="TableText"/>
            </w:pPr>
            <w:r w:rsidRPr="00701C2A">
              <w:t>Reporting outside of this strategy – progress against the target is published to Department of Finance’s website</w:t>
            </w:r>
            <w:r w:rsidR="006F3D9C">
              <w:t>.</w:t>
            </w:r>
          </w:p>
        </w:tc>
      </w:tr>
      <w:tr w:rsidR="000663D7" w:rsidRPr="00DB1622" w14:paraId="3EB6C9E6" w14:textId="77777777" w:rsidTr="006F3D9C">
        <w:trPr>
          <w:trHeight w:val="821"/>
        </w:trPr>
        <w:tc>
          <w:tcPr>
            <w:tcW w:w="4268"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04D05D8E" w14:textId="19C7436E" w:rsidR="000663D7" w:rsidRPr="00701C2A" w:rsidRDefault="000663D7" w:rsidP="00701C2A">
            <w:pPr>
              <w:pStyle w:val="TableText"/>
            </w:pPr>
            <w:r w:rsidRPr="00701C2A">
              <w:t>50% of new passenger vehicle orders to be LEVs within 2023-24</w:t>
            </w:r>
            <w:r w:rsidR="006F3D9C">
              <w:t>.</w:t>
            </w:r>
          </w:p>
        </w:tc>
        <w:tc>
          <w:tcPr>
            <w:tcW w:w="4521"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48A1D2D3" w14:textId="116EC1F2" w:rsidR="000663D7" w:rsidRPr="00701C2A" w:rsidRDefault="000663D7" w:rsidP="00701C2A">
            <w:pPr>
              <w:pStyle w:val="TableText"/>
            </w:pPr>
            <w:r w:rsidRPr="00701C2A">
              <w:t>Reporting outside of this strategy – progress against the target is published to Department of Finance’s website</w:t>
            </w:r>
            <w:r w:rsidR="006F3D9C">
              <w:t>.</w:t>
            </w:r>
          </w:p>
        </w:tc>
      </w:tr>
      <w:tr w:rsidR="000663D7" w:rsidRPr="00DB1622" w14:paraId="0A4A72E6" w14:textId="77777777" w:rsidTr="006F3D9C">
        <w:trPr>
          <w:trHeight w:val="819"/>
        </w:trPr>
        <w:tc>
          <w:tcPr>
            <w:tcW w:w="4268"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260DA275" w14:textId="18C419F0" w:rsidR="000663D7" w:rsidRPr="00701C2A" w:rsidRDefault="000663D7" w:rsidP="00701C2A">
            <w:pPr>
              <w:pStyle w:val="TableText"/>
            </w:pPr>
            <w:r w:rsidRPr="00701C2A">
              <w:t>75% of new passenger vehicle orders to be LEVs by 2025</w:t>
            </w:r>
            <w:r w:rsidR="006F3D9C">
              <w:t>.</w:t>
            </w:r>
          </w:p>
        </w:tc>
        <w:tc>
          <w:tcPr>
            <w:tcW w:w="4521" w:type="dxa"/>
            <w:tcBorders>
              <w:top w:val="single" w:sz="8" w:space="0" w:color="BFBFBF"/>
              <w:left w:val="nil"/>
              <w:bottom w:val="single" w:sz="8" w:space="0" w:color="BFBFBF"/>
              <w:right w:val="nil"/>
            </w:tcBorders>
            <w:shd w:val="clear" w:color="auto" w:fill="auto"/>
            <w:tcMar>
              <w:top w:w="15" w:type="dxa"/>
              <w:left w:w="107" w:type="dxa"/>
              <w:bottom w:w="0" w:type="dxa"/>
              <w:right w:w="107" w:type="dxa"/>
            </w:tcMar>
            <w:vAlign w:val="center"/>
            <w:hideMark/>
          </w:tcPr>
          <w:p w14:paraId="741E2CAE" w14:textId="246DDBE5" w:rsidR="000663D7" w:rsidRPr="00701C2A" w:rsidRDefault="000663D7" w:rsidP="00701C2A">
            <w:pPr>
              <w:pStyle w:val="TableText"/>
            </w:pPr>
            <w:r w:rsidRPr="00701C2A">
              <w:t>Reporting outside of this strategy – progress against the target is published to Department of Finance’s website</w:t>
            </w:r>
            <w:r w:rsidR="006F3D9C">
              <w:t>.</w:t>
            </w:r>
          </w:p>
        </w:tc>
      </w:tr>
    </w:tbl>
    <w:p w14:paraId="65268ECF" w14:textId="77777777" w:rsidR="00701C2A" w:rsidRPr="00AF6A5B" w:rsidRDefault="00701C2A" w:rsidP="00701C2A">
      <w:pPr>
        <w:rPr>
          <w:sz w:val="18"/>
          <w:szCs w:val="18"/>
          <w:lang w:eastAsia="ja-JP"/>
        </w:rPr>
      </w:pPr>
      <w:r w:rsidRPr="00AF6A5B">
        <w:rPr>
          <w:sz w:val="18"/>
          <w:szCs w:val="18"/>
          <w:lang w:eastAsia="ja-JP"/>
        </w:rPr>
        <w:t xml:space="preserve">Source: APS </w:t>
      </w:r>
      <w:hyperlink r:id="rId24" w:history="1">
        <w:r w:rsidRPr="00AF6A5B">
          <w:rPr>
            <w:color w:val="0000FF"/>
            <w:sz w:val="18"/>
            <w:szCs w:val="18"/>
            <w:u w:val="single"/>
          </w:rPr>
          <w:t>Net Zero in Government Operations Strategy (finance.gov.au)</w:t>
        </w:r>
      </w:hyperlink>
    </w:p>
    <w:p w14:paraId="5BF0078C" w14:textId="4A0DD8E8" w:rsidR="00701C2A" w:rsidRDefault="00701C2A" w:rsidP="00701C2A">
      <w:pPr>
        <w:pStyle w:val="BodyText1"/>
      </w:pPr>
      <w:r w:rsidRPr="003F26E6">
        <w:rPr>
          <w:rStyle w:val="Heading5Char"/>
        </w:rPr>
        <w:t>ACTION</w:t>
      </w:r>
      <w:r w:rsidRPr="003F26E6">
        <w:t>:</w:t>
      </w:r>
      <w:r>
        <w:t xml:space="preserve">  </w:t>
      </w:r>
      <w:r w:rsidR="00C619ED">
        <w:t>T</w:t>
      </w:r>
      <w:r>
        <w:t>he department will ensure that 75% of all new passenger vehicle orders are LEVs by 30</w:t>
      </w:r>
      <w:r w:rsidR="00B77341">
        <w:t> </w:t>
      </w:r>
      <w:r>
        <w:t>June 2025.</w:t>
      </w:r>
    </w:p>
    <w:sectPr w:rsidR="00701C2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8E08A" w14:textId="77777777" w:rsidR="00F530CB" w:rsidRDefault="00F530CB">
      <w:r>
        <w:separator/>
      </w:r>
    </w:p>
    <w:p w14:paraId="6D1AC906" w14:textId="77777777" w:rsidR="00F530CB" w:rsidRDefault="00F530CB"/>
    <w:p w14:paraId="379EE28B" w14:textId="77777777" w:rsidR="00F530CB" w:rsidRDefault="00F530CB"/>
  </w:endnote>
  <w:endnote w:type="continuationSeparator" w:id="0">
    <w:p w14:paraId="090EC798" w14:textId="77777777" w:rsidR="00F530CB" w:rsidRDefault="00F530CB">
      <w:r>
        <w:continuationSeparator/>
      </w:r>
    </w:p>
    <w:p w14:paraId="170BD67B" w14:textId="77777777" w:rsidR="00F530CB" w:rsidRDefault="00F530CB"/>
    <w:p w14:paraId="3C2FF25E" w14:textId="77777777" w:rsidR="00F530CB" w:rsidRDefault="00F530CB"/>
  </w:endnote>
  <w:endnote w:type="continuationNotice" w:id="1">
    <w:p w14:paraId="28575580" w14:textId="77777777" w:rsidR="00F530CB" w:rsidRDefault="00F530CB">
      <w:pPr>
        <w:pStyle w:val="Footer"/>
      </w:pPr>
    </w:p>
    <w:p w14:paraId="3977C5AD" w14:textId="77777777" w:rsidR="00F530CB" w:rsidRDefault="00F530CB"/>
    <w:p w14:paraId="42E73DD6" w14:textId="77777777" w:rsidR="00F530CB" w:rsidRDefault="00F53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E9FBE" w14:textId="77777777" w:rsidR="00CA6C9D" w:rsidRDefault="00CA6C9D">
    <w:pPr>
      <w:pStyle w:val="Footer"/>
    </w:pPr>
    <w:r>
      <w:rPr>
        <w:noProof/>
      </w:rPr>
      <mc:AlternateContent>
        <mc:Choice Requires="wps">
          <w:drawing>
            <wp:anchor distT="0" distB="0" distL="0" distR="0" simplePos="0" relativeHeight="251665920" behindDoc="0" locked="0" layoutInCell="1" allowOverlap="1" wp14:anchorId="23897FC6" wp14:editId="6CF7A518">
              <wp:simplePos x="635" y="635"/>
              <wp:positionH relativeFrom="page">
                <wp:align>center</wp:align>
              </wp:positionH>
              <wp:positionV relativeFrom="page">
                <wp:align>bottom</wp:align>
              </wp:positionV>
              <wp:extent cx="443865" cy="443865"/>
              <wp:effectExtent l="0" t="0" r="635" b="0"/>
              <wp:wrapNone/>
              <wp:docPr id="177917940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6FF37D"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897FC6"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E6FF37D"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3E904" w14:textId="77777777" w:rsidR="00B861B4" w:rsidRDefault="00DE0AAE">
    <w:pPr>
      <w:pStyle w:val="Footer"/>
    </w:pPr>
    <w:r w:rsidRPr="00DE0AAE">
      <w:t>Department of Agriculture, Fisheries and Forestry</w:t>
    </w:r>
  </w:p>
  <w:p w14:paraId="6B3EF0BA"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3102" w14:textId="77777777" w:rsidR="00F530CB" w:rsidRDefault="00F530CB">
      <w:r>
        <w:separator/>
      </w:r>
    </w:p>
    <w:p w14:paraId="2FDBDF56" w14:textId="77777777" w:rsidR="00F530CB" w:rsidRDefault="00F530CB"/>
    <w:p w14:paraId="2113B645" w14:textId="77777777" w:rsidR="00F530CB" w:rsidRDefault="00F530CB"/>
  </w:footnote>
  <w:footnote w:type="continuationSeparator" w:id="0">
    <w:p w14:paraId="2DC8AEB0" w14:textId="77777777" w:rsidR="00F530CB" w:rsidRDefault="00F530CB">
      <w:r>
        <w:continuationSeparator/>
      </w:r>
    </w:p>
    <w:p w14:paraId="06E25974" w14:textId="77777777" w:rsidR="00F530CB" w:rsidRDefault="00F530CB"/>
    <w:p w14:paraId="348E5D81" w14:textId="77777777" w:rsidR="00F530CB" w:rsidRDefault="00F530CB"/>
  </w:footnote>
  <w:footnote w:type="continuationNotice" w:id="1">
    <w:p w14:paraId="7E1C860F" w14:textId="77777777" w:rsidR="00F530CB" w:rsidRDefault="00F530CB">
      <w:pPr>
        <w:pStyle w:val="Footer"/>
      </w:pPr>
    </w:p>
    <w:p w14:paraId="274FED34" w14:textId="77777777" w:rsidR="00F530CB" w:rsidRDefault="00F530CB"/>
    <w:p w14:paraId="404BB231" w14:textId="77777777" w:rsidR="00F530CB" w:rsidRDefault="00F530CB"/>
  </w:footnote>
  <w:footnote w:id="2">
    <w:p w14:paraId="3CFAED32" w14:textId="09CFB811" w:rsidR="00977CFD" w:rsidRDefault="00977CFD" w:rsidP="00D12FD6">
      <w:pPr>
        <w:pStyle w:val="TableText"/>
      </w:pPr>
      <w:r>
        <w:rPr>
          <w:rStyle w:val="FootnoteReference"/>
        </w:rPr>
        <w:footnoteRef/>
      </w:r>
      <w:r>
        <w:t xml:space="preserve"> </w:t>
      </w:r>
      <w:r w:rsidRPr="00977CFD">
        <w:t>Tonnes of carbon dioxide equivalent</w:t>
      </w:r>
      <w:r>
        <w:t xml:space="preserve"> (</w:t>
      </w:r>
      <w:r w:rsidRPr="008B2997">
        <w:t>tC0</w:t>
      </w:r>
      <w:r w:rsidRPr="0083580C">
        <w:rPr>
          <w:vertAlign w:val="subscript"/>
        </w:rPr>
        <w:t>2</w:t>
      </w:r>
      <w:r w:rsidRPr="008B2997">
        <w:t>-e</w:t>
      </w:r>
      <w:r>
        <w:t xml:space="preserve">) is the </w:t>
      </w:r>
      <w:r w:rsidRPr="00977CFD">
        <w:t>standard unit for counting greenhouse gas (GHG) emissions regardless of whether they're from carbon dioxide or another gas, such as methane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D9E8" w14:textId="77777777" w:rsidR="00B861B4" w:rsidRDefault="00CA6C9D">
    <w:pPr>
      <w:pStyle w:val="Header"/>
    </w:pPr>
    <w:r>
      <w:rPr>
        <w:noProof/>
        <w:lang w:val="en-US"/>
      </w:rPr>
      <mc:AlternateContent>
        <mc:Choice Requires="wps">
          <w:drawing>
            <wp:anchor distT="0" distB="0" distL="0" distR="0" simplePos="0" relativeHeight="251662848" behindDoc="0" locked="0" layoutInCell="1" allowOverlap="1" wp14:anchorId="3E452852" wp14:editId="7E2894B2">
              <wp:simplePos x="635" y="635"/>
              <wp:positionH relativeFrom="page">
                <wp:align>center</wp:align>
              </wp:positionH>
              <wp:positionV relativeFrom="page">
                <wp:align>top</wp:align>
              </wp:positionV>
              <wp:extent cx="443865" cy="443865"/>
              <wp:effectExtent l="0" t="0" r="635" b="14605"/>
              <wp:wrapNone/>
              <wp:docPr id="9872337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C6B36"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452852"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80C6B36" w14:textId="77777777" w:rsidR="00CA6C9D" w:rsidRPr="00CA6C9D" w:rsidRDefault="00CA6C9D" w:rsidP="00CA6C9D">
                    <w:pPr>
                      <w:spacing w:after="0"/>
                      <w:rPr>
                        <w:rFonts w:ascii="Calibri" w:eastAsia="Calibri" w:hAnsi="Calibri" w:cs="Calibri"/>
                        <w:noProof/>
                        <w:color w:val="FF0000"/>
                        <w:sz w:val="24"/>
                        <w:szCs w:val="24"/>
                      </w:rPr>
                    </w:pPr>
                    <w:r w:rsidRPr="00CA6C9D">
                      <w:rPr>
                        <w:rFonts w:ascii="Calibri" w:eastAsia="Calibri" w:hAnsi="Calibri" w:cs="Calibri"/>
                        <w:noProof/>
                        <w:color w:val="FF0000"/>
                        <w:sz w:val="24"/>
                        <w:szCs w:val="24"/>
                      </w:rPr>
                      <w:t>OFFICIAL</w:t>
                    </w:r>
                  </w:p>
                </w:txbxContent>
              </v:textbox>
              <w10:wrap anchorx="page" anchory="page"/>
            </v:shape>
          </w:pict>
        </mc:Fallback>
      </mc:AlternateContent>
    </w:r>
    <w:r w:rsidR="00F935E2">
      <w:rPr>
        <w:noProof/>
        <w:lang w:val="en-US"/>
      </w:rPr>
      <w:pict w14:anchorId="75DD7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37BD" w14:textId="77777777" w:rsidR="00CB6015" w:rsidRDefault="00CB6015" w:rsidP="00CB6015">
    <w:pPr>
      <w:pStyle w:val="Header"/>
    </w:pPr>
    <w:r>
      <w:t xml:space="preserve">2024-2030 Operations Emissions Reduction Plan </w:t>
    </w:r>
  </w:p>
  <w:p w14:paraId="7197F337" w14:textId="14F000DF" w:rsidR="00B861B4" w:rsidRPr="00CB6015" w:rsidRDefault="00B861B4" w:rsidP="00CB60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98A4" w14:textId="77777777" w:rsidR="00B861B4" w:rsidRDefault="00DC41DE">
    <w:pPr>
      <w:pStyle w:val="Header"/>
      <w:jc w:val="left"/>
    </w:pPr>
    <w:r>
      <w:rPr>
        <w:noProof/>
      </w:rPr>
      <w:drawing>
        <wp:anchor distT="0" distB="0" distL="114300" distR="114300" simplePos="0" relativeHeight="251660800" behindDoc="1" locked="0" layoutInCell="1" allowOverlap="1" wp14:anchorId="73858593" wp14:editId="64623BFB">
          <wp:simplePos x="0" y="0"/>
          <wp:positionH relativeFrom="page">
            <wp:align>left</wp:align>
          </wp:positionH>
          <wp:positionV relativeFrom="paragraph">
            <wp:posOffset>-360975</wp:posOffset>
          </wp:positionV>
          <wp:extent cx="7566403" cy="10702800"/>
          <wp:effectExtent l="0" t="0" r="0" b="3810"/>
          <wp:wrapNone/>
          <wp:docPr id="283059357" name="Picture 283059357"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r w:rsidR="00F935E2">
      <w:rPr>
        <w:noProof/>
        <w:lang w:val="en-US"/>
      </w:rPr>
      <w:pict w14:anchorId="27A3F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1025"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4511CFC"/>
    <w:multiLevelType w:val="hybridMultilevel"/>
    <w:tmpl w:val="4C000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8E1DD3"/>
    <w:multiLevelType w:val="hybridMultilevel"/>
    <w:tmpl w:val="D79E5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5052D24"/>
    <w:multiLevelType w:val="hybridMultilevel"/>
    <w:tmpl w:val="0062F522"/>
    <w:lvl w:ilvl="0" w:tplc="91AA8D8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2A919D6"/>
    <w:multiLevelType w:val="hybridMultilevel"/>
    <w:tmpl w:val="8B3E4718"/>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6" w15:restartNumberingAfterBreak="0">
    <w:nsid w:val="486800B4"/>
    <w:multiLevelType w:val="multilevel"/>
    <w:tmpl w:val="A0241B28"/>
    <w:numStyleLink w:val="List1"/>
  </w:abstractNum>
  <w:abstractNum w:abstractNumId="7"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9550784"/>
    <w:multiLevelType w:val="hybridMultilevel"/>
    <w:tmpl w:val="5276DA4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11"/>
  </w:num>
  <w:num w:numId="2" w16cid:durableId="1639215797">
    <w:abstractNumId w:val="12"/>
  </w:num>
  <w:num w:numId="3" w16cid:durableId="1643265712">
    <w:abstractNumId w:val="3"/>
  </w:num>
  <w:num w:numId="4" w16cid:durableId="15689503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9"/>
  </w:num>
  <w:num w:numId="6" w16cid:durableId="281765065">
    <w:abstractNumId w:val="10"/>
  </w:num>
  <w:num w:numId="7" w16cid:durableId="2092000146">
    <w:abstractNumId w:val="7"/>
  </w:num>
  <w:num w:numId="8" w16cid:durableId="864908900">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1469322956">
    <w:abstractNumId w:val="11"/>
  </w:num>
  <w:num w:numId="10" w16cid:durableId="1341661948">
    <w:abstractNumId w:val="12"/>
  </w:num>
  <w:num w:numId="11" w16cid:durableId="1983389004">
    <w:abstractNumId w:val="0"/>
  </w:num>
  <w:num w:numId="12" w16cid:durableId="435951209">
    <w:abstractNumId w:val="13"/>
  </w:num>
  <w:num w:numId="13" w16cid:durableId="1385720017">
    <w:abstractNumId w:val="14"/>
  </w:num>
  <w:num w:numId="14" w16cid:durableId="64594046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16cid:durableId="246351389">
    <w:abstractNumId w:val="8"/>
  </w:num>
  <w:num w:numId="16" w16cid:durableId="775516451">
    <w:abstractNumId w:val="1"/>
  </w:num>
  <w:num w:numId="17" w16cid:durableId="92826214">
    <w:abstractNumId w:val="2"/>
  </w:num>
  <w:num w:numId="18" w16cid:durableId="1726684450">
    <w:abstractNumId w:val="5"/>
  </w:num>
  <w:num w:numId="19" w16cid:durableId="259530888">
    <w:abstractNumId w:val="4"/>
  </w:num>
  <w:num w:numId="20" w16cid:durableId="788545131">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33839190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16cid:durableId="2130275273">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16cid:durableId="143162566">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61"/>
    <w:rsid w:val="000032AD"/>
    <w:rsid w:val="00006D71"/>
    <w:rsid w:val="00033E60"/>
    <w:rsid w:val="00043D85"/>
    <w:rsid w:val="000542FF"/>
    <w:rsid w:val="00064328"/>
    <w:rsid w:val="000663D7"/>
    <w:rsid w:val="000703CA"/>
    <w:rsid w:val="000752D2"/>
    <w:rsid w:val="0008364B"/>
    <w:rsid w:val="000869AB"/>
    <w:rsid w:val="00087804"/>
    <w:rsid w:val="000942EE"/>
    <w:rsid w:val="00097FA8"/>
    <w:rsid w:val="000A1447"/>
    <w:rsid w:val="000A7AAF"/>
    <w:rsid w:val="000B1C40"/>
    <w:rsid w:val="000B5FA0"/>
    <w:rsid w:val="000C07F8"/>
    <w:rsid w:val="000D3122"/>
    <w:rsid w:val="000E41B5"/>
    <w:rsid w:val="001013AD"/>
    <w:rsid w:val="001116C3"/>
    <w:rsid w:val="00134A68"/>
    <w:rsid w:val="001502AB"/>
    <w:rsid w:val="001608C9"/>
    <w:rsid w:val="0016201B"/>
    <w:rsid w:val="001641A3"/>
    <w:rsid w:val="00164C04"/>
    <w:rsid w:val="001651FC"/>
    <w:rsid w:val="001728AE"/>
    <w:rsid w:val="00176594"/>
    <w:rsid w:val="0017699C"/>
    <w:rsid w:val="00191C2A"/>
    <w:rsid w:val="001946F1"/>
    <w:rsid w:val="001A307B"/>
    <w:rsid w:val="001B62D1"/>
    <w:rsid w:val="001B7C86"/>
    <w:rsid w:val="001C1865"/>
    <w:rsid w:val="001C782B"/>
    <w:rsid w:val="001D491B"/>
    <w:rsid w:val="001F0B69"/>
    <w:rsid w:val="001F40AC"/>
    <w:rsid w:val="001F587C"/>
    <w:rsid w:val="002029BA"/>
    <w:rsid w:val="00215CF0"/>
    <w:rsid w:val="0021649B"/>
    <w:rsid w:val="00222137"/>
    <w:rsid w:val="00223A77"/>
    <w:rsid w:val="00232F52"/>
    <w:rsid w:val="00263CB6"/>
    <w:rsid w:val="00266B5E"/>
    <w:rsid w:val="00266C5A"/>
    <w:rsid w:val="00273EDB"/>
    <w:rsid w:val="00274FFC"/>
    <w:rsid w:val="00281BB6"/>
    <w:rsid w:val="00284C5A"/>
    <w:rsid w:val="00284D14"/>
    <w:rsid w:val="00286307"/>
    <w:rsid w:val="00290894"/>
    <w:rsid w:val="002A73BF"/>
    <w:rsid w:val="002B26B3"/>
    <w:rsid w:val="002C7132"/>
    <w:rsid w:val="002D15A9"/>
    <w:rsid w:val="002D5B0A"/>
    <w:rsid w:val="002D67C2"/>
    <w:rsid w:val="002F1457"/>
    <w:rsid w:val="002F7ED6"/>
    <w:rsid w:val="003008D6"/>
    <w:rsid w:val="003024BD"/>
    <w:rsid w:val="00304AB4"/>
    <w:rsid w:val="003214B3"/>
    <w:rsid w:val="00323961"/>
    <w:rsid w:val="00324BD0"/>
    <w:rsid w:val="0033522D"/>
    <w:rsid w:val="00341111"/>
    <w:rsid w:val="00350D80"/>
    <w:rsid w:val="003537AD"/>
    <w:rsid w:val="00354C6A"/>
    <w:rsid w:val="00360039"/>
    <w:rsid w:val="00364A4A"/>
    <w:rsid w:val="003654AC"/>
    <w:rsid w:val="00365E3B"/>
    <w:rsid w:val="0037073B"/>
    <w:rsid w:val="00382179"/>
    <w:rsid w:val="00395407"/>
    <w:rsid w:val="003A6F9D"/>
    <w:rsid w:val="003B1E29"/>
    <w:rsid w:val="003B2B37"/>
    <w:rsid w:val="003C037D"/>
    <w:rsid w:val="003C1FCE"/>
    <w:rsid w:val="003C4AD3"/>
    <w:rsid w:val="003D3346"/>
    <w:rsid w:val="003F3F77"/>
    <w:rsid w:val="003F58F8"/>
    <w:rsid w:val="00401C27"/>
    <w:rsid w:val="00410B27"/>
    <w:rsid w:val="004119A5"/>
    <w:rsid w:val="00413CBA"/>
    <w:rsid w:val="00414B27"/>
    <w:rsid w:val="00432172"/>
    <w:rsid w:val="00437495"/>
    <w:rsid w:val="00441BFD"/>
    <w:rsid w:val="00446881"/>
    <w:rsid w:val="00451B82"/>
    <w:rsid w:val="00457AD1"/>
    <w:rsid w:val="00461957"/>
    <w:rsid w:val="00462F68"/>
    <w:rsid w:val="0046625C"/>
    <w:rsid w:val="00470C21"/>
    <w:rsid w:val="00476C9E"/>
    <w:rsid w:val="00491E5F"/>
    <w:rsid w:val="00496D0B"/>
    <w:rsid w:val="004A775D"/>
    <w:rsid w:val="004B1D54"/>
    <w:rsid w:val="004B3F30"/>
    <w:rsid w:val="004B51E6"/>
    <w:rsid w:val="004B6E01"/>
    <w:rsid w:val="004E0F77"/>
    <w:rsid w:val="004F06C7"/>
    <w:rsid w:val="004F3F2A"/>
    <w:rsid w:val="004F46C7"/>
    <w:rsid w:val="00501EBE"/>
    <w:rsid w:val="005043EB"/>
    <w:rsid w:val="00513FBB"/>
    <w:rsid w:val="00517A68"/>
    <w:rsid w:val="005248D5"/>
    <w:rsid w:val="005404B0"/>
    <w:rsid w:val="00582BD5"/>
    <w:rsid w:val="005A08B1"/>
    <w:rsid w:val="005A7193"/>
    <w:rsid w:val="005C36F6"/>
    <w:rsid w:val="005D3790"/>
    <w:rsid w:val="005E25BD"/>
    <w:rsid w:val="006138D1"/>
    <w:rsid w:val="00623A48"/>
    <w:rsid w:val="00632112"/>
    <w:rsid w:val="00635C53"/>
    <w:rsid w:val="00643C78"/>
    <w:rsid w:val="006440A9"/>
    <w:rsid w:val="006668A1"/>
    <w:rsid w:val="006713A7"/>
    <w:rsid w:val="00680970"/>
    <w:rsid w:val="00681373"/>
    <w:rsid w:val="006871D7"/>
    <w:rsid w:val="00695D45"/>
    <w:rsid w:val="006B222A"/>
    <w:rsid w:val="006C16FF"/>
    <w:rsid w:val="006C261F"/>
    <w:rsid w:val="006C5145"/>
    <w:rsid w:val="006D69D9"/>
    <w:rsid w:val="006E6712"/>
    <w:rsid w:val="006F3D9C"/>
    <w:rsid w:val="006F6656"/>
    <w:rsid w:val="00701C2A"/>
    <w:rsid w:val="007041B5"/>
    <w:rsid w:val="00711247"/>
    <w:rsid w:val="0071381A"/>
    <w:rsid w:val="007169D6"/>
    <w:rsid w:val="00733701"/>
    <w:rsid w:val="00734CF4"/>
    <w:rsid w:val="00735C70"/>
    <w:rsid w:val="00761FCF"/>
    <w:rsid w:val="00764D6A"/>
    <w:rsid w:val="007700FA"/>
    <w:rsid w:val="00773056"/>
    <w:rsid w:val="0078759A"/>
    <w:rsid w:val="007A314F"/>
    <w:rsid w:val="007A5D10"/>
    <w:rsid w:val="007A741C"/>
    <w:rsid w:val="007A7663"/>
    <w:rsid w:val="007B018C"/>
    <w:rsid w:val="007B66C4"/>
    <w:rsid w:val="007B7E13"/>
    <w:rsid w:val="007C21DE"/>
    <w:rsid w:val="007C358A"/>
    <w:rsid w:val="007D574F"/>
    <w:rsid w:val="007E2BC6"/>
    <w:rsid w:val="007E39EF"/>
    <w:rsid w:val="007F410F"/>
    <w:rsid w:val="00800FE1"/>
    <w:rsid w:val="00802FA7"/>
    <w:rsid w:val="00804476"/>
    <w:rsid w:val="0081495F"/>
    <w:rsid w:val="0081751E"/>
    <w:rsid w:val="00820F04"/>
    <w:rsid w:val="008315D6"/>
    <w:rsid w:val="00831DED"/>
    <w:rsid w:val="0084011B"/>
    <w:rsid w:val="00863135"/>
    <w:rsid w:val="00864D30"/>
    <w:rsid w:val="00877449"/>
    <w:rsid w:val="0088612A"/>
    <w:rsid w:val="00886B7E"/>
    <w:rsid w:val="00892CC1"/>
    <w:rsid w:val="00897B06"/>
    <w:rsid w:val="008A0EE3"/>
    <w:rsid w:val="008A5A3C"/>
    <w:rsid w:val="008B14E1"/>
    <w:rsid w:val="008C584E"/>
    <w:rsid w:val="008D41E8"/>
    <w:rsid w:val="008D54DD"/>
    <w:rsid w:val="008D6160"/>
    <w:rsid w:val="008D619B"/>
    <w:rsid w:val="009020C3"/>
    <w:rsid w:val="00903121"/>
    <w:rsid w:val="00912500"/>
    <w:rsid w:val="009205CD"/>
    <w:rsid w:val="00920CE5"/>
    <w:rsid w:val="00922DE7"/>
    <w:rsid w:val="00923AD6"/>
    <w:rsid w:val="00923CC9"/>
    <w:rsid w:val="0093435B"/>
    <w:rsid w:val="009407D8"/>
    <w:rsid w:val="00944508"/>
    <w:rsid w:val="00972DE4"/>
    <w:rsid w:val="00977CFD"/>
    <w:rsid w:val="009A501D"/>
    <w:rsid w:val="009B774A"/>
    <w:rsid w:val="009B790D"/>
    <w:rsid w:val="009D5007"/>
    <w:rsid w:val="009E2823"/>
    <w:rsid w:val="009E56EF"/>
    <w:rsid w:val="009E66AC"/>
    <w:rsid w:val="00A0224C"/>
    <w:rsid w:val="00A306C3"/>
    <w:rsid w:val="00A32E25"/>
    <w:rsid w:val="00A411A8"/>
    <w:rsid w:val="00A471A5"/>
    <w:rsid w:val="00A50EBC"/>
    <w:rsid w:val="00A656B6"/>
    <w:rsid w:val="00A82046"/>
    <w:rsid w:val="00A91307"/>
    <w:rsid w:val="00AA1D58"/>
    <w:rsid w:val="00AA6670"/>
    <w:rsid w:val="00AB51FA"/>
    <w:rsid w:val="00AB7911"/>
    <w:rsid w:val="00AC35F5"/>
    <w:rsid w:val="00AD4F9E"/>
    <w:rsid w:val="00AE4237"/>
    <w:rsid w:val="00AF5AC0"/>
    <w:rsid w:val="00AF6A5B"/>
    <w:rsid w:val="00B02B9B"/>
    <w:rsid w:val="00B03D95"/>
    <w:rsid w:val="00B23DEB"/>
    <w:rsid w:val="00B2557D"/>
    <w:rsid w:val="00B2794D"/>
    <w:rsid w:val="00B4114A"/>
    <w:rsid w:val="00B51860"/>
    <w:rsid w:val="00B5740E"/>
    <w:rsid w:val="00B63B5D"/>
    <w:rsid w:val="00B66FA1"/>
    <w:rsid w:val="00B77341"/>
    <w:rsid w:val="00B83E08"/>
    <w:rsid w:val="00B84485"/>
    <w:rsid w:val="00B861B4"/>
    <w:rsid w:val="00B95DFD"/>
    <w:rsid w:val="00B96AF5"/>
    <w:rsid w:val="00B97E61"/>
    <w:rsid w:val="00BA5B0F"/>
    <w:rsid w:val="00BB0888"/>
    <w:rsid w:val="00BC0AB8"/>
    <w:rsid w:val="00BC1616"/>
    <w:rsid w:val="00BD671A"/>
    <w:rsid w:val="00BE561A"/>
    <w:rsid w:val="00BF4B8E"/>
    <w:rsid w:val="00BF4D87"/>
    <w:rsid w:val="00BF4E55"/>
    <w:rsid w:val="00C003C5"/>
    <w:rsid w:val="00C02519"/>
    <w:rsid w:val="00C04EB7"/>
    <w:rsid w:val="00C12ACE"/>
    <w:rsid w:val="00C32FFC"/>
    <w:rsid w:val="00C33358"/>
    <w:rsid w:val="00C416EC"/>
    <w:rsid w:val="00C554DF"/>
    <w:rsid w:val="00C619ED"/>
    <w:rsid w:val="00C63E3B"/>
    <w:rsid w:val="00C77B2A"/>
    <w:rsid w:val="00C84903"/>
    <w:rsid w:val="00C85C62"/>
    <w:rsid w:val="00CA32D0"/>
    <w:rsid w:val="00CA34D8"/>
    <w:rsid w:val="00CA6C9D"/>
    <w:rsid w:val="00CA7B29"/>
    <w:rsid w:val="00CB6015"/>
    <w:rsid w:val="00CD70C5"/>
    <w:rsid w:val="00CE600D"/>
    <w:rsid w:val="00CF3CDE"/>
    <w:rsid w:val="00CF4F5E"/>
    <w:rsid w:val="00D07F7D"/>
    <w:rsid w:val="00D1032B"/>
    <w:rsid w:val="00D12FD6"/>
    <w:rsid w:val="00D13D05"/>
    <w:rsid w:val="00D20DAF"/>
    <w:rsid w:val="00D47121"/>
    <w:rsid w:val="00D60448"/>
    <w:rsid w:val="00D64EA4"/>
    <w:rsid w:val="00D6561B"/>
    <w:rsid w:val="00D65CD1"/>
    <w:rsid w:val="00D6626A"/>
    <w:rsid w:val="00D66AD6"/>
    <w:rsid w:val="00D66B1F"/>
    <w:rsid w:val="00D66DDA"/>
    <w:rsid w:val="00D919A3"/>
    <w:rsid w:val="00D92764"/>
    <w:rsid w:val="00DA1F76"/>
    <w:rsid w:val="00DA437F"/>
    <w:rsid w:val="00DA71B8"/>
    <w:rsid w:val="00DA79C5"/>
    <w:rsid w:val="00DB31EB"/>
    <w:rsid w:val="00DB71A3"/>
    <w:rsid w:val="00DC41DE"/>
    <w:rsid w:val="00DC55BE"/>
    <w:rsid w:val="00DC7AA9"/>
    <w:rsid w:val="00DD38D4"/>
    <w:rsid w:val="00DE0AAE"/>
    <w:rsid w:val="00E11AC7"/>
    <w:rsid w:val="00E141BE"/>
    <w:rsid w:val="00E2015A"/>
    <w:rsid w:val="00E20810"/>
    <w:rsid w:val="00E34ED2"/>
    <w:rsid w:val="00E4123F"/>
    <w:rsid w:val="00E66558"/>
    <w:rsid w:val="00E70687"/>
    <w:rsid w:val="00E83BAC"/>
    <w:rsid w:val="00E87CEC"/>
    <w:rsid w:val="00E91D72"/>
    <w:rsid w:val="00E97CE1"/>
    <w:rsid w:val="00E97F13"/>
    <w:rsid w:val="00EA3E22"/>
    <w:rsid w:val="00EB01FF"/>
    <w:rsid w:val="00EB2995"/>
    <w:rsid w:val="00EC40D3"/>
    <w:rsid w:val="00ED067D"/>
    <w:rsid w:val="00EE4833"/>
    <w:rsid w:val="00EF09A2"/>
    <w:rsid w:val="00EF149C"/>
    <w:rsid w:val="00EF4D6D"/>
    <w:rsid w:val="00EF5358"/>
    <w:rsid w:val="00EF55CC"/>
    <w:rsid w:val="00F02EAA"/>
    <w:rsid w:val="00F04729"/>
    <w:rsid w:val="00F45F9D"/>
    <w:rsid w:val="00F5304F"/>
    <w:rsid w:val="00F530CB"/>
    <w:rsid w:val="00F64727"/>
    <w:rsid w:val="00F672D4"/>
    <w:rsid w:val="00F67AFC"/>
    <w:rsid w:val="00F80DE5"/>
    <w:rsid w:val="00F82F27"/>
    <w:rsid w:val="00FA0B2E"/>
    <w:rsid w:val="00FA2743"/>
    <w:rsid w:val="00FC1759"/>
    <w:rsid w:val="00FC1D1A"/>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AC77"/>
  <w15:docId w15:val="{BB76189C-34CC-4EDD-BD67-11B5FA3B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99"/>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CA6C9D"/>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AR bullet 1,List Paragraph1,Number Paragraph,Recommendation,List Paragraph11,Bulleted Para,CV text,Dot pt,F5 List Paragraph,FooterText,L,List Paragraph111,List Paragraph2,Medium Grid 1 - Accent 21,NFP GP Bulleted List,Numbered Paragraph"/>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71381A"/>
    <w:pPr>
      <w:numPr>
        <w:ilvl w:val="1"/>
        <w:numId w:val="13"/>
      </w:numPr>
    </w:pPr>
  </w:style>
  <w:style w:type="paragraph" w:customStyle="1" w:styleId="Tablenumberedlist3">
    <w:name w:val="Table numbered list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paragraph" w:customStyle="1" w:styleId="BodyText1">
    <w:name w:val="Body Text 1"/>
    <w:uiPriority w:val="2"/>
    <w:qFormat/>
    <w:rsid w:val="00D92764"/>
    <w:pPr>
      <w:spacing w:before="120" w:after="120" w:line="276" w:lineRule="auto"/>
    </w:pPr>
    <w:rPr>
      <w:rFonts w:asciiTheme="minorHAnsi" w:eastAsiaTheme="minorHAnsi" w:hAnsiTheme="minorHAnsi" w:cstheme="minorBidi"/>
      <w:sz w:val="22"/>
      <w:szCs w:val="22"/>
      <w:lang w:eastAsia="en-US"/>
    </w:rPr>
  </w:style>
  <w:style w:type="character" w:customStyle="1" w:styleId="ListParagraphChar">
    <w:name w:val="List Paragraph Char"/>
    <w:aliases w:val="AR bullet 1 Char,List Paragraph1 Char,Number Paragraph Char,Recommendation Char,List Paragraph11 Char,Bulleted Para Char,CV text Char,Dot pt Char,F5 List Paragraph Char,FooterText Char,L Char,List Paragraph111 Char"/>
    <w:basedOn w:val="DefaultParagraphFont"/>
    <w:link w:val="ListParagraph"/>
    <w:uiPriority w:val="34"/>
    <w:qFormat/>
    <w:locked/>
    <w:rsid w:val="001F0B69"/>
    <w:rPr>
      <w:rFonts w:ascii="Calibri" w:eastAsiaTheme="minorHAnsi" w:hAnsi="Calibri" w:cs="Calibri"/>
      <w:sz w:val="22"/>
      <w:szCs w:val="22"/>
      <w:lang w:eastAsia="en-US"/>
    </w:rPr>
  </w:style>
  <w:style w:type="paragraph" w:customStyle="1" w:styleId="Tablebodytext">
    <w:name w:val="Table body text"/>
    <w:uiPriority w:val="12"/>
    <w:qFormat/>
    <w:rsid w:val="00134A68"/>
    <w:pPr>
      <w:spacing w:before="60" w:after="60"/>
    </w:pPr>
    <w:rPr>
      <w:rFonts w:asciiTheme="minorHAnsi" w:eastAsiaTheme="minorHAnsi" w:hAnsiTheme="minorHAnsi" w:cstheme="minorBidi"/>
      <w:color w:val="000000" w:themeColor="text1"/>
      <w:lang w:eastAsia="en-US"/>
    </w:rPr>
  </w:style>
  <w:style w:type="paragraph" w:styleId="Revision">
    <w:name w:val="Revision"/>
    <w:hidden/>
    <w:uiPriority w:val="99"/>
    <w:semiHidden/>
    <w:rsid w:val="009205CD"/>
    <w:rPr>
      <w:rFonts w:asciiTheme="minorHAnsi" w:eastAsiaTheme="minorHAnsi" w:hAnsiTheme="minorHAnsi" w:cstheme="minorBidi"/>
      <w:sz w:val="22"/>
      <w:szCs w:val="22"/>
      <w:lang w:eastAsia="en-US"/>
    </w:rPr>
  </w:style>
  <w:style w:type="paragraph" w:customStyle="1" w:styleId="Default">
    <w:name w:val="Default"/>
    <w:rsid w:val="0063211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publication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inance.gov.au/sites/default/files/2023-11/Net_Zero_Government_Operations_Strategy.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finance.gov.au/sites/default/files/2023-11/Net_Zero_Government_Operations_Strate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finance.gov.au/sites/default/files/2023-11/Net_Zero_Government_Operations_Strategy.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finance.gov.au/sites/default/files/2023-11/Net_Zero_Government_Operations_Strategy.pdf"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finance.gov.au/sites/default/files/2023-11/Net_Zero_Government_Operations_Strateg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894D42A-1553-4EE2-BD43-6CB514209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0</TotalTime>
  <Pages>11</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19033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Hodge, Leanne</dc:creator>
  <cp:lastModifiedBy>Hodge, Leanne</cp:lastModifiedBy>
  <cp:revision>2</cp:revision>
  <cp:lastPrinted>2024-08-19T02:18:00Z</cp:lastPrinted>
  <dcterms:created xsi:type="dcterms:W3CDTF">2025-03-05T00:58:00Z</dcterms:created>
  <dcterms:modified xsi:type="dcterms:W3CDTF">2025-03-05T00:58:00Z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608e1b88,3ad7fdd8,7444fd5b</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8d70cd,6a0c1f8e,f055d4a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2024-02-26T05:31:16Z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f2315ad5-223c-42ef-ae49-8e632c168e07</vt:lpwstr>
  </property>
  <property fmtid="{D5CDD505-2E9C-101B-9397-08002B2CF9AE}" pid="15" name="MSIP_Label_933d8be6-3c40-4052-87a2-9c2adcba8759_ContentBits">
    <vt:lpwstr>3</vt:lpwstr>
  </property>
</Properties>
</file>