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1D0B7" w14:textId="1962B0BA" w:rsidR="00764D6A" w:rsidRDefault="00BF09E3" w:rsidP="004C320D">
      <w:pPr>
        <w:pStyle w:val="Heading1"/>
      </w:pPr>
      <w:r>
        <w:rPr>
          <w:noProof/>
        </w:rPr>
        <w:drawing>
          <wp:anchor distT="0" distB="0" distL="114300" distR="114300" simplePos="0" relativeHeight="251658240" behindDoc="1" locked="0" layoutInCell="1" allowOverlap="1" wp14:anchorId="0F16C50E" wp14:editId="6707EA26">
            <wp:simplePos x="0" y="0"/>
            <wp:positionH relativeFrom="page">
              <wp:align>left</wp:align>
            </wp:positionH>
            <wp:positionV relativeFrom="paragraph">
              <wp:posOffset>-1001662</wp:posOffset>
            </wp:positionV>
            <wp:extent cx="7566403" cy="10702800"/>
            <wp:effectExtent l="0" t="0" r="0" b="3810"/>
            <wp:wrapNone/>
            <wp:docPr id="533614823" name="Picture 533614823"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r w:rsidR="007420A6">
        <w:t>Cost recovery implementation statement: horticulture exports 2025</w:t>
      </w:r>
      <w:r w:rsidR="005C2C03">
        <w:t>–</w:t>
      </w:r>
      <w:r w:rsidR="007420A6">
        <w:t>26</w:t>
      </w:r>
    </w:p>
    <w:p w14:paraId="5530F484" w14:textId="77777777" w:rsidR="00764D6A" w:rsidRDefault="00E91D72">
      <w:pPr>
        <w:pStyle w:val="Normalsmall"/>
      </w:pPr>
      <w:r>
        <w:br w:type="page"/>
      </w:r>
      <w:r>
        <w:lastRenderedPageBreak/>
        <w:t xml:space="preserve">© Commonwealth of Australia </w:t>
      </w:r>
      <w:r w:rsidR="00B97E61">
        <w:t>202</w:t>
      </w:r>
      <w:r w:rsidR="0062542B">
        <w:t>5</w:t>
      </w:r>
    </w:p>
    <w:p w14:paraId="5221457E" w14:textId="77777777" w:rsidR="00764D6A" w:rsidRDefault="00E91D72">
      <w:pPr>
        <w:pStyle w:val="Normalsmall"/>
        <w:rPr>
          <w:rStyle w:val="Strong"/>
        </w:rPr>
      </w:pPr>
      <w:r>
        <w:rPr>
          <w:rStyle w:val="Strong"/>
        </w:rPr>
        <w:t>Ownership of intellectual property rights</w:t>
      </w:r>
    </w:p>
    <w:p w14:paraId="6173CEEF"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2D690B3" w14:textId="77777777" w:rsidR="00764D6A" w:rsidRDefault="00E91D72">
      <w:pPr>
        <w:pStyle w:val="Normalsmall"/>
        <w:rPr>
          <w:rStyle w:val="Strong"/>
        </w:rPr>
      </w:pPr>
      <w:r>
        <w:rPr>
          <w:rStyle w:val="Strong"/>
        </w:rPr>
        <w:t>Creative Commons licence</w:t>
      </w:r>
    </w:p>
    <w:p w14:paraId="6C79EFC0"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1CEF98F4" w14:textId="77777777" w:rsidR="00764D6A" w:rsidRPr="00364A4A" w:rsidRDefault="00E91D72">
      <w:pPr>
        <w:pStyle w:val="Normalsmall"/>
      </w:pPr>
      <w:r w:rsidRPr="00364A4A">
        <w:rPr>
          <w:noProof/>
          <w:lang w:eastAsia="en-AU"/>
        </w:rPr>
        <w:drawing>
          <wp:inline distT="0" distB="0" distL="0" distR="0" wp14:anchorId="07C30FBC" wp14:editId="613F523F">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ECB9A64" w14:textId="77777777" w:rsidR="00764D6A" w:rsidRPr="00364A4A" w:rsidRDefault="00E91D72">
      <w:pPr>
        <w:pStyle w:val="Normalsmall"/>
        <w:rPr>
          <w:rStyle w:val="Strong"/>
        </w:rPr>
      </w:pPr>
      <w:r w:rsidRPr="00364A4A">
        <w:rPr>
          <w:rStyle w:val="Strong"/>
        </w:rPr>
        <w:t>Cataloguing data</w:t>
      </w:r>
    </w:p>
    <w:p w14:paraId="53EEA852" w14:textId="64C2B66F" w:rsidR="00764D6A" w:rsidRDefault="00E91D72">
      <w:pPr>
        <w:pStyle w:val="Normalsmall"/>
      </w:pPr>
      <w:r w:rsidRPr="00364A4A">
        <w:t xml:space="preserve">This publication (and any material </w:t>
      </w:r>
      <w:r w:rsidRPr="00B913D3">
        <w:t xml:space="preserve">sourced from it) should be attributed as: </w:t>
      </w:r>
      <w:r w:rsidR="009D5007" w:rsidRPr="00B913D3">
        <w:t>DA</w:t>
      </w:r>
      <w:r w:rsidR="00DE0AAE" w:rsidRPr="00B913D3">
        <w:t>FF</w:t>
      </w:r>
      <w:r w:rsidR="00B97E61" w:rsidRPr="00B913D3">
        <w:t xml:space="preserve"> 202</w:t>
      </w:r>
      <w:r w:rsidR="0062542B" w:rsidRPr="00B913D3">
        <w:t>5</w:t>
      </w:r>
      <w:r w:rsidRPr="00B913D3">
        <w:t xml:space="preserve">, </w:t>
      </w:r>
      <w:r w:rsidR="00B913D3" w:rsidRPr="00B913D3">
        <w:rPr>
          <w:i/>
        </w:rPr>
        <w:t>Cost</w:t>
      </w:r>
      <w:r w:rsidR="00B913D3">
        <w:rPr>
          <w:i/>
        </w:rPr>
        <w:t xml:space="preserve"> recovery implementation statement: horticulture exports </w:t>
      </w:r>
      <w:r w:rsidR="003929D5">
        <w:rPr>
          <w:i/>
        </w:rPr>
        <w:t>2025-26</w:t>
      </w:r>
      <w:r>
        <w:t xml:space="preserve">, </w:t>
      </w:r>
      <w:r w:rsidR="00DE0AAE" w:rsidRPr="00DE0AAE">
        <w:t>Department of Agriculture, Fisheries and Forestry</w:t>
      </w:r>
      <w:r>
        <w:t xml:space="preserve">, Canberra, </w:t>
      </w:r>
      <w:r w:rsidR="00B913D3">
        <w:t>July.</w:t>
      </w:r>
      <w:r>
        <w:t xml:space="preserve"> CC BY 4.0.</w:t>
      </w:r>
    </w:p>
    <w:p w14:paraId="38B1092A" w14:textId="77777777" w:rsidR="00B913D3" w:rsidRPr="00B913D3" w:rsidRDefault="00E91D72" w:rsidP="00B913D3">
      <w:pPr>
        <w:pStyle w:val="Normalsmall"/>
      </w:pPr>
      <w:r>
        <w:t xml:space="preserve">This </w:t>
      </w:r>
      <w:r w:rsidRPr="00364A4A">
        <w:t xml:space="preserve">publication is available at </w:t>
      </w:r>
      <w:hyperlink r:id="rId14" w:history="1">
        <w:r w:rsidR="00B913D3" w:rsidRPr="00B913D3">
          <w:rPr>
            <w:rStyle w:val="Hyperlink"/>
          </w:rPr>
          <w:t>agriculture.gov.au/about/fees/cost-recovery-2025-26</w:t>
        </w:r>
      </w:hyperlink>
      <w:r w:rsidR="00B913D3" w:rsidRPr="00B913D3">
        <w:t xml:space="preserve">. </w:t>
      </w:r>
    </w:p>
    <w:p w14:paraId="2246AA1B" w14:textId="77777777" w:rsidR="00DE0AAE" w:rsidRDefault="00DE0AAE">
      <w:pPr>
        <w:pStyle w:val="Normalsmall"/>
        <w:spacing w:after="0"/>
      </w:pPr>
      <w:r w:rsidRPr="00DE0AAE">
        <w:t>Department of Agriculture, Fisheries and Forestry</w:t>
      </w:r>
    </w:p>
    <w:p w14:paraId="0BF89645" w14:textId="77777777" w:rsidR="00764D6A" w:rsidRPr="00364A4A" w:rsidRDefault="00E91D72">
      <w:pPr>
        <w:pStyle w:val="Normalsmall"/>
        <w:spacing w:after="0"/>
      </w:pPr>
      <w:r w:rsidRPr="00364A4A">
        <w:t>GPO Box 858 Canberra ACT 2601</w:t>
      </w:r>
    </w:p>
    <w:p w14:paraId="5AA97AFB" w14:textId="77777777" w:rsidR="00764D6A" w:rsidRPr="00364A4A" w:rsidRDefault="00E91D72">
      <w:pPr>
        <w:pStyle w:val="Normalsmall"/>
        <w:spacing w:after="0"/>
      </w:pPr>
      <w:r w:rsidRPr="00364A4A">
        <w:t>Telephone 1800 900 090</w:t>
      </w:r>
    </w:p>
    <w:p w14:paraId="32DFC594" w14:textId="77777777" w:rsidR="00764D6A" w:rsidRPr="00364A4A" w:rsidRDefault="00E91D72">
      <w:pPr>
        <w:pStyle w:val="Normalsmall"/>
      </w:pPr>
      <w:r w:rsidRPr="00364A4A">
        <w:t xml:space="preserve">Web </w:t>
      </w:r>
      <w:hyperlink r:id="rId15" w:history="1">
        <w:r w:rsidR="00DE0AAE" w:rsidRPr="00364A4A">
          <w:rPr>
            <w:rStyle w:val="Hyperlink"/>
          </w:rPr>
          <w:t>agriculture.gov.au</w:t>
        </w:r>
      </w:hyperlink>
    </w:p>
    <w:p w14:paraId="4DAB82CD" w14:textId="77777777" w:rsidR="007C358A" w:rsidRDefault="007C358A">
      <w:pPr>
        <w:pStyle w:val="Normalsmall"/>
      </w:pPr>
      <w:r w:rsidRPr="00364A4A">
        <w:rPr>
          <w:rStyle w:val="Strong"/>
        </w:rPr>
        <w:t>Disclaimer</w:t>
      </w:r>
    </w:p>
    <w:p w14:paraId="47C5C99D"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3DD71DC" w14:textId="77777777" w:rsidR="00B02B9B" w:rsidRDefault="00B02B9B" w:rsidP="00B02B9B">
      <w:pPr>
        <w:pStyle w:val="Normalsmall"/>
      </w:pPr>
      <w:r>
        <w:rPr>
          <w:rStyle w:val="Strong"/>
        </w:rPr>
        <w:t>Acknowledgement of Country</w:t>
      </w:r>
    </w:p>
    <w:p w14:paraId="116602BB" w14:textId="77777777" w:rsidR="00517A68" w:rsidRDefault="00DE21ED" w:rsidP="00432172">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2BAA41F" w14:textId="1591FC4A"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2D371580" w14:textId="6FF150A7" w:rsidR="00764D6A" w:rsidRDefault="00E91D72">
          <w:pPr>
            <w:pStyle w:val="TOCHeading"/>
          </w:pPr>
          <w:r>
            <w:t>Contents</w:t>
          </w:r>
        </w:p>
        <w:p w14:paraId="7921AC1D" w14:textId="6FD542F0" w:rsidR="00043166"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98898868" w:history="1">
            <w:r w:rsidR="00043166" w:rsidRPr="008317D7">
              <w:rPr>
                <w:rStyle w:val="Hyperlink"/>
              </w:rPr>
              <w:t>Summary</w:t>
            </w:r>
            <w:r w:rsidR="00043166">
              <w:rPr>
                <w:webHidden/>
              </w:rPr>
              <w:tab/>
            </w:r>
            <w:r w:rsidR="00043166">
              <w:rPr>
                <w:webHidden/>
              </w:rPr>
              <w:fldChar w:fldCharType="begin"/>
            </w:r>
            <w:r w:rsidR="00043166">
              <w:rPr>
                <w:webHidden/>
              </w:rPr>
              <w:instrText xml:space="preserve"> PAGEREF _Toc198898868 \h </w:instrText>
            </w:r>
            <w:r w:rsidR="00043166">
              <w:rPr>
                <w:webHidden/>
              </w:rPr>
            </w:r>
            <w:r w:rsidR="00043166">
              <w:rPr>
                <w:webHidden/>
              </w:rPr>
              <w:fldChar w:fldCharType="separate"/>
            </w:r>
            <w:r w:rsidR="0001784A">
              <w:rPr>
                <w:webHidden/>
              </w:rPr>
              <w:t>1</w:t>
            </w:r>
            <w:r w:rsidR="00043166">
              <w:rPr>
                <w:webHidden/>
              </w:rPr>
              <w:fldChar w:fldCharType="end"/>
            </w:r>
          </w:hyperlink>
        </w:p>
        <w:p w14:paraId="1BD4DD22" w14:textId="7882EC3B" w:rsidR="00043166" w:rsidRDefault="00043166">
          <w:pPr>
            <w:pStyle w:val="TOC1"/>
            <w:rPr>
              <w:rFonts w:eastAsiaTheme="minorEastAsia"/>
              <w:b w:val="0"/>
              <w:kern w:val="2"/>
              <w:sz w:val="24"/>
              <w:szCs w:val="24"/>
              <w:lang w:eastAsia="en-AU"/>
              <w14:ligatures w14:val="standardContextual"/>
            </w:rPr>
          </w:pPr>
          <w:hyperlink w:anchor="_Toc198898869" w:history="1">
            <w:r w:rsidRPr="008317D7">
              <w:rPr>
                <w:rStyle w:val="Hyperlink"/>
              </w:rPr>
              <w:t>1</w:t>
            </w:r>
            <w:r>
              <w:rPr>
                <w:rFonts w:eastAsiaTheme="minorEastAsia"/>
                <w:b w:val="0"/>
                <w:kern w:val="2"/>
                <w:sz w:val="24"/>
                <w:szCs w:val="24"/>
                <w:lang w:eastAsia="en-AU"/>
                <w14:ligatures w14:val="standardContextual"/>
              </w:rPr>
              <w:tab/>
            </w:r>
            <w:r w:rsidRPr="008317D7">
              <w:rPr>
                <w:rStyle w:val="Hyperlink"/>
              </w:rPr>
              <w:t>Policy and statutory authority to cost recover</w:t>
            </w:r>
            <w:r>
              <w:rPr>
                <w:webHidden/>
              </w:rPr>
              <w:tab/>
            </w:r>
            <w:r>
              <w:rPr>
                <w:webHidden/>
              </w:rPr>
              <w:fldChar w:fldCharType="begin"/>
            </w:r>
            <w:r>
              <w:rPr>
                <w:webHidden/>
              </w:rPr>
              <w:instrText xml:space="preserve"> PAGEREF _Toc198898869 \h </w:instrText>
            </w:r>
            <w:r>
              <w:rPr>
                <w:webHidden/>
              </w:rPr>
            </w:r>
            <w:r>
              <w:rPr>
                <w:webHidden/>
              </w:rPr>
              <w:fldChar w:fldCharType="separate"/>
            </w:r>
            <w:r w:rsidR="0001784A">
              <w:rPr>
                <w:webHidden/>
              </w:rPr>
              <w:t>2</w:t>
            </w:r>
            <w:r>
              <w:rPr>
                <w:webHidden/>
              </w:rPr>
              <w:fldChar w:fldCharType="end"/>
            </w:r>
          </w:hyperlink>
        </w:p>
        <w:p w14:paraId="503419EC" w14:textId="0C47977B" w:rsidR="00043166" w:rsidRDefault="00043166">
          <w:pPr>
            <w:pStyle w:val="TOC2"/>
            <w:tabs>
              <w:tab w:val="left" w:pos="1200"/>
            </w:tabs>
            <w:rPr>
              <w:rFonts w:eastAsiaTheme="minorEastAsia"/>
              <w:kern w:val="2"/>
              <w:sz w:val="24"/>
              <w:szCs w:val="24"/>
              <w:lang w:eastAsia="en-AU"/>
              <w14:ligatures w14:val="standardContextual"/>
            </w:rPr>
          </w:pPr>
          <w:hyperlink w:anchor="_Toc198898870" w:history="1">
            <w:r w:rsidRPr="008317D7">
              <w:rPr>
                <w:rStyle w:val="Hyperlink"/>
              </w:rPr>
              <w:t>1.1</w:t>
            </w:r>
            <w:r>
              <w:rPr>
                <w:rFonts w:eastAsiaTheme="minorEastAsia"/>
                <w:kern w:val="2"/>
                <w:sz w:val="24"/>
                <w:szCs w:val="24"/>
                <w:lang w:eastAsia="en-AU"/>
                <w14:ligatures w14:val="standardContextual"/>
              </w:rPr>
              <w:tab/>
            </w:r>
            <w:r w:rsidRPr="008317D7">
              <w:rPr>
                <w:rStyle w:val="Hyperlink"/>
              </w:rPr>
              <w:t>About the department</w:t>
            </w:r>
            <w:r>
              <w:rPr>
                <w:webHidden/>
              </w:rPr>
              <w:tab/>
            </w:r>
            <w:r>
              <w:rPr>
                <w:webHidden/>
              </w:rPr>
              <w:fldChar w:fldCharType="begin"/>
            </w:r>
            <w:r>
              <w:rPr>
                <w:webHidden/>
              </w:rPr>
              <w:instrText xml:space="preserve"> PAGEREF _Toc198898870 \h </w:instrText>
            </w:r>
            <w:r>
              <w:rPr>
                <w:webHidden/>
              </w:rPr>
            </w:r>
            <w:r>
              <w:rPr>
                <w:webHidden/>
              </w:rPr>
              <w:fldChar w:fldCharType="separate"/>
            </w:r>
            <w:r w:rsidR="0001784A">
              <w:rPr>
                <w:webHidden/>
              </w:rPr>
              <w:t>2</w:t>
            </w:r>
            <w:r>
              <w:rPr>
                <w:webHidden/>
              </w:rPr>
              <w:fldChar w:fldCharType="end"/>
            </w:r>
          </w:hyperlink>
        </w:p>
        <w:p w14:paraId="79D351E4" w14:textId="3CEAF662" w:rsidR="00043166" w:rsidRDefault="00043166">
          <w:pPr>
            <w:pStyle w:val="TOC2"/>
            <w:tabs>
              <w:tab w:val="left" w:pos="1200"/>
            </w:tabs>
            <w:rPr>
              <w:rFonts w:eastAsiaTheme="minorEastAsia"/>
              <w:kern w:val="2"/>
              <w:sz w:val="24"/>
              <w:szCs w:val="24"/>
              <w:lang w:eastAsia="en-AU"/>
              <w14:ligatures w14:val="standardContextual"/>
            </w:rPr>
          </w:pPr>
          <w:hyperlink w:anchor="_Toc198898871" w:history="1">
            <w:r w:rsidRPr="008317D7">
              <w:rPr>
                <w:rStyle w:val="Hyperlink"/>
              </w:rPr>
              <w:t>1.2</w:t>
            </w:r>
            <w:r>
              <w:rPr>
                <w:rFonts w:eastAsiaTheme="minorEastAsia"/>
                <w:kern w:val="2"/>
                <w:sz w:val="24"/>
                <w:szCs w:val="24"/>
                <w:lang w:eastAsia="en-AU"/>
                <w14:ligatures w14:val="standardContextual"/>
              </w:rPr>
              <w:tab/>
            </w:r>
            <w:r w:rsidRPr="008317D7">
              <w:rPr>
                <w:rStyle w:val="Hyperlink"/>
              </w:rPr>
              <w:t>Government policy approval to cost recover</w:t>
            </w:r>
            <w:r>
              <w:rPr>
                <w:webHidden/>
              </w:rPr>
              <w:tab/>
            </w:r>
            <w:r>
              <w:rPr>
                <w:webHidden/>
              </w:rPr>
              <w:fldChar w:fldCharType="begin"/>
            </w:r>
            <w:r>
              <w:rPr>
                <w:webHidden/>
              </w:rPr>
              <w:instrText xml:space="preserve"> PAGEREF _Toc198898871 \h </w:instrText>
            </w:r>
            <w:r>
              <w:rPr>
                <w:webHidden/>
              </w:rPr>
            </w:r>
            <w:r>
              <w:rPr>
                <w:webHidden/>
              </w:rPr>
              <w:fldChar w:fldCharType="separate"/>
            </w:r>
            <w:r w:rsidR="0001784A">
              <w:rPr>
                <w:webHidden/>
              </w:rPr>
              <w:t>2</w:t>
            </w:r>
            <w:r>
              <w:rPr>
                <w:webHidden/>
              </w:rPr>
              <w:fldChar w:fldCharType="end"/>
            </w:r>
          </w:hyperlink>
        </w:p>
        <w:p w14:paraId="3AF98BE5" w14:textId="62A173CC" w:rsidR="00043166" w:rsidRDefault="00043166">
          <w:pPr>
            <w:pStyle w:val="TOC2"/>
            <w:tabs>
              <w:tab w:val="left" w:pos="1200"/>
            </w:tabs>
            <w:rPr>
              <w:rFonts w:eastAsiaTheme="minorEastAsia"/>
              <w:kern w:val="2"/>
              <w:sz w:val="24"/>
              <w:szCs w:val="24"/>
              <w:lang w:eastAsia="en-AU"/>
              <w14:ligatures w14:val="standardContextual"/>
            </w:rPr>
          </w:pPr>
          <w:hyperlink w:anchor="_Toc198898872" w:history="1">
            <w:r w:rsidRPr="008317D7">
              <w:rPr>
                <w:rStyle w:val="Hyperlink"/>
              </w:rPr>
              <w:t>1.3</w:t>
            </w:r>
            <w:r>
              <w:rPr>
                <w:rFonts w:eastAsiaTheme="minorEastAsia"/>
                <w:kern w:val="2"/>
                <w:sz w:val="24"/>
                <w:szCs w:val="24"/>
                <w:lang w:eastAsia="en-AU"/>
                <w14:ligatures w14:val="standardContextual"/>
              </w:rPr>
              <w:tab/>
            </w:r>
            <w:r w:rsidRPr="008317D7">
              <w:rPr>
                <w:rStyle w:val="Hyperlink"/>
              </w:rPr>
              <w:t>Statutory authority to apply fees and charges</w:t>
            </w:r>
            <w:r>
              <w:rPr>
                <w:webHidden/>
              </w:rPr>
              <w:tab/>
            </w:r>
            <w:r>
              <w:rPr>
                <w:webHidden/>
              </w:rPr>
              <w:fldChar w:fldCharType="begin"/>
            </w:r>
            <w:r>
              <w:rPr>
                <w:webHidden/>
              </w:rPr>
              <w:instrText xml:space="preserve"> PAGEREF _Toc198898872 \h </w:instrText>
            </w:r>
            <w:r>
              <w:rPr>
                <w:webHidden/>
              </w:rPr>
            </w:r>
            <w:r>
              <w:rPr>
                <w:webHidden/>
              </w:rPr>
              <w:fldChar w:fldCharType="separate"/>
            </w:r>
            <w:r w:rsidR="0001784A">
              <w:rPr>
                <w:webHidden/>
              </w:rPr>
              <w:t>4</w:t>
            </w:r>
            <w:r>
              <w:rPr>
                <w:webHidden/>
              </w:rPr>
              <w:fldChar w:fldCharType="end"/>
            </w:r>
          </w:hyperlink>
        </w:p>
        <w:p w14:paraId="1278919B" w14:textId="5C2CFE51" w:rsidR="00043166" w:rsidRDefault="00043166">
          <w:pPr>
            <w:pStyle w:val="TOC2"/>
            <w:tabs>
              <w:tab w:val="left" w:pos="1200"/>
            </w:tabs>
            <w:rPr>
              <w:rFonts w:eastAsiaTheme="minorEastAsia"/>
              <w:kern w:val="2"/>
              <w:sz w:val="24"/>
              <w:szCs w:val="24"/>
              <w:lang w:eastAsia="en-AU"/>
              <w14:ligatures w14:val="standardContextual"/>
            </w:rPr>
          </w:pPr>
          <w:hyperlink w:anchor="_Toc198898873" w:history="1">
            <w:r w:rsidRPr="008317D7">
              <w:rPr>
                <w:rStyle w:val="Hyperlink"/>
              </w:rPr>
              <w:t>1.4</w:t>
            </w:r>
            <w:r>
              <w:rPr>
                <w:rFonts w:eastAsiaTheme="minorEastAsia"/>
                <w:kern w:val="2"/>
                <w:sz w:val="24"/>
                <w:szCs w:val="24"/>
                <w:lang w:eastAsia="en-AU"/>
                <w14:ligatures w14:val="standardContextual"/>
              </w:rPr>
              <w:tab/>
            </w:r>
            <w:r w:rsidRPr="008317D7">
              <w:rPr>
                <w:rStyle w:val="Hyperlink"/>
              </w:rPr>
              <w:t>Who pays for regulatory activities</w:t>
            </w:r>
            <w:r>
              <w:rPr>
                <w:webHidden/>
              </w:rPr>
              <w:tab/>
            </w:r>
            <w:r>
              <w:rPr>
                <w:webHidden/>
              </w:rPr>
              <w:fldChar w:fldCharType="begin"/>
            </w:r>
            <w:r>
              <w:rPr>
                <w:webHidden/>
              </w:rPr>
              <w:instrText xml:space="preserve"> PAGEREF _Toc198898873 \h </w:instrText>
            </w:r>
            <w:r>
              <w:rPr>
                <w:webHidden/>
              </w:rPr>
            </w:r>
            <w:r>
              <w:rPr>
                <w:webHidden/>
              </w:rPr>
              <w:fldChar w:fldCharType="separate"/>
            </w:r>
            <w:r w:rsidR="0001784A">
              <w:rPr>
                <w:webHidden/>
              </w:rPr>
              <w:t>4</w:t>
            </w:r>
            <w:r>
              <w:rPr>
                <w:webHidden/>
              </w:rPr>
              <w:fldChar w:fldCharType="end"/>
            </w:r>
          </w:hyperlink>
        </w:p>
        <w:p w14:paraId="3676B0BD" w14:textId="454F8E4F" w:rsidR="00043166" w:rsidRDefault="00043166">
          <w:pPr>
            <w:pStyle w:val="TOC1"/>
            <w:rPr>
              <w:rFonts w:eastAsiaTheme="minorEastAsia"/>
              <w:b w:val="0"/>
              <w:kern w:val="2"/>
              <w:sz w:val="24"/>
              <w:szCs w:val="24"/>
              <w:lang w:eastAsia="en-AU"/>
              <w14:ligatures w14:val="standardContextual"/>
            </w:rPr>
          </w:pPr>
          <w:hyperlink w:anchor="_Toc198898874" w:history="1">
            <w:r w:rsidRPr="008317D7">
              <w:rPr>
                <w:rStyle w:val="Hyperlink"/>
              </w:rPr>
              <w:t>2</w:t>
            </w:r>
            <w:r>
              <w:rPr>
                <w:rFonts w:eastAsiaTheme="minorEastAsia"/>
                <w:b w:val="0"/>
                <w:kern w:val="2"/>
                <w:sz w:val="24"/>
                <w:szCs w:val="24"/>
                <w:lang w:eastAsia="en-AU"/>
                <w14:ligatures w14:val="standardContextual"/>
              </w:rPr>
              <w:tab/>
            </w:r>
            <w:r w:rsidRPr="008317D7">
              <w:rPr>
                <w:rStyle w:val="Hyperlink"/>
              </w:rPr>
              <w:t>Risk assessment</w:t>
            </w:r>
            <w:r>
              <w:rPr>
                <w:webHidden/>
              </w:rPr>
              <w:tab/>
            </w:r>
            <w:r>
              <w:rPr>
                <w:webHidden/>
              </w:rPr>
              <w:fldChar w:fldCharType="begin"/>
            </w:r>
            <w:r>
              <w:rPr>
                <w:webHidden/>
              </w:rPr>
              <w:instrText xml:space="preserve"> PAGEREF _Toc198898874 \h </w:instrText>
            </w:r>
            <w:r>
              <w:rPr>
                <w:webHidden/>
              </w:rPr>
            </w:r>
            <w:r>
              <w:rPr>
                <w:webHidden/>
              </w:rPr>
              <w:fldChar w:fldCharType="separate"/>
            </w:r>
            <w:r w:rsidR="0001784A">
              <w:rPr>
                <w:webHidden/>
              </w:rPr>
              <w:t>5</w:t>
            </w:r>
            <w:r>
              <w:rPr>
                <w:webHidden/>
              </w:rPr>
              <w:fldChar w:fldCharType="end"/>
            </w:r>
          </w:hyperlink>
        </w:p>
        <w:p w14:paraId="02671CCE" w14:textId="37C4FF73" w:rsidR="00043166" w:rsidRDefault="00043166">
          <w:pPr>
            <w:pStyle w:val="TOC2"/>
            <w:tabs>
              <w:tab w:val="left" w:pos="1200"/>
            </w:tabs>
            <w:rPr>
              <w:rFonts w:eastAsiaTheme="minorEastAsia"/>
              <w:kern w:val="2"/>
              <w:sz w:val="24"/>
              <w:szCs w:val="24"/>
              <w:lang w:eastAsia="en-AU"/>
              <w14:ligatures w14:val="standardContextual"/>
            </w:rPr>
          </w:pPr>
          <w:hyperlink w:anchor="_Toc198898875" w:history="1">
            <w:r w:rsidRPr="008317D7">
              <w:rPr>
                <w:rStyle w:val="Hyperlink"/>
              </w:rPr>
              <w:t>2.1</w:t>
            </w:r>
            <w:r>
              <w:rPr>
                <w:rFonts w:eastAsiaTheme="minorEastAsia"/>
                <w:kern w:val="2"/>
                <w:sz w:val="24"/>
                <w:szCs w:val="24"/>
                <w:lang w:eastAsia="en-AU"/>
                <w14:ligatures w14:val="standardContextual"/>
              </w:rPr>
              <w:tab/>
            </w:r>
            <w:r w:rsidRPr="008317D7">
              <w:rPr>
                <w:rStyle w:val="Hyperlink"/>
              </w:rPr>
              <w:t>Accumulated results</w:t>
            </w:r>
            <w:r>
              <w:rPr>
                <w:webHidden/>
              </w:rPr>
              <w:tab/>
            </w:r>
            <w:r>
              <w:rPr>
                <w:webHidden/>
              </w:rPr>
              <w:fldChar w:fldCharType="begin"/>
            </w:r>
            <w:r>
              <w:rPr>
                <w:webHidden/>
              </w:rPr>
              <w:instrText xml:space="preserve"> PAGEREF _Toc198898875 \h </w:instrText>
            </w:r>
            <w:r>
              <w:rPr>
                <w:webHidden/>
              </w:rPr>
            </w:r>
            <w:r>
              <w:rPr>
                <w:webHidden/>
              </w:rPr>
              <w:fldChar w:fldCharType="separate"/>
            </w:r>
            <w:r w:rsidR="0001784A">
              <w:rPr>
                <w:webHidden/>
              </w:rPr>
              <w:t>6</w:t>
            </w:r>
            <w:r>
              <w:rPr>
                <w:webHidden/>
              </w:rPr>
              <w:fldChar w:fldCharType="end"/>
            </w:r>
          </w:hyperlink>
        </w:p>
        <w:p w14:paraId="48C8ABA8" w14:textId="677E32CD" w:rsidR="00043166" w:rsidRDefault="00043166">
          <w:pPr>
            <w:pStyle w:val="TOC1"/>
            <w:rPr>
              <w:rFonts w:eastAsiaTheme="minorEastAsia"/>
              <w:b w:val="0"/>
              <w:kern w:val="2"/>
              <w:sz w:val="24"/>
              <w:szCs w:val="24"/>
              <w:lang w:eastAsia="en-AU"/>
              <w14:ligatures w14:val="standardContextual"/>
            </w:rPr>
          </w:pPr>
          <w:hyperlink w:anchor="_Toc198898876" w:history="1">
            <w:r w:rsidRPr="008317D7">
              <w:rPr>
                <w:rStyle w:val="Hyperlink"/>
              </w:rPr>
              <w:t>3</w:t>
            </w:r>
            <w:r>
              <w:rPr>
                <w:rFonts w:eastAsiaTheme="minorEastAsia"/>
                <w:b w:val="0"/>
                <w:kern w:val="2"/>
                <w:sz w:val="24"/>
                <w:szCs w:val="24"/>
                <w:lang w:eastAsia="en-AU"/>
                <w14:ligatures w14:val="standardContextual"/>
              </w:rPr>
              <w:tab/>
            </w:r>
            <w:r w:rsidRPr="008317D7">
              <w:rPr>
                <w:rStyle w:val="Hyperlink"/>
              </w:rPr>
              <w:t>Stakeholder consultation</w:t>
            </w:r>
            <w:r>
              <w:rPr>
                <w:webHidden/>
              </w:rPr>
              <w:tab/>
            </w:r>
            <w:r>
              <w:rPr>
                <w:webHidden/>
              </w:rPr>
              <w:fldChar w:fldCharType="begin"/>
            </w:r>
            <w:r>
              <w:rPr>
                <w:webHidden/>
              </w:rPr>
              <w:instrText xml:space="preserve"> PAGEREF _Toc198898876 \h </w:instrText>
            </w:r>
            <w:r>
              <w:rPr>
                <w:webHidden/>
              </w:rPr>
            </w:r>
            <w:r>
              <w:rPr>
                <w:webHidden/>
              </w:rPr>
              <w:fldChar w:fldCharType="separate"/>
            </w:r>
            <w:r w:rsidR="0001784A">
              <w:rPr>
                <w:webHidden/>
              </w:rPr>
              <w:t>7</w:t>
            </w:r>
            <w:r>
              <w:rPr>
                <w:webHidden/>
              </w:rPr>
              <w:fldChar w:fldCharType="end"/>
            </w:r>
          </w:hyperlink>
        </w:p>
        <w:p w14:paraId="556E14F0" w14:textId="2F249D61" w:rsidR="00043166" w:rsidRDefault="00043166">
          <w:pPr>
            <w:pStyle w:val="TOC2"/>
            <w:tabs>
              <w:tab w:val="left" w:pos="1200"/>
            </w:tabs>
            <w:rPr>
              <w:rFonts w:eastAsiaTheme="minorEastAsia"/>
              <w:kern w:val="2"/>
              <w:sz w:val="24"/>
              <w:szCs w:val="24"/>
              <w:lang w:eastAsia="en-AU"/>
              <w14:ligatures w14:val="standardContextual"/>
            </w:rPr>
          </w:pPr>
          <w:hyperlink w:anchor="_Toc198898877" w:history="1">
            <w:r w:rsidRPr="008317D7">
              <w:rPr>
                <w:rStyle w:val="Hyperlink"/>
              </w:rPr>
              <w:t>3.1</w:t>
            </w:r>
            <w:r>
              <w:rPr>
                <w:rFonts w:eastAsiaTheme="minorEastAsia"/>
                <w:kern w:val="2"/>
                <w:sz w:val="24"/>
                <w:szCs w:val="24"/>
                <w:lang w:eastAsia="en-AU"/>
                <w14:ligatures w14:val="standardContextual"/>
              </w:rPr>
              <w:tab/>
            </w:r>
            <w:r w:rsidRPr="008317D7">
              <w:rPr>
                <w:rStyle w:val="Hyperlink"/>
              </w:rPr>
              <w:t>Stakeholder engagement strategy</w:t>
            </w:r>
            <w:r>
              <w:rPr>
                <w:webHidden/>
              </w:rPr>
              <w:tab/>
            </w:r>
            <w:r>
              <w:rPr>
                <w:webHidden/>
              </w:rPr>
              <w:fldChar w:fldCharType="begin"/>
            </w:r>
            <w:r>
              <w:rPr>
                <w:webHidden/>
              </w:rPr>
              <w:instrText xml:space="preserve"> PAGEREF _Toc198898877 \h </w:instrText>
            </w:r>
            <w:r>
              <w:rPr>
                <w:webHidden/>
              </w:rPr>
            </w:r>
            <w:r>
              <w:rPr>
                <w:webHidden/>
              </w:rPr>
              <w:fldChar w:fldCharType="separate"/>
            </w:r>
            <w:r w:rsidR="0001784A">
              <w:rPr>
                <w:webHidden/>
              </w:rPr>
              <w:t>7</w:t>
            </w:r>
            <w:r>
              <w:rPr>
                <w:webHidden/>
              </w:rPr>
              <w:fldChar w:fldCharType="end"/>
            </w:r>
          </w:hyperlink>
        </w:p>
        <w:p w14:paraId="7B2621E9" w14:textId="31186710" w:rsidR="00043166" w:rsidRDefault="00043166">
          <w:pPr>
            <w:pStyle w:val="TOC1"/>
            <w:rPr>
              <w:rFonts w:eastAsiaTheme="minorEastAsia"/>
              <w:b w:val="0"/>
              <w:kern w:val="2"/>
              <w:sz w:val="24"/>
              <w:szCs w:val="24"/>
              <w:lang w:eastAsia="en-AU"/>
              <w14:ligatures w14:val="standardContextual"/>
            </w:rPr>
          </w:pPr>
          <w:hyperlink w:anchor="_Toc198898878" w:history="1">
            <w:r w:rsidRPr="008317D7">
              <w:rPr>
                <w:rStyle w:val="Hyperlink"/>
              </w:rPr>
              <w:t>4</w:t>
            </w:r>
            <w:r>
              <w:rPr>
                <w:rFonts w:eastAsiaTheme="minorEastAsia"/>
                <w:b w:val="0"/>
                <w:kern w:val="2"/>
                <w:sz w:val="24"/>
                <w:szCs w:val="24"/>
                <w:lang w:eastAsia="en-AU"/>
                <w14:ligatures w14:val="standardContextual"/>
              </w:rPr>
              <w:tab/>
            </w:r>
            <w:r w:rsidRPr="008317D7">
              <w:rPr>
                <w:rStyle w:val="Hyperlink"/>
              </w:rPr>
              <w:t>Cost recovery arrangement for horticulture exports</w:t>
            </w:r>
            <w:r>
              <w:rPr>
                <w:webHidden/>
              </w:rPr>
              <w:tab/>
            </w:r>
            <w:r>
              <w:rPr>
                <w:webHidden/>
              </w:rPr>
              <w:fldChar w:fldCharType="begin"/>
            </w:r>
            <w:r>
              <w:rPr>
                <w:webHidden/>
              </w:rPr>
              <w:instrText xml:space="preserve"> PAGEREF _Toc198898878 \h </w:instrText>
            </w:r>
            <w:r>
              <w:rPr>
                <w:webHidden/>
              </w:rPr>
            </w:r>
            <w:r>
              <w:rPr>
                <w:webHidden/>
              </w:rPr>
              <w:fldChar w:fldCharType="separate"/>
            </w:r>
            <w:r w:rsidR="0001784A">
              <w:rPr>
                <w:webHidden/>
              </w:rPr>
              <w:t>9</w:t>
            </w:r>
            <w:r>
              <w:rPr>
                <w:webHidden/>
              </w:rPr>
              <w:fldChar w:fldCharType="end"/>
            </w:r>
          </w:hyperlink>
        </w:p>
        <w:p w14:paraId="00EFE8FA" w14:textId="1A71AF09" w:rsidR="00043166" w:rsidRDefault="00043166">
          <w:pPr>
            <w:pStyle w:val="TOC2"/>
            <w:tabs>
              <w:tab w:val="left" w:pos="1200"/>
            </w:tabs>
            <w:rPr>
              <w:rFonts w:eastAsiaTheme="minorEastAsia"/>
              <w:kern w:val="2"/>
              <w:sz w:val="24"/>
              <w:szCs w:val="24"/>
              <w:lang w:eastAsia="en-AU"/>
              <w14:ligatures w14:val="standardContextual"/>
            </w:rPr>
          </w:pPr>
          <w:hyperlink w:anchor="_Toc198898879" w:history="1">
            <w:r w:rsidRPr="008317D7">
              <w:rPr>
                <w:rStyle w:val="Hyperlink"/>
              </w:rPr>
              <w:t>4.1</w:t>
            </w:r>
            <w:r>
              <w:rPr>
                <w:rFonts w:eastAsiaTheme="minorEastAsia"/>
                <w:kern w:val="2"/>
                <w:sz w:val="24"/>
                <w:szCs w:val="24"/>
                <w:lang w:eastAsia="en-AU"/>
                <w14:ligatures w14:val="standardContextual"/>
              </w:rPr>
              <w:tab/>
            </w:r>
            <w:r w:rsidRPr="008317D7">
              <w:rPr>
                <w:rStyle w:val="Hyperlink"/>
              </w:rPr>
              <w:t>Description of the regulatory activity</w:t>
            </w:r>
            <w:r>
              <w:rPr>
                <w:webHidden/>
              </w:rPr>
              <w:tab/>
            </w:r>
            <w:r>
              <w:rPr>
                <w:webHidden/>
              </w:rPr>
              <w:fldChar w:fldCharType="begin"/>
            </w:r>
            <w:r>
              <w:rPr>
                <w:webHidden/>
              </w:rPr>
              <w:instrText xml:space="preserve"> PAGEREF _Toc198898879 \h </w:instrText>
            </w:r>
            <w:r>
              <w:rPr>
                <w:webHidden/>
              </w:rPr>
            </w:r>
            <w:r>
              <w:rPr>
                <w:webHidden/>
              </w:rPr>
              <w:fldChar w:fldCharType="separate"/>
            </w:r>
            <w:r w:rsidR="0001784A">
              <w:rPr>
                <w:webHidden/>
              </w:rPr>
              <w:t>9</w:t>
            </w:r>
            <w:r>
              <w:rPr>
                <w:webHidden/>
              </w:rPr>
              <w:fldChar w:fldCharType="end"/>
            </w:r>
          </w:hyperlink>
        </w:p>
        <w:p w14:paraId="0EC95FB8" w14:textId="4883E86B" w:rsidR="00043166" w:rsidRDefault="00043166">
          <w:pPr>
            <w:pStyle w:val="TOC2"/>
            <w:tabs>
              <w:tab w:val="left" w:pos="1200"/>
            </w:tabs>
            <w:rPr>
              <w:rFonts w:eastAsiaTheme="minorEastAsia"/>
              <w:kern w:val="2"/>
              <w:sz w:val="24"/>
              <w:szCs w:val="24"/>
              <w:lang w:eastAsia="en-AU"/>
              <w14:ligatures w14:val="standardContextual"/>
            </w:rPr>
          </w:pPr>
          <w:hyperlink w:anchor="_Toc198898880" w:history="1">
            <w:r w:rsidRPr="008317D7">
              <w:rPr>
                <w:rStyle w:val="Hyperlink"/>
              </w:rPr>
              <w:t>4.2</w:t>
            </w:r>
            <w:r>
              <w:rPr>
                <w:rFonts w:eastAsiaTheme="minorEastAsia"/>
                <w:kern w:val="2"/>
                <w:sz w:val="24"/>
                <w:szCs w:val="24"/>
                <w:lang w:eastAsia="en-AU"/>
                <w14:ligatures w14:val="standardContextual"/>
              </w:rPr>
              <w:tab/>
            </w:r>
            <w:r w:rsidRPr="008317D7">
              <w:rPr>
                <w:rStyle w:val="Hyperlink"/>
              </w:rPr>
              <w:t>Cost base assumptions</w:t>
            </w:r>
            <w:r>
              <w:rPr>
                <w:webHidden/>
              </w:rPr>
              <w:tab/>
            </w:r>
            <w:r>
              <w:rPr>
                <w:webHidden/>
              </w:rPr>
              <w:fldChar w:fldCharType="begin"/>
            </w:r>
            <w:r>
              <w:rPr>
                <w:webHidden/>
              </w:rPr>
              <w:instrText xml:space="preserve"> PAGEREF _Toc198898880 \h </w:instrText>
            </w:r>
            <w:r>
              <w:rPr>
                <w:webHidden/>
              </w:rPr>
            </w:r>
            <w:r>
              <w:rPr>
                <w:webHidden/>
              </w:rPr>
              <w:fldChar w:fldCharType="separate"/>
            </w:r>
            <w:r w:rsidR="0001784A">
              <w:rPr>
                <w:webHidden/>
              </w:rPr>
              <w:t>10</w:t>
            </w:r>
            <w:r>
              <w:rPr>
                <w:webHidden/>
              </w:rPr>
              <w:fldChar w:fldCharType="end"/>
            </w:r>
          </w:hyperlink>
        </w:p>
        <w:p w14:paraId="5E69BF5B" w14:textId="29E2C495" w:rsidR="00043166" w:rsidRDefault="00043166">
          <w:pPr>
            <w:pStyle w:val="TOC2"/>
            <w:tabs>
              <w:tab w:val="left" w:pos="1200"/>
            </w:tabs>
            <w:rPr>
              <w:rFonts w:eastAsiaTheme="minorEastAsia"/>
              <w:kern w:val="2"/>
              <w:sz w:val="24"/>
              <w:szCs w:val="24"/>
              <w:lang w:eastAsia="en-AU"/>
              <w14:ligatures w14:val="standardContextual"/>
            </w:rPr>
          </w:pPr>
          <w:hyperlink w:anchor="_Toc198898881" w:history="1">
            <w:r w:rsidRPr="008317D7">
              <w:rPr>
                <w:rStyle w:val="Hyperlink"/>
              </w:rPr>
              <w:t>4.3</w:t>
            </w:r>
            <w:r>
              <w:rPr>
                <w:rFonts w:eastAsiaTheme="minorEastAsia"/>
                <w:kern w:val="2"/>
                <w:sz w:val="24"/>
                <w:szCs w:val="24"/>
                <w:lang w:eastAsia="en-AU"/>
                <w14:ligatures w14:val="standardContextual"/>
              </w:rPr>
              <w:tab/>
            </w:r>
            <w:r w:rsidRPr="008317D7">
              <w:rPr>
                <w:rStyle w:val="Hyperlink"/>
              </w:rPr>
              <w:t>Modelled cost base</w:t>
            </w:r>
            <w:r>
              <w:rPr>
                <w:webHidden/>
              </w:rPr>
              <w:tab/>
            </w:r>
            <w:r>
              <w:rPr>
                <w:webHidden/>
              </w:rPr>
              <w:fldChar w:fldCharType="begin"/>
            </w:r>
            <w:r>
              <w:rPr>
                <w:webHidden/>
              </w:rPr>
              <w:instrText xml:space="preserve"> PAGEREF _Toc198898881 \h </w:instrText>
            </w:r>
            <w:r>
              <w:rPr>
                <w:webHidden/>
              </w:rPr>
            </w:r>
            <w:r>
              <w:rPr>
                <w:webHidden/>
              </w:rPr>
              <w:fldChar w:fldCharType="separate"/>
            </w:r>
            <w:r w:rsidR="0001784A">
              <w:rPr>
                <w:webHidden/>
              </w:rPr>
              <w:t>11</w:t>
            </w:r>
            <w:r>
              <w:rPr>
                <w:webHidden/>
              </w:rPr>
              <w:fldChar w:fldCharType="end"/>
            </w:r>
          </w:hyperlink>
        </w:p>
        <w:p w14:paraId="19DEDD2A" w14:textId="35C9A269" w:rsidR="00043166" w:rsidRDefault="00043166">
          <w:pPr>
            <w:pStyle w:val="TOC1"/>
            <w:rPr>
              <w:rFonts w:eastAsiaTheme="minorEastAsia"/>
              <w:b w:val="0"/>
              <w:kern w:val="2"/>
              <w:sz w:val="24"/>
              <w:szCs w:val="24"/>
              <w:lang w:eastAsia="en-AU"/>
              <w14:ligatures w14:val="standardContextual"/>
            </w:rPr>
          </w:pPr>
          <w:hyperlink w:anchor="_Toc198898882" w:history="1">
            <w:r w:rsidRPr="008317D7">
              <w:rPr>
                <w:rStyle w:val="Hyperlink"/>
              </w:rPr>
              <w:t>5</w:t>
            </w:r>
            <w:r>
              <w:rPr>
                <w:rFonts w:eastAsiaTheme="minorEastAsia"/>
                <w:b w:val="0"/>
                <w:kern w:val="2"/>
                <w:sz w:val="24"/>
                <w:szCs w:val="24"/>
                <w:lang w:eastAsia="en-AU"/>
                <w14:ligatures w14:val="standardContextual"/>
              </w:rPr>
              <w:tab/>
            </w:r>
            <w:r w:rsidRPr="008317D7">
              <w:rPr>
                <w:rStyle w:val="Hyperlink"/>
              </w:rPr>
              <w:t>Design of regulatory charges</w:t>
            </w:r>
            <w:r>
              <w:rPr>
                <w:webHidden/>
              </w:rPr>
              <w:tab/>
            </w:r>
            <w:r>
              <w:rPr>
                <w:webHidden/>
              </w:rPr>
              <w:fldChar w:fldCharType="begin"/>
            </w:r>
            <w:r>
              <w:rPr>
                <w:webHidden/>
              </w:rPr>
              <w:instrText xml:space="preserve"> PAGEREF _Toc198898882 \h </w:instrText>
            </w:r>
            <w:r>
              <w:rPr>
                <w:webHidden/>
              </w:rPr>
            </w:r>
            <w:r>
              <w:rPr>
                <w:webHidden/>
              </w:rPr>
              <w:fldChar w:fldCharType="separate"/>
            </w:r>
            <w:r w:rsidR="0001784A">
              <w:rPr>
                <w:webHidden/>
              </w:rPr>
              <w:t>14</w:t>
            </w:r>
            <w:r>
              <w:rPr>
                <w:webHidden/>
              </w:rPr>
              <w:fldChar w:fldCharType="end"/>
            </w:r>
          </w:hyperlink>
        </w:p>
        <w:p w14:paraId="15D760FD" w14:textId="26300428" w:rsidR="00043166" w:rsidRDefault="00043166">
          <w:pPr>
            <w:pStyle w:val="TOC2"/>
            <w:tabs>
              <w:tab w:val="left" w:pos="1200"/>
            </w:tabs>
            <w:rPr>
              <w:rFonts w:eastAsiaTheme="minorEastAsia"/>
              <w:kern w:val="2"/>
              <w:sz w:val="24"/>
              <w:szCs w:val="24"/>
              <w:lang w:eastAsia="en-AU"/>
              <w14:ligatures w14:val="standardContextual"/>
            </w:rPr>
          </w:pPr>
          <w:hyperlink w:anchor="_Toc198898883" w:history="1">
            <w:r w:rsidRPr="008317D7">
              <w:rPr>
                <w:rStyle w:val="Hyperlink"/>
              </w:rPr>
              <w:t>5.1</w:t>
            </w:r>
            <w:r>
              <w:rPr>
                <w:rFonts w:eastAsiaTheme="minorEastAsia"/>
                <w:kern w:val="2"/>
                <w:sz w:val="24"/>
                <w:szCs w:val="24"/>
                <w:lang w:eastAsia="en-AU"/>
                <w14:ligatures w14:val="standardContextual"/>
              </w:rPr>
              <w:tab/>
            </w:r>
            <w:r w:rsidRPr="008317D7">
              <w:rPr>
                <w:rStyle w:val="Hyperlink"/>
              </w:rPr>
              <w:t>Horticulture exports fees and charges</w:t>
            </w:r>
            <w:r>
              <w:rPr>
                <w:webHidden/>
              </w:rPr>
              <w:tab/>
            </w:r>
            <w:r>
              <w:rPr>
                <w:webHidden/>
              </w:rPr>
              <w:fldChar w:fldCharType="begin"/>
            </w:r>
            <w:r>
              <w:rPr>
                <w:webHidden/>
              </w:rPr>
              <w:instrText xml:space="preserve"> PAGEREF _Toc198898883 \h </w:instrText>
            </w:r>
            <w:r>
              <w:rPr>
                <w:webHidden/>
              </w:rPr>
            </w:r>
            <w:r>
              <w:rPr>
                <w:webHidden/>
              </w:rPr>
              <w:fldChar w:fldCharType="separate"/>
            </w:r>
            <w:r w:rsidR="0001784A">
              <w:rPr>
                <w:webHidden/>
              </w:rPr>
              <w:t>14</w:t>
            </w:r>
            <w:r>
              <w:rPr>
                <w:webHidden/>
              </w:rPr>
              <w:fldChar w:fldCharType="end"/>
            </w:r>
          </w:hyperlink>
        </w:p>
        <w:p w14:paraId="02B07D64" w14:textId="23049FBA" w:rsidR="00043166" w:rsidRDefault="00043166">
          <w:pPr>
            <w:pStyle w:val="TOC2"/>
            <w:tabs>
              <w:tab w:val="left" w:pos="1200"/>
            </w:tabs>
            <w:rPr>
              <w:rFonts w:eastAsiaTheme="minorEastAsia"/>
              <w:kern w:val="2"/>
              <w:sz w:val="24"/>
              <w:szCs w:val="24"/>
              <w:lang w:eastAsia="en-AU"/>
              <w14:ligatures w14:val="standardContextual"/>
            </w:rPr>
          </w:pPr>
          <w:hyperlink w:anchor="_Toc198898884" w:history="1">
            <w:r w:rsidRPr="008317D7">
              <w:rPr>
                <w:rStyle w:val="Hyperlink"/>
              </w:rPr>
              <w:t>5.2</w:t>
            </w:r>
            <w:r>
              <w:rPr>
                <w:rFonts w:eastAsiaTheme="minorEastAsia"/>
                <w:kern w:val="2"/>
                <w:sz w:val="24"/>
                <w:szCs w:val="24"/>
                <w:lang w:eastAsia="en-AU"/>
                <w14:ligatures w14:val="standardContextual"/>
              </w:rPr>
              <w:tab/>
            </w:r>
            <w:r w:rsidRPr="008317D7">
              <w:rPr>
                <w:rStyle w:val="Hyperlink"/>
              </w:rPr>
              <w:t>Revenue variability</w:t>
            </w:r>
            <w:r>
              <w:rPr>
                <w:webHidden/>
              </w:rPr>
              <w:tab/>
            </w:r>
            <w:r>
              <w:rPr>
                <w:webHidden/>
              </w:rPr>
              <w:fldChar w:fldCharType="begin"/>
            </w:r>
            <w:r>
              <w:rPr>
                <w:webHidden/>
              </w:rPr>
              <w:instrText xml:space="preserve"> PAGEREF _Toc198898884 \h </w:instrText>
            </w:r>
            <w:r>
              <w:rPr>
                <w:webHidden/>
              </w:rPr>
            </w:r>
            <w:r>
              <w:rPr>
                <w:webHidden/>
              </w:rPr>
              <w:fldChar w:fldCharType="separate"/>
            </w:r>
            <w:r w:rsidR="0001784A">
              <w:rPr>
                <w:webHidden/>
              </w:rPr>
              <w:t>15</w:t>
            </w:r>
            <w:r>
              <w:rPr>
                <w:webHidden/>
              </w:rPr>
              <w:fldChar w:fldCharType="end"/>
            </w:r>
          </w:hyperlink>
        </w:p>
        <w:p w14:paraId="47C710A3" w14:textId="0A483D84" w:rsidR="00043166" w:rsidRDefault="00043166">
          <w:pPr>
            <w:pStyle w:val="TOC1"/>
            <w:rPr>
              <w:rFonts w:eastAsiaTheme="minorEastAsia"/>
              <w:b w:val="0"/>
              <w:kern w:val="2"/>
              <w:sz w:val="24"/>
              <w:szCs w:val="24"/>
              <w:lang w:eastAsia="en-AU"/>
              <w14:ligatures w14:val="standardContextual"/>
            </w:rPr>
          </w:pPr>
          <w:hyperlink w:anchor="_Toc198898885" w:history="1">
            <w:r w:rsidRPr="008317D7">
              <w:rPr>
                <w:rStyle w:val="Hyperlink"/>
              </w:rPr>
              <w:t>6</w:t>
            </w:r>
            <w:r>
              <w:rPr>
                <w:rFonts w:eastAsiaTheme="minorEastAsia"/>
                <w:b w:val="0"/>
                <w:kern w:val="2"/>
                <w:sz w:val="24"/>
                <w:szCs w:val="24"/>
                <w:lang w:eastAsia="en-AU"/>
                <w14:ligatures w14:val="standardContextual"/>
              </w:rPr>
              <w:tab/>
            </w:r>
            <w:r w:rsidRPr="008317D7">
              <w:rPr>
                <w:rStyle w:val="Hyperlink"/>
              </w:rPr>
              <w:t>Financial estimates</w:t>
            </w:r>
            <w:r>
              <w:rPr>
                <w:webHidden/>
              </w:rPr>
              <w:tab/>
            </w:r>
            <w:r>
              <w:rPr>
                <w:webHidden/>
              </w:rPr>
              <w:fldChar w:fldCharType="begin"/>
            </w:r>
            <w:r>
              <w:rPr>
                <w:webHidden/>
              </w:rPr>
              <w:instrText xml:space="preserve"> PAGEREF _Toc198898885 \h </w:instrText>
            </w:r>
            <w:r>
              <w:rPr>
                <w:webHidden/>
              </w:rPr>
            </w:r>
            <w:r>
              <w:rPr>
                <w:webHidden/>
              </w:rPr>
              <w:fldChar w:fldCharType="separate"/>
            </w:r>
            <w:r w:rsidR="0001784A">
              <w:rPr>
                <w:webHidden/>
              </w:rPr>
              <w:t>16</w:t>
            </w:r>
            <w:r>
              <w:rPr>
                <w:webHidden/>
              </w:rPr>
              <w:fldChar w:fldCharType="end"/>
            </w:r>
          </w:hyperlink>
        </w:p>
        <w:p w14:paraId="3AD6169B" w14:textId="30D639B0" w:rsidR="00043166" w:rsidRDefault="00043166">
          <w:pPr>
            <w:pStyle w:val="TOC2"/>
            <w:tabs>
              <w:tab w:val="left" w:pos="1200"/>
            </w:tabs>
            <w:rPr>
              <w:rFonts w:eastAsiaTheme="minorEastAsia"/>
              <w:kern w:val="2"/>
              <w:sz w:val="24"/>
              <w:szCs w:val="24"/>
              <w:lang w:eastAsia="en-AU"/>
              <w14:ligatures w14:val="standardContextual"/>
            </w:rPr>
          </w:pPr>
          <w:hyperlink w:anchor="_Toc198898886" w:history="1">
            <w:r w:rsidRPr="008317D7">
              <w:rPr>
                <w:rStyle w:val="Hyperlink"/>
              </w:rPr>
              <w:t>6.1</w:t>
            </w:r>
            <w:r>
              <w:rPr>
                <w:rFonts w:eastAsiaTheme="minorEastAsia"/>
                <w:kern w:val="2"/>
                <w:sz w:val="24"/>
                <w:szCs w:val="24"/>
                <w:lang w:eastAsia="en-AU"/>
                <w14:ligatures w14:val="standardContextual"/>
              </w:rPr>
              <w:tab/>
            </w:r>
            <w:r w:rsidRPr="008317D7">
              <w:rPr>
                <w:rStyle w:val="Hyperlink"/>
              </w:rPr>
              <w:t>Financial estimates</w:t>
            </w:r>
            <w:r>
              <w:rPr>
                <w:webHidden/>
              </w:rPr>
              <w:tab/>
            </w:r>
            <w:r>
              <w:rPr>
                <w:webHidden/>
              </w:rPr>
              <w:fldChar w:fldCharType="begin"/>
            </w:r>
            <w:r>
              <w:rPr>
                <w:webHidden/>
              </w:rPr>
              <w:instrText xml:space="preserve"> PAGEREF _Toc198898886 \h </w:instrText>
            </w:r>
            <w:r>
              <w:rPr>
                <w:webHidden/>
              </w:rPr>
            </w:r>
            <w:r>
              <w:rPr>
                <w:webHidden/>
              </w:rPr>
              <w:fldChar w:fldCharType="separate"/>
            </w:r>
            <w:r w:rsidR="0001784A">
              <w:rPr>
                <w:webHidden/>
              </w:rPr>
              <w:t>16</w:t>
            </w:r>
            <w:r>
              <w:rPr>
                <w:webHidden/>
              </w:rPr>
              <w:fldChar w:fldCharType="end"/>
            </w:r>
          </w:hyperlink>
        </w:p>
        <w:p w14:paraId="422E1D89" w14:textId="51FA1C09" w:rsidR="00043166" w:rsidRDefault="00043166">
          <w:pPr>
            <w:pStyle w:val="TOC1"/>
            <w:rPr>
              <w:rFonts w:eastAsiaTheme="minorEastAsia"/>
              <w:b w:val="0"/>
              <w:kern w:val="2"/>
              <w:sz w:val="24"/>
              <w:szCs w:val="24"/>
              <w:lang w:eastAsia="en-AU"/>
              <w14:ligatures w14:val="standardContextual"/>
            </w:rPr>
          </w:pPr>
          <w:hyperlink w:anchor="_Toc198898887" w:history="1">
            <w:r w:rsidRPr="008317D7">
              <w:rPr>
                <w:rStyle w:val="Hyperlink"/>
              </w:rPr>
              <w:t>7</w:t>
            </w:r>
            <w:r>
              <w:rPr>
                <w:rFonts w:eastAsiaTheme="minorEastAsia"/>
                <w:b w:val="0"/>
                <w:kern w:val="2"/>
                <w:sz w:val="24"/>
                <w:szCs w:val="24"/>
                <w:lang w:eastAsia="en-AU"/>
                <w14:ligatures w14:val="standardContextual"/>
              </w:rPr>
              <w:tab/>
            </w:r>
            <w:r w:rsidRPr="008317D7">
              <w:rPr>
                <w:rStyle w:val="Hyperlink"/>
              </w:rPr>
              <w:t>Financial and non-financial performance</w:t>
            </w:r>
            <w:r>
              <w:rPr>
                <w:webHidden/>
              </w:rPr>
              <w:tab/>
            </w:r>
            <w:r>
              <w:rPr>
                <w:webHidden/>
              </w:rPr>
              <w:fldChar w:fldCharType="begin"/>
            </w:r>
            <w:r>
              <w:rPr>
                <w:webHidden/>
              </w:rPr>
              <w:instrText xml:space="preserve"> PAGEREF _Toc198898887 \h </w:instrText>
            </w:r>
            <w:r>
              <w:rPr>
                <w:webHidden/>
              </w:rPr>
            </w:r>
            <w:r>
              <w:rPr>
                <w:webHidden/>
              </w:rPr>
              <w:fldChar w:fldCharType="separate"/>
            </w:r>
            <w:r w:rsidR="0001784A">
              <w:rPr>
                <w:webHidden/>
              </w:rPr>
              <w:t>17</w:t>
            </w:r>
            <w:r>
              <w:rPr>
                <w:webHidden/>
              </w:rPr>
              <w:fldChar w:fldCharType="end"/>
            </w:r>
          </w:hyperlink>
        </w:p>
        <w:p w14:paraId="7E2FF9D1" w14:textId="71285A3D" w:rsidR="00043166" w:rsidRDefault="00043166">
          <w:pPr>
            <w:pStyle w:val="TOC2"/>
            <w:tabs>
              <w:tab w:val="left" w:pos="1200"/>
            </w:tabs>
            <w:rPr>
              <w:rFonts w:eastAsiaTheme="minorEastAsia"/>
              <w:kern w:val="2"/>
              <w:sz w:val="24"/>
              <w:szCs w:val="24"/>
              <w:lang w:eastAsia="en-AU"/>
              <w14:ligatures w14:val="standardContextual"/>
            </w:rPr>
          </w:pPr>
          <w:hyperlink w:anchor="_Toc198898888" w:history="1">
            <w:r w:rsidRPr="008317D7">
              <w:rPr>
                <w:rStyle w:val="Hyperlink"/>
              </w:rPr>
              <w:t>7.1</w:t>
            </w:r>
            <w:r>
              <w:rPr>
                <w:rFonts w:eastAsiaTheme="minorEastAsia"/>
                <w:kern w:val="2"/>
                <w:sz w:val="24"/>
                <w:szCs w:val="24"/>
                <w:lang w:eastAsia="en-AU"/>
                <w14:ligatures w14:val="standardContextual"/>
              </w:rPr>
              <w:tab/>
            </w:r>
            <w:r w:rsidRPr="008317D7">
              <w:rPr>
                <w:rStyle w:val="Hyperlink"/>
              </w:rPr>
              <w:t>Financial performance</w:t>
            </w:r>
            <w:r>
              <w:rPr>
                <w:webHidden/>
              </w:rPr>
              <w:tab/>
            </w:r>
            <w:r>
              <w:rPr>
                <w:webHidden/>
              </w:rPr>
              <w:fldChar w:fldCharType="begin"/>
            </w:r>
            <w:r>
              <w:rPr>
                <w:webHidden/>
              </w:rPr>
              <w:instrText xml:space="preserve"> PAGEREF _Toc198898888 \h </w:instrText>
            </w:r>
            <w:r>
              <w:rPr>
                <w:webHidden/>
              </w:rPr>
            </w:r>
            <w:r>
              <w:rPr>
                <w:webHidden/>
              </w:rPr>
              <w:fldChar w:fldCharType="separate"/>
            </w:r>
            <w:r w:rsidR="0001784A">
              <w:rPr>
                <w:webHidden/>
              </w:rPr>
              <w:t>17</w:t>
            </w:r>
            <w:r>
              <w:rPr>
                <w:webHidden/>
              </w:rPr>
              <w:fldChar w:fldCharType="end"/>
            </w:r>
          </w:hyperlink>
        </w:p>
        <w:p w14:paraId="118FBA18" w14:textId="05340FBD" w:rsidR="00043166" w:rsidRDefault="00043166">
          <w:pPr>
            <w:pStyle w:val="TOC2"/>
            <w:tabs>
              <w:tab w:val="left" w:pos="1200"/>
            </w:tabs>
            <w:rPr>
              <w:rFonts w:eastAsiaTheme="minorEastAsia"/>
              <w:kern w:val="2"/>
              <w:sz w:val="24"/>
              <w:szCs w:val="24"/>
              <w:lang w:eastAsia="en-AU"/>
              <w14:ligatures w14:val="standardContextual"/>
            </w:rPr>
          </w:pPr>
          <w:hyperlink w:anchor="_Toc198898889" w:history="1">
            <w:r w:rsidRPr="008317D7">
              <w:rPr>
                <w:rStyle w:val="Hyperlink"/>
              </w:rPr>
              <w:t>7.2</w:t>
            </w:r>
            <w:r>
              <w:rPr>
                <w:rFonts w:eastAsiaTheme="minorEastAsia"/>
                <w:kern w:val="2"/>
                <w:sz w:val="24"/>
                <w:szCs w:val="24"/>
                <w:lang w:eastAsia="en-AU"/>
                <w14:ligatures w14:val="standardContextual"/>
              </w:rPr>
              <w:tab/>
            </w:r>
            <w:r w:rsidRPr="008317D7">
              <w:rPr>
                <w:rStyle w:val="Hyperlink"/>
              </w:rPr>
              <w:t>Summary financial performance 2023-24</w:t>
            </w:r>
            <w:r>
              <w:rPr>
                <w:webHidden/>
              </w:rPr>
              <w:tab/>
            </w:r>
            <w:r>
              <w:rPr>
                <w:webHidden/>
              </w:rPr>
              <w:fldChar w:fldCharType="begin"/>
            </w:r>
            <w:r>
              <w:rPr>
                <w:webHidden/>
              </w:rPr>
              <w:instrText xml:space="preserve"> PAGEREF _Toc198898889 \h </w:instrText>
            </w:r>
            <w:r>
              <w:rPr>
                <w:webHidden/>
              </w:rPr>
            </w:r>
            <w:r>
              <w:rPr>
                <w:webHidden/>
              </w:rPr>
              <w:fldChar w:fldCharType="separate"/>
            </w:r>
            <w:r w:rsidR="0001784A">
              <w:rPr>
                <w:webHidden/>
              </w:rPr>
              <w:t>17</w:t>
            </w:r>
            <w:r>
              <w:rPr>
                <w:webHidden/>
              </w:rPr>
              <w:fldChar w:fldCharType="end"/>
            </w:r>
          </w:hyperlink>
        </w:p>
        <w:p w14:paraId="51E2E53D" w14:textId="46C45A65" w:rsidR="00043166" w:rsidRDefault="00043166">
          <w:pPr>
            <w:pStyle w:val="TOC2"/>
            <w:tabs>
              <w:tab w:val="left" w:pos="1200"/>
            </w:tabs>
            <w:rPr>
              <w:rFonts w:eastAsiaTheme="minorEastAsia"/>
              <w:kern w:val="2"/>
              <w:sz w:val="24"/>
              <w:szCs w:val="24"/>
              <w:lang w:eastAsia="en-AU"/>
              <w14:ligatures w14:val="standardContextual"/>
            </w:rPr>
          </w:pPr>
          <w:hyperlink w:anchor="_Toc198898890" w:history="1">
            <w:r w:rsidRPr="008317D7">
              <w:rPr>
                <w:rStyle w:val="Hyperlink"/>
              </w:rPr>
              <w:t>7.3</w:t>
            </w:r>
            <w:r>
              <w:rPr>
                <w:rFonts w:eastAsiaTheme="minorEastAsia"/>
                <w:kern w:val="2"/>
                <w:sz w:val="24"/>
                <w:szCs w:val="24"/>
                <w:lang w:eastAsia="en-AU"/>
                <w14:ligatures w14:val="standardContextual"/>
              </w:rPr>
              <w:tab/>
            </w:r>
            <w:r w:rsidRPr="008317D7">
              <w:rPr>
                <w:rStyle w:val="Hyperlink"/>
              </w:rPr>
              <w:t>Non-financial performance</w:t>
            </w:r>
            <w:r>
              <w:rPr>
                <w:webHidden/>
              </w:rPr>
              <w:tab/>
            </w:r>
            <w:r>
              <w:rPr>
                <w:webHidden/>
              </w:rPr>
              <w:fldChar w:fldCharType="begin"/>
            </w:r>
            <w:r>
              <w:rPr>
                <w:webHidden/>
              </w:rPr>
              <w:instrText xml:space="preserve"> PAGEREF _Toc198898890 \h </w:instrText>
            </w:r>
            <w:r>
              <w:rPr>
                <w:webHidden/>
              </w:rPr>
            </w:r>
            <w:r>
              <w:rPr>
                <w:webHidden/>
              </w:rPr>
              <w:fldChar w:fldCharType="separate"/>
            </w:r>
            <w:r w:rsidR="0001784A">
              <w:rPr>
                <w:webHidden/>
              </w:rPr>
              <w:t>17</w:t>
            </w:r>
            <w:r>
              <w:rPr>
                <w:webHidden/>
              </w:rPr>
              <w:fldChar w:fldCharType="end"/>
            </w:r>
          </w:hyperlink>
        </w:p>
        <w:p w14:paraId="088129AF" w14:textId="477E9285" w:rsidR="00043166" w:rsidRDefault="00043166">
          <w:pPr>
            <w:pStyle w:val="TOC1"/>
            <w:rPr>
              <w:rFonts w:eastAsiaTheme="minorEastAsia"/>
              <w:b w:val="0"/>
              <w:kern w:val="2"/>
              <w:sz w:val="24"/>
              <w:szCs w:val="24"/>
              <w:lang w:eastAsia="en-AU"/>
              <w14:ligatures w14:val="standardContextual"/>
            </w:rPr>
          </w:pPr>
          <w:hyperlink w:anchor="_Toc198898891" w:history="1">
            <w:r w:rsidRPr="008317D7">
              <w:rPr>
                <w:rStyle w:val="Hyperlink"/>
              </w:rPr>
              <w:t>8</w:t>
            </w:r>
            <w:r>
              <w:rPr>
                <w:rFonts w:eastAsiaTheme="minorEastAsia"/>
                <w:b w:val="0"/>
                <w:kern w:val="2"/>
                <w:sz w:val="24"/>
                <w:szCs w:val="24"/>
                <w:lang w:eastAsia="en-AU"/>
                <w14:ligatures w14:val="standardContextual"/>
              </w:rPr>
              <w:tab/>
            </w:r>
            <w:r w:rsidRPr="008317D7">
              <w:rPr>
                <w:rStyle w:val="Hyperlink"/>
              </w:rPr>
              <w:t>CRIS approval and change register</w:t>
            </w:r>
            <w:r>
              <w:rPr>
                <w:webHidden/>
              </w:rPr>
              <w:tab/>
            </w:r>
            <w:r>
              <w:rPr>
                <w:webHidden/>
              </w:rPr>
              <w:fldChar w:fldCharType="begin"/>
            </w:r>
            <w:r>
              <w:rPr>
                <w:webHidden/>
              </w:rPr>
              <w:instrText xml:space="preserve"> PAGEREF _Toc198898891 \h </w:instrText>
            </w:r>
            <w:r>
              <w:rPr>
                <w:webHidden/>
              </w:rPr>
            </w:r>
            <w:r>
              <w:rPr>
                <w:webHidden/>
              </w:rPr>
              <w:fldChar w:fldCharType="separate"/>
            </w:r>
            <w:r w:rsidR="0001784A">
              <w:rPr>
                <w:webHidden/>
              </w:rPr>
              <w:t>20</w:t>
            </w:r>
            <w:r>
              <w:rPr>
                <w:webHidden/>
              </w:rPr>
              <w:fldChar w:fldCharType="end"/>
            </w:r>
          </w:hyperlink>
        </w:p>
        <w:p w14:paraId="5E28CDDA" w14:textId="54DEE553" w:rsidR="00043166" w:rsidRDefault="00043166">
          <w:pPr>
            <w:pStyle w:val="TOC1"/>
            <w:rPr>
              <w:rFonts w:eastAsiaTheme="minorEastAsia"/>
              <w:b w:val="0"/>
              <w:kern w:val="2"/>
              <w:sz w:val="24"/>
              <w:szCs w:val="24"/>
              <w:lang w:eastAsia="en-AU"/>
              <w14:ligatures w14:val="standardContextual"/>
            </w:rPr>
          </w:pPr>
          <w:hyperlink w:anchor="_Toc198898892" w:history="1">
            <w:r w:rsidRPr="008317D7">
              <w:rPr>
                <w:rStyle w:val="Hyperlink"/>
              </w:rPr>
              <w:t>Appendix A: Additional fees and charges that may apply</w:t>
            </w:r>
            <w:r>
              <w:rPr>
                <w:webHidden/>
              </w:rPr>
              <w:tab/>
            </w:r>
            <w:r>
              <w:rPr>
                <w:webHidden/>
              </w:rPr>
              <w:fldChar w:fldCharType="begin"/>
            </w:r>
            <w:r>
              <w:rPr>
                <w:webHidden/>
              </w:rPr>
              <w:instrText xml:space="preserve"> PAGEREF _Toc198898892 \h </w:instrText>
            </w:r>
            <w:r>
              <w:rPr>
                <w:webHidden/>
              </w:rPr>
            </w:r>
            <w:r>
              <w:rPr>
                <w:webHidden/>
              </w:rPr>
              <w:fldChar w:fldCharType="separate"/>
            </w:r>
            <w:r w:rsidR="0001784A">
              <w:rPr>
                <w:webHidden/>
              </w:rPr>
              <w:t>21</w:t>
            </w:r>
            <w:r>
              <w:rPr>
                <w:webHidden/>
              </w:rPr>
              <w:fldChar w:fldCharType="end"/>
            </w:r>
          </w:hyperlink>
        </w:p>
        <w:p w14:paraId="5E6E15A3" w14:textId="4298A4F2" w:rsidR="00043166" w:rsidRDefault="00043166">
          <w:pPr>
            <w:pStyle w:val="TOC2"/>
            <w:rPr>
              <w:rFonts w:eastAsiaTheme="minorEastAsia"/>
              <w:kern w:val="2"/>
              <w:sz w:val="24"/>
              <w:szCs w:val="24"/>
              <w:lang w:eastAsia="en-AU"/>
              <w14:ligatures w14:val="standardContextual"/>
            </w:rPr>
          </w:pPr>
          <w:hyperlink w:anchor="_Toc198898893" w:history="1">
            <w:r w:rsidRPr="008317D7">
              <w:rPr>
                <w:rStyle w:val="Hyperlink"/>
              </w:rPr>
              <w:t>Organics – application and audit</w:t>
            </w:r>
            <w:r>
              <w:rPr>
                <w:webHidden/>
              </w:rPr>
              <w:tab/>
            </w:r>
            <w:r>
              <w:rPr>
                <w:webHidden/>
              </w:rPr>
              <w:fldChar w:fldCharType="begin"/>
            </w:r>
            <w:r>
              <w:rPr>
                <w:webHidden/>
              </w:rPr>
              <w:instrText xml:space="preserve"> PAGEREF _Toc198898893 \h </w:instrText>
            </w:r>
            <w:r>
              <w:rPr>
                <w:webHidden/>
              </w:rPr>
            </w:r>
            <w:r>
              <w:rPr>
                <w:webHidden/>
              </w:rPr>
              <w:fldChar w:fldCharType="separate"/>
            </w:r>
            <w:r w:rsidR="0001784A">
              <w:rPr>
                <w:webHidden/>
              </w:rPr>
              <w:t>21</w:t>
            </w:r>
            <w:r>
              <w:rPr>
                <w:webHidden/>
              </w:rPr>
              <w:fldChar w:fldCharType="end"/>
            </w:r>
          </w:hyperlink>
        </w:p>
        <w:p w14:paraId="4040E834" w14:textId="1A846A16" w:rsidR="00043166" w:rsidRDefault="00043166">
          <w:pPr>
            <w:pStyle w:val="TOC2"/>
            <w:rPr>
              <w:rFonts w:eastAsiaTheme="minorEastAsia"/>
              <w:kern w:val="2"/>
              <w:sz w:val="24"/>
              <w:szCs w:val="24"/>
              <w:lang w:eastAsia="en-AU"/>
              <w14:ligatures w14:val="standardContextual"/>
            </w:rPr>
          </w:pPr>
          <w:hyperlink w:anchor="_Toc198898894" w:history="1">
            <w:r w:rsidRPr="008317D7">
              <w:rPr>
                <w:rStyle w:val="Hyperlink"/>
              </w:rPr>
              <w:t>Tariff rate quota (TRQ) certificates</w:t>
            </w:r>
            <w:r>
              <w:rPr>
                <w:webHidden/>
              </w:rPr>
              <w:tab/>
            </w:r>
            <w:r>
              <w:rPr>
                <w:webHidden/>
              </w:rPr>
              <w:fldChar w:fldCharType="begin"/>
            </w:r>
            <w:r>
              <w:rPr>
                <w:webHidden/>
              </w:rPr>
              <w:instrText xml:space="preserve"> PAGEREF _Toc198898894 \h </w:instrText>
            </w:r>
            <w:r>
              <w:rPr>
                <w:webHidden/>
              </w:rPr>
            </w:r>
            <w:r>
              <w:rPr>
                <w:webHidden/>
              </w:rPr>
              <w:fldChar w:fldCharType="separate"/>
            </w:r>
            <w:r w:rsidR="0001784A">
              <w:rPr>
                <w:webHidden/>
              </w:rPr>
              <w:t>21</w:t>
            </w:r>
            <w:r>
              <w:rPr>
                <w:webHidden/>
              </w:rPr>
              <w:fldChar w:fldCharType="end"/>
            </w:r>
          </w:hyperlink>
        </w:p>
        <w:p w14:paraId="1518F281" w14:textId="79EAAB4C" w:rsidR="00043166" w:rsidRDefault="00043166">
          <w:pPr>
            <w:pStyle w:val="TOC2"/>
            <w:rPr>
              <w:rFonts w:eastAsiaTheme="minorEastAsia"/>
              <w:kern w:val="2"/>
              <w:sz w:val="24"/>
              <w:szCs w:val="24"/>
              <w:lang w:eastAsia="en-AU"/>
              <w14:ligatures w14:val="standardContextual"/>
            </w:rPr>
          </w:pPr>
          <w:hyperlink w:anchor="_Toc198898895" w:history="1">
            <w:r w:rsidRPr="008317D7">
              <w:rPr>
                <w:rStyle w:val="Hyperlink"/>
              </w:rPr>
              <w:t>Outside ordinary hours (OOH)</w:t>
            </w:r>
            <w:r>
              <w:rPr>
                <w:webHidden/>
              </w:rPr>
              <w:tab/>
            </w:r>
            <w:r>
              <w:rPr>
                <w:webHidden/>
              </w:rPr>
              <w:fldChar w:fldCharType="begin"/>
            </w:r>
            <w:r>
              <w:rPr>
                <w:webHidden/>
              </w:rPr>
              <w:instrText xml:space="preserve"> PAGEREF _Toc198898895 \h </w:instrText>
            </w:r>
            <w:r>
              <w:rPr>
                <w:webHidden/>
              </w:rPr>
            </w:r>
            <w:r>
              <w:rPr>
                <w:webHidden/>
              </w:rPr>
              <w:fldChar w:fldCharType="separate"/>
            </w:r>
            <w:r w:rsidR="0001784A">
              <w:rPr>
                <w:webHidden/>
              </w:rPr>
              <w:t>21</w:t>
            </w:r>
            <w:r>
              <w:rPr>
                <w:webHidden/>
              </w:rPr>
              <w:fldChar w:fldCharType="end"/>
            </w:r>
          </w:hyperlink>
        </w:p>
        <w:p w14:paraId="791BE9A5" w14:textId="1F590166" w:rsidR="00043166" w:rsidRDefault="00043166">
          <w:pPr>
            <w:pStyle w:val="TOC1"/>
            <w:rPr>
              <w:rFonts w:eastAsiaTheme="minorEastAsia"/>
              <w:b w:val="0"/>
              <w:kern w:val="2"/>
              <w:sz w:val="24"/>
              <w:szCs w:val="24"/>
              <w:lang w:eastAsia="en-AU"/>
              <w14:ligatures w14:val="standardContextual"/>
            </w:rPr>
          </w:pPr>
          <w:hyperlink w:anchor="_Toc198898896" w:history="1">
            <w:r w:rsidRPr="008317D7">
              <w:rPr>
                <w:rStyle w:val="Hyperlink"/>
              </w:rPr>
              <w:t>Appendix B: Cost recovery model</w:t>
            </w:r>
            <w:r>
              <w:rPr>
                <w:webHidden/>
              </w:rPr>
              <w:tab/>
            </w:r>
            <w:r>
              <w:rPr>
                <w:webHidden/>
              </w:rPr>
              <w:fldChar w:fldCharType="begin"/>
            </w:r>
            <w:r>
              <w:rPr>
                <w:webHidden/>
              </w:rPr>
              <w:instrText xml:space="preserve"> PAGEREF _Toc198898896 \h </w:instrText>
            </w:r>
            <w:r>
              <w:rPr>
                <w:webHidden/>
              </w:rPr>
            </w:r>
            <w:r>
              <w:rPr>
                <w:webHidden/>
              </w:rPr>
              <w:fldChar w:fldCharType="separate"/>
            </w:r>
            <w:r w:rsidR="0001784A">
              <w:rPr>
                <w:webHidden/>
              </w:rPr>
              <w:t>23</w:t>
            </w:r>
            <w:r>
              <w:rPr>
                <w:webHidden/>
              </w:rPr>
              <w:fldChar w:fldCharType="end"/>
            </w:r>
          </w:hyperlink>
        </w:p>
        <w:p w14:paraId="3EDF5448" w14:textId="307A43BD" w:rsidR="00043166" w:rsidRDefault="00043166">
          <w:pPr>
            <w:pStyle w:val="TOC2"/>
            <w:rPr>
              <w:rFonts w:eastAsiaTheme="minorEastAsia"/>
              <w:kern w:val="2"/>
              <w:sz w:val="24"/>
              <w:szCs w:val="24"/>
              <w:lang w:eastAsia="en-AU"/>
              <w14:ligatures w14:val="standardContextual"/>
            </w:rPr>
          </w:pPr>
          <w:hyperlink w:anchor="_Toc198898897" w:history="1">
            <w:r w:rsidRPr="008317D7">
              <w:rPr>
                <w:rStyle w:val="Hyperlink"/>
              </w:rPr>
              <w:t>Outputs and business processes of the regulatory charging activity</w:t>
            </w:r>
            <w:r>
              <w:rPr>
                <w:webHidden/>
              </w:rPr>
              <w:tab/>
            </w:r>
            <w:r>
              <w:rPr>
                <w:webHidden/>
              </w:rPr>
              <w:fldChar w:fldCharType="begin"/>
            </w:r>
            <w:r>
              <w:rPr>
                <w:webHidden/>
              </w:rPr>
              <w:instrText xml:space="preserve"> PAGEREF _Toc198898897 \h </w:instrText>
            </w:r>
            <w:r>
              <w:rPr>
                <w:webHidden/>
              </w:rPr>
            </w:r>
            <w:r>
              <w:rPr>
                <w:webHidden/>
              </w:rPr>
              <w:fldChar w:fldCharType="separate"/>
            </w:r>
            <w:r w:rsidR="0001784A">
              <w:rPr>
                <w:webHidden/>
              </w:rPr>
              <w:t>23</w:t>
            </w:r>
            <w:r>
              <w:rPr>
                <w:webHidden/>
              </w:rPr>
              <w:fldChar w:fldCharType="end"/>
            </w:r>
          </w:hyperlink>
        </w:p>
        <w:p w14:paraId="18B11305" w14:textId="64F0443B" w:rsidR="00043166" w:rsidRDefault="00043166">
          <w:pPr>
            <w:pStyle w:val="TOC2"/>
            <w:rPr>
              <w:rFonts w:eastAsiaTheme="minorEastAsia"/>
              <w:kern w:val="2"/>
              <w:sz w:val="24"/>
              <w:szCs w:val="24"/>
              <w:lang w:eastAsia="en-AU"/>
              <w14:ligatures w14:val="standardContextual"/>
            </w:rPr>
          </w:pPr>
          <w:hyperlink w:anchor="_Toc198898898" w:history="1">
            <w:r w:rsidRPr="008317D7">
              <w:rPr>
                <w:rStyle w:val="Hyperlink"/>
              </w:rPr>
              <w:t>Costs of regulatory charging activity</w:t>
            </w:r>
            <w:r>
              <w:rPr>
                <w:webHidden/>
              </w:rPr>
              <w:tab/>
            </w:r>
            <w:r>
              <w:rPr>
                <w:webHidden/>
              </w:rPr>
              <w:fldChar w:fldCharType="begin"/>
            </w:r>
            <w:r>
              <w:rPr>
                <w:webHidden/>
              </w:rPr>
              <w:instrText xml:space="preserve"> PAGEREF _Toc198898898 \h </w:instrText>
            </w:r>
            <w:r>
              <w:rPr>
                <w:webHidden/>
              </w:rPr>
            </w:r>
            <w:r>
              <w:rPr>
                <w:webHidden/>
              </w:rPr>
              <w:fldChar w:fldCharType="separate"/>
            </w:r>
            <w:r w:rsidR="0001784A">
              <w:rPr>
                <w:webHidden/>
              </w:rPr>
              <w:t>24</w:t>
            </w:r>
            <w:r>
              <w:rPr>
                <w:webHidden/>
              </w:rPr>
              <w:fldChar w:fldCharType="end"/>
            </w:r>
          </w:hyperlink>
        </w:p>
        <w:p w14:paraId="5C335785" w14:textId="0DE928A0" w:rsidR="00043166" w:rsidRDefault="00043166">
          <w:pPr>
            <w:pStyle w:val="TOC2"/>
            <w:rPr>
              <w:rFonts w:eastAsiaTheme="minorEastAsia"/>
              <w:kern w:val="2"/>
              <w:sz w:val="24"/>
              <w:szCs w:val="24"/>
              <w:lang w:eastAsia="en-AU"/>
              <w14:ligatures w14:val="standardContextual"/>
            </w:rPr>
          </w:pPr>
          <w:hyperlink w:anchor="_Toc198898899" w:history="1">
            <w:r w:rsidRPr="008317D7">
              <w:rPr>
                <w:rStyle w:val="Hyperlink"/>
              </w:rPr>
              <w:t>Description of cost model activities</w:t>
            </w:r>
            <w:r>
              <w:rPr>
                <w:webHidden/>
              </w:rPr>
              <w:tab/>
            </w:r>
            <w:r>
              <w:rPr>
                <w:webHidden/>
              </w:rPr>
              <w:fldChar w:fldCharType="begin"/>
            </w:r>
            <w:r>
              <w:rPr>
                <w:webHidden/>
              </w:rPr>
              <w:instrText xml:space="preserve"> PAGEREF _Toc198898899 \h </w:instrText>
            </w:r>
            <w:r>
              <w:rPr>
                <w:webHidden/>
              </w:rPr>
            </w:r>
            <w:r>
              <w:rPr>
                <w:webHidden/>
              </w:rPr>
              <w:fldChar w:fldCharType="separate"/>
            </w:r>
            <w:r w:rsidR="0001784A">
              <w:rPr>
                <w:webHidden/>
              </w:rPr>
              <w:t>26</w:t>
            </w:r>
            <w:r>
              <w:rPr>
                <w:webHidden/>
              </w:rPr>
              <w:fldChar w:fldCharType="end"/>
            </w:r>
          </w:hyperlink>
        </w:p>
        <w:p w14:paraId="38B165B4" w14:textId="4F332CD3" w:rsidR="00043166" w:rsidRDefault="00043166">
          <w:pPr>
            <w:pStyle w:val="TOC2"/>
            <w:rPr>
              <w:rFonts w:eastAsiaTheme="minorEastAsia"/>
              <w:kern w:val="2"/>
              <w:sz w:val="24"/>
              <w:szCs w:val="24"/>
              <w:lang w:eastAsia="en-AU"/>
              <w14:ligatures w14:val="standardContextual"/>
            </w:rPr>
          </w:pPr>
          <w:hyperlink w:anchor="_Toc198898900" w:history="1">
            <w:r w:rsidRPr="008317D7">
              <w:rPr>
                <w:rStyle w:val="Hyperlink"/>
              </w:rPr>
              <w:t>Assurance activities</w:t>
            </w:r>
            <w:r>
              <w:rPr>
                <w:webHidden/>
              </w:rPr>
              <w:tab/>
            </w:r>
            <w:r>
              <w:rPr>
                <w:webHidden/>
              </w:rPr>
              <w:fldChar w:fldCharType="begin"/>
            </w:r>
            <w:r>
              <w:rPr>
                <w:webHidden/>
              </w:rPr>
              <w:instrText xml:space="preserve"> PAGEREF _Toc198898900 \h </w:instrText>
            </w:r>
            <w:r>
              <w:rPr>
                <w:webHidden/>
              </w:rPr>
            </w:r>
            <w:r>
              <w:rPr>
                <w:webHidden/>
              </w:rPr>
              <w:fldChar w:fldCharType="separate"/>
            </w:r>
            <w:r w:rsidR="0001784A">
              <w:rPr>
                <w:webHidden/>
              </w:rPr>
              <w:t>27</w:t>
            </w:r>
            <w:r>
              <w:rPr>
                <w:webHidden/>
              </w:rPr>
              <w:fldChar w:fldCharType="end"/>
            </w:r>
          </w:hyperlink>
        </w:p>
        <w:p w14:paraId="089782CF" w14:textId="5F958DE0" w:rsidR="00043166" w:rsidRDefault="00043166">
          <w:pPr>
            <w:pStyle w:val="TOC2"/>
            <w:rPr>
              <w:rFonts w:eastAsiaTheme="minorEastAsia"/>
              <w:kern w:val="2"/>
              <w:sz w:val="24"/>
              <w:szCs w:val="24"/>
              <w:lang w:eastAsia="en-AU"/>
              <w14:ligatures w14:val="standardContextual"/>
            </w:rPr>
          </w:pPr>
          <w:hyperlink w:anchor="_Toc198898901" w:history="1">
            <w:r w:rsidRPr="008317D7">
              <w:rPr>
                <w:rStyle w:val="Hyperlink"/>
              </w:rPr>
              <w:t>Incident management activities</w:t>
            </w:r>
            <w:r>
              <w:rPr>
                <w:webHidden/>
              </w:rPr>
              <w:tab/>
            </w:r>
            <w:r>
              <w:rPr>
                <w:webHidden/>
              </w:rPr>
              <w:fldChar w:fldCharType="begin"/>
            </w:r>
            <w:r>
              <w:rPr>
                <w:webHidden/>
              </w:rPr>
              <w:instrText xml:space="preserve"> PAGEREF _Toc198898901 \h </w:instrText>
            </w:r>
            <w:r>
              <w:rPr>
                <w:webHidden/>
              </w:rPr>
            </w:r>
            <w:r>
              <w:rPr>
                <w:webHidden/>
              </w:rPr>
              <w:fldChar w:fldCharType="separate"/>
            </w:r>
            <w:r w:rsidR="0001784A">
              <w:rPr>
                <w:webHidden/>
              </w:rPr>
              <w:t>28</w:t>
            </w:r>
            <w:r>
              <w:rPr>
                <w:webHidden/>
              </w:rPr>
              <w:fldChar w:fldCharType="end"/>
            </w:r>
          </w:hyperlink>
        </w:p>
        <w:p w14:paraId="3781FF90" w14:textId="07922112" w:rsidR="00043166" w:rsidRDefault="00043166">
          <w:pPr>
            <w:pStyle w:val="TOC2"/>
            <w:rPr>
              <w:rFonts w:eastAsiaTheme="minorEastAsia"/>
              <w:kern w:val="2"/>
              <w:sz w:val="24"/>
              <w:szCs w:val="24"/>
              <w:lang w:eastAsia="en-AU"/>
              <w14:ligatures w14:val="standardContextual"/>
            </w:rPr>
          </w:pPr>
          <w:hyperlink w:anchor="_Toc198898902" w:history="1">
            <w:r w:rsidRPr="008317D7">
              <w:rPr>
                <w:rStyle w:val="Hyperlink"/>
              </w:rPr>
              <w:t>Intervention activities</w:t>
            </w:r>
            <w:r>
              <w:rPr>
                <w:webHidden/>
              </w:rPr>
              <w:tab/>
            </w:r>
            <w:r>
              <w:rPr>
                <w:webHidden/>
              </w:rPr>
              <w:fldChar w:fldCharType="begin"/>
            </w:r>
            <w:r>
              <w:rPr>
                <w:webHidden/>
              </w:rPr>
              <w:instrText xml:space="preserve"> PAGEREF _Toc198898902 \h </w:instrText>
            </w:r>
            <w:r>
              <w:rPr>
                <w:webHidden/>
              </w:rPr>
            </w:r>
            <w:r>
              <w:rPr>
                <w:webHidden/>
              </w:rPr>
              <w:fldChar w:fldCharType="separate"/>
            </w:r>
            <w:r w:rsidR="0001784A">
              <w:rPr>
                <w:webHidden/>
              </w:rPr>
              <w:t>28</w:t>
            </w:r>
            <w:r>
              <w:rPr>
                <w:webHidden/>
              </w:rPr>
              <w:fldChar w:fldCharType="end"/>
            </w:r>
          </w:hyperlink>
        </w:p>
        <w:p w14:paraId="11361247" w14:textId="2AF6ACBB" w:rsidR="00043166" w:rsidRDefault="00043166">
          <w:pPr>
            <w:pStyle w:val="TOC1"/>
            <w:rPr>
              <w:rFonts w:eastAsiaTheme="minorEastAsia"/>
              <w:b w:val="0"/>
              <w:kern w:val="2"/>
              <w:sz w:val="24"/>
              <w:szCs w:val="24"/>
              <w:lang w:eastAsia="en-AU"/>
              <w14:ligatures w14:val="standardContextual"/>
            </w:rPr>
          </w:pPr>
          <w:hyperlink w:anchor="_Toc198898903" w:history="1">
            <w:r w:rsidRPr="008317D7">
              <w:rPr>
                <w:rStyle w:val="Hyperlink"/>
              </w:rPr>
              <w:t>Appendix C: Summary of stakeholder feedback</w:t>
            </w:r>
            <w:r>
              <w:rPr>
                <w:webHidden/>
              </w:rPr>
              <w:tab/>
            </w:r>
            <w:r>
              <w:rPr>
                <w:webHidden/>
              </w:rPr>
              <w:fldChar w:fldCharType="begin"/>
            </w:r>
            <w:r>
              <w:rPr>
                <w:webHidden/>
              </w:rPr>
              <w:instrText xml:space="preserve"> PAGEREF _Toc198898903 \h </w:instrText>
            </w:r>
            <w:r>
              <w:rPr>
                <w:webHidden/>
              </w:rPr>
            </w:r>
            <w:r>
              <w:rPr>
                <w:webHidden/>
              </w:rPr>
              <w:fldChar w:fldCharType="separate"/>
            </w:r>
            <w:r w:rsidR="0001784A">
              <w:rPr>
                <w:webHidden/>
              </w:rPr>
              <w:t>30</w:t>
            </w:r>
            <w:r>
              <w:rPr>
                <w:webHidden/>
              </w:rPr>
              <w:fldChar w:fldCharType="end"/>
            </w:r>
          </w:hyperlink>
        </w:p>
        <w:p w14:paraId="359EDD45" w14:textId="6267F4E6" w:rsidR="00764D6A" w:rsidRDefault="00E91D72" w:rsidP="004B3F30">
          <w:pPr>
            <w:pStyle w:val="TOC1"/>
          </w:pPr>
          <w:r>
            <w:rPr>
              <w:b w:val="0"/>
            </w:rPr>
            <w:fldChar w:fldCharType="end"/>
          </w:r>
        </w:p>
      </w:sdtContent>
    </w:sdt>
    <w:p w14:paraId="2A9B65D4" w14:textId="77777777" w:rsidR="00764D6A" w:rsidRPr="009622CD" w:rsidRDefault="00E91D72" w:rsidP="009622CD">
      <w:pPr>
        <w:pStyle w:val="TOCHeading2"/>
        <w:rPr>
          <w:rStyle w:val="Strong"/>
          <w:b/>
          <w:bCs w:val="0"/>
        </w:rPr>
      </w:pPr>
      <w:r w:rsidRPr="009622CD">
        <w:rPr>
          <w:rStyle w:val="Strong"/>
          <w:b/>
          <w:bCs w:val="0"/>
        </w:rPr>
        <w:t>Tables</w:t>
      </w:r>
    </w:p>
    <w:p w14:paraId="7907FA36" w14:textId="4DD166F8" w:rsidR="007C3FAB"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201226992" w:history="1">
        <w:r w:rsidR="007C3FAB" w:rsidRPr="00FA26F6">
          <w:rPr>
            <w:rStyle w:val="Hyperlink"/>
            <w:noProof/>
          </w:rPr>
          <w:t>Table 1 Government decisions impacting regulatory charging for agricultural export activities</w:t>
        </w:r>
        <w:r w:rsidR="007C3FAB">
          <w:rPr>
            <w:noProof/>
            <w:webHidden/>
          </w:rPr>
          <w:tab/>
        </w:r>
        <w:r w:rsidR="007C3FAB">
          <w:rPr>
            <w:noProof/>
            <w:webHidden/>
          </w:rPr>
          <w:fldChar w:fldCharType="begin"/>
        </w:r>
        <w:r w:rsidR="007C3FAB">
          <w:rPr>
            <w:noProof/>
            <w:webHidden/>
          </w:rPr>
          <w:instrText xml:space="preserve"> PAGEREF _Toc201226992 \h </w:instrText>
        </w:r>
        <w:r w:rsidR="007C3FAB">
          <w:rPr>
            <w:noProof/>
            <w:webHidden/>
          </w:rPr>
        </w:r>
        <w:r w:rsidR="007C3FAB">
          <w:rPr>
            <w:noProof/>
            <w:webHidden/>
          </w:rPr>
          <w:fldChar w:fldCharType="separate"/>
        </w:r>
        <w:r w:rsidR="0001784A">
          <w:rPr>
            <w:noProof/>
            <w:webHidden/>
          </w:rPr>
          <w:t>3</w:t>
        </w:r>
        <w:r w:rsidR="007C3FAB">
          <w:rPr>
            <w:noProof/>
            <w:webHidden/>
          </w:rPr>
          <w:fldChar w:fldCharType="end"/>
        </w:r>
      </w:hyperlink>
    </w:p>
    <w:p w14:paraId="4216D0DE" w14:textId="3761D9FC"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6993" w:history="1">
        <w:r w:rsidRPr="00FA26F6">
          <w:rPr>
            <w:rStyle w:val="Hyperlink"/>
            <w:noProof/>
          </w:rPr>
          <w:t>Table 2 Approach to stakeholder engagement for regulatory charging</w:t>
        </w:r>
        <w:r>
          <w:rPr>
            <w:noProof/>
            <w:webHidden/>
          </w:rPr>
          <w:tab/>
        </w:r>
        <w:r>
          <w:rPr>
            <w:noProof/>
            <w:webHidden/>
          </w:rPr>
          <w:fldChar w:fldCharType="begin"/>
        </w:r>
        <w:r>
          <w:rPr>
            <w:noProof/>
            <w:webHidden/>
          </w:rPr>
          <w:instrText xml:space="preserve"> PAGEREF _Toc201226993 \h </w:instrText>
        </w:r>
        <w:r>
          <w:rPr>
            <w:noProof/>
            <w:webHidden/>
          </w:rPr>
        </w:r>
        <w:r>
          <w:rPr>
            <w:noProof/>
            <w:webHidden/>
          </w:rPr>
          <w:fldChar w:fldCharType="separate"/>
        </w:r>
        <w:r w:rsidR="0001784A">
          <w:rPr>
            <w:noProof/>
            <w:webHidden/>
          </w:rPr>
          <w:t>8</w:t>
        </w:r>
        <w:r>
          <w:rPr>
            <w:noProof/>
            <w:webHidden/>
          </w:rPr>
          <w:fldChar w:fldCharType="end"/>
        </w:r>
      </w:hyperlink>
    </w:p>
    <w:p w14:paraId="0057BA2E" w14:textId="1C5439FD"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6994" w:history="1">
        <w:r w:rsidRPr="00FA26F6">
          <w:rPr>
            <w:rStyle w:val="Hyperlink"/>
            <w:noProof/>
          </w:rPr>
          <w:t>Table 3 Cost base for horticulture exports cost recovery arrangement, 2025-26</w:t>
        </w:r>
        <w:r>
          <w:rPr>
            <w:noProof/>
            <w:webHidden/>
          </w:rPr>
          <w:tab/>
        </w:r>
        <w:r>
          <w:rPr>
            <w:noProof/>
            <w:webHidden/>
          </w:rPr>
          <w:fldChar w:fldCharType="begin"/>
        </w:r>
        <w:r>
          <w:rPr>
            <w:noProof/>
            <w:webHidden/>
          </w:rPr>
          <w:instrText xml:space="preserve"> PAGEREF _Toc201226994 \h </w:instrText>
        </w:r>
        <w:r>
          <w:rPr>
            <w:noProof/>
            <w:webHidden/>
          </w:rPr>
        </w:r>
        <w:r>
          <w:rPr>
            <w:noProof/>
            <w:webHidden/>
          </w:rPr>
          <w:fldChar w:fldCharType="separate"/>
        </w:r>
        <w:r w:rsidR="0001784A">
          <w:rPr>
            <w:noProof/>
            <w:webHidden/>
          </w:rPr>
          <w:t>12</w:t>
        </w:r>
        <w:r>
          <w:rPr>
            <w:noProof/>
            <w:webHidden/>
          </w:rPr>
          <w:fldChar w:fldCharType="end"/>
        </w:r>
      </w:hyperlink>
    </w:p>
    <w:p w14:paraId="408E2EE8" w14:textId="75E81045"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6995" w:history="1">
        <w:r w:rsidRPr="00FA26F6">
          <w:rPr>
            <w:rStyle w:val="Hyperlink"/>
            <w:noProof/>
          </w:rPr>
          <w:t>Table 4 Cost type breakdown for horticulture exports cost recovery arrangement, 2025–26</w:t>
        </w:r>
        <w:r>
          <w:rPr>
            <w:noProof/>
            <w:webHidden/>
          </w:rPr>
          <w:tab/>
        </w:r>
        <w:r>
          <w:rPr>
            <w:noProof/>
            <w:webHidden/>
          </w:rPr>
          <w:fldChar w:fldCharType="begin"/>
        </w:r>
        <w:r>
          <w:rPr>
            <w:noProof/>
            <w:webHidden/>
          </w:rPr>
          <w:instrText xml:space="preserve"> PAGEREF _Toc201226995 \h </w:instrText>
        </w:r>
        <w:r>
          <w:rPr>
            <w:noProof/>
            <w:webHidden/>
          </w:rPr>
        </w:r>
        <w:r>
          <w:rPr>
            <w:noProof/>
            <w:webHidden/>
          </w:rPr>
          <w:fldChar w:fldCharType="separate"/>
        </w:r>
        <w:r w:rsidR="0001784A">
          <w:rPr>
            <w:noProof/>
            <w:webHidden/>
          </w:rPr>
          <w:t>13</w:t>
        </w:r>
        <w:r>
          <w:rPr>
            <w:noProof/>
            <w:webHidden/>
          </w:rPr>
          <w:fldChar w:fldCharType="end"/>
        </w:r>
      </w:hyperlink>
    </w:p>
    <w:p w14:paraId="29AA5CF7" w14:textId="3C5303EC"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6996" w:history="1">
        <w:r w:rsidRPr="00FA26F6">
          <w:rPr>
            <w:rStyle w:val="Hyperlink"/>
            <w:noProof/>
          </w:rPr>
          <w:t>Table 5 Fees, charges and volumes for horticulture exports cost recovery arrangement, 2025-26</w:t>
        </w:r>
        <w:r>
          <w:rPr>
            <w:noProof/>
            <w:webHidden/>
          </w:rPr>
          <w:tab/>
        </w:r>
        <w:r>
          <w:rPr>
            <w:noProof/>
            <w:webHidden/>
          </w:rPr>
          <w:fldChar w:fldCharType="begin"/>
        </w:r>
        <w:r>
          <w:rPr>
            <w:noProof/>
            <w:webHidden/>
          </w:rPr>
          <w:instrText xml:space="preserve"> PAGEREF _Toc201226996 \h </w:instrText>
        </w:r>
        <w:r>
          <w:rPr>
            <w:noProof/>
            <w:webHidden/>
          </w:rPr>
        </w:r>
        <w:r>
          <w:rPr>
            <w:noProof/>
            <w:webHidden/>
          </w:rPr>
          <w:fldChar w:fldCharType="separate"/>
        </w:r>
        <w:r w:rsidR="0001784A">
          <w:rPr>
            <w:noProof/>
            <w:webHidden/>
          </w:rPr>
          <w:t>14</w:t>
        </w:r>
        <w:r>
          <w:rPr>
            <w:noProof/>
            <w:webHidden/>
          </w:rPr>
          <w:fldChar w:fldCharType="end"/>
        </w:r>
      </w:hyperlink>
    </w:p>
    <w:p w14:paraId="07BD3A10" w14:textId="07F5C66A"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6997" w:history="1">
        <w:r w:rsidRPr="00FA26F6">
          <w:rPr>
            <w:rStyle w:val="Hyperlink"/>
            <w:noProof/>
          </w:rPr>
          <w:t>Table 6 Financial estimates for horticulture exports cost recovery arrangement</w:t>
        </w:r>
        <w:r>
          <w:rPr>
            <w:noProof/>
            <w:webHidden/>
          </w:rPr>
          <w:tab/>
        </w:r>
        <w:r>
          <w:rPr>
            <w:noProof/>
            <w:webHidden/>
          </w:rPr>
          <w:fldChar w:fldCharType="begin"/>
        </w:r>
        <w:r>
          <w:rPr>
            <w:noProof/>
            <w:webHidden/>
          </w:rPr>
          <w:instrText xml:space="preserve"> PAGEREF _Toc201226997 \h </w:instrText>
        </w:r>
        <w:r>
          <w:rPr>
            <w:noProof/>
            <w:webHidden/>
          </w:rPr>
        </w:r>
        <w:r>
          <w:rPr>
            <w:noProof/>
            <w:webHidden/>
          </w:rPr>
          <w:fldChar w:fldCharType="separate"/>
        </w:r>
        <w:r w:rsidR="0001784A">
          <w:rPr>
            <w:noProof/>
            <w:webHidden/>
          </w:rPr>
          <w:t>16</w:t>
        </w:r>
        <w:r>
          <w:rPr>
            <w:noProof/>
            <w:webHidden/>
          </w:rPr>
          <w:fldChar w:fldCharType="end"/>
        </w:r>
      </w:hyperlink>
    </w:p>
    <w:p w14:paraId="0169327C" w14:textId="1EA59A0F"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6998" w:history="1">
        <w:r w:rsidRPr="00FA26F6">
          <w:rPr>
            <w:rStyle w:val="Hyperlink"/>
            <w:noProof/>
          </w:rPr>
          <w:t>Table 7 Financial performance for horticulture exports cost recovery arrangement, 2020–21 to 2023–24</w:t>
        </w:r>
        <w:r>
          <w:rPr>
            <w:noProof/>
            <w:webHidden/>
          </w:rPr>
          <w:tab/>
        </w:r>
        <w:r>
          <w:rPr>
            <w:noProof/>
            <w:webHidden/>
          </w:rPr>
          <w:fldChar w:fldCharType="begin"/>
        </w:r>
        <w:r>
          <w:rPr>
            <w:noProof/>
            <w:webHidden/>
          </w:rPr>
          <w:instrText xml:space="preserve"> PAGEREF _Toc201226998 \h </w:instrText>
        </w:r>
        <w:r>
          <w:rPr>
            <w:noProof/>
            <w:webHidden/>
          </w:rPr>
        </w:r>
        <w:r>
          <w:rPr>
            <w:noProof/>
            <w:webHidden/>
          </w:rPr>
          <w:fldChar w:fldCharType="separate"/>
        </w:r>
        <w:r w:rsidR="0001784A">
          <w:rPr>
            <w:noProof/>
            <w:webHidden/>
          </w:rPr>
          <w:t>17</w:t>
        </w:r>
        <w:r>
          <w:rPr>
            <w:noProof/>
            <w:webHidden/>
          </w:rPr>
          <w:fldChar w:fldCharType="end"/>
        </w:r>
      </w:hyperlink>
    </w:p>
    <w:p w14:paraId="3BC27B24" w14:textId="630B09B2"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6999" w:history="1">
        <w:r w:rsidRPr="00FA26F6">
          <w:rPr>
            <w:rStyle w:val="Hyperlink"/>
            <w:noProof/>
          </w:rPr>
          <w:t>Table 8 horticulture export arrangement summary of financial position, 2023–24</w:t>
        </w:r>
        <w:r>
          <w:rPr>
            <w:noProof/>
            <w:webHidden/>
          </w:rPr>
          <w:tab/>
        </w:r>
        <w:r>
          <w:rPr>
            <w:noProof/>
            <w:webHidden/>
          </w:rPr>
          <w:fldChar w:fldCharType="begin"/>
        </w:r>
        <w:r>
          <w:rPr>
            <w:noProof/>
            <w:webHidden/>
          </w:rPr>
          <w:instrText xml:space="preserve"> PAGEREF _Toc201226999 \h </w:instrText>
        </w:r>
        <w:r>
          <w:rPr>
            <w:noProof/>
            <w:webHidden/>
          </w:rPr>
        </w:r>
        <w:r>
          <w:rPr>
            <w:noProof/>
            <w:webHidden/>
          </w:rPr>
          <w:fldChar w:fldCharType="separate"/>
        </w:r>
        <w:r w:rsidR="0001784A">
          <w:rPr>
            <w:noProof/>
            <w:webHidden/>
          </w:rPr>
          <w:t>17</w:t>
        </w:r>
        <w:r>
          <w:rPr>
            <w:noProof/>
            <w:webHidden/>
          </w:rPr>
          <w:fldChar w:fldCharType="end"/>
        </w:r>
      </w:hyperlink>
    </w:p>
    <w:p w14:paraId="2EFAE17B" w14:textId="78AE8E83"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7000" w:history="1">
        <w:r w:rsidRPr="00FA26F6">
          <w:rPr>
            <w:rStyle w:val="Hyperlink"/>
            <w:noProof/>
          </w:rPr>
          <w:t>Table 9 CRIS approval and change register</w:t>
        </w:r>
        <w:r>
          <w:rPr>
            <w:noProof/>
            <w:webHidden/>
          </w:rPr>
          <w:tab/>
        </w:r>
        <w:r>
          <w:rPr>
            <w:noProof/>
            <w:webHidden/>
          </w:rPr>
          <w:fldChar w:fldCharType="begin"/>
        </w:r>
        <w:r>
          <w:rPr>
            <w:noProof/>
            <w:webHidden/>
          </w:rPr>
          <w:instrText xml:space="preserve"> PAGEREF _Toc201227000 \h </w:instrText>
        </w:r>
        <w:r>
          <w:rPr>
            <w:noProof/>
            <w:webHidden/>
          </w:rPr>
        </w:r>
        <w:r>
          <w:rPr>
            <w:noProof/>
            <w:webHidden/>
          </w:rPr>
          <w:fldChar w:fldCharType="separate"/>
        </w:r>
        <w:r w:rsidR="0001784A">
          <w:rPr>
            <w:noProof/>
            <w:webHidden/>
          </w:rPr>
          <w:t>20</w:t>
        </w:r>
        <w:r>
          <w:rPr>
            <w:noProof/>
            <w:webHidden/>
          </w:rPr>
          <w:fldChar w:fldCharType="end"/>
        </w:r>
      </w:hyperlink>
    </w:p>
    <w:p w14:paraId="1C1EC942" w14:textId="5F0BC149" w:rsidR="007C3FAB" w:rsidRPr="007C3FAB" w:rsidRDefault="00E91D72">
      <w:pPr>
        <w:pStyle w:val="TableofFigures"/>
        <w:tabs>
          <w:tab w:val="right" w:leader="dot" w:pos="9060"/>
        </w:tabs>
        <w:rPr>
          <w:noProof/>
        </w:rPr>
      </w:pPr>
      <w:r>
        <w:rPr>
          <w:noProof/>
        </w:rPr>
        <w:fldChar w:fldCharType="end"/>
      </w:r>
      <w:r w:rsidR="007010B3">
        <w:rPr>
          <w:rStyle w:val="Hyperlink"/>
        </w:rPr>
        <w:fldChar w:fldCharType="begin"/>
      </w:r>
      <w:r w:rsidR="007010B3">
        <w:rPr>
          <w:rStyle w:val="Hyperlink"/>
        </w:rPr>
        <w:instrText xml:space="preserve"> TOC \h \z \c "Table A" </w:instrText>
      </w:r>
      <w:r w:rsidR="007010B3">
        <w:rPr>
          <w:rStyle w:val="Hyperlink"/>
        </w:rPr>
        <w:fldChar w:fldCharType="separate"/>
      </w:r>
      <w:hyperlink w:anchor="_Toc201227001" w:history="1">
        <w:r w:rsidR="007C3FAB" w:rsidRPr="007B5359">
          <w:rPr>
            <w:rStyle w:val="Hyperlink"/>
            <w:noProof/>
          </w:rPr>
          <w:t>Table A1 Organics fees and charge</w:t>
        </w:r>
        <w:r w:rsidR="007C3FAB">
          <w:rPr>
            <w:noProof/>
            <w:webHidden/>
          </w:rPr>
          <w:tab/>
        </w:r>
        <w:r w:rsidR="007C3FAB">
          <w:rPr>
            <w:noProof/>
            <w:webHidden/>
          </w:rPr>
          <w:fldChar w:fldCharType="begin"/>
        </w:r>
        <w:r w:rsidR="007C3FAB">
          <w:rPr>
            <w:noProof/>
            <w:webHidden/>
          </w:rPr>
          <w:instrText xml:space="preserve"> PAGEREF _Toc201227001 \h </w:instrText>
        </w:r>
        <w:r w:rsidR="007C3FAB">
          <w:rPr>
            <w:noProof/>
            <w:webHidden/>
          </w:rPr>
        </w:r>
        <w:r w:rsidR="007C3FAB">
          <w:rPr>
            <w:noProof/>
            <w:webHidden/>
          </w:rPr>
          <w:fldChar w:fldCharType="separate"/>
        </w:r>
        <w:r w:rsidR="0001784A">
          <w:rPr>
            <w:noProof/>
            <w:webHidden/>
          </w:rPr>
          <w:t>21</w:t>
        </w:r>
        <w:r w:rsidR="007C3FAB">
          <w:rPr>
            <w:noProof/>
            <w:webHidden/>
          </w:rPr>
          <w:fldChar w:fldCharType="end"/>
        </w:r>
      </w:hyperlink>
    </w:p>
    <w:p w14:paraId="641BA07F" w14:textId="4A2D06AB"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7002" w:history="1">
        <w:r w:rsidRPr="007B5359">
          <w:rPr>
            <w:rStyle w:val="Hyperlink"/>
            <w:noProof/>
          </w:rPr>
          <w:t>Table A2 TRQ certificate fees and charge</w:t>
        </w:r>
        <w:r>
          <w:rPr>
            <w:noProof/>
            <w:webHidden/>
          </w:rPr>
          <w:tab/>
        </w:r>
        <w:r>
          <w:rPr>
            <w:noProof/>
            <w:webHidden/>
          </w:rPr>
          <w:fldChar w:fldCharType="begin"/>
        </w:r>
        <w:r>
          <w:rPr>
            <w:noProof/>
            <w:webHidden/>
          </w:rPr>
          <w:instrText xml:space="preserve"> PAGEREF _Toc201227002 \h </w:instrText>
        </w:r>
        <w:r>
          <w:rPr>
            <w:noProof/>
            <w:webHidden/>
          </w:rPr>
        </w:r>
        <w:r>
          <w:rPr>
            <w:noProof/>
            <w:webHidden/>
          </w:rPr>
          <w:fldChar w:fldCharType="separate"/>
        </w:r>
        <w:r w:rsidR="0001784A">
          <w:rPr>
            <w:noProof/>
            <w:webHidden/>
          </w:rPr>
          <w:t>21</w:t>
        </w:r>
        <w:r>
          <w:rPr>
            <w:noProof/>
            <w:webHidden/>
          </w:rPr>
          <w:fldChar w:fldCharType="end"/>
        </w:r>
      </w:hyperlink>
    </w:p>
    <w:p w14:paraId="12E918D5" w14:textId="223FC1AC" w:rsidR="007C3FAB" w:rsidRDefault="007C3FAB">
      <w:pPr>
        <w:pStyle w:val="TableofFigures"/>
        <w:tabs>
          <w:tab w:val="right" w:leader="dot" w:pos="9060"/>
        </w:tabs>
        <w:rPr>
          <w:rFonts w:eastAsiaTheme="minorEastAsia"/>
          <w:noProof/>
          <w:kern w:val="2"/>
          <w:sz w:val="24"/>
          <w:szCs w:val="24"/>
          <w:lang w:eastAsia="en-AU"/>
          <w14:ligatures w14:val="standardContextual"/>
        </w:rPr>
      </w:pPr>
      <w:hyperlink w:anchor="_Toc201227003" w:history="1">
        <w:r w:rsidRPr="007B5359">
          <w:rPr>
            <w:rStyle w:val="Hyperlink"/>
            <w:noProof/>
          </w:rPr>
          <w:t>Table A3 Outside ordinary hours</w:t>
        </w:r>
        <w:r>
          <w:rPr>
            <w:noProof/>
            <w:webHidden/>
          </w:rPr>
          <w:tab/>
        </w:r>
        <w:r>
          <w:rPr>
            <w:noProof/>
            <w:webHidden/>
          </w:rPr>
          <w:fldChar w:fldCharType="begin"/>
        </w:r>
        <w:r>
          <w:rPr>
            <w:noProof/>
            <w:webHidden/>
          </w:rPr>
          <w:instrText xml:space="preserve"> PAGEREF _Toc201227003 \h </w:instrText>
        </w:r>
        <w:r>
          <w:rPr>
            <w:noProof/>
            <w:webHidden/>
          </w:rPr>
        </w:r>
        <w:r>
          <w:rPr>
            <w:noProof/>
            <w:webHidden/>
          </w:rPr>
          <w:fldChar w:fldCharType="separate"/>
        </w:r>
        <w:r w:rsidR="0001784A">
          <w:rPr>
            <w:noProof/>
            <w:webHidden/>
          </w:rPr>
          <w:t>22</w:t>
        </w:r>
        <w:r>
          <w:rPr>
            <w:noProof/>
            <w:webHidden/>
          </w:rPr>
          <w:fldChar w:fldCharType="end"/>
        </w:r>
      </w:hyperlink>
    </w:p>
    <w:p w14:paraId="5D61B02B" w14:textId="248D3772" w:rsidR="00DF2B36" w:rsidRPr="00DF2B36" w:rsidRDefault="007010B3">
      <w:pPr>
        <w:pStyle w:val="TableofFigures"/>
        <w:tabs>
          <w:tab w:val="right" w:leader="dot" w:pos="9060"/>
        </w:tabs>
        <w:rPr>
          <w:noProof/>
        </w:rPr>
      </w:pPr>
      <w:r>
        <w:rPr>
          <w:rStyle w:val="Hyperlink"/>
        </w:rPr>
        <w:fldChar w:fldCharType="end"/>
      </w:r>
      <w:r w:rsidRPr="00ED301E">
        <w:rPr>
          <w:rStyle w:val="Hyperlink"/>
          <w:noProof/>
        </w:rPr>
        <w:fldChar w:fldCharType="begin"/>
      </w:r>
      <w:r w:rsidRPr="00ED301E">
        <w:rPr>
          <w:rStyle w:val="Hyperlink"/>
          <w:noProof/>
        </w:rPr>
        <w:instrText xml:space="preserve"> TOC \h \z \c "Table C" </w:instrText>
      </w:r>
      <w:r w:rsidRPr="00ED301E">
        <w:rPr>
          <w:rStyle w:val="Hyperlink"/>
          <w:noProof/>
        </w:rPr>
        <w:fldChar w:fldCharType="separate"/>
      </w:r>
      <w:hyperlink w:anchor="_Toc198900223" w:history="1">
        <w:r w:rsidR="00DF2B36" w:rsidRPr="00802E0C">
          <w:rPr>
            <w:rStyle w:val="Hyperlink"/>
            <w:noProof/>
          </w:rPr>
          <w:t>Table C1 stakeholder feedback for the 2025-26 CRIS</w:t>
        </w:r>
        <w:r w:rsidR="00DF2B36">
          <w:rPr>
            <w:noProof/>
            <w:webHidden/>
          </w:rPr>
          <w:tab/>
        </w:r>
        <w:r w:rsidR="00DF2B36">
          <w:rPr>
            <w:noProof/>
            <w:webHidden/>
          </w:rPr>
          <w:fldChar w:fldCharType="begin"/>
        </w:r>
        <w:r w:rsidR="00DF2B36">
          <w:rPr>
            <w:noProof/>
            <w:webHidden/>
          </w:rPr>
          <w:instrText xml:space="preserve"> PAGEREF _Toc198900223 \h </w:instrText>
        </w:r>
        <w:r w:rsidR="00DF2B36">
          <w:rPr>
            <w:noProof/>
            <w:webHidden/>
          </w:rPr>
        </w:r>
        <w:r w:rsidR="00DF2B36">
          <w:rPr>
            <w:noProof/>
            <w:webHidden/>
          </w:rPr>
          <w:fldChar w:fldCharType="separate"/>
        </w:r>
        <w:r w:rsidR="0001784A">
          <w:rPr>
            <w:noProof/>
            <w:webHidden/>
          </w:rPr>
          <w:t>30</w:t>
        </w:r>
        <w:r w:rsidR="00DF2B36">
          <w:rPr>
            <w:noProof/>
            <w:webHidden/>
          </w:rPr>
          <w:fldChar w:fldCharType="end"/>
        </w:r>
      </w:hyperlink>
    </w:p>
    <w:p w14:paraId="55C6B29A" w14:textId="6CC0B622" w:rsidR="00F65243" w:rsidRPr="007010B3" w:rsidRDefault="007010B3" w:rsidP="00F65243">
      <w:pPr>
        <w:pStyle w:val="TableofFigures"/>
        <w:tabs>
          <w:tab w:val="right" w:leader="dot" w:pos="9060"/>
        </w:tabs>
        <w:rPr>
          <w:rStyle w:val="Strong"/>
          <w:b w:val="0"/>
          <w:bCs w:val="0"/>
        </w:rPr>
      </w:pPr>
      <w:r w:rsidRPr="00ED301E">
        <w:rPr>
          <w:rStyle w:val="Hyperlink"/>
          <w:noProof/>
        </w:rPr>
        <w:fldChar w:fldCharType="end"/>
      </w:r>
      <w:bookmarkStart w:id="0" w:name="_Hlk164077484"/>
    </w:p>
    <w:p w14:paraId="6E085BEE" w14:textId="3E77891A" w:rsidR="007010B3" w:rsidRPr="00D11C0B" w:rsidRDefault="007010B3" w:rsidP="007010B3">
      <w:pPr>
        <w:pStyle w:val="TOCHeading2"/>
        <w:rPr>
          <w:rStyle w:val="Strong"/>
          <w:b/>
          <w:bCs w:val="0"/>
        </w:rPr>
      </w:pPr>
      <w:r w:rsidRPr="007010B3">
        <w:rPr>
          <w:rStyle w:val="Strong"/>
          <w:b/>
          <w:bCs w:val="0"/>
        </w:rPr>
        <w:t>Figures</w:t>
      </w:r>
    </w:p>
    <w:bookmarkEnd w:id="0"/>
    <w:p w14:paraId="0F417B76" w14:textId="35522E50" w:rsidR="005507EF" w:rsidRDefault="007010B3">
      <w:pPr>
        <w:pStyle w:val="TableofFigures"/>
        <w:tabs>
          <w:tab w:val="right" w:leader="dot" w:pos="9060"/>
        </w:tabs>
        <w:rPr>
          <w:rFonts w:eastAsiaTheme="minorEastAsia"/>
          <w:noProof/>
          <w:kern w:val="2"/>
          <w:sz w:val="24"/>
          <w:szCs w:val="24"/>
          <w:lang w:eastAsia="en-AU"/>
          <w14:ligatures w14:val="standardContextual"/>
        </w:rPr>
      </w:pPr>
      <w:r w:rsidRPr="00D36549">
        <w:rPr>
          <w:rStyle w:val="Hyperlink"/>
          <w:noProof/>
        </w:rPr>
        <w:fldChar w:fldCharType="begin"/>
      </w:r>
      <w:r w:rsidRPr="00D36549">
        <w:rPr>
          <w:rStyle w:val="Hyperlink"/>
          <w:noProof/>
        </w:rPr>
        <w:instrText xml:space="preserve"> TOC \h \z \c "Figure" </w:instrText>
      </w:r>
      <w:r w:rsidRPr="00D36549">
        <w:rPr>
          <w:rStyle w:val="Hyperlink"/>
          <w:noProof/>
        </w:rPr>
        <w:fldChar w:fldCharType="separate"/>
      </w:r>
      <w:hyperlink w:anchor="_Toc198899209" w:history="1">
        <w:r w:rsidR="005507EF" w:rsidRPr="008947A6">
          <w:rPr>
            <w:rStyle w:val="Hyperlink"/>
            <w:noProof/>
          </w:rPr>
          <w:t>Figure 1 CRIS review process</w:t>
        </w:r>
        <w:r w:rsidR="005507EF">
          <w:rPr>
            <w:noProof/>
            <w:webHidden/>
          </w:rPr>
          <w:tab/>
        </w:r>
        <w:r w:rsidR="005507EF">
          <w:rPr>
            <w:noProof/>
            <w:webHidden/>
          </w:rPr>
          <w:fldChar w:fldCharType="begin"/>
        </w:r>
        <w:r w:rsidR="005507EF">
          <w:rPr>
            <w:noProof/>
            <w:webHidden/>
          </w:rPr>
          <w:instrText xml:space="preserve"> PAGEREF _Toc198899209 \h </w:instrText>
        </w:r>
        <w:r w:rsidR="005507EF">
          <w:rPr>
            <w:noProof/>
            <w:webHidden/>
          </w:rPr>
        </w:r>
        <w:r w:rsidR="005507EF">
          <w:rPr>
            <w:noProof/>
            <w:webHidden/>
          </w:rPr>
          <w:fldChar w:fldCharType="separate"/>
        </w:r>
        <w:r w:rsidR="0001784A">
          <w:rPr>
            <w:noProof/>
            <w:webHidden/>
          </w:rPr>
          <w:t>8</w:t>
        </w:r>
        <w:r w:rsidR="005507EF">
          <w:rPr>
            <w:noProof/>
            <w:webHidden/>
          </w:rPr>
          <w:fldChar w:fldCharType="end"/>
        </w:r>
      </w:hyperlink>
    </w:p>
    <w:p w14:paraId="5E2A1D7B" w14:textId="7EA34984" w:rsidR="005507EF" w:rsidRDefault="005507EF">
      <w:pPr>
        <w:pStyle w:val="TableofFigures"/>
        <w:tabs>
          <w:tab w:val="right" w:leader="dot" w:pos="9060"/>
        </w:tabs>
        <w:rPr>
          <w:rFonts w:eastAsiaTheme="minorEastAsia"/>
          <w:noProof/>
          <w:kern w:val="2"/>
          <w:sz w:val="24"/>
          <w:szCs w:val="24"/>
          <w:lang w:eastAsia="en-AU"/>
          <w14:ligatures w14:val="standardContextual"/>
        </w:rPr>
      </w:pPr>
      <w:hyperlink w:anchor="_Toc198899210" w:history="1">
        <w:r w:rsidRPr="008947A6">
          <w:rPr>
            <w:rStyle w:val="Hyperlink"/>
            <w:noProof/>
          </w:rPr>
          <w:t xml:space="preserve">Figure 2 </w:t>
        </w:r>
        <w:r w:rsidRPr="008947A6">
          <w:rPr>
            <w:rStyle w:val="Hyperlink"/>
            <w:rFonts w:eastAsia="Calibri" w:cs="Times New Roman"/>
            <w:noProof/>
          </w:rPr>
          <w:t>Example the process a regulated entity would experience for an intervention activity.</w:t>
        </w:r>
        <w:r>
          <w:rPr>
            <w:noProof/>
            <w:webHidden/>
          </w:rPr>
          <w:tab/>
        </w:r>
        <w:r>
          <w:rPr>
            <w:noProof/>
            <w:webHidden/>
          </w:rPr>
          <w:fldChar w:fldCharType="begin"/>
        </w:r>
        <w:r>
          <w:rPr>
            <w:noProof/>
            <w:webHidden/>
          </w:rPr>
          <w:instrText xml:space="preserve"> PAGEREF _Toc198899210 \h </w:instrText>
        </w:r>
        <w:r>
          <w:rPr>
            <w:noProof/>
            <w:webHidden/>
          </w:rPr>
        </w:r>
        <w:r>
          <w:rPr>
            <w:noProof/>
            <w:webHidden/>
          </w:rPr>
          <w:fldChar w:fldCharType="separate"/>
        </w:r>
        <w:r w:rsidR="0001784A">
          <w:rPr>
            <w:noProof/>
            <w:webHidden/>
          </w:rPr>
          <w:t>12</w:t>
        </w:r>
        <w:r>
          <w:rPr>
            <w:noProof/>
            <w:webHidden/>
          </w:rPr>
          <w:fldChar w:fldCharType="end"/>
        </w:r>
      </w:hyperlink>
    </w:p>
    <w:p w14:paraId="5C6608B2" w14:textId="4751776E" w:rsidR="005507EF" w:rsidRPr="005507EF" w:rsidRDefault="007010B3">
      <w:pPr>
        <w:pStyle w:val="TableofFigures"/>
        <w:tabs>
          <w:tab w:val="right" w:leader="dot" w:pos="9060"/>
        </w:tabs>
        <w:rPr>
          <w:noProof/>
        </w:rPr>
      </w:pPr>
      <w:r w:rsidRPr="00D36549">
        <w:rPr>
          <w:rStyle w:val="Hyperlink"/>
        </w:rPr>
        <w:fldChar w:fldCharType="end"/>
      </w:r>
      <w:r>
        <w:rPr>
          <w:rStyle w:val="Hyperlink"/>
        </w:rPr>
        <w:fldChar w:fldCharType="begin"/>
      </w:r>
      <w:r>
        <w:rPr>
          <w:rStyle w:val="Hyperlink"/>
        </w:rPr>
        <w:instrText xml:space="preserve"> TOC \h \z \c "Figure B" </w:instrText>
      </w:r>
      <w:r>
        <w:rPr>
          <w:rStyle w:val="Hyperlink"/>
        </w:rPr>
        <w:fldChar w:fldCharType="separate"/>
      </w:r>
      <w:hyperlink w:anchor="_Toc198899211" w:history="1">
        <w:r w:rsidR="005507EF" w:rsidRPr="0084081E">
          <w:rPr>
            <w:rStyle w:val="Hyperlink"/>
            <w:noProof/>
          </w:rPr>
          <w:t>Figure B1 Outputs and business processes of the department’s regulatory charging activity</w:t>
        </w:r>
        <w:r w:rsidR="005507EF">
          <w:rPr>
            <w:noProof/>
            <w:webHidden/>
          </w:rPr>
          <w:tab/>
        </w:r>
        <w:r w:rsidR="005507EF">
          <w:rPr>
            <w:noProof/>
            <w:webHidden/>
          </w:rPr>
          <w:fldChar w:fldCharType="begin"/>
        </w:r>
        <w:r w:rsidR="005507EF">
          <w:rPr>
            <w:noProof/>
            <w:webHidden/>
          </w:rPr>
          <w:instrText xml:space="preserve"> PAGEREF _Toc198899211 \h </w:instrText>
        </w:r>
        <w:r w:rsidR="005507EF">
          <w:rPr>
            <w:noProof/>
            <w:webHidden/>
          </w:rPr>
        </w:r>
        <w:r w:rsidR="005507EF">
          <w:rPr>
            <w:noProof/>
            <w:webHidden/>
          </w:rPr>
          <w:fldChar w:fldCharType="separate"/>
        </w:r>
        <w:r w:rsidR="0001784A">
          <w:rPr>
            <w:noProof/>
            <w:webHidden/>
          </w:rPr>
          <w:t>23</w:t>
        </w:r>
        <w:r w:rsidR="005507EF">
          <w:rPr>
            <w:noProof/>
            <w:webHidden/>
          </w:rPr>
          <w:fldChar w:fldCharType="end"/>
        </w:r>
      </w:hyperlink>
    </w:p>
    <w:p w14:paraId="51688B33" w14:textId="3E3FA341" w:rsidR="005507EF" w:rsidRDefault="005507EF">
      <w:pPr>
        <w:pStyle w:val="TableofFigures"/>
        <w:tabs>
          <w:tab w:val="right" w:leader="dot" w:pos="9060"/>
        </w:tabs>
        <w:rPr>
          <w:rFonts w:eastAsiaTheme="minorEastAsia"/>
          <w:noProof/>
          <w:kern w:val="2"/>
          <w:sz w:val="24"/>
          <w:szCs w:val="24"/>
          <w:lang w:eastAsia="en-AU"/>
          <w14:ligatures w14:val="standardContextual"/>
        </w:rPr>
      </w:pPr>
      <w:hyperlink w:anchor="_Toc198899212" w:history="1">
        <w:r w:rsidRPr="0084081E">
          <w:rPr>
            <w:rStyle w:val="Hyperlink"/>
            <w:noProof/>
          </w:rPr>
          <w:t>Figure B2 Categories of activities</w:t>
        </w:r>
        <w:r>
          <w:rPr>
            <w:noProof/>
            <w:webHidden/>
          </w:rPr>
          <w:tab/>
        </w:r>
        <w:r>
          <w:rPr>
            <w:noProof/>
            <w:webHidden/>
          </w:rPr>
          <w:fldChar w:fldCharType="begin"/>
        </w:r>
        <w:r>
          <w:rPr>
            <w:noProof/>
            <w:webHidden/>
          </w:rPr>
          <w:instrText xml:space="preserve"> PAGEREF _Toc198899212 \h </w:instrText>
        </w:r>
        <w:r>
          <w:rPr>
            <w:noProof/>
            <w:webHidden/>
          </w:rPr>
        </w:r>
        <w:r>
          <w:rPr>
            <w:noProof/>
            <w:webHidden/>
          </w:rPr>
          <w:fldChar w:fldCharType="separate"/>
        </w:r>
        <w:r w:rsidR="0001784A">
          <w:rPr>
            <w:noProof/>
            <w:webHidden/>
          </w:rPr>
          <w:t>26</w:t>
        </w:r>
        <w:r>
          <w:rPr>
            <w:noProof/>
            <w:webHidden/>
          </w:rPr>
          <w:fldChar w:fldCharType="end"/>
        </w:r>
      </w:hyperlink>
    </w:p>
    <w:p w14:paraId="2F88F08A" w14:textId="77777777" w:rsidR="007010B3" w:rsidRDefault="007010B3" w:rsidP="007010B3">
      <w:pPr>
        <w:pStyle w:val="TableofFigures"/>
        <w:tabs>
          <w:tab w:val="right" w:leader="dot" w:pos="9060"/>
        </w:tabs>
        <w:rPr>
          <w:rStyle w:val="Strong"/>
        </w:rPr>
      </w:pPr>
      <w:r>
        <w:rPr>
          <w:rStyle w:val="Hyperlink"/>
        </w:rPr>
        <w:fldChar w:fldCharType="end"/>
      </w:r>
      <w:bookmarkStart w:id="1" w:name="_Hlk164756299"/>
    </w:p>
    <w:bookmarkEnd w:id="1"/>
    <w:p w14:paraId="68DEECC4" w14:textId="5746F1E9" w:rsidR="00437672" w:rsidRDefault="00437672" w:rsidP="007010B3">
      <w:pPr>
        <w:pStyle w:val="TableofFigures"/>
        <w:tabs>
          <w:tab w:val="right" w:leader="dot" w:pos="9060"/>
        </w:tabs>
      </w:pPr>
    </w:p>
    <w:p w14:paraId="2557C0E9" w14:textId="77777777" w:rsidR="00437672" w:rsidRDefault="00437672" w:rsidP="00437672">
      <w:pPr>
        <w:sectPr w:rsidR="00437672" w:rsidSect="00437672">
          <w:headerReference w:type="default" r:id="rId16"/>
          <w:footerReference w:type="default" r:id="rId17"/>
          <w:pgSz w:w="11906" w:h="16838"/>
          <w:pgMar w:top="1418" w:right="1418" w:bottom="1418" w:left="1418" w:header="567" w:footer="283" w:gutter="0"/>
          <w:pgNumType w:fmt="lowerRoman"/>
          <w:cols w:space="708"/>
          <w:docGrid w:linePitch="360"/>
        </w:sectPr>
      </w:pPr>
    </w:p>
    <w:p w14:paraId="1D3FA379" w14:textId="4CE0966A" w:rsidR="00764D6A" w:rsidRDefault="00E91D72" w:rsidP="00324495">
      <w:pPr>
        <w:pStyle w:val="Heading2"/>
        <w:numPr>
          <w:ilvl w:val="0"/>
          <w:numId w:val="0"/>
        </w:numPr>
        <w:ind w:left="720" w:hanging="720"/>
      </w:pPr>
      <w:bookmarkStart w:id="2" w:name="_Toc430782149"/>
      <w:bookmarkStart w:id="3" w:name="_Toc193794413"/>
      <w:bookmarkStart w:id="4" w:name="_Toc198898868"/>
      <w:r w:rsidRPr="00324495">
        <w:lastRenderedPageBreak/>
        <w:t>Summary</w:t>
      </w:r>
      <w:bookmarkEnd w:id="2"/>
      <w:bookmarkEnd w:id="3"/>
      <w:bookmarkEnd w:id="4"/>
    </w:p>
    <w:p w14:paraId="14095D14" w14:textId="77777777" w:rsidR="00784908" w:rsidRDefault="00784908" w:rsidP="00784908">
      <w:bookmarkStart w:id="5" w:name="_Toc430782150"/>
      <w:r>
        <w:t>This cost recovery implementation statement (CRIS) provides information on how the department implements cost recovery for the horticulture export cost recovery arrangement.</w:t>
      </w:r>
    </w:p>
    <w:p w14:paraId="5F1DA04B" w14:textId="166B9B98" w:rsidR="005A2709" w:rsidRDefault="005A2709" w:rsidP="005A2709">
      <w:bookmarkStart w:id="6" w:name="_Hlk193113776"/>
      <w:r>
        <w:t xml:space="preserve">The department </w:t>
      </w:r>
      <w:r w:rsidRPr="00DC3ADA">
        <w:t>performs</w:t>
      </w:r>
      <w:r>
        <w:t xml:space="preserve"> a range of regulatory activities in support of our producers and exporters who take their high-quality products to global markets. The gross value of agricultural, fisheries and forestry production in 2024</w:t>
      </w:r>
      <w:r w:rsidR="00090E75">
        <w:t>–</w:t>
      </w:r>
      <w:r>
        <w:t>25 is expected to be around $88.4 billion.</w:t>
      </w:r>
      <w:bookmarkEnd w:id="6"/>
      <w:r>
        <w:t xml:space="preserve"> </w:t>
      </w:r>
    </w:p>
    <w:p w14:paraId="4D9C4A90" w14:textId="388CB139" w:rsidR="00784908" w:rsidRDefault="00A931A4" w:rsidP="00784908">
      <w:r>
        <w:t>Cost Recovery is implemented when</w:t>
      </w:r>
      <w:r w:rsidR="00784908">
        <w:t>:</w:t>
      </w:r>
    </w:p>
    <w:p w14:paraId="7FE56042" w14:textId="77777777" w:rsidR="00784908" w:rsidRDefault="00784908" w:rsidP="007010B3">
      <w:pPr>
        <w:pStyle w:val="ListNumber"/>
        <w:numPr>
          <w:ilvl w:val="0"/>
          <w:numId w:val="13"/>
        </w:numPr>
        <w:ind w:left="454" w:hanging="454"/>
      </w:pPr>
      <w:r>
        <w:t>Fees are charged when regulation is provided directly to an individual or organisation for the delivery of regulatory activities such as inspections of goods, audit of registered premises, or assessment of export certification.</w:t>
      </w:r>
    </w:p>
    <w:p w14:paraId="1DAABE0A" w14:textId="77777777" w:rsidR="00784908" w:rsidRDefault="00784908" w:rsidP="007010B3">
      <w:pPr>
        <w:pStyle w:val="ListNumber"/>
        <w:numPr>
          <w:ilvl w:val="0"/>
          <w:numId w:val="13"/>
        </w:numPr>
        <w:ind w:left="454" w:hanging="454"/>
      </w:pPr>
      <w:r>
        <w:t>Cost recovery levies or charges are applied when regulation is imposed on an industry sector rather than directly to a specific individual or organisation. These charges recover the costs of maintaining regulatory infrastructure and integrity through program management and administration, assurance and incident management activities.</w:t>
      </w:r>
    </w:p>
    <w:p w14:paraId="5A60D084" w14:textId="3CE6C3F3" w:rsidR="00702DCA" w:rsidRDefault="00702DCA" w:rsidP="00702DCA">
      <w:pPr>
        <w:pStyle w:val="ListBullet"/>
        <w:numPr>
          <w:ilvl w:val="0"/>
          <w:numId w:val="0"/>
        </w:numPr>
      </w:pPr>
      <w:bookmarkStart w:id="7" w:name="_Hlk193180831"/>
      <w:bookmarkStart w:id="8" w:name="_Hlk193180297"/>
      <w:r>
        <w:t xml:space="preserve">As part of the 2023-24 Mid-Year Economic and Fiscal Outlook (MYEFO), the Australian Government invested in the department under budget measure </w:t>
      </w:r>
      <w:hyperlink r:id="rId18" w:history="1">
        <w:r w:rsidRPr="00841768">
          <w:rPr>
            <w:rStyle w:val="Hyperlink"/>
          </w:rPr>
          <w:t>'Securing the future of agricultural trade (PDF 306KB)'</w:t>
        </w:r>
      </w:hyperlink>
      <w:r>
        <w:t xml:space="preserve"> to ensure Australia’s export regulatory and trade system remains able to meet both the needs of our exporters and the expectations of our trading partners, while supporting industry to achieve its goals now and into the future. </w:t>
      </w:r>
    </w:p>
    <w:p w14:paraId="4F2C40B4" w14:textId="77777777" w:rsidR="00702DCA" w:rsidRPr="00702DCA" w:rsidRDefault="00702DCA" w:rsidP="00702DCA">
      <w:pPr>
        <w:pStyle w:val="ListBullet"/>
        <w:numPr>
          <w:ilvl w:val="0"/>
          <w:numId w:val="0"/>
        </w:numPr>
      </w:pPr>
      <w:r>
        <w:t xml:space="preserve">This measure included $91.8 million over 2 years to sustain and underpin </w:t>
      </w:r>
      <w:r w:rsidRPr="4DADCCF8">
        <w:t>the delivery of the department</w:t>
      </w:r>
      <w:r>
        <w:t>’</w:t>
      </w:r>
      <w:r w:rsidRPr="4DADCCF8">
        <w:t xml:space="preserve">s </w:t>
      </w:r>
      <w:r w:rsidRPr="00702DCA">
        <w:t xml:space="preserve">key export regulatory and non-regulatory trade services, while work progressed to design and develop an ongoing sustainable export trade funding model into the future. </w:t>
      </w:r>
      <w:bookmarkStart w:id="9" w:name="_Hlk193179511"/>
      <w:r w:rsidRPr="00723450">
        <w:t>While this model is under development cost recovery fees and charges will remain unchanged.</w:t>
      </w:r>
    </w:p>
    <w:bookmarkEnd w:id="9"/>
    <w:p w14:paraId="6FBB10AE" w14:textId="5B845D9C" w:rsidR="00702DCA" w:rsidRDefault="00702DCA" w:rsidP="00702DCA">
      <w:pPr>
        <w:pStyle w:val="ListBullet"/>
        <w:numPr>
          <w:ilvl w:val="0"/>
          <w:numId w:val="0"/>
        </w:numPr>
      </w:pPr>
      <w:r w:rsidRPr="00702DCA">
        <w:t>The department continues to work to design and develop this model. Therefore, the Australian</w:t>
      </w:r>
      <w:r>
        <w:t xml:space="preserve"> Government has invested an additional $46.6 million as part of </w:t>
      </w:r>
      <w:r w:rsidR="00A931A4">
        <w:t xml:space="preserve">the </w:t>
      </w:r>
      <w:r>
        <w:t>2024</w:t>
      </w:r>
      <w:r w:rsidR="00090E75">
        <w:t>–</w:t>
      </w:r>
      <w:r>
        <w:t>25 MYEFO to continue to sustain the delivery of the departments export regulatory services through 2025</w:t>
      </w:r>
      <w:r w:rsidR="00090E75">
        <w:t>–</w:t>
      </w:r>
      <w:r>
        <w:t>26. This funding supports significant lead time for consultation and engagement on the design and implementation of a fit for purpose sustainable funding model</w:t>
      </w:r>
      <w:bookmarkEnd w:id="7"/>
      <w:r>
        <w:t>.</w:t>
      </w:r>
    </w:p>
    <w:bookmarkEnd w:id="8"/>
    <w:p w14:paraId="75960A2D" w14:textId="7C57EF1C" w:rsidR="00383A6E" w:rsidRDefault="00383A6E" w:rsidP="00383A6E">
      <w:pPr>
        <w:pStyle w:val="ListBullet"/>
        <w:numPr>
          <w:ilvl w:val="0"/>
          <w:numId w:val="0"/>
        </w:numPr>
      </w:pPr>
    </w:p>
    <w:p w14:paraId="4C7E73B4" w14:textId="77777777" w:rsidR="00EC485D" w:rsidRPr="004F0171" w:rsidRDefault="00EC485D" w:rsidP="00324495">
      <w:pPr>
        <w:pStyle w:val="Heading2"/>
      </w:pPr>
      <w:bookmarkStart w:id="10" w:name="_Toc161737340"/>
      <w:bookmarkStart w:id="11" w:name="_Toc162351702"/>
      <w:bookmarkStart w:id="12" w:name="_Toc170293367"/>
      <w:bookmarkStart w:id="13" w:name="_Toc193794414"/>
      <w:bookmarkStart w:id="14" w:name="_Toc198898869"/>
      <w:bookmarkEnd w:id="5"/>
      <w:r w:rsidRPr="004F0171">
        <w:lastRenderedPageBreak/>
        <w:t xml:space="preserve">Policy and statutory authority to cost </w:t>
      </w:r>
      <w:r w:rsidRPr="00324495">
        <w:t>recover</w:t>
      </w:r>
      <w:bookmarkEnd w:id="10"/>
      <w:bookmarkEnd w:id="11"/>
      <w:bookmarkEnd w:id="12"/>
      <w:bookmarkEnd w:id="13"/>
      <w:bookmarkEnd w:id="14"/>
    </w:p>
    <w:p w14:paraId="2A29962F" w14:textId="77777777" w:rsidR="00EC485D" w:rsidRPr="00EC485D" w:rsidRDefault="00EC485D" w:rsidP="00324495">
      <w:pPr>
        <w:pStyle w:val="Heading3"/>
      </w:pPr>
      <w:bookmarkStart w:id="15" w:name="_Toc170293368"/>
      <w:bookmarkStart w:id="16" w:name="_Toc193794415"/>
      <w:bookmarkStart w:id="17" w:name="_Toc198898870"/>
      <w:r w:rsidRPr="00EC485D">
        <w:t xml:space="preserve">About </w:t>
      </w:r>
      <w:r w:rsidRPr="00DA370D">
        <w:t>the</w:t>
      </w:r>
      <w:r w:rsidRPr="00EC485D">
        <w:t xml:space="preserve"> department</w:t>
      </w:r>
      <w:bookmarkEnd w:id="15"/>
      <w:bookmarkEnd w:id="16"/>
      <w:bookmarkEnd w:id="17"/>
    </w:p>
    <w:p w14:paraId="18736217" w14:textId="77777777" w:rsidR="00EC485D" w:rsidRDefault="00EC485D" w:rsidP="00EC485D">
      <w:r>
        <w:t>Our vision is a more sustainable and prosperous Australia through biosecurity, agricultural production and trade.</w:t>
      </w:r>
    </w:p>
    <w:p w14:paraId="1D86DE1B" w14:textId="77777777" w:rsidR="00EC485D" w:rsidRDefault="00EC485D" w:rsidP="00EC485D">
      <w:r>
        <w:t>We maintain and create agricultural export opportunities, to provide gains for Australian agriculture, fishing and forestry. We manage biosecurity risks to Australia to protect our multi-billion-dollar industries and our way of life. We engage with international counterparts to reinforce Australia’s role in shaping how the global agriculture and fibre sector addresses food security, productivity, trade, sustainability and the impacts of climate change.</w:t>
      </w:r>
    </w:p>
    <w:p w14:paraId="5A036BCD" w14:textId="77777777" w:rsidR="00EC485D" w:rsidRDefault="00EC485D" w:rsidP="00EC485D">
      <w:r>
        <w:t xml:space="preserve">As a regulator, we enforce laws relating to agricultural goods exported from Australia. We are also responsible for </w:t>
      </w:r>
      <w:r w:rsidRPr="00CE47FC">
        <w:t>administration of export controls on agricultural, fisheries and forestry industries products</w:t>
      </w:r>
      <w:r>
        <w:t>.</w:t>
      </w:r>
    </w:p>
    <w:p w14:paraId="504B87F0" w14:textId="77777777" w:rsidR="00EC485D" w:rsidRDefault="00EC485D" w:rsidP="00EC485D">
      <w:r>
        <w:t xml:space="preserve">By working together with industry and our state and territory partners, our objective is to </w:t>
      </w:r>
      <w:r w:rsidRPr="00CE47FC">
        <w:t>safeguard and grow sustainable agriculture, fisheries and forestry for all Australians.</w:t>
      </w:r>
    </w:p>
    <w:p w14:paraId="7CAAF4AD" w14:textId="77777777" w:rsidR="00EC485D" w:rsidRPr="00EC485D" w:rsidRDefault="00EC485D" w:rsidP="00324495">
      <w:pPr>
        <w:pStyle w:val="Heading3"/>
      </w:pPr>
      <w:bookmarkStart w:id="18" w:name="_Toc170293369"/>
      <w:bookmarkStart w:id="19" w:name="_Toc193794416"/>
      <w:bookmarkStart w:id="20" w:name="_Toc198898871"/>
      <w:r w:rsidRPr="00EC485D">
        <w:t xml:space="preserve">Government </w:t>
      </w:r>
      <w:r w:rsidRPr="00DA370D">
        <w:t>policy</w:t>
      </w:r>
      <w:r w:rsidRPr="00EC485D">
        <w:t xml:space="preserve"> approval to cost recover</w:t>
      </w:r>
      <w:bookmarkEnd w:id="18"/>
      <w:bookmarkEnd w:id="19"/>
      <w:bookmarkEnd w:id="20"/>
    </w:p>
    <w:p w14:paraId="333BB8E9" w14:textId="77777777" w:rsidR="00702DCA" w:rsidRDefault="00702DCA" w:rsidP="00702DCA">
      <w:pPr>
        <w:rPr>
          <w:lang w:eastAsia="ja-JP"/>
        </w:rPr>
      </w:pPr>
      <w:bookmarkStart w:id="21" w:name="_Hlk193180850"/>
      <w:r>
        <w:rPr>
          <w:lang w:eastAsia="ja-JP"/>
        </w:rPr>
        <w:t xml:space="preserve">Under the </w:t>
      </w:r>
      <w:r>
        <w:t xml:space="preserve">Australian Government </w:t>
      </w:r>
      <w:bookmarkStart w:id="22" w:name="_Hlk63765222"/>
      <w:r>
        <w:t>C</w:t>
      </w:r>
      <w:r>
        <w:rPr>
          <w:lang w:eastAsia="ja-JP"/>
        </w:rPr>
        <w:t xml:space="preserve">harging </w:t>
      </w:r>
      <w:bookmarkEnd w:id="22"/>
      <w:r>
        <w:t>F</w:t>
      </w:r>
      <w:r>
        <w:rPr>
          <w:lang w:eastAsia="ja-JP"/>
        </w:rPr>
        <w:t>ramework, cost recovery requires both policy approval and statutory authority. Th</w:t>
      </w:r>
      <w:r>
        <w:t>is chapter</w:t>
      </w:r>
      <w:r>
        <w:rPr>
          <w:lang w:eastAsia="ja-JP"/>
        </w:rPr>
        <w:t xml:space="preserve"> provide</w:t>
      </w:r>
      <w:r>
        <w:t>s</w:t>
      </w:r>
      <w:r>
        <w:rPr>
          <w:lang w:eastAsia="ja-JP"/>
        </w:rPr>
        <w:t xml:space="preserve"> information on government approval of </w:t>
      </w:r>
      <w:r>
        <w:t xml:space="preserve">regulatory </w:t>
      </w:r>
      <w:r>
        <w:rPr>
          <w:lang w:eastAsia="ja-JP"/>
        </w:rPr>
        <w:t xml:space="preserve">charging for export regulatory activities and the legislation that enables </w:t>
      </w:r>
      <w:r>
        <w:t>the department</w:t>
      </w:r>
      <w:r>
        <w:rPr>
          <w:lang w:eastAsia="ja-JP"/>
        </w:rPr>
        <w:t xml:space="preserve"> to collect fees and charges.</w:t>
      </w:r>
    </w:p>
    <w:p w14:paraId="1531973E" w14:textId="77777777" w:rsidR="00702DCA" w:rsidRDefault="00702DCA" w:rsidP="00702DCA">
      <w:r>
        <w:rPr>
          <w:lang w:eastAsia="ja-JP"/>
        </w:rPr>
        <w:t xml:space="preserve">Cost recovery (regulatory charging) falls within the Australian Government’s </w:t>
      </w:r>
      <w:r>
        <w:t>C</w:t>
      </w:r>
      <w:r>
        <w:rPr>
          <w:lang w:eastAsia="ja-JP"/>
        </w:rPr>
        <w:t xml:space="preserve">harging </w:t>
      </w:r>
      <w:r>
        <w:t>F</w:t>
      </w:r>
      <w:r>
        <w:rPr>
          <w:lang w:eastAsia="ja-JP"/>
        </w:rPr>
        <w:t xml:space="preserve">ramework. </w:t>
      </w:r>
      <w:r>
        <w:t>The type of charge is determined by the characteristics of the activities as described in the charging framework.</w:t>
      </w:r>
      <w:r w:rsidRPr="00DC3AB2">
        <w:t xml:space="preserve"> This provides the overarching framework under which government entities must design, implement and review cost recovery.</w:t>
      </w:r>
    </w:p>
    <w:p w14:paraId="2A83DBC6" w14:textId="77777777" w:rsidR="00702DCA" w:rsidRPr="00D96FE5" w:rsidRDefault="00702DCA" w:rsidP="00702DCA">
      <w:r>
        <w:t>Regul</w:t>
      </w:r>
      <w:r w:rsidRPr="00D96FE5">
        <w:t>atory charging is appropriate because export</w:t>
      </w:r>
      <w:r>
        <w:t>s</w:t>
      </w:r>
      <w:r w:rsidRPr="00D96FE5">
        <w:t xml:space="preserve"> </w:t>
      </w:r>
      <w:r>
        <w:t>regulatory</w:t>
      </w:r>
      <w:r w:rsidRPr="00D96FE5">
        <w:t xml:space="preserve"> activity is provided to a clearly identifiable group</w:t>
      </w:r>
      <w:r>
        <w:t xml:space="preserve">, </w:t>
      </w:r>
      <w:r w:rsidRPr="00D96FE5">
        <w:t xml:space="preserve">individuals and organisations that participate in the </w:t>
      </w:r>
      <w:r>
        <w:t>agriculture,</w:t>
      </w:r>
      <w:r w:rsidRPr="00EB66BC">
        <w:t xml:space="preserve"> food</w:t>
      </w:r>
      <w:r>
        <w:t xml:space="preserve"> and fibre</w:t>
      </w:r>
      <w:r w:rsidRPr="00D96FE5">
        <w:t xml:space="preserve"> export supply chain. If it were not for the business activities of th</w:t>
      </w:r>
      <w:r>
        <w:t>ese</w:t>
      </w:r>
      <w:r w:rsidRPr="00D96FE5">
        <w:t xml:space="preserve"> group</w:t>
      </w:r>
      <w:r>
        <w:t>s</w:t>
      </w:r>
      <w:r w:rsidRPr="00D96FE5">
        <w:t>, the regulatory activities would not be required.</w:t>
      </w:r>
    </w:p>
    <w:p w14:paraId="1F9301E4" w14:textId="77777777" w:rsidR="00702DCA" w:rsidRPr="00D96FE5" w:rsidRDefault="00702DCA" w:rsidP="00702DCA">
      <w:pPr>
        <w:rPr>
          <w:lang w:eastAsia="ja-JP"/>
        </w:rPr>
      </w:pPr>
      <w:r w:rsidRPr="00D96FE5">
        <w:rPr>
          <w:lang w:eastAsia="ja-JP"/>
        </w:rPr>
        <w:t>There are additional benefits to funding export</w:t>
      </w:r>
      <w:r>
        <w:t>s</w:t>
      </w:r>
      <w:r w:rsidRPr="00D96FE5">
        <w:rPr>
          <w:lang w:eastAsia="ja-JP"/>
        </w:rPr>
        <w:t xml:space="preserve"> </w:t>
      </w:r>
      <w:r>
        <w:rPr>
          <w:lang w:eastAsia="ja-JP"/>
        </w:rPr>
        <w:t>regulation</w:t>
      </w:r>
      <w:r w:rsidRPr="00D96FE5">
        <w:rPr>
          <w:lang w:eastAsia="ja-JP"/>
        </w:rPr>
        <w:t xml:space="preserve"> through regulatory charging. When a business pays for the activities it receives, the government has an obligation to justify the prices it charges. Regulatory charging also </w:t>
      </w:r>
      <w:r>
        <w:t xml:space="preserve">raises the awareness </w:t>
      </w:r>
      <w:r w:rsidRPr="00D96FE5">
        <w:rPr>
          <w:lang w:eastAsia="ja-JP"/>
        </w:rPr>
        <w:t xml:space="preserve">of regulated entities of how much a </w:t>
      </w:r>
      <w:r>
        <w:t>regulated</w:t>
      </w:r>
      <w:r w:rsidRPr="00D96FE5">
        <w:rPr>
          <w:lang w:eastAsia="ja-JP"/>
        </w:rPr>
        <w:t xml:space="preserve"> activity cost</w:t>
      </w:r>
      <w:r>
        <w:rPr>
          <w:lang w:eastAsia="ja-JP"/>
        </w:rPr>
        <w:t>s</w:t>
      </w:r>
      <w:r w:rsidRPr="00D96FE5">
        <w:rPr>
          <w:lang w:eastAsia="ja-JP"/>
        </w:rPr>
        <w:t>.</w:t>
      </w:r>
    </w:p>
    <w:p w14:paraId="65BC3BD4" w14:textId="77777777" w:rsidR="00702DCA" w:rsidRDefault="00702DCA" w:rsidP="00702DCA">
      <w:r w:rsidRPr="00D96FE5">
        <w:rPr>
          <w:lang w:eastAsia="ja-JP"/>
        </w:rPr>
        <w:t>For these reasons, the government has determined regulatory charging to be the most appropriate mechanism for funding export</w:t>
      </w:r>
      <w:r>
        <w:t>s</w:t>
      </w:r>
      <w:r w:rsidRPr="00D96FE5">
        <w:rPr>
          <w:lang w:eastAsia="ja-JP"/>
        </w:rPr>
        <w:t xml:space="preserve"> </w:t>
      </w:r>
      <w:r>
        <w:rPr>
          <w:lang w:eastAsia="ja-JP"/>
        </w:rPr>
        <w:t>regulatory activities</w:t>
      </w:r>
      <w:r w:rsidRPr="00D96FE5">
        <w:rPr>
          <w:lang w:eastAsia="ja-JP"/>
        </w:rPr>
        <w:t xml:space="preserve">. </w:t>
      </w:r>
      <w:r>
        <w:t>R</w:t>
      </w:r>
      <w:r w:rsidRPr="00D96FE5">
        <w:t xml:space="preserve">egulatory charging of export </w:t>
      </w:r>
      <w:r>
        <w:t>regulatory</w:t>
      </w:r>
      <w:r w:rsidRPr="00D96FE5">
        <w:t xml:space="preserve"> activities</w:t>
      </w:r>
      <w:r>
        <w:t xml:space="preserve"> is </w:t>
      </w:r>
      <w:r w:rsidRPr="00D96FE5">
        <w:t xml:space="preserve">consistent with the </w:t>
      </w:r>
      <w:r>
        <w:t>c</w:t>
      </w:r>
      <w:r w:rsidRPr="00D96FE5">
        <w:t xml:space="preserve">harging </w:t>
      </w:r>
      <w:r>
        <w:t>f</w:t>
      </w:r>
      <w:r w:rsidRPr="00D96FE5">
        <w:t>ramework.</w:t>
      </w:r>
    </w:p>
    <w:p w14:paraId="3A83F77F" w14:textId="77D226E0" w:rsidR="006C2E83" w:rsidRDefault="00D84B1C" w:rsidP="006C2E83">
      <w:hyperlink w:anchor="Table_1" w:history="1">
        <w:r w:rsidRPr="00D84B1C">
          <w:rPr>
            <w:rStyle w:val="Hyperlink"/>
            <w:color w:val="auto"/>
            <w:u w:val="none"/>
          </w:rPr>
          <w:t>Table 1</w:t>
        </w:r>
      </w:hyperlink>
      <w:r>
        <w:t xml:space="preserve"> </w:t>
      </w:r>
      <w:r w:rsidR="006C2E83">
        <w:t>describes the key government approvals for continued and expanded regulatory charging for agricultural exports since 2015.</w:t>
      </w:r>
    </w:p>
    <w:p w14:paraId="73BAA238" w14:textId="5A0A8F69" w:rsidR="006C2E83" w:rsidRPr="00384BE5" w:rsidRDefault="006C2E83" w:rsidP="006C2E83">
      <w:pPr>
        <w:pStyle w:val="Caption"/>
      </w:pPr>
      <w:bookmarkStart w:id="23" w:name="_Ref198727724"/>
      <w:bookmarkStart w:id="24" w:name="_Ref198286822"/>
      <w:bookmarkStart w:id="25" w:name="_Toc198730532"/>
      <w:bookmarkStart w:id="26" w:name="_Toc201226992"/>
      <w:r>
        <w:t xml:space="preserve">Table </w:t>
      </w:r>
      <w:r>
        <w:fldChar w:fldCharType="begin"/>
      </w:r>
      <w:r>
        <w:instrText xml:space="preserve"> SEQ Table \* ARABIC </w:instrText>
      </w:r>
      <w:r>
        <w:fldChar w:fldCharType="separate"/>
      </w:r>
      <w:r w:rsidR="0001784A">
        <w:rPr>
          <w:noProof/>
        </w:rPr>
        <w:t>1</w:t>
      </w:r>
      <w:r>
        <w:fldChar w:fldCharType="end"/>
      </w:r>
      <w:bookmarkEnd w:id="23"/>
      <w:r>
        <w:t xml:space="preserve"> Government </w:t>
      </w:r>
      <w:r w:rsidRPr="006C2E83">
        <w:t>decisions impacting regulatory charging for agricultural export activities</w:t>
      </w:r>
      <w:bookmarkEnd w:id="24"/>
      <w:bookmarkEnd w:id="25"/>
      <w:bookmarkEnd w:id="2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903"/>
        <w:gridCol w:w="1972"/>
        <w:gridCol w:w="6195"/>
      </w:tblGrid>
      <w:tr w:rsidR="00C5350B" w:rsidRPr="00C8471F" w14:paraId="3E5D1D2F" w14:textId="77777777" w:rsidTr="00AB4A65">
        <w:trPr>
          <w:cantSplit/>
          <w:tblHeader/>
        </w:trPr>
        <w:tc>
          <w:tcPr>
            <w:tcW w:w="498" w:type="pct"/>
            <w:tcBorders>
              <w:bottom w:val="single" w:sz="4" w:space="0" w:color="auto"/>
            </w:tcBorders>
          </w:tcPr>
          <w:p w14:paraId="74FDCE55" w14:textId="77777777" w:rsidR="00C5350B" w:rsidRPr="00C8471F" w:rsidRDefault="00C5350B" w:rsidP="00AB4A65">
            <w:pPr>
              <w:pStyle w:val="TableHeading"/>
            </w:pPr>
            <w:bookmarkStart w:id="27" w:name="Table_1"/>
            <w:bookmarkEnd w:id="27"/>
            <w:r w:rsidRPr="00C8471F">
              <w:t>Date</w:t>
            </w:r>
          </w:p>
        </w:tc>
        <w:tc>
          <w:tcPr>
            <w:tcW w:w="1087" w:type="pct"/>
            <w:tcBorders>
              <w:bottom w:val="single" w:sz="4" w:space="0" w:color="auto"/>
            </w:tcBorders>
          </w:tcPr>
          <w:p w14:paraId="47E186DE" w14:textId="77777777" w:rsidR="00C5350B" w:rsidRPr="00C8471F" w:rsidRDefault="00C5350B" w:rsidP="00AB4A65">
            <w:pPr>
              <w:pStyle w:val="TableHeading"/>
            </w:pPr>
            <w:r w:rsidRPr="00C8471F">
              <w:t>Government decision</w:t>
            </w:r>
          </w:p>
        </w:tc>
        <w:tc>
          <w:tcPr>
            <w:tcW w:w="3415" w:type="pct"/>
            <w:tcBorders>
              <w:bottom w:val="single" w:sz="4" w:space="0" w:color="auto"/>
            </w:tcBorders>
          </w:tcPr>
          <w:p w14:paraId="31FFD362" w14:textId="77777777" w:rsidR="00C5350B" w:rsidRPr="00C8471F" w:rsidRDefault="00C5350B" w:rsidP="00AB4A65">
            <w:pPr>
              <w:pStyle w:val="TableHeading"/>
            </w:pPr>
            <w:r w:rsidRPr="00C8471F">
              <w:t>Details</w:t>
            </w:r>
          </w:p>
        </w:tc>
      </w:tr>
      <w:tr w:rsidR="00C5350B" w14:paraId="400E1C1F" w14:textId="77777777" w:rsidTr="00AB4A65">
        <w:tc>
          <w:tcPr>
            <w:tcW w:w="498" w:type="pct"/>
            <w:tcBorders>
              <w:bottom w:val="dotted" w:sz="4" w:space="0" w:color="auto"/>
            </w:tcBorders>
          </w:tcPr>
          <w:p w14:paraId="153571F6" w14:textId="5B1D4337" w:rsidR="00C5350B" w:rsidRPr="00900AB8" w:rsidRDefault="00C5350B" w:rsidP="00AB4A65">
            <w:pPr>
              <w:pStyle w:val="TableText"/>
            </w:pPr>
            <w:r>
              <w:t>2024</w:t>
            </w:r>
            <w:r w:rsidR="00C60A4B">
              <w:t>–</w:t>
            </w:r>
            <w:r>
              <w:t>25</w:t>
            </w:r>
          </w:p>
        </w:tc>
        <w:tc>
          <w:tcPr>
            <w:tcW w:w="1087" w:type="pct"/>
            <w:tcBorders>
              <w:bottom w:val="dotted" w:sz="4" w:space="0" w:color="auto"/>
            </w:tcBorders>
          </w:tcPr>
          <w:p w14:paraId="3E61B4B2" w14:textId="77777777" w:rsidR="00C5350B" w:rsidRPr="00900AB8" w:rsidRDefault="00C5350B" w:rsidP="00AB4A65">
            <w:pPr>
              <w:pStyle w:val="TableText"/>
            </w:pPr>
            <w:r>
              <w:t>Enabling Agriculture Exports into the Future</w:t>
            </w:r>
          </w:p>
        </w:tc>
        <w:tc>
          <w:tcPr>
            <w:tcW w:w="3415" w:type="pct"/>
            <w:tcBorders>
              <w:bottom w:val="dotted" w:sz="4" w:space="0" w:color="auto"/>
            </w:tcBorders>
          </w:tcPr>
          <w:p w14:paraId="455DF1B2" w14:textId="77777777" w:rsidR="00C5350B" w:rsidRPr="00900AB8" w:rsidRDefault="00C5350B" w:rsidP="00AB4A65">
            <w:pPr>
              <w:pStyle w:val="TableText"/>
            </w:pPr>
            <w:r>
              <w:t>T</w:t>
            </w:r>
            <w:r w:rsidRPr="001F65F3">
              <w:t>he Australian Government has invested an additional $46.6 million as part of the 2024-25 MYEFO to continue to sustain the delivery of the department’s export regulatory services through 2025-26. This funding supports significant lead time for consultation and engagement on the design and implementation of a fit for purpose sustainable funding model.</w:t>
            </w:r>
          </w:p>
        </w:tc>
      </w:tr>
      <w:tr w:rsidR="00C5350B" w14:paraId="0954CDAD" w14:textId="77777777" w:rsidTr="00AB4A65">
        <w:tc>
          <w:tcPr>
            <w:tcW w:w="498" w:type="pct"/>
            <w:tcBorders>
              <w:bottom w:val="dotted" w:sz="4" w:space="0" w:color="auto"/>
            </w:tcBorders>
          </w:tcPr>
          <w:p w14:paraId="78599EA9" w14:textId="77777777" w:rsidR="00C5350B" w:rsidRDefault="00C5350B" w:rsidP="00AB4A65">
            <w:pPr>
              <w:pStyle w:val="TableText"/>
            </w:pPr>
            <w:r w:rsidRPr="00900AB8">
              <w:t>2023–24</w:t>
            </w:r>
          </w:p>
        </w:tc>
        <w:tc>
          <w:tcPr>
            <w:tcW w:w="1087" w:type="pct"/>
            <w:tcBorders>
              <w:bottom w:val="dotted" w:sz="4" w:space="0" w:color="auto"/>
            </w:tcBorders>
          </w:tcPr>
          <w:p w14:paraId="2128AB96" w14:textId="77777777" w:rsidR="00C5350B" w:rsidRPr="00B5308D" w:rsidRDefault="00C5350B" w:rsidP="00AB4A65">
            <w:pPr>
              <w:pStyle w:val="TableText"/>
              <w:rPr>
                <w:rStyle w:val="Strong"/>
                <w:b w:val="0"/>
                <w:bCs w:val="0"/>
              </w:rPr>
            </w:pPr>
            <w:r w:rsidRPr="00900AB8">
              <w:t>Securing the future of agricultural trade</w:t>
            </w:r>
          </w:p>
        </w:tc>
        <w:tc>
          <w:tcPr>
            <w:tcW w:w="3415" w:type="pct"/>
            <w:tcBorders>
              <w:bottom w:val="dotted" w:sz="4" w:space="0" w:color="auto"/>
            </w:tcBorders>
          </w:tcPr>
          <w:p w14:paraId="304B6C70" w14:textId="77777777" w:rsidR="00C5350B" w:rsidRPr="00900AB8" w:rsidRDefault="00C5350B" w:rsidP="00AB4A65">
            <w:pPr>
              <w:pStyle w:val="TableText"/>
            </w:pPr>
            <w:r w:rsidRPr="00900AB8">
              <w:t xml:space="preserve">In the 2023–24 </w:t>
            </w:r>
            <w:r w:rsidRPr="001F65F3">
              <w:t>MYEFO</w:t>
            </w:r>
            <w:r w:rsidRPr="00900AB8">
              <w:t>, the Australian Government committed $91.8 million over 2 years to ensure Australia’s regulatory export and trade system remains able to meet the needs of both our exporters and the expectations of our trading partners, while supporting industry to achieve its goals now and into the future.</w:t>
            </w:r>
          </w:p>
          <w:p w14:paraId="588BE173" w14:textId="77777777" w:rsidR="00C5350B" w:rsidRPr="00016EAE" w:rsidRDefault="00C5350B" w:rsidP="00AB4A65">
            <w:pPr>
              <w:pStyle w:val="TableText"/>
            </w:pPr>
            <w:r w:rsidRPr="00900AB8">
              <w:t>$3.7 million over 3 years was also provided for the development of an ongoing sustainable funding model to support the department’s export regulatory and trade activities.</w:t>
            </w:r>
          </w:p>
        </w:tc>
      </w:tr>
      <w:tr w:rsidR="00C5350B" w14:paraId="6695B987" w14:textId="77777777" w:rsidTr="00AB4A65">
        <w:tc>
          <w:tcPr>
            <w:tcW w:w="498" w:type="pct"/>
            <w:tcBorders>
              <w:top w:val="dotted" w:sz="4" w:space="0" w:color="auto"/>
              <w:bottom w:val="dotted" w:sz="4" w:space="0" w:color="auto"/>
            </w:tcBorders>
          </w:tcPr>
          <w:p w14:paraId="1563119C" w14:textId="77777777" w:rsidR="00C5350B" w:rsidRDefault="00C5350B" w:rsidP="00AB4A65">
            <w:pPr>
              <w:pStyle w:val="TableText"/>
            </w:pPr>
            <w:r w:rsidRPr="00900AB8">
              <w:t>2020–21</w:t>
            </w:r>
          </w:p>
        </w:tc>
        <w:tc>
          <w:tcPr>
            <w:tcW w:w="1087" w:type="pct"/>
            <w:tcBorders>
              <w:top w:val="dotted" w:sz="4" w:space="0" w:color="auto"/>
              <w:bottom w:val="dotted" w:sz="4" w:space="0" w:color="auto"/>
            </w:tcBorders>
          </w:tcPr>
          <w:p w14:paraId="14A74426" w14:textId="77777777" w:rsidR="00C5350B" w:rsidRPr="00B5308D" w:rsidRDefault="00C5350B" w:rsidP="00AB4A65">
            <w:pPr>
              <w:pStyle w:val="TableText"/>
              <w:rPr>
                <w:rStyle w:val="Strong"/>
                <w:b w:val="0"/>
                <w:bCs w:val="0"/>
              </w:rPr>
            </w:pPr>
            <w:r w:rsidRPr="00900AB8">
              <w:t>Busting Congestion for Agricultural Exporters</w:t>
            </w:r>
          </w:p>
        </w:tc>
        <w:tc>
          <w:tcPr>
            <w:tcW w:w="3415" w:type="pct"/>
            <w:tcBorders>
              <w:top w:val="dotted" w:sz="4" w:space="0" w:color="auto"/>
              <w:bottom w:val="dotted" w:sz="4" w:space="0" w:color="auto"/>
            </w:tcBorders>
          </w:tcPr>
          <w:p w14:paraId="6FEE1B4D" w14:textId="77777777" w:rsidR="00C5350B" w:rsidRPr="00900AB8" w:rsidRDefault="00C5350B" w:rsidP="00AB4A65">
            <w:pPr>
              <w:pStyle w:val="TableText"/>
            </w:pPr>
            <w:r w:rsidRPr="00900AB8">
              <w:t>Policy authority for export regulatory charging was reaffirmed in the 2020–21 Budget when the then government announced the Busting Congestion for Agricultural Exporters package.</w:t>
            </w:r>
          </w:p>
          <w:p w14:paraId="1C9A4D57" w14:textId="77777777" w:rsidR="00C5350B" w:rsidRDefault="00C5350B" w:rsidP="00AB4A65">
            <w:pPr>
              <w:pStyle w:val="TableText"/>
              <w:rPr>
                <w:b/>
                <w:bCs/>
              </w:rPr>
            </w:pPr>
            <w:r w:rsidRPr="00900AB8">
              <w:t>The package consisted of reforms for the Australian agricultural sector as part of the Economic Recovery Plan to rebuild the economy and recover from the COVID-19 recession. This included $71.1 million to improve the financial sustainability of export certification services, supporting a stepped return to full cost recovery, and enabling reforms to be rolled out while maintaining existing systems.</w:t>
            </w:r>
          </w:p>
        </w:tc>
      </w:tr>
      <w:tr w:rsidR="00C5350B" w14:paraId="12D71BF8" w14:textId="77777777" w:rsidTr="00AB4A65">
        <w:tc>
          <w:tcPr>
            <w:tcW w:w="498" w:type="pct"/>
            <w:tcBorders>
              <w:top w:val="dotted" w:sz="4" w:space="0" w:color="auto"/>
              <w:bottom w:val="dotted" w:sz="4" w:space="0" w:color="auto"/>
            </w:tcBorders>
          </w:tcPr>
          <w:p w14:paraId="18FB4F5B" w14:textId="77777777" w:rsidR="00C5350B" w:rsidRDefault="00C5350B" w:rsidP="00AB4A65">
            <w:pPr>
              <w:pStyle w:val="TableText"/>
            </w:pPr>
            <w:r w:rsidRPr="00900AB8">
              <w:t>2020</w:t>
            </w:r>
          </w:p>
        </w:tc>
        <w:tc>
          <w:tcPr>
            <w:tcW w:w="1087" w:type="pct"/>
            <w:tcBorders>
              <w:top w:val="dotted" w:sz="4" w:space="0" w:color="auto"/>
              <w:bottom w:val="dotted" w:sz="4" w:space="0" w:color="auto"/>
            </w:tcBorders>
          </w:tcPr>
          <w:p w14:paraId="7C200B54" w14:textId="77777777" w:rsidR="00C5350B" w:rsidRPr="00B5308D" w:rsidRDefault="00C5350B" w:rsidP="00AB4A65">
            <w:pPr>
              <w:pStyle w:val="TableText"/>
              <w:rPr>
                <w:rStyle w:val="Strong"/>
                <w:b w:val="0"/>
                <w:bCs w:val="0"/>
              </w:rPr>
            </w:pPr>
            <w:r w:rsidRPr="00900AB8">
              <w:t xml:space="preserve">Introduction of the </w:t>
            </w:r>
            <w:r w:rsidRPr="00900AB8">
              <w:rPr>
                <w:i/>
                <w:iCs/>
              </w:rPr>
              <w:t>Export Control Act 2020</w:t>
            </w:r>
          </w:p>
        </w:tc>
        <w:tc>
          <w:tcPr>
            <w:tcW w:w="3415" w:type="pct"/>
            <w:tcBorders>
              <w:top w:val="dotted" w:sz="4" w:space="0" w:color="auto"/>
              <w:bottom w:val="dotted" w:sz="4" w:space="0" w:color="auto"/>
            </w:tcBorders>
          </w:tcPr>
          <w:p w14:paraId="745F9B56" w14:textId="77777777" w:rsidR="00C5350B" w:rsidRPr="00FD60DB" w:rsidRDefault="00C5350B" w:rsidP="00AB4A65">
            <w:pPr>
              <w:pStyle w:val="TableText"/>
            </w:pPr>
            <w:r w:rsidRPr="00900AB8">
              <w:t xml:space="preserve">The </w:t>
            </w:r>
            <w:r w:rsidRPr="00900AB8">
              <w:rPr>
                <w:i/>
                <w:iCs/>
              </w:rPr>
              <w:t>Export Control Act 2020</w:t>
            </w:r>
            <w:r w:rsidRPr="00900AB8">
              <w:t xml:space="preserve"> and related rules and charging regulations for exported commodities, set out the overarching legislative framework for the regulation of exported goods, including food and agricultural products, from Australian territory. A fundamental aspect of this framework is the recovery of costs from exporters for regulatory activities carried out by the department.</w:t>
            </w:r>
          </w:p>
        </w:tc>
      </w:tr>
      <w:tr w:rsidR="00C5350B" w14:paraId="4DDE99FB" w14:textId="77777777" w:rsidTr="00AB4A65">
        <w:tc>
          <w:tcPr>
            <w:tcW w:w="498" w:type="pct"/>
            <w:tcBorders>
              <w:top w:val="dotted" w:sz="4" w:space="0" w:color="auto"/>
              <w:bottom w:val="dotted" w:sz="4" w:space="0" w:color="auto"/>
            </w:tcBorders>
          </w:tcPr>
          <w:p w14:paraId="6158B7F5" w14:textId="77777777" w:rsidR="00C5350B" w:rsidRDefault="00C5350B" w:rsidP="00AB4A65">
            <w:pPr>
              <w:pStyle w:val="TableText"/>
            </w:pPr>
            <w:r w:rsidRPr="00900AB8">
              <w:t>2018–19</w:t>
            </w:r>
          </w:p>
        </w:tc>
        <w:tc>
          <w:tcPr>
            <w:tcW w:w="1087" w:type="pct"/>
            <w:tcBorders>
              <w:top w:val="dotted" w:sz="4" w:space="0" w:color="auto"/>
              <w:bottom w:val="dotted" w:sz="4" w:space="0" w:color="auto"/>
            </w:tcBorders>
          </w:tcPr>
          <w:p w14:paraId="23961B0E" w14:textId="77777777" w:rsidR="00C5350B" w:rsidRDefault="00C5350B" w:rsidP="00AB4A65">
            <w:pPr>
              <w:pStyle w:val="TableText"/>
            </w:pPr>
            <w:r w:rsidRPr="00900AB8">
              <w:t>Expanded Cost Recovery</w:t>
            </w:r>
          </w:p>
        </w:tc>
        <w:tc>
          <w:tcPr>
            <w:tcW w:w="3415" w:type="pct"/>
            <w:tcBorders>
              <w:top w:val="dotted" w:sz="4" w:space="0" w:color="auto"/>
              <w:bottom w:val="dotted" w:sz="4" w:space="0" w:color="auto"/>
            </w:tcBorders>
          </w:tcPr>
          <w:p w14:paraId="5098B4E3" w14:textId="77777777" w:rsidR="00C5350B" w:rsidRPr="00900AB8" w:rsidRDefault="00C5350B" w:rsidP="00AB4A65">
            <w:pPr>
              <w:pStyle w:val="TableText"/>
            </w:pPr>
            <w:r w:rsidRPr="00900AB8">
              <w:t>In the May 2018 Budget, the government confirmed continuing cost recovery from industry through the Expanded Cost Recovery Measure, commencing 1 July 2019, and included:</w:t>
            </w:r>
          </w:p>
          <w:p w14:paraId="0D604947" w14:textId="77777777" w:rsidR="00C5350B" w:rsidRPr="00900AB8" w:rsidRDefault="00C5350B" w:rsidP="00AB4A65">
            <w:pPr>
              <w:pStyle w:val="TableText"/>
            </w:pPr>
            <w:r w:rsidRPr="00900AB8">
              <w:t>Enforcement activities that ensure compliance with Australian regulation and international import conditions. Activities that will be cost recovered include investigations and engagement with clients about compliance but will not include the costs of infringement notice schemes or undertaking litigation.</w:t>
            </w:r>
          </w:p>
          <w:p w14:paraId="41E7CFFB" w14:textId="77777777" w:rsidR="00C5350B" w:rsidRPr="00900AB8" w:rsidRDefault="00C5350B" w:rsidP="00AB4A65">
            <w:pPr>
              <w:pStyle w:val="TableText"/>
            </w:pPr>
            <w:r w:rsidRPr="00900AB8">
              <w:t>Provision of scientific and technical advice to improve or maintain existing export markets. Examples include the provision of scientific or technical advice to re-open or maintain market access following a pest or disease incursion or change in import conditions; and improving existing market access by seeking to reduce import requirements or simplify certification processes.</w:t>
            </w:r>
          </w:p>
          <w:p w14:paraId="7522A9F2" w14:textId="77777777" w:rsidR="00C5350B" w:rsidRDefault="00C5350B" w:rsidP="00AB4A65">
            <w:pPr>
              <w:pStyle w:val="TableText"/>
              <w:rPr>
                <w:b/>
                <w:bCs/>
              </w:rPr>
            </w:pPr>
            <w:r w:rsidRPr="00900AB8">
              <w:t>Services provided by overseas counsellors relating to detained consignments, government certification and other issues which result in goods being held at the border.</w:t>
            </w:r>
          </w:p>
        </w:tc>
      </w:tr>
      <w:tr w:rsidR="00C5350B" w:rsidRPr="00412CC3" w14:paraId="1449D1DC" w14:textId="77777777" w:rsidTr="00AB4A65">
        <w:tc>
          <w:tcPr>
            <w:tcW w:w="498" w:type="pct"/>
            <w:tcBorders>
              <w:top w:val="dotted" w:sz="4" w:space="0" w:color="auto"/>
            </w:tcBorders>
          </w:tcPr>
          <w:p w14:paraId="6FC60FC4" w14:textId="77777777" w:rsidR="00C5350B" w:rsidRPr="00412CC3" w:rsidRDefault="00C5350B" w:rsidP="00AB4A65">
            <w:pPr>
              <w:pStyle w:val="TableText"/>
            </w:pPr>
            <w:r w:rsidRPr="00900AB8">
              <w:t>2015</w:t>
            </w:r>
          </w:p>
        </w:tc>
        <w:tc>
          <w:tcPr>
            <w:tcW w:w="1087" w:type="pct"/>
            <w:tcBorders>
              <w:top w:val="dotted" w:sz="4" w:space="0" w:color="auto"/>
            </w:tcBorders>
          </w:tcPr>
          <w:p w14:paraId="1C57CD63" w14:textId="77777777" w:rsidR="00C5350B" w:rsidRPr="00412CC3" w:rsidRDefault="00C5350B" w:rsidP="00AB4A65">
            <w:pPr>
              <w:pStyle w:val="TableText"/>
            </w:pPr>
            <w:r w:rsidRPr="00900AB8">
              <w:t>Department of Agriculture and Water Resources – Comprehensive Review of Cost Recovery</w:t>
            </w:r>
          </w:p>
        </w:tc>
        <w:tc>
          <w:tcPr>
            <w:tcW w:w="3415" w:type="pct"/>
            <w:tcBorders>
              <w:top w:val="dotted" w:sz="4" w:space="0" w:color="auto"/>
            </w:tcBorders>
          </w:tcPr>
          <w:p w14:paraId="6F6F1A1E" w14:textId="77777777" w:rsidR="00C5350B" w:rsidRPr="00412CC3" w:rsidRDefault="00C5350B" w:rsidP="00AB4A65">
            <w:pPr>
              <w:pStyle w:val="TableText"/>
            </w:pPr>
            <w:r w:rsidRPr="00900AB8">
              <w:t>Over the period 2014–15, the department redesigned its cost recovery arrangements as part of a funding strategy for its biosecurity and export certification activities. The review sought to streamline existing frameworks to address inequities, ensure all costs are recovered and reduce the complexity of the department’s fees and charges. Outcomes of the review were implemented 1 December 2015.</w:t>
            </w:r>
          </w:p>
        </w:tc>
      </w:tr>
    </w:tbl>
    <w:p w14:paraId="5C529C9F" w14:textId="77777777" w:rsidR="00844EB0" w:rsidRDefault="00844EB0" w:rsidP="00702DCA"/>
    <w:p w14:paraId="45B3F3B4" w14:textId="77777777" w:rsidR="00EC485D" w:rsidRPr="00EC485D" w:rsidRDefault="00EC485D" w:rsidP="00043166">
      <w:pPr>
        <w:pStyle w:val="Heading3"/>
      </w:pPr>
      <w:bookmarkStart w:id="28" w:name="_Government_policy_approval"/>
      <w:bookmarkStart w:id="29" w:name="_Statutory_authority_to"/>
      <w:bookmarkStart w:id="30" w:name="_Toc170293370"/>
      <w:bookmarkStart w:id="31" w:name="_Toc193794418"/>
      <w:bookmarkStart w:id="32" w:name="_Toc198898872"/>
      <w:bookmarkEnd w:id="21"/>
      <w:bookmarkEnd w:id="28"/>
      <w:bookmarkEnd w:id="29"/>
      <w:r w:rsidRPr="00EC485D">
        <w:lastRenderedPageBreak/>
        <w:t xml:space="preserve">Statutory </w:t>
      </w:r>
      <w:r w:rsidRPr="00043166">
        <w:t>authority</w:t>
      </w:r>
      <w:r w:rsidRPr="00EC485D">
        <w:t xml:space="preserve"> to apply fees and charges</w:t>
      </w:r>
      <w:bookmarkEnd w:id="30"/>
      <w:bookmarkEnd w:id="31"/>
      <w:bookmarkEnd w:id="32"/>
    </w:p>
    <w:p w14:paraId="239917E9" w14:textId="77777777" w:rsidR="00EC485D" w:rsidRDefault="00EC485D" w:rsidP="00EC485D">
      <w:r>
        <w:t>T</w:t>
      </w:r>
      <w:r w:rsidRPr="003E6AC2">
        <w:t xml:space="preserve">he </w:t>
      </w:r>
      <w:r w:rsidRPr="00BD2B6A">
        <w:rPr>
          <w:rStyle w:val="Emphasis"/>
        </w:rPr>
        <w:t>Export Control Act 2020</w:t>
      </w:r>
      <w:r w:rsidRPr="003E6AC2">
        <w:t xml:space="preserve"> Section 399</w:t>
      </w:r>
      <w:r>
        <w:t xml:space="preserve"> Fees and other rules for fee-bearing activities, states </w:t>
      </w:r>
      <w:r w:rsidRPr="003E6AC2">
        <w:t>the rules may prescribe fees that may be charged in relation to fee</w:t>
      </w:r>
      <w:r w:rsidRPr="003E6AC2">
        <w:rPr>
          <w:rFonts w:ascii="Cambria Math" w:hAnsi="Cambria Math" w:cs="Cambria Math"/>
        </w:rPr>
        <w:t>‑</w:t>
      </w:r>
      <w:r w:rsidRPr="003E6AC2">
        <w:t xml:space="preserve">bearing activities carried out by, or on behalf of, the Commonwealth in the performance of functions or the exercise of powers under the Act. The specific fees and price points are set out in the </w:t>
      </w:r>
      <w:r w:rsidRPr="00DF6632">
        <w:t>Export Control (Fees and Payments) Rules 2021</w:t>
      </w:r>
      <w:r w:rsidRPr="003E6AC2">
        <w:t>.</w:t>
      </w:r>
    </w:p>
    <w:p w14:paraId="7B58995F" w14:textId="09F78ED4" w:rsidR="003D5BDF" w:rsidRDefault="003D5BDF" w:rsidP="00723450">
      <w:bookmarkStart w:id="33" w:name="_Hlk194056048"/>
      <w:r>
        <w:t>Cost recovery charges are imposed under the</w:t>
      </w:r>
      <w:r w:rsidR="00543EDA">
        <w:t xml:space="preserve"> following legislation</w:t>
      </w:r>
      <w:r>
        <w:t>:</w:t>
      </w:r>
    </w:p>
    <w:bookmarkEnd w:id="33"/>
    <w:p w14:paraId="1100DE3B" w14:textId="77777777" w:rsidR="003D5BDF" w:rsidRPr="00565A36" w:rsidRDefault="003D5BDF" w:rsidP="003D5BDF">
      <w:pPr>
        <w:pStyle w:val="ListBullet"/>
        <w:rPr>
          <w:rStyle w:val="Emphasis"/>
        </w:rPr>
      </w:pPr>
      <w:r w:rsidRPr="00565A36">
        <w:rPr>
          <w:rStyle w:val="Emphasis"/>
        </w:rPr>
        <w:t>Export Charges (Imposition – General) Act 2015</w:t>
      </w:r>
    </w:p>
    <w:p w14:paraId="695A35B4" w14:textId="77777777" w:rsidR="003D5BDF" w:rsidRPr="00565A36" w:rsidRDefault="003D5BDF" w:rsidP="003D5BDF">
      <w:pPr>
        <w:pStyle w:val="ListBullet"/>
        <w:rPr>
          <w:rStyle w:val="Emphasis"/>
        </w:rPr>
      </w:pPr>
      <w:r w:rsidRPr="00565A36">
        <w:rPr>
          <w:rStyle w:val="Emphasis"/>
        </w:rPr>
        <w:t>Export Charges (Imposition – Customs) Act 2015</w:t>
      </w:r>
    </w:p>
    <w:p w14:paraId="44CB240A" w14:textId="77777777" w:rsidR="003D5BDF" w:rsidRPr="00565A36" w:rsidRDefault="003D5BDF" w:rsidP="003D5BDF">
      <w:pPr>
        <w:pStyle w:val="ListBullet"/>
        <w:rPr>
          <w:rStyle w:val="Emphasis"/>
        </w:rPr>
      </w:pPr>
      <w:r w:rsidRPr="00565A36">
        <w:rPr>
          <w:rStyle w:val="Emphasis"/>
        </w:rPr>
        <w:t>Export Charges (Imposition – Excise) Act 2015.</w:t>
      </w:r>
    </w:p>
    <w:p w14:paraId="403271D1" w14:textId="77777777" w:rsidR="003D5BDF" w:rsidRDefault="003D5BDF" w:rsidP="003D5BDF">
      <w:r>
        <w:t>Details of specific price points and charges payable are included in the:</w:t>
      </w:r>
    </w:p>
    <w:p w14:paraId="6A454520" w14:textId="77777777" w:rsidR="003D5BDF" w:rsidRPr="00565A36" w:rsidRDefault="003D5BDF" w:rsidP="003D5BDF">
      <w:pPr>
        <w:pStyle w:val="ListBullet"/>
        <w:rPr>
          <w:rStyle w:val="Emphasis"/>
          <w:i w:val="0"/>
          <w:iCs w:val="0"/>
        </w:rPr>
      </w:pPr>
      <w:r w:rsidRPr="00565A36">
        <w:rPr>
          <w:rStyle w:val="Emphasis"/>
          <w:i w:val="0"/>
          <w:iCs w:val="0"/>
        </w:rPr>
        <w:t>Export Charges (Imposition – General) Regulations 2021</w:t>
      </w:r>
    </w:p>
    <w:p w14:paraId="7E79D388" w14:textId="77777777" w:rsidR="003D5BDF" w:rsidRPr="00565A36" w:rsidRDefault="003D5BDF" w:rsidP="003D5BDF">
      <w:pPr>
        <w:pStyle w:val="ListBullet"/>
        <w:rPr>
          <w:rStyle w:val="Emphasis"/>
          <w:i w:val="0"/>
          <w:iCs w:val="0"/>
        </w:rPr>
      </w:pPr>
      <w:r w:rsidRPr="00565A36">
        <w:rPr>
          <w:rStyle w:val="Emphasis"/>
          <w:i w:val="0"/>
          <w:iCs w:val="0"/>
        </w:rPr>
        <w:t>Export Charges (Imposition – Customs) Regulations 2021.</w:t>
      </w:r>
    </w:p>
    <w:p w14:paraId="5129B9AF" w14:textId="0266CBFA" w:rsidR="00702DCA" w:rsidRPr="00723450" w:rsidRDefault="00702DCA" w:rsidP="00702DCA">
      <w:pPr>
        <w:pStyle w:val="Heading3"/>
      </w:pPr>
      <w:bookmarkStart w:id="34" w:name="_Toc191289893"/>
      <w:bookmarkStart w:id="35" w:name="_Toc193794419"/>
      <w:bookmarkStart w:id="36" w:name="_Toc198898873"/>
      <w:r w:rsidRPr="00723450">
        <w:t xml:space="preserve">Who pays for regulatory </w:t>
      </w:r>
      <w:bookmarkEnd w:id="34"/>
      <w:bookmarkEnd w:id="35"/>
      <w:r w:rsidRPr="00723450">
        <w:t>activities</w:t>
      </w:r>
      <w:bookmarkEnd w:id="36"/>
    </w:p>
    <w:p w14:paraId="5332DF48" w14:textId="5F604C4E" w:rsidR="00702DCA" w:rsidRPr="00BD076C" w:rsidRDefault="00702DCA" w:rsidP="00702DCA">
      <w:bookmarkStart w:id="37" w:name="_Hlk193179691"/>
      <w:bookmarkStart w:id="38" w:name="_Hlk194056145"/>
      <w:r w:rsidRPr="00723450">
        <w:t xml:space="preserve">It is intended that the department recovers the full cost of regulatory activities from participants in the </w:t>
      </w:r>
      <w:r w:rsidR="00495C6A">
        <w:t>horticulture</w:t>
      </w:r>
      <w:r w:rsidR="00495C6A" w:rsidRPr="00495C6A">
        <w:t xml:space="preserve"> </w:t>
      </w:r>
      <w:r w:rsidRPr="00723450">
        <w:t>supply chain, including exporters</w:t>
      </w:r>
      <w:r w:rsidR="00543EDA">
        <w:t>, producers and regulated</w:t>
      </w:r>
      <w:r w:rsidRPr="00723450">
        <w:t xml:space="preserve"> </w:t>
      </w:r>
      <w:r w:rsidR="00543EDA">
        <w:t>entities</w:t>
      </w:r>
      <w:r w:rsidRPr="00723450">
        <w:t>. In 2025</w:t>
      </w:r>
      <w:r w:rsidR="00C60A4B">
        <w:t>–</w:t>
      </w:r>
      <w:r w:rsidRPr="00723450">
        <w:t>26, the government is supplementing a portion of the regulatory activities with appropriation while a sustainable funding model is developed.</w:t>
      </w:r>
      <w:r>
        <w:t xml:space="preserve"> </w:t>
      </w:r>
    </w:p>
    <w:bookmarkEnd w:id="37"/>
    <w:p w14:paraId="6A892555" w14:textId="61ACBCB9" w:rsidR="00702DCA" w:rsidRDefault="00702DCA" w:rsidP="00702DCA">
      <w:r w:rsidRPr="00BD076C">
        <w:t xml:space="preserve">Additional information on services provided and the entities are outlined in </w:t>
      </w:r>
      <w:hyperlink w:anchor="_Description_of_the_1" w:history="1">
        <w:r w:rsidRPr="00BD076C">
          <w:rPr>
            <w:rStyle w:val="Hyperlink"/>
          </w:rPr>
          <w:t>section 4.1</w:t>
        </w:r>
      </w:hyperlink>
    </w:p>
    <w:p w14:paraId="3F663EDA" w14:textId="77777777" w:rsidR="00A964BA" w:rsidRPr="004F0171" w:rsidRDefault="00A964BA" w:rsidP="00324495">
      <w:pPr>
        <w:pStyle w:val="Heading2"/>
      </w:pPr>
      <w:bookmarkStart w:id="39" w:name="_Toc193187731"/>
      <w:bookmarkStart w:id="40" w:name="_Toc193283150"/>
      <w:bookmarkStart w:id="41" w:name="_Toc193187732"/>
      <w:bookmarkStart w:id="42" w:name="_Toc193283151"/>
      <w:bookmarkStart w:id="43" w:name="_Toc193187733"/>
      <w:bookmarkStart w:id="44" w:name="_Toc193283152"/>
      <w:bookmarkStart w:id="45" w:name="_Toc162351707"/>
      <w:bookmarkStart w:id="46" w:name="_Toc170293372"/>
      <w:bookmarkStart w:id="47" w:name="_Toc193794420"/>
      <w:bookmarkStart w:id="48" w:name="_Toc198898874"/>
      <w:bookmarkEnd w:id="38"/>
      <w:bookmarkEnd w:id="39"/>
      <w:bookmarkEnd w:id="40"/>
      <w:bookmarkEnd w:id="41"/>
      <w:bookmarkEnd w:id="42"/>
      <w:bookmarkEnd w:id="43"/>
      <w:bookmarkEnd w:id="44"/>
      <w:r w:rsidRPr="004F0171">
        <w:lastRenderedPageBreak/>
        <w:t xml:space="preserve">Risk </w:t>
      </w:r>
      <w:r w:rsidRPr="00324495">
        <w:t>assessment</w:t>
      </w:r>
      <w:bookmarkEnd w:id="45"/>
      <w:bookmarkEnd w:id="46"/>
      <w:bookmarkEnd w:id="47"/>
      <w:bookmarkEnd w:id="48"/>
    </w:p>
    <w:p w14:paraId="5085FBD3" w14:textId="7052DBDD" w:rsidR="00A964BA" w:rsidRDefault="00A964BA" w:rsidP="00A964BA">
      <w:r>
        <w:t xml:space="preserve">In accordance with the </w:t>
      </w:r>
      <w:hyperlink r:id="rId19" w:history="1">
        <w:r w:rsidRPr="00B91D56">
          <w:rPr>
            <w:rStyle w:val="Hyperlink"/>
          </w:rPr>
          <w:t>Australian Government Charging Policy</w:t>
        </w:r>
      </w:hyperlink>
      <w:r>
        <w:t xml:space="preserve">, the department has undertaken a Charging Risk Assessment (CRA) involving the ongoing assessment and management of risk at each phase of the cost recovery process. The CRA for </w:t>
      </w:r>
      <w:r w:rsidRPr="00A465E5">
        <w:t xml:space="preserve">the </w:t>
      </w:r>
      <w:r>
        <w:t xml:space="preserve">horticulture </w:t>
      </w:r>
      <w:r w:rsidRPr="00A465E5">
        <w:t>exports cost recovery</w:t>
      </w:r>
      <w:r>
        <w:t xml:space="preserve"> arrangement is rated at </w:t>
      </w:r>
      <w:r w:rsidR="00B5580E">
        <w:t>low</w:t>
      </w:r>
      <w:r w:rsidRPr="00A40620">
        <w:t>, which is based on an assessment of each component</w:t>
      </w:r>
      <w:r>
        <w:t>,</w:t>
      </w:r>
      <w:r w:rsidRPr="00A40620">
        <w:t xml:space="preserve"> including:</w:t>
      </w:r>
    </w:p>
    <w:p w14:paraId="3F1AA432" w14:textId="77777777" w:rsidR="00A964BA" w:rsidRPr="00A964BA" w:rsidRDefault="00A964BA" w:rsidP="00A964BA">
      <w:pPr>
        <w:pStyle w:val="ListBullet"/>
      </w:pPr>
      <w:r w:rsidRPr="00A964BA">
        <w:t>a low-risk rating for the expected percentage change in total annual revenue (less than 10%)</w:t>
      </w:r>
    </w:p>
    <w:p w14:paraId="7C19E422" w14:textId="77777777" w:rsidR="00A964BA" w:rsidRPr="00A964BA" w:rsidRDefault="00A964BA" w:rsidP="00A964BA">
      <w:pPr>
        <w:pStyle w:val="ListBullet"/>
      </w:pPr>
      <w:r w:rsidRPr="00A964BA">
        <w:t>a low-risk rating for the expected change in total value of annual revenue (less than $10 million)</w:t>
      </w:r>
    </w:p>
    <w:p w14:paraId="0851E19E" w14:textId="77777777" w:rsidR="00A964BA" w:rsidRPr="00A964BA" w:rsidRDefault="00A964BA" w:rsidP="00A964BA">
      <w:pPr>
        <w:pStyle w:val="ListBullet"/>
      </w:pPr>
      <w:r w:rsidRPr="00A964BA">
        <w:t>a low-risk rating for the highest percentage increase in price a payer may experience (less than 5%)</w:t>
      </w:r>
    </w:p>
    <w:p w14:paraId="48492837" w14:textId="28C1B0DC" w:rsidR="00A964BA" w:rsidRPr="00A964BA" w:rsidRDefault="00A964BA" w:rsidP="00A964BA">
      <w:pPr>
        <w:pStyle w:val="ListBullet"/>
      </w:pPr>
      <w:r w:rsidRPr="00A964BA">
        <w:t xml:space="preserve">a </w:t>
      </w:r>
      <w:r w:rsidR="00B209E2">
        <w:t>low</w:t>
      </w:r>
      <w:r w:rsidRPr="00A964BA">
        <w:t xml:space="preserve">-risk rating as </w:t>
      </w:r>
      <w:r w:rsidR="00B209E2">
        <w:t>there is no</w:t>
      </w:r>
      <w:r w:rsidRPr="00A964BA">
        <w:t xml:space="preserve"> proposed </w:t>
      </w:r>
      <w:r w:rsidR="00B209E2">
        <w:t xml:space="preserve">changes </w:t>
      </w:r>
      <w:r w:rsidRPr="00A964BA">
        <w:t>to both fees and levies</w:t>
      </w:r>
    </w:p>
    <w:p w14:paraId="39989A33" w14:textId="39616A10" w:rsidR="00A964BA" w:rsidRPr="00A964BA" w:rsidRDefault="00A964BA" w:rsidP="00A964BA">
      <w:pPr>
        <w:pStyle w:val="ListBullet"/>
      </w:pPr>
      <w:r w:rsidRPr="00A964BA">
        <w:t xml:space="preserve">a low-risk rating as the proposal relates </w:t>
      </w:r>
      <w:r w:rsidR="00B209E2">
        <w:t>to no changes for pricing structures for 2025</w:t>
      </w:r>
      <w:r w:rsidR="001A0623">
        <w:t>–</w:t>
      </w:r>
      <w:r w:rsidR="00B209E2">
        <w:t>26</w:t>
      </w:r>
    </w:p>
    <w:p w14:paraId="2E6076A9" w14:textId="77777777" w:rsidR="00A964BA" w:rsidRPr="00A964BA" w:rsidRDefault="00A964BA" w:rsidP="00A964BA">
      <w:pPr>
        <w:pStyle w:val="ListBullet"/>
      </w:pPr>
      <w:r w:rsidRPr="00A964BA">
        <w:t>a low-risk rating due to the level of change in legislative arrangements (no legislative changes required)</w:t>
      </w:r>
    </w:p>
    <w:p w14:paraId="45B50CF5" w14:textId="77777777" w:rsidR="00A964BA" w:rsidRPr="00A964BA" w:rsidRDefault="00A964BA" w:rsidP="00A964BA">
      <w:pPr>
        <w:pStyle w:val="ListBullet"/>
      </w:pPr>
      <w:r w:rsidRPr="00A964BA">
        <w:t>a low-risk rating due to the level of impact of cost recovery on payers</w:t>
      </w:r>
    </w:p>
    <w:p w14:paraId="4DBEEB7E" w14:textId="77777777" w:rsidR="00A964BA" w:rsidRPr="00A964BA" w:rsidRDefault="00A964BA" w:rsidP="00A964BA">
      <w:pPr>
        <w:pStyle w:val="ListBullet"/>
      </w:pPr>
      <w:r w:rsidRPr="00A964BA">
        <w:t>a low-risk rating due to the level of complexity in working with other government entities to deliver regulatory functions</w:t>
      </w:r>
    </w:p>
    <w:p w14:paraId="305D2E78" w14:textId="14D59EAA" w:rsidR="00A964BA" w:rsidRPr="00A964BA" w:rsidRDefault="00B209E2" w:rsidP="00A964BA">
      <w:pPr>
        <w:pStyle w:val="ListBullet"/>
      </w:pPr>
      <w:r>
        <w:t>a low-risk rating due to previous consultation with stakeholders and no proposed changes for 2025-26 prices.</w:t>
      </w:r>
    </w:p>
    <w:p w14:paraId="7E06DB30" w14:textId="77777777" w:rsidR="00E6673B" w:rsidRDefault="00E6673B" w:rsidP="00E6673B">
      <w:pPr>
        <w:pStyle w:val="ListBullet"/>
        <w:numPr>
          <w:ilvl w:val="0"/>
          <w:numId w:val="0"/>
        </w:numPr>
      </w:pPr>
      <w:bookmarkStart w:id="49" w:name="_Hlk193439313"/>
      <w:r>
        <w:t>The department provided the Office of Impact Analysis (OIA) preliminary information to assist in determining whether a</w:t>
      </w:r>
      <w:r w:rsidRPr="005508B7">
        <w:rPr>
          <w:rFonts w:eastAsia="Times New Roman"/>
        </w:rPr>
        <w:t xml:space="preserve"> </w:t>
      </w:r>
      <w:r w:rsidRPr="00C13998">
        <w:t xml:space="preserve">detailed </w:t>
      </w:r>
      <w:r>
        <w:t>i</w:t>
      </w:r>
      <w:r w:rsidRPr="00C13998">
        <w:t xml:space="preserve">mpact </w:t>
      </w:r>
      <w:r>
        <w:t>a</w:t>
      </w:r>
      <w:r w:rsidRPr="00C13998">
        <w:t xml:space="preserve">nalysis is </w:t>
      </w:r>
      <w:r>
        <w:t xml:space="preserve">required. The OIA advised that this was </w:t>
      </w:r>
      <w:r w:rsidRPr="00C13998">
        <w:t>not required</w:t>
      </w:r>
      <w:r w:rsidRPr="005508B7">
        <w:rPr>
          <w:rFonts w:eastAsia="Times New Roman"/>
        </w:rPr>
        <w:t xml:space="preserve">, </w:t>
      </w:r>
      <w:r>
        <w:t xml:space="preserve">based on an assessment of the following </w:t>
      </w:r>
      <w:r w:rsidRPr="00A40620">
        <w:t>components</w:t>
      </w:r>
      <w:r>
        <w:t>:</w:t>
      </w:r>
      <w:bookmarkEnd w:id="49"/>
    </w:p>
    <w:p w14:paraId="3BA8AC9E" w14:textId="0AE75899" w:rsidR="00DD58F7" w:rsidRPr="00DD58F7" w:rsidRDefault="00DD58F7" w:rsidP="00470A95">
      <w:pPr>
        <w:pStyle w:val="ListBullet"/>
        <w:ind w:left="454" w:hanging="454"/>
      </w:pPr>
      <w:r w:rsidRPr="00DD58F7">
        <w:t>Regulatory prices for export cost recovery arrangements were developed in 2020</w:t>
      </w:r>
      <w:r w:rsidR="001A0623">
        <w:t>–</w:t>
      </w:r>
      <w:r w:rsidRPr="00DD58F7">
        <w:t>21 and stepped price increases were set over a 4-year period covering the 2021–22 to 2024–25 financial years.</w:t>
      </w:r>
    </w:p>
    <w:p w14:paraId="3A2F6E67" w14:textId="47F8BBD9" w:rsidR="00A964BA" w:rsidRPr="00A964BA" w:rsidRDefault="00AD11B8" w:rsidP="00AD11B8">
      <w:pPr>
        <w:pStyle w:val="ListBullet"/>
      </w:pPr>
      <w:bookmarkStart w:id="50" w:name="_Hlk193439369"/>
      <w:r w:rsidRPr="00E621AE">
        <w:t>Consultation was undertaken in 2021–22</w:t>
      </w:r>
      <w:r>
        <w:t xml:space="preserve">, </w:t>
      </w:r>
      <w:r w:rsidRPr="00E621AE">
        <w:t>2022–23</w:t>
      </w:r>
      <w:r>
        <w:t xml:space="preserve"> and 2024</w:t>
      </w:r>
      <w:r w:rsidR="001A0623">
        <w:t>–</w:t>
      </w:r>
      <w:r>
        <w:t>25</w:t>
      </w:r>
      <w:r w:rsidRPr="00E621AE">
        <w:t xml:space="preserve"> on the prices, which were subsequently enacted in legislation</w:t>
      </w:r>
      <w:bookmarkEnd w:id="50"/>
      <w:r w:rsidRPr="00E621AE">
        <w:t>.</w:t>
      </w:r>
    </w:p>
    <w:p w14:paraId="08AA1B5E" w14:textId="0FCA09A2" w:rsidR="00B209E2" w:rsidRDefault="00B209E2" w:rsidP="00B209E2">
      <w:pPr>
        <w:pStyle w:val="ListBullet"/>
      </w:pPr>
      <w:r w:rsidRPr="00E621AE">
        <w:t xml:space="preserve">Legislated </w:t>
      </w:r>
      <w:r>
        <w:t xml:space="preserve">prices </w:t>
      </w:r>
      <w:r w:rsidRPr="00E621AE">
        <w:t xml:space="preserve">for </w:t>
      </w:r>
      <w:r>
        <w:t>2025</w:t>
      </w:r>
      <w:r w:rsidR="00B868CC">
        <w:t>–</w:t>
      </w:r>
      <w:r>
        <w:t>26</w:t>
      </w:r>
      <w:r w:rsidRPr="00E621AE">
        <w:t xml:space="preserve"> are to be implemented on 1 July 202</w:t>
      </w:r>
      <w:r>
        <w:t>5</w:t>
      </w:r>
      <w:r w:rsidRPr="00E621AE">
        <w:t>.</w:t>
      </w:r>
    </w:p>
    <w:p w14:paraId="00673FCD" w14:textId="77777777" w:rsidR="00F204D9" w:rsidRPr="00F204D9" w:rsidRDefault="00F204D9" w:rsidP="00F204D9">
      <w:pPr>
        <w:pStyle w:val="ListBullet"/>
        <w:numPr>
          <w:ilvl w:val="0"/>
          <w:numId w:val="0"/>
        </w:numPr>
      </w:pPr>
      <w:r w:rsidRPr="00F204D9">
        <w:t>The area not addressed in the CRA is the current misalignment of our current regulatory activities and the cost recovery revenue collected through fees and charges. The department will be engaging with industry and government on the design of an ongoing sustainable funding model to support regulatory trade functions into the future.</w:t>
      </w:r>
    </w:p>
    <w:p w14:paraId="32964156" w14:textId="058CF0CD" w:rsidR="00F204D9" w:rsidRDefault="00F204D9" w:rsidP="00F204D9">
      <w:pPr>
        <w:pStyle w:val="ListBullet"/>
        <w:numPr>
          <w:ilvl w:val="0"/>
          <w:numId w:val="0"/>
        </w:numPr>
      </w:pPr>
      <w:r w:rsidRPr="00F204D9">
        <w:t>The department will also work alongside the Department of Finance to conduct a Portfolio Charging</w:t>
      </w:r>
      <w:r>
        <w:t xml:space="preserve"> </w:t>
      </w:r>
      <w:r w:rsidRPr="00F204D9">
        <w:t>Review (PCR) for Budget 2026–27. The PCR occurs every five years and will allow the department to</w:t>
      </w:r>
      <w:r>
        <w:t xml:space="preserve"> </w:t>
      </w:r>
      <w:r w:rsidRPr="00F204D9">
        <w:t>review charging across its portfolio including export arrangements.</w:t>
      </w:r>
    </w:p>
    <w:p w14:paraId="17E0E4C7" w14:textId="77777777" w:rsidR="00D1664E" w:rsidRPr="00D1664E" w:rsidRDefault="00D1664E" w:rsidP="00D1664E">
      <w:pPr>
        <w:pStyle w:val="Heading3"/>
        <w:ind w:left="851" w:hanging="426"/>
      </w:pPr>
      <w:bookmarkStart w:id="51" w:name="_Toc198898875"/>
      <w:r w:rsidRPr="00D1664E">
        <w:lastRenderedPageBreak/>
        <w:t>Accumulated results</w:t>
      </w:r>
      <w:bookmarkEnd w:id="51"/>
    </w:p>
    <w:p w14:paraId="29B56875" w14:textId="77777777" w:rsidR="00D1664E" w:rsidRPr="00D1664E" w:rsidRDefault="00D1664E" w:rsidP="00D1664E">
      <w:pPr>
        <w:rPr>
          <w:rFonts w:eastAsia="Calibri" w:cs="Times New Roman"/>
        </w:rPr>
      </w:pPr>
      <w:r w:rsidRPr="00D1664E">
        <w:rPr>
          <w:rFonts w:eastAsia="Calibri" w:cs="Times New Roman"/>
        </w:rPr>
        <w:t>Accumulated results assist with managing the alignment of revenue, expenses and variations to forecast volumes and have been accumulated since the inception of the arrangement. Our policy requires that a balance of up to 5% of annual program expense be maintained. Additionally, any excess amounts collected are not used to subsidise shortfalls in other arrangements or the departments non-cost recovered functions.</w:t>
      </w:r>
    </w:p>
    <w:p w14:paraId="2F7529E5" w14:textId="77777777" w:rsidR="00D1664E" w:rsidRPr="00D1664E" w:rsidRDefault="00D1664E" w:rsidP="00D1664E">
      <w:pPr>
        <w:rPr>
          <w:rFonts w:ascii="Calibri" w:eastAsia="Calibri" w:hAnsi="Calibri" w:cs="Times New Roman"/>
        </w:rPr>
      </w:pPr>
      <w:r w:rsidRPr="00D1664E">
        <w:rPr>
          <w:rFonts w:ascii="Calibri" w:eastAsia="Calibri" w:hAnsi="Calibri" w:cs="Times New Roman"/>
        </w:rPr>
        <w:t>Regulatory charging is set to recover reasonable costs however, several factors can affect the difference between revenue and expenses. These factors include volume variances and changes in expenses based on risk profiles. Demand for commodities, overseas economic factors, and climatic events can all impact regulatory effort, costs and volumes of activities.</w:t>
      </w:r>
    </w:p>
    <w:p w14:paraId="3CD5046B" w14:textId="77777777" w:rsidR="00D1664E" w:rsidRPr="00D1664E" w:rsidRDefault="00D1664E" w:rsidP="00D1664E">
      <w:pPr>
        <w:rPr>
          <w:rFonts w:ascii="Calibri" w:eastAsia="Calibri" w:hAnsi="Calibri" w:cs="Times New Roman"/>
        </w:rPr>
      </w:pPr>
      <w:r w:rsidRPr="00D1664E">
        <w:rPr>
          <w:rFonts w:ascii="Calibri" w:eastAsia="Calibri" w:hAnsi="Calibri" w:cs="Times New Roman"/>
        </w:rPr>
        <w:t>Under-recoveries will result in the arrangement not recovering the costs of regulatory activities. This results in the arrangement operating at a loss and adversely impacts the accumulated balance for the arrangement at year’s end. Ongoing under recovery will lead to the need for further review of the regulatory charging arrangement to ensure its return to sustainable recovery for all regulatory costs.</w:t>
      </w:r>
      <w:r w:rsidRPr="00D1664E">
        <w:t xml:space="preserve">  </w:t>
      </w:r>
      <w:r w:rsidRPr="00D1664E">
        <w:rPr>
          <w:rFonts w:ascii="Calibri" w:eastAsia="Calibri" w:hAnsi="Calibri" w:cs="Times New Roman"/>
        </w:rPr>
        <w:t>This excludes any accumulated deficits, which are not factored into future price setting, consistent with the Australian Government Cost Recovery Framework.</w:t>
      </w:r>
    </w:p>
    <w:p w14:paraId="5317489F" w14:textId="77777777" w:rsidR="00D1664E" w:rsidRDefault="00D1664E" w:rsidP="00D1664E">
      <w:pPr>
        <w:rPr>
          <w:rFonts w:ascii="Calibri" w:eastAsia="Calibri" w:hAnsi="Calibri" w:cs="Times New Roman"/>
        </w:rPr>
      </w:pPr>
      <w:r w:rsidRPr="00D1664E">
        <w:rPr>
          <w:rFonts w:ascii="Calibri" w:eastAsia="Calibri" w:hAnsi="Calibri" w:cs="Times New Roman"/>
        </w:rPr>
        <w:t>Once a fee or charge is paid by industry, it becomes government revenue. We will consult with industry on any under-recovery or over-recovery. Subject to agreement between the department and industry, over-recoveries may be managed through remittance or investment initiatives.</w:t>
      </w:r>
    </w:p>
    <w:p w14:paraId="431D5D07" w14:textId="77777777" w:rsidR="00D1664E" w:rsidRPr="00F204D9" w:rsidRDefault="00D1664E" w:rsidP="00F204D9">
      <w:pPr>
        <w:pStyle w:val="ListBullet"/>
        <w:numPr>
          <w:ilvl w:val="0"/>
          <w:numId w:val="0"/>
        </w:numPr>
      </w:pPr>
    </w:p>
    <w:p w14:paraId="2CCD6EF0" w14:textId="77777777" w:rsidR="00F204D9" w:rsidRPr="00E621AE" w:rsidRDefault="00F204D9" w:rsidP="00F204D9">
      <w:pPr>
        <w:pStyle w:val="ListBullet"/>
        <w:numPr>
          <w:ilvl w:val="0"/>
          <w:numId w:val="0"/>
        </w:numPr>
      </w:pPr>
    </w:p>
    <w:p w14:paraId="1891EDBA" w14:textId="77777777" w:rsidR="00A964BA" w:rsidRPr="00133784" w:rsidRDefault="00A964BA" w:rsidP="00324495">
      <w:pPr>
        <w:pStyle w:val="Heading2"/>
      </w:pPr>
      <w:bookmarkStart w:id="52" w:name="_Toc189134959"/>
      <w:bookmarkStart w:id="53" w:name="_Toc162351708"/>
      <w:bookmarkStart w:id="54" w:name="_Toc170293373"/>
      <w:bookmarkStart w:id="55" w:name="_Toc193794421"/>
      <w:bookmarkStart w:id="56" w:name="_Toc198898876"/>
      <w:bookmarkEnd w:id="52"/>
      <w:r w:rsidRPr="00A964BA">
        <w:lastRenderedPageBreak/>
        <w:t>Stakeholder</w:t>
      </w:r>
      <w:r w:rsidRPr="00133784">
        <w:t xml:space="preserve"> consultation</w:t>
      </w:r>
      <w:bookmarkEnd w:id="53"/>
      <w:bookmarkEnd w:id="54"/>
      <w:bookmarkEnd w:id="55"/>
      <w:bookmarkEnd w:id="56"/>
    </w:p>
    <w:p w14:paraId="3159BDF5" w14:textId="110955AE" w:rsidR="00A964BA" w:rsidRDefault="00A964BA" w:rsidP="00A964BA">
      <w:r w:rsidRPr="00CB38B7">
        <w:t>The department engag</w:t>
      </w:r>
      <w:r>
        <w:t>es</w:t>
      </w:r>
      <w:r w:rsidRPr="00CB38B7">
        <w:t xml:space="preserve"> with </w:t>
      </w:r>
      <w:r>
        <w:t xml:space="preserve">horticulture </w:t>
      </w:r>
      <w:r w:rsidRPr="00CB38B7">
        <w:t xml:space="preserve">industry </w:t>
      </w:r>
      <w:r>
        <w:t xml:space="preserve">representatives </w:t>
      </w:r>
      <w:r w:rsidRPr="00CB38B7">
        <w:t xml:space="preserve">on charging arrangements </w:t>
      </w:r>
      <w:r>
        <w:t xml:space="preserve">through the </w:t>
      </w:r>
      <w:r w:rsidRPr="00600617">
        <w:t>Horticulture Export Industry Consultative Committee (HEICC)</w:t>
      </w:r>
      <w:r>
        <w:t xml:space="preserve"> and annual public communications</w:t>
      </w:r>
      <w:r w:rsidRPr="00CB38B7">
        <w:t>.</w:t>
      </w:r>
      <w:r>
        <w:t xml:space="preserve"> The 2021–22 CRIS explained the approach for gradually increasing prices and what those prices would be each year.</w:t>
      </w:r>
    </w:p>
    <w:p w14:paraId="55F25A2A" w14:textId="681D5006" w:rsidR="00A964BA" w:rsidRDefault="002172D3" w:rsidP="00A964BA">
      <w:bookmarkStart w:id="57" w:name="_Hlk164752588"/>
      <w:r w:rsidRPr="00923B2C">
        <w:t>Consultation with stakeholders on the 2022–23 CRIS occurred in July and August 2022</w:t>
      </w:r>
      <w:r>
        <w:t>.  Stakeholders were further consulted on the 2024</w:t>
      </w:r>
      <w:r w:rsidR="00B868CC">
        <w:t>–</w:t>
      </w:r>
      <w:r>
        <w:t xml:space="preserve">25 CRIS in April 2024. This feedback is detailed in </w:t>
      </w:r>
      <w:hyperlink w:anchor="_Appendix_C:_Summary" w:history="1">
        <w:r w:rsidRPr="007B61E0">
          <w:rPr>
            <w:rStyle w:val="Hyperlink"/>
          </w:rPr>
          <w:t>Appendix C</w:t>
        </w:r>
      </w:hyperlink>
      <w:r w:rsidRPr="007B61E0">
        <w:t>.</w:t>
      </w:r>
    </w:p>
    <w:p w14:paraId="4D79D84C" w14:textId="77777777" w:rsidR="00A964BA" w:rsidRPr="00A964BA" w:rsidRDefault="00A964BA" w:rsidP="00324495">
      <w:pPr>
        <w:pStyle w:val="Heading3"/>
      </w:pPr>
      <w:bookmarkStart w:id="58" w:name="_Toc170293374"/>
      <w:bookmarkStart w:id="59" w:name="_Toc193794422"/>
      <w:bookmarkStart w:id="60" w:name="_Toc198898877"/>
      <w:bookmarkEnd w:id="57"/>
      <w:r w:rsidRPr="00DA370D">
        <w:t>Stakeholder</w:t>
      </w:r>
      <w:r w:rsidRPr="00A964BA">
        <w:t xml:space="preserve"> engagement strategy</w:t>
      </w:r>
      <w:bookmarkEnd w:id="58"/>
      <w:bookmarkEnd w:id="59"/>
      <w:bookmarkEnd w:id="60"/>
    </w:p>
    <w:p w14:paraId="566BA9AF" w14:textId="77777777" w:rsidR="00A964BA" w:rsidRPr="00A964BA" w:rsidRDefault="00A964BA" w:rsidP="00324495">
      <w:pPr>
        <w:pStyle w:val="Heading4"/>
        <w:numPr>
          <w:ilvl w:val="0"/>
          <w:numId w:val="0"/>
        </w:numPr>
      </w:pPr>
      <w:r w:rsidRPr="00A964BA">
        <w:t>Purpose</w:t>
      </w:r>
    </w:p>
    <w:p w14:paraId="7B5982C0" w14:textId="77777777" w:rsidR="00A964BA" w:rsidRPr="007E7F52" w:rsidRDefault="00A964BA" w:rsidP="00A964BA">
      <w:r>
        <w:t>This</w:t>
      </w:r>
      <w:r w:rsidRPr="007E7F52">
        <w:t xml:space="preserve"> stakeholder engagement strategy for the cost recovery of </w:t>
      </w:r>
      <w:r>
        <w:t xml:space="preserve">horticulture </w:t>
      </w:r>
      <w:r w:rsidRPr="007E7F52">
        <w:t>export</w:t>
      </w:r>
      <w:r>
        <w:t>s</w:t>
      </w:r>
      <w:r w:rsidRPr="007E7F52">
        <w:t xml:space="preserve"> regulatory activities outlines the engagement principles, method and approach. The purpose of the strategy is to work with industry to update the CRIS as needed and provide information on the performance of the cost recovery arrangement.</w:t>
      </w:r>
    </w:p>
    <w:p w14:paraId="33F9FA55" w14:textId="77777777" w:rsidR="00A964BA" w:rsidRPr="007E7F52" w:rsidRDefault="00A964BA" w:rsidP="00A964BA">
      <w:r w:rsidRPr="007E7F52">
        <w:t xml:space="preserve">This </w:t>
      </w:r>
      <w:r>
        <w:t>strategy</w:t>
      </w:r>
      <w:r w:rsidRPr="007E7F52">
        <w:t xml:space="preserve"> helps</w:t>
      </w:r>
      <w:r>
        <w:t xml:space="preserve"> the department </w:t>
      </w:r>
      <w:r w:rsidRPr="007E7F52">
        <w:t>to plan, design, undertake and evaluate stakeholder engagement activities.</w:t>
      </w:r>
    </w:p>
    <w:p w14:paraId="18056F04" w14:textId="77777777" w:rsidR="00A964BA" w:rsidRPr="007E7F52" w:rsidRDefault="00A964BA" w:rsidP="00A964BA">
      <w:r w:rsidRPr="007E7F52">
        <w:t>It has been designed to meet the requirements of the:</w:t>
      </w:r>
    </w:p>
    <w:p w14:paraId="2380A1A7" w14:textId="77777777" w:rsidR="00A964BA" w:rsidRPr="00B91D56" w:rsidRDefault="00A964BA" w:rsidP="00A964BA">
      <w:pPr>
        <w:pStyle w:val="ListBullet"/>
        <w:rPr>
          <w:rStyle w:val="Hyperlink"/>
        </w:rPr>
      </w:pPr>
      <w:hyperlink r:id="rId20" w:history="1">
        <w:r w:rsidRPr="00B91D56">
          <w:rPr>
            <w:rStyle w:val="Hyperlink"/>
          </w:rPr>
          <w:t>Australian Government Charging Framework</w:t>
        </w:r>
      </w:hyperlink>
    </w:p>
    <w:p w14:paraId="18C65C29" w14:textId="77777777" w:rsidR="00A964BA" w:rsidRPr="00B91D56" w:rsidRDefault="00A964BA" w:rsidP="00A964BA">
      <w:pPr>
        <w:pStyle w:val="ListBullet"/>
        <w:rPr>
          <w:rStyle w:val="Hyperlink"/>
        </w:rPr>
      </w:pPr>
      <w:hyperlink r:id="rId21" w:history="1">
        <w:r w:rsidRPr="00B91D56">
          <w:rPr>
            <w:rStyle w:val="Hyperlink"/>
          </w:rPr>
          <w:t>Australian Government Guide to Regulation</w:t>
        </w:r>
      </w:hyperlink>
    </w:p>
    <w:p w14:paraId="0CCA583B" w14:textId="77777777" w:rsidR="00A964BA" w:rsidRPr="00B91D56" w:rsidRDefault="00A964BA" w:rsidP="00A964BA">
      <w:pPr>
        <w:pStyle w:val="ListBullet"/>
        <w:rPr>
          <w:rStyle w:val="Hyperlink"/>
        </w:rPr>
      </w:pPr>
      <w:hyperlink r:id="rId22" w:history="1">
        <w:r w:rsidRPr="00B91D56">
          <w:rPr>
            <w:rStyle w:val="Hyperlink"/>
          </w:rPr>
          <w:t>Australian Public Service Framework for Engagement and Participation</w:t>
        </w:r>
      </w:hyperlink>
      <w:r w:rsidRPr="00CE19DE">
        <w:t>.</w:t>
      </w:r>
    </w:p>
    <w:p w14:paraId="49A77FE9" w14:textId="77777777" w:rsidR="00A964BA" w:rsidRPr="00A964BA" w:rsidRDefault="00A964BA" w:rsidP="00DA370D">
      <w:pPr>
        <w:pStyle w:val="Heading4"/>
        <w:numPr>
          <w:ilvl w:val="0"/>
          <w:numId w:val="0"/>
        </w:numPr>
        <w:ind w:left="964" w:hanging="964"/>
      </w:pPr>
      <w:r w:rsidRPr="00DA370D">
        <w:t>Principles</w:t>
      </w:r>
    </w:p>
    <w:p w14:paraId="2D3577E6" w14:textId="77777777" w:rsidR="000A5F2B" w:rsidRPr="000A5F2B" w:rsidRDefault="000A5F2B" w:rsidP="000A5F2B">
      <w:pPr>
        <w:rPr>
          <w:rFonts w:eastAsia="Calibri"/>
        </w:rPr>
      </w:pPr>
      <w:r w:rsidRPr="000A5F2B">
        <w:rPr>
          <w:rFonts w:ascii="Calibri" w:eastAsia="Calibri" w:hAnsi="Calibri" w:cs="Times New Roman"/>
        </w:rPr>
        <w:t>The department’s principles for engagement are to listen, be genuine and open. The department will achieve this by:</w:t>
      </w:r>
    </w:p>
    <w:p w14:paraId="77457829" w14:textId="6383B36B" w:rsidR="000A5F2B" w:rsidRPr="000A5F2B" w:rsidRDefault="00A63FB7" w:rsidP="000A5F2B">
      <w:pPr>
        <w:numPr>
          <w:ilvl w:val="0"/>
          <w:numId w:val="1"/>
        </w:numPr>
        <w:spacing w:before="120" w:after="120"/>
        <w:rPr>
          <w:rFonts w:eastAsia="Calibri"/>
        </w:rPr>
      </w:pPr>
      <w:r>
        <w:rPr>
          <w:rFonts w:ascii="Calibri" w:eastAsia="Calibri" w:hAnsi="Calibri" w:cs="Times New Roman"/>
        </w:rPr>
        <w:t>e</w:t>
      </w:r>
      <w:r w:rsidR="000A5F2B" w:rsidRPr="000A5F2B">
        <w:rPr>
          <w:rFonts w:ascii="Calibri" w:eastAsia="Calibri" w:hAnsi="Calibri" w:cs="Times New Roman"/>
        </w:rPr>
        <w:t>ngaging with a diverse group of stakeholders to ensure a clear explanation of the objectives and context</w:t>
      </w:r>
    </w:p>
    <w:p w14:paraId="3F1FB348" w14:textId="77777777" w:rsidR="000A5F2B" w:rsidRPr="000A5F2B" w:rsidRDefault="000A5F2B" w:rsidP="000A5F2B">
      <w:pPr>
        <w:numPr>
          <w:ilvl w:val="0"/>
          <w:numId w:val="1"/>
        </w:numPr>
        <w:spacing w:before="120" w:after="120"/>
        <w:rPr>
          <w:rFonts w:eastAsia="Calibri"/>
        </w:rPr>
      </w:pPr>
      <w:r w:rsidRPr="000A5F2B">
        <w:rPr>
          <w:rFonts w:ascii="Calibri" w:eastAsia="Calibri" w:hAnsi="Calibri" w:cs="Times New Roman"/>
        </w:rPr>
        <w:t>communicating our objectives clearly with what is yet to be decided and what has already been decided</w:t>
      </w:r>
    </w:p>
    <w:p w14:paraId="3E2DAAB2" w14:textId="77777777" w:rsidR="000A5F2B" w:rsidRPr="000A5F2B" w:rsidRDefault="000A5F2B" w:rsidP="000A5F2B">
      <w:pPr>
        <w:numPr>
          <w:ilvl w:val="0"/>
          <w:numId w:val="1"/>
        </w:numPr>
        <w:spacing w:before="120" w:after="120"/>
        <w:rPr>
          <w:rFonts w:eastAsia="Calibri"/>
        </w:rPr>
      </w:pPr>
      <w:r w:rsidRPr="000A5F2B">
        <w:rPr>
          <w:rFonts w:ascii="Calibri" w:eastAsia="Calibri" w:hAnsi="Calibri" w:cs="Times New Roman"/>
        </w:rPr>
        <w:t>providing sufficient time for stakeholders to engage in the consultation processes</w:t>
      </w:r>
    </w:p>
    <w:p w14:paraId="78FA4AD3" w14:textId="77777777" w:rsidR="000A5F2B" w:rsidRPr="000A5F2B" w:rsidRDefault="000A5F2B" w:rsidP="000A5F2B">
      <w:pPr>
        <w:numPr>
          <w:ilvl w:val="0"/>
          <w:numId w:val="1"/>
        </w:numPr>
        <w:spacing w:before="120" w:after="120"/>
        <w:rPr>
          <w:rFonts w:eastAsia="Calibri"/>
        </w:rPr>
      </w:pPr>
      <w:r w:rsidRPr="000A5F2B">
        <w:rPr>
          <w:rFonts w:ascii="Calibri" w:eastAsia="Calibri" w:hAnsi="Calibri" w:cs="Times New Roman"/>
        </w:rPr>
        <w:t>clearly communicating challenges and outcomes</w:t>
      </w:r>
    </w:p>
    <w:p w14:paraId="35156A87" w14:textId="77777777" w:rsidR="000A5F2B" w:rsidRPr="000A5F2B" w:rsidRDefault="000A5F2B" w:rsidP="000A5F2B">
      <w:pPr>
        <w:numPr>
          <w:ilvl w:val="0"/>
          <w:numId w:val="1"/>
        </w:numPr>
        <w:spacing w:before="120" w:after="120"/>
        <w:rPr>
          <w:rFonts w:ascii="Calibri" w:eastAsia="Calibri" w:hAnsi="Calibri" w:cs="Times New Roman"/>
        </w:rPr>
      </w:pPr>
      <w:r w:rsidRPr="000A5F2B">
        <w:rPr>
          <w:rFonts w:eastAsia="Calibri"/>
        </w:rPr>
        <w:t>providing responses on how stakeholder feedback has been taken into consideration.</w:t>
      </w:r>
      <w:r w:rsidRPr="000A5F2B" w:rsidDel="00083301">
        <w:rPr>
          <w:rFonts w:eastAsia="Calibri"/>
        </w:rPr>
        <w:t xml:space="preserve"> </w:t>
      </w:r>
    </w:p>
    <w:p w14:paraId="0F67367D" w14:textId="77777777" w:rsidR="00A964BA" w:rsidRPr="00A964BA" w:rsidRDefault="00A964BA" w:rsidP="00DA370D">
      <w:pPr>
        <w:pStyle w:val="Heading4"/>
        <w:numPr>
          <w:ilvl w:val="0"/>
          <w:numId w:val="0"/>
        </w:numPr>
        <w:ind w:left="964" w:hanging="964"/>
      </w:pPr>
      <w:r w:rsidRPr="00DA370D">
        <w:t>Method</w:t>
      </w:r>
    </w:p>
    <w:p w14:paraId="21726BEA" w14:textId="77777777" w:rsidR="000A5F2B" w:rsidRPr="008706A8" w:rsidRDefault="000A5F2B" w:rsidP="000A5F2B">
      <w:pPr>
        <w:rPr>
          <w:rFonts w:ascii="Calibri" w:eastAsia="Calibri" w:hAnsi="Calibri" w:cs="Times New Roman"/>
        </w:rPr>
      </w:pPr>
      <w:r w:rsidRPr="000A5F2B">
        <w:rPr>
          <w:rFonts w:ascii="Calibri" w:eastAsia="Calibri" w:hAnsi="Calibri" w:cs="Times New Roman"/>
        </w:rPr>
        <w:t>The department, throughout the annual CRIS reviews plans to consult, implement, monitor, and review regulatory charging.</w:t>
      </w:r>
    </w:p>
    <w:p w14:paraId="36B25CAB" w14:textId="77777777" w:rsidR="00A964BA" w:rsidRPr="007E7F52" w:rsidRDefault="00A964BA" w:rsidP="00A964BA">
      <w:r>
        <w:t>The department</w:t>
      </w:r>
      <w:r w:rsidRPr="007E7F52">
        <w:t xml:space="preserve"> will also design revised fees and charges in the CRIS documents as needed.</w:t>
      </w:r>
    </w:p>
    <w:p w14:paraId="0536D314" w14:textId="2ABD8446" w:rsidR="00A964BA" w:rsidRPr="00B91D56" w:rsidRDefault="00A964BA" w:rsidP="00A964BA">
      <w:pPr>
        <w:pStyle w:val="Caption"/>
      </w:pPr>
      <w:bookmarkStart w:id="61" w:name="_Toc162422148"/>
      <w:bookmarkStart w:id="62" w:name="_Toc164757206"/>
      <w:bookmarkStart w:id="63" w:name="_Toc198899209"/>
      <w:r w:rsidRPr="00B91D56">
        <w:lastRenderedPageBreak/>
        <w:t xml:space="preserve">Figure </w:t>
      </w:r>
      <w:r w:rsidRPr="00B91D56">
        <w:fldChar w:fldCharType="begin"/>
      </w:r>
      <w:r w:rsidRPr="00B91D56">
        <w:instrText xml:space="preserve"> SEQ Figure \* ARABIC </w:instrText>
      </w:r>
      <w:r w:rsidRPr="00B91D56">
        <w:fldChar w:fldCharType="separate"/>
      </w:r>
      <w:r w:rsidR="0001784A">
        <w:rPr>
          <w:noProof/>
        </w:rPr>
        <w:t>1</w:t>
      </w:r>
      <w:r w:rsidRPr="00B91D56">
        <w:fldChar w:fldCharType="end"/>
      </w:r>
      <w:r w:rsidRPr="00B91D56">
        <w:t xml:space="preserve"> CRIS review process</w:t>
      </w:r>
      <w:bookmarkEnd w:id="61"/>
      <w:bookmarkEnd w:id="62"/>
      <w:bookmarkEnd w:id="63"/>
    </w:p>
    <w:p w14:paraId="234C5267" w14:textId="77777777" w:rsidR="00A964BA" w:rsidRPr="007E7F52" w:rsidRDefault="00A964BA" w:rsidP="00A964BA">
      <w:bookmarkStart w:id="64" w:name="Figure_1"/>
      <w:r w:rsidRPr="0075280F">
        <w:rPr>
          <w:noProof/>
          <w:lang w:eastAsia="en-AU"/>
        </w:rPr>
        <w:drawing>
          <wp:inline distT="0" distB="0" distL="0" distR="0" wp14:anchorId="2A47470F" wp14:editId="0B7DE155">
            <wp:extent cx="5994589" cy="1356852"/>
            <wp:effectExtent l="0" t="0" r="6350" b="0"/>
            <wp:docPr id="1959167294" name="Picture 1959167294" descr="The Annual CRIS cycles involves four stages of stakeholder engagement:&#10;- Consult&#10;- Implement&#10;- Monitor&#10;- Review.&#10;&#10;Design is the fifth stage of the engagement cycle and is undertaken as needed. " title="Eng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84717" name=""/>
                    <pic:cNvPicPr/>
                  </pic:nvPicPr>
                  <pic:blipFill>
                    <a:blip r:embed="rId23"/>
                    <a:stretch>
                      <a:fillRect/>
                    </a:stretch>
                  </pic:blipFill>
                  <pic:spPr>
                    <a:xfrm>
                      <a:off x="0" y="0"/>
                      <a:ext cx="6015887" cy="1361673"/>
                    </a:xfrm>
                    <a:prstGeom prst="rect">
                      <a:avLst/>
                    </a:prstGeom>
                  </pic:spPr>
                </pic:pic>
              </a:graphicData>
            </a:graphic>
          </wp:inline>
        </w:drawing>
      </w:r>
      <w:bookmarkEnd w:id="64"/>
    </w:p>
    <w:p w14:paraId="4201EC5F" w14:textId="77777777" w:rsidR="00A964BA" w:rsidRPr="007E7F52" w:rsidRDefault="00A964BA" w:rsidP="00A964BA">
      <w:r w:rsidRPr="007E7F52">
        <w:t xml:space="preserve">Throughout this process, </w:t>
      </w:r>
      <w:r>
        <w:t>the department used</w:t>
      </w:r>
      <w:r w:rsidRPr="007E7F52">
        <w:t xml:space="preserve"> </w:t>
      </w:r>
      <w:r>
        <w:t>2</w:t>
      </w:r>
      <w:r w:rsidRPr="007E7F52">
        <w:t xml:space="preserve"> different levels of engagement:</w:t>
      </w:r>
    </w:p>
    <w:p w14:paraId="5ED5BFC4" w14:textId="77777777" w:rsidR="00A964BA" w:rsidRPr="00B91D56" w:rsidRDefault="00A964BA" w:rsidP="007010B3">
      <w:pPr>
        <w:pStyle w:val="ListNumber"/>
        <w:numPr>
          <w:ilvl w:val="0"/>
          <w:numId w:val="13"/>
        </w:numPr>
      </w:pPr>
      <w:r w:rsidRPr="00B91D56">
        <w:t>share – when government needs to tell the public about an initiative</w:t>
      </w:r>
    </w:p>
    <w:p w14:paraId="492AB871" w14:textId="77777777" w:rsidR="00A964BA" w:rsidRPr="00B91D56" w:rsidRDefault="00A964BA" w:rsidP="007010B3">
      <w:pPr>
        <w:pStyle w:val="ListNumber"/>
      </w:pPr>
      <w:r w:rsidRPr="00B91D56">
        <w:t>consult – when government gathers feedback from specific industry groups about a problem or a solution.</w:t>
      </w:r>
    </w:p>
    <w:p w14:paraId="06F292A8" w14:textId="77777777" w:rsidR="00A964BA" w:rsidRPr="009F70E9" w:rsidRDefault="00A964BA" w:rsidP="00324495">
      <w:pPr>
        <w:pStyle w:val="Heading4"/>
        <w:numPr>
          <w:ilvl w:val="0"/>
          <w:numId w:val="0"/>
        </w:numPr>
        <w:ind w:left="964" w:hanging="964"/>
      </w:pPr>
      <w:r w:rsidRPr="00324495">
        <w:t>Approach</w:t>
      </w:r>
    </w:p>
    <w:p w14:paraId="22F0F513" w14:textId="33018C2A" w:rsidR="00A964BA" w:rsidRPr="007E7F52" w:rsidRDefault="00A964BA" w:rsidP="00A964BA">
      <w:r>
        <w:t>The department’s</w:t>
      </w:r>
      <w:r w:rsidRPr="007E7F52">
        <w:t xml:space="preserve"> engagement approach is </w:t>
      </w:r>
      <w:r w:rsidRPr="00D84B1C">
        <w:t xml:space="preserve">outlined in </w:t>
      </w:r>
      <w:hyperlink w:anchor="Table_2" w:history="1">
        <w:r w:rsidR="00D84B1C" w:rsidRPr="00D84B1C">
          <w:rPr>
            <w:rStyle w:val="Hyperlink"/>
            <w:color w:val="auto"/>
            <w:u w:val="none"/>
          </w:rPr>
          <w:t>Table 2</w:t>
        </w:r>
      </w:hyperlink>
      <w:r w:rsidR="00D84B1C">
        <w:t>.</w:t>
      </w:r>
    </w:p>
    <w:p w14:paraId="10F69CAB" w14:textId="7F13E303" w:rsidR="00A964BA" w:rsidRPr="005E61C0" w:rsidRDefault="00800B59" w:rsidP="00800B59">
      <w:pPr>
        <w:pStyle w:val="Caption"/>
      </w:pPr>
      <w:bookmarkStart w:id="65" w:name="_Ref198899009"/>
      <w:bookmarkStart w:id="66" w:name="_Toc170293403"/>
      <w:bookmarkStart w:id="67" w:name="_Toc201226993"/>
      <w:r>
        <w:t xml:space="preserve">Table </w:t>
      </w:r>
      <w:r>
        <w:fldChar w:fldCharType="begin"/>
      </w:r>
      <w:r>
        <w:instrText xml:space="preserve"> SEQ Table \* ARABIC </w:instrText>
      </w:r>
      <w:r>
        <w:fldChar w:fldCharType="separate"/>
      </w:r>
      <w:r w:rsidR="0001784A">
        <w:rPr>
          <w:noProof/>
        </w:rPr>
        <w:t>2</w:t>
      </w:r>
      <w:r>
        <w:fldChar w:fldCharType="end"/>
      </w:r>
      <w:bookmarkEnd w:id="65"/>
      <w:r>
        <w:t xml:space="preserve"> </w:t>
      </w:r>
      <w:r w:rsidR="00A964BA" w:rsidRPr="004C29D3">
        <w:t>Approach to stakeholder engagement for regulatory charging</w:t>
      </w:r>
      <w:bookmarkEnd w:id="66"/>
      <w:bookmarkEnd w:id="67"/>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20"/>
        <w:gridCol w:w="1540"/>
        <w:gridCol w:w="1478"/>
        <w:gridCol w:w="1478"/>
        <w:gridCol w:w="1477"/>
        <w:gridCol w:w="1677"/>
      </w:tblGrid>
      <w:tr w:rsidR="00A964BA" w:rsidRPr="00856156" w14:paraId="4C0EEB91" w14:textId="77777777" w:rsidTr="0070084B">
        <w:trPr>
          <w:cantSplit/>
          <w:tblHeader/>
        </w:trPr>
        <w:tc>
          <w:tcPr>
            <w:tcW w:w="782" w:type="pct"/>
          </w:tcPr>
          <w:p w14:paraId="5FE4F987" w14:textId="77777777" w:rsidR="00A964BA" w:rsidRPr="00856156" w:rsidRDefault="00A964BA" w:rsidP="00E270BE">
            <w:pPr>
              <w:pStyle w:val="TableHeading"/>
            </w:pPr>
            <w:bookmarkStart w:id="68" w:name="Table_2"/>
            <w:bookmarkEnd w:id="68"/>
            <w:r w:rsidRPr="00856156">
              <w:t>Category</w:t>
            </w:r>
          </w:p>
        </w:tc>
        <w:tc>
          <w:tcPr>
            <w:tcW w:w="849" w:type="pct"/>
          </w:tcPr>
          <w:p w14:paraId="6E458CBA" w14:textId="77777777" w:rsidR="00A964BA" w:rsidRPr="00856156" w:rsidRDefault="00A964BA" w:rsidP="00E270BE">
            <w:pPr>
              <w:pStyle w:val="TableHeading"/>
            </w:pPr>
            <w:r w:rsidRPr="00856156">
              <w:t>Consult</w:t>
            </w:r>
          </w:p>
        </w:tc>
        <w:tc>
          <w:tcPr>
            <w:tcW w:w="815" w:type="pct"/>
          </w:tcPr>
          <w:p w14:paraId="7D34AFDB" w14:textId="77777777" w:rsidR="00A964BA" w:rsidRPr="00856156" w:rsidRDefault="00A964BA" w:rsidP="00E270BE">
            <w:pPr>
              <w:pStyle w:val="TableHeading"/>
            </w:pPr>
            <w:r w:rsidRPr="00856156">
              <w:t>Implement</w:t>
            </w:r>
          </w:p>
        </w:tc>
        <w:tc>
          <w:tcPr>
            <w:tcW w:w="815" w:type="pct"/>
          </w:tcPr>
          <w:p w14:paraId="694B612A" w14:textId="77777777" w:rsidR="00A964BA" w:rsidRPr="00856156" w:rsidRDefault="00A964BA" w:rsidP="00E270BE">
            <w:pPr>
              <w:pStyle w:val="TableHeading"/>
            </w:pPr>
            <w:r w:rsidRPr="00856156">
              <w:t>Monitor</w:t>
            </w:r>
          </w:p>
        </w:tc>
        <w:tc>
          <w:tcPr>
            <w:tcW w:w="814" w:type="pct"/>
          </w:tcPr>
          <w:p w14:paraId="0BDB64CC" w14:textId="77777777" w:rsidR="00A964BA" w:rsidRPr="00856156" w:rsidRDefault="00A964BA" w:rsidP="00E270BE">
            <w:pPr>
              <w:pStyle w:val="TableHeading"/>
            </w:pPr>
            <w:r w:rsidRPr="00856156">
              <w:t>Review</w:t>
            </w:r>
          </w:p>
        </w:tc>
        <w:tc>
          <w:tcPr>
            <w:tcW w:w="924" w:type="pct"/>
          </w:tcPr>
          <w:p w14:paraId="7AB6A618" w14:textId="77777777" w:rsidR="00A964BA" w:rsidRPr="00856156" w:rsidRDefault="00A964BA" w:rsidP="00E270BE">
            <w:pPr>
              <w:pStyle w:val="TableHeading"/>
            </w:pPr>
            <w:r w:rsidRPr="00856156">
              <w:t>Design as needed</w:t>
            </w:r>
          </w:p>
        </w:tc>
      </w:tr>
      <w:tr w:rsidR="00A964BA" w14:paraId="1B4C9428" w14:textId="77777777" w:rsidTr="0070084B">
        <w:tc>
          <w:tcPr>
            <w:tcW w:w="782" w:type="pct"/>
          </w:tcPr>
          <w:p w14:paraId="736FF576" w14:textId="77777777" w:rsidR="00A964BA" w:rsidRPr="00856156" w:rsidRDefault="00A964BA" w:rsidP="00E270BE">
            <w:pPr>
              <w:pStyle w:val="TableText"/>
              <w:rPr>
                <w:rStyle w:val="Strong"/>
              </w:rPr>
            </w:pPr>
            <w:r w:rsidRPr="00856156">
              <w:rPr>
                <w:rStyle w:val="Strong"/>
              </w:rPr>
              <w:t>Objective</w:t>
            </w:r>
          </w:p>
        </w:tc>
        <w:tc>
          <w:tcPr>
            <w:tcW w:w="849" w:type="pct"/>
          </w:tcPr>
          <w:p w14:paraId="29289D44" w14:textId="77777777" w:rsidR="00A964BA" w:rsidRPr="00856156" w:rsidRDefault="00A964BA" w:rsidP="00E270BE">
            <w:pPr>
              <w:pStyle w:val="TableText"/>
            </w:pPr>
            <w:r w:rsidRPr="00856156">
              <w:t>Public consultation to seek feedback on annual updates to the proposed cost base, fees and charges in the draft CRIS.</w:t>
            </w:r>
          </w:p>
        </w:tc>
        <w:tc>
          <w:tcPr>
            <w:tcW w:w="815" w:type="pct"/>
          </w:tcPr>
          <w:p w14:paraId="1625F4AD" w14:textId="77777777" w:rsidR="00A964BA" w:rsidRPr="00856156" w:rsidRDefault="00A964BA" w:rsidP="00E270BE">
            <w:pPr>
              <w:pStyle w:val="TableText"/>
            </w:pPr>
            <w:r w:rsidRPr="00856156">
              <w:t>Publish public information to prepare stakeholders for upcoming changes to regulatory charging.</w:t>
            </w:r>
          </w:p>
        </w:tc>
        <w:tc>
          <w:tcPr>
            <w:tcW w:w="815" w:type="pct"/>
          </w:tcPr>
          <w:p w14:paraId="49284273" w14:textId="77777777" w:rsidR="00A964BA" w:rsidRPr="00856156" w:rsidRDefault="00A964BA" w:rsidP="00E270BE">
            <w:pPr>
              <w:pStyle w:val="TableText"/>
            </w:pPr>
            <w:r w:rsidRPr="00856156">
              <w:t>Publish information on prior year financial and non-financial performance of regulatory charging.</w:t>
            </w:r>
          </w:p>
        </w:tc>
        <w:tc>
          <w:tcPr>
            <w:tcW w:w="814" w:type="pct"/>
          </w:tcPr>
          <w:p w14:paraId="288A190F" w14:textId="77777777" w:rsidR="00A964BA" w:rsidRPr="00856156" w:rsidRDefault="00A964BA" w:rsidP="00E270BE">
            <w:pPr>
              <w:pStyle w:val="TableText"/>
            </w:pPr>
            <w:r w:rsidRPr="00856156">
              <w:t>Consultation to seek feedback on regulatory charging performance and stakeholder engagement.</w:t>
            </w:r>
          </w:p>
        </w:tc>
        <w:tc>
          <w:tcPr>
            <w:tcW w:w="924" w:type="pct"/>
          </w:tcPr>
          <w:p w14:paraId="54F021C6" w14:textId="77777777" w:rsidR="00A964BA" w:rsidRPr="00856156" w:rsidRDefault="00A964BA" w:rsidP="00E270BE">
            <w:pPr>
              <w:pStyle w:val="TableText"/>
            </w:pPr>
            <w:r w:rsidRPr="00856156">
              <w:t>Targeted consultation to seek advice and input on behalf of their industries to develop volume, expense and pricing models.</w:t>
            </w:r>
          </w:p>
        </w:tc>
      </w:tr>
      <w:tr w:rsidR="00A964BA" w14:paraId="294668BA" w14:textId="77777777" w:rsidTr="0070084B">
        <w:tc>
          <w:tcPr>
            <w:tcW w:w="782" w:type="pct"/>
          </w:tcPr>
          <w:p w14:paraId="63DC733C" w14:textId="77777777" w:rsidR="00A964BA" w:rsidRPr="00856156" w:rsidRDefault="00A964BA" w:rsidP="00E270BE">
            <w:pPr>
              <w:pStyle w:val="TableText"/>
              <w:rPr>
                <w:rStyle w:val="Strong"/>
              </w:rPr>
            </w:pPr>
            <w:r w:rsidRPr="00856156">
              <w:rPr>
                <w:rStyle w:val="Strong"/>
              </w:rPr>
              <w:t>Level of engagement</w:t>
            </w:r>
          </w:p>
        </w:tc>
        <w:tc>
          <w:tcPr>
            <w:tcW w:w="849" w:type="pct"/>
          </w:tcPr>
          <w:p w14:paraId="1B3DA130" w14:textId="77777777" w:rsidR="00A964BA" w:rsidRPr="00856156" w:rsidRDefault="00A964BA" w:rsidP="00E270BE">
            <w:pPr>
              <w:pStyle w:val="TableText"/>
            </w:pPr>
            <w:r w:rsidRPr="00856156">
              <w:t>Consult</w:t>
            </w:r>
          </w:p>
        </w:tc>
        <w:tc>
          <w:tcPr>
            <w:tcW w:w="815" w:type="pct"/>
          </w:tcPr>
          <w:p w14:paraId="265D607E" w14:textId="77777777" w:rsidR="00A964BA" w:rsidRPr="00856156" w:rsidRDefault="00A964BA" w:rsidP="00E270BE">
            <w:pPr>
              <w:pStyle w:val="TableText"/>
            </w:pPr>
            <w:r w:rsidRPr="00856156">
              <w:t>Share</w:t>
            </w:r>
          </w:p>
        </w:tc>
        <w:tc>
          <w:tcPr>
            <w:tcW w:w="815" w:type="pct"/>
          </w:tcPr>
          <w:p w14:paraId="674B8223" w14:textId="77777777" w:rsidR="00A964BA" w:rsidRPr="00856156" w:rsidRDefault="00A964BA" w:rsidP="00E270BE">
            <w:pPr>
              <w:pStyle w:val="TableText"/>
            </w:pPr>
            <w:r w:rsidRPr="00856156">
              <w:t>Share</w:t>
            </w:r>
          </w:p>
        </w:tc>
        <w:tc>
          <w:tcPr>
            <w:tcW w:w="814" w:type="pct"/>
          </w:tcPr>
          <w:p w14:paraId="56CC53AD" w14:textId="77777777" w:rsidR="00A964BA" w:rsidRPr="00856156" w:rsidRDefault="00A964BA" w:rsidP="00E270BE">
            <w:pPr>
              <w:pStyle w:val="TableText"/>
            </w:pPr>
            <w:r w:rsidRPr="00856156">
              <w:t>Consult</w:t>
            </w:r>
          </w:p>
        </w:tc>
        <w:tc>
          <w:tcPr>
            <w:tcW w:w="924" w:type="pct"/>
          </w:tcPr>
          <w:p w14:paraId="77B30151" w14:textId="77777777" w:rsidR="00A964BA" w:rsidRPr="00856156" w:rsidRDefault="00A964BA" w:rsidP="00E270BE">
            <w:pPr>
              <w:pStyle w:val="TableText"/>
            </w:pPr>
            <w:r w:rsidRPr="00856156">
              <w:t>Consult</w:t>
            </w:r>
          </w:p>
        </w:tc>
      </w:tr>
      <w:tr w:rsidR="00A964BA" w14:paraId="12AE3F6C" w14:textId="77777777" w:rsidTr="0070084B">
        <w:tc>
          <w:tcPr>
            <w:tcW w:w="782" w:type="pct"/>
          </w:tcPr>
          <w:p w14:paraId="0D2C7B6B" w14:textId="77777777" w:rsidR="00A964BA" w:rsidRPr="00856156" w:rsidRDefault="00A964BA" w:rsidP="00E270BE">
            <w:pPr>
              <w:pStyle w:val="TableText"/>
              <w:rPr>
                <w:rStyle w:val="Strong"/>
              </w:rPr>
            </w:pPr>
            <w:r w:rsidRPr="00856156">
              <w:rPr>
                <w:rStyle w:val="Strong"/>
              </w:rPr>
              <w:t>Timing</w:t>
            </w:r>
          </w:p>
        </w:tc>
        <w:tc>
          <w:tcPr>
            <w:tcW w:w="849" w:type="pct"/>
          </w:tcPr>
          <w:p w14:paraId="7E877529" w14:textId="77777777" w:rsidR="00A964BA" w:rsidRPr="00856156" w:rsidRDefault="00A964BA" w:rsidP="00E270BE">
            <w:pPr>
              <w:pStyle w:val="TableText"/>
            </w:pPr>
            <w:r w:rsidRPr="00856156">
              <w:t>Annually in first quarter of the year.</w:t>
            </w:r>
          </w:p>
        </w:tc>
        <w:tc>
          <w:tcPr>
            <w:tcW w:w="815" w:type="pct"/>
          </w:tcPr>
          <w:p w14:paraId="2DA69610" w14:textId="77777777" w:rsidR="00A964BA" w:rsidRPr="00856156" w:rsidRDefault="00A964BA" w:rsidP="00E270BE">
            <w:pPr>
              <w:pStyle w:val="TableText"/>
            </w:pPr>
            <w:r w:rsidRPr="00856156">
              <w:t>Annually in June.</w:t>
            </w:r>
          </w:p>
        </w:tc>
        <w:tc>
          <w:tcPr>
            <w:tcW w:w="815" w:type="pct"/>
          </w:tcPr>
          <w:p w14:paraId="6AD7BA81" w14:textId="77777777" w:rsidR="00A964BA" w:rsidRPr="00856156" w:rsidRDefault="00A964BA" w:rsidP="00E270BE">
            <w:pPr>
              <w:pStyle w:val="TableText"/>
            </w:pPr>
            <w:r w:rsidRPr="00856156">
              <w:t>Annually in October.</w:t>
            </w:r>
          </w:p>
        </w:tc>
        <w:tc>
          <w:tcPr>
            <w:tcW w:w="814" w:type="pct"/>
          </w:tcPr>
          <w:p w14:paraId="711AC6C5" w14:textId="10309E89" w:rsidR="00A964BA" w:rsidRPr="00856156" w:rsidRDefault="002E0CB6" w:rsidP="00E270BE">
            <w:pPr>
              <w:pStyle w:val="TableText"/>
            </w:pPr>
            <w:r w:rsidRPr="002E0CB6">
              <w:t>As needed for a potential Portfolio Charging Review in 2025.</w:t>
            </w:r>
          </w:p>
        </w:tc>
        <w:tc>
          <w:tcPr>
            <w:tcW w:w="924" w:type="pct"/>
          </w:tcPr>
          <w:p w14:paraId="2B486097" w14:textId="77777777" w:rsidR="00A964BA" w:rsidRPr="00856156" w:rsidRDefault="00A964BA" w:rsidP="00E270BE">
            <w:pPr>
              <w:pStyle w:val="TableText"/>
            </w:pPr>
            <w:r w:rsidRPr="00856156">
              <w:t>As needed.</w:t>
            </w:r>
          </w:p>
        </w:tc>
      </w:tr>
      <w:tr w:rsidR="00A964BA" w14:paraId="58A28CDA" w14:textId="77777777" w:rsidTr="0070084B">
        <w:tc>
          <w:tcPr>
            <w:tcW w:w="782" w:type="pct"/>
          </w:tcPr>
          <w:p w14:paraId="41C3DF69" w14:textId="77777777" w:rsidR="00A964BA" w:rsidRPr="00856156" w:rsidRDefault="00A964BA" w:rsidP="00E270BE">
            <w:pPr>
              <w:pStyle w:val="TableText"/>
              <w:rPr>
                <w:rStyle w:val="Strong"/>
              </w:rPr>
            </w:pPr>
            <w:r w:rsidRPr="00856156">
              <w:rPr>
                <w:rStyle w:val="Strong"/>
              </w:rPr>
              <w:t>Stakeholders</w:t>
            </w:r>
          </w:p>
        </w:tc>
        <w:tc>
          <w:tcPr>
            <w:tcW w:w="849" w:type="pct"/>
          </w:tcPr>
          <w:p w14:paraId="125E9C6F" w14:textId="77777777" w:rsidR="00A964BA" w:rsidRPr="00856156" w:rsidRDefault="00A964BA" w:rsidP="007010B3">
            <w:pPr>
              <w:pStyle w:val="TableBullet1"/>
              <w:numPr>
                <w:ilvl w:val="0"/>
                <w:numId w:val="5"/>
              </w:numPr>
            </w:pPr>
            <w:r w:rsidRPr="00856156">
              <w:t>Industry Consultative Committees (ICCs).</w:t>
            </w:r>
          </w:p>
          <w:p w14:paraId="52A40745" w14:textId="77777777" w:rsidR="00A964BA" w:rsidRPr="00856156" w:rsidRDefault="00A964BA" w:rsidP="007010B3">
            <w:pPr>
              <w:pStyle w:val="TableBullet1"/>
              <w:numPr>
                <w:ilvl w:val="0"/>
                <w:numId w:val="5"/>
              </w:numPr>
            </w:pPr>
            <w:r w:rsidRPr="00856156">
              <w:t>All industry participants.</w:t>
            </w:r>
          </w:p>
          <w:p w14:paraId="79B7BDB3" w14:textId="77777777" w:rsidR="00A964BA" w:rsidRPr="00856156" w:rsidRDefault="00A964BA" w:rsidP="007010B3">
            <w:pPr>
              <w:pStyle w:val="TableBullet1"/>
              <w:numPr>
                <w:ilvl w:val="0"/>
                <w:numId w:val="5"/>
              </w:numPr>
            </w:pPr>
            <w:r w:rsidRPr="00856156">
              <w:t>Peak industry bodies.</w:t>
            </w:r>
          </w:p>
        </w:tc>
        <w:tc>
          <w:tcPr>
            <w:tcW w:w="815" w:type="pct"/>
          </w:tcPr>
          <w:p w14:paraId="18F581DA" w14:textId="77777777" w:rsidR="00A964BA" w:rsidRPr="00856156" w:rsidRDefault="00A964BA" w:rsidP="007010B3">
            <w:pPr>
              <w:pStyle w:val="TableBullet1"/>
              <w:numPr>
                <w:ilvl w:val="0"/>
                <w:numId w:val="5"/>
              </w:numPr>
            </w:pPr>
            <w:r w:rsidRPr="00856156">
              <w:t>All industry participants.</w:t>
            </w:r>
          </w:p>
          <w:p w14:paraId="1D834B8F" w14:textId="77777777" w:rsidR="00A964BA" w:rsidRPr="00856156" w:rsidRDefault="00A964BA" w:rsidP="007010B3">
            <w:pPr>
              <w:pStyle w:val="TableBullet1"/>
              <w:numPr>
                <w:ilvl w:val="0"/>
                <w:numId w:val="5"/>
              </w:numPr>
            </w:pPr>
            <w:r w:rsidRPr="00856156">
              <w:t>Peak industry bodies.</w:t>
            </w:r>
          </w:p>
        </w:tc>
        <w:tc>
          <w:tcPr>
            <w:tcW w:w="815" w:type="pct"/>
          </w:tcPr>
          <w:p w14:paraId="50F66BBD" w14:textId="77777777" w:rsidR="00A964BA" w:rsidRPr="00856156" w:rsidRDefault="00A964BA" w:rsidP="007010B3">
            <w:pPr>
              <w:pStyle w:val="TableBullet1"/>
              <w:numPr>
                <w:ilvl w:val="0"/>
                <w:numId w:val="5"/>
              </w:numPr>
            </w:pPr>
            <w:r w:rsidRPr="00856156">
              <w:t>Industry consultative committees (ICCs).</w:t>
            </w:r>
          </w:p>
          <w:p w14:paraId="189013BE" w14:textId="77777777" w:rsidR="00A964BA" w:rsidRPr="00856156" w:rsidRDefault="00A964BA" w:rsidP="007010B3">
            <w:pPr>
              <w:pStyle w:val="TableBullet1"/>
              <w:numPr>
                <w:ilvl w:val="0"/>
                <w:numId w:val="5"/>
              </w:numPr>
            </w:pPr>
            <w:r w:rsidRPr="00856156">
              <w:t>All industry participants.</w:t>
            </w:r>
          </w:p>
          <w:p w14:paraId="6A5230F2" w14:textId="77777777" w:rsidR="00A964BA" w:rsidRPr="00856156" w:rsidRDefault="00A964BA" w:rsidP="007010B3">
            <w:pPr>
              <w:pStyle w:val="TableBullet1"/>
              <w:numPr>
                <w:ilvl w:val="0"/>
                <w:numId w:val="5"/>
              </w:numPr>
            </w:pPr>
            <w:r w:rsidRPr="00856156">
              <w:t>Peak industry bodies.</w:t>
            </w:r>
          </w:p>
        </w:tc>
        <w:tc>
          <w:tcPr>
            <w:tcW w:w="814" w:type="pct"/>
          </w:tcPr>
          <w:p w14:paraId="6E2C9458" w14:textId="77777777" w:rsidR="00A964BA" w:rsidRPr="00856156" w:rsidRDefault="00A964BA" w:rsidP="007010B3">
            <w:pPr>
              <w:pStyle w:val="TableBullet1"/>
              <w:numPr>
                <w:ilvl w:val="0"/>
                <w:numId w:val="5"/>
              </w:numPr>
            </w:pPr>
            <w:r w:rsidRPr="00856156">
              <w:t>Industry consultative committees (ICCs).</w:t>
            </w:r>
          </w:p>
          <w:p w14:paraId="3F43EB68" w14:textId="77777777" w:rsidR="00A964BA" w:rsidRPr="00856156" w:rsidRDefault="00A964BA" w:rsidP="007010B3">
            <w:pPr>
              <w:pStyle w:val="TableBullet1"/>
              <w:numPr>
                <w:ilvl w:val="0"/>
                <w:numId w:val="5"/>
              </w:numPr>
            </w:pPr>
            <w:r w:rsidRPr="00856156">
              <w:t>All industry participants.</w:t>
            </w:r>
          </w:p>
          <w:p w14:paraId="2BAABCF0" w14:textId="77777777" w:rsidR="00A964BA" w:rsidRPr="00856156" w:rsidRDefault="00A964BA" w:rsidP="007010B3">
            <w:pPr>
              <w:pStyle w:val="TableBullet1"/>
              <w:numPr>
                <w:ilvl w:val="0"/>
                <w:numId w:val="5"/>
              </w:numPr>
            </w:pPr>
            <w:r w:rsidRPr="00856156">
              <w:t>Peak industry bodies.</w:t>
            </w:r>
          </w:p>
        </w:tc>
        <w:tc>
          <w:tcPr>
            <w:tcW w:w="924" w:type="pct"/>
          </w:tcPr>
          <w:p w14:paraId="501F19F4" w14:textId="77777777" w:rsidR="00A964BA" w:rsidRPr="00856156" w:rsidRDefault="00A964BA" w:rsidP="007010B3">
            <w:pPr>
              <w:pStyle w:val="TableBullet1"/>
              <w:numPr>
                <w:ilvl w:val="0"/>
                <w:numId w:val="5"/>
              </w:numPr>
            </w:pPr>
            <w:r w:rsidRPr="00856156">
              <w:t>Industry consultative committees (ICCs).</w:t>
            </w:r>
          </w:p>
          <w:p w14:paraId="54338C84" w14:textId="77777777" w:rsidR="00A964BA" w:rsidRPr="00856156" w:rsidRDefault="00A964BA" w:rsidP="007010B3">
            <w:pPr>
              <w:pStyle w:val="TableBullet1"/>
              <w:numPr>
                <w:ilvl w:val="0"/>
                <w:numId w:val="5"/>
              </w:numPr>
            </w:pPr>
            <w:r w:rsidRPr="00856156">
              <w:t>Peak industry bodies</w:t>
            </w:r>
          </w:p>
        </w:tc>
      </w:tr>
      <w:tr w:rsidR="00A964BA" w14:paraId="1FA8D02E" w14:textId="77777777" w:rsidTr="0070084B">
        <w:tc>
          <w:tcPr>
            <w:tcW w:w="782" w:type="pct"/>
          </w:tcPr>
          <w:p w14:paraId="6F026C6C" w14:textId="77777777" w:rsidR="00A964BA" w:rsidRPr="00856156" w:rsidRDefault="00A964BA" w:rsidP="00E270BE">
            <w:pPr>
              <w:pStyle w:val="TableText"/>
              <w:rPr>
                <w:rStyle w:val="Strong"/>
              </w:rPr>
            </w:pPr>
            <w:r w:rsidRPr="00856156">
              <w:rPr>
                <w:rStyle w:val="Strong"/>
              </w:rPr>
              <w:t>Method</w:t>
            </w:r>
          </w:p>
        </w:tc>
        <w:tc>
          <w:tcPr>
            <w:tcW w:w="849" w:type="pct"/>
          </w:tcPr>
          <w:p w14:paraId="4B065449" w14:textId="77777777" w:rsidR="00A964BA" w:rsidRPr="00856156" w:rsidRDefault="00A964BA" w:rsidP="007010B3">
            <w:pPr>
              <w:pStyle w:val="TableBullet1"/>
              <w:numPr>
                <w:ilvl w:val="0"/>
                <w:numId w:val="5"/>
              </w:numPr>
            </w:pPr>
            <w:r w:rsidRPr="00856156">
              <w:t>Online – Have Your Say.</w:t>
            </w:r>
          </w:p>
          <w:p w14:paraId="4CDC4178" w14:textId="77777777" w:rsidR="00A964BA" w:rsidRPr="00856156" w:rsidRDefault="00A964BA" w:rsidP="007010B3">
            <w:pPr>
              <w:pStyle w:val="TableBullet1"/>
              <w:numPr>
                <w:ilvl w:val="0"/>
                <w:numId w:val="5"/>
              </w:numPr>
            </w:pPr>
            <w:r w:rsidRPr="00856156">
              <w:t>Face-to-face.</w:t>
            </w:r>
          </w:p>
        </w:tc>
        <w:tc>
          <w:tcPr>
            <w:tcW w:w="815" w:type="pct"/>
          </w:tcPr>
          <w:p w14:paraId="38C88757" w14:textId="77777777" w:rsidR="00A964BA" w:rsidRPr="00856156" w:rsidRDefault="00A964BA" w:rsidP="007010B3">
            <w:pPr>
              <w:pStyle w:val="TableBullet1"/>
              <w:numPr>
                <w:ilvl w:val="0"/>
                <w:numId w:val="5"/>
              </w:numPr>
            </w:pPr>
            <w:r w:rsidRPr="00856156">
              <w:t>Industry advice notices (IANs).</w:t>
            </w:r>
          </w:p>
          <w:p w14:paraId="7FFCD9E9" w14:textId="77777777" w:rsidR="00A964BA" w:rsidRPr="00856156" w:rsidRDefault="00A964BA" w:rsidP="007010B3">
            <w:pPr>
              <w:pStyle w:val="TableBullet1"/>
              <w:numPr>
                <w:ilvl w:val="0"/>
                <w:numId w:val="5"/>
              </w:numPr>
            </w:pPr>
            <w:r w:rsidRPr="00856156">
              <w:t>Online – department website.</w:t>
            </w:r>
          </w:p>
        </w:tc>
        <w:tc>
          <w:tcPr>
            <w:tcW w:w="815" w:type="pct"/>
          </w:tcPr>
          <w:p w14:paraId="2240C086" w14:textId="77777777" w:rsidR="00A964BA" w:rsidRPr="00856156" w:rsidRDefault="00A964BA" w:rsidP="007010B3">
            <w:pPr>
              <w:pStyle w:val="TableBullet1"/>
              <w:numPr>
                <w:ilvl w:val="0"/>
                <w:numId w:val="5"/>
              </w:numPr>
            </w:pPr>
            <w:r w:rsidRPr="00856156">
              <w:t>Online – department website.</w:t>
            </w:r>
          </w:p>
        </w:tc>
        <w:tc>
          <w:tcPr>
            <w:tcW w:w="814" w:type="pct"/>
          </w:tcPr>
          <w:p w14:paraId="29269857" w14:textId="77777777" w:rsidR="00A964BA" w:rsidRPr="00856156" w:rsidRDefault="00A964BA" w:rsidP="007010B3">
            <w:pPr>
              <w:pStyle w:val="TableBullet1"/>
              <w:numPr>
                <w:ilvl w:val="0"/>
                <w:numId w:val="5"/>
              </w:numPr>
            </w:pPr>
            <w:r w:rsidRPr="00856156">
              <w:t>Online – Have Your Say.</w:t>
            </w:r>
          </w:p>
        </w:tc>
        <w:tc>
          <w:tcPr>
            <w:tcW w:w="924" w:type="pct"/>
          </w:tcPr>
          <w:p w14:paraId="48AF1C45" w14:textId="77777777" w:rsidR="00A964BA" w:rsidRPr="00856156" w:rsidRDefault="00A964BA" w:rsidP="007010B3">
            <w:pPr>
              <w:pStyle w:val="TableBullet1"/>
              <w:numPr>
                <w:ilvl w:val="0"/>
                <w:numId w:val="5"/>
              </w:numPr>
            </w:pPr>
            <w:r w:rsidRPr="00856156">
              <w:t>Face-to-face.</w:t>
            </w:r>
          </w:p>
          <w:p w14:paraId="00DC54AB" w14:textId="77777777" w:rsidR="00A964BA" w:rsidRPr="00856156" w:rsidRDefault="00A964BA" w:rsidP="007010B3">
            <w:pPr>
              <w:pStyle w:val="TableBullet1"/>
              <w:numPr>
                <w:ilvl w:val="0"/>
                <w:numId w:val="5"/>
              </w:numPr>
            </w:pPr>
            <w:r w:rsidRPr="00856156">
              <w:t>Teleconference.</w:t>
            </w:r>
          </w:p>
        </w:tc>
      </w:tr>
    </w:tbl>
    <w:p w14:paraId="22198CDB" w14:textId="77777777" w:rsidR="00A964BA" w:rsidRPr="009F70E9" w:rsidRDefault="00A964BA" w:rsidP="00324495">
      <w:pPr>
        <w:pStyle w:val="Heading2"/>
      </w:pPr>
      <w:bookmarkStart w:id="69" w:name="_Toc162351711"/>
      <w:bookmarkStart w:id="70" w:name="_Toc170293375"/>
      <w:bookmarkStart w:id="71" w:name="_Toc193794423"/>
      <w:bookmarkStart w:id="72" w:name="_Toc198898878"/>
      <w:r w:rsidRPr="009F70E9">
        <w:lastRenderedPageBreak/>
        <w:t xml:space="preserve">Cost recovery arrangement for </w:t>
      </w:r>
      <w:r w:rsidRPr="00324495">
        <w:t>horticulture</w:t>
      </w:r>
      <w:r w:rsidRPr="009F70E9">
        <w:t xml:space="preserve"> exports</w:t>
      </w:r>
      <w:bookmarkEnd w:id="69"/>
      <w:bookmarkEnd w:id="70"/>
      <w:bookmarkEnd w:id="71"/>
      <w:bookmarkEnd w:id="72"/>
    </w:p>
    <w:p w14:paraId="493D8167" w14:textId="77777777" w:rsidR="00A964BA" w:rsidRDefault="00A964BA" w:rsidP="00A964BA">
      <w:pPr>
        <w:rPr>
          <w:lang w:eastAsia="ja-JP"/>
        </w:rPr>
      </w:pPr>
      <w:r>
        <w:rPr>
          <w:lang w:eastAsia="ja-JP"/>
        </w:rPr>
        <w:t xml:space="preserve">The </w:t>
      </w:r>
      <w:hyperlink r:id="rId24" w:history="1">
        <w:r w:rsidRPr="00EB17A4">
          <w:rPr>
            <w:rStyle w:val="Hyperlink"/>
          </w:rPr>
          <w:t>Australian Government Cost Recovery Policy</w:t>
        </w:r>
      </w:hyperlink>
      <w:r>
        <w:rPr>
          <w:lang w:eastAsia="ja-JP"/>
        </w:rPr>
        <w:t xml:space="preserve"> requires that regulators recover some or all of the efficient costs of the effort required to deliver their services, unless the government has decided to fund that activity.</w:t>
      </w:r>
    </w:p>
    <w:p w14:paraId="44BE80F1" w14:textId="5157DA6C" w:rsidR="00B209E2" w:rsidRDefault="00A964BA" w:rsidP="00B209E2">
      <w:bookmarkStart w:id="73" w:name="_Hlk194056322"/>
      <w:r>
        <w:rPr>
          <w:lang w:eastAsia="ja-JP"/>
        </w:rPr>
        <w:t>The modelling of fees and charges in 2021</w:t>
      </w:r>
      <w:r w:rsidRPr="007E7F52">
        <w:t>–</w:t>
      </w:r>
      <w:r>
        <w:rPr>
          <w:lang w:eastAsia="ja-JP"/>
        </w:rPr>
        <w:t xml:space="preserve">22 endeavoured to forecast Consumer Price Index (CPI) growth in costs and increased demand for regulatory activities </w:t>
      </w:r>
      <w:r w:rsidRPr="002A14F5">
        <w:rPr>
          <w:lang w:eastAsia="ja-JP"/>
        </w:rPr>
        <w:t xml:space="preserve">for </w:t>
      </w:r>
      <w:r>
        <w:rPr>
          <w:lang w:eastAsia="ja-JP"/>
        </w:rPr>
        <w:t xml:space="preserve">horticulture </w:t>
      </w:r>
      <w:r w:rsidRPr="002A14F5">
        <w:rPr>
          <w:lang w:eastAsia="ja-JP"/>
        </w:rPr>
        <w:t>exports</w:t>
      </w:r>
      <w:r>
        <w:rPr>
          <w:lang w:eastAsia="ja-JP"/>
        </w:rPr>
        <w:t>. Stepped increases were planned to return export cost recovery arrangements back to full cost recovery by 2023</w:t>
      </w:r>
      <w:r w:rsidRPr="007E7F52">
        <w:t>–</w:t>
      </w:r>
      <w:r>
        <w:rPr>
          <w:lang w:eastAsia="ja-JP"/>
        </w:rPr>
        <w:t>24. Prices were legislated for these stepped increases from 202</w:t>
      </w:r>
      <w:r w:rsidR="00B02F5D">
        <w:rPr>
          <w:lang w:eastAsia="ja-JP"/>
        </w:rPr>
        <w:t>0</w:t>
      </w:r>
      <w:r w:rsidRPr="007E7F52">
        <w:t>–</w:t>
      </w:r>
      <w:r>
        <w:rPr>
          <w:lang w:eastAsia="ja-JP"/>
        </w:rPr>
        <w:t>2</w:t>
      </w:r>
      <w:r w:rsidR="004C1846">
        <w:rPr>
          <w:lang w:eastAsia="ja-JP"/>
        </w:rPr>
        <w:t>1</w:t>
      </w:r>
      <w:r>
        <w:rPr>
          <w:lang w:eastAsia="ja-JP"/>
        </w:rPr>
        <w:t xml:space="preserve"> through to 2024</w:t>
      </w:r>
      <w:r w:rsidRPr="007E7F52">
        <w:t>–</w:t>
      </w:r>
      <w:r>
        <w:rPr>
          <w:lang w:eastAsia="ja-JP"/>
        </w:rPr>
        <w:t>25</w:t>
      </w:r>
      <w:r w:rsidR="008670C4">
        <w:rPr>
          <w:lang w:eastAsia="ja-JP"/>
        </w:rPr>
        <w:t xml:space="preserve">. </w:t>
      </w:r>
      <w:r w:rsidR="008670C4">
        <w:t>P</w:t>
      </w:r>
      <w:r w:rsidR="00B209E2">
        <w:t>rices for 2025</w:t>
      </w:r>
      <w:r w:rsidR="00EF4EC4" w:rsidRPr="007E7F52">
        <w:t>–</w:t>
      </w:r>
      <w:r w:rsidR="00B209E2">
        <w:t>26</w:t>
      </w:r>
      <w:r w:rsidR="00A7385A">
        <w:t xml:space="preserve"> will</w:t>
      </w:r>
      <w:r w:rsidR="00B209E2">
        <w:t xml:space="preserve"> remain the same as 2024</w:t>
      </w:r>
      <w:r w:rsidR="00EF4EC4" w:rsidRPr="007E7F52">
        <w:t>–</w:t>
      </w:r>
      <w:r w:rsidR="00B209E2">
        <w:t>25 prices</w:t>
      </w:r>
      <w:r w:rsidR="00A7385A">
        <w:t xml:space="preserve"> while a sustainable</w:t>
      </w:r>
      <w:r w:rsidR="0054629A">
        <w:t xml:space="preserve"> funding model is developed</w:t>
      </w:r>
      <w:r w:rsidR="00B209E2">
        <w:t>.</w:t>
      </w:r>
      <w:bookmarkEnd w:id="73"/>
    </w:p>
    <w:p w14:paraId="3FDAF6D5" w14:textId="24A824BA" w:rsidR="00110B33" w:rsidRDefault="00110B33" w:rsidP="00A964BA">
      <w:pPr>
        <w:rPr>
          <w:lang w:eastAsia="ja-JP"/>
        </w:rPr>
      </w:pPr>
      <w:r w:rsidRPr="00110B33">
        <w:rPr>
          <w:lang w:eastAsia="ja-JP"/>
        </w:rPr>
        <w:t>In recent years, the rate of change in Australia’s export trade landscape has accelerated. Our market access requirements are changing, and the global agricultural trade environment is becoming more complex. It has become clear that the modelling and assumptions used to form the prices in legislation</w:t>
      </w:r>
      <w:r w:rsidR="00AB50A7">
        <w:rPr>
          <w:lang w:eastAsia="ja-JP"/>
        </w:rPr>
        <w:t xml:space="preserve"> are</w:t>
      </w:r>
      <w:r w:rsidRPr="00110B33">
        <w:rPr>
          <w:lang w:eastAsia="ja-JP"/>
        </w:rPr>
        <w:t xml:space="preserve"> no longer fit for purpose given contemporary regulatory service and pressures.</w:t>
      </w:r>
    </w:p>
    <w:p w14:paraId="2F61805F" w14:textId="77777777" w:rsidR="00A964BA" w:rsidRDefault="00A964BA" w:rsidP="00A964BA">
      <w:pPr>
        <w:rPr>
          <w:lang w:eastAsia="ja-JP"/>
        </w:rPr>
      </w:pPr>
      <w:r>
        <w:rPr>
          <w:lang w:eastAsia="ja-JP"/>
        </w:rPr>
        <w:t>The department is acting on these issues in 2 ways.</w:t>
      </w:r>
    </w:p>
    <w:p w14:paraId="4A869574" w14:textId="24E3BBAB" w:rsidR="00A964BA" w:rsidRDefault="00A964BA" w:rsidP="005031DB">
      <w:pPr>
        <w:pStyle w:val="ListNumber"/>
        <w:numPr>
          <w:ilvl w:val="0"/>
          <w:numId w:val="21"/>
        </w:numPr>
      </w:pPr>
      <w:bookmarkStart w:id="74" w:name="_Hlk194056438"/>
      <w:r>
        <w:t xml:space="preserve">Regulatory pricing for </w:t>
      </w:r>
      <w:r w:rsidR="00B209E2">
        <w:t>2025</w:t>
      </w:r>
      <w:r w:rsidR="00EF4EC4" w:rsidRPr="007E7F52">
        <w:t>–</w:t>
      </w:r>
      <w:r w:rsidR="00B209E2">
        <w:t>26</w:t>
      </w:r>
      <w:r>
        <w:t xml:space="preserve"> will continue at the rates set out in legislation to give certainty to industry and maintain the prices that </w:t>
      </w:r>
      <w:r w:rsidR="00B209E2">
        <w:t xml:space="preserve">have </w:t>
      </w:r>
      <w:r>
        <w:t>previously been consulted on</w:t>
      </w:r>
      <w:r w:rsidR="00312F91">
        <w:t>, with government appropriation</w:t>
      </w:r>
      <w:r w:rsidR="00416DF3">
        <w:t xml:space="preserve"> supplementing arrangements </w:t>
      </w:r>
      <w:r w:rsidR="00DB0946">
        <w:t>over the same period.</w:t>
      </w:r>
    </w:p>
    <w:p w14:paraId="7FB6CA21" w14:textId="12189360" w:rsidR="00602D05" w:rsidRDefault="00702DCA" w:rsidP="000C6039">
      <w:pPr>
        <w:pStyle w:val="ListNumber"/>
        <w:numPr>
          <w:ilvl w:val="0"/>
          <w:numId w:val="21"/>
        </w:numPr>
      </w:pPr>
      <w:bookmarkStart w:id="75" w:name="_Hlk193179123"/>
      <w:bookmarkEnd w:id="74"/>
      <w:r w:rsidRPr="00723450">
        <w:t xml:space="preserve">Continuing the development of an ongoing sustainable funding </w:t>
      </w:r>
      <w:r w:rsidRPr="00702DCA">
        <w:t>model.</w:t>
      </w:r>
      <w:r w:rsidRPr="00723450">
        <w:t xml:space="preserve"> This will enable the department to remain appropriately and accurately resourced to carry out its export regulatory functions into the future.</w:t>
      </w:r>
      <w:bookmarkEnd w:id="75"/>
    </w:p>
    <w:p w14:paraId="7A5A14D9" w14:textId="3A101058" w:rsidR="00A964BA" w:rsidRPr="00877E07" w:rsidRDefault="00A964BA" w:rsidP="00A964BA">
      <w:r>
        <w:rPr>
          <w:lang w:eastAsia="ja-JP"/>
        </w:rPr>
        <w:t xml:space="preserve">Industry will be engaged, through the development of a sustainable model, to gain views and feedback on more modern ways of providing an efficient and sustainable model of cost recovery for </w:t>
      </w:r>
      <w:r w:rsidR="00DB7F9A">
        <w:rPr>
          <w:lang w:eastAsia="ja-JP"/>
        </w:rPr>
        <w:t xml:space="preserve">export </w:t>
      </w:r>
      <w:r>
        <w:rPr>
          <w:lang w:eastAsia="ja-JP"/>
        </w:rPr>
        <w:t>regulatory activities.</w:t>
      </w:r>
    </w:p>
    <w:p w14:paraId="6CDEB8EC" w14:textId="77777777" w:rsidR="00A964BA" w:rsidRPr="00C85C59" w:rsidRDefault="00A964BA" w:rsidP="00324495">
      <w:pPr>
        <w:pStyle w:val="Heading3"/>
      </w:pPr>
      <w:bookmarkStart w:id="76" w:name="_Description_of_the_1"/>
      <w:bookmarkStart w:id="77" w:name="_Description_of_the"/>
      <w:bookmarkStart w:id="78" w:name="_Toc128721836"/>
      <w:bookmarkStart w:id="79" w:name="_Toc170293376"/>
      <w:bookmarkStart w:id="80" w:name="_Toc193794424"/>
      <w:bookmarkStart w:id="81" w:name="_Toc198898879"/>
      <w:bookmarkEnd w:id="76"/>
      <w:bookmarkEnd w:id="77"/>
      <w:r w:rsidRPr="00DA370D">
        <w:t>Description</w:t>
      </w:r>
      <w:r w:rsidRPr="00C85C59">
        <w:t xml:space="preserve"> of the regulatory activity</w:t>
      </w:r>
      <w:bookmarkEnd w:id="78"/>
      <w:bookmarkEnd w:id="79"/>
      <w:bookmarkEnd w:id="80"/>
      <w:bookmarkEnd w:id="81"/>
    </w:p>
    <w:p w14:paraId="37692BBF" w14:textId="45BFC726" w:rsidR="00A964BA" w:rsidRPr="00D60E85" w:rsidRDefault="00A964BA" w:rsidP="00A964BA">
      <w:r>
        <w:t xml:space="preserve">Horticulture </w:t>
      </w:r>
      <w:r w:rsidRPr="005A657C">
        <w:t xml:space="preserve">exports are regulated in accordance with </w:t>
      </w:r>
      <w:r w:rsidRPr="00815525">
        <w:rPr>
          <w:rStyle w:val="Emphasis"/>
        </w:rPr>
        <w:t xml:space="preserve">Export Control Act </w:t>
      </w:r>
      <w:r>
        <w:rPr>
          <w:rStyle w:val="Emphasis"/>
        </w:rPr>
        <w:t>2020</w:t>
      </w:r>
      <w:r w:rsidRPr="005A657C">
        <w:t xml:space="preserve"> and associated </w:t>
      </w:r>
      <w:r w:rsidRPr="00D60E85">
        <w:t xml:space="preserve">legislative framework (see </w:t>
      </w:r>
      <w:hyperlink w:anchor="_Government_policy_approval" w:history="1">
        <w:r w:rsidRPr="00EB17A4">
          <w:rPr>
            <w:rStyle w:val="Hyperlink"/>
          </w:rPr>
          <w:t>section 1.3</w:t>
        </w:r>
      </w:hyperlink>
      <w:r w:rsidRPr="00D60E85">
        <w:t>).</w:t>
      </w:r>
    </w:p>
    <w:p w14:paraId="58C01B85" w14:textId="0F551437" w:rsidR="00A964BA" w:rsidRPr="007D5B37" w:rsidRDefault="00A964BA" w:rsidP="00A964BA">
      <w:r w:rsidRPr="000A34E0">
        <w:t>Plant export certification activity undertaken by the department involves</w:t>
      </w:r>
      <w:r w:rsidRPr="007D5B37">
        <w:t xml:space="preserve"> </w:t>
      </w:r>
      <w:r w:rsidR="00F84EE7">
        <w:t xml:space="preserve">registration, </w:t>
      </w:r>
      <w:r w:rsidRPr="007D5B37">
        <w:t xml:space="preserve">inspection, audit and certification activities with respect to the export of </w:t>
      </w:r>
      <w:r w:rsidR="005B3D24">
        <w:t>plants and plant</w:t>
      </w:r>
      <w:r w:rsidRPr="007D5B37">
        <w:t xml:space="preserve"> products. </w:t>
      </w:r>
      <w:r w:rsidR="005B3D24">
        <w:t>Plants and plant</w:t>
      </w:r>
      <w:r w:rsidRPr="007D5B37">
        <w:t xml:space="preserve"> products specified in the legislation are:</w:t>
      </w:r>
    </w:p>
    <w:p w14:paraId="5CECB50D" w14:textId="77777777" w:rsidR="00A964BA" w:rsidRPr="009F70E9" w:rsidRDefault="00A964BA" w:rsidP="00A964BA">
      <w:pPr>
        <w:pStyle w:val="ListBullet"/>
      </w:pPr>
      <w:r w:rsidRPr="009F70E9">
        <w:t>prescribed grain</w:t>
      </w:r>
    </w:p>
    <w:p w14:paraId="7FEA9799" w14:textId="77777777" w:rsidR="00A964BA" w:rsidRPr="009F70E9" w:rsidRDefault="00A964BA" w:rsidP="00A964BA">
      <w:pPr>
        <w:pStyle w:val="ListBullet"/>
      </w:pPr>
      <w:r w:rsidRPr="009F70E9">
        <w:t>prescribed hay and straw</w:t>
      </w:r>
    </w:p>
    <w:p w14:paraId="65C6CDA7" w14:textId="77777777" w:rsidR="00A964BA" w:rsidRPr="009F70E9" w:rsidRDefault="00A964BA" w:rsidP="00A964BA">
      <w:pPr>
        <w:pStyle w:val="ListBullet"/>
      </w:pPr>
      <w:r w:rsidRPr="009F70E9">
        <w:t>fresh fruit</w:t>
      </w:r>
    </w:p>
    <w:p w14:paraId="16CC704A" w14:textId="77777777" w:rsidR="00A964BA" w:rsidRPr="009F70E9" w:rsidRDefault="00A964BA" w:rsidP="00A964BA">
      <w:pPr>
        <w:pStyle w:val="ListBullet"/>
      </w:pPr>
      <w:r w:rsidRPr="009F70E9">
        <w:t>fresh vegetables</w:t>
      </w:r>
    </w:p>
    <w:p w14:paraId="3BFC7A95" w14:textId="6B48B5E8" w:rsidR="00A964BA" w:rsidRPr="009F70E9" w:rsidRDefault="00A964BA" w:rsidP="00A964BA">
      <w:pPr>
        <w:pStyle w:val="ListBullet"/>
      </w:pPr>
      <w:r w:rsidRPr="009F70E9">
        <w:lastRenderedPageBreak/>
        <w:t>other plants or plant products for which a phytosanitary certificate or any other official certificate is required by an importing country authority (</w:t>
      </w:r>
      <w:r>
        <w:t>e.g.</w:t>
      </w:r>
      <w:r w:rsidRPr="009F70E9">
        <w:t xml:space="preserve"> timber products, nuts, nursery stock, tissue cultures, cotton and other grains and </w:t>
      </w:r>
      <w:r w:rsidR="00BB1A63">
        <w:t>plant products</w:t>
      </w:r>
      <w:r w:rsidRPr="009F70E9">
        <w:t>).</w:t>
      </w:r>
    </w:p>
    <w:p w14:paraId="5FF78CB4" w14:textId="2D3DD843" w:rsidR="00A964BA" w:rsidRDefault="00A964BA" w:rsidP="00A964BA">
      <w:r>
        <w:t xml:space="preserve">The grain and </w:t>
      </w:r>
      <w:r w:rsidR="00BB1A63">
        <w:t xml:space="preserve">plant products and </w:t>
      </w:r>
      <w:r>
        <w:t>horticulture exports cost recovery arrangements are separate. Our Plant Export</w:t>
      </w:r>
      <w:r w:rsidR="0017351A">
        <w:t>s</w:t>
      </w:r>
      <w:r>
        <w:t xml:space="preserve"> branch undertakes export certification activities under both cost recovery arrangements.</w:t>
      </w:r>
    </w:p>
    <w:p w14:paraId="36DDC8C8" w14:textId="77777777" w:rsidR="00A964BA" w:rsidRPr="007327CB" w:rsidRDefault="00A964BA" w:rsidP="00A964BA">
      <w:r w:rsidRPr="007327CB">
        <w:t>Exporters of plants and plant products must obtain an export permit prior to the departure of prescribed goods from Australia. Overseas government authorities may require additional certification to verify that the exported products comply with their respective import conditions. To certify a product’s compliance with Australia’s export requirements and importing country requirements, the department undertakes a range of activities, including:</w:t>
      </w:r>
    </w:p>
    <w:p w14:paraId="756C7001" w14:textId="77777777" w:rsidR="00A964BA" w:rsidRPr="009972B4" w:rsidRDefault="00A964BA" w:rsidP="00A964BA">
      <w:pPr>
        <w:pStyle w:val="ListBullet"/>
      </w:pPr>
      <w:r w:rsidRPr="009972B4">
        <w:t>developing, implementing and monitoring of operational policy and systems that ensure compliance with Australian export controls and any importing country requirements. These activities serve to maintain the eligibility of commodities for export from Australia and to protect and promote Australia’s reputation for premium agricultural goods, while maintaining existing and seeking increased market access opportunities</w:t>
      </w:r>
    </w:p>
    <w:p w14:paraId="5C11BDEA" w14:textId="1926A6A4" w:rsidR="00A964BA" w:rsidRPr="009972B4" w:rsidRDefault="00A964BA" w:rsidP="00A964BA">
      <w:pPr>
        <w:pStyle w:val="ListBullet"/>
      </w:pPr>
      <w:r w:rsidRPr="009972B4">
        <w:t>providing</w:t>
      </w:r>
      <w:r w:rsidR="00F84EE7">
        <w:t xml:space="preserve"> registration,</w:t>
      </w:r>
      <w:r w:rsidRPr="009972B4">
        <w:t xml:space="preserve"> inspection, auditing, and enforcement activities to ensure that the production, storage, handling and transportation of </w:t>
      </w:r>
      <w:r w:rsidR="001F5F59">
        <w:t>plants and plant</w:t>
      </w:r>
      <w:r w:rsidRPr="009972B4">
        <w:t xml:space="preserve"> products intended for export comply with the conditions of Australian export controls and any additional requirements imposed by an importing country</w:t>
      </w:r>
    </w:p>
    <w:p w14:paraId="2FAF950C" w14:textId="77777777" w:rsidR="00A964BA" w:rsidRPr="009972B4" w:rsidRDefault="00A964BA" w:rsidP="00A964BA">
      <w:pPr>
        <w:pStyle w:val="ListBullet"/>
      </w:pPr>
      <w:r>
        <w:t>a</w:t>
      </w:r>
      <w:r w:rsidRPr="009972B4">
        <w:t>ppoint</w:t>
      </w:r>
      <w:r>
        <w:t>ing</w:t>
      </w:r>
      <w:r w:rsidRPr="009972B4">
        <w:t xml:space="preserve"> and manag</w:t>
      </w:r>
      <w:r>
        <w:t>e</w:t>
      </w:r>
      <w:r w:rsidRPr="009972B4">
        <w:t xml:space="preserve"> plant export authorised officers, through the development, maintenance and delivery of authorised officer training and assessment, and ongoing infield support</w:t>
      </w:r>
    </w:p>
    <w:p w14:paraId="7DF5BB6E" w14:textId="77777777" w:rsidR="00A964BA" w:rsidRPr="009972B4" w:rsidRDefault="00A964BA" w:rsidP="00A964BA">
      <w:pPr>
        <w:pStyle w:val="ListBullet"/>
      </w:pPr>
      <w:r w:rsidRPr="009972B4">
        <w:t>issuing permits, phytosanitary certification, and other documentation necessary to confirm compliance with Australian export controls and any additional importing country requirements</w:t>
      </w:r>
    </w:p>
    <w:p w14:paraId="57247581" w14:textId="77777777" w:rsidR="00A964BA" w:rsidRPr="009972B4" w:rsidRDefault="00A964BA" w:rsidP="00A964BA">
      <w:pPr>
        <w:pStyle w:val="ListBullet"/>
      </w:pPr>
      <w:r w:rsidRPr="009972B4">
        <w:t>providing support through the department’s overseas counsellors relating to detained consignments, government certification and other issues that result in goods being held at the border</w:t>
      </w:r>
    </w:p>
    <w:p w14:paraId="2CBCAA29" w14:textId="77777777" w:rsidR="00A964BA" w:rsidRPr="009972B4" w:rsidRDefault="00A964BA" w:rsidP="00A964BA">
      <w:pPr>
        <w:pStyle w:val="ListBullet"/>
      </w:pPr>
      <w:r w:rsidRPr="009972B4">
        <w:t>providing scientific and technical advice to improve, maintain or restore market access to demonstrate adherence to export requirements</w:t>
      </w:r>
    </w:p>
    <w:p w14:paraId="50641CBD" w14:textId="77777777" w:rsidR="00D038CF" w:rsidRDefault="00A964BA" w:rsidP="004A4547">
      <w:pPr>
        <w:pStyle w:val="ListBullet"/>
      </w:pPr>
      <w:r w:rsidRPr="009972B4">
        <w:t>enforcing regulation of certified organic goods exported from Australia.</w:t>
      </w:r>
    </w:p>
    <w:p w14:paraId="54946F4D" w14:textId="0CAE9910" w:rsidR="000F450D" w:rsidRPr="000F450D" w:rsidRDefault="000F450D" w:rsidP="000F450D">
      <w:pPr>
        <w:pStyle w:val="ListBullet"/>
        <w:numPr>
          <w:ilvl w:val="0"/>
          <w:numId w:val="0"/>
        </w:numPr>
        <w:rPr>
          <w:rFonts w:ascii="Calibri" w:eastAsia="Calibri" w:hAnsi="Calibri" w:cs="Times New Roman"/>
        </w:rPr>
      </w:pPr>
      <w:r w:rsidRPr="00674CF4">
        <w:t>The</w:t>
      </w:r>
      <w:r>
        <w:t xml:space="preserve"> broad range of services are described in the </w:t>
      </w:r>
      <w:hyperlink w:anchor="_Description_of_cost" w:history="1">
        <w:r w:rsidRPr="002E0938">
          <w:rPr>
            <w:rStyle w:val="Hyperlink"/>
          </w:rPr>
          <w:t>description of cost model activities</w:t>
        </w:r>
      </w:hyperlink>
      <w:r w:rsidRPr="000A09BB">
        <w:t xml:space="preserve"> </w:t>
      </w:r>
      <w:r>
        <w:t xml:space="preserve">using the </w:t>
      </w:r>
      <w:r w:rsidRPr="00674CF4">
        <w:t>categories in the department</w:t>
      </w:r>
      <w:r>
        <w:t>’</w:t>
      </w:r>
      <w:r w:rsidRPr="00674CF4">
        <w:t xml:space="preserve">s cost model </w:t>
      </w:r>
      <w:r w:rsidRPr="000F450D">
        <w:t>activity framework (</w:t>
      </w:r>
      <w:hyperlink w:anchor="_Appendix_B:_Cost" w:history="1">
        <w:r w:rsidRPr="000F450D">
          <w:rPr>
            <w:rStyle w:val="Hyperlink"/>
          </w:rPr>
          <w:t>Appendix B</w:t>
        </w:r>
      </w:hyperlink>
      <w:r w:rsidRPr="000F450D">
        <w:t>).</w:t>
      </w:r>
    </w:p>
    <w:p w14:paraId="6C6E1B1C" w14:textId="586923EF" w:rsidR="00A964BA" w:rsidRPr="0062500B" w:rsidRDefault="00A964BA" w:rsidP="000F450D">
      <w:pPr>
        <w:pStyle w:val="ListBullet"/>
        <w:numPr>
          <w:ilvl w:val="0"/>
          <w:numId w:val="0"/>
        </w:numPr>
      </w:pPr>
      <w:r>
        <w:t>Learn more about</w:t>
      </w:r>
      <w:r w:rsidRPr="00F87B38">
        <w:t xml:space="preserve"> </w:t>
      </w:r>
      <w:hyperlink r:id="rId25" w:history="1">
        <w:r w:rsidRPr="00EB17A4">
          <w:rPr>
            <w:rStyle w:val="Hyperlink"/>
          </w:rPr>
          <w:t>Export goods controlled by the department</w:t>
        </w:r>
      </w:hyperlink>
      <w:r w:rsidRPr="00F87B38">
        <w:t>.</w:t>
      </w:r>
    </w:p>
    <w:p w14:paraId="5A0E1E2F" w14:textId="77777777" w:rsidR="00C85C59" w:rsidRPr="00C85C59" w:rsidRDefault="00C85C59" w:rsidP="00324495">
      <w:pPr>
        <w:pStyle w:val="Heading3"/>
      </w:pPr>
      <w:bookmarkStart w:id="82" w:name="_Toc170293377"/>
      <w:bookmarkStart w:id="83" w:name="_Toc193794425"/>
      <w:bookmarkStart w:id="84" w:name="_Toc198898880"/>
      <w:r w:rsidRPr="00C85C59">
        <w:t xml:space="preserve">Cost </w:t>
      </w:r>
      <w:r w:rsidRPr="00DA370D">
        <w:t>base</w:t>
      </w:r>
      <w:r w:rsidRPr="00C85C59">
        <w:t xml:space="preserve"> assumptions</w:t>
      </w:r>
      <w:bookmarkEnd w:id="82"/>
      <w:bookmarkEnd w:id="83"/>
      <w:bookmarkEnd w:id="84"/>
    </w:p>
    <w:p w14:paraId="6AA8C465" w14:textId="77777777" w:rsidR="00C85C59" w:rsidRPr="00CB2797" w:rsidRDefault="00C85C59" w:rsidP="00C85C59">
      <w:pPr>
        <w:rPr>
          <w:lang w:eastAsia="ja-JP"/>
        </w:rPr>
      </w:pPr>
      <w:r w:rsidRPr="00CB2797">
        <w:rPr>
          <w:lang w:eastAsia="ja-JP"/>
        </w:rPr>
        <w:t xml:space="preserve">The greater part of </w:t>
      </w:r>
      <w:r>
        <w:rPr>
          <w:lang w:eastAsia="ja-JP"/>
        </w:rPr>
        <w:t>the department’s</w:t>
      </w:r>
      <w:r w:rsidRPr="00CB2797">
        <w:rPr>
          <w:lang w:eastAsia="ja-JP"/>
        </w:rPr>
        <w:t xml:space="preserve"> regulatory activity cost is employee related. External suppliers and operating support for our export IT systems makes up other major direct costs. The key cost driver for permit and assessment-based activities is complexity, which determines the amount of time and effort spent on a regulatory output.</w:t>
      </w:r>
    </w:p>
    <w:p w14:paraId="678346EF" w14:textId="77777777" w:rsidR="00C85C59" w:rsidRPr="00CB2797" w:rsidRDefault="00C85C59" w:rsidP="00C85C59">
      <w:pPr>
        <w:rPr>
          <w:lang w:eastAsia="ja-JP"/>
        </w:rPr>
      </w:pPr>
      <w:r w:rsidRPr="00CB2797">
        <w:rPr>
          <w:lang w:eastAsia="ja-JP"/>
        </w:rPr>
        <w:lastRenderedPageBreak/>
        <w:t xml:space="preserve">The cost base was modelled to reflect the full costs to </w:t>
      </w:r>
      <w:r w:rsidRPr="00CB2797">
        <w:t>deliver regulatory services to support the horticulture industry</w:t>
      </w:r>
      <w:r w:rsidRPr="00CB2797">
        <w:rPr>
          <w:lang w:eastAsia="ja-JP"/>
        </w:rPr>
        <w:t>. The 2021–22 CRIS model was used as the starting point for determining the cost base applied in this CRIS and advised to industry in previous versions of this document. Assumptions made in the modelling were:</w:t>
      </w:r>
    </w:p>
    <w:p w14:paraId="32451C69" w14:textId="77777777" w:rsidR="00C85C59" w:rsidRPr="009972B4" w:rsidRDefault="00C85C59" w:rsidP="00C85C59">
      <w:pPr>
        <w:pStyle w:val="ListBullet"/>
      </w:pPr>
      <w:r w:rsidRPr="009972B4">
        <w:t>inflation of 1.</w:t>
      </w:r>
      <w:r>
        <w:t>7</w:t>
      </w:r>
      <w:r w:rsidRPr="009972B4">
        <w:t>% per annum, in line with the Department of Finance’s inflation estimate</w:t>
      </w:r>
    </w:p>
    <w:p w14:paraId="205FBCF7" w14:textId="77777777" w:rsidR="00C85C59" w:rsidRPr="009972B4" w:rsidRDefault="00C85C59" w:rsidP="00C85C59">
      <w:pPr>
        <w:pStyle w:val="ListBullet"/>
      </w:pPr>
      <w:r w:rsidRPr="009972B4">
        <w:t xml:space="preserve">A decreased wage price index (WPI) applied to employee expenses from 2.0% to 1.7% per annum, reflecting reasonable estimates of wage increments in line with the </w:t>
      </w:r>
      <w:r w:rsidRPr="001006FE">
        <w:rPr>
          <w:rStyle w:val="Emphasis"/>
        </w:rPr>
        <w:t>Australian Public Service Workplace Bargaining Policy 2020</w:t>
      </w:r>
    </w:p>
    <w:p w14:paraId="13E11AE3" w14:textId="77777777" w:rsidR="00C85C59" w:rsidRPr="009972B4" w:rsidRDefault="00C85C59" w:rsidP="00C85C59">
      <w:pPr>
        <w:pStyle w:val="ListBullet"/>
      </w:pPr>
      <w:r w:rsidRPr="009972B4">
        <w:t>additional depreciation from new assets anticipated to be recognised over the period</w:t>
      </w:r>
    </w:p>
    <w:p w14:paraId="3DD1310F" w14:textId="77777777" w:rsidR="00C85C59" w:rsidRPr="009972B4" w:rsidRDefault="00C85C59" w:rsidP="00C85C59">
      <w:pPr>
        <w:pStyle w:val="ListBullet"/>
      </w:pPr>
      <w:r w:rsidRPr="009972B4">
        <w:t>adjustments for future fee-related activities to reflect expected changes in volume.</w:t>
      </w:r>
    </w:p>
    <w:p w14:paraId="1D53E7F0" w14:textId="7E420356" w:rsidR="00C85C59" w:rsidRDefault="00C85C59" w:rsidP="00C85C59">
      <w:pPr>
        <w:rPr>
          <w:lang w:eastAsia="ja-JP"/>
        </w:rPr>
      </w:pPr>
      <w:r>
        <w:rPr>
          <w:lang w:eastAsia="ja-JP"/>
        </w:rPr>
        <w:t>As described earlier, the rate of change in Australia’s export trade landscape has accelerated. Our market access requirements are changing, and the global agricultural trade environment is becoming more complex. The assumptions underlying the 2021</w:t>
      </w:r>
      <w:r w:rsidRPr="007E7F52">
        <w:t>–</w:t>
      </w:r>
      <w:r>
        <w:rPr>
          <w:lang w:eastAsia="ja-JP"/>
        </w:rPr>
        <w:t xml:space="preserve">22 cost base increases are no longer </w:t>
      </w:r>
      <w:r w:rsidR="00176121">
        <w:rPr>
          <w:lang w:eastAsia="ja-JP"/>
        </w:rPr>
        <w:t>accurate</w:t>
      </w:r>
      <w:r>
        <w:rPr>
          <w:lang w:eastAsia="ja-JP"/>
        </w:rPr>
        <w:t xml:space="preserve"> and extensive work is required to reset </w:t>
      </w:r>
      <w:r w:rsidR="00513DA1">
        <w:rPr>
          <w:lang w:eastAsia="ja-JP"/>
        </w:rPr>
        <w:t xml:space="preserve">all </w:t>
      </w:r>
      <w:r>
        <w:rPr>
          <w:lang w:eastAsia="ja-JP"/>
        </w:rPr>
        <w:t xml:space="preserve">cost recovery </w:t>
      </w:r>
      <w:r w:rsidRPr="00302C2D">
        <w:rPr>
          <w:lang w:eastAsia="ja-JP"/>
        </w:rPr>
        <w:t>arrangement</w:t>
      </w:r>
      <w:r w:rsidR="00F84EE7">
        <w:rPr>
          <w:lang w:eastAsia="ja-JP"/>
        </w:rPr>
        <w:t>s for export regulatory services, including</w:t>
      </w:r>
      <w:r w:rsidRPr="00302C2D">
        <w:rPr>
          <w:lang w:eastAsia="ja-JP"/>
        </w:rPr>
        <w:t xml:space="preserve"> for </w:t>
      </w:r>
      <w:r>
        <w:rPr>
          <w:lang w:eastAsia="ja-JP"/>
        </w:rPr>
        <w:t>horticulture exports.</w:t>
      </w:r>
    </w:p>
    <w:p w14:paraId="108ADCE6" w14:textId="46B599AA" w:rsidR="003E1446" w:rsidRDefault="003E1446" w:rsidP="003E1446">
      <w:pPr>
        <w:rPr>
          <w:lang w:eastAsia="ja-JP"/>
        </w:rPr>
      </w:pPr>
      <w:bookmarkStart w:id="85" w:name="_Toc170293378"/>
      <w:r>
        <w:rPr>
          <w:lang w:eastAsia="ja-JP"/>
        </w:rPr>
        <w:t xml:space="preserve">Following the </w:t>
      </w:r>
      <w:r w:rsidR="000F503B">
        <w:rPr>
          <w:lang w:eastAsia="ja-JP"/>
        </w:rPr>
        <w:t>work being undertaken by the Trade Strategy Taskforce (the Taskforce)</w:t>
      </w:r>
      <w:r>
        <w:rPr>
          <w:lang w:eastAsia="ja-JP"/>
        </w:rPr>
        <w:t xml:space="preserve"> the department will continue to undertake annual reviews to evaluate regulatory effort, costs, and the charges based on those costs, to ensure pricing remains consistent with costs and sustainable to maintain regulatory activities.</w:t>
      </w:r>
    </w:p>
    <w:p w14:paraId="3BFEB4AD" w14:textId="473B4B5D" w:rsidR="00C85C59" w:rsidRDefault="00E759EF" w:rsidP="00324495">
      <w:pPr>
        <w:pStyle w:val="Heading3"/>
      </w:pPr>
      <w:bookmarkStart w:id="86" w:name="_Toc193794426"/>
      <w:bookmarkStart w:id="87" w:name="_Toc198898881"/>
      <w:r>
        <w:t xml:space="preserve">Modelled </w:t>
      </w:r>
      <w:r w:rsidR="00C85C59" w:rsidRPr="00DA370D">
        <w:t>cost</w:t>
      </w:r>
      <w:r w:rsidR="00C85C59" w:rsidRPr="00C85C59">
        <w:t xml:space="preserve"> base</w:t>
      </w:r>
      <w:bookmarkEnd w:id="85"/>
      <w:bookmarkEnd w:id="86"/>
      <w:bookmarkEnd w:id="87"/>
    </w:p>
    <w:p w14:paraId="37937796" w14:textId="1BD7A1A0" w:rsidR="00483B6D" w:rsidRDefault="00CC345A" w:rsidP="00CC345A">
      <w:pPr>
        <w:pStyle w:val="ListParagraph"/>
        <w:ind w:left="0"/>
      </w:pPr>
      <w:r>
        <w:t xml:space="preserve">The cost base used modelling from 2020 to establish current pricing as represented in tables </w:t>
      </w:r>
      <w:r w:rsidR="00A60505">
        <w:t>3</w:t>
      </w:r>
      <w:r>
        <w:t xml:space="preserve">, </w:t>
      </w:r>
      <w:r w:rsidR="00A60505">
        <w:t>4</w:t>
      </w:r>
      <w:r>
        <w:t xml:space="preserve"> and </w:t>
      </w:r>
      <w:r w:rsidR="00A60505">
        <w:t>5</w:t>
      </w:r>
      <w:r>
        <w:t>. This is in contrast to the tables reflecting our financial performance which uses current budgets and forecasts.</w:t>
      </w:r>
    </w:p>
    <w:p w14:paraId="79771E79" w14:textId="77777777" w:rsidR="00CC345A" w:rsidRPr="00483B6D" w:rsidRDefault="00CC345A" w:rsidP="00CC345A">
      <w:pPr>
        <w:pStyle w:val="ListParagraph"/>
        <w:ind w:left="0"/>
      </w:pPr>
    </w:p>
    <w:p w14:paraId="356630FB" w14:textId="4FF17E08" w:rsidR="00C85C59" w:rsidRDefault="00C85C59" w:rsidP="00C85C59">
      <w:r>
        <w:t xml:space="preserve">The department allocates employee, supplier, system and corporate costs to each type of regulatory activity (see </w:t>
      </w:r>
      <w:hyperlink w:anchor="_Appendix_B:_Cost" w:history="1">
        <w:r w:rsidRPr="00FD2FA6">
          <w:rPr>
            <w:rStyle w:val="Hyperlink"/>
          </w:rPr>
          <w:t>Appendix B</w:t>
        </w:r>
      </w:hyperlink>
      <w:r w:rsidRPr="00F8765B">
        <w:t>)</w:t>
      </w:r>
      <w:r w:rsidRPr="00D702F5">
        <w:t>.</w:t>
      </w:r>
    </w:p>
    <w:p w14:paraId="2C71E8BF" w14:textId="77777777" w:rsidR="00C85C59" w:rsidRPr="004976BA" w:rsidRDefault="00C85C59" w:rsidP="00324495">
      <w:pPr>
        <w:pStyle w:val="Heading4"/>
        <w:numPr>
          <w:ilvl w:val="0"/>
          <w:numId w:val="0"/>
        </w:numPr>
        <w:ind w:left="964" w:hanging="964"/>
      </w:pPr>
      <w:r w:rsidRPr="004976BA">
        <w:t>Direct costs</w:t>
      </w:r>
    </w:p>
    <w:p w14:paraId="28FABFE1" w14:textId="77777777" w:rsidR="00C85C59" w:rsidRDefault="00C85C59" w:rsidP="00C85C59">
      <w:r>
        <w:t xml:space="preserve">Direct costs are primarily the costs of employees who provide regulatory activities. In addition to the costs of employees, it also includes supplier cost such as direct capital expenses. Direct costs are allocated to the regulatory </w:t>
      </w:r>
      <w:r w:rsidRPr="002A42E1">
        <w:t>activity that best reflects the activity undertaken</w:t>
      </w:r>
      <w:r>
        <w:t>.</w:t>
      </w:r>
    </w:p>
    <w:p w14:paraId="7CCA2408" w14:textId="77777777" w:rsidR="008D2B2C" w:rsidRPr="00332937" w:rsidRDefault="008D2B2C" w:rsidP="008D2B2C">
      <w:pPr>
        <w:pStyle w:val="Heading4"/>
        <w:rPr>
          <w:sz w:val="28"/>
          <w:szCs w:val="22"/>
          <w:lang w:eastAsia="ja-JP"/>
        </w:rPr>
      </w:pPr>
      <w:r w:rsidRPr="00332937">
        <w:rPr>
          <w:sz w:val="28"/>
          <w:szCs w:val="22"/>
          <w:lang w:eastAsia="ja-JP"/>
        </w:rPr>
        <w:t>Direct costs</w:t>
      </w:r>
    </w:p>
    <w:p w14:paraId="71D5387F" w14:textId="77777777" w:rsidR="008D2B2C" w:rsidRDefault="008D2B2C" w:rsidP="008D2B2C">
      <w:pPr>
        <w:rPr>
          <w:rFonts w:ascii="Calibri" w:eastAsia="Calibri" w:hAnsi="Calibri" w:cs="Times New Roman"/>
        </w:rPr>
      </w:pPr>
      <w:r w:rsidRPr="008706A8">
        <w:rPr>
          <w:rFonts w:ascii="Calibri" w:eastAsia="Calibri" w:hAnsi="Calibri" w:cs="Times New Roman"/>
        </w:rPr>
        <w:t>Direct costs are primarily the costs of employees who provide regulatory activities. In addition to the costs of employees, it also includes supplier cost such as direct capital expenses. Direct costs are allocated to the regulatory activity that best reflects the activity undertaken.</w:t>
      </w:r>
    </w:p>
    <w:p w14:paraId="1BE54811" w14:textId="5AA59817" w:rsidR="008D2B2C" w:rsidRPr="008D2B2C" w:rsidRDefault="00F65243" w:rsidP="008D2B2C">
      <w:pPr>
        <w:rPr>
          <w:rFonts w:ascii="Calibri" w:eastAsia="Calibri" w:hAnsi="Calibri" w:cs="Times New Roman"/>
        </w:rPr>
      </w:pPr>
      <w:r>
        <w:rPr>
          <w:rFonts w:ascii="Calibri" w:eastAsia="Calibri" w:hAnsi="Calibri" w:cs="Times New Roman"/>
        </w:rPr>
        <w:fldChar w:fldCharType="begin"/>
      </w:r>
      <w:r>
        <w:rPr>
          <w:rFonts w:ascii="Calibri" w:eastAsia="Calibri" w:hAnsi="Calibri" w:cs="Times New Roman"/>
        </w:rPr>
        <w:instrText xml:space="preserve"> REF _Ref198899193 \h </w:instrText>
      </w:r>
      <w:r>
        <w:rPr>
          <w:rFonts w:ascii="Calibri" w:eastAsia="Calibri" w:hAnsi="Calibri" w:cs="Times New Roman"/>
        </w:rPr>
      </w:r>
      <w:r>
        <w:rPr>
          <w:rFonts w:ascii="Calibri" w:eastAsia="Calibri" w:hAnsi="Calibri" w:cs="Times New Roman"/>
        </w:rPr>
        <w:fldChar w:fldCharType="separate"/>
      </w:r>
      <w:r w:rsidR="0001784A">
        <w:t xml:space="preserve">Figure </w:t>
      </w:r>
      <w:r w:rsidR="0001784A">
        <w:rPr>
          <w:noProof/>
        </w:rPr>
        <w:t>2</w:t>
      </w:r>
      <w:r>
        <w:rPr>
          <w:rFonts w:ascii="Calibri" w:eastAsia="Calibri" w:hAnsi="Calibri" w:cs="Times New Roman"/>
        </w:rPr>
        <w:fldChar w:fldCharType="end"/>
      </w:r>
      <w:r>
        <w:rPr>
          <w:rFonts w:ascii="Calibri" w:eastAsia="Calibri" w:hAnsi="Calibri" w:cs="Times New Roman"/>
        </w:rPr>
        <w:t xml:space="preserve"> </w:t>
      </w:r>
      <w:r w:rsidR="008D2B2C" w:rsidRPr="008D2B2C">
        <w:rPr>
          <w:rFonts w:ascii="Calibri" w:eastAsia="Calibri" w:hAnsi="Calibri" w:cs="Times New Roman"/>
        </w:rPr>
        <w:t>provides an example of the connection between the activity of intervention and output of export documentation for an exported good</w:t>
      </w:r>
    </w:p>
    <w:p w14:paraId="460A6541" w14:textId="4D988AA9" w:rsidR="008D2B2C" w:rsidRPr="008D2B2C" w:rsidRDefault="00F65243" w:rsidP="00F65243">
      <w:pPr>
        <w:pStyle w:val="Caption"/>
        <w:rPr>
          <w:rFonts w:eastAsia="Calibri" w:cs="Times New Roman"/>
          <w:b w:val="0"/>
          <w:bCs w:val="0"/>
        </w:rPr>
      </w:pPr>
      <w:bookmarkStart w:id="88" w:name="_Ref198899193"/>
      <w:bookmarkStart w:id="89" w:name="_Toc198899210"/>
      <w:r>
        <w:lastRenderedPageBreak/>
        <w:t xml:space="preserve">Figure </w:t>
      </w:r>
      <w:r>
        <w:fldChar w:fldCharType="begin"/>
      </w:r>
      <w:r>
        <w:instrText xml:space="preserve"> SEQ Figure \* ARABIC </w:instrText>
      </w:r>
      <w:r>
        <w:fldChar w:fldCharType="separate"/>
      </w:r>
      <w:r w:rsidR="0001784A">
        <w:rPr>
          <w:noProof/>
        </w:rPr>
        <w:t>2</w:t>
      </w:r>
      <w:r>
        <w:fldChar w:fldCharType="end"/>
      </w:r>
      <w:bookmarkEnd w:id="88"/>
      <w:r>
        <w:t xml:space="preserve"> </w:t>
      </w:r>
      <w:r w:rsidR="008D2B2C" w:rsidRPr="008D2B2C">
        <w:rPr>
          <w:rFonts w:eastAsia="Calibri" w:cs="Times New Roman"/>
        </w:rPr>
        <w:t>Example the process a regulated entity would experience for an intervention activity.</w:t>
      </w:r>
      <w:bookmarkEnd w:id="89"/>
    </w:p>
    <w:p w14:paraId="0E4EF1EC" w14:textId="487315D5" w:rsidR="008D2B2C" w:rsidRPr="00652C4C" w:rsidRDefault="008D2B2C" w:rsidP="00C85C59">
      <w:pPr>
        <w:rPr>
          <w:rFonts w:ascii="Calibri" w:eastAsia="Calibri" w:hAnsi="Calibri" w:cs="Times New Roman"/>
          <w:b/>
          <w:bCs/>
        </w:rPr>
      </w:pPr>
      <w:bookmarkStart w:id="90" w:name="Figure_2"/>
      <w:r w:rsidRPr="00A67EB6">
        <w:rPr>
          <w:noProof/>
        </w:rPr>
        <w:drawing>
          <wp:inline distT="0" distB="0" distL="0" distR="0" wp14:anchorId="5251FD7E" wp14:editId="423C900B">
            <wp:extent cx="5759450" cy="2466340"/>
            <wp:effectExtent l="0" t="0" r="0" b="0"/>
            <wp:docPr id="2115066772" name="Picture 1" descr="Figure 2 shows the process of what a regulated entity would experience when applying for an Export Document. First column shows the Activity is Intervention. Followed by the second column showing the output is an Export Documentation being issued. The following three columns show processes, with the first being ‘exporter submits and application. Application is received by the department. Second process being ‘Officer undertakes assessment of application. Assessment of the application provided by the department. And lastly ‘Application Outcome. Application is approved and documentation issued or application is deni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66772" name="Picture 1" descr="Figure 2 shows the process of what a regulated entity would experience when applying for an Export Document. First column shows the Activity is Intervention. Followed by the second column showing the output is an Export Documentation being issued. The following three columns show processes, with the first being ‘exporter submits and application. Application is received by the department. Second process being ‘Officer undertakes assessment of application. Assessment of the application provided by the department. And lastly ‘Application Outcome. Application is approved and documentation issued or application is denied.">
                      <a:extLst>
                        <a:ext uri="{C183D7F6-B498-43B3-948B-1728B52AA6E4}">
                          <adec:decorative xmlns:adec="http://schemas.microsoft.com/office/drawing/2017/decorative" val="0"/>
                        </a:ext>
                      </a:extLst>
                    </pic:cNvPr>
                    <pic:cNvPicPr/>
                  </pic:nvPicPr>
                  <pic:blipFill>
                    <a:blip r:embed="rId26"/>
                    <a:stretch>
                      <a:fillRect/>
                    </a:stretch>
                  </pic:blipFill>
                  <pic:spPr>
                    <a:xfrm>
                      <a:off x="0" y="0"/>
                      <a:ext cx="5759450" cy="2466340"/>
                    </a:xfrm>
                    <a:prstGeom prst="rect">
                      <a:avLst/>
                    </a:prstGeom>
                  </pic:spPr>
                </pic:pic>
              </a:graphicData>
            </a:graphic>
          </wp:inline>
        </w:drawing>
      </w:r>
      <w:bookmarkEnd w:id="90"/>
    </w:p>
    <w:p w14:paraId="369FE212" w14:textId="77777777" w:rsidR="00C85C59" w:rsidRPr="004976BA" w:rsidRDefault="00C85C59" w:rsidP="00324495">
      <w:pPr>
        <w:pStyle w:val="Heading4"/>
        <w:numPr>
          <w:ilvl w:val="0"/>
          <w:numId w:val="0"/>
        </w:numPr>
        <w:ind w:left="964" w:hanging="964"/>
      </w:pPr>
      <w:r w:rsidRPr="004976BA">
        <w:t xml:space="preserve">Indirect </w:t>
      </w:r>
      <w:r w:rsidRPr="00DA370D">
        <w:t>costs</w:t>
      </w:r>
    </w:p>
    <w:p w14:paraId="2EB0A362" w14:textId="77777777" w:rsidR="00C85C59" w:rsidRDefault="00C85C59" w:rsidP="00C85C59">
      <w:r>
        <w:t>Indirect costs are enabling costs that cannot be attributed to a specific activity or output. These include information and communications technology, maintenance, office accommodation, and finance and corporate services costs. The department</w:t>
      </w:r>
      <w:r w:rsidRPr="007E7F52">
        <w:t xml:space="preserve"> include</w:t>
      </w:r>
      <w:r>
        <w:t>s</w:t>
      </w:r>
      <w:r w:rsidRPr="007E7F52">
        <w:t xml:space="preserve"> indirect expenses in the cost base to reflect the systems and processes that exist to help with efficient administration, which the cost</w:t>
      </w:r>
      <w:r>
        <w:t>-</w:t>
      </w:r>
      <w:r w:rsidRPr="007E7F52">
        <w:t xml:space="preserve">recovered arrangements benefit from. </w:t>
      </w:r>
      <w:r>
        <w:t>I</w:t>
      </w:r>
      <w:r w:rsidRPr="007E7F52">
        <w:t xml:space="preserve">ndirect costs </w:t>
      </w:r>
      <w:r>
        <w:t xml:space="preserve">are allocated </w:t>
      </w:r>
      <w:r w:rsidRPr="007E7F52">
        <w:t xml:space="preserve">to </w:t>
      </w:r>
      <w:r>
        <w:t xml:space="preserve">cost recovered and </w:t>
      </w:r>
      <w:r w:rsidRPr="007E7F52">
        <w:t>appropriated activities</w:t>
      </w:r>
      <w:r>
        <w:t xml:space="preserve"> using cost drivers such as headcount and full-time equivalent (FTE)</w:t>
      </w:r>
      <w:r w:rsidRPr="007E7F52">
        <w:t xml:space="preserve">, in line with </w:t>
      </w:r>
      <w:r>
        <w:t>the department’s</w:t>
      </w:r>
      <w:r w:rsidRPr="007E7F52">
        <w:t xml:space="preserve"> cost allocation policy.</w:t>
      </w:r>
    </w:p>
    <w:p w14:paraId="4978AE15" w14:textId="77777777" w:rsidR="00C85C59" w:rsidRPr="004976BA" w:rsidRDefault="00C85C59" w:rsidP="00324495">
      <w:pPr>
        <w:pStyle w:val="Heading4"/>
        <w:numPr>
          <w:ilvl w:val="0"/>
          <w:numId w:val="0"/>
        </w:numPr>
        <w:ind w:left="964" w:hanging="964"/>
      </w:pPr>
      <w:r w:rsidRPr="004976BA">
        <w:t xml:space="preserve">Capital </w:t>
      </w:r>
      <w:r w:rsidRPr="00DA370D">
        <w:t>costs</w:t>
      </w:r>
    </w:p>
    <w:p w14:paraId="35BB4069" w14:textId="77777777" w:rsidR="00C85C59" w:rsidRDefault="00C85C59" w:rsidP="00C85C59">
      <w:r>
        <w:t>Capital costs included in the operating costs of business processes are depreciation of property, plant and equipment (including furniture, IT hardware and infrastructure), amortisation of IT systems and software, non-capital software development costs, and accommodation.</w:t>
      </w:r>
    </w:p>
    <w:p w14:paraId="6BA2BB62" w14:textId="6C85E9A1" w:rsidR="00C85C59" w:rsidRDefault="005F109D" w:rsidP="00C85C59">
      <w:hyperlink w:anchor="Table_3" w:history="1">
        <w:r w:rsidRPr="005F109D">
          <w:rPr>
            <w:rStyle w:val="Hyperlink"/>
            <w:color w:val="auto"/>
            <w:u w:val="none"/>
          </w:rPr>
          <w:t>Table 3</w:t>
        </w:r>
      </w:hyperlink>
      <w:r w:rsidRPr="005F109D">
        <w:t xml:space="preserve"> </w:t>
      </w:r>
      <w:r w:rsidR="00C85C59" w:rsidRPr="005F109D">
        <w:t>sho</w:t>
      </w:r>
      <w:r w:rsidR="00C85C59" w:rsidRPr="004C5488">
        <w:t xml:space="preserve">ws the </w:t>
      </w:r>
      <w:r w:rsidR="00C85C59">
        <w:t xml:space="preserve">horticulture </w:t>
      </w:r>
      <w:r w:rsidR="00C85C59" w:rsidRPr="004C5488">
        <w:t xml:space="preserve">arrangement cost base for </w:t>
      </w:r>
      <w:r w:rsidR="00B209E2">
        <w:t>2025</w:t>
      </w:r>
      <w:r w:rsidR="00982FC5" w:rsidRPr="007E7F52">
        <w:t>–</w:t>
      </w:r>
      <w:r w:rsidR="00B209E2">
        <w:t>26</w:t>
      </w:r>
      <w:r w:rsidR="00C85C59" w:rsidRPr="00610DEE">
        <w:t>.</w:t>
      </w:r>
    </w:p>
    <w:p w14:paraId="5CFB8421" w14:textId="46A6DC64" w:rsidR="00C85C59" w:rsidRPr="00F874A7" w:rsidRDefault="00C85C59" w:rsidP="00C85C59">
      <w:pPr>
        <w:rPr>
          <w:lang w:eastAsia="ja-JP"/>
        </w:rPr>
      </w:pPr>
      <w:r w:rsidRPr="00F874A7">
        <w:rPr>
          <w:lang w:eastAsia="ja-JP"/>
        </w:rPr>
        <w:t xml:space="preserve">The cost base </w:t>
      </w:r>
      <w:r>
        <w:rPr>
          <w:lang w:eastAsia="ja-JP"/>
        </w:rPr>
        <w:t>of</w:t>
      </w:r>
      <w:r w:rsidRPr="00F874A7">
        <w:rPr>
          <w:lang w:eastAsia="ja-JP"/>
        </w:rPr>
        <w:t xml:space="preserve"> $</w:t>
      </w:r>
      <w:r>
        <w:rPr>
          <w:lang w:eastAsia="ja-JP"/>
        </w:rPr>
        <w:t>12.</w:t>
      </w:r>
      <w:r w:rsidR="000A5F2B">
        <w:rPr>
          <w:lang w:eastAsia="ja-JP"/>
        </w:rPr>
        <w:t>3</w:t>
      </w:r>
      <w:r w:rsidR="00443D5D" w:rsidRPr="00F874A7">
        <w:rPr>
          <w:lang w:eastAsia="ja-JP"/>
        </w:rPr>
        <w:t> </w:t>
      </w:r>
      <w:r w:rsidRPr="00F874A7">
        <w:rPr>
          <w:lang w:eastAsia="ja-JP"/>
        </w:rPr>
        <w:t xml:space="preserve">million </w:t>
      </w:r>
      <w:r>
        <w:rPr>
          <w:lang w:eastAsia="ja-JP"/>
        </w:rPr>
        <w:t>is</w:t>
      </w:r>
      <w:r w:rsidRPr="00F874A7">
        <w:rPr>
          <w:lang w:eastAsia="ja-JP"/>
        </w:rPr>
        <w:t xml:space="preserve"> made up of:</w:t>
      </w:r>
    </w:p>
    <w:p w14:paraId="3808C4A0" w14:textId="60730212" w:rsidR="00C85C59" w:rsidRPr="009F70E9" w:rsidRDefault="00C85C59" w:rsidP="00C85C59">
      <w:pPr>
        <w:pStyle w:val="ListBullet"/>
        <w:numPr>
          <w:ilvl w:val="0"/>
          <w:numId w:val="20"/>
        </w:numPr>
        <w:ind w:left="454" w:hanging="454"/>
      </w:pPr>
      <w:r w:rsidRPr="009F70E9">
        <w:t>$7.</w:t>
      </w:r>
      <w:r w:rsidR="000A5F2B">
        <w:t>7</w:t>
      </w:r>
      <w:r w:rsidRPr="009F70E9">
        <w:t> million in charge-related activities</w:t>
      </w:r>
    </w:p>
    <w:p w14:paraId="436BF169" w14:textId="377622D0" w:rsidR="00C85C59" w:rsidRPr="009F70E9" w:rsidRDefault="00C85C59" w:rsidP="00C85C59">
      <w:pPr>
        <w:pStyle w:val="ListBullet"/>
        <w:numPr>
          <w:ilvl w:val="0"/>
          <w:numId w:val="20"/>
        </w:numPr>
        <w:ind w:left="454" w:hanging="454"/>
      </w:pPr>
      <w:r w:rsidRPr="009F70E9">
        <w:t>$4.</w:t>
      </w:r>
      <w:r w:rsidR="000A5F2B">
        <w:t>6</w:t>
      </w:r>
      <w:r w:rsidRPr="009F70E9">
        <w:t> million in fee-related activities.</w:t>
      </w:r>
    </w:p>
    <w:p w14:paraId="1F192755" w14:textId="3B33AB80" w:rsidR="00C85C59" w:rsidRDefault="00C85C59" w:rsidP="00C85C59">
      <w:pPr>
        <w:pStyle w:val="ListBullet"/>
        <w:numPr>
          <w:ilvl w:val="0"/>
          <w:numId w:val="0"/>
        </w:numPr>
        <w:rPr>
          <w:rStyle w:val="Hyperlink"/>
          <w:lang w:eastAsia="ja-JP"/>
        </w:rPr>
      </w:pPr>
      <w:r w:rsidRPr="009F70E9">
        <w:t>A description of cost activities and the methodology for attributing costs to these activities is provided at</w:t>
      </w:r>
      <w:r w:rsidRPr="008C27EC">
        <w:t xml:space="preserve"> </w:t>
      </w:r>
      <w:hyperlink w:anchor="_Appendix_B:_Cost" w:history="1">
        <w:r w:rsidRPr="00EB17A4">
          <w:rPr>
            <w:rStyle w:val="Hyperlink"/>
          </w:rPr>
          <w:t>Appendix B</w:t>
        </w:r>
      </w:hyperlink>
      <w:r w:rsidRPr="00F8765B">
        <w:t>.</w:t>
      </w:r>
    </w:p>
    <w:p w14:paraId="2306A7B8" w14:textId="704E5C88" w:rsidR="00C85C59" w:rsidRDefault="00A67EB6" w:rsidP="00A67EB6">
      <w:pPr>
        <w:pStyle w:val="Caption"/>
      </w:pPr>
      <w:bookmarkStart w:id="91" w:name="_Ref198899119"/>
      <w:bookmarkStart w:id="92" w:name="_Toc162948401"/>
      <w:bookmarkStart w:id="93" w:name="_Toc163028277"/>
      <w:bookmarkStart w:id="94" w:name="_Toc163129546"/>
      <w:bookmarkStart w:id="95" w:name="_Toc170293404"/>
      <w:bookmarkStart w:id="96" w:name="_Toc201226994"/>
      <w:r>
        <w:t xml:space="preserve">Table </w:t>
      </w:r>
      <w:r>
        <w:fldChar w:fldCharType="begin"/>
      </w:r>
      <w:r>
        <w:instrText xml:space="preserve"> SEQ Table \* ARABIC </w:instrText>
      </w:r>
      <w:r>
        <w:fldChar w:fldCharType="separate"/>
      </w:r>
      <w:r w:rsidR="0001784A">
        <w:rPr>
          <w:noProof/>
        </w:rPr>
        <w:t>3</w:t>
      </w:r>
      <w:r>
        <w:fldChar w:fldCharType="end"/>
      </w:r>
      <w:bookmarkEnd w:id="91"/>
      <w:r>
        <w:t xml:space="preserve"> </w:t>
      </w:r>
      <w:r w:rsidR="00C85C59" w:rsidRPr="009F70E9">
        <w:t xml:space="preserve">Cost base for horticulture exports cost recovery arrangement, </w:t>
      </w:r>
      <w:bookmarkEnd w:id="92"/>
      <w:bookmarkEnd w:id="93"/>
      <w:bookmarkEnd w:id="94"/>
      <w:bookmarkEnd w:id="95"/>
      <w:r w:rsidR="00B209E2">
        <w:t>2025-26</w:t>
      </w:r>
      <w:bookmarkEnd w:id="96"/>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79"/>
        <w:gridCol w:w="3667"/>
        <w:gridCol w:w="1275"/>
        <w:gridCol w:w="2549"/>
      </w:tblGrid>
      <w:tr w:rsidR="00C85C59" w:rsidRPr="00AE6943" w14:paraId="01569BB0" w14:textId="77777777" w:rsidTr="00E270BE">
        <w:trPr>
          <w:cantSplit/>
          <w:tblHeader/>
          <w:jc w:val="center"/>
        </w:trPr>
        <w:tc>
          <w:tcPr>
            <w:tcW w:w="870" w:type="pct"/>
          </w:tcPr>
          <w:p w14:paraId="515D0E64" w14:textId="77777777" w:rsidR="00C85C59" w:rsidRPr="00AE6943" w:rsidRDefault="00C85C59" w:rsidP="00E270BE">
            <w:pPr>
              <w:pStyle w:val="TableHeading"/>
            </w:pPr>
            <w:bookmarkStart w:id="97" w:name="Table_3"/>
            <w:bookmarkStart w:id="98" w:name="_Hlk169876811"/>
            <w:bookmarkEnd w:id="97"/>
            <w:r w:rsidRPr="00AE6943">
              <w:t>Charge type</w:t>
            </w:r>
          </w:p>
        </w:tc>
        <w:tc>
          <w:tcPr>
            <w:tcW w:w="2021" w:type="pct"/>
          </w:tcPr>
          <w:p w14:paraId="79FDF647" w14:textId="77777777" w:rsidR="00C85C59" w:rsidRPr="00AE6943" w:rsidRDefault="00C85C59" w:rsidP="00E270BE">
            <w:pPr>
              <w:pStyle w:val="TableHeading"/>
            </w:pPr>
            <w:r w:rsidRPr="00AE6943">
              <w:t>Activity</w:t>
            </w:r>
          </w:p>
        </w:tc>
        <w:tc>
          <w:tcPr>
            <w:tcW w:w="703" w:type="pct"/>
          </w:tcPr>
          <w:p w14:paraId="1EDE0DD6" w14:textId="77777777" w:rsidR="00C85C59" w:rsidRPr="00AE6943" w:rsidRDefault="00C85C59" w:rsidP="00E270BE">
            <w:pPr>
              <w:pStyle w:val="TableHeading"/>
              <w:jc w:val="right"/>
            </w:pPr>
            <w:r w:rsidRPr="00AE6943">
              <w:t>Expense ($)</w:t>
            </w:r>
          </w:p>
        </w:tc>
        <w:tc>
          <w:tcPr>
            <w:tcW w:w="1405" w:type="pct"/>
          </w:tcPr>
          <w:p w14:paraId="47C590F3" w14:textId="77777777" w:rsidR="00C85C59" w:rsidRPr="00AE6943" w:rsidRDefault="00C85C59" w:rsidP="00E270BE">
            <w:pPr>
              <w:pStyle w:val="TableHeading"/>
            </w:pPr>
            <w:r w:rsidRPr="00AE6943">
              <w:t>Cost recovery charges</w:t>
            </w:r>
          </w:p>
        </w:tc>
      </w:tr>
      <w:tr w:rsidR="00C85C59" w14:paraId="4EE71FE2" w14:textId="77777777" w:rsidTr="00E270BE">
        <w:trPr>
          <w:trHeight w:val="280"/>
          <w:jc w:val="center"/>
        </w:trPr>
        <w:tc>
          <w:tcPr>
            <w:tcW w:w="870" w:type="pct"/>
            <w:vMerge w:val="restart"/>
          </w:tcPr>
          <w:p w14:paraId="729F6781" w14:textId="77777777" w:rsidR="00C85C59" w:rsidRPr="00A55D45" w:rsidRDefault="00C85C59" w:rsidP="00E270BE">
            <w:pPr>
              <w:pStyle w:val="TableHeading"/>
            </w:pPr>
            <w:bookmarkStart w:id="99" w:name="_Hlk169880611"/>
            <w:r w:rsidRPr="00A55D45">
              <w:rPr>
                <w:rStyle w:val="Strong"/>
              </w:rPr>
              <w:t>Charge</w:t>
            </w:r>
            <w:bookmarkEnd w:id="99"/>
          </w:p>
        </w:tc>
        <w:tc>
          <w:tcPr>
            <w:tcW w:w="2021" w:type="pct"/>
            <w:vMerge w:val="restart"/>
          </w:tcPr>
          <w:p w14:paraId="6852C562" w14:textId="77777777" w:rsidR="00C85C59" w:rsidRPr="00470A95" w:rsidRDefault="00C85C59" w:rsidP="007010B3">
            <w:pPr>
              <w:pStyle w:val="TableBullet1"/>
              <w:numPr>
                <w:ilvl w:val="0"/>
                <w:numId w:val="5"/>
              </w:numPr>
              <w:rPr>
                <w:rStyle w:val="Strong"/>
              </w:rPr>
            </w:pPr>
            <w:r w:rsidRPr="006C45B6">
              <w:rPr>
                <w:rStyle w:val="Strong"/>
              </w:rPr>
              <w:t>Program management and administration</w:t>
            </w:r>
          </w:p>
          <w:p w14:paraId="4A6B4034" w14:textId="77777777" w:rsidR="00C85C59" w:rsidRDefault="00C85C59" w:rsidP="00C85C59">
            <w:pPr>
              <w:pStyle w:val="TableBullet2"/>
              <w:ind w:left="644" w:hanging="488"/>
            </w:pPr>
            <w:r>
              <w:t>Workforce and business administration</w:t>
            </w:r>
          </w:p>
          <w:p w14:paraId="0F8AF18C" w14:textId="77777777" w:rsidR="00C85C59" w:rsidRDefault="00C85C59" w:rsidP="00C85C59">
            <w:pPr>
              <w:pStyle w:val="TableBullet2"/>
              <w:ind w:left="644" w:hanging="488"/>
            </w:pPr>
            <w:r>
              <w:t>Business system administration</w:t>
            </w:r>
          </w:p>
          <w:p w14:paraId="6061357D" w14:textId="77777777" w:rsidR="00C85C59" w:rsidRDefault="00C85C59" w:rsidP="00C85C59">
            <w:pPr>
              <w:pStyle w:val="TableBullet2"/>
              <w:ind w:left="644" w:hanging="488"/>
            </w:pPr>
            <w:r>
              <w:t>Stakeholder engagement</w:t>
            </w:r>
          </w:p>
          <w:p w14:paraId="0C4DEE01" w14:textId="77777777" w:rsidR="00C85C59" w:rsidRDefault="00C85C59" w:rsidP="00C85C59">
            <w:pPr>
              <w:pStyle w:val="TableBullet2"/>
              <w:ind w:left="644" w:hanging="488"/>
            </w:pPr>
            <w:r>
              <w:lastRenderedPageBreak/>
              <w:t>Policy and instructional material</w:t>
            </w:r>
          </w:p>
          <w:p w14:paraId="24B05DED" w14:textId="77777777" w:rsidR="00C85C59" w:rsidRDefault="00C85C59" w:rsidP="00C85C59">
            <w:pPr>
              <w:pStyle w:val="TableBullet2"/>
              <w:ind w:left="644" w:hanging="488"/>
            </w:pPr>
            <w:r>
              <w:t>Business improvement</w:t>
            </w:r>
          </w:p>
          <w:p w14:paraId="1D102477" w14:textId="77777777" w:rsidR="00C85C59" w:rsidRPr="006C45B6" w:rsidRDefault="00C85C59" w:rsidP="007010B3">
            <w:pPr>
              <w:pStyle w:val="TableBullet1"/>
              <w:numPr>
                <w:ilvl w:val="0"/>
                <w:numId w:val="5"/>
              </w:numPr>
              <w:rPr>
                <w:rStyle w:val="Strong"/>
              </w:rPr>
            </w:pPr>
            <w:r w:rsidRPr="006C45B6">
              <w:rPr>
                <w:rStyle w:val="Strong"/>
              </w:rPr>
              <w:t>Assurance</w:t>
            </w:r>
          </w:p>
          <w:p w14:paraId="0F53BB21" w14:textId="77777777" w:rsidR="00C85C59" w:rsidRDefault="00C85C59" w:rsidP="00C85C59">
            <w:pPr>
              <w:pStyle w:val="TableBullet2"/>
              <w:ind w:left="644" w:hanging="488"/>
            </w:pPr>
            <w:r>
              <w:t>Risk management</w:t>
            </w:r>
          </w:p>
          <w:p w14:paraId="1A3EA8EC" w14:textId="77777777" w:rsidR="00C85C59" w:rsidRDefault="00C85C59" w:rsidP="00C85C59">
            <w:pPr>
              <w:pStyle w:val="TableBullet2"/>
              <w:ind w:left="644" w:hanging="488"/>
            </w:pPr>
            <w:r>
              <w:t>Verification</w:t>
            </w:r>
          </w:p>
          <w:p w14:paraId="70E32798" w14:textId="77777777" w:rsidR="00C85C59" w:rsidRDefault="00C85C59" w:rsidP="00C85C59">
            <w:pPr>
              <w:pStyle w:val="TableBullet2"/>
              <w:ind w:left="644" w:hanging="488"/>
            </w:pPr>
            <w:r>
              <w:t>Surveillance</w:t>
            </w:r>
          </w:p>
          <w:p w14:paraId="5572E575" w14:textId="77777777" w:rsidR="00C85C59" w:rsidRPr="006C45B6" w:rsidRDefault="00C85C59" w:rsidP="007010B3">
            <w:pPr>
              <w:pStyle w:val="TableBullet1"/>
              <w:numPr>
                <w:ilvl w:val="0"/>
                <w:numId w:val="5"/>
              </w:numPr>
              <w:rPr>
                <w:rStyle w:val="Strong"/>
              </w:rPr>
            </w:pPr>
            <w:r w:rsidRPr="006C45B6">
              <w:rPr>
                <w:rStyle w:val="Strong"/>
              </w:rPr>
              <w:t>Incident management</w:t>
            </w:r>
          </w:p>
          <w:p w14:paraId="33D9A16E" w14:textId="77777777" w:rsidR="00C85C59" w:rsidRDefault="00C85C59" w:rsidP="00C85C59">
            <w:pPr>
              <w:pStyle w:val="TableBullet2"/>
              <w:ind w:left="644" w:hanging="488"/>
            </w:pPr>
            <w:r>
              <w:t>Incident management</w:t>
            </w:r>
          </w:p>
          <w:p w14:paraId="3F12D054" w14:textId="77777777" w:rsidR="00C85C59" w:rsidRDefault="00C85C59" w:rsidP="00C85C59">
            <w:pPr>
              <w:pStyle w:val="TableBullet2"/>
              <w:ind w:left="644" w:hanging="488"/>
            </w:pPr>
            <w:r>
              <w:t>Investigative support</w:t>
            </w:r>
          </w:p>
          <w:p w14:paraId="4FCEF869" w14:textId="77777777" w:rsidR="00C85C59" w:rsidRDefault="00C85C59" w:rsidP="00E270BE">
            <w:pPr>
              <w:pStyle w:val="TableBullet2"/>
              <w:ind w:left="457" w:hanging="283"/>
            </w:pPr>
            <w:r>
              <w:t>Corrective action</w:t>
            </w:r>
          </w:p>
        </w:tc>
        <w:tc>
          <w:tcPr>
            <w:tcW w:w="703" w:type="pct"/>
            <w:vMerge w:val="restart"/>
          </w:tcPr>
          <w:p w14:paraId="521CC270" w14:textId="66302CDC" w:rsidR="00C85C59" w:rsidRPr="00F8765B" w:rsidRDefault="0045582E" w:rsidP="00E270BE">
            <w:pPr>
              <w:pStyle w:val="TableText"/>
              <w:jc w:val="right"/>
              <w:rPr>
                <w:highlight w:val="yellow"/>
              </w:rPr>
            </w:pPr>
            <w:r>
              <w:lastRenderedPageBreak/>
              <w:t>7,703,444</w:t>
            </w:r>
          </w:p>
        </w:tc>
        <w:tc>
          <w:tcPr>
            <w:tcW w:w="1405" w:type="pct"/>
            <w:vMerge w:val="restart"/>
          </w:tcPr>
          <w:p w14:paraId="345C2AEA" w14:textId="77777777" w:rsidR="00C85C59" w:rsidRPr="00F8765B" w:rsidRDefault="00C85C59" w:rsidP="00E270BE">
            <w:pPr>
              <w:pStyle w:val="TableText"/>
            </w:pPr>
            <w:r w:rsidRPr="00F8765B">
              <w:t>Annual registration, export documentation, throughput, application and organic certification</w:t>
            </w:r>
          </w:p>
        </w:tc>
      </w:tr>
      <w:tr w:rsidR="00C85C59" w14:paraId="55B29F15" w14:textId="77777777" w:rsidTr="00E270BE">
        <w:trPr>
          <w:trHeight w:val="340"/>
          <w:jc w:val="center"/>
        </w:trPr>
        <w:tc>
          <w:tcPr>
            <w:tcW w:w="870" w:type="pct"/>
            <w:vMerge/>
          </w:tcPr>
          <w:p w14:paraId="13BF08E1" w14:textId="77777777" w:rsidR="00C85C59" w:rsidRPr="00B5308D" w:rsidRDefault="00C85C59" w:rsidP="00E270BE">
            <w:pPr>
              <w:pStyle w:val="TableText"/>
            </w:pPr>
          </w:p>
        </w:tc>
        <w:tc>
          <w:tcPr>
            <w:tcW w:w="2021" w:type="pct"/>
            <w:vMerge/>
          </w:tcPr>
          <w:p w14:paraId="22C4692C" w14:textId="77777777" w:rsidR="00C85C59" w:rsidRDefault="00C85C59" w:rsidP="00E270BE">
            <w:pPr>
              <w:pStyle w:val="TableText"/>
              <w:rPr>
                <w:lang w:eastAsia="ja-JP"/>
              </w:rPr>
            </w:pPr>
          </w:p>
        </w:tc>
        <w:tc>
          <w:tcPr>
            <w:tcW w:w="703" w:type="pct"/>
            <w:vMerge/>
          </w:tcPr>
          <w:p w14:paraId="640370C2" w14:textId="77777777" w:rsidR="00C85C59" w:rsidRPr="00F8765B" w:rsidRDefault="00C85C59" w:rsidP="00E270BE">
            <w:pPr>
              <w:pStyle w:val="TableText"/>
              <w:jc w:val="right"/>
            </w:pPr>
          </w:p>
        </w:tc>
        <w:tc>
          <w:tcPr>
            <w:tcW w:w="1405" w:type="pct"/>
            <w:vMerge/>
          </w:tcPr>
          <w:p w14:paraId="7309B005" w14:textId="77777777" w:rsidR="00C85C59" w:rsidRPr="00F8765B" w:rsidRDefault="00C85C59" w:rsidP="00E270BE">
            <w:pPr>
              <w:pStyle w:val="TableText"/>
            </w:pPr>
          </w:p>
        </w:tc>
      </w:tr>
      <w:tr w:rsidR="00C85C59" w14:paraId="71CC5C4B" w14:textId="77777777" w:rsidTr="00E270BE">
        <w:trPr>
          <w:trHeight w:val="340"/>
          <w:jc w:val="center"/>
        </w:trPr>
        <w:tc>
          <w:tcPr>
            <w:tcW w:w="870" w:type="pct"/>
            <w:vMerge/>
          </w:tcPr>
          <w:p w14:paraId="408DDECB" w14:textId="77777777" w:rsidR="00C85C59" w:rsidRPr="00B5308D" w:rsidRDefault="00C85C59" w:rsidP="00E270BE">
            <w:pPr>
              <w:pStyle w:val="TableText"/>
            </w:pPr>
          </w:p>
        </w:tc>
        <w:tc>
          <w:tcPr>
            <w:tcW w:w="2021" w:type="pct"/>
            <w:vMerge/>
          </w:tcPr>
          <w:p w14:paraId="1DA8D662" w14:textId="77777777" w:rsidR="00C85C59" w:rsidRDefault="00C85C59" w:rsidP="00E270BE">
            <w:pPr>
              <w:pStyle w:val="TableText"/>
              <w:rPr>
                <w:lang w:eastAsia="ja-JP"/>
              </w:rPr>
            </w:pPr>
          </w:p>
        </w:tc>
        <w:tc>
          <w:tcPr>
            <w:tcW w:w="703" w:type="pct"/>
            <w:vMerge/>
          </w:tcPr>
          <w:p w14:paraId="71352FC3" w14:textId="77777777" w:rsidR="00C85C59" w:rsidRPr="00F8765B" w:rsidRDefault="00C85C59" w:rsidP="00E270BE">
            <w:pPr>
              <w:pStyle w:val="TableText"/>
              <w:jc w:val="right"/>
            </w:pPr>
          </w:p>
        </w:tc>
        <w:tc>
          <w:tcPr>
            <w:tcW w:w="1405" w:type="pct"/>
            <w:vMerge/>
          </w:tcPr>
          <w:p w14:paraId="20763498" w14:textId="77777777" w:rsidR="00C85C59" w:rsidRPr="00F8765B" w:rsidRDefault="00C85C59" w:rsidP="00E270BE">
            <w:pPr>
              <w:pStyle w:val="TableText"/>
            </w:pPr>
          </w:p>
        </w:tc>
      </w:tr>
      <w:tr w:rsidR="00C85C59" w14:paraId="55E69B31" w14:textId="77777777" w:rsidTr="00E270BE">
        <w:trPr>
          <w:trHeight w:val="340"/>
          <w:jc w:val="center"/>
        </w:trPr>
        <w:tc>
          <w:tcPr>
            <w:tcW w:w="870" w:type="pct"/>
            <w:vMerge/>
            <w:vAlign w:val="center"/>
          </w:tcPr>
          <w:p w14:paraId="47FDA879" w14:textId="77777777" w:rsidR="00C85C59" w:rsidRPr="00B5308D" w:rsidRDefault="00C85C59" w:rsidP="00E270BE">
            <w:pPr>
              <w:pStyle w:val="TableText"/>
            </w:pPr>
          </w:p>
        </w:tc>
        <w:tc>
          <w:tcPr>
            <w:tcW w:w="2021" w:type="pct"/>
            <w:vMerge/>
            <w:vAlign w:val="center"/>
          </w:tcPr>
          <w:p w14:paraId="69351447" w14:textId="77777777" w:rsidR="00C85C59" w:rsidRDefault="00C85C59" w:rsidP="00E270BE">
            <w:pPr>
              <w:pStyle w:val="TableText"/>
              <w:rPr>
                <w:lang w:eastAsia="ja-JP"/>
              </w:rPr>
            </w:pPr>
          </w:p>
        </w:tc>
        <w:tc>
          <w:tcPr>
            <w:tcW w:w="703" w:type="pct"/>
            <w:vMerge/>
          </w:tcPr>
          <w:p w14:paraId="3457DE55" w14:textId="77777777" w:rsidR="00C85C59" w:rsidRPr="00F8765B" w:rsidRDefault="00C85C59" w:rsidP="00E270BE">
            <w:pPr>
              <w:pStyle w:val="TableText"/>
              <w:jc w:val="right"/>
            </w:pPr>
          </w:p>
        </w:tc>
        <w:tc>
          <w:tcPr>
            <w:tcW w:w="1405" w:type="pct"/>
            <w:vMerge/>
          </w:tcPr>
          <w:p w14:paraId="29F923FE" w14:textId="77777777" w:rsidR="00C85C59" w:rsidRPr="00F8765B" w:rsidRDefault="00C85C59" w:rsidP="00E270BE">
            <w:pPr>
              <w:pStyle w:val="TableText"/>
            </w:pPr>
          </w:p>
        </w:tc>
      </w:tr>
      <w:tr w:rsidR="00C85C59" w14:paraId="4957C33E" w14:textId="77777777" w:rsidTr="00E270BE">
        <w:trPr>
          <w:trHeight w:val="340"/>
          <w:jc w:val="center"/>
        </w:trPr>
        <w:tc>
          <w:tcPr>
            <w:tcW w:w="870" w:type="pct"/>
            <w:vMerge/>
            <w:vAlign w:val="center"/>
          </w:tcPr>
          <w:p w14:paraId="0ADC916D" w14:textId="77777777" w:rsidR="00C85C59" w:rsidRPr="00B5308D" w:rsidRDefault="00C85C59" w:rsidP="00E270BE">
            <w:pPr>
              <w:pStyle w:val="TableText"/>
            </w:pPr>
          </w:p>
        </w:tc>
        <w:tc>
          <w:tcPr>
            <w:tcW w:w="2021" w:type="pct"/>
            <w:vMerge/>
            <w:tcBorders>
              <w:bottom w:val="single" w:sz="4" w:space="0" w:color="auto"/>
            </w:tcBorders>
            <w:vAlign w:val="center"/>
          </w:tcPr>
          <w:p w14:paraId="4AC3C848" w14:textId="77777777" w:rsidR="00C85C59" w:rsidRDefault="00C85C59" w:rsidP="00E270BE">
            <w:pPr>
              <w:pStyle w:val="TableText"/>
              <w:rPr>
                <w:lang w:eastAsia="ja-JP"/>
              </w:rPr>
            </w:pPr>
          </w:p>
        </w:tc>
        <w:tc>
          <w:tcPr>
            <w:tcW w:w="703" w:type="pct"/>
            <w:vMerge/>
            <w:tcBorders>
              <w:bottom w:val="single" w:sz="4" w:space="0" w:color="auto"/>
            </w:tcBorders>
          </w:tcPr>
          <w:p w14:paraId="53E74926" w14:textId="77777777" w:rsidR="00C85C59" w:rsidRPr="00F8765B" w:rsidRDefault="00C85C59" w:rsidP="00E270BE">
            <w:pPr>
              <w:pStyle w:val="TableText"/>
              <w:jc w:val="right"/>
            </w:pPr>
          </w:p>
        </w:tc>
        <w:tc>
          <w:tcPr>
            <w:tcW w:w="1405" w:type="pct"/>
            <w:vMerge/>
            <w:tcBorders>
              <w:bottom w:val="single" w:sz="4" w:space="0" w:color="auto"/>
            </w:tcBorders>
          </w:tcPr>
          <w:p w14:paraId="6AEE0C38" w14:textId="77777777" w:rsidR="00C85C59" w:rsidRPr="00F8765B" w:rsidRDefault="00C85C59" w:rsidP="00E270BE">
            <w:pPr>
              <w:pStyle w:val="TableText"/>
            </w:pPr>
          </w:p>
        </w:tc>
      </w:tr>
      <w:tr w:rsidR="00C85C59" w14:paraId="552A469D" w14:textId="77777777" w:rsidTr="00E270BE">
        <w:trPr>
          <w:jc w:val="center"/>
        </w:trPr>
        <w:tc>
          <w:tcPr>
            <w:tcW w:w="870" w:type="pct"/>
            <w:vMerge w:val="restart"/>
          </w:tcPr>
          <w:p w14:paraId="46EA07F3" w14:textId="77777777" w:rsidR="00C85C59" w:rsidRPr="00136C14" w:rsidRDefault="00C85C59" w:rsidP="00E270BE">
            <w:pPr>
              <w:pStyle w:val="TableHeading"/>
            </w:pPr>
            <w:r w:rsidRPr="00136C14">
              <w:t>Fee</w:t>
            </w:r>
            <w:r>
              <w:t>-</w:t>
            </w:r>
            <w:r w:rsidRPr="00136C14">
              <w:t>for</w:t>
            </w:r>
            <w:r>
              <w:t>-</w:t>
            </w:r>
            <w:r w:rsidRPr="00136C14">
              <w:t>service</w:t>
            </w:r>
          </w:p>
        </w:tc>
        <w:tc>
          <w:tcPr>
            <w:tcW w:w="2021" w:type="pct"/>
            <w:tcBorders>
              <w:bottom w:val="dotted" w:sz="4" w:space="0" w:color="auto"/>
            </w:tcBorders>
          </w:tcPr>
          <w:p w14:paraId="1B3FDABC" w14:textId="77777777" w:rsidR="00C85C59" w:rsidRDefault="00C85C59" w:rsidP="00E270BE">
            <w:pPr>
              <w:pStyle w:val="TableText"/>
            </w:pPr>
            <w:r w:rsidRPr="00272371">
              <w:rPr>
                <w:rStyle w:val="Strong"/>
              </w:rPr>
              <w:t>Intervention</w:t>
            </w:r>
            <w:r w:rsidRPr="00B85FE8">
              <w:rPr>
                <w:lang w:eastAsia="ja-JP"/>
              </w:rPr>
              <w:t xml:space="preserve"> – assessment</w:t>
            </w:r>
          </w:p>
        </w:tc>
        <w:tc>
          <w:tcPr>
            <w:tcW w:w="703" w:type="pct"/>
            <w:tcBorders>
              <w:bottom w:val="dotted" w:sz="4" w:space="0" w:color="auto"/>
            </w:tcBorders>
          </w:tcPr>
          <w:p w14:paraId="7BB70F85" w14:textId="285DFAF2" w:rsidR="00C85C59" w:rsidRPr="00F8765B" w:rsidRDefault="0045582E" w:rsidP="00E270BE">
            <w:pPr>
              <w:pStyle w:val="TableText"/>
              <w:jc w:val="right"/>
            </w:pPr>
            <w:r>
              <w:t>3,320,317</w:t>
            </w:r>
          </w:p>
        </w:tc>
        <w:tc>
          <w:tcPr>
            <w:tcW w:w="1405" w:type="pct"/>
            <w:tcBorders>
              <w:bottom w:val="dotted" w:sz="4" w:space="0" w:color="auto"/>
            </w:tcBorders>
          </w:tcPr>
          <w:p w14:paraId="38DB6E7B" w14:textId="77777777" w:rsidR="00C85C59" w:rsidRPr="00F8765B" w:rsidRDefault="00C85C59" w:rsidP="00E270BE">
            <w:pPr>
              <w:pStyle w:val="TableText"/>
            </w:pPr>
            <w:r w:rsidRPr="00F8765B">
              <w:t>Assessment</w:t>
            </w:r>
          </w:p>
        </w:tc>
      </w:tr>
      <w:tr w:rsidR="00C85C59" w14:paraId="4B9A78F4" w14:textId="77777777" w:rsidTr="00E270BE">
        <w:trPr>
          <w:jc w:val="center"/>
        </w:trPr>
        <w:tc>
          <w:tcPr>
            <w:tcW w:w="870" w:type="pct"/>
            <w:vMerge/>
            <w:vAlign w:val="center"/>
          </w:tcPr>
          <w:p w14:paraId="51E3DE62" w14:textId="77777777" w:rsidR="00C85C59" w:rsidRPr="00136C14" w:rsidRDefault="00C85C59" w:rsidP="00E270BE">
            <w:pPr>
              <w:pStyle w:val="TableText"/>
            </w:pPr>
          </w:p>
        </w:tc>
        <w:tc>
          <w:tcPr>
            <w:tcW w:w="2021" w:type="pct"/>
            <w:tcBorders>
              <w:top w:val="dotted" w:sz="4" w:space="0" w:color="auto"/>
              <w:bottom w:val="dotted" w:sz="4" w:space="0" w:color="auto"/>
            </w:tcBorders>
          </w:tcPr>
          <w:p w14:paraId="2DD73E47" w14:textId="77777777" w:rsidR="00C85C59" w:rsidRPr="00BC1CDA" w:rsidRDefault="00C85C59" w:rsidP="00E270BE">
            <w:pPr>
              <w:pStyle w:val="TableText"/>
            </w:pPr>
            <w:r w:rsidRPr="00272371">
              <w:rPr>
                <w:rStyle w:val="Strong"/>
              </w:rPr>
              <w:t>Intervention</w:t>
            </w:r>
            <w:r>
              <w:t xml:space="preserve"> – inspection</w:t>
            </w:r>
          </w:p>
        </w:tc>
        <w:tc>
          <w:tcPr>
            <w:tcW w:w="703" w:type="pct"/>
            <w:tcBorders>
              <w:top w:val="dotted" w:sz="4" w:space="0" w:color="auto"/>
              <w:bottom w:val="dotted" w:sz="4" w:space="0" w:color="auto"/>
            </w:tcBorders>
          </w:tcPr>
          <w:p w14:paraId="357CFA1E" w14:textId="21C6920D" w:rsidR="00C85C59" w:rsidRPr="00F8765B" w:rsidRDefault="0045582E" w:rsidP="00E270BE">
            <w:pPr>
              <w:pStyle w:val="TableText"/>
              <w:jc w:val="right"/>
            </w:pPr>
            <w:r>
              <w:t>200,057</w:t>
            </w:r>
          </w:p>
        </w:tc>
        <w:tc>
          <w:tcPr>
            <w:tcW w:w="1405" w:type="pct"/>
            <w:tcBorders>
              <w:top w:val="dotted" w:sz="4" w:space="0" w:color="auto"/>
              <w:bottom w:val="dotted" w:sz="4" w:space="0" w:color="auto"/>
            </w:tcBorders>
          </w:tcPr>
          <w:p w14:paraId="16941FF3" w14:textId="77777777" w:rsidR="00C85C59" w:rsidRPr="00F8765B" w:rsidRDefault="00C85C59" w:rsidP="00E270BE">
            <w:pPr>
              <w:pStyle w:val="TableText"/>
            </w:pPr>
            <w:r w:rsidRPr="00F8765B">
              <w:t>Inspection</w:t>
            </w:r>
          </w:p>
        </w:tc>
      </w:tr>
      <w:tr w:rsidR="00C85C59" w14:paraId="59B195A1" w14:textId="77777777" w:rsidTr="00E270BE">
        <w:trPr>
          <w:jc w:val="center"/>
        </w:trPr>
        <w:tc>
          <w:tcPr>
            <w:tcW w:w="870" w:type="pct"/>
            <w:vMerge/>
            <w:vAlign w:val="center"/>
          </w:tcPr>
          <w:p w14:paraId="001F1404" w14:textId="77777777" w:rsidR="00C85C59" w:rsidRPr="00136C14" w:rsidRDefault="00C85C59" w:rsidP="00E270BE">
            <w:pPr>
              <w:pStyle w:val="TableText"/>
            </w:pPr>
          </w:p>
        </w:tc>
        <w:tc>
          <w:tcPr>
            <w:tcW w:w="2021" w:type="pct"/>
            <w:tcBorders>
              <w:top w:val="dotted" w:sz="4" w:space="0" w:color="auto"/>
              <w:bottom w:val="dotted" w:sz="4" w:space="0" w:color="auto"/>
            </w:tcBorders>
          </w:tcPr>
          <w:p w14:paraId="434F9C18" w14:textId="77777777" w:rsidR="00C85C59" w:rsidRPr="00BC1CDA" w:rsidRDefault="00C85C59" w:rsidP="00E270BE">
            <w:pPr>
              <w:pStyle w:val="TableText"/>
            </w:pPr>
            <w:r w:rsidRPr="00272371">
              <w:rPr>
                <w:rStyle w:val="Strong"/>
              </w:rPr>
              <w:t>Intervention</w:t>
            </w:r>
            <w:r>
              <w:t xml:space="preserve"> – audit</w:t>
            </w:r>
          </w:p>
        </w:tc>
        <w:tc>
          <w:tcPr>
            <w:tcW w:w="703" w:type="pct"/>
            <w:tcBorders>
              <w:top w:val="dotted" w:sz="4" w:space="0" w:color="auto"/>
              <w:bottom w:val="dotted" w:sz="4" w:space="0" w:color="auto"/>
            </w:tcBorders>
          </w:tcPr>
          <w:p w14:paraId="602418DD" w14:textId="1F0BA72F" w:rsidR="00C85C59" w:rsidRPr="00F8765B" w:rsidRDefault="0045582E" w:rsidP="00E270BE">
            <w:pPr>
              <w:pStyle w:val="TableText"/>
              <w:jc w:val="right"/>
            </w:pPr>
            <w:r>
              <w:t>901,614</w:t>
            </w:r>
          </w:p>
        </w:tc>
        <w:tc>
          <w:tcPr>
            <w:tcW w:w="1405" w:type="pct"/>
            <w:tcBorders>
              <w:top w:val="dotted" w:sz="4" w:space="0" w:color="auto"/>
              <w:bottom w:val="dotted" w:sz="4" w:space="0" w:color="auto"/>
            </w:tcBorders>
          </w:tcPr>
          <w:p w14:paraId="63DABDD6" w14:textId="77777777" w:rsidR="00C85C59" w:rsidRPr="00F8765B" w:rsidRDefault="00C85C59" w:rsidP="00E270BE">
            <w:pPr>
              <w:pStyle w:val="TableText"/>
            </w:pPr>
            <w:r w:rsidRPr="00F8765B">
              <w:t>Audit</w:t>
            </w:r>
          </w:p>
        </w:tc>
      </w:tr>
      <w:tr w:rsidR="00C85C59" w14:paraId="17BD97B7" w14:textId="77777777" w:rsidTr="00E270BE">
        <w:trPr>
          <w:jc w:val="center"/>
        </w:trPr>
        <w:tc>
          <w:tcPr>
            <w:tcW w:w="870" w:type="pct"/>
            <w:vMerge/>
            <w:vAlign w:val="center"/>
          </w:tcPr>
          <w:p w14:paraId="0CC627FE" w14:textId="77777777" w:rsidR="00C85C59" w:rsidRPr="00136C14" w:rsidRDefault="00C85C59" w:rsidP="00E270BE">
            <w:pPr>
              <w:pStyle w:val="TableText"/>
            </w:pPr>
          </w:p>
        </w:tc>
        <w:tc>
          <w:tcPr>
            <w:tcW w:w="2021" w:type="pct"/>
            <w:tcBorders>
              <w:top w:val="dotted" w:sz="4" w:space="0" w:color="auto"/>
            </w:tcBorders>
          </w:tcPr>
          <w:p w14:paraId="28F90155" w14:textId="77777777" w:rsidR="00C85C59" w:rsidRDefault="00C85C59" w:rsidP="00E270BE">
            <w:pPr>
              <w:pStyle w:val="TableText"/>
            </w:pPr>
            <w:r w:rsidRPr="00272371">
              <w:rPr>
                <w:rStyle w:val="Strong"/>
              </w:rPr>
              <w:t>Intervention</w:t>
            </w:r>
            <w:r w:rsidRPr="00F8765B">
              <w:t xml:space="preserve"> </w:t>
            </w:r>
            <w:r>
              <w:t xml:space="preserve">- </w:t>
            </w:r>
            <w:r w:rsidRPr="00F8765B">
              <w:t>Authorised officer program</w:t>
            </w:r>
          </w:p>
        </w:tc>
        <w:tc>
          <w:tcPr>
            <w:tcW w:w="703" w:type="pct"/>
            <w:tcBorders>
              <w:top w:val="dotted" w:sz="4" w:space="0" w:color="auto"/>
            </w:tcBorders>
          </w:tcPr>
          <w:p w14:paraId="73B4ED59" w14:textId="58597830" w:rsidR="00C85C59" w:rsidRPr="00F8765B" w:rsidRDefault="0045582E" w:rsidP="00E270BE">
            <w:pPr>
              <w:pStyle w:val="TableText"/>
              <w:jc w:val="right"/>
            </w:pPr>
            <w:r>
              <w:t>173,820</w:t>
            </w:r>
          </w:p>
        </w:tc>
        <w:tc>
          <w:tcPr>
            <w:tcW w:w="1405" w:type="pct"/>
            <w:tcBorders>
              <w:top w:val="dotted" w:sz="4" w:space="0" w:color="auto"/>
            </w:tcBorders>
          </w:tcPr>
          <w:p w14:paraId="7F025681" w14:textId="77777777" w:rsidR="00C85C59" w:rsidRPr="00F8765B" w:rsidRDefault="00C85C59" w:rsidP="00E270BE">
            <w:pPr>
              <w:pStyle w:val="TableText"/>
            </w:pPr>
            <w:r>
              <w:t>Authorised officer program</w:t>
            </w:r>
          </w:p>
        </w:tc>
      </w:tr>
      <w:tr w:rsidR="00C85C59" w:rsidRPr="00F8765B" w14:paraId="65D0A34F" w14:textId="77777777" w:rsidTr="00E270BE">
        <w:trPr>
          <w:jc w:val="center"/>
        </w:trPr>
        <w:tc>
          <w:tcPr>
            <w:tcW w:w="870" w:type="pct"/>
          </w:tcPr>
          <w:p w14:paraId="5F71FCE7" w14:textId="77777777" w:rsidR="00C85C59" w:rsidRPr="00F8765B" w:rsidRDefault="00C85C59" w:rsidP="00E270BE">
            <w:pPr>
              <w:pStyle w:val="TableText"/>
              <w:rPr>
                <w:rStyle w:val="Strong"/>
              </w:rPr>
            </w:pPr>
            <w:r w:rsidRPr="00F8765B">
              <w:rPr>
                <w:rStyle w:val="Strong"/>
              </w:rPr>
              <w:t>Total cost base</w:t>
            </w:r>
          </w:p>
        </w:tc>
        <w:tc>
          <w:tcPr>
            <w:tcW w:w="2021" w:type="pct"/>
          </w:tcPr>
          <w:p w14:paraId="33001750" w14:textId="77777777" w:rsidR="00C85C59" w:rsidRPr="00F8765B" w:rsidRDefault="00C85C59" w:rsidP="00E270BE">
            <w:pPr>
              <w:pStyle w:val="TableText"/>
              <w:rPr>
                <w:rStyle w:val="Strong"/>
              </w:rPr>
            </w:pPr>
            <w:r w:rsidRPr="00F8765B">
              <w:rPr>
                <w:rStyle w:val="Strong"/>
              </w:rPr>
              <w:t>–</w:t>
            </w:r>
          </w:p>
        </w:tc>
        <w:tc>
          <w:tcPr>
            <w:tcW w:w="703" w:type="pct"/>
          </w:tcPr>
          <w:p w14:paraId="258B3965" w14:textId="1715162D" w:rsidR="00C85C59" w:rsidRPr="00F8765B" w:rsidRDefault="0045582E" w:rsidP="00E270BE">
            <w:pPr>
              <w:pStyle w:val="TableText"/>
              <w:jc w:val="right"/>
              <w:rPr>
                <w:rStyle w:val="Strong"/>
              </w:rPr>
            </w:pPr>
            <w:r>
              <w:rPr>
                <w:rStyle w:val="Strong"/>
              </w:rPr>
              <w:t>12,299,252</w:t>
            </w:r>
          </w:p>
        </w:tc>
        <w:tc>
          <w:tcPr>
            <w:tcW w:w="1405" w:type="pct"/>
          </w:tcPr>
          <w:p w14:paraId="6925AFA8" w14:textId="77777777" w:rsidR="00C85C59" w:rsidRPr="00F8765B" w:rsidRDefault="00C85C59" w:rsidP="00E270BE">
            <w:pPr>
              <w:pStyle w:val="TableText"/>
              <w:rPr>
                <w:rStyle w:val="Strong"/>
              </w:rPr>
            </w:pPr>
            <w:r w:rsidRPr="00F8765B">
              <w:rPr>
                <w:rStyle w:val="Strong"/>
              </w:rPr>
              <w:t>–</w:t>
            </w:r>
          </w:p>
        </w:tc>
      </w:tr>
    </w:tbl>
    <w:p w14:paraId="30B2539C" w14:textId="1A3124F5" w:rsidR="00982FC5" w:rsidRPr="00641ADE" w:rsidRDefault="00982FC5" w:rsidP="00982FC5">
      <w:pPr>
        <w:spacing w:before="240"/>
      </w:pPr>
      <w:bookmarkStart w:id="100" w:name="_Toc162352113"/>
      <w:bookmarkStart w:id="101" w:name="_Toc162948402"/>
      <w:bookmarkStart w:id="102" w:name="_Toc163028278"/>
      <w:bookmarkStart w:id="103" w:name="_Toc163129547"/>
      <w:bookmarkStart w:id="104" w:name="_Toc170293405"/>
      <w:bookmarkEnd w:id="98"/>
      <w:r>
        <w:t>Figures</w:t>
      </w:r>
      <w:r w:rsidRPr="00FF7F04">
        <w:t xml:space="preserve"> in </w:t>
      </w:r>
      <w:r w:rsidR="000F495A">
        <w:fldChar w:fldCharType="begin"/>
      </w:r>
      <w:r w:rsidR="000F495A">
        <w:instrText xml:space="preserve"> REF _Ref201733357 \h </w:instrText>
      </w:r>
      <w:r w:rsidR="000F495A">
        <w:fldChar w:fldCharType="separate"/>
      </w:r>
      <w:r w:rsidR="0001784A">
        <w:t xml:space="preserve">Table </w:t>
      </w:r>
      <w:r w:rsidR="0001784A">
        <w:rPr>
          <w:noProof/>
        </w:rPr>
        <w:t>4</w:t>
      </w:r>
      <w:r w:rsidR="000F495A">
        <w:fldChar w:fldCharType="end"/>
      </w:r>
      <w:r w:rsidR="000F495A">
        <w:t xml:space="preserve"> </w:t>
      </w:r>
      <w:r>
        <w:t>are</w:t>
      </w:r>
      <w:r w:rsidRPr="00FF7F04">
        <w:t xml:space="preserve"> sourced from modelling which occurred in 202</w:t>
      </w:r>
      <w:r>
        <w:t>0</w:t>
      </w:r>
      <w:r w:rsidRPr="00FF7F04">
        <w:t>. This modelling reflects the methodology used to determine 20</w:t>
      </w:r>
      <w:r>
        <w:t>24</w:t>
      </w:r>
      <w:r w:rsidRPr="007E7F52">
        <w:t>–</w:t>
      </w:r>
      <w:r w:rsidRPr="00FF7F04">
        <w:t>2</w:t>
      </w:r>
      <w:r>
        <w:t>5</w:t>
      </w:r>
      <w:r w:rsidRPr="00FF7F04">
        <w:t xml:space="preserve"> prices</w:t>
      </w:r>
      <w:r>
        <w:t xml:space="preserve"> which we are continuing unchanged in 2025</w:t>
      </w:r>
      <w:r w:rsidRPr="007E7F52">
        <w:t>–</w:t>
      </w:r>
      <w:r>
        <w:t>26</w:t>
      </w:r>
      <w:r w:rsidRPr="00FF7F04">
        <w:t>.</w:t>
      </w:r>
      <w:r>
        <w:t xml:space="preserve"> As a result, these figures are not expected to match those in </w:t>
      </w:r>
      <w:r>
        <w:fldChar w:fldCharType="begin"/>
      </w:r>
      <w:r>
        <w:instrText xml:space="preserve"> REF _Ref198899303 \h </w:instrText>
      </w:r>
      <w:r>
        <w:fldChar w:fldCharType="separate"/>
      </w:r>
      <w:r w:rsidR="0001784A">
        <w:t xml:space="preserve">Table </w:t>
      </w:r>
      <w:r w:rsidR="0001784A">
        <w:rPr>
          <w:noProof/>
        </w:rPr>
        <w:t>5</w:t>
      </w:r>
      <w:r>
        <w:fldChar w:fldCharType="end"/>
      </w:r>
      <w:r>
        <w:t>.</w:t>
      </w:r>
    </w:p>
    <w:p w14:paraId="3D748286" w14:textId="746F49EB" w:rsidR="00641ADE" w:rsidRPr="00641ADE" w:rsidRDefault="0039508F" w:rsidP="00982FC5">
      <w:pPr>
        <w:pStyle w:val="Caption"/>
        <w:spacing w:before="240"/>
      </w:pPr>
      <w:bookmarkStart w:id="105" w:name="_Toc201226995"/>
      <w:bookmarkStart w:id="106" w:name="_Ref201733357"/>
      <w:r>
        <w:t xml:space="preserve">Table </w:t>
      </w:r>
      <w:r>
        <w:fldChar w:fldCharType="begin"/>
      </w:r>
      <w:r>
        <w:instrText xml:space="preserve"> SEQ Table \* ARABIC </w:instrText>
      </w:r>
      <w:r>
        <w:fldChar w:fldCharType="separate"/>
      </w:r>
      <w:r w:rsidR="0001784A">
        <w:rPr>
          <w:noProof/>
        </w:rPr>
        <w:t>4</w:t>
      </w:r>
      <w:r>
        <w:fldChar w:fldCharType="end"/>
      </w:r>
      <w:bookmarkEnd w:id="106"/>
      <w:r>
        <w:t xml:space="preserve"> </w:t>
      </w:r>
      <w:r w:rsidR="00C85C59" w:rsidRPr="009F70E9">
        <w:t xml:space="preserve">Cost type breakdown for horticulture exports cost recovery arrangement, </w:t>
      </w:r>
      <w:bookmarkEnd w:id="100"/>
      <w:bookmarkEnd w:id="101"/>
      <w:bookmarkEnd w:id="102"/>
      <w:bookmarkEnd w:id="103"/>
      <w:bookmarkEnd w:id="104"/>
      <w:r w:rsidR="00B209E2">
        <w:t>2025</w:t>
      </w:r>
      <w:r w:rsidR="00982FC5" w:rsidRPr="007E7F52">
        <w:t>–</w:t>
      </w:r>
      <w:r w:rsidR="00B209E2">
        <w:t>26</w:t>
      </w:r>
      <w:bookmarkStart w:id="107" w:name="_Hlk194059667"/>
      <w:bookmarkEnd w:id="105"/>
    </w:p>
    <w:tbl>
      <w:tblPr>
        <w:tblStyle w:val="ABAREStableleftalign"/>
        <w:tblW w:w="5000" w:type="pct"/>
        <w:tblBorders>
          <w:insideH w:val="single" w:sz="4" w:space="0" w:color="auto"/>
        </w:tblBorders>
        <w:tblLook w:val="04A0" w:firstRow="1" w:lastRow="0" w:firstColumn="1" w:lastColumn="0" w:noHBand="0" w:noVBand="1"/>
      </w:tblPr>
      <w:tblGrid>
        <w:gridCol w:w="3023"/>
        <w:gridCol w:w="3023"/>
        <w:gridCol w:w="3024"/>
      </w:tblGrid>
      <w:tr w:rsidR="00C85C59" w14:paraId="27611AAB" w14:textId="77777777" w:rsidTr="00E270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66" w:type="pct"/>
          </w:tcPr>
          <w:p w14:paraId="37401E30" w14:textId="77777777" w:rsidR="00C85C59" w:rsidRDefault="00C85C59" w:rsidP="00E270BE">
            <w:pPr>
              <w:pStyle w:val="TableHeading"/>
            </w:pPr>
            <w:bookmarkStart w:id="108" w:name="_Hlk169877507"/>
            <w:bookmarkEnd w:id="107"/>
            <w:r>
              <w:t>C</w:t>
            </w:r>
            <w:bookmarkStart w:id="109" w:name="Table_4"/>
            <w:bookmarkEnd w:id="109"/>
            <w:r>
              <w:t>ategory</w:t>
            </w:r>
          </w:p>
        </w:tc>
        <w:tc>
          <w:tcPr>
            <w:tcW w:w="1666" w:type="pct"/>
            <w:tcBorders>
              <w:bottom w:val="single" w:sz="4" w:space="0" w:color="auto"/>
            </w:tcBorders>
          </w:tcPr>
          <w:p w14:paraId="31D2EE81" w14:textId="77777777" w:rsidR="00C85C59" w:rsidRDefault="00C85C59" w:rsidP="00E270BE">
            <w:pPr>
              <w:pStyle w:val="TableHeading"/>
              <w:cnfStyle w:val="100000000000" w:firstRow="1" w:lastRow="0" w:firstColumn="0" w:lastColumn="0" w:oddVBand="0" w:evenVBand="0" w:oddHBand="0" w:evenHBand="0" w:firstRowFirstColumn="0" w:firstRowLastColumn="0" w:lastRowFirstColumn="0" w:lastRowLastColumn="0"/>
            </w:pPr>
            <w:r>
              <w:t>Expense</w:t>
            </w:r>
          </w:p>
        </w:tc>
        <w:tc>
          <w:tcPr>
            <w:tcW w:w="1667" w:type="pct"/>
            <w:tcBorders>
              <w:bottom w:val="single" w:sz="4" w:space="0" w:color="auto"/>
            </w:tcBorders>
          </w:tcPr>
          <w:p w14:paraId="0414A741" w14:textId="77777777" w:rsidR="00C85C59" w:rsidRDefault="00C85C59" w:rsidP="00E270BE">
            <w:pPr>
              <w:pStyle w:val="TableHeading"/>
              <w:jc w:val="right"/>
              <w:cnfStyle w:val="100000000000" w:firstRow="1" w:lastRow="0" w:firstColumn="0" w:lastColumn="0" w:oddVBand="0" w:evenVBand="0" w:oddHBand="0" w:evenHBand="0" w:firstRowFirstColumn="0" w:firstRowLastColumn="0" w:lastRowFirstColumn="0" w:lastRowLastColumn="0"/>
            </w:pPr>
            <w:r>
              <w:t>Forecast ($)</w:t>
            </w:r>
          </w:p>
        </w:tc>
      </w:tr>
      <w:tr w:rsidR="00C85C59" w:rsidRPr="00B900FC" w14:paraId="11598278"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val="restart"/>
          </w:tcPr>
          <w:p w14:paraId="5348D27C" w14:textId="77777777" w:rsidR="00C85C59" w:rsidRPr="00BC1CDA" w:rsidRDefault="00C85C59" w:rsidP="00E270BE">
            <w:pPr>
              <w:pStyle w:val="TableText"/>
            </w:pPr>
            <w:r w:rsidRPr="006B5D97">
              <w:rPr>
                <w:rStyle w:val="Strong"/>
              </w:rPr>
              <w:t>Direct</w:t>
            </w:r>
          </w:p>
        </w:tc>
        <w:tc>
          <w:tcPr>
            <w:tcW w:w="1666" w:type="pct"/>
            <w:tcBorders>
              <w:bottom w:val="dotted" w:sz="4" w:space="0" w:color="auto"/>
            </w:tcBorders>
          </w:tcPr>
          <w:p w14:paraId="2BBFBA03"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BC1CDA">
              <w:t>Employee</w:t>
            </w:r>
          </w:p>
        </w:tc>
        <w:tc>
          <w:tcPr>
            <w:tcW w:w="1667" w:type="pct"/>
            <w:tcBorders>
              <w:bottom w:val="dotted" w:sz="4" w:space="0" w:color="auto"/>
            </w:tcBorders>
          </w:tcPr>
          <w:p w14:paraId="754FCC32" w14:textId="5D1E3BBF"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7,055,702</w:t>
            </w:r>
          </w:p>
        </w:tc>
      </w:tr>
      <w:tr w:rsidR="00C85C59" w14:paraId="5FEAC8BB"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31EEE314" w14:textId="77777777" w:rsidR="00C85C59" w:rsidRPr="00BC1CDA" w:rsidRDefault="00C85C59" w:rsidP="00E270BE">
            <w:pPr>
              <w:pStyle w:val="TableText"/>
            </w:pPr>
          </w:p>
        </w:tc>
        <w:tc>
          <w:tcPr>
            <w:tcW w:w="1666" w:type="pct"/>
            <w:tcBorders>
              <w:top w:val="dotted" w:sz="4" w:space="0" w:color="auto"/>
              <w:bottom w:val="dotted" w:sz="4" w:space="0" w:color="auto"/>
            </w:tcBorders>
          </w:tcPr>
          <w:p w14:paraId="348A338F"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BC1CDA">
              <w:t>Operating</w:t>
            </w:r>
          </w:p>
        </w:tc>
        <w:tc>
          <w:tcPr>
            <w:tcW w:w="1667" w:type="pct"/>
            <w:tcBorders>
              <w:top w:val="dotted" w:sz="4" w:space="0" w:color="auto"/>
              <w:bottom w:val="dotted" w:sz="4" w:space="0" w:color="auto"/>
            </w:tcBorders>
          </w:tcPr>
          <w:p w14:paraId="34E8BEC1" w14:textId="397DC7AB"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968,223</w:t>
            </w:r>
          </w:p>
        </w:tc>
      </w:tr>
      <w:tr w:rsidR="00C85C59" w14:paraId="228FD009"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4D2386DF" w14:textId="77777777" w:rsidR="00C85C59" w:rsidRPr="00BC1CDA" w:rsidRDefault="00C85C59" w:rsidP="00E270BE">
            <w:pPr>
              <w:pStyle w:val="TableText"/>
            </w:pPr>
          </w:p>
        </w:tc>
        <w:tc>
          <w:tcPr>
            <w:tcW w:w="1666" w:type="pct"/>
            <w:tcBorders>
              <w:top w:val="dotted" w:sz="4" w:space="0" w:color="auto"/>
            </w:tcBorders>
          </w:tcPr>
          <w:p w14:paraId="66FA0A27"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BC1CDA">
              <w:t>Other</w:t>
            </w:r>
          </w:p>
        </w:tc>
        <w:tc>
          <w:tcPr>
            <w:tcW w:w="1667" w:type="pct"/>
            <w:tcBorders>
              <w:top w:val="dotted" w:sz="4" w:space="0" w:color="auto"/>
            </w:tcBorders>
          </w:tcPr>
          <w:p w14:paraId="21645EA6" w14:textId="3D8E32F4"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153,042</w:t>
            </w:r>
          </w:p>
        </w:tc>
      </w:tr>
      <w:tr w:rsidR="00C85C59" w14:paraId="39046691"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022CB8EC" w14:textId="77777777" w:rsidR="00C85C59" w:rsidRPr="00BC1CDA" w:rsidRDefault="00C85C59" w:rsidP="00E270BE">
            <w:pPr>
              <w:pStyle w:val="TableText"/>
            </w:pPr>
          </w:p>
        </w:tc>
        <w:tc>
          <w:tcPr>
            <w:tcW w:w="1666" w:type="pct"/>
            <w:tcBorders>
              <w:bottom w:val="single" w:sz="4" w:space="0" w:color="auto"/>
            </w:tcBorders>
          </w:tcPr>
          <w:p w14:paraId="08BEEC70" w14:textId="77777777" w:rsidR="00C85C59" w:rsidRPr="00136C14" w:rsidRDefault="00C85C59" w:rsidP="00E270BE">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136C14">
              <w:rPr>
                <w:rStyle w:val="Strong"/>
              </w:rPr>
              <w:t>Subtotal</w:t>
            </w:r>
          </w:p>
        </w:tc>
        <w:tc>
          <w:tcPr>
            <w:tcW w:w="1667" w:type="pct"/>
            <w:tcBorders>
              <w:bottom w:val="single" w:sz="4" w:space="0" w:color="auto"/>
            </w:tcBorders>
          </w:tcPr>
          <w:p w14:paraId="1F8128BC" w14:textId="54DB3717" w:rsidR="00C85C59"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rPr>
                <w:rStyle w:val="Strong"/>
              </w:rPr>
              <w:t>8,176,967</w:t>
            </w:r>
          </w:p>
        </w:tc>
      </w:tr>
      <w:tr w:rsidR="00C85C59" w14:paraId="1B18DF7F"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val="restart"/>
          </w:tcPr>
          <w:p w14:paraId="78DF8EB1" w14:textId="77777777" w:rsidR="00C85C59" w:rsidRPr="00BC1CDA" w:rsidRDefault="00C85C59" w:rsidP="00E270BE">
            <w:pPr>
              <w:pStyle w:val="TableText"/>
            </w:pPr>
            <w:r w:rsidRPr="006B5D97">
              <w:rPr>
                <w:rStyle w:val="Strong"/>
              </w:rPr>
              <w:t>Indirect</w:t>
            </w:r>
          </w:p>
        </w:tc>
        <w:tc>
          <w:tcPr>
            <w:tcW w:w="1666" w:type="pct"/>
            <w:tcBorders>
              <w:bottom w:val="dotted" w:sz="4" w:space="0" w:color="auto"/>
            </w:tcBorders>
          </w:tcPr>
          <w:p w14:paraId="337225DF"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pPr>
            <w:r w:rsidRPr="00BC1CDA">
              <w:t xml:space="preserve">Assurance and </w:t>
            </w:r>
            <w:r>
              <w:t>l</w:t>
            </w:r>
            <w:r w:rsidRPr="00BC1CDA">
              <w:t>egal</w:t>
            </w:r>
          </w:p>
        </w:tc>
        <w:tc>
          <w:tcPr>
            <w:tcW w:w="1667" w:type="pct"/>
            <w:tcBorders>
              <w:bottom w:val="dotted" w:sz="4" w:space="0" w:color="auto"/>
            </w:tcBorders>
          </w:tcPr>
          <w:p w14:paraId="3D23A25F" w14:textId="4E23893F"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182,206</w:t>
            </w:r>
          </w:p>
        </w:tc>
      </w:tr>
      <w:tr w:rsidR="00C85C59" w14:paraId="1D477427"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2442BB78" w14:textId="77777777" w:rsidR="00C85C59" w:rsidRPr="00BC1CDA" w:rsidRDefault="00C85C59" w:rsidP="00E270BE">
            <w:pPr>
              <w:pStyle w:val="TableText"/>
            </w:pPr>
          </w:p>
        </w:tc>
        <w:tc>
          <w:tcPr>
            <w:tcW w:w="1666" w:type="pct"/>
            <w:tcBorders>
              <w:top w:val="dotted" w:sz="4" w:space="0" w:color="auto"/>
              <w:bottom w:val="dotted" w:sz="4" w:space="0" w:color="auto"/>
            </w:tcBorders>
          </w:tcPr>
          <w:p w14:paraId="2F1EA424"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pPr>
            <w:r w:rsidRPr="00C47054">
              <w:t>Corporate Strategy and Governance</w:t>
            </w:r>
          </w:p>
        </w:tc>
        <w:tc>
          <w:tcPr>
            <w:tcW w:w="1667" w:type="pct"/>
            <w:tcBorders>
              <w:top w:val="dotted" w:sz="4" w:space="0" w:color="auto"/>
              <w:bottom w:val="dotted" w:sz="4" w:space="0" w:color="auto"/>
            </w:tcBorders>
          </w:tcPr>
          <w:p w14:paraId="458BBFBC" w14:textId="347A5259"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280,335</w:t>
            </w:r>
          </w:p>
        </w:tc>
      </w:tr>
      <w:tr w:rsidR="00C85C59" w14:paraId="0F29E498"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593FC260" w14:textId="77777777" w:rsidR="00C85C59" w:rsidRDefault="00C85C59" w:rsidP="00E270BE">
            <w:pPr>
              <w:pStyle w:val="TableText"/>
            </w:pPr>
          </w:p>
        </w:tc>
        <w:tc>
          <w:tcPr>
            <w:tcW w:w="1666" w:type="pct"/>
            <w:tcBorders>
              <w:top w:val="dotted" w:sz="4" w:space="0" w:color="auto"/>
              <w:bottom w:val="dotted" w:sz="4" w:space="0" w:color="auto"/>
            </w:tcBorders>
          </w:tcPr>
          <w:p w14:paraId="7E10BE47"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pPr>
            <w:r>
              <w:t>Export support</w:t>
            </w:r>
          </w:p>
        </w:tc>
        <w:tc>
          <w:tcPr>
            <w:tcW w:w="1667" w:type="pct"/>
            <w:tcBorders>
              <w:top w:val="dotted" w:sz="4" w:space="0" w:color="auto"/>
              <w:bottom w:val="dotted" w:sz="4" w:space="0" w:color="auto"/>
            </w:tcBorders>
          </w:tcPr>
          <w:p w14:paraId="6360AF17" w14:textId="16802A20"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126,362</w:t>
            </w:r>
          </w:p>
        </w:tc>
      </w:tr>
      <w:tr w:rsidR="00C85C59" w14:paraId="66CD3715"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55334986" w14:textId="77777777" w:rsidR="00C85C59" w:rsidRPr="00BC1CDA" w:rsidRDefault="00C85C59" w:rsidP="00E270BE">
            <w:pPr>
              <w:pStyle w:val="TableText"/>
            </w:pPr>
          </w:p>
        </w:tc>
        <w:tc>
          <w:tcPr>
            <w:tcW w:w="1666" w:type="pct"/>
            <w:tcBorders>
              <w:top w:val="dotted" w:sz="4" w:space="0" w:color="auto"/>
              <w:bottom w:val="dotted" w:sz="4" w:space="0" w:color="auto"/>
            </w:tcBorders>
          </w:tcPr>
          <w:p w14:paraId="2B987D43"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pPr>
            <w:r w:rsidRPr="00C47054">
              <w:t>Finance and Business Support</w:t>
            </w:r>
          </w:p>
        </w:tc>
        <w:tc>
          <w:tcPr>
            <w:tcW w:w="1667" w:type="pct"/>
            <w:tcBorders>
              <w:top w:val="dotted" w:sz="4" w:space="0" w:color="auto"/>
              <w:bottom w:val="dotted" w:sz="4" w:space="0" w:color="auto"/>
            </w:tcBorders>
          </w:tcPr>
          <w:p w14:paraId="140A362E" w14:textId="42923BCC"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689,772</w:t>
            </w:r>
          </w:p>
        </w:tc>
      </w:tr>
      <w:tr w:rsidR="00C85C59" w14:paraId="4C34F450"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69C71F8E" w14:textId="77777777" w:rsidR="00C85C59" w:rsidRPr="00BC1CDA" w:rsidRDefault="00C85C59" w:rsidP="00E270BE">
            <w:pPr>
              <w:pStyle w:val="TableText"/>
            </w:pPr>
          </w:p>
        </w:tc>
        <w:tc>
          <w:tcPr>
            <w:tcW w:w="1666" w:type="pct"/>
            <w:tcBorders>
              <w:top w:val="dotted" w:sz="4" w:space="0" w:color="auto"/>
              <w:bottom w:val="dotted" w:sz="4" w:space="0" w:color="auto"/>
            </w:tcBorders>
          </w:tcPr>
          <w:p w14:paraId="17127F41"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pPr>
            <w:r w:rsidRPr="00BC1CDA">
              <w:t xml:space="preserve">Information </w:t>
            </w:r>
            <w:r>
              <w:t>s</w:t>
            </w:r>
            <w:r w:rsidRPr="00BC1CDA">
              <w:t>ervices</w:t>
            </w:r>
          </w:p>
        </w:tc>
        <w:tc>
          <w:tcPr>
            <w:tcW w:w="1667" w:type="pct"/>
            <w:tcBorders>
              <w:top w:val="dotted" w:sz="4" w:space="0" w:color="auto"/>
              <w:bottom w:val="dotted" w:sz="4" w:space="0" w:color="auto"/>
            </w:tcBorders>
          </w:tcPr>
          <w:p w14:paraId="3BA88CF9" w14:textId="21DA7961"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1,280,379</w:t>
            </w:r>
          </w:p>
        </w:tc>
      </w:tr>
      <w:tr w:rsidR="00C85C59" w14:paraId="05DD1E31"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268D8252" w14:textId="77777777" w:rsidR="00C85C59" w:rsidRDefault="00C85C59" w:rsidP="00E270BE">
            <w:pPr>
              <w:pStyle w:val="TableText"/>
            </w:pPr>
          </w:p>
        </w:tc>
        <w:tc>
          <w:tcPr>
            <w:tcW w:w="1666" w:type="pct"/>
            <w:tcBorders>
              <w:top w:val="dotted" w:sz="4" w:space="0" w:color="auto"/>
              <w:bottom w:val="dotted" w:sz="4" w:space="0" w:color="auto"/>
            </w:tcBorders>
          </w:tcPr>
          <w:p w14:paraId="1DCD54CA"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pPr>
            <w:r>
              <w:t>People services</w:t>
            </w:r>
          </w:p>
        </w:tc>
        <w:tc>
          <w:tcPr>
            <w:tcW w:w="1667" w:type="pct"/>
            <w:tcBorders>
              <w:top w:val="dotted" w:sz="4" w:space="0" w:color="auto"/>
              <w:bottom w:val="dotted" w:sz="4" w:space="0" w:color="auto"/>
            </w:tcBorders>
          </w:tcPr>
          <w:p w14:paraId="693A8A6B" w14:textId="02F5D23F"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528,857</w:t>
            </w:r>
          </w:p>
        </w:tc>
      </w:tr>
      <w:tr w:rsidR="00C85C59" w14:paraId="26086ABF"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0EDBDFD2" w14:textId="77777777" w:rsidR="00C85C59" w:rsidRPr="00BC1CDA" w:rsidRDefault="00C85C59" w:rsidP="00E270BE">
            <w:pPr>
              <w:pStyle w:val="TableText"/>
            </w:pPr>
          </w:p>
        </w:tc>
        <w:tc>
          <w:tcPr>
            <w:tcW w:w="1666" w:type="pct"/>
            <w:tcBorders>
              <w:top w:val="dotted" w:sz="4" w:space="0" w:color="auto"/>
              <w:bottom w:val="single" w:sz="4" w:space="0" w:color="auto"/>
            </w:tcBorders>
          </w:tcPr>
          <w:p w14:paraId="2426409A" w14:textId="77777777" w:rsidR="00C85C59" w:rsidRPr="00BC1CDA" w:rsidRDefault="00C85C59" w:rsidP="00E270BE">
            <w:pPr>
              <w:pStyle w:val="TableText"/>
              <w:cnfStyle w:val="000000000000" w:firstRow="0" w:lastRow="0" w:firstColumn="0" w:lastColumn="0" w:oddVBand="0" w:evenVBand="0" w:oddHBand="0" w:evenHBand="0" w:firstRowFirstColumn="0" w:firstRowLastColumn="0" w:lastRowFirstColumn="0" w:lastRowLastColumn="0"/>
            </w:pPr>
            <w:r w:rsidRPr="00BC1CDA">
              <w:t>Property</w:t>
            </w:r>
          </w:p>
        </w:tc>
        <w:tc>
          <w:tcPr>
            <w:tcW w:w="1667" w:type="pct"/>
            <w:tcBorders>
              <w:top w:val="dotted" w:sz="4" w:space="0" w:color="auto"/>
              <w:bottom w:val="single" w:sz="4" w:space="0" w:color="auto"/>
            </w:tcBorders>
          </w:tcPr>
          <w:p w14:paraId="6A890818" w14:textId="5998700D"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t>1,034,376</w:t>
            </w:r>
          </w:p>
        </w:tc>
      </w:tr>
      <w:tr w:rsidR="00C85C59" w14:paraId="22AB7E26" w14:textId="77777777" w:rsidTr="00E270BE">
        <w:tc>
          <w:tcPr>
            <w:cnfStyle w:val="001000000000" w:firstRow="0" w:lastRow="0" w:firstColumn="1" w:lastColumn="0" w:oddVBand="0" w:evenVBand="0" w:oddHBand="0" w:evenHBand="0" w:firstRowFirstColumn="0" w:firstRowLastColumn="0" w:lastRowFirstColumn="0" w:lastRowLastColumn="0"/>
            <w:tcW w:w="1666" w:type="pct"/>
            <w:vMerge/>
          </w:tcPr>
          <w:p w14:paraId="2BF3D5B0" w14:textId="77777777" w:rsidR="00C85C59" w:rsidRPr="00BC1CDA" w:rsidRDefault="00C85C59" w:rsidP="00E270BE">
            <w:pPr>
              <w:pStyle w:val="TableText"/>
            </w:pPr>
          </w:p>
        </w:tc>
        <w:tc>
          <w:tcPr>
            <w:tcW w:w="1666" w:type="pct"/>
            <w:tcBorders>
              <w:top w:val="single" w:sz="4" w:space="0" w:color="auto"/>
            </w:tcBorders>
          </w:tcPr>
          <w:p w14:paraId="44599289" w14:textId="77777777" w:rsidR="00C85C59" w:rsidRPr="00136C14" w:rsidRDefault="00C85C59" w:rsidP="00E270BE">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136C14">
              <w:rPr>
                <w:rStyle w:val="Strong"/>
              </w:rPr>
              <w:t>Subtotal</w:t>
            </w:r>
          </w:p>
        </w:tc>
        <w:tc>
          <w:tcPr>
            <w:tcW w:w="1667" w:type="pct"/>
            <w:tcBorders>
              <w:top w:val="single" w:sz="4" w:space="0" w:color="auto"/>
            </w:tcBorders>
          </w:tcPr>
          <w:p w14:paraId="3B576431" w14:textId="6BB801A0" w:rsidR="00C85C59"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pPr>
            <w:r>
              <w:rPr>
                <w:rStyle w:val="Strong"/>
              </w:rPr>
              <w:t>4,122,285</w:t>
            </w:r>
          </w:p>
        </w:tc>
      </w:tr>
      <w:tr w:rsidR="00C85C59" w14:paraId="40CD44B0" w14:textId="77777777" w:rsidTr="00E270BE">
        <w:tc>
          <w:tcPr>
            <w:cnfStyle w:val="001000000000" w:firstRow="0" w:lastRow="0" w:firstColumn="1" w:lastColumn="0" w:oddVBand="0" w:evenVBand="0" w:oddHBand="0" w:evenHBand="0" w:firstRowFirstColumn="0" w:firstRowLastColumn="0" w:lastRowFirstColumn="0" w:lastRowLastColumn="0"/>
            <w:tcW w:w="1666" w:type="pct"/>
          </w:tcPr>
          <w:p w14:paraId="2813432F" w14:textId="77777777" w:rsidR="00C85C59" w:rsidRPr="002028AA" w:rsidRDefault="00C85C59" w:rsidP="00E270BE">
            <w:pPr>
              <w:pStyle w:val="TableText"/>
              <w:rPr>
                <w:rStyle w:val="Strong"/>
              </w:rPr>
            </w:pPr>
            <w:r>
              <w:rPr>
                <w:rStyle w:val="Strong"/>
              </w:rPr>
              <w:t>Total</w:t>
            </w:r>
          </w:p>
        </w:tc>
        <w:tc>
          <w:tcPr>
            <w:tcW w:w="1666" w:type="pct"/>
          </w:tcPr>
          <w:p w14:paraId="06053194" w14:textId="77777777" w:rsidR="00C85C59" w:rsidRPr="000A3D57" w:rsidRDefault="00C85C59" w:rsidP="00E270BE">
            <w:pPr>
              <w:pStyle w:val="TableText"/>
              <w:cnfStyle w:val="000000000000" w:firstRow="0" w:lastRow="0" w:firstColumn="0" w:lastColumn="0" w:oddVBand="0" w:evenVBand="0" w:oddHBand="0" w:evenHBand="0" w:firstRowFirstColumn="0" w:firstRowLastColumn="0" w:lastRowFirstColumn="0" w:lastRowLastColumn="0"/>
              <w:rPr>
                <w:rStyle w:val="Strong"/>
                <w:b w:val="0"/>
                <w:bCs w:val="0"/>
                <w:highlight w:val="yellow"/>
              </w:rPr>
            </w:pPr>
            <w:r w:rsidRPr="000A3D57">
              <w:rPr>
                <w:rStyle w:val="Strong"/>
              </w:rPr>
              <w:t>–</w:t>
            </w:r>
          </w:p>
        </w:tc>
        <w:tc>
          <w:tcPr>
            <w:tcW w:w="1667" w:type="pct"/>
          </w:tcPr>
          <w:p w14:paraId="104BA388" w14:textId="2C415ABF" w:rsidR="00C85C59" w:rsidRPr="00B900FC" w:rsidRDefault="0045582E" w:rsidP="00E270BE">
            <w:pPr>
              <w:pStyle w:val="TableText"/>
              <w:jc w:val="right"/>
              <w:cnfStyle w:val="000000000000" w:firstRow="0" w:lastRow="0" w:firstColumn="0" w:lastColumn="0" w:oddVBand="0" w:evenVBand="0" w:oddHBand="0" w:evenHBand="0" w:firstRowFirstColumn="0" w:firstRowLastColumn="0" w:lastRowFirstColumn="0" w:lastRowLastColumn="0"/>
              <w:rPr>
                <w:rStyle w:val="Strong"/>
              </w:rPr>
            </w:pPr>
            <w:r>
              <w:rPr>
                <w:rStyle w:val="Strong"/>
              </w:rPr>
              <w:t>12,299,252</w:t>
            </w:r>
          </w:p>
        </w:tc>
      </w:tr>
    </w:tbl>
    <w:p w14:paraId="0D7D3D36" w14:textId="08CDCF40" w:rsidR="009E72F6" w:rsidRPr="00470A95" w:rsidRDefault="009E72F6" w:rsidP="00470A95">
      <w:pPr>
        <w:rPr>
          <w:sz w:val="18"/>
          <w:szCs w:val="18"/>
        </w:rPr>
      </w:pPr>
      <w:bookmarkStart w:id="110" w:name="_Toc162351715"/>
      <w:bookmarkStart w:id="111" w:name="_Toc170293379"/>
      <w:bookmarkStart w:id="112" w:name="_Toc193794427"/>
      <w:bookmarkEnd w:id="108"/>
      <w:r w:rsidRPr="00470A95">
        <w:rPr>
          <w:b/>
          <w:bCs/>
          <w:sz w:val="18"/>
          <w:szCs w:val="18"/>
        </w:rPr>
        <w:t>Note</w:t>
      </w:r>
      <w:r w:rsidRPr="00470A95">
        <w:rPr>
          <w:sz w:val="18"/>
          <w:szCs w:val="18"/>
        </w:rPr>
        <w:t>: Structural changes to the department from machinery of government decisions means that some indirect expenses in this table have been reclassified as direct expenses and there have been some changes in terminology. (eg. Export Support is now known as Digital Business Division)</w:t>
      </w:r>
    </w:p>
    <w:p w14:paraId="1B4FEBC8" w14:textId="4E4D7B3A" w:rsidR="003E3253" w:rsidRPr="000B3A3F" w:rsidRDefault="003E3253" w:rsidP="00324495">
      <w:pPr>
        <w:pStyle w:val="Heading2"/>
      </w:pPr>
      <w:bookmarkStart w:id="113" w:name="_Toc198898882"/>
      <w:r w:rsidRPr="00324495">
        <w:lastRenderedPageBreak/>
        <w:t>Design</w:t>
      </w:r>
      <w:r w:rsidRPr="000B3A3F">
        <w:t xml:space="preserve"> of </w:t>
      </w:r>
      <w:r w:rsidRPr="003E3253">
        <w:t>regulatory</w:t>
      </w:r>
      <w:r w:rsidRPr="000B3A3F">
        <w:t xml:space="preserve"> charges</w:t>
      </w:r>
      <w:bookmarkEnd w:id="110"/>
      <w:bookmarkEnd w:id="111"/>
      <w:bookmarkEnd w:id="112"/>
      <w:bookmarkEnd w:id="113"/>
    </w:p>
    <w:p w14:paraId="6415273A" w14:textId="03C782D4" w:rsidR="003E3253" w:rsidRDefault="003E3253" w:rsidP="003E3253">
      <w:bookmarkStart w:id="114" w:name="_Hlk194059722"/>
      <w:r w:rsidRPr="000B3A3F">
        <w:t>This CRIS provides for a mix of fee</w:t>
      </w:r>
      <w:r>
        <w:t>-</w:t>
      </w:r>
      <w:r w:rsidRPr="000B3A3F">
        <w:t>for</w:t>
      </w:r>
      <w:r>
        <w:t>-</w:t>
      </w:r>
      <w:r w:rsidRPr="000B3A3F">
        <w:t>service and levy (charges) regulatory activities, implemented under the</w:t>
      </w:r>
      <w:r>
        <w:t xml:space="preserve"> </w:t>
      </w:r>
      <w:hyperlink r:id="rId27" w:history="1">
        <w:r w:rsidRPr="00D30265">
          <w:rPr>
            <w:rStyle w:val="Hyperlink"/>
          </w:rPr>
          <w:t>Export Control (Fees and Payments) Rules 2021</w:t>
        </w:r>
      </w:hyperlink>
      <w:r w:rsidR="00F32D48">
        <w:t xml:space="preserve"> and the </w:t>
      </w:r>
      <w:hyperlink r:id="rId28" w:history="1">
        <w:r w:rsidR="00F32D48" w:rsidRPr="00F32D48">
          <w:rPr>
            <w:rStyle w:val="Hyperlink"/>
          </w:rPr>
          <w:t>Export Charges (Imposition—General) Regulations 2021</w:t>
        </w:r>
      </w:hyperlink>
      <w:bookmarkEnd w:id="114"/>
    </w:p>
    <w:p w14:paraId="1A8ED887" w14:textId="77777777" w:rsidR="003E3253" w:rsidRPr="00DC1999" w:rsidRDefault="003E3253" w:rsidP="003E3253">
      <w:r w:rsidRPr="000B3A3F">
        <w:t>Fees are charged when regulation is provided directly to an individual or organisation for the delivery of regulatory activities such as inspections of goods, audit of registered premises, or assessment of export certification</w:t>
      </w:r>
      <w:r>
        <w:t xml:space="preserve"> (</w:t>
      </w:r>
      <w:r w:rsidRPr="00D30265">
        <w:t xml:space="preserve">see </w:t>
      </w:r>
      <w:hyperlink w:anchor="_Intervention_activities" w:history="1">
        <w:r w:rsidRPr="00D30265">
          <w:rPr>
            <w:rStyle w:val="Hyperlink"/>
          </w:rPr>
          <w:t>Intervention activities</w:t>
        </w:r>
      </w:hyperlink>
      <w:r>
        <w:t>)</w:t>
      </w:r>
      <w:r w:rsidRPr="00DC1999">
        <w:t>.</w:t>
      </w:r>
    </w:p>
    <w:p w14:paraId="75158191" w14:textId="2767A718" w:rsidR="003E3253" w:rsidRDefault="003E3253" w:rsidP="003E3253">
      <w:r w:rsidRPr="000B3A3F">
        <w:t xml:space="preserve">Cost recovery levies or charges are applied when regulation is imposed on an industry sector rather than directly to a specific individual or organisation. These charges recover the costs of maintaining regulatory infrastructure and integrity through program management and administration, assurance and incident management activities, as described at </w:t>
      </w:r>
      <w:hyperlink w:anchor="_Appendix_B:_Cost" w:history="1">
        <w:r w:rsidRPr="00EB17A4">
          <w:rPr>
            <w:rStyle w:val="Hyperlink"/>
          </w:rPr>
          <w:t>Appendix B</w:t>
        </w:r>
      </w:hyperlink>
      <w:r>
        <w:t>.</w:t>
      </w:r>
    </w:p>
    <w:p w14:paraId="55187F4D" w14:textId="77777777" w:rsidR="003E3253" w:rsidRPr="003E3253" w:rsidRDefault="003E3253" w:rsidP="00324495">
      <w:pPr>
        <w:pStyle w:val="Heading3"/>
      </w:pPr>
      <w:bookmarkStart w:id="115" w:name="_Toc170293380"/>
      <w:bookmarkStart w:id="116" w:name="_Toc193794428"/>
      <w:bookmarkStart w:id="117" w:name="_Toc198898883"/>
      <w:bookmarkStart w:id="118" w:name="_Ref70339553"/>
      <w:bookmarkStart w:id="119" w:name="_Toc115267782"/>
      <w:bookmarkStart w:id="120" w:name="_Toc161657019"/>
      <w:r w:rsidRPr="00DA370D">
        <w:t>Horticulture</w:t>
      </w:r>
      <w:r w:rsidRPr="003E3253">
        <w:t xml:space="preserve"> exports fees and charges</w:t>
      </w:r>
      <w:bookmarkEnd w:id="115"/>
      <w:bookmarkEnd w:id="116"/>
      <w:bookmarkEnd w:id="117"/>
    </w:p>
    <w:p w14:paraId="2186E9B8" w14:textId="77777777" w:rsidR="004C5012" w:rsidRPr="00905353" w:rsidRDefault="004C5012" w:rsidP="004C5012">
      <w:bookmarkStart w:id="121" w:name="_Hlk193704296"/>
      <w:r w:rsidRPr="00905353">
        <w:t>No changes to the types of fees and charges or charge points are proposed in this CRIS.</w:t>
      </w:r>
    </w:p>
    <w:p w14:paraId="4FC0EDDE" w14:textId="44833A6C" w:rsidR="004C5012" w:rsidRPr="00026491" w:rsidRDefault="004C5012" w:rsidP="004C5012">
      <w:bookmarkStart w:id="122" w:name="_Hlk194059787"/>
      <w:r>
        <w:t>Figures</w:t>
      </w:r>
      <w:r w:rsidRPr="00FF7F04">
        <w:t xml:space="preserve"> in this table </w:t>
      </w:r>
      <w:r>
        <w:t>are</w:t>
      </w:r>
      <w:r w:rsidRPr="00FF7F04">
        <w:t xml:space="preserve"> sourced from modelling which occurred in </w:t>
      </w:r>
      <w:r>
        <w:t xml:space="preserve">2020 and the methodology to set prices between </w:t>
      </w:r>
      <w:r w:rsidR="000436CB">
        <w:t xml:space="preserve">the </w:t>
      </w:r>
      <w:r>
        <w:t>2021</w:t>
      </w:r>
      <w:r w:rsidR="00982FC5" w:rsidRPr="007E7F52">
        <w:t>–</w:t>
      </w:r>
      <w:r w:rsidR="000436CB">
        <w:t>22</w:t>
      </w:r>
      <w:r>
        <w:t xml:space="preserve"> and 2024</w:t>
      </w:r>
      <w:r w:rsidR="00982FC5" w:rsidRPr="007E7F52">
        <w:t>–</w:t>
      </w:r>
      <w:r w:rsidR="000436CB">
        <w:t>25 financial years</w:t>
      </w:r>
      <w:r w:rsidRPr="00FF7F04">
        <w:t xml:space="preserve">. This modelling </w:t>
      </w:r>
      <w:r>
        <w:t xml:space="preserve">has not been updated to reflect contemporary volumes or the increase in expenditure. As a result, these figures are not expected to match those in table </w:t>
      </w:r>
      <w:r w:rsidR="00834D72">
        <w:t>6</w:t>
      </w:r>
      <w:r>
        <w:t>.</w:t>
      </w:r>
    </w:p>
    <w:p w14:paraId="37723611" w14:textId="3D2FD635" w:rsidR="004C5012" w:rsidRPr="008706A8" w:rsidRDefault="004C5012" w:rsidP="004C5012">
      <w:pPr>
        <w:rPr>
          <w:rFonts w:ascii="Calibri" w:eastAsia="Calibri" w:hAnsi="Calibri" w:cs="Times New Roman"/>
        </w:rPr>
      </w:pPr>
      <w:bookmarkStart w:id="123" w:name="_Hlk194059825"/>
      <w:bookmarkEnd w:id="122"/>
      <w:r w:rsidRPr="008706A8">
        <w:rPr>
          <w:rFonts w:ascii="Calibri" w:eastAsia="Calibri" w:hAnsi="Calibri" w:cs="Times New Roman"/>
        </w:rPr>
        <w:t xml:space="preserve">The fees and charges have been legislated in the </w:t>
      </w:r>
      <w:hyperlink r:id="rId29" w:history="1">
        <w:hyperlink r:id="rId30" w:history="1">
          <w:r w:rsidRPr="008706A8">
            <w:rPr>
              <w:rFonts w:ascii="Calibri" w:eastAsia="Calibri" w:hAnsi="Calibri" w:cs="Times New Roman"/>
              <w:color w:val="165788"/>
              <w:u w:val="single"/>
            </w:rPr>
            <w:t>Export Control (Fees and Payments) Rules 2021</w:t>
          </w:r>
        </w:hyperlink>
      </w:hyperlink>
      <w:r w:rsidR="0075237E">
        <w:t xml:space="preserve"> and the </w:t>
      </w:r>
      <w:hyperlink r:id="rId31" w:history="1">
        <w:r w:rsidR="0075237E" w:rsidRPr="0075237E">
          <w:rPr>
            <w:rStyle w:val="Hyperlink"/>
          </w:rPr>
          <w:t>Export Charges (Imposition—General) Regulations 2021</w:t>
        </w:r>
      </w:hyperlink>
    </w:p>
    <w:bookmarkEnd w:id="123"/>
    <w:p w14:paraId="2542A261" w14:textId="0BADF4A3" w:rsidR="003E3253" w:rsidRDefault="004C5012" w:rsidP="003E3253">
      <w:r w:rsidRPr="008706A8">
        <w:rPr>
          <w:rFonts w:ascii="Calibri" w:eastAsia="Calibri" w:hAnsi="Calibri" w:cs="Times New Roman"/>
        </w:rPr>
        <w:t>The payable for 202</w:t>
      </w:r>
      <w:r>
        <w:rPr>
          <w:rFonts w:ascii="Calibri" w:eastAsia="Calibri" w:hAnsi="Calibri" w:cs="Times New Roman"/>
        </w:rPr>
        <w:t>5</w:t>
      </w:r>
      <w:r w:rsidRPr="008706A8">
        <w:rPr>
          <w:rFonts w:ascii="Calibri" w:eastAsia="Calibri" w:hAnsi="Calibri" w:cs="Times New Roman"/>
        </w:rPr>
        <w:t>–2</w:t>
      </w:r>
      <w:r>
        <w:rPr>
          <w:rFonts w:ascii="Calibri" w:eastAsia="Calibri" w:hAnsi="Calibri" w:cs="Times New Roman"/>
        </w:rPr>
        <w:t>6</w:t>
      </w:r>
      <w:r w:rsidRPr="008706A8">
        <w:rPr>
          <w:rFonts w:ascii="Calibri" w:eastAsia="Calibri" w:hAnsi="Calibri" w:cs="Times New Roman"/>
        </w:rPr>
        <w:t xml:space="preserve"> is </w:t>
      </w:r>
      <w:r w:rsidRPr="005F109D">
        <w:rPr>
          <w:rFonts w:ascii="Calibri" w:eastAsia="Calibri" w:hAnsi="Calibri" w:cs="Times New Roman"/>
        </w:rPr>
        <w:t xml:space="preserve">shown in </w:t>
      </w:r>
      <w:bookmarkEnd w:id="121"/>
      <w:r w:rsidR="005F109D" w:rsidRPr="005F109D">
        <w:rPr>
          <w:rFonts w:ascii="Calibri" w:eastAsia="Calibri" w:hAnsi="Calibri" w:cs="Times New Roman"/>
        </w:rPr>
        <w:fldChar w:fldCharType="begin"/>
      </w:r>
      <w:r w:rsidR="005F109D" w:rsidRPr="005F109D">
        <w:rPr>
          <w:rFonts w:ascii="Calibri" w:eastAsia="Calibri" w:hAnsi="Calibri" w:cs="Times New Roman"/>
        </w:rPr>
        <w:instrText>HYPERLINK  \l "Table_5"</w:instrText>
      </w:r>
      <w:r w:rsidR="005F109D" w:rsidRPr="005F109D">
        <w:rPr>
          <w:rFonts w:ascii="Calibri" w:eastAsia="Calibri" w:hAnsi="Calibri" w:cs="Times New Roman"/>
        </w:rPr>
      </w:r>
      <w:r w:rsidR="005F109D" w:rsidRPr="005F109D">
        <w:rPr>
          <w:rFonts w:ascii="Calibri" w:eastAsia="Calibri" w:hAnsi="Calibri" w:cs="Times New Roman"/>
        </w:rPr>
        <w:fldChar w:fldCharType="separate"/>
      </w:r>
      <w:r w:rsidR="005F109D" w:rsidRPr="005F109D">
        <w:rPr>
          <w:rStyle w:val="Hyperlink"/>
          <w:rFonts w:ascii="Calibri" w:eastAsia="Calibri" w:hAnsi="Calibri" w:cs="Times New Roman"/>
          <w:color w:val="auto"/>
          <w:u w:val="none"/>
        </w:rPr>
        <w:t>Table 5</w:t>
      </w:r>
      <w:r w:rsidR="005F109D" w:rsidRPr="005F109D">
        <w:rPr>
          <w:rFonts w:ascii="Calibri" w:eastAsia="Calibri" w:hAnsi="Calibri" w:cs="Times New Roman"/>
        </w:rPr>
        <w:fldChar w:fldCharType="end"/>
      </w:r>
      <w:r w:rsidR="005F109D">
        <w:rPr>
          <w:rFonts w:ascii="Calibri" w:eastAsia="Calibri" w:hAnsi="Calibri" w:cs="Times New Roman"/>
        </w:rPr>
        <w:t>.</w:t>
      </w:r>
    </w:p>
    <w:p w14:paraId="085C3391" w14:textId="3E7C2950" w:rsidR="003E3253" w:rsidRPr="000B3A3F" w:rsidRDefault="00A305CC" w:rsidP="00A305CC">
      <w:pPr>
        <w:pStyle w:val="Caption"/>
      </w:pPr>
      <w:bookmarkStart w:id="124" w:name="_Ref198899303"/>
      <w:bookmarkStart w:id="125" w:name="_Toc162352114"/>
      <w:bookmarkStart w:id="126" w:name="_Toc162948403"/>
      <w:bookmarkStart w:id="127" w:name="_Toc163028279"/>
      <w:bookmarkStart w:id="128" w:name="_Toc163129548"/>
      <w:bookmarkStart w:id="129" w:name="_Toc170293406"/>
      <w:bookmarkStart w:id="130" w:name="_Toc201226996"/>
      <w:bookmarkEnd w:id="118"/>
      <w:bookmarkEnd w:id="119"/>
      <w:bookmarkEnd w:id="120"/>
      <w:r>
        <w:t xml:space="preserve">Table </w:t>
      </w:r>
      <w:r>
        <w:fldChar w:fldCharType="begin"/>
      </w:r>
      <w:r>
        <w:instrText xml:space="preserve"> SEQ Table \* ARABIC </w:instrText>
      </w:r>
      <w:r>
        <w:fldChar w:fldCharType="separate"/>
      </w:r>
      <w:r w:rsidR="0001784A">
        <w:rPr>
          <w:noProof/>
        </w:rPr>
        <w:t>5</w:t>
      </w:r>
      <w:r>
        <w:fldChar w:fldCharType="end"/>
      </w:r>
      <w:bookmarkEnd w:id="124"/>
      <w:r>
        <w:t xml:space="preserve"> </w:t>
      </w:r>
      <w:r w:rsidR="003E3253" w:rsidRPr="000B3A3F">
        <w:t xml:space="preserve">Fees, charges and volumes for horticulture exports cost recovery arrangement, </w:t>
      </w:r>
      <w:bookmarkEnd w:id="125"/>
      <w:bookmarkEnd w:id="126"/>
      <w:bookmarkEnd w:id="127"/>
      <w:bookmarkEnd w:id="128"/>
      <w:bookmarkEnd w:id="129"/>
      <w:r w:rsidR="00B209E2">
        <w:t>2025-26</w:t>
      </w:r>
      <w:bookmarkEnd w:id="130"/>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1997"/>
        <w:gridCol w:w="1810"/>
        <w:gridCol w:w="1154"/>
        <w:gridCol w:w="1038"/>
        <w:gridCol w:w="677"/>
        <w:gridCol w:w="800"/>
      </w:tblGrid>
      <w:tr w:rsidR="00FF520A" w14:paraId="019392D1" w14:textId="77777777" w:rsidTr="00FF520A">
        <w:trPr>
          <w:cantSplit/>
          <w:tblHeader/>
        </w:trPr>
        <w:tc>
          <w:tcPr>
            <w:tcW w:w="879" w:type="pct"/>
            <w:tcBorders>
              <w:top w:val="single" w:sz="4" w:space="0" w:color="auto"/>
              <w:bottom w:val="single" w:sz="4" w:space="0" w:color="auto"/>
            </w:tcBorders>
          </w:tcPr>
          <w:p w14:paraId="5432EA5C" w14:textId="77777777" w:rsidR="00FF520A" w:rsidRPr="00C714DB" w:rsidRDefault="00FF520A" w:rsidP="00A83E42">
            <w:pPr>
              <w:pStyle w:val="TableHeading"/>
            </w:pPr>
            <w:bookmarkStart w:id="131" w:name="Table_5"/>
            <w:bookmarkEnd w:id="131"/>
            <w:r>
              <w:t>Category</w:t>
            </w:r>
          </w:p>
        </w:tc>
        <w:tc>
          <w:tcPr>
            <w:tcW w:w="1101" w:type="pct"/>
            <w:tcBorders>
              <w:top w:val="single" w:sz="4" w:space="0" w:color="auto"/>
              <w:bottom w:val="single" w:sz="4" w:space="0" w:color="auto"/>
            </w:tcBorders>
          </w:tcPr>
          <w:p w14:paraId="4055BD77" w14:textId="77777777" w:rsidR="00FF520A" w:rsidRPr="00C714DB" w:rsidRDefault="00FF520A" w:rsidP="00A83E42">
            <w:pPr>
              <w:pStyle w:val="TableHeading"/>
            </w:pPr>
            <w:r>
              <w:t>Charge title</w:t>
            </w:r>
          </w:p>
        </w:tc>
        <w:tc>
          <w:tcPr>
            <w:tcW w:w="998" w:type="pct"/>
            <w:tcBorders>
              <w:top w:val="single" w:sz="4" w:space="0" w:color="auto"/>
              <w:bottom w:val="single" w:sz="4" w:space="0" w:color="auto"/>
            </w:tcBorders>
          </w:tcPr>
          <w:p w14:paraId="3452433E" w14:textId="77777777" w:rsidR="00FF520A" w:rsidRPr="00C714DB" w:rsidRDefault="00FF520A" w:rsidP="00A83E42">
            <w:pPr>
              <w:pStyle w:val="TableHeading"/>
            </w:pPr>
            <w:r>
              <w:t>Unit</w:t>
            </w:r>
          </w:p>
        </w:tc>
        <w:tc>
          <w:tcPr>
            <w:tcW w:w="636" w:type="pct"/>
            <w:tcBorders>
              <w:top w:val="single" w:sz="4" w:space="0" w:color="auto"/>
              <w:bottom w:val="single" w:sz="4" w:space="0" w:color="auto"/>
            </w:tcBorders>
          </w:tcPr>
          <w:p w14:paraId="5C4E509D" w14:textId="11FC98A4" w:rsidR="00FF520A" w:rsidRDefault="00FF520A" w:rsidP="00A83E42">
            <w:pPr>
              <w:pStyle w:val="TableHeading"/>
              <w:jc w:val="right"/>
            </w:pPr>
            <w:r>
              <w:t>Modelled Cost ($)</w:t>
            </w:r>
          </w:p>
        </w:tc>
        <w:tc>
          <w:tcPr>
            <w:tcW w:w="572" w:type="pct"/>
            <w:tcBorders>
              <w:top w:val="single" w:sz="4" w:space="0" w:color="auto"/>
              <w:bottom w:val="single" w:sz="4" w:space="0" w:color="auto"/>
            </w:tcBorders>
          </w:tcPr>
          <w:p w14:paraId="0F11B654" w14:textId="27B6A377" w:rsidR="00FF520A" w:rsidRDefault="00FF520A" w:rsidP="00833460">
            <w:pPr>
              <w:pStyle w:val="TableHeading"/>
              <w:jc w:val="right"/>
            </w:pPr>
            <w:r>
              <w:t>Modelled volume</w:t>
            </w:r>
            <w:r w:rsidR="00D252EA">
              <w:t xml:space="preserve"> (units)</w:t>
            </w:r>
          </w:p>
        </w:tc>
        <w:tc>
          <w:tcPr>
            <w:tcW w:w="373" w:type="pct"/>
            <w:tcBorders>
              <w:top w:val="single" w:sz="4" w:space="0" w:color="auto"/>
              <w:bottom w:val="single" w:sz="4" w:space="0" w:color="auto"/>
            </w:tcBorders>
          </w:tcPr>
          <w:p w14:paraId="0ED7E8F6" w14:textId="704B2D31" w:rsidR="00FF520A" w:rsidRDefault="00FF520A" w:rsidP="00A83E42">
            <w:pPr>
              <w:pStyle w:val="TableHeading"/>
              <w:jc w:val="right"/>
            </w:pPr>
          </w:p>
        </w:tc>
        <w:tc>
          <w:tcPr>
            <w:tcW w:w="441" w:type="pct"/>
            <w:tcBorders>
              <w:top w:val="single" w:sz="4" w:space="0" w:color="auto"/>
              <w:bottom w:val="single" w:sz="4" w:space="0" w:color="auto"/>
            </w:tcBorders>
          </w:tcPr>
          <w:p w14:paraId="52EA602A" w14:textId="0FF8777A" w:rsidR="00FF520A" w:rsidRPr="00C714DB" w:rsidRDefault="00FF520A" w:rsidP="00833460">
            <w:pPr>
              <w:pStyle w:val="TableHeading"/>
            </w:pPr>
            <w:r>
              <w:t>Price</w:t>
            </w:r>
            <w:r w:rsidR="00567B3C">
              <w:t xml:space="preserve"> </w:t>
            </w:r>
            <w:r>
              <w:t>($)</w:t>
            </w:r>
          </w:p>
        </w:tc>
      </w:tr>
      <w:tr w:rsidR="00FF520A" w:rsidRPr="00EF67D8" w14:paraId="352CB7BB" w14:textId="77777777" w:rsidTr="00FF520A">
        <w:tc>
          <w:tcPr>
            <w:tcW w:w="879" w:type="pct"/>
            <w:vMerge w:val="restart"/>
            <w:tcBorders>
              <w:top w:val="single" w:sz="4" w:space="0" w:color="auto"/>
              <w:bottom w:val="single" w:sz="4" w:space="0" w:color="auto"/>
            </w:tcBorders>
          </w:tcPr>
          <w:p w14:paraId="15740DAE" w14:textId="77777777" w:rsidR="00FF520A" w:rsidRPr="00A864D2" w:rsidRDefault="00FF520A" w:rsidP="00A83E42">
            <w:pPr>
              <w:pStyle w:val="TableText"/>
              <w:rPr>
                <w:rStyle w:val="Strong"/>
              </w:rPr>
            </w:pPr>
            <w:r w:rsidRPr="00A864D2">
              <w:rPr>
                <w:rStyle w:val="Strong"/>
              </w:rPr>
              <w:t>Levies</w:t>
            </w:r>
          </w:p>
        </w:tc>
        <w:tc>
          <w:tcPr>
            <w:tcW w:w="1101" w:type="pct"/>
            <w:tcBorders>
              <w:top w:val="single" w:sz="4" w:space="0" w:color="auto"/>
              <w:bottom w:val="dotted" w:sz="4" w:space="0" w:color="auto"/>
            </w:tcBorders>
          </w:tcPr>
          <w:p w14:paraId="203D9711" w14:textId="77777777" w:rsidR="00FF520A" w:rsidRPr="00A864D2" w:rsidRDefault="00FF520A" w:rsidP="00A83E42">
            <w:pPr>
              <w:pStyle w:val="TableText"/>
              <w:rPr>
                <w:rStyle w:val="Strong"/>
                <w:b w:val="0"/>
                <w:bCs w:val="0"/>
              </w:rPr>
            </w:pPr>
            <w:r w:rsidRPr="00A864D2">
              <w:t>Establishment registration – grower or exporter</w:t>
            </w:r>
          </w:p>
        </w:tc>
        <w:tc>
          <w:tcPr>
            <w:tcW w:w="998" w:type="pct"/>
            <w:tcBorders>
              <w:top w:val="single" w:sz="4" w:space="0" w:color="auto"/>
              <w:bottom w:val="dotted" w:sz="4" w:space="0" w:color="auto"/>
            </w:tcBorders>
          </w:tcPr>
          <w:p w14:paraId="75D937C2" w14:textId="77777777" w:rsidR="00FF520A" w:rsidRPr="00A864D2" w:rsidRDefault="00FF520A" w:rsidP="00A83E42">
            <w:pPr>
              <w:pStyle w:val="TableText"/>
              <w:rPr>
                <w:rStyle w:val="Strong"/>
                <w:b w:val="0"/>
                <w:bCs w:val="0"/>
              </w:rPr>
            </w:pPr>
            <w:r w:rsidRPr="00A864D2">
              <w:t>Annual</w:t>
            </w:r>
          </w:p>
        </w:tc>
        <w:tc>
          <w:tcPr>
            <w:tcW w:w="636" w:type="pct"/>
            <w:tcBorders>
              <w:top w:val="single" w:sz="4" w:space="0" w:color="auto"/>
              <w:bottom w:val="dotted" w:sz="4" w:space="0" w:color="auto"/>
            </w:tcBorders>
          </w:tcPr>
          <w:p w14:paraId="02D24F9C" w14:textId="0DB04B0A" w:rsidR="00FF520A" w:rsidRPr="00A864D2" w:rsidRDefault="00FF520A" w:rsidP="00A83E42">
            <w:pPr>
              <w:pStyle w:val="TableText"/>
              <w:jc w:val="right"/>
            </w:pPr>
            <w:r w:rsidRPr="00A864D2">
              <w:t>83,780</w:t>
            </w:r>
          </w:p>
        </w:tc>
        <w:tc>
          <w:tcPr>
            <w:tcW w:w="572" w:type="pct"/>
            <w:tcBorders>
              <w:top w:val="single" w:sz="4" w:space="0" w:color="auto"/>
              <w:bottom w:val="dotted" w:sz="4" w:space="0" w:color="auto"/>
            </w:tcBorders>
          </w:tcPr>
          <w:p w14:paraId="21D1931F" w14:textId="2082269D" w:rsidR="00FF520A" w:rsidRPr="00A864D2" w:rsidRDefault="00FF520A" w:rsidP="00A83E42">
            <w:pPr>
              <w:pStyle w:val="TableText"/>
              <w:jc w:val="right"/>
            </w:pPr>
            <w:r w:rsidRPr="00A864D2">
              <w:t>71</w:t>
            </w:r>
          </w:p>
        </w:tc>
        <w:tc>
          <w:tcPr>
            <w:tcW w:w="373" w:type="pct"/>
            <w:tcBorders>
              <w:top w:val="single" w:sz="4" w:space="0" w:color="auto"/>
              <w:bottom w:val="dotted" w:sz="4" w:space="0" w:color="auto"/>
            </w:tcBorders>
          </w:tcPr>
          <w:p w14:paraId="364D21F1" w14:textId="2A588ACD" w:rsidR="00FF520A" w:rsidRPr="00A864D2" w:rsidRDefault="00FF520A" w:rsidP="00A83E42">
            <w:pPr>
              <w:pStyle w:val="TableText"/>
              <w:jc w:val="right"/>
            </w:pPr>
          </w:p>
        </w:tc>
        <w:tc>
          <w:tcPr>
            <w:tcW w:w="441" w:type="pct"/>
            <w:tcBorders>
              <w:top w:val="single" w:sz="4" w:space="0" w:color="auto"/>
              <w:bottom w:val="dotted" w:sz="4" w:space="0" w:color="auto"/>
            </w:tcBorders>
          </w:tcPr>
          <w:p w14:paraId="293D0819" w14:textId="5F84D9D3" w:rsidR="00FF520A" w:rsidRPr="00A864D2" w:rsidRDefault="00FF520A" w:rsidP="00833460">
            <w:pPr>
              <w:pStyle w:val="TableText"/>
              <w:jc w:val="right"/>
            </w:pPr>
            <w:r w:rsidRPr="00A864D2">
              <w:t>1,180</w:t>
            </w:r>
          </w:p>
        </w:tc>
      </w:tr>
      <w:tr w:rsidR="00FF520A" w14:paraId="49525CF6" w14:textId="77777777" w:rsidTr="00FF520A">
        <w:tc>
          <w:tcPr>
            <w:tcW w:w="879" w:type="pct"/>
            <w:vMerge/>
            <w:tcBorders>
              <w:top w:val="single" w:sz="4" w:space="0" w:color="auto"/>
              <w:bottom w:val="single" w:sz="4" w:space="0" w:color="auto"/>
            </w:tcBorders>
          </w:tcPr>
          <w:p w14:paraId="0F914712" w14:textId="77777777" w:rsidR="00FF520A" w:rsidRPr="00A864D2" w:rsidRDefault="00FF520A" w:rsidP="00A83E42">
            <w:pPr>
              <w:pStyle w:val="TableText"/>
            </w:pPr>
          </w:p>
        </w:tc>
        <w:tc>
          <w:tcPr>
            <w:tcW w:w="1101" w:type="pct"/>
            <w:tcBorders>
              <w:top w:val="dotted" w:sz="4" w:space="0" w:color="auto"/>
              <w:bottom w:val="dotted" w:sz="4" w:space="0" w:color="auto"/>
            </w:tcBorders>
          </w:tcPr>
          <w:p w14:paraId="5360319D" w14:textId="77777777" w:rsidR="00FF520A" w:rsidRPr="00A864D2" w:rsidRDefault="00FF520A" w:rsidP="00A83E42">
            <w:pPr>
              <w:pStyle w:val="TableText"/>
            </w:pPr>
            <w:r w:rsidRPr="00A864D2">
              <w:t>Establishment registration– simple</w:t>
            </w:r>
          </w:p>
        </w:tc>
        <w:tc>
          <w:tcPr>
            <w:tcW w:w="998" w:type="pct"/>
            <w:tcBorders>
              <w:top w:val="dotted" w:sz="4" w:space="0" w:color="auto"/>
              <w:bottom w:val="dotted" w:sz="4" w:space="0" w:color="auto"/>
            </w:tcBorders>
          </w:tcPr>
          <w:p w14:paraId="2C5C3718" w14:textId="77777777" w:rsidR="00FF520A" w:rsidRPr="00A864D2" w:rsidRDefault="00FF520A" w:rsidP="00A83E42">
            <w:pPr>
              <w:pStyle w:val="TableText"/>
            </w:pPr>
            <w:r w:rsidRPr="00A864D2">
              <w:t>Annual</w:t>
            </w:r>
          </w:p>
        </w:tc>
        <w:tc>
          <w:tcPr>
            <w:tcW w:w="636" w:type="pct"/>
            <w:tcBorders>
              <w:top w:val="dotted" w:sz="4" w:space="0" w:color="auto"/>
              <w:bottom w:val="dotted" w:sz="4" w:space="0" w:color="auto"/>
            </w:tcBorders>
          </w:tcPr>
          <w:p w14:paraId="4F916815" w14:textId="3F3B7A94" w:rsidR="00FF520A" w:rsidRPr="00A864D2" w:rsidRDefault="00FF520A" w:rsidP="00A83E42">
            <w:pPr>
              <w:pStyle w:val="TableText"/>
              <w:jc w:val="right"/>
            </w:pPr>
            <w:r w:rsidRPr="00A864D2">
              <w:t>896,800</w:t>
            </w:r>
          </w:p>
        </w:tc>
        <w:tc>
          <w:tcPr>
            <w:tcW w:w="572" w:type="pct"/>
            <w:tcBorders>
              <w:top w:val="dotted" w:sz="4" w:space="0" w:color="auto"/>
              <w:bottom w:val="dotted" w:sz="4" w:space="0" w:color="auto"/>
            </w:tcBorders>
          </w:tcPr>
          <w:p w14:paraId="55C01168" w14:textId="3C100883" w:rsidR="00FF520A" w:rsidRPr="00A864D2" w:rsidRDefault="00FF520A" w:rsidP="00A83E42">
            <w:pPr>
              <w:pStyle w:val="TableText"/>
              <w:jc w:val="right"/>
            </w:pPr>
            <w:r w:rsidRPr="00A864D2">
              <w:t>152</w:t>
            </w:r>
          </w:p>
        </w:tc>
        <w:tc>
          <w:tcPr>
            <w:tcW w:w="373" w:type="pct"/>
            <w:tcBorders>
              <w:top w:val="dotted" w:sz="4" w:space="0" w:color="auto"/>
              <w:bottom w:val="dotted" w:sz="4" w:space="0" w:color="auto"/>
            </w:tcBorders>
          </w:tcPr>
          <w:p w14:paraId="0D76085C" w14:textId="7D057756" w:rsidR="00FF520A" w:rsidRPr="00A864D2" w:rsidRDefault="00FF520A" w:rsidP="00A83E42">
            <w:pPr>
              <w:pStyle w:val="TableText"/>
              <w:jc w:val="right"/>
            </w:pPr>
          </w:p>
        </w:tc>
        <w:tc>
          <w:tcPr>
            <w:tcW w:w="441" w:type="pct"/>
            <w:tcBorders>
              <w:top w:val="dotted" w:sz="4" w:space="0" w:color="auto"/>
              <w:bottom w:val="dotted" w:sz="4" w:space="0" w:color="auto"/>
            </w:tcBorders>
          </w:tcPr>
          <w:p w14:paraId="68BA4C23" w14:textId="6CFAE640" w:rsidR="00FF520A" w:rsidRPr="00A864D2" w:rsidRDefault="00FF520A" w:rsidP="00833460">
            <w:pPr>
              <w:pStyle w:val="TableText"/>
              <w:jc w:val="right"/>
            </w:pPr>
            <w:r w:rsidRPr="00A864D2">
              <w:t>5,900</w:t>
            </w:r>
          </w:p>
        </w:tc>
      </w:tr>
      <w:tr w:rsidR="00FF520A" w14:paraId="418BE6C0" w14:textId="77777777" w:rsidTr="00FF520A">
        <w:tc>
          <w:tcPr>
            <w:tcW w:w="879" w:type="pct"/>
            <w:vMerge/>
            <w:tcBorders>
              <w:top w:val="single" w:sz="4" w:space="0" w:color="auto"/>
              <w:bottom w:val="single" w:sz="4" w:space="0" w:color="auto"/>
            </w:tcBorders>
          </w:tcPr>
          <w:p w14:paraId="77C512DE" w14:textId="77777777" w:rsidR="00FF520A" w:rsidRPr="00A864D2" w:rsidRDefault="00FF520A" w:rsidP="00A83E42">
            <w:pPr>
              <w:pStyle w:val="TableText"/>
            </w:pPr>
          </w:p>
        </w:tc>
        <w:tc>
          <w:tcPr>
            <w:tcW w:w="1101" w:type="pct"/>
            <w:tcBorders>
              <w:top w:val="dotted" w:sz="4" w:space="0" w:color="auto"/>
              <w:bottom w:val="dotted" w:sz="4" w:space="0" w:color="auto"/>
            </w:tcBorders>
          </w:tcPr>
          <w:p w14:paraId="5E71D61E" w14:textId="77777777" w:rsidR="00FF520A" w:rsidRPr="00A864D2" w:rsidRDefault="00FF520A" w:rsidP="00A83E42">
            <w:pPr>
              <w:pStyle w:val="TableText"/>
            </w:pPr>
            <w:r w:rsidRPr="00A864D2">
              <w:t>Establishment registration– complex</w:t>
            </w:r>
          </w:p>
        </w:tc>
        <w:tc>
          <w:tcPr>
            <w:tcW w:w="998" w:type="pct"/>
            <w:tcBorders>
              <w:top w:val="dotted" w:sz="4" w:space="0" w:color="auto"/>
              <w:bottom w:val="dotted" w:sz="4" w:space="0" w:color="auto"/>
            </w:tcBorders>
          </w:tcPr>
          <w:p w14:paraId="50302652" w14:textId="77777777" w:rsidR="00FF520A" w:rsidRPr="00A864D2" w:rsidRDefault="00FF520A" w:rsidP="00A83E42">
            <w:pPr>
              <w:pStyle w:val="TableText"/>
            </w:pPr>
            <w:r w:rsidRPr="00A864D2">
              <w:t>Annual</w:t>
            </w:r>
          </w:p>
        </w:tc>
        <w:tc>
          <w:tcPr>
            <w:tcW w:w="636" w:type="pct"/>
            <w:tcBorders>
              <w:top w:val="dotted" w:sz="4" w:space="0" w:color="auto"/>
              <w:bottom w:val="dotted" w:sz="4" w:space="0" w:color="auto"/>
            </w:tcBorders>
          </w:tcPr>
          <w:p w14:paraId="4EC3DDB3" w14:textId="67DA4ABB" w:rsidR="00FF520A" w:rsidRPr="00A864D2" w:rsidRDefault="00FF520A" w:rsidP="00A83E42">
            <w:pPr>
              <w:pStyle w:val="TableText"/>
              <w:jc w:val="right"/>
            </w:pPr>
            <w:r w:rsidRPr="00A864D2">
              <w:t>1,722,654</w:t>
            </w:r>
          </w:p>
        </w:tc>
        <w:tc>
          <w:tcPr>
            <w:tcW w:w="572" w:type="pct"/>
            <w:tcBorders>
              <w:top w:val="dotted" w:sz="4" w:space="0" w:color="auto"/>
              <w:bottom w:val="dotted" w:sz="4" w:space="0" w:color="auto"/>
            </w:tcBorders>
          </w:tcPr>
          <w:p w14:paraId="27A6F5D8" w14:textId="4E235B43" w:rsidR="00FF520A" w:rsidRPr="00A864D2" w:rsidRDefault="00FF520A" w:rsidP="00A83E42">
            <w:pPr>
              <w:pStyle w:val="TableText"/>
              <w:jc w:val="right"/>
            </w:pPr>
            <w:r w:rsidRPr="00A864D2">
              <w:t>146</w:t>
            </w:r>
          </w:p>
        </w:tc>
        <w:tc>
          <w:tcPr>
            <w:tcW w:w="373" w:type="pct"/>
            <w:tcBorders>
              <w:top w:val="dotted" w:sz="4" w:space="0" w:color="auto"/>
              <w:bottom w:val="dotted" w:sz="4" w:space="0" w:color="auto"/>
            </w:tcBorders>
          </w:tcPr>
          <w:p w14:paraId="418B3C5E" w14:textId="3B14CA70" w:rsidR="00FF520A" w:rsidRPr="00A864D2" w:rsidRDefault="00FF520A" w:rsidP="00A83E42">
            <w:pPr>
              <w:pStyle w:val="TableText"/>
              <w:jc w:val="right"/>
            </w:pPr>
          </w:p>
        </w:tc>
        <w:tc>
          <w:tcPr>
            <w:tcW w:w="441" w:type="pct"/>
            <w:tcBorders>
              <w:top w:val="dotted" w:sz="4" w:space="0" w:color="auto"/>
              <w:bottom w:val="dotted" w:sz="4" w:space="0" w:color="auto"/>
            </w:tcBorders>
          </w:tcPr>
          <w:p w14:paraId="623B076E" w14:textId="58072970" w:rsidR="00FF520A" w:rsidRPr="00A864D2" w:rsidRDefault="00FF520A" w:rsidP="00833460">
            <w:pPr>
              <w:pStyle w:val="TableText"/>
              <w:jc w:val="right"/>
            </w:pPr>
            <w:r w:rsidRPr="00A864D2">
              <w:t>11,799</w:t>
            </w:r>
          </w:p>
        </w:tc>
      </w:tr>
      <w:tr w:rsidR="00FF520A" w14:paraId="1E31ADC3" w14:textId="77777777" w:rsidTr="00FF520A">
        <w:tc>
          <w:tcPr>
            <w:tcW w:w="879" w:type="pct"/>
            <w:vMerge/>
            <w:tcBorders>
              <w:top w:val="single" w:sz="4" w:space="0" w:color="auto"/>
              <w:bottom w:val="single" w:sz="4" w:space="0" w:color="auto"/>
            </w:tcBorders>
          </w:tcPr>
          <w:p w14:paraId="2F202A85" w14:textId="77777777" w:rsidR="00FF520A" w:rsidRPr="00A864D2" w:rsidRDefault="00FF520A" w:rsidP="00A83E42">
            <w:pPr>
              <w:pStyle w:val="TableText"/>
            </w:pPr>
          </w:p>
        </w:tc>
        <w:tc>
          <w:tcPr>
            <w:tcW w:w="1101" w:type="pct"/>
            <w:tcBorders>
              <w:top w:val="dotted" w:sz="4" w:space="0" w:color="auto"/>
              <w:bottom w:val="dotted" w:sz="4" w:space="0" w:color="auto"/>
            </w:tcBorders>
          </w:tcPr>
          <w:p w14:paraId="000BF0D5" w14:textId="77777777" w:rsidR="00FF520A" w:rsidRPr="00A864D2" w:rsidRDefault="00FF520A" w:rsidP="00A83E42">
            <w:pPr>
              <w:pStyle w:val="TableText"/>
            </w:pPr>
            <w:r w:rsidRPr="00A864D2">
              <w:t>Authorised officer approval</w:t>
            </w:r>
          </w:p>
        </w:tc>
        <w:tc>
          <w:tcPr>
            <w:tcW w:w="998" w:type="pct"/>
            <w:tcBorders>
              <w:top w:val="dotted" w:sz="4" w:space="0" w:color="auto"/>
              <w:bottom w:val="dotted" w:sz="4" w:space="0" w:color="auto"/>
            </w:tcBorders>
          </w:tcPr>
          <w:p w14:paraId="6522DDEA" w14:textId="77777777" w:rsidR="00FF520A" w:rsidRPr="00A864D2" w:rsidRDefault="00FF520A" w:rsidP="00A83E42">
            <w:pPr>
              <w:pStyle w:val="TableText"/>
            </w:pPr>
            <w:r w:rsidRPr="00A864D2">
              <w:t>Annual</w:t>
            </w:r>
          </w:p>
        </w:tc>
        <w:tc>
          <w:tcPr>
            <w:tcW w:w="636" w:type="pct"/>
            <w:tcBorders>
              <w:top w:val="dotted" w:sz="4" w:space="0" w:color="auto"/>
              <w:bottom w:val="dotted" w:sz="4" w:space="0" w:color="auto"/>
            </w:tcBorders>
          </w:tcPr>
          <w:p w14:paraId="274DC37B" w14:textId="3C71CAB1" w:rsidR="00FF520A" w:rsidRPr="00A864D2" w:rsidRDefault="00FF520A" w:rsidP="00A83E42">
            <w:pPr>
              <w:pStyle w:val="TableText"/>
              <w:jc w:val="right"/>
            </w:pPr>
            <w:r w:rsidRPr="00A864D2">
              <w:t>211,345</w:t>
            </w:r>
          </w:p>
        </w:tc>
        <w:tc>
          <w:tcPr>
            <w:tcW w:w="572" w:type="pct"/>
            <w:tcBorders>
              <w:top w:val="dotted" w:sz="4" w:space="0" w:color="auto"/>
              <w:bottom w:val="dotted" w:sz="4" w:space="0" w:color="auto"/>
            </w:tcBorders>
          </w:tcPr>
          <w:p w14:paraId="1BBC6D98" w14:textId="3D70F2BB" w:rsidR="00FF520A" w:rsidRPr="00A864D2" w:rsidRDefault="00FF520A" w:rsidP="00A83E42">
            <w:pPr>
              <w:pStyle w:val="TableText"/>
              <w:jc w:val="right"/>
            </w:pPr>
            <w:r w:rsidRPr="00A864D2">
              <w:t>215</w:t>
            </w:r>
          </w:p>
        </w:tc>
        <w:tc>
          <w:tcPr>
            <w:tcW w:w="373" w:type="pct"/>
            <w:tcBorders>
              <w:top w:val="dotted" w:sz="4" w:space="0" w:color="auto"/>
              <w:bottom w:val="dotted" w:sz="4" w:space="0" w:color="auto"/>
            </w:tcBorders>
          </w:tcPr>
          <w:p w14:paraId="10786646" w14:textId="20D1627F" w:rsidR="00FF520A" w:rsidRPr="00A864D2" w:rsidRDefault="00FF520A" w:rsidP="00A83E42">
            <w:pPr>
              <w:pStyle w:val="TableText"/>
              <w:jc w:val="right"/>
            </w:pPr>
          </w:p>
        </w:tc>
        <w:tc>
          <w:tcPr>
            <w:tcW w:w="441" w:type="pct"/>
            <w:tcBorders>
              <w:top w:val="dotted" w:sz="4" w:space="0" w:color="auto"/>
              <w:bottom w:val="dotted" w:sz="4" w:space="0" w:color="auto"/>
            </w:tcBorders>
          </w:tcPr>
          <w:p w14:paraId="05A83F3E" w14:textId="3A889A0C" w:rsidR="00FF520A" w:rsidRPr="00A864D2" w:rsidRDefault="00FF520A" w:rsidP="00833460">
            <w:pPr>
              <w:pStyle w:val="TableText"/>
              <w:jc w:val="right"/>
            </w:pPr>
            <w:r w:rsidRPr="00A864D2">
              <w:t>983</w:t>
            </w:r>
          </w:p>
        </w:tc>
      </w:tr>
      <w:tr w:rsidR="00FF520A" w14:paraId="0472A12C" w14:textId="77777777" w:rsidTr="00FF520A">
        <w:tc>
          <w:tcPr>
            <w:tcW w:w="879" w:type="pct"/>
            <w:vMerge/>
            <w:tcBorders>
              <w:top w:val="single" w:sz="4" w:space="0" w:color="auto"/>
              <w:bottom w:val="single" w:sz="4" w:space="0" w:color="auto"/>
            </w:tcBorders>
          </w:tcPr>
          <w:p w14:paraId="72E3D6D9" w14:textId="77777777" w:rsidR="00FF520A" w:rsidRPr="00A864D2" w:rsidRDefault="00FF520A" w:rsidP="00A83E42">
            <w:pPr>
              <w:pStyle w:val="TableText"/>
            </w:pPr>
          </w:p>
        </w:tc>
        <w:tc>
          <w:tcPr>
            <w:tcW w:w="1101" w:type="pct"/>
            <w:tcBorders>
              <w:top w:val="dotted" w:sz="4" w:space="0" w:color="auto"/>
              <w:bottom w:val="dotted" w:sz="4" w:space="0" w:color="auto"/>
            </w:tcBorders>
          </w:tcPr>
          <w:p w14:paraId="29B627D6" w14:textId="77777777" w:rsidR="00FF520A" w:rsidRPr="00A864D2" w:rsidRDefault="00FF520A" w:rsidP="00A83E42">
            <w:pPr>
              <w:pStyle w:val="TableText"/>
            </w:pPr>
            <w:r w:rsidRPr="00A864D2">
              <w:t>Establishment application (one-off)</w:t>
            </w:r>
          </w:p>
        </w:tc>
        <w:tc>
          <w:tcPr>
            <w:tcW w:w="998" w:type="pct"/>
            <w:tcBorders>
              <w:top w:val="dotted" w:sz="4" w:space="0" w:color="auto"/>
              <w:bottom w:val="dotted" w:sz="4" w:space="0" w:color="auto"/>
            </w:tcBorders>
          </w:tcPr>
          <w:p w14:paraId="4C2310E3" w14:textId="77777777" w:rsidR="00FF520A" w:rsidRPr="00A864D2" w:rsidRDefault="00FF520A" w:rsidP="00A83E42">
            <w:pPr>
              <w:pStyle w:val="TableText"/>
            </w:pPr>
            <w:r w:rsidRPr="00A864D2">
              <w:t>Per initial establishment application</w:t>
            </w:r>
          </w:p>
        </w:tc>
        <w:tc>
          <w:tcPr>
            <w:tcW w:w="636" w:type="pct"/>
            <w:tcBorders>
              <w:top w:val="dotted" w:sz="4" w:space="0" w:color="auto"/>
              <w:bottom w:val="dotted" w:sz="4" w:space="0" w:color="auto"/>
            </w:tcBorders>
          </w:tcPr>
          <w:p w14:paraId="2F64BA5C" w14:textId="7479AB35" w:rsidR="00FF520A" w:rsidRPr="00A864D2" w:rsidRDefault="00FF520A" w:rsidP="00A83E42">
            <w:pPr>
              <w:pStyle w:val="TableText"/>
              <w:jc w:val="right"/>
            </w:pPr>
            <w:r w:rsidRPr="00A864D2">
              <w:t>35,370</w:t>
            </w:r>
          </w:p>
        </w:tc>
        <w:tc>
          <w:tcPr>
            <w:tcW w:w="572" w:type="pct"/>
            <w:tcBorders>
              <w:top w:val="dotted" w:sz="4" w:space="0" w:color="auto"/>
              <w:bottom w:val="dotted" w:sz="4" w:space="0" w:color="auto"/>
            </w:tcBorders>
          </w:tcPr>
          <w:p w14:paraId="0EB594F5" w14:textId="311CBE29" w:rsidR="00FF520A" w:rsidRPr="00A864D2" w:rsidRDefault="00FF520A" w:rsidP="00A83E42">
            <w:pPr>
              <w:pStyle w:val="TableText"/>
              <w:jc w:val="right"/>
            </w:pPr>
            <w:r w:rsidRPr="00A864D2">
              <w:t>45</w:t>
            </w:r>
          </w:p>
        </w:tc>
        <w:tc>
          <w:tcPr>
            <w:tcW w:w="373" w:type="pct"/>
            <w:tcBorders>
              <w:top w:val="dotted" w:sz="4" w:space="0" w:color="auto"/>
              <w:bottom w:val="dotted" w:sz="4" w:space="0" w:color="auto"/>
            </w:tcBorders>
          </w:tcPr>
          <w:p w14:paraId="769A9057" w14:textId="0F88D08E" w:rsidR="00FF520A" w:rsidRPr="00A864D2" w:rsidRDefault="00FF520A" w:rsidP="00A83E42">
            <w:pPr>
              <w:pStyle w:val="TableText"/>
              <w:jc w:val="right"/>
            </w:pPr>
          </w:p>
        </w:tc>
        <w:tc>
          <w:tcPr>
            <w:tcW w:w="441" w:type="pct"/>
            <w:tcBorders>
              <w:top w:val="dotted" w:sz="4" w:space="0" w:color="auto"/>
              <w:bottom w:val="dotted" w:sz="4" w:space="0" w:color="auto"/>
            </w:tcBorders>
          </w:tcPr>
          <w:p w14:paraId="784BADA0" w14:textId="6F5DA82B" w:rsidR="00FF520A" w:rsidRPr="00A864D2" w:rsidRDefault="00FF520A" w:rsidP="00833460">
            <w:pPr>
              <w:pStyle w:val="TableText"/>
              <w:jc w:val="right"/>
            </w:pPr>
            <w:r w:rsidRPr="00A864D2">
              <w:t>786</w:t>
            </w:r>
          </w:p>
        </w:tc>
      </w:tr>
      <w:tr w:rsidR="00FF520A" w14:paraId="02009793" w14:textId="77777777" w:rsidTr="00FF520A">
        <w:tc>
          <w:tcPr>
            <w:tcW w:w="879" w:type="pct"/>
            <w:vMerge/>
            <w:tcBorders>
              <w:top w:val="single" w:sz="4" w:space="0" w:color="auto"/>
              <w:bottom w:val="single" w:sz="4" w:space="0" w:color="auto"/>
            </w:tcBorders>
          </w:tcPr>
          <w:p w14:paraId="3C9DD5F3" w14:textId="77777777" w:rsidR="00FF520A" w:rsidRPr="00A864D2" w:rsidRDefault="00FF520A" w:rsidP="00A83E42">
            <w:pPr>
              <w:pStyle w:val="TableText"/>
            </w:pPr>
          </w:p>
        </w:tc>
        <w:tc>
          <w:tcPr>
            <w:tcW w:w="1101" w:type="pct"/>
            <w:tcBorders>
              <w:top w:val="dotted" w:sz="4" w:space="0" w:color="auto"/>
              <w:bottom w:val="dotted" w:sz="4" w:space="0" w:color="auto"/>
            </w:tcBorders>
          </w:tcPr>
          <w:p w14:paraId="0E259144" w14:textId="77777777" w:rsidR="00FF520A" w:rsidRPr="00A864D2" w:rsidRDefault="00FF520A" w:rsidP="00A83E42">
            <w:pPr>
              <w:pStyle w:val="TableText"/>
            </w:pPr>
            <w:r w:rsidRPr="00A864D2">
              <w:t xml:space="preserve">Phytosanitary certificate </w:t>
            </w:r>
          </w:p>
        </w:tc>
        <w:tc>
          <w:tcPr>
            <w:tcW w:w="998" w:type="pct"/>
            <w:tcBorders>
              <w:top w:val="dotted" w:sz="4" w:space="0" w:color="auto"/>
              <w:bottom w:val="dotted" w:sz="4" w:space="0" w:color="auto"/>
            </w:tcBorders>
          </w:tcPr>
          <w:p w14:paraId="524283D7" w14:textId="77777777" w:rsidR="00FF520A" w:rsidRPr="00A864D2" w:rsidRDefault="00FF520A" w:rsidP="00A83E42">
            <w:pPr>
              <w:pStyle w:val="TableText"/>
            </w:pPr>
            <w:r w:rsidRPr="00A864D2">
              <w:t>Per document</w:t>
            </w:r>
          </w:p>
        </w:tc>
        <w:tc>
          <w:tcPr>
            <w:tcW w:w="636" w:type="pct"/>
            <w:tcBorders>
              <w:top w:val="dotted" w:sz="4" w:space="0" w:color="auto"/>
              <w:bottom w:val="dotted" w:sz="4" w:space="0" w:color="auto"/>
            </w:tcBorders>
          </w:tcPr>
          <w:p w14:paraId="07B600C0" w14:textId="7AAA1852" w:rsidR="00FF520A" w:rsidRPr="00A864D2" w:rsidRDefault="00FF520A" w:rsidP="00A83E42">
            <w:pPr>
              <w:pStyle w:val="TableText"/>
              <w:jc w:val="right"/>
            </w:pPr>
            <w:r w:rsidRPr="00A864D2">
              <w:t>3,050,100</w:t>
            </w:r>
          </w:p>
        </w:tc>
        <w:tc>
          <w:tcPr>
            <w:tcW w:w="572" w:type="pct"/>
            <w:tcBorders>
              <w:top w:val="dotted" w:sz="4" w:space="0" w:color="auto"/>
              <w:bottom w:val="dotted" w:sz="4" w:space="0" w:color="auto"/>
            </w:tcBorders>
          </w:tcPr>
          <w:p w14:paraId="026D5379" w14:textId="36B7F6A6" w:rsidR="00FF520A" w:rsidRPr="00A864D2" w:rsidRDefault="00FF520A" w:rsidP="00A83E42">
            <w:pPr>
              <w:pStyle w:val="TableText"/>
              <w:jc w:val="right"/>
            </w:pPr>
            <w:r w:rsidRPr="00A864D2">
              <w:t>40,668</w:t>
            </w:r>
          </w:p>
        </w:tc>
        <w:tc>
          <w:tcPr>
            <w:tcW w:w="373" w:type="pct"/>
            <w:tcBorders>
              <w:top w:val="dotted" w:sz="4" w:space="0" w:color="auto"/>
              <w:bottom w:val="dotted" w:sz="4" w:space="0" w:color="auto"/>
            </w:tcBorders>
          </w:tcPr>
          <w:p w14:paraId="69830E76" w14:textId="05E6CDAF" w:rsidR="00FF520A" w:rsidRPr="00A864D2" w:rsidRDefault="00FF520A" w:rsidP="00A83E42">
            <w:pPr>
              <w:pStyle w:val="TableText"/>
              <w:jc w:val="right"/>
            </w:pPr>
          </w:p>
        </w:tc>
        <w:tc>
          <w:tcPr>
            <w:tcW w:w="441" w:type="pct"/>
            <w:tcBorders>
              <w:top w:val="dotted" w:sz="4" w:space="0" w:color="auto"/>
              <w:bottom w:val="dotted" w:sz="4" w:space="0" w:color="auto"/>
            </w:tcBorders>
          </w:tcPr>
          <w:p w14:paraId="5CC8BA67" w14:textId="46638DE5" w:rsidR="00FF520A" w:rsidRPr="00A864D2" w:rsidRDefault="00FF520A" w:rsidP="00833460">
            <w:pPr>
              <w:pStyle w:val="TableText"/>
              <w:jc w:val="right"/>
            </w:pPr>
            <w:r w:rsidRPr="00A864D2">
              <w:t>75</w:t>
            </w:r>
          </w:p>
        </w:tc>
      </w:tr>
      <w:tr w:rsidR="00FF520A" w14:paraId="53550C34" w14:textId="77777777" w:rsidTr="00FF520A">
        <w:tc>
          <w:tcPr>
            <w:tcW w:w="879" w:type="pct"/>
            <w:vMerge/>
            <w:tcBorders>
              <w:top w:val="single" w:sz="4" w:space="0" w:color="auto"/>
              <w:bottom w:val="single" w:sz="4" w:space="0" w:color="auto"/>
            </w:tcBorders>
          </w:tcPr>
          <w:p w14:paraId="6BC39F51" w14:textId="77777777" w:rsidR="00FF520A" w:rsidRPr="00A864D2" w:rsidRDefault="00FF520A" w:rsidP="00A83E42">
            <w:pPr>
              <w:pStyle w:val="TableText"/>
            </w:pPr>
          </w:p>
        </w:tc>
        <w:tc>
          <w:tcPr>
            <w:tcW w:w="1101" w:type="pct"/>
            <w:tcBorders>
              <w:top w:val="dotted" w:sz="4" w:space="0" w:color="auto"/>
              <w:bottom w:val="dotted" w:sz="4" w:space="0" w:color="auto"/>
            </w:tcBorders>
          </w:tcPr>
          <w:p w14:paraId="4AC3DA1E" w14:textId="77777777" w:rsidR="00FF520A" w:rsidRPr="00A864D2" w:rsidRDefault="00FF520A" w:rsidP="00A83E42">
            <w:pPr>
              <w:pStyle w:val="TableText"/>
            </w:pPr>
            <w:r w:rsidRPr="00A864D2">
              <w:t>Export volume rate – non-protocol rate</w:t>
            </w:r>
          </w:p>
        </w:tc>
        <w:tc>
          <w:tcPr>
            <w:tcW w:w="998" w:type="pct"/>
            <w:tcBorders>
              <w:top w:val="dotted" w:sz="4" w:space="0" w:color="auto"/>
              <w:bottom w:val="dotted" w:sz="4" w:space="0" w:color="auto"/>
            </w:tcBorders>
          </w:tcPr>
          <w:p w14:paraId="56938CD6" w14:textId="77777777" w:rsidR="00FF520A" w:rsidRPr="00A864D2" w:rsidRDefault="00FF520A" w:rsidP="00A83E42">
            <w:pPr>
              <w:pStyle w:val="TableText"/>
            </w:pPr>
            <w:r w:rsidRPr="00A864D2">
              <w:t>Per tonne</w:t>
            </w:r>
          </w:p>
        </w:tc>
        <w:tc>
          <w:tcPr>
            <w:tcW w:w="636" w:type="pct"/>
            <w:tcBorders>
              <w:top w:val="dotted" w:sz="4" w:space="0" w:color="auto"/>
              <w:bottom w:val="dotted" w:sz="4" w:space="0" w:color="auto"/>
            </w:tcBorders>
          </w:tcPr>
          <w:p w14:paraId="3825ADD4" w14:textId="6A73FC98" w:rsidR="00FF520A" w:rsidRPr="00A864D2" w:rsidRDefault="00FF520A" w:rsidP="00A83E42">
            <w:pPr>
              <w:pStyle w:val="TableText"/>
              <w:jc w:val="right"/>
            </w:pPr>
            <w:r w:rsidRPr="00A864D2">
              <w:t>59,284</w:t>
            </w:r>
          </w:p>
        </w:tc>
        <w:tc>
          <w:tcPr>
            <w:tcW w:w="572" w:type="pct"/>
            <w:tcBorders>
              <w:top w:val="dotted" w:sz="4" w:space="0" w:color="auto"/>
              <w:bottom w:val="dotted" w:sz="4" w:space="0" w:color="auto"/>
            </w:tcBorders>
          </w:tcPr>
          <w:p w14:paraId="3775AF19" w14:textId="4A7E0A48" w:rsidR="00FF520A" w:rsidRPr="00A864D2" w:rsidRDefault="00FF520A" w:rsidP="00A83E42">
            <w:pPr>
              <w:pStyle w:val="TableText"/>
              <w:jc w:val="right"/>
            </w:pPr>
            <w:r w:rsidRPr="00A864D2">
              <w:t>515,066</w:t>
            </w:r>
          </w:p>
        </w:tc>
        <w:tc>
          <w:tcPr>
            <w:tcW w:w="373" w:type="pct"/>
            <w:tcBorders>
              <w:top w:val="dotted" w:sz="4" w:space="0" w:color="auto"/>
              <w:bottom w:val="dotted" w:sz="4" w:space="0" w:color="auto"/>
            </w:tcBorders>
          </w:tcPr>
          <w:p w14:paraId="520B21A2" w14:textId="60D3C692" w:rsidR="00FF520A" w:rsidRPr="00A864D2" w:rsidRDefault="00FF520A" w:rsidP="00A83E42">
            <w:pPr>
              <w:pStyle w:val="TableText"/>
              <w:jc w:val="right"/>
            </w:pPr>
          </w:p>
        </w:tc>
        <w:tc>
          <w:tcPr>
            <w:tcW w:w="441" w:type="pct"/>
            <w:tcBorders>
              <w:top w:val="dotted" w:sz="4" w:space="0" w:color="auto"/>
              <w:bottom w:val="dotted" w:sz="4" w:space="0" w:color="auto"/>
            </w:tcBorders>
          </w:tcPr>
          <w:p w14:paraId="758EC2B5" w14:textId="4AF1A201" w:rsidR="00FF520A" w:rsidRPr="00A864D2" w:rsidRDefault="00FF520A" w:rsidP="00833460">
            <w:pPr>
              <w:pStyle w:val="TableText"/>
              <w:jc w:val="right"/>
            </w:pPr>
            <w:r w:rsidRPr="00A864D2">
              <w:t>1.28</w:t>
            </w:r>
          </w:p>
        </w:tc>
      </w:tr>
      <w:tr w:rsidR="00FF520A" w14:paraId="443D060D" w14:textId="77777777" w:rsidTr="00FF520A">
        <w:tc>
          <w:tcPr>
            <w:tcW w:w="879" w:type="pct"/>
            <w:vMerge/>
            <w:tcBorders>
              <w:top w:val="single" w:sz="4" w:space="0" w:color="auto"/>
              <w:bottom w:val="single" w:sz="4" w:space="0" w:color="auto"/>
            </w:tcBorders>
          </w:tcPr>
          <w:p w14:paraId="00C1F8B7" w14:textId="77777777" w:rsidR="00FF520A" w:rsidRPr="00A864D2" w:rsidRDefault="00FF520A" w:rsidP="00A83E42">
            <w:pPr>
              <w:pStyle w:val="TableText"/>
            </w:pPr>
          </w:p>
        </w:tc>
        <w:tc>
          <w:tcPr>
            <w:tcW w:w="1101" w:type="pct"/>
            <w:tcBorders>
              <w:top w:val="dotted" w:sz="4" w:space="0" w:color="auto"/>
              <w:bottom w:val="single" w:sz="4" w:space="0" w:color="auto"/>
            </w:tcBorders>
          </w:tcPr>
          <w:p w14:paraId="2C6F4572" w14:textId="77777777" w:rsidR="00FF520A" w:rsidRPr="00A864D2" w:rsidRDefault="00FF520A" w:rsidP="00A83E42">
            <w:pPr>
              <w:pStyle w:val="TableText"/>
              <w:rPr>
                <w:rStyle w:val="Strong"/>
                <w:b w:val="0"/>
                <w:bCs w:val="0"/>
              </w:rPr>
            </w:pPr>
            <w:r w:rsidRPr="00A864D2">
              <w:t>Export volume rate – protocol rate</w:t>
            </w:r>
          </w:p>
        </w:tc>
        <w:tc>
          <w:tcPr>
            <w:tcW w:w="998" w:type="pct"/>
            <w:tcBorders>
              <w:top w:val="dotted" w:sz="4" w:space="0" w:color="auto"/>
              <w:bottom w:val="single" w:sz="4" w:space="0" w:color="auto"/>
            </w:tcBorders>
          </w:tcPr>
          <w:p w14:paraId="43C7EC66" w14:textId="77777777" w:rsidR="00FF520A" w:rsidRPr="00A864D2" w:rsidRDefault="00FF520A" w:rsidP="00A83E42">
            <w:pPr>
              <w:pStyle w:val="TableText"/>
              <w:rPr>
                <w:rStyle w:val="Strong"/>
                <w:b w:val="0"/>
                <w:bCs w:val="0"/>
              </w:rPr>
            </w:pPr>
            <w:r w:rsidRPr="00A864D2">
              <w:t>Per tonne</w:t>
            </w:r>
          </w:p>
        </w:tc>
        <w:tc>
          <w:tcPr>
            <w:tcW w:w="636" w:type="pct"/>
            <w:tcBorders>
              <w:top w:val="dotted" w:sz="4" w:space="0" w:color="auto"/>
              <w:bottom w:val="single" w:sz="4" w:space="0" w:color="auto"/>
            </w:tcBorders>
          </w:tcPr>
          <w:p w14:paraId="621C4179" w14:textId="7EAE4854" w:rsidR="00FF520A" w:rsidRPr="00A864D2" w:rsidRDefault="00FF520A" w:rsidP="00A83E42">
            <w:pPr>
              <w:pStyle w:val="TableText"/>
              <w:jc w:val="right"/>
            </w:pPr>
            <w:r w:rsidRPr="00A864D2">
              <w:t>732,792</w:t>
            </w:r>
          </w:p>
        </w:tc>
        <w:tc>
          <w:tcPr>
            <w:tcW w:w="572" w:type="pct"/>
            <w:tcBorders>
              <w:top w:val="dotted" w:sz="4" w:space="0" w:color="auto"/>
              <w:bottom w:val="single" w:sz="4" w:space="0" w:color="auto"/>
            </w:tcBorders>
          </w:tcPr>
          <w:p w14:paraId="091B8905" w14:textId="605D4D09" w:rsidR="00FF520A" w:rsidRPr="00A864D2" w:rsidRDefault="00FF520A" w:rsidP="00A83E42">
            <w:pPr>
              <w:pStyle w:val="TableText"/>
              <w:jc w:val="right"/>
            </w:pPr>
            <w:r w:rsidRPr="00A864D2">
              <w:t>286,247</w:t>
            </w:r>
          </w:p>
        </w:tc>
        <w:tc>
          <w:tcPr>
            <w:tcW w:w="373" w:type="pct"/>
            <w:tcBorders>
              <w:top w:val="dotted" w:sz="4" w:space="0" w:color="auto"/>
              <w:bottom w:val="single" w:sz="4" w:space="0" w:color="auto"/>
            </w:tcBorders>
          </w:tcPr>
          <w:p w14:paraId="6B62A369" w14:textId="269A50D3" w:rsidR="00FF520A" w:rsidRPr="00A864D2" w:rsidRDefault="00FF520A" w:rsidP="00A83E42">
            <w:pPr>
              <w:pStyle w:val="TableText"/>
              <w:jc w:val="right"/>
            </w:pPr>
          </w:p>
        </w:tc>
        <w:tc>
          <w:tcPr>
            <w:tcW w:w="441" w:type="pct"/>
            <w:tcBorders>
              <w:top w:val="dotted" w:sz="4" w:space="0" w:color="auto"/>
              <w:bottom w:val="single" w:sz="4" w:space="0" w:color="auto"/>
            </w:tcBorders>
          </w:tcPr>
          <w:p w14:paraId="67C4DD0E" w14:textId="7A7408CE" w:rsidR="00FF520A" w:rsidRPr="00A864D2" w:rsidRDefault="00FF520A" w:rsidP="00833460">
            <w:pPr>
              <w:pStyle w:val="TableText"/>
              <w:jc w:val="right"/>
            </w:pPr>
            <w:r w:rsidRPr="00A864D2">
              <w:t>2.56</w:t>
            </w:r>
          </w:p>
        </w:tc>
      </w:tr>
      <w:tr w:rsidR="00FF520A" w:rsidRPr="00EF67D8" w14:paraId="6871F759" w14:textId="77777777" w:rsidTr="00FF520A">
        <w:tc>
          <w:tcPr>
            <w:tcW w:w="879" w:type="pct"/>
            <w:vMerge w:val="restart"/>
            <w:tcBorders>
              <w:top w:val="single" w:sz="4" w:space="0" w:color="auto"/>
              <w:bottom w:val="nil"/>
            </w:tcBorders>
          </w:tcPr>
          <w:p w14:paraId="741DF637" w14:textId="77777777" w:rsidR="00FF520A" w:rsidRPr="00A864D2" w:rsidRDefault="00FF520A" w:rsidP="00A83E42">
            <w:pPr>
              <w:pStyle w:val="TableText"/>
              <w:rPr>
                <w:rStyle w:val="Strong"/>
              </w:rPr>
            </w:pPr>
            <w:r w:rsidRPr="00A864D2">
              <w:rPr>
                <w:rStyle w:val="Strong"/>
              </w:rPr>
              <w:t>Fees – audit and inspection</w:t>
            </w:r>
          </w:p>
        </w:tc>
        <w:tc>
          <w:tcPr>
            <w:tcW w:w="1101" w:type="pct"/>
            <w:tcBorders>
              <w:top w:val="single" w:sz="4" w:space="0" w:color="auto"/>
              <w:bottom w:val="dotted" w:sz="4" w:space="0" w:color="auto"/>
            </w:tcBorders>
          </w:tcPr>
          <w:p w14:paraId="3C7B7F7C" w14:textId="77777777" w:rsidR="00FF520A" w:rsidRPr="00A864D2" w:rsidRDefault="00FF520A" w:rsidP="00A83E42">
            <w:pPr>
              <w:pStyle w:val="TableText"/>
              <w:rPr>
                <w:rStyle w:val="Strong"/>
                <w:b w:val="0"/>
                <w:bCs w:val="0"/>
              </w:rPr>
            </w:pPr>
            <w:r w:rsidRPr="00A864D2">
              <w:t xml:space="preserve">Audit </w:t>
            </w:r>
          </w:p>
        </w:tc>
        <w:tc>
          <w:tcPr>
            <w:tcW w:w="998" w:type="pct"/>
            <w:tcBorders>
              <w:top w:val="single" w:sz="4" w:space="0" w:color="auto"/>
              <w:bottom w:val="dotted" w:sz="4" w:space="0" w:color="auto"/>
            </w:tcBorders>
          </w:tcPr>
          <w:p w14:paraId="68D69A47" w14:textId="77777777" w:rsidR="00FF520A" w:rsidRPr="00A864D2" w:rsidRDefault="00FF520A" w:rsidP="00A83E42">
            <w:pPr>
              <w:pStyle w:val="TableText"/>
              <w:rPr>
                <w:rStyle w:val="Strong"/>
                <w:b w:val="0"/>
                <w:bCs w:val="0"/>
              </w:rPr>
            </w:pPr>
            <w:r w:rsidRPr="00A864D2">
              <w:t>Per quarter hour</w:t>
            </w:r>
          </w:p>
        </w:tc>
        <w:tc>
          <w:tcPr>
            <w:tcW w:w="636" w:type="pct"/>
            <w:tcBorders>
              <w:top w:val="single" w:sz="4" w:space="0" w:color="auto"/>
              <w:bottom w:val="dotted" w:sz="4" w:space="0" w:color="auto"/>
            </w:tcBorders>
          </w:tcPr>
          <w:p w14:paraId="749E1148" w14:textId="7F19BB0B" w:rsidR="00FF520A" w:rsidRPr="00A864D2" w:rsidRDefault="00FF520A" w:rsidP="00A83E42">
            <w:pPr>
              <w:pStyle w:val="TableText"/>
              <w:jc w:val="right"/>
            </w:pPr>
            <w:r w:rsidRPr="00A864D2">
              <w:t>858,079</w:t>
            </w:r>
          </w:p>
        </w:tc>
        <w:tc>
          <w:tcPr>
            <w:tcW w:w="572" w:type="pct"/>
            <w:tcBorders>
              <w:top w:val="single" w:sz="4" w:space="0" w:color="auto"/>
              <w:bottom w:val="dotted" w:sz="4" w:space="0" w:color="auto"/>
            </w:tcBorders>
          </w:tcPr>
          <w:p w14:paraId="70DF6188" w14:textId="76614D26" w:rsidR="00FF520A" w:rsidRPr="00A864D2" w:rsidRDefault="00FF520A" w:rsidP="00A83E42">
            <w:pPr>
              <w:pStyle w:val="TableText"/>
              <w:jc w:val="right"/>
            </w:pPr>
            <w:r w:rsidRPr="00A864D2">
              <w:t>18,257</w:t>
            </w:r>
          </w:p>
        </w:tc>
        <w:tc>
          <w:tcPr>
            <w:tcW w:w="373" w:type="pct"/>
            <w:tcBorders>
              <w:top w:val="single" w:sz="4" w:space="0" w:color="auto"/>
              <w:bottom w:val="dotted" w:sz="4" w:space="0" w:color="auto"/>
            </w:tcBorders>
          </w:tcPr>
          <w:p w14:paraId="0A1E79AA" w14:textId="0549877C" w:rsidR="00FF520A" w:rsidRPr="00A864D2" w:rsidRDefault="00FF520A" w:rsidP="00A83E42">
            <w:pPr>
              <w:pStyle w:val="TableText"/>
              <w:jc w:val="right"/>
            </w:pPr>
          </w:p>
        </w:tc>
        <w:tc>
          <w:tcPr>
            <w:tcW w:w="441" w:type="pct"/>
            <w:tcBorders>
              <w:top w:val="single" w:sz="4" w:space="0" w:color="auto"/>
              <w:bottom w:val="dotted" w:sz="4" w:space="0" w:color="auto"/>
            </w:tcBorders>
          </w:tcPr>
          <w:p w14:paraId="0BE974A8" w14:textId="5AD7D062" w:rsidR="00FF520A" w:rsidRPr="00A864D2" w:rsidRDefault="00FF520A" w:rsidP="00833460">
            <w:pPr>
              <w:pStyle w:val="TableText"/>
              <w:jc w:val="right"/>
            </w:pPr>
            <w:r w:rsidRPr="00A864D2">
              <w:t>47</w:t>
            </w:r>
          </w:p>
        </w:tc>
      </w:tr>
      <w:tr w:rsidR="00FF520A" w:rsidRPr="00EF67D8" w14:paraId="3399FD10" w14:textId="77777777" w:rsidTr="00FF520A">
        <w:tc>
          <w:tcPr>
            <w:tcW w:w="879" w:type="pct"/>
            <w:vMerge/>
            <w:tcBorders>
              <w:top w:val="nil"/>
              <w:bottom w:val="nil"/>
            </w:tcBorders>
          </w:tcPr>
          <w:p w14:paraId="772AFDAD" w14:textId="77777777" w:rsidR="00FF520A" w:rsidRPr="00A864D2" w:rsidRDefault="00FF520A" w:rsidP="00A83E42">
            <w:pPr>
              <w:pStyle w:val="TableText"/>
              <w:rPr>
                <w:rStyle w:val="Strong"/>
                <w:b w:val="0"/>
                <w:bCs w:val="0"/>
              </w:rPr>
            </w:pPr>
          </w:p>
        </w:tc>
        <w:tc>
          <w:tcPr>
            <w:tcW w:w="1101" w:type="pct"/>
            <w:tcBorders>
              <w:top w:val="dotted" w:sz="4" w:space="0" w:color="auto"/>
              <w:bottom w:val="dotted" w:sz="4" w:space="0" w:color="auto"/>
            </w:tcBorders>
          </w:tcPr>
          <w:p w14:paraId="4752C8B6" w14:textId="77777777" w:rsidR="00FF520A" w:rsidRPr="00A864D2" w:rsidRDefault="00FF520A" w:rsidP="00A83E42">
            <w:pPr>
              <w:pStyle w:val="TableText"/>
            </w:pPr>
            <w:r w:rsidRPr="00A864D2">
              <w:t xml:space="preserve">Core inspection </w:t>
            </w:r>
          </w:p>
        </w:tc>
        <w:tc>
          <w:tcPr>
            <w:tcW w:w="998" w:type="pct"/>
            <w:tcBorders>
              <w:top w:val="dotted" w:sz="4" w:space="0" w:color="auto"/>
              <w:bottom w:val="dotted" w:sz="4" w:space="0" w:color="auto"/>
            </w:tcBorders>
          </w:tcPr>
          <w:p w14:paraId="4DEAD97D" w14:textId="77777777" w:rsidR="00FF520A" w:rsidRPr="00A864D2" w:rsidRDefault="00FF520A" w:rsidP="00A83E42">
            <w:pPr>
              <w:pStyle w:val="TableText"/>
            </w:pPr>
            <w:r w:rsidRPr="00A864D2">
              <w:t>Per quarter hour</w:t>
            </w:r>
          </w:p>
        </w:tc>
        <w:tc>
          <w:tcPr>
            <w:tcW w:w="636" w:type="pct"/>
            <w:tcBorders>
              <w:top w:val="dotted" w:sz="4" w:space="0" w:color="auto"/>
              <w:bottom w:val="dotted" w:sz="4" w:space="0" w:color="auto"/>
            </w:tcBorders>
          </w:tcPr>
          <w:p w14:paraId="550CC52C" w14:textId="19299101" w:rsidR="00FF520A" w:rsidRPr="00A864D2" w:rsidRDefault="00FF520A" w:rsidP="00A83E42">
            <w:pPr>
              <w:pStyle w:val="TableText"/>
              <w:jc w:val="right"/>
            </w:pPr>
            <w:r w:rsidRPr="00A864D2">
              <w:t>190,397</w:t>
            </w:r>
          </w:p>
        </w:tc>
        <w:tc>
          <w:tcPr>
            <w:tcW w:w="572" w:type="pct"/>
            <w:tcBorders>
              <w:top w:val="dotted" w:sz="4" w:space="0" w:color="auto"/>
              <w:bottom w:val="dotted" w:sz="4" w:space="0" w:color="auto"/>
            </w:tcBorders>
          </w:tcPr>
          <w:p w14:paraId="2AC624FE" w14:textId="0DD9A6D0" w:rsidR="00FF520A" w:rsidRPr="00A864D2" w:rsidRDefault="00FF520A" w:rsidP="00A83E42">
            <w:pPr>
              <w:pStyle w:val="TableText"/>
              <w:jc w:val="right"/>
            </w:pPr>
            <w:r w:rsidRPr="00A864D2">
              <w:t>4,051</w:t>
            </w:r>
          </w:p>
        </w:tc>
        <w:tc>
          <w:tcPr>
            <w:tcW w:w="373" w:type="pct"/>
            <w:tcBorders>
              <w:top w:val="dotted" w:sz="4" w:space="0" w:color="auto"/>
              <w:bottom w:val="dotted" w:sz="4" w:space="0" w:color="auto"/>
            </w:tcBorders>
          </w:tcPr>
          <w:p w14:paraId="18E66998" w14:textId="0BFE0302" w:rsidR="00FF520A" w:rsidRPr="00A864D2" w:rsidRDefault="00FF520A" w:rsidP="00A83E42">
            <w:pPr>
              <w:pStyle w:val="TableText"/>
              <w:jc w:val="right"/>
            </w:pPr>
          </w:p>
        </w:tc>
        <w:tc>
          <w:tcPr>
            <w:tcW w:w="441" w:type="pct"/>
            <w:tcBorders>
              <w:top w:val="dotted" w:sz="4" w:space="0" w:color="auto"/>
              <w:bottom w:val="dotted" w:sz="4" w:space="0" w:color="auto"/>
            </w:tcBorders>
          </w:tcPr>
          <w:p w14:paraId="45A6756A" w14:textId="7F40633A" w:rsidR="00FF520A" w:rsidRPr="00A864D2" w:rsidRDefault="00FF520A" w:rsidP="00833460">
            <w:pPr>
              <w:pStyle w:val="TableText"/>
              <w:jc w:val="right"/>
            </w:pPr>
            <w:r w:rsidRPr="00A864D2">
              <w:t>47</w:t>
            </w:r>
          </w:p>
        </w:tc>
      </w:tr>
      <w:tr w:rsidR="00FF520A" w:rsidRPr="00EF67D8" w14:paraId="0BA26D01" w14:textId="77777777" w:rsidTr="00FF520A">
        <w:tc>
          <w:tcPr>
            <w:tcW w:w="879" w:type="pct"/>
            <w:vMerge/>
            <w:tcBorders>
              <w:top w:val="nil"/>
              <w:bottom w:val="single" w:sz="4" w:space="0" w:color="auto"/>
            </w:tcBorders>
          </w:tcPr>
          <w:p w14:paraId="358E26EE" w14:textId="77777777" w:rsidR="00FF520A" w:rsidRPr="00A864D2" w:rsidRDefault="00FF520A" w:rsidP="00A83E42">
            <w:pPr>
              <w:pStyle w:val="TableText"/>
              <w:rPr>
                <w:rStyle w:val="Strong"/>
                <w:b w:val="0"/>
                <w:bCs w:val="0"/>
              </w:rPr>
            </w:pPr>
          </w:p>
        </w:tc>
        <w:tc>
          <w:tcPr>
            <w:tcW w:w="1101" w:type="pct"/>
            <w:tcBorders>
              <w:top w:val="dotted" w:sz="4" w:space="0" w:color="auto"/>
              <w:bottom w:val="dotted" w:sz="4" w:space="0" w:color="auto"/>
            </w:tcBorders>
          </w:tcPr>
          <w:p w14:paraId="29784351" w14:textId="77777777" w:rsidR="00FF520A" w:rsidRPr="00A864D2" w:rsidRDefault="00FF520A" w:rsidP="00A83E42">
            <w:pPr>
              <w:pStyle w:val="TableText"/>
              <w:rPr>
                <w:rStyle w:val="Strong"/>
                <w:b w:val="0"/>
                <w:bCs w:val="0"/>
              </w:rPr>
            </w:pPr>
            <w:r w:rsidRPr="00A864D2">
              <w:t>Additional inspection</w:t>
            </w:r>
          </w:p>
        </w:tc>
        <w:tc>
          <w:tcPr>
            <w:tcW w:w="998" w:type="pct"/>
            <w:tcBorders>
              <w:top w:val="dotted" w:sz="4" w:space="0" w:color="auto"/>
              <w:bottom w:val="dotted" w:sz="4" w:space="0" w:color="auto"/>
            </w:tcBorders>
          </w:tcPr>
          <w:p w14:paraId="05BB3F83" w14:textId="77777777" w:rsidR="00FF520A" w:rsidRPr="00A864D2" w:rsidRDefault="00FF520A" w:rsidP="00A83E42">
            <w:pPr>
              <w:pStyle w:val="TableText"/>
              <w:rPr>
                <w:rStyle w:val="Strong"/>
                <w:b w:val="0"/>
                <w:bCs w:val="0"/>
              </w:rPr>
            </w:pPr>
            <w:r w:rsidRPr="00A864D2">
              <w:t>Per quarter hour</w:t>
            </w:r>
          </w:p>
        </w:tc>
        <w:tc>
          <w:tcPr>
            <w:tcW w:w="636" w:type="pct"/>
            <w:tcBorders>
              <w:top w:val="dotted" w:sz="4" w:space="0" w:color="auto"/>
              <w:bottom w:val="dotted" w:sz="4" w:space="0" w:color="auto"/>
            </w:tcBorders>
          </w:tcPr>
          <w:p w14:paraId="22D4DC15" w14:textId="6AAC9E84" w:rsidR="00FF520A" w:rsidRPr="00A864D2" w:rsidRDefault="00FF520A" w:rsidP="00A83E42">
            <w:pPr>
              <w:pStyle w:val="TableText"/>
              <w:jc w:val="right"/>
            </w:pPr>
            <w:r w:rsidRPr="00A864D2">
              <w:t>–</w:t>
            </w:r>
          </w:p>
        </w:tc>
        <w:tc>
          <w:tcPr>
            <w:tcW w:w="572" w:type="pct"/>
            <w:tcBorders>
              <w:top w:val="dotted" w:sz="4" w:space="0" w:color="auto"/>
              <w:bottom w:val="dotted" w:sz="4" w:space="0" w:color="auto"/>
            </w:tcBorders>
          </w:tcPr>
          <w:p w14:paraId="637DF80B" w14:textId="71E144B6" w:rsidR="00FF520A" w:rsidRPr="00A864D2" w:rsidRDefault="00FF520A" w:rsidP="00A83E42">
            <w:pPr>
              <w:pStyle w:val="TableText"/>
              <w:jc w:val="right"/>
            </w:pPr>
            <w:r w:rsidRPr="00A864D2">
              <w:t>–</w:t>
            </w:r>
          </w:p>
        </w:tc>
        <w:tc>
          <w:tcPr>
            <w:tcW w:w="373" w:type="pct"/>
            <w:tcBorders>
              <w:top w:val="dotted" w:sz="4" w:space="0" w:color="auto"/>
              <w:bottom w:val="dotted" w:sz="4" w:space="0" w:color="auto"/>
            </w:tcBorders>
          </w:tcPr>
          <w:p w14:paraId="2E9AE888" w14:textId="5CE1F4EC" w:rsidR="00FF520A" w:rsidRPr="00A864D2" w:rsidRDefault="00FF520A" w:rsidP="00A83E42">
            <w:pPr>
              <w:pStyle w:val="TableText"/>
              <w:jc w:val="right"/>
            </w:pPr>
          </w:p>
        </w:tc>
        <w:tc>
          <w:tcPr>
            <w:tcW w:w="441" w:type="pct"/>
            <w:tcBorders>
              <w:top w:val="dotted" w:sz="4" w:space="0" w:color="auto"/>
              <w:bottom w:val="dotted" w:sz="4" w:space="0" w:color="auto"/>
            </w:tcBorders>
          </w:tcPr>
          <w:p w14:paraId="7B804A32" w14:textId="2D4BD999" w:rsidR="00FF520A" w:rsidRPr="00A864D2" w:rsidRDefault="00FF520A" w:rsidP="00833460">
            <w:pPr>
              <w:pStyle w:val="TableText"/>
              <w:jc w:val="right"/>
            </w:pPr>
            <w:r w:rsidRPr="00A864D2">
              <w:t>98</w:t>
            </w:r>
          </w:p>
        </w:tc>
      </w:tr>
      <w:tr w:rsidR="00FF520A" w:rsidRPr="00EF67D8" w14:paraId="15A16414" w14:textId="77777777" w:rsidTr="00FF520A">
        <w:tc>
          <w:tcPr>
            <w:tcW w:w="879" w:type="pct"/>
            <w:vMerge w:val="restart"/>
            <w:tcBorders>
              <w:top w:val="single" w:sz="4" w:space="0" w:color="auto"/>
              <w:bottom w:val="nil"/>
            </w:tcBorders>
          </w:tcPr>
          <w:p w14:paraId="713C82DF" w14:textId="77777777" w:rsidR="00FF520A" w:rsidRPr="00A864D2" w:rsidRDefault="00FF520A" w:rsidP="00A83E42">
            <w:pPr>
              <w:pStyle w:val="TableText"/>
              <w:rPr>
                <w:rStyle w:val="Strong"/>
              </w:rPr>
            </w:pPr>
            <w:r w:rsidRPr="00A864D2">
              <w:rPr>
                <w:rStyle w:val="Strong"/>
              </w:rPr>
              <w:t>Fees – documentation</w:t>
            </w:r>
          </w:p>
        </w:tc>
        <w:tc>
          <w:tcPr>
            <w:tcW w:w="1101" w:type="pct"/>
            <w:tcBorders>
              <w:top w:val="dotted" w:sz="4" w:space="0" w:color="auto"/>
              <w:bottom w:val="dotted" w:sz="4" w:space="0" w:color="auto"/>
            </w:tcBorders>
          </w:tcPr>
          <w:p w14:paraId="3975981A" w14:textId="77777777" w:rsidR="00FF520A" w:rsidRPr="00A864D2" w:rsidRDefault="00FF520A" w:rsidP="00A83E42">
            <w:pPr>
              <w:pStyle w:val="TableText"/>
              <w:rPr>
                <w:rStyle w:val="Strong"/>
                <w:b w:val="0"/>
                <w:bCs w:val="0"/>
              </w:rPr>
            </w:pPr>
            <w:r w:rsidRPr="00A864D2">
              <w:t>Document – Electronic</w:t>
            </w:r>
          </w:p>
        </w:tc>
        <w:tc>
          <w:tcPr>
            <w:tcW w:w="998" w:type="pct"/>
            <w:tcBorders>
              <w:top w:val="dotted" w:sz="4" w:space="0" w:color="auto"/>
              <w:bottom w:val="dotted" w:sz="4" w:space="0" w:color="auto"/>
            </w:tcBorders>
          </w:tcPr>
          <w:p w14:paraId="6F58F748" w14:textId="77777777" w:rsidR="00FF520A" w:rsidRPr="00A864D2" w:rsidRDefault="00FF520A" w:rsidP="00A83E42">
            <w:pPr>
              <w:pStyle w:val="TableText"/>
              <w:rPr>
                <w:rStyle w:val="Strong"/>
                <w:b w:val="0"/>
                <w:bCs w:val="0"/>
              </w:rPr>
            </w:pPr>
            <w:r w:rsidRPr="00A864D2">
              <w:t>Per document</w:t>
            </w:r>
          </w:p>
        </w:tc>
        <w:tc>
          <w:tcPr>
            <w:tcW w:w="636" w:type="pct"/>
            <w:tcBorders>
              <w:top w:val="dotted" w:sz="4" w:space="0" w:color="auto"/>
              <w:bottom w:val="dotted" w:sz="4" w:space="0" w:color="auto"/>
            </w:tcBorders>
          </w:tcPr>
          <w:p w14:paraId="44956426" w14:textId="7B4A0EE8" w:rsidR="00FF520A" w:rsidRPr="00A864D2" w:rsidRDefault="00FF520A" w:rsidP="00A83E42">
            <w:pPr>
              <w:pStyle w:val="TableText"/>
              <w:jc w:val="right"/>
            </w:pPr>
            <w:r w:rsidRPr="00A864D2">
              <w:t>2,680,920</w:t>
            </w:r>
          </w:p>
        </w:tc>
        <w:tc>
          <w:tcPr>
            <w:tcW w:w="572" w:type="pct"/>
            <w:tcBorders>
              <w:top w:val="dotted" w:sz="4" w:space="0" w:color="auto"/>
              <w:bottom w:val="dotted" w:sz="4" w:space="0" w:color="auto"/>
            </w:tcBorders>
          </w:tcPr>
          <w:p w14:paraId="580F46CC" w14:textId="6A16016F" w:rsidR="00FF520A" w:rsidRPr="00A864D2" w:rsidRDefault="00FF520A" w:rsidP="00A83E42">
            <w:pPr>
              <w:pStyle w:val="TableText"/>
              <w:jc w:val="right"/>
            </w:pPr>
            <w:r w:rsidRPr="00A864D2">
              <w:t>111,705</w:t>
            </w:r>
          </w:p>
        </w:tc>
        <w:tc>
          <w:tcPr>
            <w:tcW w:w="373" w:type="pct"/>
            <w:tcBorders>
              <w:top w:val="dotted" w:sz="4" w:space="0" w:color="auto"/>
              <w:bottom w:val="dotted" w:sz="4" w:space="0" w:color="auto"/>
            </w:tcBorders>
          </w:tcPr>
          <w:p w14:paraId="43124166" w14:textId="5E9D6A99" w:rsidR="00FF520A" w:rsidRPr="00A864D2" w:rsidRDefault="00FF520A" w:rsidP="00A83E42">
            <w:pPr>
              <w:pStyle w:val="TableText"/>
              <w:jc w:val="right"/>
            </w:pPr>
          </w:p>
        </w:tc>
        <w:tc>
          <w:tcPr>
            <w:tcW w:w="441" w:type="pct"/>
            <w:tcBorders>
              <w:top w:val="dotted" w:sz="4" w:space="0" w:color="auto"/>
              <w:bottom w:val="dotted" w:sz="4" w:space="0" w:color="auto"/>
            </w:tcBorders>
          </w:tcPr>
          <w:p w14:paraId="43137D31" w14:textId="0DE37D1F" w:rsidR="00FF520A" w:rsidRPr="00A864D2" w:rsidRDefault="00FF520A" w:rsidP="00833460">
            <w:pPr>
              <w:pStyle w:val="TableText"/>
              <w:jc w:val="right"/>
            </w:pPr>
            <w:r w:rsidRPr="00A864D2">
              <w:t>24</w:t>
            </w:r>
          </w:p>
        </w:tc>
      </w:tr>
      <w:tr w:rsidR="00FF520A" w:rsidRPr="00EF67D8" w14:paraId="7756DC38" w14:textId="77777777" w:rsidTr="00FF520A">
        <w:tc>
          <w:tcPr>
            <w:tcW w:w="879" w:type="pct"/>
            <w:vMerge/>
            <w:tcBorders>
              <w:top w:val="nil"/>
              <w:bottom w:val="nil"/>
            </w:tcBorders>
          </w:tcPr>
          <w:p w14:paraId="6B891FFD" w14:textId="77777777" w:rsidR="00FF520A" w:rsidRPr="00A864D2" w:rsidRDefault="00FF520A" w:rsidP="00A83E42">
            <w:pPr>
              <w:pStyle w:val="TableText"/>
              <w:rPr>
                <w:rStyle w:val="Strong"/>
              </w:rPr>
            </w:pPr>
          </w:p>
        </w:tc>
        <w:tc>
          <w:tcPr>
            <w:tcW w:w="1101" w:type="pct"/>
            <w:tcBorders>
              <w:top w:val="dotted" w:sz="4" w:space="0" w:color="auto"/>
              <w:bottom w:val="dotted" w:sz="4" w:space="0" w:color="auto"/>
            </w:tcBorders>
          </w:tcPr>
          <w:p w14:paraId="069D2D1E" w14:textId="77777777" w:rsidR="00FF520A" w:rsidRPr="00A864D2" w:rsidRDefault="00FF520A" w:rsidP="00A83E42">
            <w:pPr>
              <w:pStyle w:val="TableText"/>
              <w:rPr>
                <w:rStyle w:val="Strong"/>
                <w:b w:val="0"/>
                <w:bCs w:val="0"/>
              </w:rPr>
            </w:pPr>
            <w:r w:rsidRPr="00A864D2">
              <w:t>Document – Manual</w:t>
            </w:r>
          </w:p>
        </w:tc>
        <w:tc>
          <w:tcPr>
            <w:tcW w:w="998" w:type="pct"/>
            <w:tcBorders>
              <w:top w:val="dotted" w:sz="4" w:space="0" w:color="auto"/>
              <w:bottom w:val="dotted" w:sz="4" w:space="0" w:color="auto"/>
            </w:tcBorders>
          </w:tcPr>
          <w:p w14:paraId="56D88348" w14:textId="77777777" w:rsidR="00FF520A" w:rsidRPr="00A864D2" w:rsidRDefault="00FF520A" w:rsidP="00A83E42">
            <w:pPr>
              <w:pStyle w:val="TableText"/>
              <w:rPr>
                <w:rStyle w:val="Strong"/>
                <w:b w:val="0"/>
                <w:bCs w:val="0"/>
              </w:rPr>
            </w:pPr>
            <w:r w:rsidRPr="00A864D2">
              <w:t>Per document</w:t>
            </w:r>
          </w:p>
        </w:tc>
        <w:tc>
          <w:tcPr>
            <w:tcW w:w="636" w:type="pct"/>
            <w:tcBorders>
              <w:top w:val="dotted" w:sz="4" w:space="0" w:color="auto"/>
              <w:bottom w:val="dotted" w:sz="4" w:space="0" w:color="auto"/>
            </w:tcBorders>
          </w:tcPr>
          <w:p w14:paraId="02264517" w14:textId="632ADC21" w:rsidR="00FF520A" w:rsidRPr="00A864D2" w:rsidRDefault="00FF520A" w:rsidP="00A83E42">
            <w:pPr>
              <w:pStyle w:val="TableText"/>
              <w:jc w:val="right"/>
            </w:pPr>
            <w:r w:rsidRPr="00A864D2">
              <w:t>531,900</w:t>
            </w:r>
          </w:p>
        </w:tc>
        <w:tc>
          <w:tcPr>
            <w:tcW w:w="572" w:type="pct"/>
            <w:tcBorders>
              <w:top w:val="dotted" w:sz="4" w:space="0" w:color="auto"/>
              <w:bottom w:val="dotted" w:sz="4" w:space="0" w:color="auto"/>
            </w:tcBorders>
          </w:tcPr>
          <w:p w14:paraId="46DC41F4" w14:textId="69420153" w:rsidR="00FF520A" w:rsidRPr="00A864D2" w:rsidRDefault="00FF520A" w:rsidP="00A83E42">
            <w:pPr>
              <w:pStyle w:val="TableText"/>
              <w:jc w:val="right"/>
            </w:pPr>
            <w:r w:rsidRPr="00A864D2">
              <w:t>2,700</w:t>
            </w:r>
          </w:p>
        </w:tc>
        <w:tc>
          <w:tcPr>
            <w:tcW w:w="373" w:type="pct"/>
            <w:tcBorders>
              <w:top w:val="dotted" w:sz="4" w:space="0" w:color="auto"/>
              <w:bottom w:val="dotted" w:sz="4" w:space="0" w:color="auto"/>
            </w:tcBorders>
          </w:tcPr>
          <w:p w14:paraId="1475FB5F" w14:textId="206B139D" w:rsidR="00FF520A" w:rsidRPr="00A864D2" w:rsidRDefault="00FF520A" w:rsidP="00A83E42">
            <w:pPr>
              <w:pStyle w:val="TableText"/>
              <w:jc w:val="right"/>
            </w:pPr>
          </w:p>
        </w:tc>
        <w:tc>
          <w:tcPr>
            <w:tcW w:w="441" w:type="pct"/>
            <w:tcBorders>
              <w:top w:val="dotted" w:sz="4" w:space="0" w:color="auto"/>
              <w:bottom w:val="dotted" w:sz="4" w:space="0" w:color="auto"/>
            </w:tcBorders>
          </w:tcPr>
          <w:p w14:paraId="4B314184" w14:textId="3595F7FB" w:rsidR="00FF520A" w:rsidRPr="00A864D2" w:rsidRDefault="00FF520A" w:rsidP="00833460">
            <w:pPr>
              <w:pStyle w:val="TableText"/>
              <w:jc w:val="right"/>
            </w:pPr>
            <w:r w:rsidRPr="00A864D2">
              <w:t>197</w:t>
            </w:r>
          </w:p>
        </w:tc>
      </w:tr>
      <w:tr w:rsidR="00FF520A" w:rsidRPr="00EF67D8" w14:paraId="227C4FDA" w14:textId="77777777" w:rsidTr="00FF520A">
        <w:tc>
          <w:tcPr>
            <w:tcW w:w="879" w:type="pct"/>
            <w:vMerge/>
            <w:tcBorders>
              <w:top w:val="nil"/>
              <w:bottom w:val="single" w:sz="4" w:space="0" w:color="auto"/>
            </w:tcBorders>
          </w:tcPr>
          <w:p w14:paraId="5A4B42FC" w14:textId="77777777" w:rsidR="00FF520A" w:rsidRPr="00A864D2" w:rsidRDefault="00FF520A" w:rsidP="00A83E42">
            <w:pPr>
              <w:pStyle w:val="TableText"/>
              <w:rPr>
                <w:rStyle w:val="Strong"/>
              </w:rPr>
            </w:pPr>
          </w:p>
        </w:tc>
        <w:tc>
          <w:tcPr>
            <w:tcW w:w="1101" w:type="pct"/>
            <w:tcBorders>
              <w:top w:val="dotted" w:sz="4" w:space="0" w:color="auto"/>
              <w:bottom w:val="single" w:sz="4" w:space="0" w:color="auto"/>
            </w:tcBorders>
          </w:tcPr>
          <w:p w14:paraId="14559418" w14:textId="77777777" w:rsidR="00FF520A" w:rsidRPr="00A864D2" w:rsidRDefault="00FF520A" w:rsidP="00A83E42">
            <w:pPr>
              <w:pStyle w:val="TableText"/>
              <w:rPr>
                <w:rStyle w:val="Strong"/>
                <w:b w:val="0"/>
                <w:bCs w:val="0"/>
              </w:rPr>
            </w:pPr>
            <w:r w:rsidRPr="00A864D2">
              <w:t>Replacement certificate</w:t>
            </w:r>
          </w:p>
        </w:tc>
        <w:tc>
          <w:tcPr>
            <w:tcW w:w="998" w:type="pct"/>
            <w:tcBorders>
              <w:top w:val="dotted" w:sz="4" w:space="0" w:color="auto"/>
              <w:bottom w:val="single" w:sz="4" w:space="0" w:color="auto"/>
            </w:tcBorders>
          </w:tcPr>
          <w:p w14:paraId="321F0854" w14:textId="77777777" w:rsidR="00FF520A" w:rsidRPr="00A864D2" w:rsidRDefault="00FF520A" w:rsidP="00A83E42">
            <w:pPr>
              <w:pStyle w:val="TableText"/>
              <w:rPr>
                <w:rStyle w:val="Strong"/>
                <w:b w:val="0"/>
                <w:bCs w:val="0"/>
              </w:rPr>
            </w:pPr>
            <w:r w:rsidRPr="00A864D2">
              <w:t>Per document</w:t>
            </w:r>
          </w:p>
        </w:tc>
        <w:tc>
          <w:tcPr>
            <w:tcW w:w="636" w:type="pct"/>
            <w:tcBorders>
              <w:top w:val="dotted" w:sz="4" w:space="0" w:color="auto"/>
              <w:bottom w:val="single" w:sz="4" w:space="0" w:color="auto"/>
            </w:tcBorders>
          </w:tcPr>
          <w:p w14:paraId="5BA514EE" w14:textId="7E4BD5F2" w:rsidR="00FF520A" w:rsidRPr="00A864D2" w:rsidRDefault="00FF520A" w:rsidP="00A83E42">
            <w:pPr>
              <w:pStyle w:val="TableText"/>
              <w:jc w:val="right"/>
            </w:pPr>
            <w:r w:rsidRPr="00A864D2">
              <w:t>5,740</w:t>
            </w:r>
          </w:p>
        </w:tc>
        <w:tc>
          <w:tcPr>
            <w:tcW w:w="572" w:type="pct"/>
            <w:tcBorders>
              <w:top w:val="dotted" w:sz="4" w:space="0" w:color="auto"/>
              <w:bottom w:val="single" w:sz="4" w:space="0" w:color="auto"/>
            </w:tcBorders>
          </w:tcPr>
          <w:p w14:paraId="7B73A66B" w14:textId="2439AC9D" w:rsidR="00FF520A" w:rsidRPr="00A864D2" w:rsidRDefault="00FF520A" w:rsidP="00A83E42">
            <w:pPr>
              <w:pStyle w:val="TableText"/>
              <w:jc w:val="right"/>
            </w:pPr>
            <w:r w:rsidRPr="00A864D2">
              <w:t>10</w:t>
            </w:r>
          </w:p>
        </w:tc>
        <w:tc>
          <w:tcPr>
            <w:tcW w:w="373" w:type="pct"/>
            <w:tcBorders>
              <w:top w:val="dotted" w:sz="4" w:space="0" w:color="auto"/>
              <w:bottom w:val="single" w:sz="4" w:space="0" w:color="auto"/>
            </w:tcBorders>
          </w:tcPr>
          <w:p w14:paraId="6B82EB1C" w14:textId="09B4E2F6" w:rsidR="00FF520A" w:rsidRPr="00A864D2" w:rsidRDefault="00FF520A" w:rsidP="00A83E42">
            <w:pPr>
              <w:pStyle w:val="TableText"/>
              <w:jc w:val="right"/>
            </w:pPr>
          </w:p>
        </w:tc>
        <w:tc>
          <w:tcPr>
            <w:tcW w:w="441" w:type="pct"/>
            <w:tcBorders>
              <w:top w:val="dotted" w:sz="4" w:space="0" w:color="auto"/>
              <w:bottom w:val="single" w:sz="4" w:space="0" w:color="auto"/>
            </w:tcBorders>
          </w:tcPr>
          <w:p w14:paraId="6B8F4D6A" w14:textId="7A3EEC21" w:rsidR="00FF520A" w:rsidRPr="00A864D2" w:rsidRDefault="00FF520A" w:rsidP="00833460">
            <w:pPr>
              <w:pStyle w:val="TableText"/>
              <w:jc w:val="right"/>
            </w:pPr>
            <w:r w:rsidRPr="00A864D2">
              <w:t>574</w:t>
            </w:r>
          </w:p>
        </w:tc>
      </w:tr>
      <w:tr w:rsidR="00FF520A" w:rsidRPr="00EF67D8" w14:paraId="37A18FC7" w14:textId="77777777" w:rsidTr="00FF520A">
        <w:tc>
          <w:tcPr>
            <w:tcW w:w="879" w:type="pct"/>
            <w:vMerge w:val="restart"/>
            <w:tcBorders>
              <w:top w:val="single" w:sz="4" w:space="0" w:color="auto"/>
              <w:bottom w:val="nil"/>
            </w:tcBorders>
          </w:tcPr>
          <w:p w14:paraId="16101A11" w14:textId="77777777" w:rsidR="00FF520A" w:rsidRPr="00A864D2" w:rsidRDefault="00FF520A" w:rsidP="00A83E42">
            <w:pPr>
              <w:pStyle w:val="TableText"/>
              <w:rPr>
                <w:rStyle w:val="Strong"/>
              </w:rPr>
            </w:pPr>
            <w:r w:rsidRPr="00A864D2">
              <w:rPr>
                <w:rStyle w:val="Strong"/>
              </w:rPr>
              <w:t>Fees – authorised officer</w:t>
            </w:r>
          </w:p>
        </w:tc>
        <w:tc>
          <w:tcPr>
            <w:tcW w:w="1101" w:type="pct"/>
            <w:tcBorders>
              <w:top w:val="single" w:sz="4" w:space="0" w:color="auto"/>
              <w:bottom w:val="dotted" w:sz="4" w:space="0" w:color="auto"/>
            </w:tcBorders>
          </w:tcPr>
          <w:p w14:paraId="02C4B6AD" w14:textId="77777777" w:rsidR="00FF520A" w:rsidRPr="00A864D2" w:rsidRDefault="00FF520A" w:rsidP="00A83E42">
            <w:pPr>
              <w:pStyle w:val="TableText"/>
              <w:rPr>
                <w:rStyle w:val="Strong"/>
                <w:b w:val="0"/>
                <w:bCs w:val="0"/>
              </w:rPr>
            </w:pPr>
            <w:r w:rsidRPr="00A864D2">
              <w:t>Authorised Officer application fee</w:t>
            </w:r>
          </w:p>
        </w:tc>
        <w:tc>
          <w:tcPr>
            <w:tcW w:w="998" w:type="pct"/>
            <w:tcBorders>
              <w:top w:val="single" w:sz="4" w:space="0" w:color="auto"/>
              <w:bottom w:val="dotted" w:sz="4" w:space="0" w:color="auto"/>
            </w:tcBorders>
          </w:tcPr>
          <w:p w14:paraId="4FA0BCAD" w14:textId="77777777" w:rsidR="00FF520A" w:rsidRPr="00A864D2" w:rsidRDefault="00FF520A" w:rsidP="00A83E42">
            <w:pPr>
              <w:pStyle w:val="TableText"/>
              <w:rPr>
                <w:rStyle w:val="Strong"/>
                <w:b w:val="0"/>
                <w:bCs w:val="0"/>
              </w:rPr>
            </w:pPr>
            <w:r w:rsidRPr="00A864D2">
              <w:t>Per Application</w:t>
            </w:r>
          </w:p>
        </w:tc>
        <w:tc>
          <w:tcPr>
            <w:tcW w:w="636" w:type="pct"/>
            <w:tcBorders>
              <w:top w:val="single" w:sz="4" w:space="0" w:color="auto"/>
              <w:bottom w:val="dotted" w:sz="4" w:space="0" w:color="auto"/>
            </w:tcBorders>
          </w:tcPr>
          <w:p w14:paraId="579A3EB1" w14:textId="3E5B9DB3" w:rsidR="00FF520A" w:rsidRPr="00A864D2" w:rsidRDefault="00FF520A" w:rsidP="00A83E42">
            <w:pPr>
              <w:pStyle w:val="TableText"/>
              <w:jc w:val="right"/>
            </w:pPr>
            <w:r w:rsidRPr="00A864D2">
              <w:t>14,760</w:t>
            </w:r>
          </w:p>
        </w:tc>
        <w:tc>
          <w:tcPr>
            <w:tcW w:w="572" w:type="pct"/>
            <w:tcBorders>
              <w:top w:val="single" w:sz="4" w:space="0" w:color="auto"/>
              <w:bottom w:val="dotted" w:sz="4" w:space="0" w:color="auto"/>
            </w:tcBorders>
          </w:tcPr>
          <w:p w14:paraId="61B4784F" w14:textId="539FC63F" w:rsidR="00FF520A" w:rsidRPr="00A864D2" w:rsidRDefault="00FF520A" w:rsidP="00A83E42">
            <w:pPr>
              <w:pStyle w:val="TableText"/>
              <w:jc w:val="right"/>
            </w:pPr>
            <w:r w:rsidRPr="00A864D2">
              <w:t>45</w:t>
            </w:r>
          </w:p>
        </w:tc>
        <w:tc>
          <w:tcPr>
            <w:tcW w:w="373" w:type="pct"/>
            <w:tcBorders>
              <w:top w:val="single" w:sz="4" w:space="0" w:color="auto"/>
              <w:bottom w:val="dotted" w:sz="4" w:space="0" w:color="auto"/>
            </w:tcBorders>
          </w:tcPr>
          <w:p w14:paraId="2FC21649" w14:textId="4A5CB5BA" w:rsidR="00FF520A" w:rsidRPr="00A864D2" w:rsidRDefault="00FF520A" w:rsidP="00A83E42">
            <w:pPr>
              <w:pStyle w:val="TableText"/>
              <w:jc w:val="right"/>
            </w:pPr>
          </w:p>
        </w:tc>
        <w:tc>
          <w:tcPr>
            <w:tcW w:w="441" w:type="pct"/>
            <w:tcBorders>
              <w:top w:val="single" w:sz="4" w:space="0" w:color="auto"/>
              <w:bottom w:val="dotted" w:sz="4" w:space="0" w:color="auto"/>
            </w:tcBorders>
          </w:tcPr>
          <w:p w14:paraId="64730AAB" w14:textId="6469B5A0" w:rsidR="00FF520A" w:rsidRPr="00A864D2" w:rsidRDefault="00FF520A" w:rsidP="00833460">
            <w:pPr>
              <w:pStyle w:val="TableText"/>
              <w:jc w:val="right"/>
            </w:pPr>
            <w:r w:rsidRPr="00A864D2">
              <w:t>328</w:t>
            </w:r>
          </w:p>
        </w:tc>
      </w:tr>
      <w:tr w:rsidR="00FF520A" w:rsidRPr="00EF67D8" w14:paraId="547F5785" w14:textId="77777777" w:rsidTr="00FF520A">
        <w:tc>
          <w:tcPr>
            <w:tcW w:w="879" w:type="pct"/>
            <w:vMerge/>
            <w:tcBorders>
              <w:top w:val="nil"/>
              <w:bottom w:val="nil"/>
            </w:tcBorders>
          </w:tcPr>
          <w:p w14:paraId="4C158A27" w14:textId="77777777" w:rsidR="00FF520A" w:rsidRPr="00A864D2" w:rsidRDefault="00FF520A" w:rsidP="00A83E42">
            <w:pPr>
              <w:pStyle w:val="TableText"/>
              <w:rPr>
                <w:rStyle w:val="Strong"/>
              </w:rPr>
            </w:pPr>
          </w:p>
        </w:tc>
        <w:tc>
          <w:tcPr>
            <w:tcW w:w="1101" w:type="pct"/>
            <w:tcBorders>
              <w:top w:val="dotted" w:sz="4" w:space="0" w:color="auto"/>
              <w:bottom w:val="dotted" w:sz="4" w:space="0" w:color="auto"/>
            </w:tcBorders>
          </w:tcPr>
          <w:p w14:paraId="7161D13B" w14:textId="77777777" w:rsidR="00FF520A" w:rsidRPr="00A864D2" w:rsidRDefault="00FF520A" w:rsidP="00A83E42">
            <w:pPr>
              <w:pStyle w:val="TableText"/>
              <w:rPr>
                <w:rStyle w:val="Strong"/>
                <w:b w:val="0"/>
                <w:bCs w:val="0"/>
              </w:rPr>
            </w:pPr>
            <w:r w:rsidRPr="00A864D2">
              <w:t>Authorised Officer approval</w:t>
            </w:r>
          </w:p>
        </w:tc>
        <w:tc>
          <w:tcPr>
            <w:tcW w:w="998" w:type="pct"/>
            <w:tcBorders>
              <w:top w:val="dotted" w:sz="4" w:space="0" w:color="auto"/>
              <w:bottom w:val="dotted" w:sz="4" w:space="0" w:color="auto"/>
            </w:tcBorders>
          </w:tcPr>
          <w:p w14:paraId="50A4C72F" w14:textId="77777777" w:rsidR="00FF520A" w:rsidRPr="00A864D2" w:rsidRDefault="00FF520A" w:rsidP="00A83E42">
            <w:pPr>
              <w:pStyle w:val="TableText"/>
              <w:rPr>
                <w:rStyle w:val="Strong"/>
                <w:b w:val="0"/>
                <w:bCs w:val="0"/>
              </w:rPr>
            </w:pPr>
            <w:r w:rsidRPr="00A864D2">
              <w:t>Per authorised officer approval</w:t>
            </w:r>
          </w:p>
        </w:tc>
        <w:tc>
          <w:tcPr>
            <w:tcW w:w="636" w:type="pct"/>
            <w:tcBorders>
              <w:top w:val="dotted" w:sz="4" w:space="0" w:color="auto"/>
              <w:bottom w:val="dotted" w:sz="4" w:space="0" w:color="auto"/>
            </w:tcBorders>
          </w:tcPr>
          <w:p w14:paraId="4E2EC12E" w14:textId="5BBDAE5F" w:rsidR="00FF520A" w:rsidRPr="00A864D2" w:rsidRDefault="00FF520A" w:rsidP="00A83E42">
            <w:pPr>
              <w:pStyle w:val="TableText"/>
              <w:jc w:val="right"/>
            </w:pPr>
            <w:r w:rsidRPr="00A864D2">
              <w:t>48,544</w:t>
            </w:r>
          </w:p>
        </w:tc>
        <w:tc>
          <w:tcPr>
            <w:tcW w:w="572" w:type="pct"/>
            <w:tcBorders>
              <w:top w:val="dotted" w:sz="4" w:space="0" w:color="auto"/>
              <w:bottom w:val="dotted" w:sz="4" w:space="0" w:color="auto"/>
            </w:tcBorders>
          </w:tcPr>
          <w:p w14:paraId="21F4EF17" w14:textId="3385361B" w:rsidR="00FF520A" w:rsidRPr="00A864D2" w:rsidRDefault="00FF520A" w:rsidP="00A83E42">
            <w:pPr>
              <w:pStyle w:val="TableText"/>
              <w:jc w:val="right"/>
            </w:pPr>
            <w:r w:rsidRPr="00A864D2">
              <w:t>148</w:t>
            </w:r>
          </w:p>
        </w:tc>
        <w:tc>
          <w:tcPr>
            <w:tcW w:w="373" w:type="pct"/>
            <w:tcBorders>
              <w:top w:val="dotted" w:sz="4" w:space="0" w:color="auto"/>
              <w:bottom w:val="dotted" w:sz="4" w:space="0" w:color="auto"/>
            </w:tcBorders>
          </w:tcPr>
          <w:p w14:paraId="66C136BD" w14:textId="3287E1F9" w:rsidR="00FF520A" w:rsidRPr="00A864D2" w:rsidRDefault="00FF520A" w:rsidP="00A83E42">
            <w:pPr>
              <w:pStyle w:val="TableText"/>
              <w:jc w:val="right"/>
            </w:pPr>
          </w:p>
        </w:tc>
        <w:tc>
          <w:tcPr>
            <w:tcW w:w="441" w:type="pct"/>
            <w:tcBorders>
              <w:top w:val="dotted" w:sz="4" w:space="0" w:color="auto"/>
              <w:bottom w:val="dotted" w:sz="4" w:space="0" w:color="auto"/>
            </w:tcBorders>
          </w:tcPr>
          <w:p w14:paraId="5C7A2E90" w14:textId="7C1EAA44" w:rsidR="00FF520A" w:rsidRPr="00A864D2" w:rsidRDefault="00FF520A" w:rsidP="00833460">
            <w:pPr>
              <w:pStyle w:val="TableText"/>
              <w:jc w:val="right"/>
            </w:pPr>
            <w:r w:rsidRPr="00A864D2">
              <w:t>328</w:t>
            </w:r>
          </w:p>
        </w:tc>
      </w:tr>
      <w:tr w:rsidR="00FF520A" w:rsidRPr="00EF67D8" w14:paraId="3D8FCDB4" w14:textId="77777777" w:rsidTr="00FF520A">
        <w:tc>
          <w:tcPr>
            <w:tcW w:w="879" w:type="pct"/>
            <w:vMerge/>
            <w:tcBorders>
              <w:top w:val="nil"/>
              <w:bottom w:val="nil"/>
            </w:tcBorders>
          </w:tcPr>
          <w:p w14:paraId="344D6E19" w14:textId="77777777" w:rsidR="00FF520A" w:rsidRPr="00A864D2" w:rsidRDefault="00FF520A" w:rsidP="00A83E42">
            <w:pPr>
              <w:pStyle w:val="TableText"/>
              <w:rPr>
                <w:rStyle w:val="Strong"/>
              </w:rPr>
            </w:pPr>
          </w:p>
        </w:tc>
        <w:tc>
          <w:tcPr>
            <w:tcW w:w="1101" w:type="pct"/>
            <w:tcBorders>
              <w:top w:val="dotted" w:sz="4" w:space="0" w:color="auto"/>
              <w:bottom w:val="dotted" w:sz="4" w:space="0" w:color="auto"/>
            </w:tcBorders>
          </w:tcPr>
          <w:p w14:paraId="19857453" w14:textId="77777777" w:rsidR="00FF520A" w:rsidRPr="00A864D2" w:rsidRDefault="00FF520A" w:rsidP="00A83E42">
            <w:pPr>
              <w:pStyle w:val="TableText"/>
              <w:rPr>
                <w:rStyle w:val="Strong"/>
                <w:b w:val="0"/>
                <w:bCs w:val="0"/>
              </w:rPr>
            </w:pPr>
            <w:r w:rsidRPr="00A864D2">
              <w:t>Authorised Officer Learning and Assessment</w:t>
            </w:r>
          </w:p>
        </w:tc>
        <w:tc>
          <w:tcPr>
            <w:tcW w:w="998" w:type="pct"/>
            <w:tcBorders>
              <w:top w:val="dotted" w:sz="4" w:space="0" w:color="auto"/>
              <w:bottom w:val="dotted" w:sz="4" w:space="0" w:color="auto"/>
            </w:tcBorders>
          </w:tcPr>
          <w:p w14:paraId="2FCC5351" w14:textId="77777777" w:rsidR="00FF520A" w:rsidRPr="00A864D2" w:rsidRDefault="00FF520A" w:rsidP="00A83E42">
            <w:pPr>
              <w:pStyle w:val="TableText"/>
              <w:rPr>
                <w:rStyle w:val="Strong"/>
                <w:b w:val="0"/>
                <w:bCs w:val="0"/>
              </w:rPr>
            </w:pPr>
            <w:r w:rsidRPr="00A864D2">
              <w:t>Per person delivered training</w:t>
            </w:r>
          </w:p>
        </w:tc>
        <w:tc>
          <w:tcPr>
            <w:tcW w:w="636" w:type="pct"/>
            <w:tcBorders>
              <w:top w:val="dotted" w:sz="4" w:space="0" w:color="auto"/>
              <w:bottom w:val="dotted" w:sz="4" w:space="0" w:color="auto"/>
            </w:tcBorders>
          </w:tcPr>
          <w:p w14:paraId="2968A4B1" w14:textId="16D76441" w:rsidR="00FF520A" w:rsidRPr="00A864D2" w:rsidRDefault="00FF520A" w:rsidP="00A83E42">
            <w:pPr>
              <w:pStyle w:val="TableText"/>
              <w:jc w:val="right"/>
            </w:pPr>
            <w:r w:rsidRPr="00A864D2">
              <w:t>103,185</w:t>
            </w:r>
          </w:p>
        </w:tc>
        <w:tc>
          <w:tcPr>
            <w:tcW w:w="572" w:type="pct"/>
            <w:tcBorders>
              <w:top w:val="dotted" w:sz="4" w:space="0" w:color="auto"/>
              <w:bottom w:val="dotted" w:sz="4" w:space="0" w:color="auto"/>
            </w:tcBorders>
          </w:tcPr>
          <w:p w14:paraId="432C361F" w14:textId="18796DC5" w:rsidR="00FF520A" w:rsidRPr="00A864D2" w:rsidRDefault="00FF520A" w:rsidP="00A83E42">
            <w:pPr>
              <w:pStyle w:val="TableText"/>
              <w:jc w:val="right"/>
            </w:pPr>
            <w:r w:rsidRPr="00A864D2">
              <w:t>45</w:t>
            </w:r>
          </w:p>
        </w:tc>
        <w:tc>
          <w:tcPr>
            <w:tcW w:w="373" w:type="pct"/>
            <w:tcBorders>
              <w:top w:val="dotted" w:sz="4" w:space="0" w:color="auto"/>
              <w:bottom w:val="dotted" w:sz="4" w:space="0" w:color="auto"/>
            </w:tcBorders>
          </w:tcPr>
          <w:p w14:paraId="2C0A47B7" w14:textId="5F4DB52C" w:rsidR="00FF520A" w:rsidRPr="00A864D2" w:rsidRDefault="00FF520A" w:rsidP="00A83E42">
            <w:pPr>
              <w:pStyle w:val="TableText"/>
              <w:jc w:val="right"/>
            </w:pPr>
          </w:p>
        </w:tc>
        <w:tc>
          <w:tcPr>
            <w:tcW w:w="441" w:type="pct"/>
            <w:tcBorders>
              <w:top w:val="dotted" w:sz="4" w:space="0" w:color="auto"/>
              <w:bottom w:val="dotted" w:sz="4" w:space="0" w:color="auto"/>
            </w:tcBorders>
          </w:tcPr>
          <w:p w14:paraId="4CA528FC" w14:textId="1F515E4F" w:rsidR="00FF520A" w:rsidRPr="00A864D2" w:rsidRDefault="00FF520A" w:rsidP="00833460">
            <w:pPr>
              <w:pStyle w:val="TableText"/>
              <w:jc w:val="right"/>
            </w:pPr>
            <w:r w:rsidRPr="00A864D2">
              <w:t>2,293</w:t>
            </w:r>
          </w:p>
        </w:tc>
      </w:tr>
      <w:tr w:rsidR="00FF520A" w:rsidRPr="00EF67D8" w14:paraId="52E35E45" w14:textId="77777777" w:rsidTr="00FF520A">
        <w:tc>
          <w:tcPr>
            <w:tcW w:w="879" w:type="pct"/>
            <w:vMerge/>
            <w:tcBorders>
              <w:top w:val="nil"/>
              <w:bottom w:val="single" w:sz="4" w:space="0" w:color="auto"/>
            </w:tcBorders>
          </w:tcPr>
          <w:p w14:paraId="50D34689" w14:textId="77777777" w:rsidR="00FF520A" w:rsidRPr="00A864D2" w:rsidRDefault="00FF520A" w:rsidP="00A83E42">
            <w:pPr>
              <w:pStyle w:val="TableText"/>
              <w:rPr>
                <w:rStyle w:val="Strong"/>
              </w:rPr>
            </w:pPr>
          </w:p>
        </w:tc>
        <w:tc>
          <w:tcPr>
            <w:tcW w:w="1101" w:type="pct"/>
            <w:tcBorders>
              <w:top w:val="dotted" w:sz="4" w:space="0" w:color="auto"/>
              <w:bottom w:val="single" w:sz="4" w:space="0" w:color="auto"/>
            </w:tcBorders>
          </w:tcPr>
          <w:p w14:paraId="5445CEEF" w14:textId="77777777" w:rsidR="00FF520A" w:rsidRPr="00A864D2" w:rsidRDefault="00FF520A" w:rsidP="00A83E42">
            <w:pPr>
              <w:pStyle w:val="TableText"/>
            </w:pPr>
            <w:r w:rsidRPr="00A864D2">
              <w:t>Additional Learning and Assessment</w:t>
            </w:r>
          </w:p>
        </w:tc>
        <w:tc>
          <w:tcPr>
            <w:tcW w:w="998" w:type="pct"/>
            <w:tcBorders>
              <w:top w:val="dotted" w:sz="4" w:space="0" w:color="auto"/>
              <w:bottom w:val="single" w:sz="4" w:space="0" w:color="auto"/>
            </w:tcBorders>
          </w:tcPr>
          <w:p w14:paraId="15208683" w14:textId="77777777" w:rsidR="00FF520A" w:rsidRPr="00A864D2" w:rsidRDefault="00FF520A" w:rsidP="00A83E42">
            <w:pPr>
              <w:pStyle w:val="TableText"/>
            </w:pPr>
            <w:r w:rsidRPr="00A864D2">
              <w:t>Per additional person delivered training</w:t>
            </w:r>
          </w:p>
        </w:tc>
        <w:tc>
          <w:tcPr>
            <w:tcW w:w="636" w:type="pct"/>
            <w:tcBorders>
              <w:top w:val="dotted" w:sz="4" w:space="0" w:color="auto"/>
              <w:bottom w:val="single" w:sz="4" w:space="0" w:color="auto"/>
            </w:tcBorders>
          </w:tcPr>
          <w:p w14:paraId="0B193A43" w14:textId="602DE11C" w:rsidR="00FF520A" w:rsidRPr="00A864D2" w:rsidRDefault="00FF520A" w:rsidP="00A83E42">
            <w:pPr>
              <w:pStyle w:val="TableText"/>
              <w:jc w:val="right"/>
            </w:pPr>
            <w:r w:rsidRPr="00A864D2">
              <w:t>–</w:t>
            </w:r>
          </w:p>
        </w:tc>
        <w:tc>
          <w:tcPr>
            <w:tcW w:w="572" w:type="pct"/>
            <w:tcBorders>
              <w:top w:val="dotted" w:sz="4" w:space="0" w:color="auto"/>
              <w:bottom w:val="single" w:sz="4" w:space="0" w:color="auto"/>
            </w:tcBorders>
          </w:tcPr>
          <w:p w14:paraId="6F61B631" w14:textId="0574EEBE" w:rsidR="00FF520A" w:rsidRPr="00A864D2" w:rsidRDefault="00FF520A" w:rsidP="00A83E42">
            <w:pPr>
              <w:pStyle w:val="TableText"/>
              <w:jc w:val="right"/>
            </w:pPr>
            <w:r w:rsidRPr="00A864D2">
              <w:t>–</w:t>
            </w:r>
          </w:p>
        </w:tc>
        <w:tc>
          <w:tcPr>
            <w:tcW w:w="373" w:type="pct"/>
            <w:tcBorders>
              <w:top w:val="dotted" w:sz="4" w:space="0" w:color="auto"/>
              <w:bottom w:val="single" w:sz="4" w:space="0" w:color="auto"/>
            </w:tcBorders>
          </w:tcPr>
          <w:p w14:paraId="4869759D" w14:textId="06C5DAA6" w:rsidR="00FF520A" w:rsidRPr="00A864D2" w:rsidRDefault="00FF520A" w:rsidP="00A83E42">
            <w:pPr>
              <w:pStyle w:val="TableText"/>
              <w:jc w:val="right"/>
            </w:pPr>
          </w:p>
        </w:tc>
        <w:tc>
          <w:tcPr>
            <w:tcW w:w="441" w:type="pct"/>
            <w:tcBorders>
              <w:top w:val="dotted" w:sz="4" w:space="0" w:color="auto"/>
              <w:bottom w:val="single" w:sz="4" w:space="0" w:color="auto"/>
            </w:tcBorders>
          </w:tcPr>
          <w:p w14:paraId="1BD50158" w14:textId="5158CEE5" w:rsidR="00FF520A" w:rsidRPr="00A864D2" w:rsidRDefault="00FF520A" w:rsidP="00833460">
            <w:pPr>
              <w:pStyle w:val="TableText"/>
              <w:jc w:val="right"/>
            </w:pPr>
            <w:r w:rsidRPr="00A864D2">
              <w:t>2,621</w:t>
            </w:r>
          </w:p>
        </w:tc>
      </w:tr>
      <w:tr w:rsidR="00FF520A" w:rsidRPr="00EF67D8" w14:paraId="7652D83D" w14:textId="77777777" w:rsidTr="00FF520A">
        <w:tc>
          <w:tcPr>
            <w:tcW w:w="879" w:type="pct"/>
            <w:tcBorders>
              <w:top w:val="single" w:sz="4" w:space="0" w:color="auto"/>
              <w:bottom w:val="single" w:sz="4" w:space="0" w:color="auto"/>
            </w:tcBorders>
          </w:tcPr>
          <w:p w14:paraId="77A44D16" w14:textId="77777777" w:rsidR="00FF520A" w:rsidRPr="00A864D2" w:rsidRDefault="00FF520A" w:rsidP="00A83E42">
            <w:pPr>
              <w:pStyle w:val="TableText"/>
              <w:rPr>
                <w:rStyle w:val="Strong"/>
              </w:rPr>
            </w:pPr>
            <w:r w:rsidRPr="00A864D2">
              <w:rPr>
                <w:rStyle w:val="Strong"/>
              </w:rPr>
              <w:t>Organics a</w:t>
            </w:r>
          </w:p>
        </w:tc>
        <w:tc>
          <w:tcPr>
            <w:tcW w:w="1101" w:type="pct"/>
            <w:tcBorders>
              <w:top w:val="single" w:sz="4" w:space="0" w:color="auto"/>
              <w:bottom w:val="single" w:sz="4" w:space="0" w:color="auto"/>
            </w:tcBorders>
          </w:tcPr>
          <w:p w14:paraId="752E44E4" w14:textId="77777777" w:rsidR="00FF520A" w:rsidRPr="00A864D2" w:rsidRDefault="00FF520A" w:rsidP="00A83E42">
            <w:pPr>
              <w:pStyle w:val="TableText"/>
            </w:pPr>
            <w:r w:rsidRPr="00A864D2">
              <w:t>Organic certifying organisation</w:t>
            </w:r>
          </w:p>
        </w:tc>
        <w:tc>
          <w:tcPr>
            <w:tcW w:w="998" w:type="pct"/>
            <w:tcBorders>
              <w:top w:val="single" w:sz="4" w:space="0" w:color="auto"/>
              <w:bottom w:val="single" w:sz="4" w:space="0" w:color="auto"/>
            </w:tcBorders>
          </w:tcPr>
          <w:p w14:paraId="0B15E16F" w14:textId="77777777" w:rsidR="00FF520A" w:rsidRPr="00A864D2" w:rsidRDefault="00FF520A" w:rsidP="00A83E42">
            <w:pPr>
              <w:pStyle w:val="TableText"/>
            </w:pPr>
            <w:r w:rsidRPr="00A864D2">
              <w:t>Annual</w:t>
            </w:r>
          </w:p>
        </w:tc>
        <w:tc>
          <w:tcPr>
            <w:tcW w:w="636" w:type="pct"/>
            <w:tcBorders>
              <w:top w:val="single" w:sz="4" w:space="0" w:color="auto"/>
              <w:bottom w:val="single" w:sz="4" w:space="0" w:color="auto"/>
            </w:tcBorders>
          </w:tcPr>
          <w:p w14:paraId="51232A55" w14:textId="5B21E4A8" w:rsidR="00FF520A" w:rsidRPr="00A864D2" w:rsidRDefault="00FF520A" w:rsidP="00A83E42">
            <w:pPr>
              <w:pStyle w:val="TableText"/>
              <w:jc w:val="right"/>
            </w:pPr>
            <w:r w:rsidRPr="00A864D2">
              <w:t>8,608</w:t>
            </w:r>
          </w:p>
        </w:tc>
        <w:tc>
          <w:tcPr>
            <w:tcW w:w="572" w:type="pct"/>
            <w:tcBorders>
              <w:top w:val="single" w:sz="4" w:space="0" w:color="auto"/>
              <w:bottom w:val="single" w:sz="4" w:space="0" w:color="auto"/>
            </w:tcBorders>
          </w:tcPr>
          <w:p w14:paraId="3C981603" w14:textId="71F7B022" w:rsidR="00FF520A" w:rsidRPr="00A864D2" w:rsidRDefault="00FF520A" w:rsidP="00A83E42">
            <w:pPr>
              <w:pStyle w:val="TableText"/>
              <w:jc w:val="right"/>
            </w:pPr>
            <w:r w:rsidRPr="00A864D2">
              <w:t>1</w:t>
            </w:r>
          </w:p>
        </w:tc>
        <w:tc>
          <w:tcPr>
            <w:tcW w:w="373" w:type="pct"/>
            <w:tcBorders>
              <w:top w:val="single" w:sz="4" w:space="0" w:color="auto"/>
              <w:bottom w:val="single" w:sz="4" w:space="0" w:color="auto"/>
            </w:tcBorders>
          </w:tcPr>
          <w:p w14:paraId="02ADA8FB" w14:textId="1B76EE13" w:rsidR="00FF520A" w:rsidRPr="00A864D2" w:rsidRDefault="00FF520A" w:rsidP="00A83E42">
            <w:pPr>
              <w:pStyle w:val="TableText"/>
              <w:jc w:val="right"/>
            </w:pPr>
          </w:p>
        </w:tc>
        <w:tc>
          <w:tcPr>
            <w:tcW w:w="441" w:type="pct"/>
            <w:tcBorders>
              <w:top w:val="single" w:sz="4" w:space="0" w:color="auto"/>
              <w:bottom w:val="single" w:sz="4" w:space="0" w:color="auto"/>
            </w:tcBorders>
          </w:tcPr>
          <w:p w14:paraId="61760383" w14:textId="1758BB15" w:rsidR="00FF520A" w:rsidRPr="00A864D2" w:rsidRDefault="00FF520A" w:rsidP="00833460">
            <w:pPr>
              <w:pStyle w:val="TableText"/>
              <w:jc w:val="right"/>
            </w:pPr>
            <w:r w:rsidRPr="00A864D2">
              <w:t>8,608</w:t>
            </w:r>
          </w:p>
        </w:tc>
      </w:tr>
      <w:tr w:rsidR="00FF520A" w:rsidRPr="00A864D2" w14:paraId="30B58DFB" w14:textId="77777777" w:rsidTr="00FF520A">
        <w:tc>
          <w:tcPr>
            <w:tcW w:w="879" w:type="pct"/>
            <w:tcBorders>
              <w:top w:val="single" w:sz="4" w:space="0" w:color="auto"/>
              <w:bottom w:val="single" w:sz="4" w:space="0" w:color="auto"/>
            </w:tcBorders>
          </w:tcPr>
          <w:p w14:paraId="633E83C9" w14:textId="77777777" w:rsidR="00FF520A" w:rsidRPr="00A864D2" w:rsidRDefault="00FF520A" w:rsidP="00A83E42">
            <w:pPr>
              <w:pStyle w:val="TableText"/>
              <w:rPr>
                <w:rStyle w:val="Strong"/>
              </w:rPr>
            </w:pPr>
            <w:r w:rsidRPr="00A864D2">
              <w:rPr>
                <w:rStyle w:val="Strong"/>
              </w:rPr>
              <w:t>Total</w:t>
            </w:r>
          </w:p>
        </w:tc>
        <w:tc>
          <w:tcPr>
            <w:tcW w:w="1101" w:type="pct"/>
            <w:tcBorders>
              <w:top w:val="single" w:sz="4" w:space="0" w:color="auto"/>
              <w:bottom w:val="single" w:sz="4" w:space="0" w:color="auto"/>
            </w:tcBorders>
          </w:tcPr>
          <w:p w14:paraId="705297F3" w14:textId="77777777" w:rsidR="00FF520A" w:rsidRPr="00A864D2" w:rsidRDefault="00FF520A" w:rsidP="00A83E42">
            <w:pPr>
              <w:pStyle w:val="TableText"/>
              <w:rPr>
                <w:rStyle w:val="Strong"/>
              </w:rPr>
            </w:pPr>
            <w:r w:rsidRPr="00A864D2">
              <w:rPr>
                <w:rStyle w:val="Strong"/>
              </w:rPr>
              <w:t>–</w:t>
            </w:r>
          </w:p>
        </w:tc>
        <w:tc>
          <w:tcPr>
            <w:tcW w:w="998" w:type="pct"/>
            <w:tcBorders>
              <w:top w:val="single" w:sz="4" w:space="0" w:color="auto"/>
              <w:bottom w:val="single" w:sz="4" w:space="0" w:color="auto"/>
            </w:tcBorders>
          </w:tcPr>
          <w:p w14:paraId="2B9C2EA1" w14:textId="77777777" w:rsidR="00FF520A" w:rsidRPr="00A864D2" w:rsidRDefault="00FF520A" w:rsidP="00A83E42">
            <w:pPr>
              <w:pStyle w:val="TableText"/>
              <w:rPr>
                <w:rStyle w:val="Strong"/>
              </w:rPr>
            </w:pPr>
            <w:r w:rsidRPr="00A864D2">
              <w:rPr>
                <w:rStyle w:val="Strong"/>
              </w:rPr>
              <w:t>–</w:t>
            </w:r>
          </w:p>
        </w:tc>
        <w:tc>
          <w:tcPr>
            <w:tcW w:w="636" w:type="pct"/>
            <w:tcBorders>
              <w:top w:val="single" w:sz="4" w:space="0" w:color="auto"/>
              <w:bottom w:val="single" w:sz="4" w:space="0" w:color="auto"/>
            </w:tcBorders>
          </w:tcPr>
          <w:p w14:paraId="4D346571" w14:textId="3E4DFA0A" w:rsidR="00FF520A" w:rsidRPr="00A864D2" w:rsidRDefault="00FF520A" w:rsidP="00A83E42">
            <w:pPr>
              <w:pStyle w:val="TableText"/>
              <w:jc w:val="right"/>
              <w:rPr>
                <w:rStyle w:val="Strong"/>
              </w:rPr>
            </w:pPr>
            <w:r w:rsidRPr="00A864D2">
              <w:rPr>
                <w:rStyle w:val="Strong"/>
              </w:rPr>
              <w:t>11,834,259</w:t>
            </w:r>
          </w:p>
        </w:tc>
        <w:tc>
          <w:tcPr>
            <w:tcW w:w="572" w:type="pct"/>
            <w:tcBorders>
              <w:top w:val="single" w:sz="4" w:space="0" w:color="auto"/>
              <w:bottom w:val="single" w:sz="4" w:space="0" w:color="auto"/>
            </w:tcBorders>
          </w:tcPr>
          <w:p w14:paraId="1E9FB192" w14:textId="462D02A2" w:rsidR="00FF520A" w:rsidRPr="00A864D2" w:rsidRDefault="00FF520A" w:rsidP="00A83E42">
            <w:pPr>
              <w:pStyle w:val="TableText"/>
              <w:jc w:val="right"/>
              <w:rPr>
                <w:rStyle w:val="Strong"/>
              </w:rPr>
            </w:pPr>
            <w:r w:rsidRPr="00A864D2">
              <w:rPr>
                <w:rStyle w:val="Strong"/>
              </w:rPr>
              <w:t>–</w:t>
            </w:r>
          </w:p>
        </w:tc>
        <w:tc>
          <w:tcPr>
            <w:tcW w:w="373" w:type="pct"/>
            <w:tcBorders>
              <w:top w:val="single" w:sz="4" w:space="0" w:color="auto"/>
              <w:bottom w:val="single" w:sz="4" w:space="0" w:color="auto"/>
            </w:tcBorders>
          </w:tcPr>
          <w:p w14:paraId="365108F8" w14:textId="290E249F" w:rsidR="00FF520A" w:rsidRPr="00A864D2" w:rsidRDefault="00FF520A" w:rsidP="00A83E42">
            <w:pPr>
              <w:pStyle w:val="TableText"/>
              <w:jc w:val="right"/>
              <w:rPr>
                <w:rStyle w:val="Strong"/>
              </w:rPr>
            </w:pPr>
          </w:p>
        </w:tc>
        <w:tc>
          <w:tcPr>
            <w:tcW w:w="441" w:type="pct"/>
            <w:tcBorders>
              <w:top w:val="single" w:sz="4" w:space="0" w:color="auto"/>
              <w:bottom w:val="single" w:sz="4" w:space="0" w:color="auto"/>
            </w:tcBorders>
          </w:tcPr>
          <w:p w14:paraId="21B598F4" w14:textId="6E08D136" w:rsidR="00FF520A" w:rsidRPr="00A864D2" w:rsidRDefault="00FF520A" w:rsidP="00833460">
            <w:pPr>
              <w:pStyle w:val="TableText"/>
              <w:jc w:val="right"/>
              <w:rPr>
                <w:rStyle w:val="Strong"/>
              </w:rPr>
            </w:pPr>
            <w:r w:rsidRPr="00A864D2">
              <w:rPr>
                <w:rStyle w:val="Strong"/>
              </w:rPr>
              <w:t>–</w:t>
            </w:r>
          </w:p>
        </w:tc>
      </w:tr>
    </w:tbl>
    <w:p w14:paraId="40149426" w14:textId="77777777" w:rsidR="003E3253" w:rsidRPr="00284301" w:rsidRDefault="003E3253" w:rsidP="003E3253">
      <w:pPr>
        <w:pStyle w:val="FigureTableNoteSource"/>
      </w:pPr>
      <w:r w:rsidRPr="000F4593">
        <w:t>Note: Prices have been rounded. The annual charge will be rounded upwards to the nearest dollar.</w:t>
      </w:r>
      <w:r>
        <w:rPr>
          <w:rStyle w:val="Strong"/>
        </w:rPr>
        <w:t xml:space="preserve"> </w:t>
      </w:r>
      <w:r w:rsidRPr="000B3A3F">
        <w:rPr>
          <w:rStyle w:val="Strong"/>
        </w:rPr>
        <w:t>a</w:t>
      </w:r>
      <w:r w:rsidRPr="000B3A3F">
        <w:t xml:space="preserve"> Organic certifiers support a small number of exporters in all of the export arrangements (excluding Live Animal Exports) and therefore the expense has been reflected in each CRIS</w:t>
      </w:r>
      <w:r>
        <w:t xml:space="preserve"> </w:t>
      </w:r>
      <w:r w:rsidRPr="00284301">
        <w:t>Revenue variability</w:t>
      </w:r>
    </w:p>
    <w:p w14:paraId="541CBA4B" w14:textId="77777777" w:rsidR="00BB1A63" w:rsidRPr="00CD55B3" w:rsidRDefault="00BB1A63" w:rsidP="00BB1A63">
      <w:pPr>
        <w:pStyle w:val="Heading3"/>
      </w:pPr>
      <w:bookmarkStart w:id="132" w:name="_Toc170377355"/>
      <w:bookmarkStart w:id="133" w:name="_Toc191292080"/>
      <w:bookmarkStart w:id="134" w:name="_Toc193794429"/>
      <w:bookmarkStart w:id="135" w:name="_Toc198898884"/>
      <w:r w:rsidRPr="00CD55B3">
        <w:t xml:space="preserve">Revenue </w:t>
      </w:r>
      <w:r w:rsidRPr="000253DA">
        <w:t>variability</w:t>
      </w:r>
      <w:bookmarkEnd w:id="132"/>
      <w:bookmarkEnd w:id="133"/>
      <w:bookmarkEnd w:id="134"/>
      <w:bookmarkEnd w:id="135"/>
    </w:p>
    <w:p w14:paraId="708457F5" w14:textId="446CF90C" w:rsidR="003E3253" w:rsidRDefault="003E3253" w:rsidP="003E3253">
      <w:pPr>
        <w:spacing w:before="120" w:after="120"/>
      </w:pPr>
      <w:r>
        <w:t>Complexity, materiality and sensitivity are considered in assessing the risk of variation in revenue from cost-recovered activities. Each of these factors applies to the export arrangements in varying degrees. For example, in relation to the department’s regulatory activity, the variability in demand and climatic events both contribute to the complexity of projecting revenue from fees and charges.</w:t>
      </w:r>
    </w:p>
    <w:p w14:paraId="39DC1104" w14:textId="63757456" w:rsidR="00A964BA" w:rsidRDefault="003E3253" w:rsidP="003E3253">
      <w:r>
        <w:t>The demand for the department’s activities, and therefore the department’s revenue stream, is sensitive to market fluctuations. The applications for new registrations and permits are initiated by industry and are beyond our control. They can vary depending on government policy settings, demand for Australian products overseas and broader economic and climatic conditions.</w:t>
      </w:r>
    </w:p>
    <w:p w14:paraId="790F84FC" w14:textId="77777777" w:rsidR="003E3253" w:rsidRPr="000B3A3F" w:rsidRDefault="003E3253" w:rsidP="00324495">
      <w:pPr>
        <w:pStyle w:val="Heading2"/>
      </w:pPr>
      <w:bookmarkStart w:id="136" w:name="_Toc162351720"/>
      <w:bookmarkStart w:id="137" w:name="_Toc170293381"/>
      <w:bookmarkStart w:id="138" w:name="_Toc193794430"/>
      <w:bookmarkStart w:id="139" w:name="_Toc198898885"/>
      <w:r w:rsidRPr="000B3A3F">
        <w:lastRenderedPageBreak/>
        <w:t xml:space="preserve">Financial </w:t>
      </w:r>
      <w:r w:rsidRPr="00324495">
        <w:t>estimates</w:t>
      </w:r>
      <w:bookmarkEnd w:id="136"/>
      <w:bookmarkEnd w:id="137"/>
      <w:bookmarkEnd w:id="138"/>
      <w:bookmarkEnd w:id="139"/>
    </w:p>
    <w:p w14:paraId="636D9D99" w14:textId="77777777" w:rsidR="003E3253" w:rsidRPr="003E3253" w:rsidRDefault="003E3253" w:rsidP="00324495">
      <w:pPr>
        <w:pStyle w:val="Heading3"/>
      </w:pPr>
      <w:bookmarkStart w:id="140" w:name="_Toc170293382"/>
      <w:bookmarkStart w:id="141" w:name="_Toc193794431"/>
      <w:bookmarkStart w:id="142" w:name="_Toc198898886"/>
      <w:r w:rsidRPr="003E3253">
        <w:t xml:space="preserve">Financial </w:t>
      </w:r>
      <w:r w:rsidRPr="00DA370D">
        <w:t>estimates</w:t>
      </w:r>
      <w:bookmarkEnd w:id="140"/>
      <w:bookmarkEnd w:id="141"/>
      <w:bookmarkEnd w:id="142"/>
    </w:p>
    <w:p w14:paraId="5AE2B15D" w14:textId="2AA33734" w:rsidR="00A660FE" w:rsidRDefault="003E3253" w:rsidP="002235C9">
      <w:r w:rsidRPr="00395B79">
        <w:t xml:space="preserve">The financial </w:t>
      </w:r>
      <w:r>
        <w:t>estimates</w:t>
      </w:r>
      <w:r w:rsidRPr="00395B79">
        <w:t xml:space="preserve"> of the </w:t>
      </w:r>
      <w:r>
        <w:t xml:space="preserve">horticulture </w:t>
      </w:r>
      <w:r w:rsidRPr="00395B79">
        <w:t>export</w:t>
      </w:r>
      <w:r>
        <w:t>s</w:t>
      </w:r>
      <w:r w:rsidRPr="00395B79">
        <w:t xml:space="preserve"> cost recovery </w:t>
      </w:r>
      <w:r w:rsidRPr="00043DAD">
        <w:t xml:space="preserve">arrangement are provided </w:t>
      </w:r>
      <w:bookmarkStart w:id="143" w:name="_Hlk159418126"/>
      <w:r w:rsidRPr="00043DAD">
        <w:t xml:space="preserve">in </w:t>
      </w:r>
      <w:bookmarkEnd w:id="143"/>
      <w:r w:rsidR="00043DAD" w:rsidRPr="00043DAD">
        <w:fldChar w:fldCharType="begin"/>
      </w:r>
      <w:r w:rsidR="00043DAD" w:rsidRPr="00043DAD">
        <w:instrText>HYPERLINK  \l "Table_6"</w:instrText>
      </w:r>
      <w:r w:rsidR="00043DAD" w:rsidRPr="00043DAD">
        <w:fldChar w:fldCharType="separate"/>
      </w:r>
      <w:r w:rsidR="00043DAD" w:rsidRPr="00043DAD">
        <w:rPr>
          <w:rStyle w:val="Hyperlink"/>
          <w:color w:val="auto"/>
          <w:u w:val="none"/>
        </w:rPr>
        <w:t>Table 6</w:t>
      </w:r>
      <w:r w:rsidR="00043DAD" w:rsidRPr="00043DAD">
        <w:fldChar w:fldCharType="end"/>
      </w:r>
      <w:r w:rsidR="00043DAD">
        <w:t>.</w:t>
      </w:r>
    </w:p>
    <w:p w14:paraId="4FA34F84" w14:textId="348C0904" w:rsidR="003E3253" w:rsidRPr="000B3A3F" w:rsidRDefault="00D73CC9" w:rsidP="00D73CC9">
      <w:pPr>
        <w:pStyle w:val="Caption"/>
      </w:pPr>
      <w:bookmarkStart w:id="144" w:name="_Ref198899421"/>
      <w:bookmarkStart w:id="145" w:name="_Toc161657021"/>
      <w:bookmarkStart w:id="146" w:name="_Toc162948404"/>
      <w:bookmarkStart w:id="147" w:name="_Toc163028280"/>
      <w:bookmarkStart w:id="148" w:name="_Toc163129549"/>
      <w:bookmarkStart w:id="149" w:name="_Toc170293407"/>
      <w:bookmarkStart w:id="150" w:name="_Toc201226997"/>
      <w:bookmarkStart w:id="151" w:name="_Ref67902214"/>
      <w:r>
        <w:t xml:space="preserve">Table </w:t>
      </w:r>
      <w:r>
        <w:fldChar w:fldCharType="begin"/>
      </w:r>
      <w:r>
        <w:instrText xml:space="preserve"> SEQ Table \* ARABIC </w:instrText>
      </w:r>
      <w:r>
        <w:fldChar w:fldCharType="separate"/>
      </w:r>
      <w:r w:rsidR="0001784A">
        <w:rPr>
          <w:noProof/>
        </w:rPr>
        <w:t>6</w:t>
      </w:r>
      <w:r>
        <w:fldChar w:fldCharType="end"/>
      </w:r>
      <w:bookmarkEnd w:id="144"/>
      <w:r>
        <w:t xml:space="preserve"> </w:t>
      </w:r>
      <w:r w:rsidR="003E3253" w:rsidRPr="000B3A3F">
        <w:t>Financial estimates for horticulture exports cost recovery arrangement</w:t>
      </w:r>
      <w:bookmarkEnd w:id="145"/>
      <w:bookmarkEnd w:id="146"/>
      <w:bookmarkEnd w:id="147"/>
      <w:bookmarkEnd w:id="148"/>
      <w:bookmarkEnd w:id="149"/>
      <w:bookmarkEnd w:id="150"/>
    </w:p>
    <w:tbl>
      <w:tblPr>
        <w:tblW w:w="5000" w:type="pct"/>
        <w:tblLayout w:type="fixed"/>
        <w:tblLook w:val="04A0" w:firstRow="1" w:lastRow="0" w:firstColumn="1" w:lastColumn="0" w:noHBand="0" w:noVBand="1"/>
      </w:tblPr>
      <w:tblGrid>
        <w:gridCol w:w="2836"/>
        <w:gridCol w:w="1275"/>
        <w:gridCol w:w="1723"/>
        <w:gridCol w:w="1856"/>
        <w:gridCol w:w="1380"/>
      </w:tblGrid>
      <w:tr w:rsidR="00443D5D" w:rsidRPr="00D0674E" w14:paraId="1948976A" w14:textId="77777777" w:rsidTr="004A203A">
        <w:tc>
          <w:tcPr>
            <w:tcW w:w="1563" w:type="pct"/>
            <w:tcBorders>
              <w:top w:val="single" w:sz="4" w:space="0" w:color="auto"/>
              <w:bottom w:val="single" w:sz="4" w:space="0" w:color="auto"/>
            </w:tcBorders>
            <w:shd w:val="clear" w:color="auto" w:fill="auto"/>
            <w:noWrap/>
            <w:vAlign w:val="center"/>
            <w:hideMark/>
          </w:tcPr>
          <w:p w14:paraId="472E56D1" w14:textId="77777777" w:rsidR="003E3253" w:rsidRPr="00F85A1B" w:rsidRDefault="003E3253" w:rsidP="00E270BE">
            <w:pPr>
              <w:pStyle w:val="TableHeading"/>
              <w:keepNext w:val="0"/>
              <w:rPr>
                <w:lang w:eastAsia="en-AU"/>
              </w:rPr>
            </w:pPr>
            <w:bookmarkStart w:id="152" w:name="Table_6"/>
            <w:bookmarkEnd w:id="151"/>
            <w:bookmarkEnd w:id="152"/>
            <w:r w:rsidRPr="00F85A1B">
              <w:rPr>
                <w:lang w:eastAsia="en-AU"/>
              </w:rPr>
              <w:t>Finance element</w:t>
            </w:r>
          </w:p>
        </w:tc>
        <w:tc>
          <w:tcPr>
            <w:tcW w:w="703" w:type="pct"/>
            <w:tcBorders>
              <w:top w:val="single" w:sz="4" w:space="0" w:color="auto"/>
              <w:bottom w:val="single" w:sz="4" w:space="0" w:color="auto"/>
            </w:tcBorders>
            <w:shd w:val="clear" w:color="auto" w:fill="auto"/>
            <w:hideMark/>
          </w:tcPr>
          <w:p w14:paraId="57C55DED" w14:textId="77777777" w:rsidR="003E3253" w:rsidRPr="00F85A1B" w:rsidRDefault="003E3253" w:rsidP="00E270BE">
            <w:pPr>
              <w:pStyle w:val="TableHeading"/>
              <w:keepNext w:val="0"/>
              <w:jc w:val="right"/>
              <w:rPr>
                <w:lang w:eastAsia="en-AU"/>
              </w:rPr>
            </w:pPr>
            <w:r w:rsidRPr="00F85A1B">
              <w:rPr>
                <w:lang w:eastAsia="en-AU"/>
              </w:rPr>
              <w:t>2022–23 ($)</w:t>
            </w:r>
            <w:r>
              <w:rPr>
                <w:lang w:eastAsia="en-AU"/>
              </w:rPr>
              <w:t xml:space="preserve"> </w:t>
            </w:r>
            <w:r w:rsidRPr="00D0674E">
              <w:rPr>
                <w:vertAlign w:val="superscript"/>
                <w:lang w:eastAsia="en-AU"/>
              </w:rPr>
              <w:t>a</w:t>
            </w:r>
          </w:p>
        </w:tc>
        <w:tc>
          <w:tcPr>
            <w:tcW w:w="950" w:type="pct"/>
            <w:tcBorders>
              <w:top w:val="single" w:sz="4" w:space="0" w:color="auto"/>
              <w:bottom w:val="single" w:sz="4" w:space="0" w:color="auto"/>
            </w:tcBorders>
            <w:shd w:val="clear" w:color="auto" w:fill="auto"/>
            <w:hideMark/>
          </w:tcPr>
          <w:p w14:paraId="49B12A4F" w14:textId="5A5D314B" w:rsidR="003E3253" w:rsidRPr="00D0674E" w:rsidRDefault="003E3253" w:rsidP="00E270BE">
            <w:pPr>
              <w:pStyle w:val="TableHeading"/>
              <w:keepNext w:val="0"/>
              <w:jc w:val="right"/>
              <w:rPr>
                <w:lang w:eastAsia="en-AU"/>
              </w:rPr>
            </w:pPr>
            <w:r w:rsidRPr="00D0674E">
              <w:rPr>
                <w:lang w:eastAsia="en-AU"/>
              </w:rPr>
              <w:t xml:space="preserve">2023–24 ($) </w:t>
            </w:r>
            <w:r w:rsidR="00AC0431">
              <w:rPr>
                <w:vertAlign w:val="superscript"/>
                <w:lang w:eastAsia="en-AU"/>
              </w:rPr>
              <w:t>a</w:t>
            </w:r>
          </w:p>
        </w:tc>
        <w:tc>
          <w:tcPr>
            <w:tcW w:w="1023" w:type="pct"/>
            <w:tcBorders>
              <w:top w:val="single" w:sz="4" w:space="0" w:color="auto"/>
              <w:bottom w:val="single" w:sz="4" w:space="0" w:color="auto"/>
            </w:tcBorders>
            <w:shd w:val="clear" w:color="auto" w:fill="auto"/>
            <w:hideMark/>
          </w:tcPr>
          <w:p w14:paraId="2CB0F10B" w14:textId="1C94932E" w:rsidR="003E3253" w:rsidRPr="00202F99" w:rsidRDefault="003E3253" w:rsidP="00E270BE">
            <w:pPr>
              <w:pStyle w:val="TableHeading"/>
              <w:keepNext w:val="0"/>
              <w:jc w:val="right"/>
              <w:rPr>
                <w:lang w:eastAsia="en-AU"/>
              </w:rPr>
            </w:pPr>
            <w:r w:rsidRPr="00202F99">
              <w:rPr>
                <w:lang w:eastAsia="en-AU"/>
              </w:rPr>
              <w:t>2024–25</w:t>
            </w:r>
            <w:r w:rsidRPr="00202F99">
              <w:rPr>
                <w:sz w:val="16"/>
                <w:szCs w:val="16"/>
                <w:lang w:eastAsia="en-AU"/>
              </w:rPr>
              <w:t> </w:t>
            </w:r>
            <w:r w:rsidRPr="00202F99">
              <w:rPr>
                <w:lang w:eastAsia="en-AU"/>
              </w:rPr>
              <w:t xml:space="preserve">($) </w:t>
            </w:r>
          </w:p>
        </w:tc>
        <w:tc>
          <w:tcPr>
            <w:tcW w:w="761" w:type="pct"/>
            <w:tcBorders>
              <w:top w:val="single" w:sz="4" w:space="0" w:color="auto"/>
              <w:bottom w:val="single" w:sz="4" w:space="0" w:color="auto"/>
            </w:tcBorders>
            <w:shd w:val="clear" w:color="auto" w:fill="auto"/>
            <w:hideMark/>
          </w:tcPr>
          <w:p w14:paraId="1B1BEC65" w14:textId="1A633B11" w:rsidR="003E3253" w:rsidRPr="00202F99" w:rsidRDefault="003E3253" w:rsidP="00E270BE">
            <w:pPr>
              <w:pStyle w:val="TableHeading"/>
              <w:keepNext w:val="0"/>
              <w:jc w:val="right"/>
              <w:rPr>
                <w:lang w:eastAsia="en-AU"/>
              </w:rPr>
            </w:pPr>
            <w:r w:rsidRPr="00202F99">
              <w:rPr>
                <w:lang w:eastAsia="en-AU"/>
              </w:rPr>
              <w:t xml:space="preserve">2025–26 ($) </w:t>
            </w:r>
          </w:p>
        </w:tc>
      </w:tr>
      <w:tr w:rsidR="00740705" w:rsidRPr="00F85A1B" w14:paraId="76B2A920" w14:textId="77777777" w:rsidTr="004A203A">
        <w:tc>
          <w:tcPr>
            <w:tcW w:w="1563" w:type="pct"/>
            <w:tcBorders>
              <w:top w:val="single" w:sz="4" w:space="0" w:color="auto"/>
              <w:bottom w:val="dotted" w:sz="4" w:space="0" w:color="auto"/>
            </w:tcBorders>
            <w:shd w:val="clear" w:color="auto" w:fill="auto"/>
            <w:noWrap/>
            <w:vAlign w:val="center"/>
            <w:hideMark/>
          </w:tcPr>
          <w:p w14:paraId="10E5843E" w14:textId="77777777" w:rsidR="00740705" w:rsidRPr="00E331FE" w:rsidRDefault="00740705" w:rsidP="00740705">
            <w:pPr>
              <w:pStyle w:val="TableText"/>
            </w:pPr>
            <w:r w:rsidRPr="00E331FE">
              <w:t>Revenue = X</w:t>
            </w:r>
          </w:p>
        </w:tc>
        <w:tc>
          <w:tcPr>
            <w:tcW w:w="703" w:type="pct"/>
            <w:tcBorders>
              <w:top w:val="single" w:sz="4" w:space="0" w:color="auto"/>
              <w:bottom w:val="dotted" w:sz="4" w:space="0" w:color="auto"/>
            </w:tcBorders>
            <w:shd w:val="clear" w:color="auto" w:fill="auto"/>
            <w:noWrap/>
            <w:hideMark/>
          </w:tcPr>
          <w:p w14:paraId="500F03FB" w14:textId="77777777" w:rsidR="00740705" w:rsidRPr="00E331FE" w:rsidRDefault="00740705" w:rsidP="00740705">
            <w:pPr>
              <w:pStyle w:val="TableText"/>
              <w:jc w:val="right"/>
            </w:pPr>
            <w:r w:rsidRPr="00E331FE">
              <w:t>11,274,927</w:t>
            </w:r>
          </w:p>
        </w:tc>
        <w:tc>
          <w:tcPr>
            <w:tcW w:w="950" w:type="pct"/>
            <w:tcBorders>
              <w:top w:val="single" w:sz="4" w:space="0" w:color="auto"/>
              <w:bottom w:val="dotted" w:sz="4" w:space="0" w:color="auto"/>
            </w:tcBorders>
            <w:shd w:val="clear" w:color="auto" w:fill="auto"/>
            <w:noWrap/>
            <w:hideMark/>
          </w:tcPr>
          <w:p w14:paraId="6B189CA2" w14:textId="1AE79E7E" w:rsidR="00740705" w:rsidRPr="00E331FE" w:rsidRDefault="00740705" w:rsidP="00740705">
            <w:pPr>
              <w:pStyle w:val="TableText"/>
              <w:jc w:val="right"/>
            </w:pPr>
            <w:r>
              <w:t>12,794,297</w:t>
            </w:r>
          </w:p>
        </w:tc>
        <w:tc>
          <w:tcPr>
            <w:tcW w:w="1023" w:type="pct"/>
            <w:tcBorders>
              <w:top w:val="single" w:sz="4" w:space="0" w:color="auto"/>
              <w:bottom w:val="dotted" w:sz="4" w:space="0" w:color="auto"/>
            </w:tcBorders>
            <w:shd w:val="clear" w:color="auto" w:fill="auto"/>
            <w:noWrap/>
            <w:hideMark/>
          </w:tcPr>
          <w:p w14:paraId="2A3DD4A2" w14:textId="27A51D24" w:rsidR="00740705" w:rsidRPr="00202F99" w:rsidRDefault="00740705" w:rsidP="00740705">
            <w:pPr>
              <w:pStyle w:val="TableText"/>
              <w:jc w:val="right"/>
            </w:pPr>
            <w:r w:rsidRPr="00202F99">
              <w:t>13,825,981</w:t>
            </w:r>
          </w:p>
        </w:tc>
        <w:tc>
          <w:tcPr>
            <w:tcW w:w="761" w:type="pct"/>
            <w:tcBorders>
              <w:top w:val="single" w:sz="4" w:space="0" w:color="auto"/>
              <w:bottom w:val="dotted" w:sz="4" w:space="0" w:color="auto"/>
            </w:tcBorders>
            <w:shd w:val="clear" w:color="auto" w:fill="auto"/>
            <w:noWrap/>
            <w:hideMark/>
          </w:tcPr>
          <w:p w14:paraId="21132657" w14:textId="6BDDAE80" w:rsidR="00740705" w:rsidRPr="00202F99" w:rsidRDefault="00740705" w:rsidP="00740705">
            <w:pPr>
              <w:pStyle w:val="TableText"/>
              <w:jc w:val="right"/>
            </w:pPr>
            <w:r w:rsidRPr="00202F99">
              <w:t>13,825,981</w:t>
            </w:r>
          </w:p>
        </w:tc>
      </w:tr>
      <w:tr w:rsidR="00740705" w:rsidRPr="00F85A1B" w14:paraId="2451627A" w14:textId="77777777" w:rsidTr="004A203A">
        <w:tc>
          <w:tcPr>
            <w:tcW w:w="1563" w:type="pct"/>
            <w:tcBorders>
              <w:top w:val="dotted" w:sz="4" w:space="0" w:color="auto"/>
              <w:bottom w:val="single" w:sz="4" w:space="0" w:color="auto"/>
            </w:tcBorders>
            <w:shd w:val="clear" w:color="auto" w:fill="auto"/>
            <w:noWrap/>
            <w:vAlign w:val="center"/>
            <w:hideMark/>
          </w:tcPr>
          <w:p w14:paraId="3F0F2271" w14:textId="77777777" w:rsidR="00740705" w:rsidRPr="00E331FE" w:rsidRDefault="00740705" w:rsidP="00740705">
            <w:pPr>
              <w:pStyle w:val="TableText"/>
            </w:pPr>
            <w:r w:rsidRPr="00E331FE">
              <w:t>Expenses = Y</w:t>
            </w:r>
          </w:p>
        </w:tc>
        <w:tc>
          <w:tcPr>
            <w:tcW w:w="703" w:type="pct"/>
            <w:tcBorders>
              <w:top w:val="dotted" w:sz="4" w:space="0" w:color="auto"/>
              <w:bottom w:val="single" w:sz="4" w:space="0" w:color="auto"/>
            </w:tcBorders>
            <w:shd w:val="clear" w:color="auto" w:fill="auto"/>
            <w:noWrap/>
            <w:hideMark/>
          </w:tcPr>
          <w:p w14:paraId="42A91F98" w14:textId="77777777" w:rsidR="00740705" w:rsidRPr="00E331FE" w:rsidRDefault="00740705" w:rsidP="00740705">
            <w:pPr>
              <w:pStyle w:val="TableText"/>
              <w:jc w:val="right"/>
            </w:pPr>
            <w:r w:rsidRPr="00E331FE">
              <w:t>11,456,216</w:t>
            </w:r>
          </w:p>
        </w:tc>
        <w:tc>
          <w:tcPr>
            <w:tcW w:w="950" w:type="pct"/>
            <w:tcBorders>
              <w:top w:val="dotted" w:sz="4" w:space="0" w:color="auto"/>
              <w:bottom w:val="single" w:sz="4" w:space="0" w:color="auto"/>
            </w:tcBorders>
            <w:shd w:val="clear" w:color="auto" w:fill="auto"/>
            <w:noWrap/>
            <w:hideMark/>
          </w:tcPr>
          <w:p w14:paraId="6D2DDC30" w14:textId="388611A2" w:rsidR="00740705" w:rsidRPr="00E331FE" w:rsidRDefault="00740705" w:rsidP="00740705">
            <w:pPr>
              <w:pStyle w:val="TableText"/>
              <w:jc w:val="right"/>
            </w:pPr>
            <w:r>
              <w:t>12,029,771</w:t>
            </w:r>
          </w:p>
        </w:tc>
        <w:tc>
          <w:tcPr>
            <w:tcW w:w="1023" w:type="pct"/>
            <w:tcBorders>
              <w:top w:val="dotted" w:sz="4" w:space="0" w:color="auto"/>
              <w:bottom w:val="single" w:sz="4" w:space="0" w:color="auto"/>
            </w:tcBorders>
            <w:shd w:val="clear" w:color="auto" w:fill="auto"/>
            <w:noWrap/>
            <w:hideMark/>
          </w:tcPr>
          <w:p w14:paraId="136512B4" w14:textId="327C4E9A" w:rsidR="00740705" w:rsidRPr="00202F99" w:rsidRDefault="00740705" w:rsidP="00740705">
            <w:pPr>
              <w:pStyle w:val="TableText"/>
              <w:jc w:val="right"/>
            </w:pPr>
            <w:r w:rsidRPr="00202F99">
              <w:t>15,702,819</w:t>
            </w:r>
          </w:p>
        </w:tc>
        <w:tc>
          <w:tcPr>
            <w:tcW w:w="761" w:type="pct"/>
            <w:tcBorders>
              <w:top w:val="dotted" w:sz="4" w:space="0" w:color="auto"/>
              <w:bottom w:val="single" w:sz="4" w:space="0" w:color="auto"/>
            </w:tcBorders>
            <w:shd w:val="clear" w:color="auto" w:fill="auto"/>
            <w:noWrap/>
            <w:hideMark/>
          </w:tcPr>
          <w:p w14:paraId="278B4135" w14:textId="65E02536" w:rsidR="00740705" w:rsidRPr="00202F99" w:rsidRDefault="00740705" w:rsidP="00740705">
            <w:pPr>
              <w:pStyle w:val="TableText"/>
              <w:jc w:val="right"/>
            </w:pPr>
            <w:r w:rsidRPr="00202F99">
              <w:t>15,702,819</w:t>
            </w:r>
          </w:p>
        </w:tc>
      </w:tr>
      <w:tr w:rsidR="00740705" w:rsidRPr="00E331FE" w14:paraId="01BD6702" w14:textId="77777777" w:rsidTr="004A203A">
        <w:tc>
          <w:tcPr>
            <w:tcW w:w="1563" w:type="pct"/>
            <w:tcBorders>
              <w:top w:val="single" w:sz="4" w:space="0" w:color="auto"/>
              <w:bottom w:val="single" w:sz="4" w:space="0" w:color="auto"/>
            </w:tcBorders>
            <w:shd w:val="clear" w:color="auto" w:fill="auto"/>
            <w:noWrap/>
            <w:vAlign w:val="center"/>
            <w:hideMark/>
          </w:tcPr>
          <w:p w14:paraId="613B9C17" w14:textId="77777777" w:rsidR="00740705" w:rsidRPr="00E331FE" w:rsidRDefault="00740705" w:rsidP="00740705">
            <w:pPr>
              <w:pStyle w:val="TableText"/>
              <w:rPr>
                <w:rStyle w:val="Strong"/>
              </w:rPr>
            </w:pPr>
            <w:r w:rsidRPr="00E331FE">
              <w:rPr>
                <w:rStyle w:val="Strong"/>
              </w:rPr>
              <w:t>Balance = X – Y</w:t>
            </w:r>
          </w:p>
        </w:tc>
        <w:tc>
          <w:tcPr>
            <w:tcW w:w="703" w:type="pct"/>
            <w:tcBorders>
              <w:top w:val="single" w:sz="4" w:space="0" w:color="auto"/>
              <w:bottom w:val="single" w:sz="4" w:space="0" w:color="auto"/>
            </w:tcBorders>
            <w:shd w:val="clear" w:color="auto" w:fill="auto"/>
            <w:noWrap/>
            <w:hideMark/>
          </w:tcPr>
          <w:p w14:paraId="46DFF9EB" w14:textId="77777777" w:rsidR="00740705" w:rsidRPr="00E331FE" w:rsidRDefault="00740705" w:rsidP="00740705">
            <w:pPr>
              <w:pStyle w:val="TableText"/>
              <w:jc w:val="right"/>
              <w:rPr>
                <w:rStyle w:val="Strong"/>
              </w:rPr>
            </w:pPr>
            <w:r w:rsidRPr="00E331FE">
              <w:rPr>
                <w:rStyle w:val="Strong"/>
              </w:rPr>
              <w:t>(181,288)</w:t>
            </w:r>
          </w:p>
        </w:tc>
        <w:tc>
          <w:tcPr>
            <w:tcW w:w="950" w:type="pct"/>
            <w:tcBorders>
              <w:top w:val="single" w:sz="4" w:space="0" w:color="auto"/>
              <w:bottom w:val="single" w:sz="4" w:space="0" w:color="auto"/>
            </w:tcBorders>
            <w:shd w:val="clear" w:color="auto" w:fill="auto"/>
            <w:noWrap/>
            <w:hideMark/>
          </w:tcPr>
          <w:p w14:paraId="198384DD" w14:textId="2AF71CBD" w:rsidR="00740705" w:rsidRPr="00E331FE" w:rsidRDefault="00740705" w:rsidP="00740705">
            <w:pPr>
              <w:pStyle w:val="TableText"/>
              <w:jc w:val="right"/>
              <w:rPr>
                <w:rStyle w:val="Strong"/>
              </w:rPr>
            </w:pPr>
            <w:r>
              <w:rPr>
                <w:rStyle w:val="Strong"/>
              </w:rPr>
              <w:t>(764,526)</w:t>
            </w:r>
          </w:p>
        </w:tc>
        <w:tc>
          <w:tcPr>
            <w:tcW w:w="1023" w:type="pct"/>
            <w:tcBorders>
              <w:top w:val="single" w:sz="4" w:space="0" w:color="auto"/>
              <w:bottom w:val="single" w:sz="4" w:space="0" w:color="auto"/>
            </w:tcBorders>
            <w:shd w:val="clear" w:color="auto" w:fill="auto"/>
            <w:noWrap/>
            <w:hideMark/>
          </w:tcPr>
          <w:p w14:paraId="658CD99D" w14:textId="63007C74" w:rsidR="00740705" w:rsidRPr="00202F99" w:rsidRDefault="00740705" w:rsidP="00740705">
            <w:pPr>
              <w:pStyle w:val="TableText"/>
              <w:jc w:val="right"/>
              <w:rPr>
                <w:rStyle w:val="Strong"/>
              </w:rPr>
            </w:pPr>
            <w:r w:rsidRPr="00202F99">
              <w:rPr>
                <w:b/>
                <w:bCs/>
              </w:rPr>
              <w:t>(1,876,838)</w:t>
            </w:r>
          </w:p>
        </w:tc>
        <w:tc>
          <w:tcPr>
            <w:tcW w:w="761" w:type="pct"/>
            <w:tcBorders>
              <w:top w:val="single" w:sz="4" w:space="0" w:color="auto"/>
              <w:bottom w:val="single" w:sz="4" w:space="0" w:color="auto"/>
            </w:tcBorders>
            <w:shd w:val="clear" w:color="auto" w:fill="auto"/>
            <w:noWrap/>
            <w:hideMark/>
          </w:tcPr>
          <w:p w14:paraId="6785593D" w14:textId="24B3674D" w:rsidR="00740705" w:rsidRPr="00202F99" w:rsidRDefault="00740705" w:rsidP="00740705">
            <w:pPr>
              <w:pStyle w:val="TableText"/>
              <w:jc w:val="right"/>
            </w:pPr>
            <w:r w:rsidRPr="00202F99">
              <w:rPr>
                <w:b/>
                <w:bCs/>
              </w:rPr>
              <w:t>(1,876,838</w:t>
            </w:r>
            <w:r w:rsidRPr="00202F99">
              <w:t>)</w:t>
            </w:r>
          </w:p>
        </w:tc>
      </w:tr>
      <w:tr w:rsidR="00740705" w:rsidRPr="00F85A1B" w14:paraId="1CE8BABD" w14:textId="77777777" w:rsidTr="00305BDC">
        <w:tc>
          <w:tcPr>
            <w:tcW w:w="1563" w:type="pct"/>
            <w:tcBorders>
              <w:top w:val="single" w:sz="4" w:space="0" w:color="auto"/>
              <w:bottom w:val="dotted" w:sz="4" w:space="0" w:color="auto"/>
            </w:tcBorders>
            <w:shd w:val="clear" w:color="auto" w:fill="auto"/>
            <w:noWrap/>
            <w:vAlign w:val="center"/>
            <w:hideMark/>
          </w:tcPr>
          <w:p w14:paraId="5A257624" w14:textId="1F97F8B7" w:rsidR="00740705" w:rsidRPr="0015775D" w:rsidRDefault="00740705" w:rsidP="00740705">
            <w:pPr>
              <w:pStyle w:val="TableText"/>
              <w:rPr>
                <w:b/>
                <w:bCs/>
                <w:vertAlign w:val="superscript"/>
              </w:rPr>
            </w:pPr>
            <w:r w:rsidRPr="0015775D">
              <w:rPr>
                <w:b/>
                <w:bCs/>
              </w:rPr>
              <w:t>Appropriation funding</w:t>
            </w:r>
            <w:r w:rsidR="0015775D" w:rsidRPr="0015775D">
              <w:rPr>
                <w:b/>
                <w:bCs/>
                <w:vertAlign w:val="superscript"/>
              </w:rPr>
              <w:t>b</w:t>
            </w:r>
          </w:p>
        </w:tc>
        <w:tc>
          <w:tcPr>
            <w:tcW w:w="703" w:type="pct"/>
            <w:tcBorders>
              <w:top w:val="single" w:sz="4" w:space="0" w:color="auto"/>
              <w:bottom w:val="dotted" w:sz="4" w:space="0" w:color="auto"/>
            </w:tcBorders>
            <w:shd w:val="clear" w:color="auto" w:fill="auto"/>
            <w:noWrap/>
            <w:hideMark/>
          </w:tcPr>
          <w:p w14:paraId="6A3228AE" w14:textId="77777777" w:rsidR="00740705" w:rsidRPr="0015775D" w:rsidRDefault="00740705" w:rsidP="00740705">
            <w:pPr>
              <w:pStyle w:val="TableText"/>
              <w:jc w:val="right"/>
              <w:rPr>
                <w:b/>
                <w:bCs/>
              </w:rPr>
            </w:pPr>
            <w:r w:rsidRPr="0015775D">
              <w:rPr>
                <w:b/>
                <w:bCs/>
              </w:rPr>
              <w:t>100,664</w:t>
            </w:r>
          </w:p>
        </w:tc>
        <w:tc>
          <w:tcPr>
            <w:tcW w:w="950" w:type="pct"/>
            <w:tcBorders>
              <w:top w:val="single" w:sz="4" w:space="0" w:color="auto"/>
              <w:bottom w:val="dotted" w:sz="4" w:space="0" w:color="auto"/>
            </w:tcBorders>
            <w:shd w:val="clear" w:color="auto" w:fill="auto"/>
            <w:noWrap/>
            <w:hideMark/>
          </w:tcPr>
          <w:p w14:paraId="214F97BE" w14:textId="77777777" w:rsidR="00740705" w:rsidRPr="0015775D" w:rsidRDefault="00740705" w:rsidP="00740705">
            <w:pPr>
              <w:pStyle w:val="TableText"/>
              <w:jc w:val="right"/>
              <w:rPr>
                <w:b/>
                <w:bCs/>
              </w:rPr>
            </w:pPr>
            <w:r w:rsidRPr="0015775D">
              <w:rPr>
                <w:b/>
                <w:bCs/>
              </w:rPr>
              <w:t>n/a</w:t>
            </w:r>
          </w:p>
        </w:tc>
        <w:tc>
          <w:tcPr>
            <w:tcW w:w="1023" w:type="pct"/>
            <w:tcBorders>
              <w:top w:val="single" w:sz="4" w:space="0" w:color="auto"/>
              <w:bottom w:val="dotted" w:sz="4" w:space="0" w:color="auto"/>
            </w:tcBorders>
            <w:shd w:val="clear" w:color="auto" w:fill="auto"/>
            <w:noWrap/>
            <w:hideMark/>
          </w:tcPr>
          <w:p w14:paraId="057D2985" w14:textId="17BEF892" w:rsidR="00740705" w:rsidRPr="0015775D" w:rsidRDefault="000C0CD2" w:rsidP="00740705">
            <w:pPr>
              <w:pStyle w:val="TableText"/>
              <w:jc w:val="right"/>
              <w:rPr>
                <w:b/>
                <w:bCs/>
              </w:rPr>
            </w:pPr>
            <w:r w:rsidRPr="0015775D">
              <w:rPr>
                <w:b/>
                <w:bCs/>
              </w:rPr>
              <w:t>1,876,838</w:t>
            </w:r>
            <w:r w:rsidR="00740705" w:rsidRPr="0015775D">
              <w:rPr>
                <w:b/>
                <w:bCs/>
              </w:rPr>
              <w:t xml:space="preserve">   </w:t>
            </w:r>
          </w:p>
        </w:tc>
        <w:tc>
          <w:tcPr>
            <w:tcW w:w="761" w:type="pct"/>
            <w:tcBorders>
              <w:top w:val="single" w:sz="4" w:space="0" w:color="auto"/>
              <w:bottom w:val="dotted" w:sz="4" w:space="0" w:color="auto"/>
            </w:tcBorders>
            <w:shd w:val="clear" w:color="auto" w:fill="auto"/>
            <w:noWrap/>
            <w:hideMark/>
          </w:tcPr>
          <w:p w14:paraId="2DAE9076" w14:textId="4B0CC987" w:rsidR="00740705" w:rsidRPr="0015775D" w:rsidRDefault="000D6DB8" w:rsidP="00740705">
            <w:pPr>
              <w:pStyle w:val="TableText"/>
              <w:jc w:val="right"/>
              <w:rPr>
                <w:b/>
                <w:bCs/>
              </w:rPr>
            </w:pPr>
            <w:r w:rsidRPr="0015775D">
              <w:rPr>
                <w:b/>
                <w:bCs/>
              </w:rPr>
              <w:t>1,876,838</w:t>
            </w:r>
            <w:r w:rsidR="00740705" w:rsidRPr="0015775D">
              <w:rPr>
                <w:b/>
                <w:bCs/>
              </w:rPr>
              <w:t xml:space="preserve">   </w:t>
            </w:r>
          </w:p>
        </w:tc>
      </w:tr>
      <w:tr w:rsidR="00740705" w:rsidRPr="00F85A1B" w14:paraId="3040044A" w14:textId="77777777" w:rsidTr="004A203A">
        <w:tc>
          <w:tcPr>
            <w:tcW w:w="1563" w:type="pct"/>
            <w:tcBorders>
              <w:top w:val="dotted" w:sz="4" w:space="0" w:color="auto"/>
              <w:bottom w:val="dotted" w:sz="4" w:space="0" w:color="auto"/>
            </w:tcBorders>
            <w:shd w:val="clear" w:color="auto" w:fill="auto"/>
            <w:noWrap/>
            <w:vAlign w:val="center"/>
            <w:hideMark/>
          </w:tcPr>
          <w:p w14:paraId="27509D28" w14:textId="77777777" w:rsidR="00740705" w:rsidRPr="00E331FE" w:rsidRDefault="00740705" w:rsidP="00740705">
            <w:pPr>
              <w:pStyle w:val="TableText"/>
            </w:pPr>
            <w:r w:rsidRPr="00E331FE">
              <w:t>Balance after appropriation</w:t>
            </w:r>
          </w:p>
        </w:tc>
        <w:tc>
          <w:tcPr>
            <w:tcW w:w="703" w:type="pct"/>
            <w:tcBorders>
              <w:top w:val="dotted" w:sz="4" w:space="0" w:color="auto"/>
              <w:bottom w:val="dotted" w:sz="4" w:space="0" w:color="auto"/>
            </w:tcBorders>
            <w:shd w:val="clear" w:color="auto" w:fill="auto"/>
            <w:noWrap/>
            <w:hideMark/>
          </w:tcPr>
          <w:p w14:paraId="5AA9DFB8" w14:textId="77777777" w:rsidR="00740705" w:rsidRPr="00E331FE" w:rsidRDefault="00740705" w:rsidP="00740705">
            <w:pPr>
              <w:pStyle w:val="TableText"/>
              <w:jc w:val="right"/>
            </w:pPr>
            <w:r w:rsidRPr="00E331FE">
              <w:t>(80,624)</w:t>
            </w:r>
          </w:p>
        </w:tc>
        <w:tc>
          <w:tcPr>
            <w:tcW w:w="950" w:type="pct"/>
            <w:tcBorders>
              <w:top w:val="dotted" w:sz="4" w:space="0" w:color="auto"/>
              <w:bottom w:val="dotted" w:sz="4" w:space="0" w:color="auto"/>
            </w:tcBorders>
            <w:shd w:val="clear" w:color="auto" w:fill="auto"/>
            <w:noWrap/>
            <w:hideMark/>
          </w:tcPr>
          <w:p w14:paraId="41F88E07" w14:textId="3FAFBED9" w:rsidR="00740705" w:rsidRPr="00E331FE" w:rsidRDefault="00740705" w:rsidP="00740705">
            <w:pPr>
              <w:pStyle w:val="TableText"/>
              <w:jc w:val="right"/>
            </w:pPr>
            <w:r>
              <w:t>764,526</w:t>
            </w:r>
          </w:p>
        </w:tc>
        <w:tc>
          <w:tcPr>
            <w:tcW w:w="1023" w:type="pct"/>
            <w:tcBorders>
              <w:top w:val="dotted" w:sz="4" w:space="0" w:color="auto"/>
              <w:bottom w:val="dotted" w:sz="4" w:space="0" w:color="auto"/>
            </w:tcBorders>
            <w:shd w:val="clear" w:color="auto" w:fill="auto"/>
            <w:noWrap/>
            <w:hideMark/>
          </w:tcPr>
          <w:p w14:paraId="776D89DE" w14:textId="02E34568" w:rsidR="00740705" w:rsidRPr="00202F99" w:rsidRDefault="0079267F" w:rsidP="00740705">
            <w:pPr>
              <w:pStyle w:val="TableText"/>
              <w:jc w:val="right"/>
            </w:pPr>
            <w:r>
              <w:t>0</w:t>
            </w:r>
          </w:p>
        </w:tc>
        <w:tc>
          <w:tcPr>
            <w:tcW w:w="761" w:type="pct"/>
            <w:tcBorders>
              <w:top w:val="dotted" w:sz="4" w:space="0" w:color="auto"/>
              <w:bottom w:val="dotted" w:sz="4" w:space="0" w:color="auto"/>
            </w:tcBorders>
            <w:shd w:val="clear" w:color="auto" w:fill="auto"/>
            <w:noWrap/>
            <w:hideMark/>
          </w:tcPr>
          <w:p w14:paraId="404EF5FF" w14:textId="6101E60D" w:rsidR="00740705" w:rsidRPr="00202F99" w:rsidRDefault="000D6DB8" w:rsidP="00740705">
            <w:pPr>
              <w:pStyle w:val="TableText"/>
              <w:jc w:val="right"/>
            </w:pPr>
            <w:r>
              <w:t>0</w:t>
            </w:r>
          </w:p>
        </w:tc>
      </w:tr>
      <w:tr w:rsidR="00740705" w:rsidRPr="00443D5D" w14:paraId="1E65C1FA" w14:textId="77777777" w:rsidTr="004A203A">
        <w:tc>
          <w:tcPr>
            <w:tcW w:w="1563" w:type="pct"/>
            <w:tcBorders>
              <w:top w:val="dotted" w:sz="4" w:space="0" w:color="auto"/>
              <w:bottom w:val="dotted" w:sz="4" w:space="0" w:color="auto"/>
            </w:tcBorders>
            <w:shd w:val="clear" w:color="auto" w:fill="auto"/>
            <w:noWrap/>
            <w:vAlign w:val="center"/>
            <w:hideMark/>
          </w:tcPr>
          <w:p w14:paraId="22F15DC1" w14:textId="77777777" w:rsidR="00740705" w:rsidRPr="00E331FE" w:rsidRDefault="00740705" w:rsidP="00740705">
            <w:pPr>
              <w:pStyle w:val="TableText"/>
              <w:rPr>
                <w:rStyle w:val="Strong"/>
                <w:b w:val="0"/>
                <w:bCs w:val="0"/>
              </w:rPr>
            </w:pPr>
            <w:r w:rsidRPr="00E331FE">
              <w:rPr>
                <w:rStyle w:val="Strong"/>
                <w:b w:val="0"/>
                <w:bCs w:val="0"/>
              </w:rPr>
              <w:t>Forecast opening balance</w:t>
            </w:r>
          </w:p>
        </w:tc>
        <w:tc>
          <w:tcPr>
            <w:tcW w:w="703" w:type="pct"/>
            <w:tcBorders>
              <w:top w:val="dotted" w:sz="4" w:space="0" w:color="auto"/>
              <w:bottom w:val="dotted" w:sz="4" w:space="0" w:color="auto"/>
            </w:tcBorders>
            <w:shd w:val="clear" w:color="auto" w:fill="auto"/>
            <w:noWrap/>
            <w:hideMark/>
          </w:tcPr>
          <w:p w14:paraId="20A68AE9" w14:textId="77777777" w:rsidR="00740705" w:rsidRPr="00E331FE" w:rsidRDefault="00740705" w:rsidP="00740705">
            <w:pPr>
              <w:pStyle w:val="TableText"/>
              <w:jc w:val="right"/>
              <w:rPr>
                <w:rStyle w:val="Strong"/>
                <w:b w:val="0"/>
                <w:bCs w:val="0"/>
              </w:rPr>
            </w:pPr>
            <w:r w:rsidRPr="00E331FE">
              <w:rPr>
                <w:rStyle w:val="Strong"/>
                <w:b w:val="0"/>
                <w:bCs w:val="0"/>
              </w:rPr>
              <w:t>(8,766,095)</w:t>
            </w:r>
          </w:p>
        </w:tc>
        <w:tc>
          <w:tcPr>
            <w:tcW w:w="950" w:type="pct"/>
            <w:tcBorders>
              <w:top w:val="dotted" w:sz="4" w:space="0" w:color="auto"/>
              <w:bottom w:val="dotted" w:sz="4" w:space="0" w:color="auto"/>
            </w:tcBorders>
            <w:shd w:val="clear" w:color="auto" w:fill="auto"/>
            <w:noWrap/>
            <w:hideMark/>
          </w:tcPr>
          <w:p w14:paraId="302BBF4C" w14:textId="77777777" w:rsidR="00740705" w:rsidRPr="00E331FE" w:rsidRDefault="00740705" w:rsidP="00740705">
            <w:pPr>
              <w:pStyle w:val="TableText"/>
              <w:jc w:val="right"/>
              <w:rPr>
                <w:rStyle w:val="Strong"/>
                <w:b w:val="0"/>
                <w:bCs w:val="0"/>
              </w:rPr>
            </w:pPr>
            <w:r w:rsidRPr="00E331FE">
              <w:rPr>
                <w:rStyle w:val="Strong"/>
                <w:b w:val="0"/>
                <w:bCs w:val="0"/>
              </w:rPr>
              <w:t>(8,846,719)</w:t>
            </w:r>
          </w:p>
        </w:tc>
        <w:tc>
          <w:tcPr>
            <w:tcW w:w="1023" w:type="pct"/>
            <w:tcBorders>
              <w:top w:val="dotted" w:sz="4" w:space="0" w:color="auto"/>
              <w:bottom w:val="dotted" w:sz="4" w:space="0" w:color="auto"/>
            </w:tcBorders>
            <w:shd w:val="clear" w:color="auto" w:fill="auto"/>
            <w:noWrap/>
            <w:hideMark/>
          </w:tcPr>
          <w:p w14:paraId="1956985C" w14:textId="5EC52B44" w:rsidR="00740705" w:rsidRPr="0015775D" w:rsidRDefault="00740705" w:rsidP="00740705">
            <w:pPr>
              <w:pStyle w:val="TableText"/>
              <w:jc w:val="right"/>
              <w:rPr>
                <w:rStyle w:val="Strong"/>
                <w:b w:val="0"/>
                <w:bCs w:val="0"/>
              </w:rPr>
            </w:pPr>
            <w:r w:rsidRPr="0015775D">
              <w:rPr>
                <w:b/>
                <w:bCs/>
              </w:rPr>
              <w:t>(8,082,193)</w:t>
            </w:r>
          </w:p>
        </w:tc>
        <w:tc>
          <w:tcPr>
            <w:tcW w:w="761" w:type="pct"/>
            <w:tcBorders>
              <w:top w:val="dotted" w:sz="4" w:space="0" w:color="auto"/>
              <w:bottom w:val="dotted" w:sz="4" w:space="0" w:color="auto"/>
            </w:tcBorders>
            <w:shd w:val="clear" w:color="auto" w:fill="auto"/>
            <w:noWrap/>
            <w:hideMark/>
          </w:tcPr>
          <w:p w14:paraId="2A1FBB6B" w14:textId="057991D4" w:rsidR="00740705" w:rsidRPr="0015775D" w:rsidRDefault="00740705" w:rsidP="00740705">
            <w:pPr>
              <w:pStyle w:val="TableText"/>
              <w:jc w:val="right"/>
              <w:rPr>
                <w:b/>
                <w:bCs/>
              </w:rPr>
            </w:pPr>
            <w:r w:rsidRPr="0015775D">
              <w:rPr>
                <w:b/>
                <w:bCs/>
              </w:rPr>
              <w:t>(</w:t>
            </w:r>
            <w:r w:rsidR="000D6DB8" w:rsidRPr="0015775D">
              <w:rPr>
                <w:b/>
                <w:bCs/>
              </w:rPr>
              <w:t>8,082,193</w:t>
            </w:r>
            <w:r w:rsidRPr="0015775D">
              <w:rPr>
                <w:b/>
                <w:bCs/>
              </w:rPr>
              <w:t>)</w:t>
            </w:r>
          </w:p>
        </w:tc>
      </w:tr>
      <w:tr w:rsidR="00740705" w:rsidRPr="00F85A1B" w14:paraId="3F3D965D" w14:textId="77777777" w:rsidTr="004A203A">
        <w:tc>
          <w:tcPr>
            <w:tcW w:w="1563" w:type="pct"/>
            <w:tcBorders>
              <w:top w:val="dotted" w:sz="4" w:space="0" w:color="auto"/>
              <w:bottom w:val="single" w:sz="4" w:space="0" w:color="auto"/>
            </w:tcBorders>
            <w:shd w:val="clear" w:color="auto" w:fill="auto"/>
            <w:noWrap/>
            <w:vAlign w:val="center"/>
            <w:hideMark/>
          </w:tcPr>
          <w:p w14:paraId="40CF5FF3" w14:textId="77777777" w:rsidR="00740705" w:rsidRPr="00E331FE" w:rsidRDefault="00740705" w:rsidP="00740705">
            <w:pPr>
              <w:pStyle w:val="TableText"/>
            </w:pPr>
            <w:r w:rsidRPr="00E331FE">
              <w:t>Transfer</w:t>
            </w:r>
          </w:p>
        </w:tc>
        <w:tc>
          <w:tcPr>
            <w:tcW w:w="703" w:type="pct"/>
            <w:tcBorders>
              <w:top w:val="dotted" w:sz="4" w:space="0" w:color="auto"/>
              <w:bottom w:val="single" w:sz="4" w:space="0" w:color="auto"/>
            </w:tcBorders>
            <w:shd w:val="clear" w:color="auto" w:fill="auto"/>
            <w:noWrap/>
            <w:hideMark/>
          </w:tcPr>
          <w:p w14:paraId="6EA0B5BB" w14:textId="77777777" w:rsidR="00740705" w:rsidRPr="00E331FE" w:rsidRDefault="00740705" w:rsidP="00740705">
            <w:pPr>
              <w:pStyle w:val="TableText"/>
              <w:jc w:val="right"/>
            </w:pPr>
            <w:r w:rsidRPr="00E331FE">
              <w:t>(80,624)</w:t>
            </w:r>
          </w:p>
        </w:tc>
        <w:tc>
          <w:tcPr>
            <w:tcW w:w="950" w:type="pct"/>
            <w:tcBorders>
              <w:top w:val="dotted" w:sz="4" w:space="0" w:color="auto"/>
              <w:bottom w:val="single" w:sz="4" w:space="0" w:color="auto"/>
            </w:tcBorders>
            <w:shd w:val="clear" w:color="auto" w:fill="auto"/>
            <w:noWrap/>
            <w:hideMark/>
          </w:tcPr>
          <w:p w14:paraId="2668B993" w14:textId="0E87A81F" w:rsidR="00740705" w:rsidRPr="00E331FE" w:rsidRDefault="00740705" w:rsidP="00740705">
            <w:pPr>
              <w:pStyle w:val="TableText"/>
              <w:jc w:val="right"/>
            </w:pPr>
            <w:r>
              <w:t>764,526</w:t>
            </w:r>
          </w:p>
        </w:tc>
        <w:tc>
          <w:tcPr>
            <w:tcW w:w="1023" w:type="pct"/>
            <w:tcBorders>
              <w:top w:val="dotted" w:sz="4" w:space="0" w:color="auto"/>
              <w:bottom w:val="single" w:sz="4" w:space="0" w:color="auto"/>
            </w:tcBorders>
            <w:shd w:val="clear" w:color="auto" w:fill="auto"/>
            <w:noWrap/>
            <w:hideMark/>
          </w:tcPr>
          <w:p w14:paraId="1AA412F2" w14:textId="2B66A6E3" w:rsidR="00740705" w:rsidRPr="00202F99" w:rsidRDefault="0079267F" w:rsidP="00740705">
            <w:pPr>
              <w:pStyle w:val="TableText"/>
              <w:jc w:val="right"/>
            </w:pPr>
            <w:r>
              <w:t>0</w:t>
            </w:r>
          </w:p>
        </w:tc>
        <w:tc>
          <w:tcPr>
            <w:tcW w:w="761" w:type="pct"/>
            <w:tcBorders>
              <w:top w:val="dotted" w:sz="4" w:space="0" w:color="auto"/>
              <w:bottom w:val="single" w:sz="4" w:space="0" w:color="auto"/>
            </w:tcBorders>
            <w:shd w:val="clear" w:color="auto" w:fill="auto"/>
            <w:noWrap/>
            <w:hideMark/>
          </w:tcPr>
          <w:p w14:paraId="23779FE3" w14:textId="10C108AE" w:rsidR="00740705" w:rsidRPr="00202F99" w:rsidRDefault="00B90A70" w:rsidP="00740705">
            <w:pPr>
              <w:pStyle w:val="TableText"/>
              <w:jc w:val="right"/>
            </w:pPr>
            <w:r>
              <w:t>0</w:t>
            </w:r>
          </w:p>
        </w:tc>
      </w:tr>
      <w:tr w:rsidR="00740705" w:rsidRPr="00E331FE" w14:paraId="0C2745F8" w14:textId="77777777" w:rsidTr="004A203A">
        <w:tc>
          <w:tcPr>
            <w:tcW w:w="1563" w:type="pct"/>
            <w:tcBorders>
              <w:top w:val="single" w:sz="4" w:space="0" w:color="auto"/>
              <w:bottom w:val="single" w:sz="4" w:space="0" w:color="auto"/>
            </w:tcBorders>
            <w:shd w:val="clear" w:color="auto" w:fill="auto"/>
            <w:noWrap/>
            <w:vAlign w:val="center"/>
            <w:hideMark/>
          </w:tcPr>
          <w:p w14:paraId="38BE51E4" w14:textId="77777777" w:rsidR="00740705" w:rsidRPr="00E331FE" w:rsidRDefault="00740705" w:rsidP="00740705">
            <w:pPr>
              <w:pStyle w:val="TableText"/>
              <w:rPr>
                <w:rStyle w:val="Strong"/>
              </w:rPr>
            </w:pPr>
            <w:r w:rsidRPr="00E331FE">
              <w:rPr>
                <w:rStyle w:val="Strong"/>
              </w:rPr>
              <w:t>Forecast closing balance</w:t>
            </w:r>
          </w:p>
        </w:tc>
        <w:tc>
          <w:tcPr>
            <w:tcW w:w="703" w:type="pct"/>
            <w:tcBorders>
              <w:top w:val="single" w:sz="4" w:space="0" w:color="auto"/>
              <w:bottom w:val="single" w:sz="4" w:space="0" w:color="auto"/>
            </w:tcBorders>
            <w:shd w:val="clear" w:color="auto" w:fill="auto"/>
            <w:noWrap/>
            <w:hideMark/>
          </w:tcPr>
          <w:p w14:paraId="78586513" w14:textId="77777777" w:rsidR="00740705" w:rsidRPr="00E331FE" w:rsidRDefault="00740705" w:rsidP="00740705">
            <w:pPr>
              <w:pStyle w:val="TableText"/>
              <w:jc w:val="right"/>
              <w:rPr>
                <w:rStyle w:val="Strong"/>
              </w:rPr>
            </w:pPr>
            <w:r w:rsidRPr="00E331FE">
              <w:rPr>
                <w:rStyle w:val="Strong"/>
              </w:rPr>
              <w:t>(8,846,719)</w:t>
            </w:r>
          </w:p>
        </w:tc>
        <w:tc>
          <w:tcPr>
            <w:tcW w:w="950" w:type="pct"/>
            <w:tcBorders>
              <w:top w:val="single" w:sz="4" w:space="0" w:color="auto"/>
              <w:bottom w:val="single" w:sz="4" w:space="0" w:color="auto"/>
            </w:tcBorders>
            <w:shd w:val="clear" w:color="auto" w:fill="auto"/>
            <w:noWrap/>
            <w:hideMark/>
          </w:tcPr>
          <w:p w14:paraId="722A9484" w14:textId="6CF8F585" w:rsidR="00740705" w:rsidRPr="00E331FE" w:rsidRDefault="00740705" w:rsidP="00740705">
            <w:pPr>
              <w:pStyle w:val="TableText"/>
              <w:jc w:val="right"/>
              <w:rPr>
                <w:rStyle w:val="Strong"/>
              </w:rPr>
            </w:pPr>
            <w:r>
              <w:rPr>
                <w:rStyle w:val="Strong"/>
              </w:rPr>
              <w:t>(8,082,193)</w:t>
            </w:r>
          </w:p>
        </w:tc>
        <w:tc>
          <w:tcPr>
            <w:tcW w:w="1023" w:type="pct"/>
            <w:tcBorders>
              <w:top w:val="single" w:sz="4" w:space="0" w:color="auto"/>
              <w:bottom w:val="single" w:sz="4" w:space="0" w:color="auto"/>
            </w:tcBorders>
            <w:shd w:val="clear" w:color="auto" w:fill="auto"/>
            <w:noWrap/>
            <w:hideMark/>
          </w:tcPr>
          <w:p w14:paraId="66908DA7" w14:textId="5243671E" w:rsidR="00740705" w:rsidRPr="00202F99" w:rsidRDefault="00740705" w:rsidP="00740705">
            <w:pPr>
              <w:pStyle w:val="TableText"/>
              <w:jc w:val="right"/>
              <w:rPr>
                <w:rStyle w:val="Strong"/>
                <w:b w:val="0"/>
              </w:rPr>
            </w:pPr>
            <w:r w:rsidRPr="00202F99">
              <w:rPr>
                <w:b/>
                <w:bCs/>
              </w:rPr>
              <w:t>(</w:t>
            </w:r>
            <w:r w:rsidR="000D6DB8">
              <w:rPr>
                <w:b/>
                <w:bCs/>
              </w:rPr>
              <w:t>8,082,193</w:t>
            </w:r>
            <w:r w:rsidRPr="00202F99">
              <w:rPr>
                <w:rStyle w:val="Strong"/>
                <w:b w:val="0"/>
              </w:rPr>
              <w:t>)</w:t>
            </w:r>
          </w:p>
        </w:tc>
        <w:tc>
          <w:tcPr>
            <w:tcW w:w="761" w:type="pct"/>
            <w:tcBorders>
              <w:top w:val="single" w:sz="4" w:space="0" w:color="auto"/>
              <w:bottom w:val="single" w:sz="4" w:space="0" w:color="auto"/>
            </w:tcBorders>
            <w:shd w:val="clear" w:color="auto" w:fill="auto"/>
            <w:noWrap/>
            <w:hideMark/>
          </w:tcPr>
          <w:p w14:paraId="529729B1" w14:textId="04916475" w:rsidR="00740705" w:rsidRPr="00202F99" w:rsidRDefault="00B90A70" w:rsidP="00740705">
            <w:pPr>
              <w:pStyle w:val="TableText"/>
              <w:jc w:val="right"/>
            </w:pPr>
            <w:r w:rsidRPr="00202F99">
              <w:rPr>
                <w:b/>
                <w:bCs/>
              </w:rPr>
              <w:t>(</w:t>
            </w:r>
            <w:r>
              <w:rPr>
                <w:b/>
                <w:bCs/>
              </w:rPr>
              <w:t>8,082,193</w:t>
            </w:r>
            <w:r w:rsidRPr="00202F99">
              <w:rPr>
                <w:rStyle w:val="Strong"/>
                <w:b w:val="0"/>
              </w:rPr>
              <w:t>)</w:t>
            </w:r>
          </w:p>
        </w:tc>
      </w:tr>
    </w:tbl>
    <w:p w14:paraId="59B3E653" w14:textId="4C281C4B" w:rsidR="003E3253" w:rsidRDefault="003E3253" w:rsidP="003E3253">
      <w:pPr>
        <w:pStyle w:val="FigureTableNoteSource"/>
      </w:pPr>
      <w:r w:rsidRPr="00E363C2">
        <w:rPr>
          <w:rStyle w:val="Strong"/>
        </w:rPr>
        <w:t>Note:</w:t>
      </w:r>
      <w:r w:rsidRPr="00A25AE8">
        <w:t xml:space="preserve"> numbers in brackets are negative.</w:t>
      </w:r>
      <w:r>
        <w:rPr>
          <w:rStyle w:val="Strong"/>
        </w:rPr>
        <w:t xml:space="preserve"> </w:t>
      </w:r>
      <w:r w:rsidRPr="000B3A3F">
        <w:rPr>
          <w:rStyle w:val="Strong"/>
        </w:rPr>
        <w:t>a</w:t>
      </w:r>
      <w:r w:rsidRPr="000B3A3F">
        <w:t xml:space="preserve"> Actual. </w:t>
      </w:r>
      <w:r w:rsidR="00C70DA4" w:rsidRPr="00C70DA4">
        <w:rPr>
          <w:rFonts w:eastAsia="Calibri" w:cs="Times New Roman"/>
          <w:b/>
          <w:bCs/>
        </w:rPr>
        <w:t xml:space="preserve">b. </w:t>
      </w:r>
      <w:r w:rsidR="00C70DA4" w:rsidRPr="00C70DA4">
        <w:rPr>
          <w:rFonts w:eastAsia="Calibri" w:cs="Times New Roman"/>
        </w:rPr>
        <w:t>Appropriation allocated in 2024-25 and 2025-26 is notional until financial results are finalised and published in the department’s annual report</w:t>
      </w:r>
      <w:r w:rsidR="00C70DA4">
        <w:rPr>
          <w:rFonts w:eastAsia="Calibri" w:cs="Times New Roman"/>
        </w:rPr>
        <w:t>.</w:t>
      </w:r>
    </w:p>
    <w:p w14:paraId="6CA58570" w14:textId="5F356794" w:rsidR="004C5012" w:rsidRDefault="004C5012" w:rsidP="004C5012">
      <w:pPr>
        <w:ind w:left="45"/>
      </w:pPr>
      <w:bookmarkStart w:id="153" w:name="_Hlk193705251"/>
      <w:r>
        <w:t>Estimates in 2024</w:t>
      </w:r>
      <w:r w:rsidR="009F76C6" w:rsidRPr="007E7F52">
        <w:t>–</w:t>
      </w:r>
      <w:r>
        <w:t>25 consist of December year-to-date actuals plus forecast up to June 2025.  Noting work currently being undertaken by the Taskforce, 2024</w:t>
      </w:r>
      <w:r w:rsidR="009F76C6" w:rsidRPr="007E7F52">
        <w:t>–</w:t>
      </w:r>
      <w:r>
        <w:t>25 estimates have been notionally carried forward for 2025</w:t>
      </w:r>
      <w:r w:rsidR="009F76C6" w:rsidRPr="007E7F52">
        <w:t>–</w:t>
      </w:r>
      <w:r>
        <w:t>26. Deficits will be supplemented with appropriation from the Securing the future of agricultural trade budget measure</w:t>
      </w:r>
      <w:r w:rsidR="003406F3">
        <w:t>, continued through 2025</w:t>
      </w:r>
      <w:r w:rsidR="009F76C6" w:rsidRPr="007E7F52">
        <w:t>–</w:t>
      </w:r>
      <w:r w:rsidR="003406F3">
        <w:t>26.</w:t>
      </w:r>
    </w:p>
    <w:p w14:paraId="24FD13F9" w14:textId="530F2692" w:rsidR="004C5012" w:rsidRDefault="004C5012" w:rsidP="004C5012">
      <w:r>
        <w:t>Notable movements between 2023</w:t>
      </w:r>
      <w:r w:rsidR="009F76C6" w:rsidRPr="007E7F52">
        <w:t>–</w:t>
      </w:r>
      <w:r>
        <w:t>24 actuals and 2024</w:t>
      </w:r>
      <w:r w:rsidR="009F76C6" w:rsidRPr="007E7F52">
        <w:t>–</w:t>
      </w:r>
      <w:r>
        <w:t>25 budget are as follows:</w:t>
      </w:r>
    </w:p>
    <w:p w14:paraId="1BF3FBB8" w14:textId="4ADFBE7E" w:rsidR="004C5012" w:rsidRPr="001A6EC1" w:rsidRDefault="004C5012" w:rsidP="00470A95">
      <w:pPr>
        <w:pStyle w:val="ListBullet"/>
      </w:pPr>
      <w:bookmarkStart w:id="154" w:name="_Hlk194059889"/>
      <w:r w:rsidRPr="001A6EC1">
        <w:t>The increase being seen in staffing levels throughout 2023</w:t>
      </w:r>
      <w:r w:rsidR="009F76C6" w:rsidRPr="007E7F52">
        <w:t>–</w:t>
      </w:r>
      <w:r w:rsidRPr="001A6EC1">
        <w:t>24 and into 2024</w:t>
      </w:r>
      <w:r w:rsidR="009F76C6" w:rsidRPr="007E7F52">
        <w:t>–</w:t>
      </w:r>
      <w:r w:rsidRPr="001A6EC1">
        <w:t xml:space="preserve">25 is enabling the </w:t>
      </w:r>
      <w:r w:rsidR="0067515B">
        <w:t>d</w:t>
      </w:r>
      <w:r w:rsidRPr="001A6EC1">
        <w:t xml:space="preserve">epartment to return to an optimal and efficient workforce. This has resulted in a </w:t>
      </w:r>
      <w:r w:rsidR="00F77520">
        <w:t>18</w:t>
      </w:r>
      <w:r w:rsidRPr="001A6EC1">
        <w:t xml:space="preserve">% rise in staffing associated with the </w:t>
      </w:r>
      <w:r w:rsidR="00755631">
        <w:t>horticulture</w:t>
      </w:r>
      <w:r w:rsidR="00755631" w:rsidRPr="001A6EC1">
        <w:t xml:space="preserve"> </w:t>
      </w:r>
      <w:r w:rsidRPr="001A6EC1">
        <w:t>arrangement, translating to an approximate $</w:t>
      </w:r>
      <w:r w:rsidR="00F77520">
        <w:t>1.5</w:t>
      </w:r>
      <w:r>
        <w:t>m</w:t>
      </w:r>
      <w:r w:rsidRPr="001A6EC1">
        <w:t xml:space="preserve"> increase compared to 202</w:t>
      </w:r>
      <w:r w:rsidR="009F76C6">
        <w:t>3</w:t>
      </w:r>
      <w:r w:rsidR="009F76C6" w:rsidRPr="007E7F52">
        <w:t>–</w:t>
      </w:r>
      <w:r w:rsidRPr="001A6EC1">
        <w:t>24.</w:t>
      </w:r>
    </w:p>
    <w:bookmarkEnd w:id="154"/>
    <w:p w14:paraId="7A0C8786" w14:textId="698CF11B" w:rsidR="004C5012" w:rsidRDefault="004C5012" w:rsidP="00470A95">
      <w:pPr>
        <w:pStyle w:val="ListBullet"/>
      </w:pPr>
      <w:r w:rsidRPr="00866957">
        <w:t>The staffing growth has been further influenced by the salary adjustments outlined in the Enterprise Agreement, which are reflected in the 2024</w:t>
      </w:r>
      <w:r w:rsidR="009F76C6" w:rsidRPr="007E7F52">
        <w:t>–</w:t>
      </w:r>
      <w:r w:rsidRPr="00866957">
        <w:t>25 budget estimates. This includes a 3.</w:t>
      </w:r>
      <w:r>
        <w:t>8</w:t>
      </w:r>
      <w:r w:rsidRPr="00866957">
        <w:t>% salary increase as stipulated in the agreement.</w:t>
      </w:r>
    </w:p>
    <w:p w14:paraId="028882CA" w14:textId="42EADD0C" w:rsidR="00330CE4" w:rsidRDefault="00330CE4" w:rsidP="00330CE4">
      <w:pPr>
        <w:pStyle w:val="ListBullet"/>
      </w:pPr>
      <w:r>
        <w:t>In corporate expenditure, we observe continued increases to our costs for digital services, at a rate greater than anticipated. Specifically, there are increased costs for:</w:t>
      </w:r>
    </w:p>
    <w:p w14:paraId="4A0E3C99" w14:textId="2ED63DCD" w:rsidR="00330CE4" w:rsidRDefault="00330CE4" w:rsidP="00330CE4">
      <w:pPr>
        <w:pStyle w:val="ListBullet2"/>
      </w:pPr>
      <w:r>
        <w:t>Investments to meet mandated government cyber security standards</w:t>
      </w:r>
    </w:p>
    <w:p w14:paraId="1F37A2C9" w14:textId="22DD2729" w:rsidR="00330CE4" w:rsidRDefault="00330CE4" w:rsidP="00330CE4">
      <w:pPr>
        <w:pStyle w:val="ListBullet2"/>
      </w:pPr>
      <w:r>
        <w:t xml:space="preserve">Software licensing and support costs  </w:t>
      </w:r>
    </w:p>
    <w:p w14:paraId="346CC466" w14:textId="580FB9EF" w:rsidR="00330CE4" w:rsidRDefault="00330CE4" w:rsidP="00330CE4">
      <w:pPr>
        <w:pStyle w:val="ListBullet2"/>
      </w:pPr>
      <w:r>
        <w:t xml:space="preserve">Operational expenses supporting our capital infrastructure.  </w:t>
      </w:r>
    </w:p>
    <w:p w14:paraId="4D269C63" w14:textId="04BC6F49" w:rsidR="004C5012" w:rsidRPr="00470A95" w:rsidRDefault="00330CE4" w:rsidP="00470A95">
      <w:pPr>
        <w:pStyle w:val="ListBullet2"/>
      </w:pPr>
      <w:r>
        <w:t>Telephony – network and phones (including data costs)</w:t>
      </w:r>
    </w:p>
    <w:p w14:paraId="37C5FCB3" w14:textId="3B942B32" w:rsidR="004C5012" w:rsidRPr="004C5012" w:rsidRDefault="004C5012" w:rsidP="00453260">
      <w:pPr>
        <w:spacing w:before="200"/>
      </w:pPr>
      <w:r>
        <w:t xml:space="preserve">These costs </w:t>
      </w:r>
      <w:r w:rsidRPr="002A0B72">
        <w:t xml:space="preserve">have been partially </w:t>
      </w:r>
      <w:r>
        <w:t>offset</w:t>
      </w:r>
      <w:r w:rsidRPr="002A0B72">
        <w:t xml:space="preserve"> by reduced property occupancy costs resulting from the subletting of the </w:t>
      </w:r>
      <w:r>
        <w:t>Agriculture</w:t>
      </w:r>
      <w:r w:rsidRPr="002A0B72">
        <w:t xml:space="preserve"> House office</w:t>
      </w:r>
      <w:r>
        <w:t xml:space="preserve"> in Canberra</w:t>
      </w:r>
      <w:r w:rsidRPr="002A0B72">
        <w:t>.</w:t>
      </w:r>
      <w:bookmarkEnd w:id="153"/>
    </w:p>
    <w:p w14:paraId="1D64EF97" w14:textId="77777777" w:rsidR="00EB518C" w:rsidRDefault="00EB518C" w:rsidP="00DD32C4">
      <w:pPr>
        <w:pStyle w:val="Heading2"/>
        <w:numPr>
          <w:ilvl w:val="0"/>
          <w:numId w:val="25"/>
        </w:numPr>
      </w:pPr>
      <w:bookmarkStart w:id="155" w:name="_Toc162351723"/>
      <w:bookmarkStart w:id="156" w:name="_Toc170293384"/>
      <w:bookmarkStart w:id="157" w:name="_Toc193794433"/>
      <w:bookmarkStart w:id="158" w:name="_Toc198898887"/>
      <w:r>
        <w:lastRenderedPageBreak/>
        <w:t>Financial and non-financial performance</w:t>
      </w:r>
      <w:bookmarkEnd w:id="155"/>
      <w:bookmarkEnd w:id="156"/>
      <w:bookmarkEnd w:id="157"/>
      <w:bookmarkEnd w:id="158"/>
    </w:p>
    <w:p w14:paraId="44483C89" w14:textId="77777777" w:rsidR="00EB518C" w:rsidRDefault="00EB518C" w:rsidP="00EB518C">
      <w:r>
        <w:t>This section presents information on the financial and non-financial performance of the horticulture exports cost recovery arrangement. This is intended to provide an overview of the department’s performance in recovering forecast costs and meeting regulatory objectives.</w:t>
      </w:r>
    </w:p>
    <w:p w14:paraId="224734F4" w14:textId="77777777" w:rsidR="00EB518C" w:rsidRDefault="00EB518C" w:rsidP="00723450">
      <w:pPr>
        <w:pStyle w:val="Heading3"/>
      </w:pPr>
      <w:bookmarkStart w:id="159" w:name="_Toc170293385"/>
      <w:bookmarkStart w:id="160" w:name="_Toc193794434"/>
      <w:bookmarkStart w:id="161" w:name="_Toc198898888"/>
      <w:r>
        <w:t xml:space="preserve">Financial </w:t>
      </w:r>
      <w:r w:rsidRPr="006C7E2A">
        <w:t>performance</w:t>
      </w:r>
      <w:bookmarkEnd w:id="159"/>
      <w:bookmarkEnd w:id="160"/>
      <w:bookmarkEnd w:id="161"/>
    </w:p>
    <w:p w14:paraId="20C73EAC" w14:textId="0FAEA815" w:rsidR="00EB518C" w:rsidRDefault="00EB518C" w:rsidP="00EB518C">
      <w:pPr>
        <w:rPr>
          <w:lang w:eastAsia="ja-JP"/>
        </w:rPr>
      </w:pPr>
      <w:r>
        <w:rPr>
          <w:lang w:eastAsia="ja-JP"/>
        </w:rPr>
        <w:t>The financial performance for the horticulture cost recovery arrangement is provid</w:t>
      </w:r>
      <w:r w:rsidRPr="00043DAD">
        <w:rPr>
          <w:lang w:eastAsia="ja-JP"/>
        </w:rPr>
        <w:t xml:space="preserve">ed in </w:t>
      </w:r>
      <w:hyperlink w:anchor="Table_7" w:history="1">
        <w:r w:rsidR="00043DAD" w:rsidRPr="00043DAD">
          <w:rPr>
            <w:rStyle w:val="Hyperlink"/>
            <w:color w:val="auto"/>
            <w:u w:val="none"/>
            <w:lang w:eastAsia="ja-JP"/>
          </w:rPr>
          <w:t>Table 7</w:t>
        </w:r>
      </w:hyperlink>
      <w:r w:rsidR="008E75F8">
        <w:rPr>
          <w:lang w:eastAsia="ja-JP"/>
        </w:rPr>
        <w:t>.</w:t>
      </w:r>
    </w:p>
    <w:p w14:paraId="16BC11A5" w14:textId="31D3A762" w:rsidR="00EB518C" w:rsidRPr="006C7E2A" w:rsidRDefault="00DD23DA" w:rsidP="00DD23DA">
      <w:pPr>
        <w:pStyle w:val="Caption"/>
      </w:pPr>
      <w:bookmarkStart w:id="162" w:name="_Ref198899588"/>
      <w:bookmarkStart w:id="163" w:name="_Toc161657022"/>
      <w:bookmarkStart w:id="164" w:name="_Toc162948405"/>
      <w:bookmarkStart w:id="165" w:name="_Toc163028281"/>
      <w:bookmarkStart w:id="166" w:name="_Toc163129550"/>
      <w:bookmarkStart w:id="167" w:name="_Toc170293408"/>
      <w:bookmarkStart w:id="168" w:name="_Toc201226998"/>
      <w:bookmarkStart w:id="169" w:name="_Ref56085193"/>
      <w:r>
        <w:t xml:space="preserve">Table </w:t>
      </w:r>
      <w:r>
        <w:fldChar w:fldCharType="begin"/>
      </w:r>
      <w:r>
        <w:instrText xml:space="preserve"> SEQ Table \* ARABIC </w:instrText>
      </w:r>
      <w:r>
        <w:fldChar w:fldCharType="separate"/>
      </w:r>
      <w:r w:rsidR="0001784A">
        <w:rPr>
          <w:noProof/>
        </w:rPr>
        <w:t>7</w:t>
      </w:r>
      <w:r>
        <w:fldChar w:fldCharType="end"/>
      </w:r>
      <w:bookmarkEnd w:id="162"/>
      <w:r>
        <w:t xml:space="preserve"> </w:t>
      </w:r>
      <w:r w:rsidR="00EB518C" w:rsidRPr="006C7E2A">
        <w:t xml:space="preserve">Financial performance for horticulture exports cost recovery arrangement, </w:t>
      </w:r>
      <w:bookmarkEnd w:id="163"/>
      <w:bookmarkEnd w:id="164"/>
      <w:bookmarkEnd w:id="165"/>
      <w:bookmarkEnd w:id="166"/>
      <w:bookmarkEnd w:id="167"/>
      <w:r w:rsidR="00DD32C4" w:rsidRPr="008937BC">
        <w:t>2020</w:t>
      </w:r>
      <w:r w:rsidR="009F76C6" w:rsidRPr="007E7F52">
        <w:t>–</w:t>
      </w:r>
      <w:r w:rsidR="00DD32C4" w:rsidRPr="008937BC">
        <w:t>21 to 2023</w:t>
      </w:r>
      <w:r w:rsidR="009F76C6" w:rsidRPr="007E7F52">
        <w:t>–</w:t>
      </w:r>
      <w:r w:rsidR="00DD32C4" w:rsidRPr="008937BC">
        <w:t>24</w:t>
      </w:r>
      <w:bookmarkEnd w:id="168"/>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44"/>
        <w:gridCol w:w="1277"/>
        <w:gridCol w:w="1558"/>
        <w:gridCol w:w="1419"/>
        <w:gridCol w:w="1272"/>
      </w:tblGrid>
      <w:tr w:rsidR="006C7E2A" w:rsidRPr="006C7E2A" w14:paraId="1E160BE0" w14:textId="77777777" w:rsidTr="008937BC">
        <w:trPr>
          <w:cantSplit/>
          <w:tblHeader/>
        </w:trPr>
        <w:tc>
          <w:tcPr>
            <w:tcW w:w="1954" w:type="pct"/>
            <w:tcBorders>
              <w:top w:val="single" w:sz="4" w:space="0" w:color="auto"/>
              <w:left w:val="nil"/>
              <w:bottom w:val="single" w:sz="4" w:space="0" w:color="auto"/>
              <w:right w:val="nil"/>
            </w:tcBorders>
            <w:hideMark/>
          </w:tcPr>
          <w:p w14:paraId="47FDB385" w14:textId="77777777" w:rsidR="006C7E2A" w:rsidRPr="006C7E2A" w:rsidRDefault="006C7E2A" w:rsidP="006C7E2A">
            <w:pPr>
              <w:pStyle w:val="TableHeading"/>
            </w:pPr>
            <w:bookmarkStart w:id="170" w:name="Table_7"/>
            <w:bookmarkEnd w:id="170"/>
            <w:r w:rsidRPr="006C7E2A">
              <w:t>Finance element</w:t>
            </w:r>
          </w:p>
        </w:tc>
        <w:tc>
          <w:tcPr>
            <w:tcW w:w="704" w:type="pct"/>
            <w:tcBorders>
              <w:top w:val="single" w:sz="4" w:space="0" w:color="auto"/>
              <w:left w:val="nil"/>
              <w:bottom w:val="single" w:sz="4" w:space="0" w:color="auto"/>
              <w:right w:val="nil"/>
            </w:tcBorders>
            <w:hideMark/>
          </w:tcPr>
          <w:p w14:paraId="6ADCC137" w14:textId="6AE17E8F" w:rsidR="006C7E2A" w:rsidRPr="006C7E2A" w:rsidRDefault="006C7E2A" w:rsidP="006C7E2A">
            <w:pPr>
              <w:pStyle w:val="TableHeading"/>
              <w:jc w:val="right"/>
            </w:pPr>
            <w:r w:rsidRPr="008937BC">
              <w:t>2020–21 ($)</w:t>
            </w:r>
          </w:p>
        </w:tc>
        <w:tc>
          <w:tcPr>
            <w:tcW w:w="859" w:type="pct"/>
            <w:tcBorders>
              <w:top w:val="single" w:sz="4" w:space="0" w:color="auto"/>
              <w:left w:val="nil"/>
              <w:bottom w:val="single" w:sz="4" w:space="0" w:color="auto"/>
              <w:right w:val="nil"/>
            </w:tcBorders>
            <w:hideMark/>
          </w:tcPr>
          <w:p w14:paraId="31ED5B42" w14:textId="150D907A" w:rsidR="006C7E2A" w:rsidRPr="006C7E2A" w:rsidRDefault="006C7E2A" w:rsidP="006C7E2A">
            <w:pPr>
              <w:pStyle w:val="TableHeading"/>
              <w:jc w:val="right"/>
            </w:pPr>
            <w:r w:rsidRPr="00723450">
              <w:t>2021–22 ($)</w:t>
            </w:r>
          </w:p>
        </w:tc>
        <w:tc>
          <w:tcPr>
            <w:tcW w:w="782" w:type="pct"/>
            <w:tcBorders>
              <w:top w:val="single" w:sz="4" w:space="0" w:color="auto"/>
              <w:left w:val="nil"/>
              <w:bottom w:val="single" w:sz="4" w:space="0" w:color="auto"/>
              <w:right w:val="nil"/>
            </w:tcBorders>
            <w:hideMark/>
          </w:tcPr>
          <w:p w14:paraId="79D2CB9D" w14:textId="1F7388B2" w:rsidR="006C7E2A" w:rsidRPr="006C7E2A" w:rsidRDefault="006C7E2A" w:rsidP="006C7E2A">
            <w:pPr>
              <w:pStyle w:val="TableHeading"/>
              <w:jc w:val="right"/>
            </w:pPr>
            <w:r w:rsidRPr="008937BC">
              <w:t>2022–23 ($)</w:t>
            </w:r>
          </w:p>
        </w:tc>
        <w:tc>
          <w:tcPr>
            <w:tcW w:w="701" w:type="pct"/>
            <w:tcBorders>
              <w:top w:val="single" w:sz="4" w:space="0" w:color="auto"/>
              <w:left w:val="nil"/>
              <w:bottom w:val="single" w:sz="4" w:space="0" w:color="auto"/>
              <w:right w:val="nil"/>
            </w:tcBorders>
            <w:hideMark/>
          </w:tcPr>
          <w:p w14:paraId="26DA41AB" w14:textId="352A65C9" w:rsidR="006C7E2A" w:rsidRPr="006C7E2A" w:rsidRDefault="006C7E2A" w:rsidP="006C7E2A">
            <w:pPr>
              <w:pStyle w:val="TableHeading"/>
              <w:jc w:val="right"/>
              <w:rPr>
                <w:b w:val="0"/>
                <w:bCs/>
              </w:rPr>
            </w:pPr>
            <w:r w:rsidRPr="008937BC">
              <w:t>2023-24</w:t>
            </w:r>
            <w:r w:rsidRPr="006C7E2A">
              <w:t xml:space="preserve"> ($)</w:t>
            </w:r>
          </w:p>
        </w:tc>
      </w:tr>
      <w:tr w:rsidR="006C7E2A" w:rsidRPr="006C7E2A" w14:paraId="5C720F68" w14:textId="77777777" w:rsidTr="008937BC">
        <w:tc>
          <w:tcPr>
            <w:tcW w:w="1954" w:type="pct"/>
            <w:tcBorders>
              <w:top w:val="single" w:sz="4" w:space="0" w:color="auto"/>
              <w:left w:val="nil"/>
              <w:bottom w:val="dotted" w:sz="4" w:space="0" w:color="auto"/>
              <w:right w:val="nil"/>
            </w:tcBorders>
            <w:hideMark/>
          </w:tcPr>
          <w:p w14:paraId="4ED2402E" w14:textId="77777777" w:rsidR="006C7E2A" w:rsidRPr="006C7E2A" w:rsidRDefault="006C7E2A" w:rsidP="006C7E2A">
            <w:pPr>
              <w:pStyle w:val="TableText"/>
            </w:pPr>
            <w:r w:rsidRPr="006C7E2A">
              <w:t>Revenue = X</w:t>
            </w:r>
          </w:p>
        </w:tc>
        <w:tc>
          <w:tcPr>
            <w:tcW w:w="704" w:type="pct"/>
            <w:tcBorders>
              <w:top w:val="single" w:sz="4" w:space="0" w:color="auto"/>
              <w:left w:val="nil"/>
              <w:bottom w:val="dotted" w:sz="4" w:space="0" w:color="auto"/>
              <w:right w:val="nil"/>
            </w:tcBorders>
            <w:hideMark/>
          </w:tcPr>
          <w:p w14:paraId="72F4FA34" w14:textId="3160E84A" w:rsidR="006C7E2A" w:rsidRPr="006C7E2A" w:rsidRDefault="006C7E2A" w:rsidP="006C7E2A">
            <w:pPr>
              <w:pStyle w:val="TableText"/>
              <w:jc w:val="right"/>
            </w:pPr>
            <w:r w:rsidRPr="006C7E2A">
              <w:t>6,493,766</w:t>
            </w:r>
          </w:p>
        </w:tc>
        <w:tc>
          <w:tcPr>
            <w:tcW w:w="859" w:type="pct"/>
            <w:tcBorders>
              <w:top w:val="single" w:sz="4" w:space="0" w:color="auto"/>
              <w:left w:val="nil"/>
              <w:bottom w:val="dotted" w:sz="4" w:space="0" w:color="auto"/>
              <w:right w:val="nil"/>
            </w:tcBorders>
            <w:hideMark/>
          </w:tcPr>
          <w:p w14:paraId="3B2F8065" w14:textId="753E8D47" w:rsidR="006C7E2A" w:rsidRPr="006C7E2A" w:rsidRDefault="006C7E2A" w:rsidP="006C7E2A">
            <w:pPr>
              <w:pStyle w:val="TableText"/>
              <w:jc w:val="right"/>
            </w:pPr>
            <w:r w:rsidRPr="006C7E2A">
              <w:t>9,494,735</w:t>
            </w:r>
          </w:p>
        </w:tc>
        <w:tc>
          <w:tcPr>
            <w:tcW w:w="782" w:type="pct"/>
            <w:tcBorders>
              <w:top w:val="single" w:sz="4" w:space="0" w:color="auto"/>
              <w:left w:val="nil"/>
              <w:bottom w:val="dotted" w:sz="4" w:space="0" w:color="auto"/>
              <w:right w:val="nil"/>
            </w:tcBorders>
            <w:hideMark/>
          </w:tcPr>
          <w:p w14:paraId="285D84ED" w14:textId="2DF5D264" w:rsidR="006C7E2A" w:rsidRPr="006C7E2A" w:rsidRDefault="006C7E2A" w:rsidP="006C7E2A">
            <w:pPr>
              <w:pStyle w:val="TableText"/>
              <w:jc w:val="right"/>
            </w:pPr>
            <w:r w:rsidRPr="006C7E2A">
              <w:t>11,274,927</w:t>
            </w:r>
          </w:p>
        </w:tc>
        <w:tc>
          <w:tcPr>
            <w:tcW w:w="701" w:type="pct"/>
            <w:tcBorders>
              <w:top w:val="single" w:sz="4" w:space="0" w:color="auto"/>
              <w:left w:val="nil"/>
              <w:bottom w:val="dotted" w:sz="4" w:space="0" w:color="auto"/>
              <w:right w:val="nil"/>
            </w:tcBorders>
            <w:hideMark/>
          </w:tcPr>
          <w:p w14:paraId="26C13098" w14:textId="14B1F747" w:rsidR="006C7E2A" w:rsidRPr="006C7E2A" w:rsidRDefault="006C7E2A" w:rsidP="006C7E2A">
            <w:pPr>
              <w:pStyle w:val="TableText"/>
              <w:jc w:val="right"/>
            </w:pPr>
            <w:r w:rsidRPr="006C7E2A">
              <w:t>12,794,297</w:t>
            </w:r>
          </w:p>
        </w:tc>
      </w:tr>
      <w:tr w:rsidR="006C7E2A" w:rsidRPr="006C7E2A" w14:paraId="1DD55F51" w14:textId="77777777" w:rsidTr="008937BC">
        <w:tc>
          <w:tcPr>
            <w:tcW w:w="1954" w:type="pct"/>
            <w:tcBorders>
              <w:top w:val="dotted" w:sz="4" w:space="0" w:color="auto"/>
              <w:left w:val="nil"/>
              <w:bottom w:val="single" w:sz="4" w:space="0" w:color="auto"/>
              <w:right w:val="nil"/>
            </w:tcBorders>
            <w:hideMark/>
          </w:tcPr>
          <w:p w14:paraId="1EC600F8" w14:textId="77777777" w:rsidR="006C7E2A" w:rsidRPr="006C7E2A" w:rsidRDefault="006C7E2A" w:rsidP="006C7E2A">
            <w:pPr>
              <w:pStyle w:val="TableText"/>
            </w:pPr>
            <w:r w:rsidRPr="006C7E2A">
              <w:t>Expenses = Y</w:t>
            </w:r>
          </w:p>
        </w:tc>
        <w:tc>
          <w:tcPr>
            <w:tcW w:w="704" w:type="pct"/>
            <w:tcBorders>
              <w:top w:val="dotted" w:sz="4" w:space="0" w:color="auto"/>
              <w:left w:val="nil"/>
              <w:bottom w:val="single" w:sz="4" w:space="0" w:color="auto"/>
              <w:right w:val="nil"/>
            </w:tcBorders>
            <w:hideMark/>
          </w:tcPr>
          <w:p w14:paraId="2D1FEB0F" w14:textId="7EE2B00C" w:rsidR="006C7E2A" w:rsidRPr="006C7E2A" w:rsidRDefault="006C7E2A" w:rsidP="006C7E2A">
            <w:pPr>
              <w:pStyle w:val="TableText"/>
              <w:jc w:val="right"/>
            </w:pPr>
            <w:r w:rsidRPr="006C7E2A">
              <w:t>10,527,403</w:t>
            </w:r>
          </w:p>
        </w:tc>
        <w:tc>
          <w:tcPr>
            <w:tcW w:w="859" w:type="pct"/>
            <w:tcBorders>
              <w:top w:val="dotted" w:sz="4" w:space="0" w:color="auto"/>
              <w:left w:val="nil"/>
              <w:bottom w:val="single" w:sz="4" w:space="0" w:color="auto"/>
              <w:right w:val="nil"/>
            </w:tcBorders>
            <w:hideMark/>
          </w:tcPr>
          <w:p w14:paraId="3C89646F" w14:textId="21C3C36D" w:rsidR="006C7E2A" w:rsidRPr="006C7E2A" w:rsidRDefault="006C7E2A" w:rsidP="006C7E2A">
            <w:pPr>
              <w:pStyle w:val="TableText"/>
              <w:jc w:val="right"/>
            </w:pPr>
            <w:r w:rsidRPr="006C7E2A">
              <w:t>10,916,857</w:t>
            </w:r>
          </w:p>
        </w:tc>
        <w:tc>
          <w:tcPr>
            <w:tcW w:w="782" w:type="pct"/>
            <w:tcBorders>
              <w:top w:val="dotted" w:sz="4" w:space="0" w:color="auto"/>
              <w:left w:val="nil"/>
              <w:bottom w:val="single" w:sz="4" w:space="0" w:color="auto"/>
              <w:right w:val="nil"/>
            </w:tcBorders>
            <w:hideMark/>
          </w:tcPr>
          <w:p w14:paraId="7DDEC2D3" w14:textId="7ABFB0EF" w:rsidR="006C7E2A" w:rsidRPr="006C7E2A" w:rsidRDefault="006C7E2A" w:rsidP="006C7E2A">
            <w:pPr>
              <w:pStyle w:val="TableText"/>
              <w:jc w:val="right"/>
            </w:pPr>
            <w:r w:rsidRPr="006C7E2A">
              <w:t>11,456,216</w:t>
            </w:r>
          </w:p>
        </w:tc>
        <w:tc>
          <w:tcPr>
            <w:tcW w:w="701" w:type="pct"/>
            <w:tcBorders>
              <w:top w:val="dotted" w:sz="4" w:space="0" w:color="auto"/>
              <w:left w:val="nil"/>
              <w:bottom w:val="single" w:sz="4" w:space="0" w:color="auto"/>
              <w:right w:val="nil"/>
            </w:tcBorders>
            <w:hideMark/>
          </w:tcPr>
          <w:p w14:paraId="65E503F3" w14:textId="5834FFAD" w:rsidR="006C7E2A" w:rsidRPr="006C7E2A" w:rsidRDefault="006C7E2A" w:rsidP="006C7E2A">
            <w:pPr>
              <w:pStyle w:val="TableText"/>
              <w:jc w:val="right"/>
            </w:pPr>
            <w:r w:rsidRPr="006C7E2A">
              <w:t>12,029,771</w:t>
            </w:r>
          </w:p>
        </w:tc>
      </w:tr>
      <w:tr w:rsidR="006C7E2A" w:rsidRPr="006C7E2A" w14:paraId="1AD156D4" w14:textId="77777777" w:rsidTr="008937BC">
        <w:tc>
          <w:tcPr>
            <w:tcW w:w="1954" w:type="pct"/>
            <w:tcBorders>
              <w:top w:val="single" w:sz="4" w:space="0" w:color="auto"/>
              <w:left w:val="nil"/>
              <w:bottom w:val="single" w:sz="4" w:space="0" w:color="auto"/>
              <w:right w:val="nil"/>
            </w:tcBorders>
            <w:hideMark/>
          </w:tcPr>
          <w:p w14:paraId="1DB65855" w14:textId="77777777" w:rsidR="006C7E2A" w:rsidRPr="00723450" w:rsidRDefault="006C7E2A" w:rsidP="006C7E2A">
            <w:pPr>
              <w:pStyle w:val="TableText"/>
              <w:rPr>
                <w:rStyle w:val="Strong"/>
              </w:rPr>
            </w:pPr>
            <w:r w:rsidRPr="006C7E2A">
              <w:rPr>
                <w:rStyle w:val="Strong"/>
              </w:rPr>
              <w:t>Balance = X – Y</w:t>
            </w:r>
          </w:p>
        </w:tc>
        <w:tc>
          <w:tcPr>
            <w:tcW w:w="704" w:type="pct"/>
            <w:tcBorders>
              <w:top w:val="single" w:sz="4" w:space="0" w:color="auto"/>
              <w:left w:val="nil"/>
              <w:bottom w:val="single" w:sz="4" w:space="0" w:color="auto"/>
              <w:right w:val="nil"/>
            </w:tcBorders>
            <w:hideMark/>
          </w:tcPr>
          <w:p w14:paraId="7767674D" w14:textId="7C8AA2BB" w:rsidR="006C7E2A" w:rsidRPr="006C7E2A" w:rsidRDefault="006C7E2A" w:rsidP="006C7E2A">
            <w:pPr>
              <w:pStyle w:val="TableText"/>
              <w:jc w:val="right"/>
              <w:rPr>
                <w:rStyle w:val="Strong"/>
              </w:rPr>
            </w:pPr>
            <w:r w:rsidRPr="008937BC">
              <w:rPr>
                <w:rStyle w:val="Strong"/>
              </w:rPr>
              <w:t>(4,033,636)</w:t>
            </w:r>
          </w:p>
        </w:tc>
        <w:tc>
          <w:tcPr>
            <w:tcW w:w="859" w:type="pct"/>
            <w:tcBorders>
              <w:top w:val="single" w:sz="4" w:space="0" w:color="auto"/>
              <w:left w:val="nil"/>
              <w:bottom w:val="single" w:sz="4" w:space="0" w:color="auto"/>
              <w:right w:val="nil"/>
            </w:tcBorders>
            <w:hideMark/>
          </w:tcPr>
          <w:p w14:paraId="54F2FE8A" w14:textId="7D79C220" w:rsidR="006C7E2A" w:rsidRPr="006C7E2A" w:rsidRDefault="006C7E2A" w:rsidP="006C7E2A">
            <w:pPr>
              <w:pStyle w:val="TableText"/>
              <w:jc w:val="right"/>
              <w:rPr>
                <w:rStyle w:val="Strong"/>
              </w:rPr>
            </w:pPr>
            <w:r w:rsidRPr="008937BC">
              <w:rPr>
                <w:rStyle w:val="Strong"/>
              </w:rPr>
              <w:t>(1,422,122)</w:t>
            </w:r>
          </w:p>
        </w:tc>
        <w:tc>
          <w:tcPr>
            <w:tcW w:w="782" w:type="pct"/>
            <w:tcBorders>
              <w:top w:val="single" w:sz="4" w:space="0" w:color="auto"/>
              <w:left w:val="nil"/>
              <w:bottom w:val="single" w:sz="4" w:space="0" w:color="auto"/>
              <w:right w:val="nil"/>
            </w:tcBorders>
            <w:hideMark/>
          </w:tcPr>
          <w:p w14:paraId="091BE0DC" w14:textId="56A9D771" w:rsidR="006C7E2A" w:rsidRPr="006C7E2A" w:rsidRDefault="006C7E2A" w:rsidP="006C7E2A">
            <w:pPr>
              <w:pStyle w:val="TableText"/>
              <w:jc w:val="right"/>
              <w:rPr>
                <w:rStyle w:val="Strong"/>
              </w:rPr>
            </w:pPr>
            <w:r w:rsidRPr="008937BC">
              <w:rPr>
                <w:rStyle w:val="Strong"/>
              </w:rPr>
              <w:t>(181,288)</w:t>
            </w:r>
          </w:p>
        </w:tc>
        <w:tc>
          <w:tcPr>
            <w:tcW w:w="701" w:type="pct"/>
            <w:tcBorders>
              <w:top w:val="single" w:sz="4" w:space="0" w:color="auto"/>
              <w:left w:val="nil"/>
              <w:bottom w:val="single" w:sz="4" w:space="0" w:color="auto"/>
              <w:right w:val="nil"/>
            </w:tcBorders>
            <w:hideMark/>
          </w:tcPr>
          <w:p w14:paraId="0D8DFA8B" w14:textId="3E5FBF0A" w:rsidR="006C7E2A" w:rsidRPr="006C7E2A" w:rsidRDefault="006C7E2A" w:rsidP="006C7E2A">
            <w:pPr>
              <w:pStyle w:val="TableText"/>
              <w:jc w:val="right"/>
              <w:rPr>
                <w:rStyle w:val="Strong"/>
              </w:rPr>
            </w:pPr>
            <w:r w:rsidRPr="008937BC">
              <w:rPr>
                <w:rStyle w:val="Strong"/>
              </w:rPr>
              <w:t xml:space="preserve"> 764,526 </w:t>
            </w:r>
          </w:p>
        </w:tc>
      </w:tr>
      <w:tr w:rsidR="006C7E2A" w:rsidRPr="006C7E2A" w14:paraId="5FA0EB47" w14:textId="77777777" w:rsidTr="008937BC">
        <w:tc>
          <w:tcPr>
            <w:tcW w:w="1954" w:type="pct"/>
            <w:tcBorders>
              <w:top w:val="single" w:sz="4" w:space="0" w:color="auto"/>
              <w:left w:val="nil"/>
              <w:bottom w:val="dotted" w:sz="4" w:space="0" w:color="auto"/>
              <w:right w:val="nil"/>
            </w:tcBorders>
            <w:hideMark/>
          </w:tcPr>
          <w:p w14:paraId="6BFCBC8F" w14:textId="77777777" w:rsidR="006C7E2A" w:rsidRPr="006C7E2A" w:rsidRDefault="006C7E2A" w:rsidP="006C7E2A">
            <w:pPr>
              <w:pStyle w:val="TableText"/>
            </w:pPr>
            <w:r w:rsidRPr="006C7E2A">
              <w:t>Remissions, rebates and adjustments = Z</w:t>
            </w:r>
          </w:p>
        </w:tc>
        <w:tc>
          <w:tcPr>
            <w:tcW w:w="704" w:type="pct"/>
            <w:tcBorders>
              <w:top w:val="single" w:sz="4" w:space="0" w:color="auto"/>
              <w:left w:val="nil"/>
              <w:bottom w:val="dotted" w:sz="4" w:space="0" w:color="auto"/>
              <w:right w:val="nil"/>
            </w:tcBorders>
            <w:hideMark/>
          </w:tcPr>
          <w:p w14:paraId="59DAA6F8" w14:textId="047400BA" w:rsidR="006C7E2A" w:rsidRPr="006C7E2A" w:rsidRDefault="006C7E2A" w:rsidP="006C7E2A">
            <w:pPr>
              <w:pStyle w:val="TableText"/>
              <w:jc w:val="right"/>
            </w:pPr>
            <w:r w:rsidRPr="006C7E2A">
              <w:t>4,033,636</w:t>
            </w:r>
          </w:p>
        </w:tc>
        <w:tc>
          <w:tcPr>
            <w:tcW w:w="859" w:type="pct"/>
            <w:tcBorders>
              <w:top w:val="single" w:sz="4" w:space="0" w:color="auto"/>
              <w:left w:val="nil"/>
              <w:bottom w:val="dotted" w:sz="4" w:space="0" w:color="auto"/>
              <w:right w:val="nil"/>
            </w:tcBorders>
            <w:hideMark/>
          </w:tcPr>
          <w:p w14:paraId="34445D06" w14:textId="2DD140BD" w:rsidR="006C7E2A" w:rsidRPr="006C7E2A" w:rsidRDefault="006C7E2A" w:rsidP="006C7E2A">
            <w:pPr>
              <w:pStyle w:val="TableText"/>
              <w:jc w:val="right"/>
            </w:pPr>
            <w:r w:rsidRPr="006C7E2A">
              <w:t>1,422,122</w:t>
            </w:r>
          </w:p>
        </w:tc>
        <w:tc>
          <w:tcPr>
            <w:tcW w:w="782" w:type="pct"/>
            <w:tcBorders>
              <w:top w:val="single" w:sz="4" w:space="0" w:color="auto"/>
              <w:left w:val="nil"/>
              <w:bottom w:val="dotted" w:sz="4" w:space="0" w:color="auto"/>
              <w:right w:val="nil"/>
            </w:tcBorders>
            <w:hideMark/>
          </w:tcPr>
          <w:p w14:paraId="3DB17C5B" w14:textId="4569421E" w:rsidR="006C7E2A" w:rsidRPr="006C7E2A" w:rsidRDefault="006C7E2A" w:rsidP="006C7E2A">
            <w:pPr>
              <w:pStyle w:val="TableText"/>
              <w:jc w:val="right"/>
            </w:pPr>
            <w:r w:rsidRPr="006C7E2A">
              <w:t>100,664</w:t>
            </w:r>
          </w:p>
        </w:tc>
        <w:tc>
          <w:tcPr>
            <w:tcW w:w="701" w:type="pct"/>
            <w:tcBorders>
              <w:top w:val="single" w:sz="4" w:space="0" w:color="auto"/>
              <w:left w:val="nil"/>
              <w:bottom w:val="dotted" w:sz="4" w:space="0" w:color="auto"/>
              <w:right w:val="nil"/>
            </w:tcBorders>
            <w:hideMark/>
          </w:tcPr>
          <w:p w14:paraId="5CFC8C58" w14:textId="17BDF7CE" w:rsidR="006C7E2A" w:rsidRPr="006C7E2A" w:rsidRDefault="006C7E2A" w:rsidP="006C7E2A">
            <w:pPr>
              <w:pStyle w:val="TableText"/>
              <w:jc w:val="right"/>
            </w:pPr>
            <w:r w:rsidRPr="006C7E2A">
              <w:t>0</w:t>
            </w:r>
          </w:p>
        </w:tc>
      </w:tr>
      <w:tr w:rsidR="006C7E2A" w:rsidRPr="006C7E2A" w14:paraId="2EB774BD" w14:textId="77777777" w:rsidTr="008937BC">
        <w:tc>
          <w:tcPr>
            <w:tcW w:w="1954" w:type="pct"/>
            <w:tcBorders>
              <w:top w:val="dotted" w:sz="4" w:space="0" w:color="auto"/>
              <w:left w:val="nil"/>
              <w:bottom w:val="single" w:sz="4" w:space="0" w:color="auto"/>
              <w:right w:val="nil"/>
            </w:tcBorders>
            <w:hideMark/>
          </w:tcPr>
          <w:p w14:paraId="3B6EDE6E" w14:textId="77777777" w:rsidR="006C7E2A" w:rsidRPr="006C7E2A" w:rsidRDefault="006C7E2A" w:rsidP="006C7E2A">
            <w:pPr>
              <w:pStyle w:val="TableText"/>
            </w:pPr>
            <w:r w:rsidRPr="006C7E2A">
              <w:t>Net balance = balance + Z</w:t>
            </w:r>
          </w:p>
        </w:tc>
        <w:tc>
          <w:tcPr>
            <w:tcW w:w="704" w:type="pct"/>
            <w:tcBorders>
              <w:top w:val="dotted" w:sz="4" w:space="0" w:color="auto"/>
              <w:left w:val="nil"/>
              <w:bottom w:val="single" w:sz="4" w:space="0" w:color="auto"/>
              <w:right w:val="nil"/>
            </w:tcBorders>
            <w:hideMark/>
          </w:tcPr>
          <w:p w14:paraId="2758016C" w14:textId="1FF1DF16" w:rsidR="006C7E2A" w:rsidRPr="006C7E2A" w:rsidRDefault="006C7E2A" w:rsidP="006C7E2A">
            <w:pPr>
              <w:pStyle w:val="TableText"/>
              <w:jc w:val="right"/>
            </w:pPr>
            <w:r w:rsidRPr="006C7E2A">
              <w:t>0</w:t>
            </w:r>
          </w:p>
        </w:tc>
        <w:tc>
          <w:tcPr>
            <w:tcW w:w="859" w:type="pct"/>
            <w:tcBorders>
              <w:top w:val="dotted" w:sz="4" w:space="0" w:color="auto"/>
              <w:left w:val="nil"/>
              <w:bottom w:val="single" w:sz="4" w:space="0" w:color="auto"/>
              <w:right w:val="nil"/>
            </w:tcBorders>
            <w:hideMark/>
          </w:tcPr>
          <w:p w14:paraId="763B4F71" w14:textId="0680014D" w:rsidR="006C7E2A" w:rsidRPr="006C7E2A" w:rsidRDefault="006C7E2A" w:rsidP="006C7E2A">
            <w:pPr>
              <w:pStyle w:val="TableText"/>
              <w:jc w:val="right"/>
            </w:pPr>
            <w:r w:rsidRPr="006C7E2A">
              <w:t>0</w:t>
            </w:r>
          </w:p>
        </w:tc>
        <w:tc>
          <w:tcPr>
            <w:tcW w:w="782" w:type="pct"/>
            <w:tcBorders>
              <w:top w:val="dotted" w:sz="4" w:space="0" w:color="auto"/>
              <w:left w:val="nil"/>
              <w:bottom w:val="single" w:sz="4" w:space="0" w:color="auto"/>
              <w:right w:val="nil"/>
            </w:tcBorders>
            <w:hideMark/>
          </w:tcPr>
          <w:p w14:paraId="5C639FA1" w14:textId="6F9B0B6D" w:rsidR="006C7E2A" w:rsidRPr="006C7E2A" w:rsidRDefault="008D25DF" w:rsidP="006C7E2A">
            <w:pPr>
              <w:pStyle w:val="TableText"/>
              <w:jc w:val="right"/>
            </w:pPr>
            <w:r>
              <w:t>(</w:t>
            </w:r>
            <w:r w:rsidR="006C7E2A" w:rsidRPr="006C7E2A">
              <w:t>80,624</w:t>
            </w:r>
            <w:r>
              <w:t>)</w:t>
            </w:r>
          </w:p>
        </w:tc>
        <w:tc>
          <w:tcPr>
            <w:tcW w:w="701" w:type="pct"/>
            <w:tcBorders>
              <w:top w:val="dotted" w:sz="4" w:space="0" w:color="auto"/>
              <w:left w:val="nil"/>
              <w:bottom w:val="single" w:sz="4" w:space="0" w:color="auto"/>
              <w:right w:val="nil"/>
            </w:tcBorders>
            <w:hideMark/>
          </w:tcPr>
          <w:p w14:paraId="74EFCDCF" w14:textId="552D1992" w:rsidR="006C7E2A" w:rsidRPr="006C7E2A" w:rsidRDefault="006C7E2A" w:rsidP="006C7E2A">
            <w:pPr>
              <w:pStyle w:val="TableText"/>
              <w:jc w:val="right"/>
            </w:pPr>
            <w:r w:rsidRPr="006C7E2A">
              <w:t>764,526</w:t>
            </w:r>
          </w:p>
        </w:tc>
      </w:tr>
      <w:tr w:rsidR="006C7E2A" w14:paraId="1D4CC245" w14:textId="77777777" w:rsidTr="008937BC">
        <w:tc>
          <w:tcPr>
            <w:tcW w:w="1954" w:type="pct"/>
            <w:tcBorders>
              <w:top w:val="single" w:sz="4" w:space="0" w:color="auto"/>
              <w:left w:val="nil"/>
              <w:bottom w:val="single" w:sz="4" w:space="0" w:color="auto"/>
              <w:right w:val="nil"/>
            </w:tcBorders>
            <w:hideMark/>
          </w:tcPr>
          <w:p w14:paraId="4F0637EC" w14:textId="77777777" w:rsidR="006C7E2A" w:rsidRPr="00723450" w:rsidRDefault="006C7E2A" w:rsidP="006C7E2A">
            <w:pPr>
              <w:pStyle w:val="TableText"/>
              <w:rPr>
                <w:rStyle w:val="Strong"/>
              </w:rPr>
            </w:pPr>
            <w:r w:rsidRPr="006C7E2A">
              <w:rPr>
                <w:rStyle w:val="Strong"/>
              </w:rPr>
              <w:t>Balance</w:t>
            </w:r>
          </w:p>
        </w:tc>
        <w:tc>
          <w:tcPr>
            <w:tcW w:w="704" w:type="pct"/>
            <w:tcBorders>
              <w:top w:val="single" w:sz="4" w:space="0" w:color="auto"/>
              <w:left w:val="nil"/>
              <w:bottom w:val="single" w:sz="4" w:space="0" w:color="auto"/>
              <w:right w:val="nil"/>
            </w:tcBorders>
            <w:hideMark/>
          </w:tcPr>
          <w:p w14:paraId="3C9C3A97" w14:textId="633D182B" w:rsidR="006C7E2A" w:rsidRPr="006C7E2A" w:rsidRDefault="006C7E2A" w:rsidP="006C7E2A">
            <w:pPr>
              <w:pStyle w:val="TableText"/>
              <w:jc w:val="right"/>
              <w:rPr>
                <w:rStyle w:val="Strong"/>
              </w:rPr>
            </w:pPr>
            <w:r w:rsidRPr="008937BC">
              <w:rPr>
                <w:rStyle w:val="Strong"/>
              </w:rPr>
              <w:t>(8,766,095)</w:t>
            </w:r>
          </w:p>
        </w:tc>
        <w:tc>
          <w:tcPr>
            <w:tcW w:w="859" w:type="pct"/>
            <w:tcBorders>
              <w:top w:val="single" w:sz="4" w:space="0" w:color="auto"/>
              <w:left w:val="nil"/>
              <w:bottom w:val="single" w:sz="4" w:space="0" w:color="auto"/>
              <w:right w:val="nil"/>
            </w:tcBorders>
            <w:hideMark/>
          </w:tcPr>
          <w:p w14:paraId="5080953C" w14:textId="67D52BBE" w:rsidR="006C7E2A" w:rsidRPr="006C7E2A" w:rsidRDefault="006C7E2A" w:rsidP="006C7E2A">
            <w:pPr>
              <w:pStyle w:val="TableText"/>
              <w:jc w:val="right"/>
              <w:rPr>
                <w:rStyle w:val="Strong"/>
              </w:rPr>
            </w:pPr>
            <w:r w:rsidRPr="008937BC">
              <w:rPr>
                <w:rStyle w:val="Strong"/>
              </w:rPr>
              <w:t>(8,766,095)</w:t>
            </w:r>
          </w:p>
        </w:tc>
        <w:tc>
          <w:tcPr>
            <w:tcW w:w="782" w:type="pct"/>
            <w:tcBorders>
              <w:top w:val="single" w:sz="4" w:space="0" w:color="auto"/>
              <w:left w:val="nil"/>
              <w:bottom w:val="single" w:sz="4" w:space="0" w:color="auto"/>
              <w:right w:val="nil"/>
            </w:tcBorders>
            <w:hideMark/>
          </w:tcPr>
          <w:p w14:paraId="6FEA0B97" w14:textId="634FAE7E" w:rsidR="006C7E2A" w:rsidRPr="006C7E2A" w:rsidRDefault="006C7E2A" w:rsidP="006C7E2A">
            <w:pPr>
              <w:pStyle w:val="TableText"/>
              <w:jc w:val="right"/>
              <w:rPr>
                <w:rStyle w:val="Strong"/>
              </w:rPr>
            </w:pPr>
            <w:r w:rsidRPr="008937BC">
              <w:rPr>
                <w:rStyle w:val="Strong"/>
              </w:rPr>
              <w:t>(8,846,719)</w:t>
            </w:r>
          </w:p>
        </w:tc>
        <w:tc>
          <w:tcPr>
            <w:tcW w:w="701" w:type="pct"/>
            <w:tcBorders>
              <w:top w:val="single" w:sz="4" w:space="0" w:color="auto"/>
              <w:left w:val="nil"/>
              <w:bottom w:val="single" w:sz="4" w:space="0" w:color="auto"/>
              <w:right w:val="nil"/>
            </w:tcBorders>
            <w:hideMark/>
          </w:tcPr>
          <w:p w14:paraId="00CB962C" w14:textId="09ED4718" w:rsidR="006C7E2A" w:rsidRPr="006C7E2A" w:rsidRDefault="006C7E2A" w:rsidP="006C7E2A">
            <w:pPr>
              <w:pStyle w:val="TableText"/>
              <w:jc w:val="right"/>
              <w:rPr>
                <w:rStyle w:val="Strong"/>
              </w:rPr>
            </w:pPr>
            <w:r w:rsidRPr="008937BC">
              <w:rPr>
                <w:rStyle w:val="Strong"/>
              </w:rPr>
              <w:t>(8,082,193)</w:t>
            </w:r>
          </w:p>
        </w:tc>
      </w:tr>
    </w:tbl>
    <w:p w14:paraId="4A7D2E85" w14:textId="0D0D992D" w:rsidR="00EB518C" w:rsidRDefault="00EB518C" w:rsidP="008937BC">
      <w:pPr>
        <w:pStyle w:val="Heading3"/>
        <w:spacing w:before="240"/>
      </w:pPr>
      <w:bookmarkStart w:id="171" w:name="_Toc193283168"/>
      <w:bookmarkStart w:id="172" w:name="_Toc170293386"/>
      <w:bookmarkStart w:id="173" w:name="_Toc193794435"/>
      <w:bookmarkStart w:id="174" w:name="_Toc198898889"/>
      <w:bookmarkEnd w:id="169"/>
      <w:bookmarkEnd w:id="171"/>
      <w:r>
        <w:t xml:space="preserve">Summary financial performance </w:t>
      </w:r>
      <w:bookmarkEnd w:id="172"/>
      <w:r w:rsidR="006C7E2A">
        <w:t>2023</w:t>
      </w:r>
      <w:r w:rsidR="009F76C6" w:rsidRPr="007E7F52">
        <w:t>–</w:t>
      </w:r>
      <w:r w:rsidR="006C7E2A">
        <w:t>24</w:t>
      </w:r>
      <w:bookmarkEnd w:id="173"/>
      <w:bookmarkEnd w:id="174"/>
    </w:p>
    <w:p w14:paraId="3F6E8397" w14:textId="591E7E66" w:rsidR="00EB518C" w:rsidRPr="00690929" w:rsidRDefault="00EB518C" w:rsidP="00EB518C">
      <w:pPr>
        <w:rPr>
          <w:lang w:eastAsia="ja-JP"/>
        </w:rPr>
      </w:pPr>
      <w:r w:rsidRPr="00690929">
        <w:t xml:space="preserve">The horticulture exports </w:t>
      </w:r>
      <w:r w:rsidR="006C7E2A" w:rsidRPr="008937BC">
        <w:t>2023</w:t>
      </w:r>
      <w:r w:rsidR="009F76C6" w:rsidRPr="007E7F52">
        <w:t>–</w:t>
      </w:r>
      <w:r w:rsidR="006C7E2A" w:rsidRPr="008937BC">
        <w:t>24</w:t>
      </w:r>
      <w:r w:rsidRPr="00690929">
        <w:t xml:space="preserve"> CRIS forecast a deficit of $</w:t>
      </w:r>
      <w:r w:rsidR="006C7E2A" w:rsidRPr="008937BC">
        <w:t>0.4</w:t>
      </w:r>
      <w:r w:rsidRPr="00690929">
        <w:t> million. The department’s actual spend was $</w:t>
      </w:r>
      <w:r w:rsidR="006C7E2A" w:rsidRPr="008937BC">
        <w:t>12.0</w:t>
      </w:r>
      <w:r w:rsidRPr="00690929">
        <w:t> million with cost recovery from participants returning $</w:t>
      </w:r>
      <w:r w:rsidR="006C7E2A" w:rsidRPr="008937BC">
        <w:t>12.8</w:t>
      </w:r>
      <w:r w:rsidRPr="00690929">
        <w:t xml:space="preserve"> million, resulting in a </w:t>
      </w:r>
      <w:r w:rsidR="006C7E2A" w:rsidRPr="008937BC">
        <w:t>surplus</w:t>
      </w:r>
      <w:r w:rsidRPr="00690929">
        <w:t xml:space="preserve"> of $0.</w:t>
      </w:r>
      <w:r w:rsidR="006C7E2A" w:rsidRPr="008937BC">
        <w:t>8</w:t>
      </w:r>
      <w:r w:rsidRPr="00690929">
        <w:t> millio</w:t>
      </w:r>
      <w:r w:rsidRPr="008E75F8">
        <w:t xml:space="preserve">n in </w:t>
      </w:r>
      <w:hyperlink w:anchor="Table_8" w:history="1">
        <w:r w:rsidR="008E75F8" w:rsidRPr="008E75F8">
          <w:rPr>
            <w:rStyle w:val="Hyperlink"/>
            <w:color w:val="auto"/>
            <w:u w:val="none"/>
          </w:rPr>
          <w:t>(Table 8).</w:t>
        </w:r>
      </w:hyperlink>
    </w:p>
    <w:p w14:paraId="0DBAFCCB" w14:textId="28C69BC8" w:rsidR="00EB518C" w:rsidRPr="006C7E2A" w:rsidRDefault="002A648A" w:rsidP="002A648A">
      <w:pPr>
        <w:pStyle w:val="Caption"/>
      </w:pPr>
      <w:bookmarkStart w:id="175" w:name="_Ref198899789"/>
      <w:bookmarkStart w:id="176" w:name="_Toc156297925"/>
      <w:bookmarkStart w:id="177" w:name="_Toc161657023"/>
      <w:bookmarkStart w:id="178" w:name="_Toc162948406"/>
      <w:bookmarkStart w:id="179" w:name="_Toc163028282"/>
      <w:bookmarkStart w:id="180" w:name="_Toc163129551"/>
      <w:bookmarkStart w:id="181" w:name="_Toc170293409"/>
      <w:bookmarkStart w:id="182" w:name="_Toc201226999"/>
      <w:r>
        <w:t xml:space="preserve">Table </w:t>
      </w:r>
      <w:r>
        <w:fldChar w:fldCharType="begin"/>
      </w:r>
      <w:r>
        <w:instrText xml:space="preserve"> SEQ Table \* ARABIC </w:instrText>
      </w:r>
      <w:r>
        <w:fldChar w:fldCharType="separate"/>
      </w:r>
      <w:r w:rsidR="0001784A">
        <w:rPr>
          <w:noProof/>
        </w:rPr>
        <w:t>8</w:t>
      </w:r>
      <w:r>
        <w:fldChar w:fldCharType="end"/>
      </w:r>
      <w:bookmarkEnd w:id="175"/>
      <w:r>
        <w:t xml:space="preserve"> </w:t>
      </w:r>
      <w:r w:rsidR="00EB518C" w:rsidRPr="006C7E2A">
        <w:t xml:space="preserve">horticulture export arrangement summary of financial position, </w:t>
      </w:r>
      <w:bookmarkEnd w:id="176"/>
      <w:bookmarkEnd w:id="177"/>
      <w:bookmarkEnd w:id="178"/>
      <w:bookmarkEnd w:id="179"/>
      <w:bookmarkEnd w:id="180"/>
      <w:bookmarkEnd w:id="181"/>
      <w:r w:rsidR="006C7E2A" w:rsidRPr="008937BC">
        <w:t>2023</w:t>
      </w:r>
      <w:r w:rsidR="009F76C6" w:rsidRPr="007E7F52">
        <w:t>–</w:t>
      </w:r>
      <w:r w:rsidR="006C7E2A" w:rsidRPr="008937BC">
        <w:t>24</w:t>
      </w:r>
      <w:bookmarkEnd w:id="182"/>
    </w:p>
    <w:tbl>
      <w:tblPr>
        <w:tblW w:w="5000" w:type="pct"/>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2949"/>
        <w:gridCol w:w="2297"/>
        <w:gridCol w:w="1134"/>
        <w:gridCol w:w="1275"/>
        <w:gridCol w:w="1415"/>
      </w:tblGrid>
      <w:tr w:rsidR="006C7E2A" w:rsidRPr="006C7E2A" w14:paraId="6754F788" w14:textId="77777777" w:rsidTr="00D12B2D">
        <w:trPr>
          <w:cantSplit/>
          <w:tblHeader/>
        </w:trPr>
        <w:tc>
          <w:tcPr>
            <w:tcW w:w="1626" w:type="pct"/>
            <w:tcBorders>
              <w:top w:val="single" w:sz="4" w:space="0" w:color="auto"/>
              <w:left w:val="nil"/>
              <w:bottom w:val="single" w:sz="4" w:space="0" w:color="auto"/>
              <w:right w:val="nil"/>
            </w:tcBorders>
            <w:tcMar>
              <w:top w:w="0" w:type="dxa"/>
              <w:left w:w="108" w:type="dxa"/>
              <w:bottom w:w="0" w:type="dxa"/>
              <w:right w:w="108" w:type="dxa"/>
            </w:tcMar>
            <w:hideMark/>
          </w:tcPr>
          <w:p w14:paraId="5980AF6B" w14:textId="77777777" w:rsidR="00EB518C" w:rsidRPr="006C7E2A" w:rsidRDefault="00EB518C">
            <w:pPr>
              <w:pStyle w:val="TableHeading"/>
            </w:pPr>
            <w:bookmarkStart w:id="183" w:name="Table_8"/>
            <w:bookmarkEnd w:id="183"/>
            <w:r w:rsidRPr="006C7E2A">
              <w:t>Category</w:t>
            </w:r>
          </w:p>
        </w:tc>
        <w:tc>
          <w:tcPr>
            <w:tcW w:w="1266" w:type="pct"/>
            <w:tcBorders>
              <w:top w:val="single" w:sz="4" w:space="0" w:color="auto"/>
              <w:left w:val="nil"/>
              <w:bottom w:val="single" w:sz="4" w:space="0" w:color="auto"/>
              <w:right w:val="nil"/>
            </w:tcBorders>
            <w:tcMar>
              <w:top w:w="0" w:type="dxa"/>
              <w:left w:w="108" w:type="dxa"/>
              <w:bottom w:w="0" w:type="dxa"/>
              <w:right w:w="108" w:type="dxa"/>
            </w:tcMar>
            <w:hideMark/>
          </w:tcPr>
          <w:p w14:paraId="38D67423" w14:textId="77777777" w:rsidR="00EB518C" w:rsidRPr="006C7E2A" w:rsidRDefault="00EB518C">
            <w:pPr>
              <w:pStyle w:val="TableHeading"/>
              <w:jc w:val="right"/>
            </w:pPr>
            <w:r w:rsidRPr="006C7E2A">
              <w:t>Actual ($)</w:t>
            </w:r>
          </w:p>
        </w:tc>
        <w:tc>
          <w:tcPr>
            <w:tcW w:w="625" w:type="pct"/>
            <w:tcBorders>
              <w:top w:val="single" w:sz="4" w:space="0" w:color="auto"/>
              <w:left w:val="nil"/>
              <w:bottom w:val="single" w:sz="4" w:space="0" w:color="auto"/>
              <w:right w:val="nil"/>
            </w:tcBorders>
            <w:tcMar>
              <w:top w:w="0" w:type="dxa"/>
              <w:left w:w="108" w:type="dxa"/>
              <w:bottom w:w="0" w:type="dxa"/>
              <w:right w:w="108" w:type="dxa"/>
            </w:tcMar>
            <w:hideMark/>
          </w:tcPr>
          <w:p w14:paraId="16323B82" w14:textId="77777777" w:rsidR="00EB518C" w:rsidRPr="006C7E2A" w:rsidRDefault="00EB518C">
            <w:pPr>
              <w:pStyle w:val="TableHeading"/>
              <w:jc w:val="right"/>
            </w:pPr>
            <w:r w:rsidRPr="006C7E2A">
              <w:t>CRIS ($)</w:t>
            </w:r>
          </w:p>
        </w:tc>
        <w:tc>
          <w:tcPr>
            <w:tcW w:w="703" w:type="pct"/>
            <w:tcBorders>
              <w:top w:val="single" w:sz="4" w:space="0" w:color="auto"/>
              <w:left w:val="nil"/>
              <w:bottom w:val="single" w:sz="4" w:space="0" w:color="auto"/>
              <w:right w:val="nil"/>
            </w:tcBorders>
            <w:hideMark/>
          </w:tcPr>
          <w:p w14:paraId="2021A712" w14:textId="77777777" w:rsidR="00EB518C" w:rsidRPr="006C7E2A" w:rsidRDefault="00EB518C">
            <w:pPr>
              <w:pStyle w:val="TableHeading"/>
              <w:jc w:val="right"/>
            </w:pPr>
            <w:r w:rsidRPr="006C7E2A">
              <w:t>Variance ($)</w:t>
            </w:r>
          </w:p>
        </w:tc>
        <w:tc>
          <w:tcPr>
            <w:tcW w:w="780" w:type="pct"/>
            <w:tcBorders>
              <w:top w:val="single" w:sz="4" w:space="0" w:color="auto"/>
              <w:left w:val="nil"/>
              <w:bottom w:val="single" w:sz="4" w:space="0" w:color="auto"/>
              <w:right w:val="nil"/>
            </w:tcBorders>
            <w:tcMar>
              <w:top w:w="0" w:type="dxa"/>
              <w:left w:w="108" w:type="dxa"/>
              <w:bottom w:w="0" w:type="dxa"/>
              <w:right w:w="108" w:type="dxa"/>
            </w:tcMar>
            <w:hideMark/>
          </w:tcPr>
          <w:p w14:paraId="461323E6" w14:textId="77777777" w:rsidR="00EB518C" w:rsidRPr="006C7E2A" w:rsidRDefault="00EB518C">
            <w:pPr>
              <w:pStyle w:val="TableHeading"/>
              <w:jc w:val="right"/>
            </w:pPr>
            <w:r w:rsidRPr="006C7E2A">
              <w:t>Variance (%)</w:t>
            </w:r>
          </w:p>
        </w:tc>
      </w:tr>
      <w:tr w:rsidR="006C7E2A" w:rsidRPr="006C7E2A" w14:paraId="052F075C" w14:textId="77777777" w:rsidTr="00D12B2D">
        <w:tc>
          <w:tcPr>
            <w:tcW w:w="1626" w:type="pct"/>
            <w:tcBorders>
              <w:top w:val="single" w:sz="4" w:space="0" w:color="auto"/>
              <w:left w:val="nil"/>
              <w:bottom w:val="dotted" w:sz="4" w:space="0" w:color="auto"/>
              <w:right w:val="nil"/>
            </w:tcBorders>
            <w:tcMar>
              <w:top w:w="0" w:type="dxa"/>
              <w:left w:w="108" w:type="dxa"/>
              <w:bottom w:w="0" w:type="dxa"/>
              <w:right w:w="108" w:type="dxa"/>
            </w:tcMar>
            <w:hideMark/>
          </w:tcPr>
          <w:p w14:paraId="41A91976" w14:textId="77777777" w:rsidR="006C7E2A" w:rsidRPr="006C7E2A" w:rsidRDefault="006C7E2A" w:rsidP="006C7E2A">
            <w:pPr>
              <w:pStyle w:val="TableText"/>
            </w:pPr>
            <w:r w:rsidRPr="006C7E2A">
              <w:t>Revenue</w:t>
            </w:r>
          </w:p>
        </w:tc>
        <w:tc>
          <w:tcPr>
            <w:tcW w:w="1266" w:type="pct"/>
            <w:tcBorders>
              <w:top w:val="single" w:sz="4" w:space="0" w:color="auto"/>
              <w:left w:val="nil"/>
              <w:bottom w:val="dotted" w:sz="4" w:space="0" w:color="auto"/>
              <w:right w:val="nil"/>
            </w:tcBorders>
            <w:tcMar>
              <w:top w:w="0" w:type="dxa"/>
              <w:left w:w="108" w:type="dxa"/>
              <w:bottom w:w="0" w:type="dxa"/>
              <w:right w:w="108" w:type="dxa"/>
            </w:tcMar>
            <w:hideMark/>
          </w:tcPr>
          <w:p w14:paraId="0F42A3C7" w14:textId="578323A7" w:rsidR="006C7E2A" w:rsidRPr="006C7E2A" w:rsidRDefault="006C7E2A" w:rsidP="006C7E2A">
            <w:pPr>
              <w:pStyle w:val="TableText"/>
              <w:jc w:val="right"/>
            </w:pPr>
            <w:r w:rsidRPr="006C7E2A">
              <w:t>12,794,297</w:t>
            </w:r>
          </w:p>
        </w:tc>
        <w:tc>
          <w:tcPr>
            <w:tcW w:w="625" w:type="pct"/>
            <w:tcBorders>
              <w:top w:val="single" w:sz="4" w:space="0" w:color="auto"/>
              <w:left w:val="nil"/>
              <w:bottom w:val="dotted" w:sz="4" w:space="0" w:color="auto"/>
              <w:right w:val="nil"/>
            </w:tcBorders>
            <w:tcMar>
              <w:top w:w="0" w:type="dxa"/>
              <w:left w:w="108" w:type="dxa"/>
              <w:bottom w:w="0" w:type="dxa"/>
              <w:right w:w="108" w:type="dxa"/>
            </w:tcMar>
            <w:hideMark/>
          </w:tcPr>
          <w:p w14:paraId="0A91CFF4" w14:textId="5CFBB3E7" w:rsidR="006C7E2A" w:rsidRPr="006C7E2A" w:rsidRDefault="006C7E2A" w:rsidP="006C7E2A">
            <w:pPr>
              <w:pStyle w:val="TableText"/>
              <w:jc w:val="right"/>
            </w:pPr>
            <w:r w:rsidRPr="006C7E2A">
              <w:t>11,517,529</w:t>
            </w:r>
          </w:p>
        </w:tc>
        <w:tc>
          <w:tcPr>
            <w:tcW w:w="703" w:type="pct"/>
            <w:tcBorders>
              <w:top w:val="single" w:sz="4" w:space="0" w:color="auto"/>
              <w:left w:val="nil"/>
              <w:bottom w:val="dotted" w:sz="4" w:space="0" w:color="auto"/>
              <w:right w:val="nil"/>
            </w:tcBorders>
            <w:hideMark/>
          </w:tcPr>
          <w:p w14:paraId="16E38222" w14:textId="6A7F67FB" w:rsidR="006C7E2A" w:rsidRPr="006C7E2A" w:rsidRDefault="006C7E2A" w:rsidP="006C7E2A">
            <w:pPr>
              <w:pStyle w:val="TableText"/>
              <w:jc w:val="right"/>
            </w:pPr>
            <w:r w:rsidRPr="006C7E2A">
              <w:t>1,276,768</w:t>
            </w:r>
          </w:p>
        </w:tc>
        <w:tc>
          <w:tcPr>
            <w:tcW w:w="780" w:type="pct"/>
            <w:tcBorders>
              <w:top w:val="single" w:sz="4" w:space="0" w:color="auto"/>
              <w:left w:val="nil"/>
              <w:bottom w:val="dotted" w:sz="4" w:space="0" w:color="auto"/>
              <w:right w:val="nil"/>
            </w:tcBorders>
            <w:tcMar>
              <w:top w:w="0" w:type="dxa"/>
              <w:left w:w="108" w:type="dxa"/>
              <w:bottom w:w="0" w:type="dxa"/>
              <w:right w:w="108" w:type="dxa"/>
            </w:tcMar>
            <w:hideMark/>
          </w:tcPr>
          <w:p w14:paraId="31041890" w14:textId="5E548304" w:rsidR="006C7E2A" w:rsidRPr="006C7E2A" w:rsidRDefault="006C7E2A" w:rsidP="006C7E2A">
            <w:pPr>
              <w:pStyle w:val="TableText"/>
              <w:jc w:val="right"/>
            </w:pPr>
            <w:r w:rsidRPr="006C7E2A">
              <w:t xml:space="preserve"> 11 </w:t>
            </w:r>
          </w:p>
        </w:tc>
      </w:tr>
      <w:tr w:rsidR="006C7E2A" w:rsidRPr="006C7E2A" w14:paraId="4EF892FA" w14:textId="77777777" w:rsidTr="00D12B2D">
        <w:tc>
          <w:tcPr>
            <w:tcW w:w="1626" w:type="pct"/>
            <w:tcBorders>
              <w:top w:val="dotted" w:sz="4" w:space="0" w:color="auto"/>
              <w:left w:val="nil"/>
              <w:bottom w:val="single" w:sz="4" w:space="0" w:color="auto"/>
              <w:right w:val="nil"/>
            </w:tcBorders>
            <w:tcMar>
              <w:top w:w="0" w:type="dxa"/>
              <w:left w:w="108" w:type="dxa"/>
              <w:bottom w:w="0" w:type="dxa"/>
              <w:right w:w="108" w:type="dxa"/>
            </w:tcMar>
            <w:hideMark/>
          </w:tcPr>
          <w:p w14:paraId="783A0CFD" w14:textId="77777777" w:rsidR="006C7E2A" w:rsidRPr="006C7E2A" w:rsidRDefault="006C7E2A" w:rsidP="006C7E2A">
            <w:pPr>
              <w:pStyle w:val="TableText"/>
            </w:pPr>
            <w:r w:rsidRPr="006C7E2A">
              <w:t>Expenses</w:t>
            </w:r>
          </w:p>
        </w:tc>
        <w:tc>
          <w:tcPr>
            <w:tcW w:w="1266" w:type="pct"/>
            <w:tcBorders>
              <w:top w:val="dotted" w:sz="4" w:space="0" w:color="auto"/>
              <w:left w:val="nil"/>
              <w:bottom w:val="single" w:sz="4" w:space="0" w:color="auto"/>
              <w:right w:val="nil"/>
            </w:tcBorders>
            <w:tcMar>
              <w:top w:w="0" w:type="dxa"/>
              <w:left w:w="108" w:type="dxa"/>
              <w:bottom w:w="0" w:type="dxa"/>
              <w:right w:w="108" w:type="dxa"/>
            </w:tcMar>
            <w:hideMark/>
          </w:tcPr>
          <w:p w14:paraId="66114B6E" w14:textId="6C833EB7" w:rsidR="006C7E2A" w:rsidRPr="006C7E2A" w:rsidRDefault="006C7E2A" w:rsidP="006C7E2A">
            <w:pPr>
              <w:pStyle w:val="TableText"/>
              <w:jc w:val="right"/>
            </w:pPr>
            <w:r w:rsidRPr="006C7E2A">
              <w:t>12,029,771</w:t>
            </w:r>
          </w:p>
        </w:tc>
        <w:tc>
          <w:tcPr>
            <w:tcW w:w="625" w:type="pct"/>
            <w:tcBorders>
              <w:top w:val="dotted" w:sz="4" w:space="0" w:color="auto"/>
              <w:left w:val="nil"/>
              <w:bottom w:val="single" w:sz="4" w:space="0" w:color="auto"/>
              <w:right w:val="nil"/>
            </w:tcBorders>
            <w:tcMar>
              <w:top w:w="0" w:type="dxa"/>
              <w:left w:w="108" w:type="dxa"/>
              <w:bottom w:w="0" w:type="dxa"/>
              <w:right w:w="108" w:type="dxa"/>
            </w:tcMar>
            <w:hideMark/>
          </w:tcPr>
          <w:p w14:paraId="4087AF2D" w14:textId="340EC6A9" w:rsidR="006C7E2A" w:rsidRPr="006C7E2A" w:rsidRDefault="006C7E2A" w:rsidP="006C7E2A">
            <w:pPr>
              <w:pStyle w:val="TableText"/>
              <w:jc w:val="right"/>
            </w:pPr>
            <w:r w:rsidRPr="006C7E2A">
              <w:t>11,920,905</w:t>
            </w:r>
          </w:p>
        </w:tc>
        <w:tc>
          <w:tcPr>
            <w:tcW w:w="703" w:type="pct"/>
            <w:tcBorders>
              <w:top w:val="dotted" w:sz="4" w:space="0" w:color="auto"/>
              <w:left w:val="nil"/>
              <w:bottom w:val="single" w:sz="4" w:space="0" w:color="auto"/>
              <w:right w:val="nil"/>
            </w:tcBorders>
            <w:hideMark/>
          </w:tcPr>
          <w:p w14:paraId="305820A0" w14:textId="53A296F2" w:rsidR="006C7E2A" w:rsidRPr="006C7E2A" w:rsidRDefault="006C7E2A" w:rsidP="006C7E2A">
            <w:pPr>
              <w:pStyle w:val="TableText"/>
              <w:jc w:val="right"/>
            </w:pPr>
            <w:r w:rsidRPr="006C7E2A">
              <w:t>108,866</w:t>
            </w:r>
          </w:p>
        </w:tc>
        <w:tc>
          <w:tcPr>
            <w:tcW w:w="780" w:type="pct"/>
            <w:tcBorders>
              <w:top w:val="dotted" w:sz="4" w:space="0" w:color="auto"/>
              <w:left w:val="nil"/>
              <w:bottom w:val="single" w:sz="4" w:space="0" w:color="auto"/>
              <w:right w:val="nil"/>
            </w:tcBorders>
            <w:tcMar>
              <w:top w:w="0" w:type="dxa"/>
              <w:left w:w="108" w:type="dxa"/>
              <w:bottom w:w="0" w:type="dxa"/>
              <w:right w:w="108" w:type="dxa"/>
            </w:tcMar>
            <w:hideMark/>
          </w:tcPr>
          <w:p w14:paraId="3FE85458" w14:textId="30BCEABC" w:rsidR="006C7E2A" w:rsidRPr="006C7E2A" w:rsidRDefault="006C7E2A" w:rsidP="006C7E2A">
            <w:pPr>
              <w:pStyle w:val="TableText"/>
              <w:jc w:val="right"/>
            </w:pPr>
            <w:r w:rsidRPr="006C7E2A">
              <w:t xml:space="preserve"> 1 </w:t>
            </w:r>
          </w:p>
        </w:tc>
      </w:tr>
      <w:tr w:rsidR="006C7E2A" w:rsidRPr="006C7E2A" w14:paraId="2273DC32" w14:textId="77777777" w:rsidTr="00D12B2D">
        <w:tc>
          <w:tcPr>
            <w:tcW w:w="1626" w:type="pct"/>
            <w:tcBorders>
              <w:top w:val="single" w:sz="4" w:space="0" w:color="auto"/>
              <w:left w:val="nil"/>
              <w:bottom w:val="single" w:sz="4" w:space="0" w:color="auto"/>
              <w:right w:val="nil"/>
            </w:tcBorders>
            <w:tcMar>
              <w:top w:w="0" w:type="dxa"/>
              <w:left w:w="108" w:type="dxa"/>
              <w:bottom w:w="0" w:type="dxa"/>
              <w:right w:w="108" w:type="dxa"/>
            </w:tcMar>
            <w:hideMark/>
          </w:tcPr>
          <w:p w14:paraId="312B66F3" w14:textId="77777777" w:rsidR="006C7E2A" w:rsidRPr="00D12B2D" w:rsidRDefault="006C7E2A" w:rsidP="006C7E2A">
            <w:pPr>
              <w:pStyle w:val="TableText"/>
              <w:rPr>
                <w:rStyle w:val="Strong"/>
              </w:rPr>
            </w:pPr>
            <w:r w:rsidRPr="006C7E2A">
              <w:rPr>
                <w:rStyle w:val="Strong"/>
              </w:rPr>
              <w:t>Net surplus/(Deficit)</w:t>
            </w:r>
          </w:p>
        </w:tc>
        <w:tc>
          <w:tcPr>
            <w:tcW w:w="1266" w:type="pct"/>
            <w:tcBorders>
              <w:top w:val="single" w:sz="4" w:space="0" w:color="auto"/>
              <w:left w:val="nil"/>
              <w:bottom w:val="single" w:sz="4" w:space="0" w:color="auto"/>
              <w:right w:val="nil"/>
            </w:tcBorders>
            <w:tcMar>
              <w:top w:w="0" w:type="dxa"/>
              <w:left w:w="108" w:type="dxa"/>
              <w:bottom w:w="0" w:type="dxa"/>
              <w:right w:w="108" w:type="dxa"/>
            </w:tcMar>
            <w:hideMark/>
          </w:tcPr>
          <w:p w14:paraId="691941DB" w14:textId="3B4AD3C1" w:rsidR="006C7E2A" w:rsidRPr="006C7E2A" w:rsidRDefault="006C7E2A" w:rsidP="006C7E2A">
            <w:pPr>
              <w:pStyle w:val="TableText"/>
              <w:jc w:val="right"/>
              <w:rPr>
                <w:rStyle w:val="Strong"/>
              </w:rPr>
            </w:pPr>
            <w:r w:rsidRPr="006C7E2A">
              <w:t>764,526</w:t>
            </w:r>
          </w:p>
        </w:tc>
        <w:tc>
          <w:tcPr>
            <w:tcW w:w="625" w:type="pct"/>
            <w:tcBorders>
              <w:top w:val="single" w:sz="4" w:space="0" w:color="auto"/>
              <w:left w:val="nil"/>
              <w:bottom w:val="single" w:sz="4" w:space="0" w:color="auto"/>
              <w:right w:val="nil"/>
            </w:tcBorders>
            <w:tcMar>
              <w:top w:w="0" w:type="dxa"/>
              <w:left w:w="108" w:type="dxa"/>
              <w:bottom w:w="0" w:type="dxa"/>
              <w:right w:w="108" w:type="dxa"/>
            </w:tcMar>
            <w:hideMark/>
          </w:tcPr>
          <w:p w14:paraId="090056A3" w14:textId="3F6AE9C4" w:rsidR="006C7E2A" w:rsidRPr="006C7E2A" w:rsidRDefault="006C7E2A" w:rsidP="006C7E2A">
            <w:pPr>
              <w:pStyle w:val="TableText"/>
              <w:jc w:val="right"/>
              <w:rPr>
                <w:rStyle w:val="Strong"/>
              </w:rPr>
            </w:pPr>
            <w:r w:rsidRPr="006C7E2A">
              <w:t>(403,376)</w:t>
            </w:r>
          </w:p>
        </w:tc>
        <w:tc>
          <w:tcPr>
            <w:tcW w:w="703" w:type="pct"/>
            <w:tcBorders>
              <w:top w:val="single" w:sz="4" w:space="0" w:color="auto"/>
              <w:left w:val="nil"/>
              <w:bottom w:val="single" w:sz="4" w:space="0" w:color="auto"/>
              <w:right w:val="nil"/>
            </w:tcBorders>
            <w:hideMark/>
          </w:tcPr>
          <w:p w14:paraId="6D086A27" w14:textId="3DF714D7" w:rsidR="006C7E2A" w:rsidRPr="006C7E2A" w:rsidRDefault="006C7E2A" w:rsidP="006C7E2A">
            <w:pPr>
              <w:pStyle w:val="TableText"/>
              <w:jc w:val="right"/>
              <w:rPr>
                <w:rStyle w:val="Strong"/>
              </w:rPr>
            </w:pPr>
            <w:r w:rsidRPr="006C7E2A">
              <w:t>1,167,902</w:t>
            </w:r>
          </w:p>
        </w:tc>
        <w:tc>
          <w:tcPr>
            <w:tcW w:w="780" w:type="pct"/>
            <w:tcBorders>
              <w:top w:val="single" w:sz="4" w:space="0" w:color="auto"/>
              <w:left w:val="nil"/>
              <w:bottom w:val="single" w:sz="4" w:space="0" w:color="auto"/>
              <w:right w:val="nil"/>
            </w:tcBorders>
            <w:tcMar>
              <w:top w:w="0" w:type="dxa"/>
              <w:left w:w="108" w:type="dxa"/>
              <w:bottom w:w="0" w:type="dxa"/>
              <w:right w:w="108" w:type="dxa"/>
            </w:tcMar>
            <w:hideMark/>
          </w:tcPr>
          <w:p w14:paraId="76DD4A2F" w14:textId="3E7E7250" w:rsidR="006C7E2A" w:rsidRPr="006C7E2A" w:rsidRDefault="006C7E2A" w:rsidP="006C7E2A">
            <w:pPr>
              <w:pStyle w:val="TableText"/>
              <w:jc w:val="right"/>
              <w:rPr>
                <w:rStyle w:val="Strong"/>
              </w:rPr>
            </w:pPr>
            <w:r w:rsidRPr="006C7E2A">
              <w:t xml:space="preserve"> &lt;-100 </w:t>
            </w:r>
          </w:p>
        </w:tc>
      </w:tr>
      <w:tr w:rsidR="006C7E2A" w:rsidRPr="006C7E2A" w14:paraId="3DBD03F2" w14:textId="77777777" w:rsidTr="00D12B2D">
        <w:tc>
          <w:tcPr>
            <w:tcW w:w="1626" w:type="pct"/>
            <w:tcBorders>
              <w:top w:val="single" w:sz="4" w:space="0" w:color="auto"/>
              <w:left w:val="nil"/>
              <w:bottom w:val="single" w:sz="4" w:space="0" w:color="auto"/>
              <w:right w:val="nil"/>
            </w:tcBorders>
            <w:tcMar>
              <w:top w:w="0" w:type="dxa"/>
              <w:left w:w="108" w:type="dxa"/>
              <w:bottom w:w="0" w:type="dxa"/>
              <w:right w:w="108" w:type="dxa"/>
            </w:tcMar>
            <w:hideMark/>
          </w:tcPr>
          <w:p w14:paraId="51D32C06" w14:textId="77777777" w:rsidR="006C7E2A" w:rsidRPr="006C7E2A" w:rsidRDefault="006C7E2A" w:rsidP="006C7E2A">
            <w:pPr>
              <w:pStyle w:val="TableText"/>
            </w:pPr>
            <w:r w:rsidRPr="006C7E2A">
              <w:t>Appropriation</w:t>
            </w:r>
          </w:p>
        </w:tc>
        <w:tc>
          <w:tcPr>
            <w:tcW w:w="1266" w:type="pct"/>
            <w:tcBorders>
              <w:top w:val="single" w:sz="4" w:space="0" w:color="auto"/>
              <w:left w:val="nil"/>
              <w:bottom w:val="single" w:sz="4" w:space="0" w:color="auto"/>
              <w:right w:val="nil"/>
            </w:tcBorders>
            <w:tcMar>
              <w:top w:w="0" w:type="dxa"/>
              <w:left w:w="108" w:type="dxa"/>
              <w:bottom w:w="0" w:type="dxa"/>
              <w:right w:w="108" w:type="dxa"/>
            </w:tcMar>
            <w:hideMark/>
          </w:tcPr>
          <w:p w14:paraId="2D4CD56C" w14:textId="28BE6A58" w:rsidR="006C7E2A" w:rsidRPr="006C7E2A" w:rsidRDefault="006C7E2A" w:rsidP="006C7E2A">
            <w:pPr>
              <w:pStyle w:val="TableText"/>
              <w:jc w:val="right"/>
            </w:pPr>
            <w:r w:rsidRPr="006C7E2A">
              <w:t>0</w:t>
            </w:r>
          </w:p>
        </w:tc>
        <w:tc>
          <w:tcPr>
            <w:tcW w:w="625" w:type="pct"/>
            <w:tcBorders>
              <w:top w:val="single" w:sz="4" w:space="0" w:color="auto"/>
              <w:left w:val="nil"/>
              <w:bottom w:val="single" w:sz="4" w:space="0" w:color="auto"/>
              <w:right w:val="nil"/>
            </w:tcBorders>
            <w:tcMar>
              <w:top w:w="0" w:type="dxa"/>
              <w:left w:w="108" w:type="dxa"/>
              <w:bottom w:w="0" w:type="dxa"/>
              <w:right w:w="108" w:type="dxa"/>
            </w:tcMar>
            <w:hideMark/>
          </w:tcPr>
          <w:p w14:paraId="77A451A5" w14:textId="00E9BC5F" w:rsidR="006C7E2A" w:rsidRPr="006C7E2A" w:rsidRDefault="006C7E2A" w:rsidP="006C7E2A">
            <w:pPr>
              <w:pStyle w:val="TableText"/>
              <w:jc w:val="right"/>
            </w:pPr>
            <w:r w:rsidRPr="006C7E2A">
              <w:t>N/A</w:t>
            </w:r>
          </w:p>
        </w:tc>
        <w:tc>
          <w:tcPr>
            <w:tcW w:w="703" w:type="pct"/>
            <w:tcBorders>
              <w:top w:val="single" w:sz="4" w:space="0" w:color="auto"/>
              <w:left w:val="nil"/>
              <w:bottom w:val="single" w:sz="4" w:space="0" w:color="auto"/>
              <w:right w:val="nil"/>
            </w:tcBorders>
            <w:hideMark/>
          </w:tcPr>
          <w:p w14:paraId="75DD16BB" w14:textId="7247DDFF" w:rsidR="006C7E2A" w:rsidRPr="006C7E2A" w:rsidRDefault="006C7E2A" w:rsidP="006C7E2A">
            <w:pPr>
              <w:pStyle w:val="TableText"/>
              <w:jc w:val="right"/>
            </w:pPr>
            <w:r w:rsidRPr="006C7E2A">
              <w:t>N/A</w:t>
            </w:r>
          </w:p>
        </w:tc>
        <w:tc>
          <w:tcPr>
            <w:tcW w:w="780" w:type="pct"/>
            <w:tcBorders>
              <w:top w:val="single" w:sz="4" w:space="0" w:color="auto"/>
              <w:left w:val="nil"/>
              <w:bottom w:val="single" w:sz="4" w:space="0" w:color="auto"/>
              <w:right w:val="nil"/>
            </w:tcBorders>
            <w:tcMar>
              <w:top w:w="0" w:type="dxa"/>
              <w:left w:w="108" w:type="dxa"/>
              <w:bottom w:w="0" w:type="dxa"/>
              <w:right w:w="108" w:type="dxa"/>
            </w:tcMar>
            <w:hideMark/>
          </w:tcPr>
          <w:p w14:paraId="3DBE0470" w14:textId="2685931E" w:rsidR="006C7E2A" w:rsidRPr="006C7E2A" w:rsidRDefault="006C7E2A" w:rsidP="006C7E2A">
            <w:pPr>
              <w:pStyle w:val="TableText"/>
              <w:jc w:val="right"/>
            </w:pPr>
            <w:r w:rsidRPr="006C7E2A">
              <w:t>N/A</w:t>
            </w:r>
          </w:p>
        </w:tc>
      </w:tr>
      <w:tr w:rsidR="006C7E2A" w14:paraId="61A3A511" w14:textId="77777777" w:rsidTr="00D12B2D">
        <w:tc>
          <w:tcPr>
            <w:tcW w:w="1626" w:type="pct"/>
            <w:tcBorders>
              <w:top w:val="single" w:sz="4" w:space="0" w:color="auto"/>
              <w:left w:val="nil"/>
              <w:bottom w:val="single" w:sz="4" w:space="0" w:color="auto"/>
              <w:right w:val="nil"/>
            </w:tcBorders>
            <w:tcMar>
              <w:top w:w="0" w:type="dxa"/>
              <w:left w:w="108" w:type="dxa"/>
              <w:bottom w:w="0" w:type="dxa"/>
              <w:right w:w="108" w:type="dxa"/>
            </w:tcMar>
            <w:hideMark/>
          </w:tcPr>
          <w:p w14:paraId="174D2ACA" w14:textId="77777777" w:rsidR="006C7E2A" w:rsidRPr="00D12B2D" w:rsidRDefault="006C7E2A" w:rsidP="006C7E2A">
            <w:pPr>
              <w:pStyle w:val="TableText"/>
              <w:rPr>
                <w:rStyle w:val="Strong"/>
              </w:rPr>
            </w:pPr>
            <w:r w:rsidRPr="006C7E2A">
              <w:rPr>
                <w:rStyle w:val="Strong"/>
              </w:rPr>
              <w:t>Balance</w:t>
            </w:r>
          </w:p>
        </w:tc>
        <w:tc>
          <w:tcPr>
            <w:tcW w:w="1266" w:type="pct"/>
            <w:tcBorders>
              <w:top w:val="single" w:sz="4" w:space="0" w:color="auto"/>
              <w:left w:val="nil"/>
              <w:bottom w:val="single" w:sz="4" w:space="0" w:color="auto"/>
              <w:right w:val="nil"/>
            </w:tcBorders>
            <w:tcMar>
              <w:top w:w="0" w:type="dxa"/>
              <w:left w:w="108" w:type="dxa"/>
              <w:bottom w:w="0" w:type="dxa"/>
              <w:right w:w="108" w:type="dxa"/>
            </w:tcMar>
            <w:hideMark/>
          </w:tcPr>
          <w:p w14:paraId="066F52FD" w14:textId="157987F4" w:rsidR="006C7E2A" w:rsidRPr="006C7E2A" w:rsidRDefault="006C7E2A" w:rsidP="006C7E2A">
            <w:pPr>
              <w:pStyle w:val="TableText"/>
              <w:jc w:val="right"/>
              <w:rPr>
                <w:rStyle w:val="Strong"/>
              </w:rPr>
            </w:pPr>
            <w:r w:rsidRPr="006C7E2A">
              <w:t>(8,082,193</w:t>
            </w:r>
            <w:r w:rsidRPr="008937BC">
              <w:rPr>
                <w:rStyle w:val="Strong"/>
              </w:rPr>
              <w:t>)</w:t>
            </w:r>
          </w:p>
        </w:tc>
        <w:tc>
          <w:tcPr>
            <w:tcW w:w="625" w:type="pct"/>
            <w:tcBorders>
              <w:top w:val="single" w:sz="4" w:space="0" w:color="auto"/>
              <w:left w:val="nil"/>
              <w:bottom w:val="single" w:sz="4" w:space="0" w:color="auto"/>
              <w:right w:val="nil"/>
            </w:tcBorders>
            <w:tcMar>
              <w:top w:w="0" w:type="dxa"/>
              <w:left w:w="108" w:type="dxa"/>
              <w:bottom w:w="0" w:type="dxa"/>
              <w:right w:w="108" w:type="dxa"/>
            </w:tcMar>
            <w:hideMark/>
          </w:tcPr>
          <w:p w14:paraId="77CF71F3" w14:textId="18FD0C5E" w:rsidR="006C7E2A" w:rsidRPr="006C7E2A" w:rsidRDefault="006C7E2A" w:rsidP="006C7E2A">
            <w:pPr>
              <w:pStyle w:val="TableText"/>
              <w:jc w:val="right"/>
              <w:rPr>
                <w:rStyle w:val="Strong"/>
              </w:rPr>
            </w:pPr>
            <w:r w:rsidRPr="006C7E2A">
              <w:t>N/A</w:t>
            </w:r>
          </w:p>
        </w:tc>
        <w:tc>
          <w:tcPr>
            <w:tcW w:w="703" w:type="pct"/>
            <w:tcBorders>
              <w:top w:val="single" w:sz="4" w:space="0" w:color="auto"/>
              <w:left w:val="nil"/>
              <w:bottom w:val="single" w:sz="4" w:space="0" w:color="auto"/>
              <w:right w:val="nil"/>
            </w:tcBorders>
            <w:hideMark/>
          </w:tcPr>
          <w:p w14:paraId="6C536066" w14:textId="379FA48B" w:rsidR="006C7E2A" w:rsidRPr="006C7E2A" w:rsidRDefault="006C7E2A" w:rsidP="006C7E2A">
            <w:pPr>
              <w:pStyle w:val="TableText"/>
              <w:jc w:val="right"/>
              <w:rPr>
                <w:rStyle w:val="Strong"/>
              </w:rPr>
            </w:pPr>
            <w:r w:rsidRPr="006C7E2A">
              <w:t>N/A</w:t>
            </w:r>
          </w:p>
        </w:tc>
        <w:tc>
          <w:tcPr>
            <w:tcW w:w="780" w:type="pct"/>
            <w:tcBorders>
              <w:top w:val="single" w:sz="4" w:space="0" w:color="auto"/>
              <w:left w:val="nil"/>
              <w:bottom w:val="single" w:sz="4" w:space="0" w:color="auto"/>
              <w:right w:val="nil"/>
            </w:tcBorders>
            <w:tcMar>
              <w:top w:w="0" w:type="dxa"/>
              <w:left w:w="108" w:type="dxa"/>
              <w:bottom w:w="0" w:type="dxa"/>
              <w:right w:w="108" w:type="dxa"/>
            </w:tcMar>
            <w:hideMark/>
          </w:tcPr>
          <w:p w14:paraId="55A62343" w14:textId="632A4759" w:rsidR="006C7E2A" w:rsidRDefault="006C7E2A" w:rsidP="006C7E2A">
            <w:pPr>
              <w:pStyle w:val="TableText"/>
              <w:jc w:val="right"/>
              <w:rPr>
                <w:rStyle w:val="Strong"/>
              </w:rPr>
            </w:pPr>
            <w:r w:rsidRPr="006C7E2A">
              <w:t>N/A</w:t>
            </w:r>
          </w:p>
        </w:tc>
      </w:tr>
    </w:tbl>
    <w:p w14:paraId="48E10C17" w14:textId="77777777" w:rsidR="00EB518C" w:rsidRDefault="00EB518C" w:rsidP="00305BDC">
      <w:pPr>
        <w:rPr>
          <w:rFonts w:ascii="Calibri" w:eastAsia="Calibri" w:hAnsi="Calibri" w:cs="Times New Roman"/>
        </w:rPr>
      </w:pPr>
    </w:p>
    <w:p w14:paraId="5477C5A0" w14:textId="77777777" w:rsidR="00EB518C" w:rsidRDefault="00EB518C" w:rsidP="00EB518C">
      <w:pPr>
        <w:pStyle w:val="Heading3"/>
        <w:numPr>
          <w:ilvl w:val="1"/>
          <w:numId w:val="26"/>
        </w:numPr>
      </w:pPr>
      <w:bookmarkStart w:id="184" w:name="_Toc193794436"/>
      <w:bookmarkStart w:id="185" w:name="_Toc198898890"/>
      <w:bookmarkStart w:id="186" w:name="_Hlk193195097"/>
      <w:r>
        <w:t>Non-financial performance</w:t>
      </w:r>
      <w:bookmarkEnd w:id="184"/>
      <w:bookmarkEnd w:id="185"/>
    </w:p>
    <w:p w14:paraId="11E55D8D" w14:textId="77777777" w:rsidR="00EB518C" w:rsidRDefault="00EB518C" w:rsidP="00EB518C">
      <w:r>
        <w:t xml:space="preserve">Our </w:t>
      </w:r>
      <w:hyperlink r:id="rId32" w:history="1">
        <w:r>
          <w:rPr>
            <w:rStyle w:val="Hyperlink"/>
          </w:rPr>
          <w:t>Annual report 2023-24</w:t>
        </w:r>
      </w:hyperlink>
      <w:r>
        <w:t xml:space="preserve"> provides comprehensive information on performance measures and performance results. It is not intended to duplicate this information in this document but rather to draw attention to the key objectives relevant to export cost recovery arrangements. Non-financial performance measures are given as high-level objectives and are not reported at a level specific to each cost recovery arrangement.</w:t>
      </w:r>
    </w:p>
    <w:p w14:paraId="27429635" w14:textId="77777777" w:rsidR="00EB518C" w:rsidRDefault="00EB518C" w:rsidP="00EB518C">
      <w:pPr>
        <w:pStyle w:val="Heading4"/>
        <w:numPr>
          <w:ilvl w:val="0"/>
          <w:numId w:val="0"/>
        </w:numPr>
        <w:ind w:left="964" w:hanging="964"/>
      </w:pPr>
      <w:r>
        <w:lastRenderedPageBreak/>
        <w:t>Objective 1 Industry growth</w:t>
      </w:r>
    </w:p>
    <w:p w14:paraId="40893AA2" w14:textId="77777777" w:rsidR="00EB518C" w:rsidRDefault="00EB518C" w:rsidP="00EB518C">
      <w:pPr>
        <w:pStyle w:val="Caption"/>
        <w:spacing w:before="120"/>
        <w:rPr>
          <w:rFonts w:asciiTheme="minorHAnsi" w:hAnsiTheme="minorHAnsi"/>
          <w:b w:val="0"/>
          <w:bCs w:val="0"/>
          <w:sz w:val="22"/>
          <w:szCs w:val="22"/>
        </w:rPr>
      </w:pPr>
      <w:bookmarkStart w:id="187" w:name="_Toc156297933"/>
      <w:bookmarkStart w:id="188" w:name="_Toc165030412"/>
      <w:bookmarkStart w:id="189" w:name="_Hlk164754231"/>
      <w:r w:rsidRPr="00804062">
        <w:rPr>
          <w:rFonts w:asciiTheme="minorHAnsi" w:hAnsiTheme="minorHAnsi"/>
          <w:b w:val="0"/>
          <w:bCs w:val="0"/>
          <w:sz w:val="22"/>
          <w:szCs w:val="22"/>
        </w:rPr>
        <w:t>Support industry to grow towards a $100 billion agriculture, fisheries and forestry industry by 2030.</w:t>
      </w:r>
    </w:p>
    <w:p w14:paraId="6B9B2859" w14:textId="6214337D" w:rsidR="00EB518C" w:rsidRDefault="00EB518C" w:rsidP="00EB518C">
      <w:pPr>
        <w:pStyle w:val="Caption"/>
        <w:spacing w:before="120"/>
      </w:pPr>
      <w:r>
        <w:t xml:space="preserve">Key activity </w:t>
      </w:r>
      <w:r>
        <w:fldChar w:fldCharType="begin"/>
      </w:r>
      <w:r>
        <w:instrText xml:space="preserve"> SEQ Key_activity \* ARABIC </w:instrText>
      </w:r>
      <w:r>
        <w:fldChar w:fldCharType="separate"/>
      </w:r>
      <w:r w:rsidR="0001784A">
        <w:rPr>
          <w:noProof/>
        </w:rPr>
        <w:t>1</w:t>
      </w:r>
      <w:r>
        <w:fldChar w:fldCharType="end"/>
      </w:r>
      <w:r>
        <w:t xml:space="preserve">.1 </w:t>
      </w:r>
      <w:bookmarkEnd w:id="187"/>
      <w:bookmarkEnd w:id="188"/>
      <w:r w:rsidRPr="002C6D7C">
        <w:t>Support industry productivity and growth through science, policy and partnerships.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175"/>
        <w:gridCol w:w="7895"/>
      </w:tblGrid>
      <w:tr w:rsidR="00EB518C" w14:paraId="7C8F4512" w14:textId="77777777" w:rsidTr="00CF7EB7">
        <w:tc>
          <w:tcPr>
            <w:tcW w:w="0" w:type="auto"/>
            <w:tcBorders>
              <w:top w:val="single" w:sz="4" w:space="0" w:color="auto"/>
              <w:left w:val="nil"/>
              <w:bottom w:val="single" w:sz="4" w:space="0" w:color="auto"/>
              <w:right w:val="nil"/>
            </w:tcBorders>
            <w:hideMark/>
          </w:tcPr>
          <w:p w14:paraId="3A67D3D2" w14:textId="77777777" w:rsidR="00EB518C" w:rsidRDefault="00EB518C" w:rsidP="00CF7EB7">
            <w:pPr>
              <w:pStyle w:val="TableHeading"/>
            </w:pPr>
            <w:bookmarkStart w:id="190" w:name="_Hlk164705311"/>
            <w:bookmarkEnd w:id="189"/>
            <w:r>
              <w:t>Measure IG–01</w:t>
            </w:r>
          </w:p>
        </w:tc>
        <w:tc>
          <w:tcPr>
            <w:tcW w:w="0" w:type="auto"/>
            <w:tcBorders>
              <w:top w:val="single" w:sz="4" w:space="0" w:color="auto"/>
              <w:left w:val="nil"/>
              <w:bottom w:val="single" w:sz="4" w:space="0" w:color="auto"/>
              <w:right w:val="nil"/>
            </w:tcBorders>
            <w:hideMark/>
          </w:tcPr>
          <w:p w14:paraId="3C35F1EF" w14:textId="77777777" w:rsidR="00EB518C" w:rsidRDefault="00EB518C" w:rsidP="00CF7EB7">
            <w:pPr>
              <w:pStyle w:val="TableText"/>
            </w:pPr>
            <w:r w:rsidRPr="005836DF">
              <w:t>Greater growth in average agricultural productivity (adjusted for climate and weather effects) for the past 10 years, compared to average annual market sector productivity growth over the same period.</w:t>
            </w:r>
          </w:p>
        </w:tc>
      </w:tr>
      <w:tr w:rsidR="00EB518C" w14:paraId="4FF31616" w14:textId="77777777" w:rsidTr="00CF7EB7">
        <w:tc>
          <w:tcPr>
            <w:tcW w:w="0" w:type="auto"/>
            <w:tcBorders>
              <w:top w:val="single" w:sz="4" w:space="0" w:color="auto"/>
              <w:left w:val="nil"/>
              <w:bottom w:val="dotted" w:sz="4" w:space="0" w:color="auto"/>
              <w:right w:val="nil"/>
            </w:tcBorders>
            <w:hideMark/>
          </w:tcPr>
          <w:p w14:paraId="1F59CF48" w14:textId="77777777" w:rsidR="00EB518C" w:rsidRDefault="00EB518C" w:rsidP="00CF7EB7">
            <w:pPr>
              <w:pStyle w:val="TableText"/>
            </w:pPr>
            <w:r>
              <w:t>Measure type</w:t>
            </w:r>
          </w:p>
        </w:tc>
        <w:tc>
          <w:tcPr>
            <w:tcW w:w="0" w:type="auto"/>
            <w:tcBorders>
              <w:top w:val="single" w:sz="4" w:space="0" w:color="auto"/>
              <w:left w:val="nil"/>
              <w:bottom w:val="dotted" w:sz="4" w:space="0" w:color="auto"/>
              <w:right w:val="nil"/>
            </w:tcBorders>
            <w:hideMark/>
          </w:tcPr>
          <w:p w14:paraId="5371CDDA" w14:textId="77777777" w:rsidR="00EB518C" w:rsidRDefault="00EB518C" w:rsidP="00CF7EB7">
            <w:pPr>
              <w:pStyle w:val="TableText"/>
            </w:pPr>
            <w:r>
              <w:t>Effectiveness.</w:t>
            </w:r>
          </w:p>
        </w:tc>
      </w:tr>
      <w:tr w:rsidR="00EB518C" w14:paraId="2C7ECADE" w14:textId="77777777" w:rsidTr="00CF7EB7">
        <w:tc>
          <w:tcPr>
            <w:tcW w:w="0" w:type="auto"/>
            <w:tcBorders>
              <w:top w:val="dotted" w:sz="4" w:space="0" w:color="auto"/>
              <w:left w:val="nil"/>
              <w:bottom w:val="dotted" w:sz="4" w:space="0" w:color="auto"/>
              <w:right w:val="nil"/>
            </w:tcBorders>
            <w:hideMark/>
          </w:tcPr>
          <w:p w14:paraId="3BA3276E" w14:textId="77777777" w:rsidR="00EB518C" w:rsidRDefault="00EB518C" w:rsidP="00CF7EB7">
            <w:pPr>
              <w:pStyle w:val="TableText"/>
            </w:pPr>
            <w:r>
              <w:t>Target</w:t>
            </w:r>
          </w:p>
        </w:tc>
        <w:tc>
          <w:tcPr>
            <w:tcW w:w="0" w:type="auto"/>
            <w:tcBorders>
              <w:top w:val="dotted" w:sz="4" w:space="0" w:color="auto"/>
              <w:left w:val="nil"/>
              <w:bottom w:val="dotted" w:sz="4" w:space="0" w:color="auto"/>
              <w:right w:val="nil"/>
            </w:tcBorders>
            <w:hideMark/>
          </w:tcPr>
          <w:p w14:paraId="7D2C6DD7" w14:textId="77777777" w:rsidR="00EB518C" w:rsidRDefault="00EB518C" w:rsidP="00CF7EB7">
            <w:pPr>
              <w:pStyle w:val="TableText"/>
            </w:pPr>
            <w:r>
              <w:t>Greater than or equal to 0% difference over past 10 years.</w:t>
            </w:r>
          </w:p>
        </w:tc>
      </w:tr>
      <w:tr w:rsidR="00EB518C" w14:paraId="37721C8F" w14:textId="77777777" w:rsidTr="00CF7EB7">
        <w:tc>
          <w:tcPr>
            <w:tcW w:w="0" w:type="auto"/>
            <w:tcBorders>
              <w:top w:val="dotted" w:sz="4" w:space="0" w:color="auto"/>
              <w:left w:val="nil"/>
              <w:bottom w:val="dotted" w:sz="4" w:space="0" w:color="auto"/>
              <w:right w:val="nil"/>
            </w:tcBorders>
          </w:tcPr>
          <w:p w14:paraId="17396092" w14:textId="77777777" w:rsidR="00EB518C" w:rsidRDefault="00EB518C" w:rsidP="00CF7EB7">
            <w:pPr>
              <w:pStyle w:val="TableText"/>
            </w:pPr>
            <w:r>
              <w:t>Sources</w:t>
            </w:r>
          </w:p>
        </w:tc>
        <w:tc>
          <w:tcPr>
            <w:tcW w:w="0" w:type="auto"/>
            <w:tcBorders>
              <w:top w:val="dotted" w:sz="4" w:space="0" w:color="auto"/>
              <w:left w:val="nil"/>
              <w:bottom w:val="dotted" w:sz="4" w:space="0" w:color="auto"/>
              <w:right w:val="nil"/>
            </w:tcBorders>
          </w:tcPr>
          <w:p w14:paraId="0F3A842E" w14:textId="77777777" w:rsidR="00EB518C" w:rsidRPr="00CF7EB7" w:rsidRDefault="00EB518C" w:rsidP="00CF7EB7">
            <w:pPr>
              <w:pStyle w:val="TableText"/>
              <w:rPr>
                <w:i/>
                <w:iCs/>
              </w:rPr>
            </w:pPr>
            <w:r w:rsidRPr="00CF7EB7">
              <w:rPr>
                <w:i/>
                <w:iCs/>
              </w:rPr>
              <w:t>Corporate Plan 2023-24</w:t>
            </w:r>
          </w:p>
          <w:p w14:paraId="52ED8298" w14:textId="77777777" w:rsidR="00EB518C" w:rsidRDefault="00EB518C" w:rsidP="00CF7EB7">
            <w:pPr>
              <w:pStyle w:val="TableText"/>
              <w:rPr>
                <w:i/>
                <w:iCs/>
              </w:rPr>
            </w:pPr>
            <w:r w:rsidRPr="00CF7EB7">
              <w:rPr>
                <w:i/>
                <w:iCs/>
              </w:rPr>
              <w:t>Portfolio Budget Statements 2023–24</w:t>
            </w:r>
          </w:p>
          <w:p w14:paraId="7CB7EFA9" w14:textId="77777777" w:rsidR="00EB518C" w:rsidRDefault="00EB518C" w:rsidP="00CF7EB7">
            <w:pPr>
              <w:pStyle w:val="TableText"/>
            </w:pPr>
            <w:r w:rsidRPr="00804062">
              <w:t>Programs: 1.1, 1.3, 1.4, 1.5, 1.6, 1.7, 1.8, 1.9, 1.10, 1.11, 1.12.</w:t>
            </w:r>
          </w:p>
        </w:tc>
      </w:tr>
      <w:tr w:rsidR="00EB518C" w14:paraId="49FEF34F" w14:textId="77777777" w:rsidTr="00CF7EB7">
        <w:tc>
          <w:tcPr>
            <w:tcW w:w="0" w:type="auto"/>
            <w:tcBorders>
              <w:top w:val="dotted" w:sz="4" w:space="0" w:color="auto"/>
              <w:left w:val="nil"/>
              <w:bottom w:val="dotted" w:sz="4" w:space="0" w:color="auto"/>
              <w:right w:val="nil"/>
            </w:tcBorders>
            <w:hideMark/>
          </w:tcPr>
          <w:p w14:paraId="2FBE5EA9" w14:textId="77777777" w:rsidR="00EB518C" w:rsidRDefault="00EB518C" w:rsidP="00CF7EB7">
            <w:pPr>
              <w:pStyle w:val="TableText"/>
            </w:pPr>
            <w:r>
              <w:t>Result</w:t>
            </w:r>
          </w:p>
        </w:tc>
        <w:tc>
          <w:tcPr>
            <w:tcW w:w="0" w:type="auto"/>
            <w:tcBorders>
              <w:top w:val="dotted" w:sz="4" w:space="0" w:color="auto"/>
              <w:left w:val="nil"/>
              <w:bottom w:val="dotted" w:sz="4" w:space="0" w:color="auto"/>
              <w:right w:val="nil"/>
            </w:tcBorders>
            <w:hideMark/>
          </w:tcPr>
          <w:p w14:paraId="35424287" w14:textId="77777777" w:rsidR="00EB518C" w:rsidRDefault="00EB518C" w:rsidP="00CF7EB7">
            <w:pPr>
              <w:pStyle w:val="TableText"/>
            </w:pPr>
            <w:r w:rsidRPr="00804062">
              <w:t>Achieved – agricultural productivity growth was 0.11 percentage points higher than the market sector growth rate.</w:t>
            </w:r>
          </w:p>
        </w:tc>
      </w:tr>
      <w:tr w:rsidR="00EB518C" w14:paraId="1A0686AA" w14:textId="77777777" w:rsidTr="00CF7EB7">
        <w:tc>
          <w:tcPr>
            <w:tcW w:w="0" w:type="auto"/>
            <w:tcBorders>
              <w:top w:val="dotted" w:sz="4" w:space="0" w:color="auto"/>
              <w:left w:val="nil"/>
              <w:bottom w:val="single" w:sz="4" w:space="0" w:color="auto"/>
              <w:right w:val="nil"/>
            </w:tcBorders>
            <w:hideMark/>
          </w:tcPr>
          <w:p w14:paraId="54C8F55D" w14:textId="77777777" w:rsidR="00EB518C" w:rsidRDefault="00EB518C" w:rsidP="00CF7EB7">
            <w:pPr>
              <w:pStyle w:val="TableText"/>
            </w:pPr>
            <w:r>
              <w:t>Tolerances</w:t>
            </w:r>
          </w:p>
        </w:tc>
        <w:tc>
          <w:tcPr>
            <w:tcW w:w="0" w:type="auto"/>
            <w:tcBorders>
              <w:top w:val="dotted" w:sz="4" w:space="0" w:color="auto"/>
              <w:left w:val="nil"/>
              <w:bottom w:val="single" w:sz="4" w:space="0" w:color="auto"/>
              <w:right w:val="nil"/>
            </w:tcBorders>
            <w:hideMark/>
          </w:tcPr>
          <w:p w14:paraId="3C79DE8E" w14:textId="77777777" w:rsidR="00EB518C" w:rsidRDefault="00EB518C" w:rsidP="00CF7EB7">
            <w:pPr>
              <w:pStyle w:val="TableText"/>
            </w:pPr>
            <w:r w:rsidRPr="00804062">
              <w:t xml:space="preserve">Achieved: Average annual growth in the agricultural productivity (climate-adjusted) series exceeds average annual market sector productivity growth over the same period. </w:t>
            </w:r>
          </w:p>
          <w:p w14:paraId="2A5BCB66" w14:textId="77777777" w:rsidR="00EB518C" w:rsidRDefault="00EB518C" w:rsidP="00CF7EB7">
            <w:pPr>
              <w:pStyle w:val="TableText"/>
            </w:pPr>
            <w:r w:rsidRPr="00804062">
              <w:t xml:space="preserve">Partially achieved: Not applicable. </w:t>
            </w:r>
          </w:p>
          <w:p w14:paraId="1E96CB6B" w14:textId="77777777" w:rsidR="00EB518C" w:rsidRDefault="00EB518C" w:rsidP="00CF7EB7">
            <w:pPr>
              <w:pStyle w:val="TableText"/>
            </w:pPr>
            <w:r w:rsidRPr="00804062">
              <w:t>Not achieved: Average annual growth in the agricultural productivity (climate-adjusted) series is lower than average annual market sector productivity growth over the same period.</w:t>
            </w:r>
          </w:p>
        </w:tc>
      </w:tr>
      <w:tr w:rsidR="00EB518C" w14:paraId="31097AF5" w14:textId="77777777" w:rsidTr="00CF7EB7">
        <w:tc>
          <w:tcPr>
            <w:tcW w:w="0" w:type="auto"/>
            <w:tcBorders>
              <w:top w:val="single" w:sz="4" w:space="0" w:color="auto"/>
              <w:left w:val="nil"/>
              <w:bottom w:val="single" w:sz="4" w:space="0" w:color="auto"/>
              <w:right w:val="nil"/>
            </w:tcBorders>
          </w:tcPr>
          <w:p w14:paraId="0768E37B" w14:textId="77777777" w:rsidR="00EB518C" w:rsidRPr="00CF7EB7" w:rsidRDefault="00EB518C" w:rsidP="00CF7EB7">
            <w:pPr>
              <w:pStyle w:val="TableText"/>
              <w:rPr>
                <w:b/>
                <w:bCs/>
              </w:rPr>
            </w:pPr>
            <w:r w:rsidRPr="00CF7EB7">
              <w:rPr>
                <w:b/>
                <w:bCs/>
              </w:rPr>
              <w:t>Measure IG–0</w:t>
            </w:r>
            <w:r>
              <w:rPr>
                <w:b/>
                <w:bCs/>
              </w:rPr>
              <w:t>2</w:t>
            </w:r>
          </w:p>
        </w:tc>
        <w:tc>
          <w:tcPr>
            <w:tcW w:w="0" w:type="auto"/>
            <w:tcBorders>
              <w:top w:val="single" w:sz="4" w:space="0" w:color="auto"/>
              <w:left w:val="nil"/>
              <w:bottom w:val="single" w:sz="4" w:space="0" w:color="auto"/>
              <w:right w:val="nil"/>
            </w:tcBorders>
          </w:tcPr>
          <w:p w14:paraId="5DEB903E" w14:textId="77777777" w:rsidR="00EB518C" w:rsidRPr="00804062" w:rsidRDefault="00EB518C" w:rsidP="00CF7EB7">
            <w:pPr>
              <w:pStyle w:val="TableText"/>
            </w:pPr>
            <w:r w:rsidRPr="006F53C4">
              <w:t>Equal or reduced cost of levies administration compared with levies disbursed</w:t>
            </w:r>
            <w:r w:rsidRPr="005836DF">
              <w:t>.</w:t>
            </w:r>
          </w:p>
        </w:tc>
      </w:tr>
      <w:tr w:rsidR="00EB518C" w14:paraId="1527BB43" w14:textId="77777777" w:rsidTr="00CF7EB7">
        <w:tc>
          <w:tcPr>
            <w:tcW w:w="0" w:type="auto"/>
            <w:tcBorders>
              <w:top w:val="single" w:sz="4" w:space="0" w:color="auto"/>
              <w:left w:val="nil"/>
              <w:bottom w:val="dotted" w:sz="4" w:space="0" w:color="auto"/>
              <w:right w:val="nil"/>
            </w:tcBorders>
          </w:tcPr>
          <w:p w14:paraId="53BEDA13" w14:textId="77777777" w:rsidR="00EB518C" w:rsidRDefault="00EB518C" w:rsidP="00CF7EB7">
            <w:pPr>
              <w:pStyle w:val="TableText"/>
            </w:pPr>
            <w:r>
              <w:t>Measure type</w:t>
            </w:r>
          </w:p>
        </w:tc>
        <w:tc>
          <w:tcPr>
            <w:tcW w:w="0" w:type="auto"/>
            <w:tcBorders>
              <w:top w:val="single" w:sz="4" w:space="0" w:color="auto"/>
              <w:left w:val="nil"/>
              <w:bottom w:val="dotted" w:sz="4" w:space="0" w:color="auto"/>
              <w:right w:val="nil"/>
            </w:tcBorders>
          </w:tcPr>
          <w:p w14:paraId="5BC0F945" w14:textId="77777777" w:rsidR="00EB518C" w:rsidRPr="00804062" w:rsidRDefault="00EB518C" w:rsidP="00CF7EB7">
            <w:pPr>
              <w:pStyle w:val="TableText"/>
            </w:pPr>
            <w:r w:rsidRPr="006F53C4">
              <w:t>Efficiency and regulatory</w:t>
            </w:r>
          </w:p>
        </w:tc>
      </w:tr>
      <w:tr w:rsidR="00EB518C" w14:paraId="03BE02EC" w14:textId="77777777" w:rsidTr="00CF7EB7">
        <w:tc>
          <w:tcPr>
            <w:tcW w:w="0" w:type="auto"/>
            <w:tcBorders>
              <w:top w:val="dotted" w:sz="4" w:space="0" w:color="auto"/>
              <w:left w:val="nil"/>
              <w:bottom w:val="dotted" w:sz="4" w:space="0" w:color="auto"/>
              <w:right w:val="nil"/>
            </w:tcBorders>
          </w:tcPr>
          <w:p w14:paraId="3047C219" w14:textId="77777777" w:rsidR="00EB518C" w:rsidRDefault="00EB518C" w:rsidP="00CF7EB7">
            <w:pPr>
              <w:pStyle w:val="TableText"/>
            </w:pPr>
            <w:r>
              <w:t>Target</w:t>
            </w:r>
          </w:p>
        </w:tc>
        <w:tc>
          <w:tcPr>
            <w:tcW w:w="0" w:type="auto"/>
            <w:tcBorders>
              <w:top w:val="dotted" w:sz="4" w:space="0" w:color="auto"/>
              <w:left w:val="nil"/>
              <w:bottom w:val="dotted" w:sz="4" w:space="0" w:color="auto"/>
              <w:right w:val="nil"/>
            </w:tcBorders>
          </w:tcPr>
          <w:p w14:paraId="4BEDFADE" w14:textId="77777777" w:rsidR="00EB518C" w:rsidRDefault="00EB518C" w:rsidP="00CF7EB7">
            <w:pPr>
              <w:pStyle w:val="TableText"/>
            </w:pPr>
            <w:r w:rsidRPr="006F53C4">
              <w:t>Cost is less than or equal to 1.2% of levies disbursed.</w:t>
            </w:r>
          </w:p>
        </w:tc>
      </w:tr>
      <w:tr w:rsidR="00EB518C" w14:paraId="1509AFB7" w14:textId="77777777" w:rsidTr="00CF7EB7">
        <w:tc>
          <w:tcPr>
            <w:tcW w:w="0" w:type="auto"/>
            <w:tcBorders>
              <w:top w:val="dotted" w:sz="4" w:space="0" w:color="auto"/>
              <w:left w:val="nil"/>
              <w:bottom w:val="dotted" w:sz="4" w:space="0" w:color="auto"/>
              <w:right w:val="nil"/>
            </w:tcBorders>
          </w:tcPr>
          <w:p w14:paraId="2B82DD45" w14:textId="77777777" w:rsidR="00EB518C" w:rsidRDefault="00EB518C" w:rsidP="00CF7EB7">
            <w:pPr>
              <w:pStyle w:val="TableText"/>
            </w:pPr>
            <w:r>
              <w:t>Sources</w:t>
            </w:r>
          </w:p>
        </w:tc>
        <w:tc>
          <w:tcPr>
            <w:tcW w:w="0" w:type="auto"/>
            <w:tcBorders>
              <w:top w:val="dotted" w:sz="4" w:space="0" w:color="auto"/>
              <w:left w:val="nil"/>
              <w:bottom w:val="dotted" w:sz="4" w:space="0" w:color="auto"/>
              <w:right w:val="nil"/>
            </w:tcBorders>
          </w:tcPr>
          <w:p w14:paraId="566F691F" w14:textId="77777777" w:rsidR="00EB518C" w:rsidRPr="006F53C4" w:rsidRDefault="00EB518C" w:rsidP="00CF7EB7">
            <w:pPr>
              <w:pStyle w:val="TableText"/>
              <w:rPr>
                <w:i/>
                <w:iCs/>
              </w:rPr>
            </w:pPr>
            <w:r w:rsidRPr="006F53C4">
              <w:rPr>
                <w:i/>
                <w:iCs/>
              </w:rPr>
              <w:t>Corporate Plan 2023-24</w:t>
            </w:r>
          </w:p>
          <w:p w14:paraId="0B20A7ED" w14:textId="77777777" w:rsidR="00EB518C" w:rsidRPr="006F53C4" w:rsidRDefault="00EB518C" w:rsidP="00CF7EB7">
            <w:pPr>
              <w:pStyle w:val="TableText"/>
              <w:rPr>
                <w:i/>
                <w:iCs/>
              </w:rPr>
            </w:pPr>
            <w:r w:rsidRPr="006F53C4">
              <w:rPr>
                <w:i/>
                <w:iCs/>
              </w:rPr>
              <w:t>Portfolio Budget Statements 2023–24</w:t>
            </w:r>
          </w:p>
          <w:p w14:paraId="7ED6E485" w14:textId="77777777" w:rsidR="00EB518C" w:rsidRDefault="00EB518C" w:rsidP="00CF7EB7">
            <w:pPr>
              <w:pStyle w:val="TableText"/>
            </w:pPr>
            <w:r w:rsidRPr="00804062">
              <w:t>Programs: 1.1, 1.3, 1.4, 1.5, 1.6, 1.7, 1.8, 1.9, 1.10, 1.11, 1.12.</w:t>
            </w:r>
          </w:p>
        </w:tc>
      </w:tr>
      <w:tr w:rsidR="00EB518C" w14:paraId="33224D4E" w14:textId="77777777" w:rsidTr="00CF7EB7">
        <w:tc>
          <w:tcPr>
            <w:tcW w:w="0" w:type="auto"/>
            <w:tcBorders>
              <w:top w:val="dotted" w:sz="4" w:space="0" w:color="auto"/>
              <w:left w:val="nil"/>
              <w:bottom w:val="dotted" w:sz="4" w:space="0" w:color="auto"/>
              <w:right w:val="nil"/>
            </w:tcBorders>
          </w:tcPr>
          <w:p w14:paraId="2FA6BA73" w14:textId="77777777" w:rsidR="00EB518C" w:rsidRDefault="00EB518C" w:rsidP="00CF7EB7">
            <w:pPr>
              <w:pStyle w:val="TableText"/>
            </w:pPr>
            <w:r>
              <w:t>Result</w:t>
            </w:r>
          </w:p>
        </w:tc>
        <w:tc>
          <w:tcPr>
            <w:tcW w:w="0" w:type="auto"/>
            <w:tcBorders>
              <w:top w:val="dotted" w:sz="4" w:space="0" w:color="auto"/>
              <w:left w:val="nil"/>
              <w:bottom w:val="dotted" w:sz="4" w:space="0" w:color="auto"/>
              <w:right w:val="nil"/>
            </w:tcBorders>
          </w:tcPr>
          <w:p w14:paraId="2A4BA5BF" w14:textId="77777777" w:rsidR="00EB518C" w:rsidRPr="00CF7EB7" w:rsidRDefault="00EB518C" w:rsidP="00CF7EB7">
            <w:pPr>
              <w:pStyle w:val="TableText"/>
            </w:pPr>
            <w:r w:rsidRPr="006F53C4">
              <w:t>Achieved – cost was $4.65 million or 0.77% of levies disbursed</w:t>
            </w:r>
          </w:p>
        </w:tc>
      </w:tr>
      <w:tr w:rsidR="00EB518C" w14:paraId="3D760E50" w14:textId="77777777" w:rsidTr="00CF7EB7">
        <w:tc>
          <w:tcPr>
            <w:tcW w:w="0" w:type="auto"/>
            <w:tcBorders>
              <w:top w:val="dotted" w:sz="4" w:space="0" w:color="auto"/>
              <w:left w:val="nil"/>
              <w:bottom w:val="single" w:sz="4" w:space="0" w:color="auto"/>
              <w:right w:val="nil"/>
            </w:tcBorders>
          </w:tcPr>
          <w:p w14:paraId="45FC76A9" w14:textId="77777777" w:rsidR="00EB518C" w:rsidRDefault="00EB518C" w:rsidP="00CF7EB7">
            <w:pPr>
              <w:pStyle w:val="TableText"/>
            </w:pPr>
            <w:r>
              <w:t>Tolerances</w:t>
            </w:r>
          </w:p>
        </w:tc>
        <w:tc>
          <w:tcPr>
            <w:tcW w:w="0" w:type="auto"/>
            <w:tcBorders>
              <w:top w:val="dotted" w:sz="4" w:space="0" w:color="auto"/>
              <w:left w:val="nil"/>
              <w:bottom w:val="single" w:sz="4" w:space="0" w:color="auto"/>
              <w:right w:val="nil"/>
            </w:tcBorders>
          </w:tcPr>
          <w:p w14:paraId="01611C9F" w14:textId="77777777" w:rsidR="00EB518C" w:rsidRDefault="00EB518C" w:rsidP="00CF7EB7">
            <w:pPr>
              <w:pStyle w:val="TableText"/>
            </w:pPr>
            <w:r w:rsidRPr="006F53C4">
              <w:t xml:space="preserve">Achieved: Levies administration cost is less than 1.2% of levies disbursed. </w:t>
            </w:r>
          </w:p>
          <w:p w14:paraId="0593B078" w14:textId="77777777" w:rsidR="00EB518C" w:rsidRDefault="00EB518C" w:rsidP="00CF7EB7">
            <w:pPr>
              <w:pStyle w:val="TableText"/>
            </w:pPr>
            <w:r w:rsidRPr="006F53C4">
              <w:t xml:space="preserve">Partially achieved: Not applicable. </w:t>
            </w:r>
          </w:p>
          <w:p w14:paraId="0DE5A19F" w14:textId="77777777" w:rsidR="00EB518C" w:rsidRPr="00804062" w:rsidRDefault="00EB518C" w:rsidP="00CF7EB7">
            <w:pPr>
              <w:pStyle w:val="TableText"/>
            </w:pPr>
            <w:r w:rsidRPr="006F53C4">
              <w:t>Not achieved: Levies administration cost is more than 1.2% of levies disbursed.</w:t>
            </w:r>
          </w:p>
        </w:tc>
      </w:tr>
    </w:tbl>
    <w:p w14:paraId="750FDA73" w14:textId="5E3ADB8F" w:rsidR="00EB518C" w:rsidRDefault="00EB518C" w:rsidP="00EB518C">
      <w:pPr>
        <w:pStyle w:val="Caption"/>
        <w:spacing w:before="120"/>
      </w:pPr>
      <w:bookmarkStart w:id="191" w:name="_Toc156297934"/>
      <w:bookmarkStart w:id="192" w:name="_Toc165030413"/>
      <w:bookmarkStart w:id="193" w:name="_Hlk164754630"/>
      <w:bookmarkEnd w:id="190"/>
      <w:r>
        <w:t>Key activity 1.</w:t>
      </w:r>
      <w:r>
        <w:fldChar w:fldCharType="begin"/>
      </w:r>
      <w:r>
        <w:instrText xml:space="preserve"> SEQ Key_activity \* ARABIC </w:instrText>
      </w:r>
      <w:r>
        <w:fldChar w:fldCharType="separate"/>
      </w:r>
      <w:r w:rsidR="0001784A">
        <w:rPr>
          <w:noProof/>
        </w:rPr>
        <w:t>2</w:t>
      </w:r>
      <w:r>
        <w:fldChar w:fldCharType="end"/>
      </w:r>
      <w:r>
        <w:t xml:space="preserve"> </w:t>
      </w:r>
      <w:bookmarkEnd w:id="191"/>
      <w:bookmarkEnd w:id="192"/>
      <w:r w:rsidRPr="006F53C4">
        <w:t>Maintain and expand international markets by certifying and regulating exports and negotiating new and improved market access.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202"/>
        <w:gridCol w:w="7868"/>
      </w:tblGrid>
      <w:tr w:rsidR="00EB518C" w14:paraId="7662A899" w14:textId="77777777" w:rsidTr="00CF7EB7">
        <w:trPr>
          <w:cantSplit/>
        </w:trPr>
        <w:tc>
          <w:tcPr>
            <w:tcW w:w="0" w:type="auto"/>
            <w:tcBorders>
              <w:top w:val="single" w:sz="4" w:space="0" w:color="auto"/>
              <w:left w:val="nil"/>
              <w:bottom w:val="single" w:sz="4" w:space="0" w:color="auto"/>
              <w:right w:val="nil"/>
            </w:tcBorders>
            <w:hideMark/>
          </w:tcPr>
          <w:p w14:paraId="7C3C5374" w14:textId="77777777" w:rsidR="00EB518C" w:rsidRDefault="00EB518C" w:rsidP="00CF7EB7">
            <w:pPr>
              <w:pStyle w:val="TableHeading"/>
            </w:pPr>
            <w:bookmarkStart w:id="194" w:name="_Hlk164705378"/>
            <w:bookmarkEnd w:id="193"/>
            <w:r>
              <w:t>Measure IG–05</w:t>
            </w:r>
          </w:p>
        </w:tc>
        <w:tc>
          <w:tcPr>
            <w:tcW w:w="0" w:type="auto"/>
            <w:tcBorders>
              <w:top w:val="single" w:sz="4" w:space="0" w:color="auto"/>
              <w:left w:val="nil"/>
              <w:bottom w:val="single" w:sz="4" w:space="0" w:color="auto"/>
              <w:right w:val="nil"/>
            </w:tcBorders>
            <w:hideMark/>
          </w:tcPr>
          <w:p w14:paraId="315A75B7" w14:textId="77777777" w:rsidR="00EB518C" w:rsidRDefault="00EB518C" w:rsidP="00CF7EB7">
            <w:pPr>
              <w:pStyle w:val="TableText"/>
            </w:pPr>
            <w:r w:rsidRPr="006F53C4">
              <w:t>The department negotiates new and improved technical market access to international markets.</w:t>
            </w:r>
          </w:p>
        </w:tc>
      </w:tr>
      <w:tr w:rsidR="00EB518C" w14:paraId="2A30BD12" w14:textId="77777777" w:rsidTr="00CF7EB7">
        <w:trPr>
          <w:cantSplit/>
        </w:trPr>
        <w:tc>
          <w:tcPr>
            <w:tcW w:w="0" w:type="auto"/>
            <w:tcBorders>
              <w:top w:val="single" w:sz="4" w:space="0" w:color="auto"/>
              <w:left w:val="nil"/>
              <w:bottom w:val="dotted" w:sz="4" w:space="0" w:color="auto"/>
              <w:right w:val="nil"/>
            </w:tcBorders>
            <w:hideMark/>
          </w:tcPr>
          <w:p w14:paraId="41EADB7C" w14:textId="77777777" w:rsidR="00EB518C" w:rsidRDefault="00EB518C" w:rsidP="00CF7EB7">
            <w:pPr>
              <w:pStyle w:val="TableText"/>
            </w:pPr>
            <w:r>
              <w:t>Measure type</w:t>
            </w:r>
          </w:p>
        </w:tc>
        <w:tc>
          <w:tcPr>
            <w:tcW w:w="0" w:type="auto"/>
            <w:tcBorders>
              <w:top w:val="single" w:sz="4" w:space="0" w:color="auto"/>
              <w:left w:val="nil"/>
              <w:bottom w:val="dotted" w:sz="4" w:space="0" w:color="auto"/>
              <w:right w:val="nil"/>
            </w:tcBorders>
            <w:hideMark/>
          </w:tcPr>
          <w:p w14:paraId="69F2FF15" w14:textId="77777777" w:rsidR="00EB518C" w:rsidRDefault="00EB518C" w:rsidP="00CF7EB7">
            <w:pPr>
              <w:pStyle w:val="TableText"/>
            </w:pPr>
            <w:r w:rsidRPr="006F53C4">
              <w:t>Output</w:t>
            </w:r>
          </w:p>
        </w:tc>
      </w:tr>
      <w:tr w:rsidR="00EB518C" w14:paraId="43C95FED" w14:textId="77777777" w:rsidTr="00CF7EB7">
        <w:trPr>
          <w:cantSplit/>
        </w:trPr>
        <w:tc>
          <w:tcPr>
            <w:tcW w:w="0" w:type="auto"/>
            <w:tcBorders>
              <w:top w:val="dotted" w:sz="4" w:space="0" w:color="auto"/>
              <w:left w:val="nil"/>
              <w:bottom w:val="dotted" w:sz="4" w:space="0" w:color="auto"/>
              <w:right w:val="nil"/>
            </w:tcBorders>
            <w:hideMark/>
          </w:tcPr>
          <w:p w14:paraId="2AD2195B" w14:textId="77777777" w:rsidR="00EB518C" w:rsidRDefault="00EB518C" w:rsidP="00CF7EB7">
            <w:pPr>
              <w:pStyle w:val="TableText"/>
            </w:pPr>
            <w:r>
              <w:t>Target</w:t>
            </w:r>
          </w:p>
        </w:tc>
        <w:tc>
          <w:tcPr>
            <w:tcW w:w="0" w:type="auto"/>
            <w:tcBorders>
              <w:top w:val="dotted" w:sz="4" w:space="0" w:color="auto"/>
              <w:left w:val="nil"/>
              <w:bottom w:val="dotted" w:sz="4" w:space="0" w:color="auto"/>
              <w:right w:val="nil"/>
            </w:tcBorders>
            <w:hideMark/>
          </w:tcPr>
          <w:p w14:paraId="59238C47" w14:textId="77777777" w:rsidR="00EB518C" w:rsidRDefault="00EB518C" w:rsidP="00CF7EB7">
            <w:pPr>
              <w:pStyle w:val="TableText"/>
            </w:pPr>
            <w:r w:rsidRPr="006F53C4">
              <w:t>Each year, at least one new and one improved trade protocol is implemented by the department and made available to Australia’s agriculture, fisheries and forestry exporters.</w:t>
            </w:r>
          </w:p>
        </w:tc>
      </w:tr>
      <w:tr w:rsidR="00EB518C" w14:paraId="04B2DCCD" w14:textId="77777777" w:rsidTr="00CF7EB7">
        <w:trPr>
          <w:cantSplit/>
        </w:trPr>
        <w:tc>
          <w:tcPr>
            <w:tcW w:w="0" w:type="auto"/>
            <w:tcBorders>
              <w:top w:val="dotted" w:sz="4" w:space="0" w:color="auto"/>
              <w:left w:val="nil"/>
              <w:bottom w:val="dotted" w:sz="4" w:space="0" w:color="auto"/>
              <w:right w:val="nil"/>
            </w:tcBorders>
          </w:tcPr>
          <w:p w14:paraId="1F71E2AA" w14:textId="77777777" w:rsidR="00EB518C" w:rsidRDefault="00EB518C" w:rsidP="00CF7EB7">
            <w:pPr>
              <w:pStyle w:val="TableText"/>
            </w:pPr>
            <w:r>
              <w:t>Source</w:t>
            </w:r>
          </w:p>
        </w:tc>
        <w:tc>
          <w:tcPr>
            <w:tcW w:w="0" w:type="auto"/>
            <w:tcBorders>
              <w:top w:val="dotted" w:sz="4" w:space="0" w:color="auto"/>
              <w:left w:val="nil"/>
              <w:bottom w:val="dotted" w:sz="4" w:space="0" w:color="auto"/>
              <w:right w:val="nil"/>
            </w:tcBorders>
          </w:tcPr>
          <w:p w14:paraId="6F1145E2" w14:textId="77777777" w:rsidR="00EB518C" w:rsidRPr="00CF7EB7" w:rsidRDefault="00EB518C" w:rsidP="00CF7EB7">
            <w:pPr>
              <w:pStyle w:val="TableText"/>
              <w:rPr>
                <w:i/>
                <w:iCs/>
              </w:rPr>
            </w:pPr>
            <w:r w:rsidRPr="006F53C4">
              <w:rPr>
                <w:i/>
                <w:iCs/>
              </w:rPr>
              <w:t>Corporate Plan 2023-24</w:t>
            </w:r>
          </w:p>
        </w:tc>
      </w:tr>
      <w:tr w:rsidR="00EB518C" w14:paraId="6F49760A" w14:textId="77777777" w:rsidTr="00CF7EB7">
        <w:trPr>
          <w:cantSplit/>
        </w:trPr>
        <w:tc>
          <w:tcPr>
            <w:tcW w:w="0" w:type="auto"/>
            <w:tcBorders>
              <w:top w:val="dotted" w:sz="4" w:space="0" w:color="auto"/>
              <w:left w:val="nil"/>
              <w:bottom w:val="dotted" w:sz="4" w:space="0" w:color="auto"/>
              <w:right w:val="nil"/>
            </w:tcBorders>
            <w:hideMark/>
          </w:tcPr>
          <w:p w14:paraId="5CCD54F3" w14:textId="77777777" w:rsidR="00EB518C" w:rsidRDefault="00EB518C" w:rsidP="00CF7EB7">
            <w:pPr>
              <w:pStyle w:val="TableText"/>
            </w:pPr>
            <w:r>
              <w:t>Result</w:t>
            </w:r>
          </w:p>
        </w:tc>
        <w:tc>
          <w:tcPr>
            <w:tcW w:w="0" w:type="auto"/>
            <w:tcBorders>
              <w:top w:val="dotted" w:sz="4" w:space="0" w:color="auto"/>
              <w:left w:val="nil"/>
              <w:bottom w:val="dotted" w:sz="4" w:space="0" w:color="auto"/>
              <w:right w:val="nil"/>
            </w:tcBorders>
            <w:hideMark/>
          </w:tcPr>
          <w:p w14:paraId="4C40DC1F" w14:textId="77777777" w:rsidR="00EB518C" w:rsidRDefault="00EB518C" w:rsidP="00CF7EB7">
            <w:pPr>
              <w:pStyle w:val="TableText"/>
            </w:pPr>
            <w:r w:rsidRPr="006F53C4">
              <w:t>Achieved – 10 new export opportunities opened, and 44 improvements to market access</w:t>
            </w:r>
          </w:p>
        </w:tc>
      </w:tr>
      <w:tr w:rsidR="00EB518C" w14:paraId="6D3FC64E" w14:textId="77777777" w:rsidTr="00CF7EB7">
        <w:trPr>
          <w:cantSplit/>
        </w:trPr>
        <w:tc>
          <w:tcPr>
            <w:tcW w:w="0" w:type="auto"/>
            <w:tcBorders>
              <w:top w:val="dotted" w:sz="4" w:space="0" w:color="auto"/>
              <w:left w:val="nil"/>
              <w:bottom w:val="single" w:sz="4" w:space="0" w:color="auto"/>
              <w:right w:val="nil"/>
            </w:tcBorders>
            <w:hideMark/>
          </w:tcPr>
          <w:p w14:paraId="7042433C" w14:textId="77777777" w:rsidR="00EB518C" w:rsidRDefault="00EB518C" w:rsidP="00CF7EB7">
            <w:pPr>
              <w:pStyle w:val="TableText"/>
            </w:pPr>
            <w:r>
              <w:t>Tolerances</w:t>
            </w:r>
          </w:p>
        </w:tc>
        <w:tc>
          <w:tcPr>
            <w:tcW w:w="0" w:type="auto"/>
            <w:tcBorders>
              <w:top w:val="dotted" w:sz="4" w:space="0" w:color="auto"/>
              <w:left w:val="nil"/>
              <w:bottom w:val="single" w:sz="4" w:space="0" w:color="auto"/>
              <w:right w:val="nil"/>
            </w:tcBorders>
            <w:hideMark/>
          </w:tcPr>
          <w:p w14:paraId="391A3A53" w14:textId="77777777" w:rsidR="00EB518C" w:rsidRDefault="00EB518C" w:rsidP="00CF7EB7">
            <w:pPr>
              <w:pStyle w:val="TableText"/>
            </w:pPr>
            <w:r w:rsidRPr="006F53C4">
              <w:t xml:space="preserve">Achieved: If at least one new and one improved market access protocol is made available. </w:t>
            </w:r>
          </w:p>
          <w:p w14:paraId="3E3C60CA" w14:textId="77777777" w:rsidR="00EB518C" w:rsidRDefault="00EB518C" w:rsidP="00CF7EB7">
            <w:pPr>
              <w:pStyle w:val="TableText"/>
            </w:pPr>
            <w:r w:rsidRPr="006F53C4">
              <w:t xml:space="preserve">Partially achieved: Not applicable. </w:t>
            </w:r>
          </w:p>
          <w:p w14:paraId="2D59E8AB" w14:textId="77777777" w:rsidR="00EB518C" w:rsidRDefault="00EB518C" w:rsidP="00CF7EB7">
            <w:pPr>
              <w:pStyle w:val="TableText"/>
            </w:pPr>
            <w:r w:rsidRPr="006F53C4">
              <w:t>Not achieved: If the department fails to deliver at least one new and one improved market access protocol.</w:t>
            </w:r>
          </w:p>
        </w:tc>
      </w:tr>
      <w:tr w:rsidR="00EB518C" w14:paraId="6D00612A" w14:textId="77777777" w:rsidTr="00CF7EB7">
        <w:trPr>
          <w:cantSplit/>
        </w:trPr>
        <w:tc>
          <w:tcPr>
            <w:tcW w:w="0" w:type="auto"/>
            <w:tcBorders>
              <w:top w:val="single" w:sz="4" w:space="0" w:color="auto"/>
              <w:left w:val="nil"/>
              <w:bottom w:val="single" w:sz="4" w:space="0" w:color="auto"/>
              <w:right w:val="nil"/>
            </w:tcBorders>
          </w:tcPr>
          <w:p w14:paraId="42A7848A" w14:textId="77777777" w:rsidR="00EB518C" w:rsidRPr="00CF7EB7" w:rsidRDefault="00EB518C" w:rsidP="00CF7EB7">
            <w:pPr>
              <w:pStyle w:val="TableText"/>
              <w:rPr>
                <w:b/>
                <w:bCs/>
              </w:rPr>
            </w:pPr>
            <w:r w:rsidRPr="00CF7EB7">
              <w:rPr>
                <w:b/>
                <w:bCs/>
              </w:rPr>
              <w:lastRenderedPageBreak/>
              <w:t>Measure IG–0</w:t>
            </w:r>
            <w:r>
              <w:rPr>
                <w:b/>
                <w:bCs/>
              </w:rPr>
              <w:t>6</w:t>
            </w:r>
          </w:p>
        </w:tc>
        <w:tc>
          <w:tcPr>
            <w:tcW w:w="0" w:type="auto"/>
            <w:tcBorders>
              <w:top w:val="single" w:sz="4" w:space="0" w:color="auto"/>
              <w:left w:val="nil"/>
              <w:bottom w:val="single" w:sz="4" w:space="0" w:color="auto"/>
              <w:right w:val="nil"/>
            </w:tcBorders>
          </w:tcPr>
          <w:p w14:paraId="2F9472AF" w14:textId="77777777" w:rsidR="00EB518C" w:rsidRPr="006F53C4" w:rsidRDefault="00EB518C" w:rsidP="00CF7EB7">
            <w:pPr>
              <w:pStyle w:val="TableText"/>
            </w:pPr>
            <w:r w:rsidRPr="006F53C4">
              <w:t>The department negotiates to maintain technical market access to international markets when trade is threatened and restores trade where it has been lost.</w:t>
            </w:r>
          </w:p>
        </w:tc>
      </w:tr>
      <w:tr w:rsidR="00EB518C" w14:paraId="54294219" w14:textId="77777777" w:rsidTr="00CF7EB7">
        <w:trPr>
          <w:cantSplit/>
        </w:trPr>
        <w:tc>
          <w:tcPr>
            <w:tcW w:w="0" w:type="auto"/>
            <w:tcBorders>
              <w:top w:val="single" w:sz="4" w:space="0" w:color="auto"/>
              <w:left w:val="nil"/>
              <w:bottom w:val="dotted" w:sz="4" w:space="0" w:color="auto"/>
              <w:right w:val="nil"/>
            </w:tcBorders>
          </w:tcPr>
          <w:p w14:paraId="429C6DF0" w14:textId="77777777" w:rsidR="00EB518C" w:rsidRDefault="00EB518C" w:rsidP="00CF7EB7">
            <w:pPr>
              <w:pStyle w:val="TableText"/>
            </w:pPr>
            <w:r>
              <w:t>Measure type</w:t>
            </w:r>
          </w:p>
        </w:tc>
        <w:tc>
          <w:tcPr>
            <w:tcW w:w="0" w:type="auto"/>
            <w:tcBorders>
              <w:top w:val="single" w:sz="4" w:space="0" w:color="auto"/>
              <w:left w:val="nil"/>
              <w:bottom w:val="dotted" w:sz="4" w:space="0" w:color="auto"/>
              <w:right w:val="nil"/>
            </w:tcBorders>
          </w:tcPr>
          <w:p w14:paraId="06325666" w14:textId="77777777" w:rsidR="00EB518C" w:rsidRPr="006F53C4" w:rsidRDefault="00EB518C" w:rsidP="00CF7EB7">
            <w:pPr>
              <w:pStyle w:val="TableText"/>
            </w:pPr>
            <w:r w:rsidRPr="006F53C4">
              <w:t>Output</w:t>
            </w:r>
          </w:p>
        </w:tc>
      </w:tr>
      <w:tr w:rsidR="00EB518C" w14:paraId="1BE944BD" w14:textId="77777777" w:rsidTr="00CF7EB7">
        <w:trPr>
          <w:cantSplit/>
        </w:trPr>
        <w:tc>
          <w:tcPr>
            <w:tcW w:w="0" w:type="auto"/>
            <w:tcBorders>
              <w:top w:val="dotted" w:sz="4" w:space="0" w:color="auto"/>
              <w:left w:val="nil"/>
              <w:bottom w:val="dotted" w:sz="4" w:space="0" w:color="auto"/>
              <w:right w:val="nil"/>
            </w:tcBorders>
          </w:tcPr>
          <w:p w14:paraId="4DD99804" w14:textId="77777777" w:rsidR="00EB518C" w:rsidRDefault="00EB518C" w:rsidP="00CF7EB7">
            <w:pPr>
              <w:pStyle w:val="TableText"/>
            </w:pPr>
            <w:r>
              <w:t>Target</w:t>
            </w:r>
          </w:p>
        </w:tc>
        <w:tc>
          <w:tcPr>
            <w:tcW w:w="0" w:type="auto"/>
            <w:tcBorders>
              <w:top w:val="dotted" w:sz="4" w:space="0" w:color="auto"/>
              <w:left w:val="nil"/>
              <w:bottom w:val="dotted" w:sz="4" w:space="0" w:color="auto"/>
              <w:right w:val="nil"/>
            </w:tcBorders>
          </w:tcPr>
          <w:p w14:paraId="2FA9B09D" w14:textId="77777777" w:rsidR="00EB518C" w:rsidRPr="006F53C4" w:rsidRDefault="00EB518C" w:rsidP="00CF7EB7">
            <w:pPr>
              <w:pStyle w:val="TableText"/>
            </w:pPr>
            <w:r w:rsidRPr="006F53C4">
              <w:t>Not applicable.</w:t>
            </w:r>
          </w:p>
        </w:tc>
      </w:tr>
      <w:tr w:rsidR="00EB518C" w14:paraId="3B400F21" w14:textId="77777777" w:rsidTr="00CF7EB7">
        <w:trPr>
          <w:cantSplit/>
        </w:trPr>
        <w:tc>
          <w:tcPr>
            <w:tcW w:w="0" w:type="auto"/>
            <w:tcBorders>
              <w:top w:val="dotted" w:sz="4" w:space="0" w:color="auto"/>
              <w:left w:val="nil"/>
              <w:bottom w:val="dotted" w:sz="4" w:space="0" w:color="auto"/>
              <w:right w:val="nil"/>
            </w:tcBorders>
          </w:tcPr>
          <w:p w14:paraId="5EFEC7FF" w14:textId="77777777" w:rsidR="00EB518C" w:rsidRDefault="00EB518C" w:rsidP="00CF7EB7">
            <w:pPr>
              <w:pStyle w:val="TableText"/>
            </w:pPr>
            <w:r>
              <w:t>Source</w:t>
            </w:r>
          </w:p>
        </w:tc>
        <w:tc>
          <w:tcPr>
            <w:tcW w:w="0" w:type="auto"/>
            <w:tcBorders>
              <w:top w:val="dotted" w:sz="4" w:space="0" w:color="auto"/>
              <w:left w:val="nil"/>
              <w:bottom w:val="dotted" w:sz="4" w:space="0" w:color="auto"/>
              <w:right w:val="nil"/>
            </w:tcBorders>
          </w:tcPr>
          <w:p w14:paraId="6F4B6A75" w14:textId="77777777" w:rsidR="00EB518C" w:rsidRPr="006F53C4" w:rsidRDefault="00EB518C" w:rsidP="00CF7EB7">
            <w:pPr>
              <w:pStyle w:val="TableText"/>
            </w:pPr>
            <w:r w:rsidRPr="006F53C4">
              <w:rPr>
                <w:i/>
                <w:iCs/>
              </w:rPr>
              <w:t>Corporate Plan 2023-24</w:t>
            </w:r>
          </w:p>
        </w:tc>
      </w:tr>
      <w:tr w:rsidR="00EB518C" w14:paraId="751D28E0" w14:textId="77777777" w:rsidTr="00CF7EB7">
        <w:trPr>
          <w:cantSplit/>
        </w:trPr>
        <w:tc>
          <w:tcPr>
            <w:tcW w:w="0" w:type="auto"/>
            <w:tcBorders>
              <w:top w:val="dotted" w:sz="4" w:space="0" w:color="auto"/>
              <w:left w:val="nil"/>
              <w:bottom w:val="dotted" w:sz="4" w:space="0" w:color="auto"/>
              <w:right w:val="nil"/>
            </w:tcBorders>
          </w:tcPr>
          <w:p w14:paraId="23912BF3" w14:textId="77777777" w:rsidR="00EB518C" w:rsidRDefault="00EB518C" w:rsidP="00CF7EB7">
            <w:pPr>
              <w:pStyle w:val="TableText"/>
            </w:pPr>
            <w:r>
              <w:t>Result</w:t>
            </w:r>
          </w:p>
        </w:tc>
        <w:tc>
          <w:tcPr>
            <w:tcW w:w="0" w:type="auto"/>
            <w:tcBorders>
              <w:top w:val="dotted" w:sz="4" w:space="0" w:color="auto"/>
              <w:left w:val="nil"/>
              <w:bottom w:val="dotted" w:sz="4" w:space="0" w:color="auto"/>
              <w:right w:val="nil"/>
            </w:tcBorders>
          </w:tcPr>
          <w:p w14:paraId="134FBD48" w14:textId="77777777" w:rsidR="00EB518C" w:rsidRPr="006F53C4" w:rsidRDefault="00EB518C" w:rsidP="00CF7EB7">
            <w:pPr>
              <w:pStyle w:val="TableText"/>
              <w:rPr>
                <w:i/>
                <w:iCs/>
              </w:rPr>
            </w:pPr>
            <w:r w:rsidRPr="006F53C4">
              <w:t>There were 29 instances of maintained market access and 5 instances of restored market access. These actions protected markets worth a potential $4.6 billion</w:t>
            </w:r>
          </w:p>
        </w:tc>
      </w:tr>
      <w:tr w:rsidR="00EB518C" w14:paraId="3864F2EC" w14:textId="77777777" w:rsidTr="00CF7EB7">
        <w:trPr>
          <w:cantSplit/>
        </w:trPr>
        <w:tc>
          <w:tcPr>
            <w:tcW w:w="0" w:type="auto"/>
            <w:tcBorders>
              <w:top w:val="dotted" w:sz="4" w:space="0" w:color="auto"/>
              <w:left w:val="nil"/>
              <w:bottom w:val="single" w:sz="4" w:space="0" w:color="auto"/>
              <w:right w:val="nil"/>
            </w:tcBorders>
          </w:tcPr>
          <w:p w14:paraId="7AB622A4" w14:textId="77777777" w:rsidR="00EB518C" w:rsidRDefault="00EB518C" w:rsidP="00CF7EB7">
            <w:pPr>
              <w:pStyle w:val="TableText"/>
            </w:pPr>
            <w:r>
              <w:t>Tolerances</w:t>
            </w:r>
          </w:p>
        </w:tc>
        <w:tc>
          <w:tcPr>
            <w:tcW w:w="0" w:type="auto"/>
            <w:tcBorders>
              <w:top w:val="dotted" w:sz="4" w:space="0" w:color="auto"/>
              <w:left w:val="nil"/>
              <w:bottom w:val="single" w:sz="4" w:space="0" w:color="auto"/>
              <w:right w:val="nil"/>
            </w:tcBorders>
          </w:tcPr>
          <w:p w14:paraId="385BE4CA" w14:textId="77777777" w:rsidR="00EB518C" w:rsidRPr="006F53C4" w:rsidRDefault="00EB518C" w:rsidP="00CF7EB7">
            <w:pPr>
              <w:pStyle w:val="TableText"/>
            </w:pPr>
            <w:r w:rsidRPr="006F53C4">
              <w:t>Not applicable.</w:t>
            </w:r>
          </w:p>
        </w:tc>
      </w:tr>
    </w:tbl>
    <w:p w14:paraId="13C823E6" w14:textId="77777777" w:rsidR="00EB518C" w:rsidRDefault="00EB518C" w:rsidP="00EB518C">
      <w:pPr>
        <w:pStyle w:val="Caption"/>
        <w:spacing w:before="120"/>
      </w:pPr>
      <w:bookmarkStart w:id="195" w:name="_Toc156297935"/>
      <w:bookmarkStart w:id="196" w:name="_Toc165030414"/>
      <w:bookmarkStart w:id="197" w:name="_Hlk164754650"/>
      <w:bookmarkEnd w:id="194"/>
      <w:r>
        <w:t>Key activity 1.3 Streamline export regulations and compliance arrangements</w:t>
      </w:r>
      <w:bookmarkEnd w:id="195"/>
      <w:bookmarkEnd w:id="19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217"/>
        <w:gridCol w:w="7853"/>
      </w:tblGrid>
      <w:tr w:rsidR="00EB518C" w14:paraId="09B771C3" w14:textId="77777777" w:rsidTr="00CF7EB7">
        <w:tc>
          <w:tcPr>
            <w:tcW w:w="671" w:type="pct"/>
            <w:tcBorders>
              <w:top w:val="single" w:sz="4" w:space="0" w:color="auto"/>
              <w:left w:val="nil"/>
              <w:bottom w:val="single" w:sz="4" w:space="0" w:color="auto"/>
              <w:right w:val="nil"/>
            </w:tcBorders>
            <w:hideMark/>
          </w:tcPr>
          <w:p w14:paraId="0015F212" w14:textId="77777777" w:rsidR="00EB518C" w:rsidRDefault="00EB518C" w:rsidP="00CF7EB7">
            <w:pPr>
              <w:pStyle w:val="TableHeading"/>
              <w:rPr>
                <w:rStyle w:val="Strong"/>
                <w:b/>
                <w:bCs w:val="0"/>
              </w:rPr>
            </w:pPr>
            <w:bookmarkStart w:id="198" w:name="_Hlk164705412"/>
            <w:bookmarkEnd w:id="197"/>
            <w:r>
              <w:t>Measure IG–07</w:t>
            </w:r>
          </w:p>
        </w:tc>
        <w:tc>
          <w:tcPr>
            <w:tcW w:w="4329" w:type="pct"/>
            <w:tcBorders>
              <w:top w:val="single" w:sz="4" w:space="0" w:color="auto"/>
              <w:left w:val="nil"/>
              <w:bottom w:val="single" w:sz="4" w:space="0" w:color="auto"/>
              <w:right w:val="nil"/>
            </w:tcBorders>
            <w:hideMark/>
          </w:tcPr>
          <w:p w14:paraId="64F442E7" w14:textId="77777777" w:rsidR="00EB518C" w:rsidRDefault="00EB518C" w:rsidP="00CF7EB7">
            <w:pPr>
              <w:pStyle w:val="TableText"/>
            </w:pPr>
            <w:r>
              <w:t>Increase in the number of electronic certificates for export issued (moving to paperless trade).</w:t>
            </w:r>
          </w:p>
        </w:tc>
      </w:tr>
      <w:tr w:rsidR="00EB518C" w14:paraId="18974C7E" w14:textId="77777777" w:rsidTr="00CF7EB7">
        <w:tc>
          <w:tcPr>
            <w:tcW w:w="671" w:type="pct"/>
            <w:tcBorders>
              <w:top w:val="single" w:sz="4" w:space="0" w:color="auto"/>
              <w:left w:val="nil"/>
              <w:bottom w:val="dotted" w:sz="4" w:space="0" w:color="auto"/>
              <w:right w:val="nil"/>
            </w:tcBorders>
            <w:hideMark/>
          </w:tcPr>
          <w:p w14:paraId="5D93FEC9" w14:textId="77777777" w:rsidR="00EB518C" w:rsidRPr="006F53C4" w:rsidRDefault="00EB518C" w:rsidP="00CF7EB7">
            <w:pPr>
              <w:pStyle w:val="TableText"/>
              <w:rPr>
                <w:rStyle w:val="Strong"/>
                <w:b w:val="0"/>
                <w:bCs w:val="0"/>
              </w:rPr>
            </w:pPr>
            <w:r w:rsidRPr="00CF7EB7">
              <w:rPr>
                <w:rStyle w:val="Strong"/>
                <w:b w:val="0"/>
                <w:bCs w:val="0"/>
              </w:rPr>
              <w:t>Measure type</w:t>
            </w:r>
          </w:p>
        </w:tc>
        <w:tc>
          <w:tcPr>
            <w:tcW w:w="4329" w:type="pct"/>
            <w:tcBorders>
              <w:top w:val="single" w:sz="4" w:space="0" w:color="auto"/>
              <w:left w:val="nil"/>
              <w:bottom w:val="dotted" w:sz="4" w:space="0" w:color="auto"/>
              <w:right w:val="nil"/>
            </w:tcBorders>
            <w:hideMark/>
          </w:tcPr>
          <w:p w14:paraId="11A240A9" w14:textId="77777777" w:rsidR="00EB518C" w:rsidRDefault="00EB518C" w:rsidP="00CF7EB7">
            <w:pPr>
              <w:pStyle w:val="TableText"/>
            </w:pPr>
            <w:r w:rsidRPr="006F53C4">
              <w:t>Efficiency and regulatory.</w:t>
            </w:r>
          </w:p>
        </w:tc>
      </w:tr>
      <w:tr w:rsidR="00EB518C" w14:paraId="55A85529" w14:textId="77777777" w:rsidTr="00CF7EB7">
        <w:tc>
          <w:tcPr>
            <w:tcW w:w="671" w:type="pct"/>
            <w:tcBorders>
              <w:top w:val="dotted" w:sz="4" w:space="0" w:color="auto"/>
              <w:left w:val="nil"/>
              <w:bottom w:val="dotted" w:sz="4" w:space="0" w:color="auto"/>
              <w:right w:val="nil"/>
            </w:tcBorders>
            <w:hideMark/>
          </w:tcPr>
          <w:p w14:paraId="7F5E40FB" w14:textId="77777777" w:rsidR="00EB518C" w:rsidRPr="006F53C4" w:rsidRDefault="00EB518C" w:rsidP="00CF7EB7">
            <w:pPr>
              <w:pStyle w:val="TableText"/>
              <w:rPr>
                <w:rStyle w:val="Strong"/>
                <w:b w:val="0"/>
                <w:bCs w:val="0"/>
              </w:rPr>
            </w:pPr>
            <w:r w:rsidRPr="00CF7EB7">
              <w:rPr>
                <w:rStyle w:val="Strong"/>
                <w:b w:val="0"/>
                <w:bCs w:val="0"/>
              </w:rPr>
              <w:t>Target</w:t>
            </w:r>
          </w:p>
        </w:tc>
        <w:tc>
          <w:tcPr>
            <w:tcW w:w="4329" w:type="pct"/>
            <w:tcBorders>
              <w:top w:val="dotted" w:sz="4" w:space="0" w:color="auto"/>
              <w:left w:val="nil"/>
              <w:bottom w:val="dotted" w:sz="4" w:space="0" w:color="auto"/>
              <w:right w:val="nil"/>
            </w:tcBorders>
            <w:hideMark/>
          </w:tcPr>
          <w:p w14:paraId="5DEFDAC3" w14:textId="77777777" w:rsidR="00EB518C" w:rsidRDefault="00EB518C" w:rsidP="00CF7EB7">
            <w:pPr>
              <w:pStyle w:val="TableText"/>
            </w:pPr>
            <w:r w:rsidRPr="006F53C4">
              <w:t>Plus 2.5% of the final 2022–23 eCert number (61,237).</w:t>
            </w:r>
          </w:p>
        </w:tc>
      </w:tr>
      <w:tr w:rsidR="00EB518C" w14:paraId="50B8D182" w14:textId="77777777" w:rsidTr="00CF7EB7">
        <w:tc>
          <w:tcPr>
            <w:tcW w:w="671" w:type="pct"/>
            <w:tcBorders>
              <w:top w:val="dotted" w:sz="4" w:space="0" w:color="auto"/>
              <w:left w:val="nil"/>
              <w:bottom w:val="dotted" w:sz="4" w:space="0" w:color="auto"/>
              <w:right w:val="nil"/>
            </w:tcBorders>
          </w:tcPr>
          <w:p w14:paraId="35D7FC6F" w14:textId="77777777" w:rsidR="00EB518C" w:rsidRPr="00CF7EB7" w:rsidRDefault="00EB518C" w:rsidP="00CF7EB7">
            <w:pPr>
              <w:pStyle w:val="TableText"/>
              <w:rPr>
                <w:rStyle w:val="Strong"/>
                <w:b w:val="0"/>
                <w:bCs w:val="0"/>
              </w:rPr>
            </w:pPr>
            <w:r w:rsidRPr="00CF7EB7">
              <w:rPr>
                <w:rStyle w:val="Strong"/>
                <w:b w:val="0"/>
                <w:bCs w:val="0"/>
              </w:rPr>
              <w:t>Sources</w:t>
            </w:r>
          </w:p>
        </w:tc>
        <w:tc>
          <w:tcPr>
            <w:tcW w:w="4329" w:type="pct"/>
            <w:tcBorders>
              <w:top w:val="dotted" w:sz="4" w:space="0" w:color="auto"/>
              <w:left w:val="nil"/>
              <w:bottom w:val="dotted" w:sz="4" w:space="0" w:color="auto"/>
              <w:right w:val="nil"/>
            </w:tcBorders>
          </w:tcPr>
          <w:p w14:paraId="39FBEF70" w14:textId="77777777" w:rsidR="00EB518C" w:rsidRPr="00CF7EB7" w:rsidRDefault="00EB518C" w:rsidP="00CF7EB7">
            <w:pPr>
              <w:pStyle w:val="TableText"/>
              <w:rPr>
                <w:i/>
                <w:iCs/>
              </w:rPr>
            </w:pPr>
            <w:r w:rsidRPr="00CF7EB7">
              <w:rPr>
                <w:i/>
                <w:iCs/>
              </w:rPr>
              <w:t>Corporate Plan 2023-24</w:t>
            </w:r>
          </w:p>
          <w:p w14:paraId="111D6F9C" w14:textId="77777777" w:rsidR="00EB518C" w:rsidRPr="00CF7EB7" w:rsidRDefault="00EB518C" w:rsidP="00CF7EB7">
            <w:pPr>
              <w:pStyle w:val="TableText"/>
              <w:rPr>
                <w:i/>
                <w:iCs/>
              </w:rPr>
            </w:pPr>
            <w:r w:rsidRPr="00CF7EB7">
              <w:rPr>
                <w:i/>
                <w:iCs/>
              </w:rPr>
              <w:t>Portfolio Budget Statements 2023-24</w:t>
            </w:r>
          </w:p>
          <w:p w14:paraId="314F77EF" w14:textId="77777777" w:rsidR="00EB518C" w:rsidRDefault="00EB518C" w:rsidP="00CF7EB7">
            <w:pPr>
              <w:pStyle w:val="TableText"/>
            </w:pPr>
            <w:r>
              <w:t>Programs: 1.13</w:t>
            </w:r>
          </w:p>
        </w:tc>
      </w:tr>
      <w:tr w:rsidR="00EB518C" w14:paraId="29244161" w14:textId="77777777" w:rsidTr="00CF7EB7">
        <w:tc>
          <w:tcPr>
            <w:tcW w:w="671" w:type="pct"/>
            <w:tcBorders>
              <w:top w:val="dotted" w:sz="4" w:space="0" w:color="auto"/>
              <w:left w:val="nil"/>
              <w:bottom w:val="dotted" w:sz="4" w:space="0" w:color="auto"/>
              <w:right w:val="nil"/>
            </w:tcBorders>
            <w:hideMark/>
          </w:tcPr>
          <w:p w14:paraId="5D4A3F38" w14:textId="77777777" w:rsidR="00EB518C" w:rsidRPr="006F53C4" w:rsidRDefault="00EB518C" w:rsidP="00CF7EB7">
            <w:pPr>
              <w:pStyle w:val="TableText"/>
              <w:rPr>
                <w:rStyle w:val="Strong"/>
                <w:b w:val="0"/>
                <w:bCs w:val="0"/>
              </w:rPr>
            </w:pPr>
            <w:r w:rsidRPr="00CF7EB7">
              <w:rPr>
                <w:rStyle w:val="Strong"/>
                <w:b w:val="0"/>
                <w:bCs w:val="0"/>
              </w:rPr>
              <w:t>Result</w:t>
            </w:r>
          </w:p>
        </w:tc>
        <w:tc>
          <w:tcPr>
            <w:tcW w:w="4329" w:type="pct"/>
            <w:tcBorders>
              <w:top w:val="dotted" w:sz="4" w:space="0" w:color="auto"/>
              <w:left w:val="nil"/>
              <w:bottom w:val="dotted" w:sz="4" w:space="0" w:color="auto"/>
              <w:right w:val="nil"/>
            </w:tcBorders>
            <w:hideMark/>
          </w:tcPr>
          <w:p w14:paraId="04681CC4" w14:textId="77777777" w:rsidR="00EB518C" w:rsidRDefault="00EB518C" w:rsidP="00CF7EB7">
            <w:pPr>
              <w:pStyle w:val="TableText"/>
            </w:pPr>
            <w:r w:rsidRPr="00F76382">
              <w:t>Achieved – 21.9% increase in the number of electronic certificates issued for export (74,661 in 2023–24 compared with 61,237 in 2022–23).</w:t>
            </w:r>
          </w:p>
        </w:tc>
      </w:tr>
      <w:tr w:rsidR="00EB518C" w14:paraId="76DD969C" w14:textId="77777777" w:rsidTr="00CF7EB7">
        <w:tc>
          <w:tcPr>
            <w:tcW w:w="671" w:type="pct"/>
            <w:tcBorders>
              <w:top w:val="dotted" w:sz="4" w:space="0" w:color="auto"/>
              <w:left w:val="nil"/>
              <w:bottom w:val="single" w:sz="4" w:space="0" w:color="auto"/>
              <w:right w:val="nil"/>
            </w:tcBorders>
            <w:hideMark/>
          </w:tcPr>
          <w:p w14:paraId="6EECE639" w14:textId="77777777" w:rsidR="00EB518C" w:rsidRPr="006F53C4" w:rsidRDefault="00EB518C" w:rsidP="00CF7EB7">
            <w:pPr>
              <w:pStyle w:val="TableText"/>
              <w:rPr>
                <w:rStyle w:val="Strong"/>
                <w:b w:val="0"/>
                <w:bCs w:val="0"/>
              </w:rPr>
            </w:pPr>
            <w:r w:rsidRPr="00CF7EB7">
              <w:rPr>
                <w:rStyle w:val="Strong"/>
                <w:b w:val="0"/>
                <w:bCs w:val="0"/>
              </w:rPr>
              <w:t>Tolerances</w:t>
            </w:r>
          </w:p>
        </w:tc>
        <w:tc>
          <w:tcPr>
            <w:tcW w:w="4329" w:type="pct"/>
            <w:tcBorders>
              <w:top w:val="dotted" w:sz="4" w:space="0" w:color="auto"/>
              <w:left w:val="nil"/>
              <w:bottom w:val="single" w:sz="4" w:space="0" w:color="auto"/>
              <w:right w:val="nil"/>
            </w:tcBorders>
            <w:hideMark/>
          </w:tcPr>
          <w:p w14:paraId="11491D8F" w14:textId="77777777" w:rsidR="00EB518C" w:rsidRDefault="00EB518C" w:rsidP="00CF7EB7">
            <w:pPr>
              <w:pStyle w:val="TableText"/>
            </w:pPr>
            <w:r>
              <w:t>Achieved: 100%.</w:t>
            </w:r>
          </w:p>
          <w:p w14:paraId="3CFFAC60" w14:textId="77777777" w:rsidR="00EB518C" w:rsidRDefault="00EB518C" w:rsidP="00CF7EB7">
            <w:pPr>
              <w:pStyle w:val="TableText"/>
            </w:pPr>
            <w:r>
              <w:t>Partially achieved: 50% to 99%.</w:t>
            </w:r>
          </w:p>
          <w:p w14:paraId="3784A5E8" w14:textId="77777777" w:rsidR="00EB518C" w:rsidRDefault="00EB518C" w:rsidP="00CF7EB7">
            <w:pPr>
              <w:pStyle w:val="TableText"/>
            </w:pPr>
            <w:r>
              <w:t>Not achieved: 0% to 49%.</w:t>
            </w:r>
          </w:p>
        </w:tc>
      </w:tr>
    </w:tbl>
    <w:p w14:paraId="2DE7DD01" w14:textId="77777777" w:rsidR="00EB518C" w:rsidRDefault="00EB518C" w:rsidP="00EB518C">
      <w:pPr>
        <w:pStyle w:val="FigureTableNoteSource"/>
        <w:rPr>
          <w:szCs w:val="28"/>
        </w:rPr>
      </w:pPr>
      <w:bookmarkStart w:id="199" w:name="_Hlk155963386"/>
      <w:bookmarkEnd w:id="198"/>
      <w:r>
        <w:rPr>
          <w:rStyle w:val="Strong"/>
        </w:rPr>
        <w:t>Note:</w:t>
      </w:r>
      <w:r>
        <w:t xml:space="preserve"> For a complete picture of our performance</w:t>
      </w:r>
      <w:bookmarkStart w:id="200" w:name="_Hlk164164416"/>
      <w:r>
        <w:t>, see Part 1: Annual performance statements – Our performance measures,</w:t>
      </w:r>
      <w:bookmarkEnd w:id="200"/>
      <w:r>
        <w:t xml:space="preserve"> of the </w:t>
      </w:r>
      <w:hyperlink r:id="rId33" w:history="1">
        <w:r>
          <w:rPr>
            <w:rStyle w:val="Hyperlink"/>
          </w:rPr>
          <w:t>Annual report 2023-24</w:t>
        </w:r>
      </w:hyperlink>
      <w:r>
        <w:rPr>
          <w:szCs w:val="28"/>
        </w:rPr>
        <w:t>.</w:t>
      </w:r>
      <w:bookmarkEnd w:id="199"/>
    </w:p>
    <w:bookmarkEnd w:id="186"/>
    <w:p w14:paraId="725E3DC9" w14:textId="77777777" w:rsidR="00EB518C" w:rsidRPr="008706A8" w:rsidRDefault="00EB518C" w:rsidP="00305BDC">
      <w:pPr>
        <w:rPr>
          <w:rFonts w:ascii="Calibri" w:eastAsia="Calibri" w:hAnsi="Calibri" w:cs="Times New Roman"/>
        </w:rPr>
      </w:pPr>
    </w:p>
    <w:p w14:paraId="33BA3A2E" w14:textId="77777777" w:rsidR="007010B3" w:rsidRPr="00FD54CC" w:rsidRDefault="007010B3" w:rsidP="00DD32C4">
      <w:pPr>
        <w:pStyle w:val="Heading2"/>
      </w:pPr>
      <w:bookmarkStart w:id="201" w:name="_Toc189134971"/>
      <w:bookmarkStart w:id="202" w:name="_Toc189134972"/>
      <w:bookmarkStart w:id="203" w:name="_Toc54882422"/>
      <w:bookmarkStart w:id="204" w:name="_Toc54981399"/>
      <w:bookmarkStart w:id="205" w:name="_Toc54981978"/>
      <w:bookmarkStart w:id="206" w:name="_Toc55033724"/>
      <w:bookmarkStart w:id="207" w:name="_Toc55034303"/>
      <w:bookmarkStart w:id="208" w:name="_Toc55034882"/>
      <w:bookmarkStart w:id="209" w:name="_Toc34985824"/>
      <w:bookmarkStart w:id="210" w:name="_Toc35933469"/>
      <w:bookmarkStart w:id="211" w:name="_Toc36040273"/>
      <w:bookmarkStart w:id="212" w:name="_Toc51580679"/>
      <w:bookmarkStart w:id="213" w:name="_Toc51582033"/>
      <w:bookmarkStart w:id="214" w:name="_Toc51582218"/>
      <w:bookmarkStart w:id="215" w:name="_Toc54092576"/>
      <w:bookmarkStart w:id="216" w:name="_Toc54092858"/>
      <w:bookmarkStart w:id="217" w:name="_Toc54093140"/>
      <w:bookmarkStart w:id="218" w:name="_Toc54093422"/>
      <w:bookmarkStart w:id="219" w:name="_Toc54093704"/>
      <w:bookmarkStart w:id="220" w:name="_Toc54337505"/>
      <w:bookmarkStart w:id="221" w:name="_Toc54338030"/>
      <w:bookmarkStart w:id="222" w:name="_Toc54338549"/>
      <w:bookmarkStart w:id="223" w:name="_Toc54339068"/>
      <w:bookmarkStart w:id="224" w:name="_Toc54339587"/>
      <w:bookmarkStart w:id="225" w:name="_Toc54340106"/>
      <w:bookmarkStart w:id="226" w:name="_Toc54341347"/>
      <w:bookmarkStart w:id="227" w:name="_Toc54342128"/>
      <w:bookmarkStart w:id="228" w:name="_Toc54342647"/>
      <w:bookmarkStart w:id="229" w:name="_Toc54343166"/>
      <w:bookmarkStart w:id="230" w:name="_Toc54343685"/>
      <w:bookmarkStart w:id="231" w:name="_Toc54868525"/>
      <w:bookmarkStart w:id="232" w:name="_Toc54882423"/>
      <w:bookmarkStart w:id="233" w:name="_Toc54981400"/>
      <w:bookmarkStart w:id="234" w:name="_Toc54981979"/>
      <w:bookmarkStart w:id="235" w:name="_Toc55033725"/>
      <w:bookmarkStart w:id="236" w:name="_Toc55034304"/>
      <w:bookmarkStart w:id="237" w:name="_Toc55034883"/>
      <w:bookmarkStart w:id="238" w:name="_Toc189134973"/>
      <w:bookmarkStart w:id="239" w:name="_Toc189134974"/>
      <w:bookmarkStart w:id="240" w:name="_Toc189134975"/>
      <w:bookmarkStart w:id="241" w:name="_Toc189135018"/>
      <w:bookmarkStart w:id="242" w:name="_Toc189135019"/>
      <w:bookmarkStart w:id="243" w:name="_Toc189135020"/>
      <w:bookmarkStart w:id="244" w:name="_Toc189135021"/>
      <w:bookmarkStart w:id="245" w:name="_Toc189135058"/>
      <w:bookmarkStart w:id="246" w:name="_Toc189135059"/>
      <w:bookmarkStart w:id="247" w:name="_Toc189135060"/>
      <w:bookmarkStart w:id="248" w:name="_Toc189135061"/>
      <w:bookmarkStart w:id="249" w:name="_Toc189135062"/>
      <w:bookmarkStart w:id="250" w:name="_Toc189135063"/>
      <w:bookmarkStart w:id="251" w:name="_Toc189135064"/>
      <w:bookmarkStart w:id="252" w:name="Row_Title_1"/>
      <w:bookmarkStart w:id="253" w:name="_Toc189135082"/>
      <w:bookmarkStart w:id="254" w:name="_Toc189135100"/>
      <w:bookmarkStart w:id="255" w:name="_Toc58503181"/>
      <w:bookmarkStart w:id="256" w:name="_Toc59528165"/>
      <w:bookmarkStart w:id="257" w:name="_Toc58503182"/>
      <w:bookmarkStart w:id="258" w:name="_Toc59528166"/>
      <w:bookmarkStart w:id="259" w:name="_Toc58503264"/>
      <w:bookmarkStart w:id="260" w:name="_Toc59528248"/>
      <w:bookmarkStart w:id="261" w:name="_Toc54882475"/>
      <w:bookmarkStart w:id="262" w:name="_Toc54981452"/>
      <w:bookmarkStart w:id="263" w:name="_Toc54982031"/>
      <w:bookmarkStart w:id="264" w:name="_Toc55033777"/>
      <w:bookmarkStart w:id="265" w:name="_Toc55034356"/>
      <w:bookmarkStart w:id="266" w:name="_Toc55034935"/>
      <w:bookmarkStart w:id="267" w:name="_Toc189135118"/>
      <w:bookmarkStart w:id="268" w:name="_Toc193181640"/>
      <w:bookmarkStart w:id="269" w:name="_Toc193187747"/>
      <w:bookmarkStart w:id="270" w:name="_Toc193283171"/>
      <w:bookmarkStart w:id="271" w:name="_Toc193181641"/>
      <w:bookmarkStart w:id="272" w:name="_Toc193187748"/>
      <w:bookmarkStart w:id="273" w:name="_Toc193283172"/>
      <w:bookmarkStart w:id="274" w:name="_Toc193181642"/>
      <w:bookmarkStart w:id="275" w:name="_Toc193187749"/>
      <w:bookmarkStart w:id="276" w:name="_Toc193283173"/>
      <w:bookmarkStart w:id="277" w:name="_Toc34985828"/>
      <w:bookmarkStart w:id="278" w:name="_Toc35933473"/>
      <w:bookmarkStart w:id="279" w:name="_Toc36040277"/>
      <w:bookmarkStart w:id="280" w:name="_Toc51580683"/>
      <w:bookmarkStart w:id="281" w:name="_Toc51582037"/>
      <w:bookmarkStart w:id="282" w:name="_Toc51582222"/>
      <w:bookmarkStart w:id="283" w:name="_Toc54092580"/>
      <w:bookmarkStart w:id="284" w:name="_Toc54092862"/>
      <w:bookmarkStart w:id="285" w:name="_Toc54093144"/>
      <w:bookmarkStart w:id="286" w:name="_Toc54093426"/>
      <w:bookmarkStart w:id="287" w:name="_Toc54093708"/>
      <w:bookmarkStart w:id="288" w:name="_Toc54337509"/>
      <w:bookmarkStart w:id="289" w:name="_Toc54338034"/>
      <w:bookmarkStart w:id="290" w:name="_Toc54338553"/>
      <w:bookmarkStart w:id="291" w:name="_Toc54339072"/>
      <w:bookmarkStart w:id="292" w:name="_Toc54339591"/>
      <w:bookmarkStart w:id="293" w:name="_Toc54340110"/>
      <w:bookmarkStart w:id="294" w:name="_Toc54341351"/>
      <w:bookmarkStart w:id="295" w:name="_Toc54342132"/>
      <w:bookmarkStart w:id="296" w:name="_Toc54342651"/>
      <w:bookmarkStart w:id="297" w:name="_Toc54343170"/>
      <w:bookmarkStart w:id="298" w:name="_Toc54343689"/>
      <w:bookmarkStart w:id="299" w:name="_Toc54868529"/>
      <w:bookmarkStart w:id="300" w:name="_Toc54882477"/>
      <w:bookmarkStart w:id="301" w:name="_Toc54981454"/>
      <w:bookmarkStart w:id="302" w:name="_Toc54982033"/>
      <w:bookmarkStart w:id="303" w:name="_Toc55033779"/>
      <w:bookmarkStart w:id="304" w:name="_Toc55034358"/>
      <w:bookmarkStart w:id="305" w:name="_Toc55034937"/>
      <w:bookmarkStart w:id="306" w:name="_Appendix_A_—"/>
      <w:bookmarkStart w:id="307" w:name="_Appendix_A:_Meat"/>
      <w:bookmarkStart w:id="308" w:name="_Changes_to_cost"/>
      <w:bookmarkStart w:id="309" w:name="_Changes_to_the"/>
      <w:bookmarkStart w:id="310" w:name="_Appendix_B_—"/>
      <w:bookmarkStart w:id="311" w:name="_Appendix_B:_Dairy"/>
      <w:bookmarkStart w:id="312" w:name="_Appendix_C_—"/>
      <w:bookmarkStart w:id="313" w:name="_Appendix_C:_Fish"/>
      <w:bookmarkStart w:id="314" w:name="_Financial_estimates_1"/>
      <w:bookmarkStart w:id="315" w:name="_Appendix_D_—"/>
      <w:bookmarkStart w:id="316" w:name="_Appendix_D:_Non-prescribed"/>
      <w:bookmarkStart w:id="317" w:name="_Appendix_D:_Non–prescribed"/>
      <w:bookmarkStart w:id="318" w:name="_Attachment_E_—"/>
      <w:bookmarkStart w:id="319" w:name="_Appendix_E:_Description"/>
      <w:bookmarkStart w:id="320" w:name="_Appendix_A:_Description"/>
      <w:bookmarkStart w:id="321" w:name="_Appendix_A:_Cost"/>
      <w:bookmarkStart w:id="322" w:name="_Toc162351728"/>
      <w:bookmarkStart w:id="323" w:name="_Toc170293389"/>
      <w:bookmarkStart w:id="324" w:name="_Toc193794437"/>
      <w:bookmarkStart w:id="325" w:name="_Toc198898891"/>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D54CC">
        <w:lastRenderedPageBreak/>
        <w:t xml:space="preserve">CRIS </w:t>
      </w:r>
      <w:r w:rsidRPr="00324495">
        <w:t>approval</w:t>
      </w:r>
      <w:r w:rsidRPr="00FD54CC">
        <w:t xml:space="preserve"> and change register</w:t>
      </w:r>
      <w:bookmarkEnd w:id="322"/>
      <w:bookmarkEnd w:id="323"/>
      <w:bookmarkEnd w:id="324"/>
      <w:bookmarkEnd w:id="325"/>
    </w:p>
    <w:p w14:paraId="0A56D8CC" w14:textId="4CF4F300" w:rsidR="007010B3" w:rsidRDefault="008E75F8" w:rsidP="007010B3">
      <w:hyperlink w:anchor="Table_9" w:history="1">
        <w:r w:rsidRPr="008E75F8">
          <w:rPr>
            <w:rStyle w:val="Hyperlink"/>
            <w:color w:val="auto"/>
            <w:u w:val="none"/>
          </w:rPr>
          <w:t>Table 9</w:t>
        </w:r>
      </w:hyperlink>
      <w:r w:rsidRPr="008E75F8">
        <w:t xml:space="preserve"> </w:t>
      </w:r>
      <w:r w:rsidR="007010B3" w:rsidRPr="008E75F8">
        <w:t xml:space="preserve">tracks </w:t>
      </w:r>
      <w:r w:rsidR="007010B3">
        <w:t>the changes to the CRIS as a result of changes to the regulatory charging activity.</w:t>
      </w:r>
    </w:p>
    <w:p w14:paraId="40C7B4AB" w14:textId="65FDBE38" w:rsidR="007010B3" w:rsidRPr="00FD54CC" w:rsidRDefault="00FB4ABA" w:rsidP="00FB4ABA">
      <w:pPr>
        <w:pStyle w:val="Caption"/>
      </w:pPr>
      <w:bookmarkStart w:id="326" w:name="_Ref198899868"/>
      <w:bookmarkStart w:id="327" w:name="_Toc161657025"/>
      <w:bookmarkStart w:id="328" w:name="_Toc162948408"/>
      <w:bookmarkStart w:id="329" w:name="_Toc163028284"/>
      <w:bookmarkStart w:id="330" w:name="_Toc163129553"/>
      <w:bookmarkStart w:id="331" w:name="_Toc170293411"/>
      <w:bookmarkStart w:id="332" w:name="_Toc201227000"/>
      <w:r>
        <w:t xml:space="preserve">Table </w:t>
      </w:r>
      <w:r>
        <w:fldChar w:fldCharType="begin"/>
      </w:r>
      <w:r>
        <w:instrText xml:space="preserve"> SEQ Table \* ARABIC </w:instrText>
      </w:r>
      <w:r>
        <w:fldChar w:fldCharType="separate"/>
      </w:r>
      <w:r w:rsidR="0001784A">
        <w:rPr>
          <w:noProof/>
        </w:rPr>
        <w:t>9</w:t>
      </w:r>
      <w:r>
        <w:fldChar w:fldCharType="end"/>
      </w:r>
      <w:bookmarkEnd w:id="326"/>
      <w:r>
        <w:t xml:space="preserve"> </w:t>
      </w:r>
      <w:r w:rsidR="007010B3" w:rsidRPr="00FD54CC">
        <w:t>CRIS approval and change register</w:t>
      </w:r>
      <w:bookmarkStart w:id="333" w:name="_Ref74041686"/>
      <w:bookmarkStart w:id="334" w:name="_Toc74041742"/>
      <w:bookmarkEnd w:id="327"/>
      <w:bookmarkEnd w:id="328"/>
      <w:bookmarkEnd w:id="329"/>
      <w:bookmarkEnd w:id="330"/>
      <w:bookmarkEnd w:id="331"/>
      <w:bookmarkEnd w:id="332"/>
    </w:p>
    <w:tbl>
      <w:tblPr>
        <w:tblStyle w:val="ABAREStableleftalign"/>
        <w:tblW w:w="0" w:type="auto"/>
        <w:tblBorders>
          <w:insideH w:val="single" w:sz="4" w:space="0" w:color="auto"/>
        </w:tblBorders>
        <w:tblLook w:val="04A0" w:firstRow="1" w:lastRow="0" w:firstColumn="1" w:lastColumn="0" w:noHBand="0" w:noVBand="1"/>
      </w:tblPr>
      <w:tblGrid>
        <w:gridCol w:w="2275"/>
        <w:gridCol w:w="2266"/>
        <w:gridCol w:w="2267"/>
        <w:gridCol w:w="2262"/>
      </w:tblGrid>
      <w:tr w:rsidR="007010B3" w14:paraId="4FEB8701" w14:textId="77777777" w:rsidTr="00E270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5" w:type="dxa"/>
            <w:tcBorders>
              <w:bottom w:val="single" w:sz="4" w:space="0" w:color="auto"/>
            </w:tcBorders>
            <w:hideMark/>
          </w:tcPr>
          <w:p w14:paraId="486AE48E" w14:textId="77777777" w:rsidR="007010B3" w:rsidRPr="002D6D87" w:rsidRDefault="007010B3" w:rsidP="00E270BE">
            <w:pPr>
              <w:pStyle w:val="TableHeading"/>
            </w:pPr>
            <w:bookmarkStart w:id="335" w:name="Table_9"/>
            <w:bookmarkStart w:id="336" w:name="_Hlk73994521"/>
            <w:bookmarkEnd w:id="333"/>
            <w:bookmarkEnd w:id="334"/>
            <w:bookmarkEnd w:id="335"/>
            <w:r w:rsidRPr="002D6D87">
              <w:t>Date of CRIS Change</w:t>
            </w:r>
          </w:p>
        </w:tc>
        <w:tc>
          <w:tcPr>
            <w:tcW w:w="2266" w:type="dxa"/>
            <w:tcBorders>
              <w:bottom w:val="single" w:sz="4" w:space="0" w:color="auto"/>
            </w:tcBorders>
            <w:hideMark/>
          </w:tcPr>
          <w:p w14:paraId="47CEECA8" w14:textId="77777777" w:rsidR="007010B3" w:rsidRPr="002D6D87" w:rsidRDefault="007010B3" w:rsidP="00E270BE">
            <w:pPr>
              <w:pStyle w:val="TableHeading"/>
              <w:cnfStyle w:val="100000000000" w:firstRow="1" w:lastRow="0" w:firstColumn="0" w:lastColumn="0" w:oddVBand="0" w:evenVBand="0" w:oddHBand="0" w:evenHBand="0" w:firstRowFirstColumn="0" w:firstRowLastColumn="0" w:lastRowFirstColumn="0" w:lastRowLastColumn="0"/>
            </w:pPr>
            <w:r w:rsidRPr="002D6D87">
              <w:t>CRIS Change</w:t>
            </w:r>
          </w:p>
        </w:tc>
        <w:tc>
          <w:tcPr>
            <w:tcW w:w="2267" w:type="dxa"/>
            <w:tcBorders>
              <w:bottom w:val="single" w:sz="4" w:space="0" w:color="auto"/>
            </w:tcBorders>
            <w:hideMark/>
          </w:tcPr>
          <w:p w14:paraId="6859D766" w14:textId="77777777" w:rsidR="007010B3" w:rsidRPr="002D6D87" w:rsidRDefault="007010B3" w:rsidP="00E270BE">
            <w:pPr>
              <w:pStyle w:val="TableHeading"/>
              <w:cnfStyle w:val="100000000000" w:firstRow="1" w:lastRow="0" w:firstColumn="0" w:lastColumn="0" w:oddVBand="0" w:evenVBand="0" w:oddHBand="0" w:evenHBand="0" w:firstRowFirstColumn="0" w:firstRowLastColumn="0" w:lastRowFirstColumn="0" w:lastRowLastColumn="0"/>
            </w:pPr>
            <w:r w:rsidRPr="002D6D87">
              <w:t>Approver</w:t>
            </w:r>
          </w:p>
        </w:tc>
        <w:tc>
          <w:tcPr>
            <w:tcW w:w="2262" w:type="dxa"/>
            <w:tcBorders>
              <w:bottom w:val="single" w:sz="4" w:space="0" w:color="auto"/>
            </w:tcBorders>
            <w:hideMark/>
          </w:tcPr>
          <w:p w14:paraId="59A9533F" w14:textId="77777777" w:rsidR="007010B3" w:rsidRPr="002D6D87" w:rsidRDefault="007010B3" w:rsidP="00E270BE">
            <w:pPr>
              <w:pStyle w:val="TableHeading"/>
              <w:cnfStyle w:val="100000000000" w:firstRow="1" w:lastRow="0" w:firstColumn="0" w:lastColumn="0" w:oddVBand="0" w:evenVBand="0" w:oddHBand="0" w:evenHBand="0" w:firstRowFirstColumn="0" w:firstRowLastColumn="0" w:lastRowFirstColumn="0" w:lastRowLastColumn="0"/>
            </w:pPr>
            <w:r w:rsidRPr="002D6D87">
              <w:t>Basis for cha</w:t>
            </w:r>
            <w:r>
              <w:t>n</w:t>
            </w:r>
            <w:r w:rsidRPr="002D6D87">
              <w:t>ge</w:t>
            </w:r>
          </w:p>
        </w:tc>
      </w:tr>
      <w:tr w:rsidR="008D7641" w14:paraId="19B70FB5" w14:textId="77777777" w:rsidTr="00E270BE">
        <w:tc>
          <w:tcPr>
            <w:cnfStyle w:val="001000000000" w:firstRow="0" w:lastRow="0" w:firstColumn="1" w:lastColumn="0" w:oddVBand="0" w:evenVBand="0" w:oddHBand="0" w:evenHBand="0" w:firstRowFirstColumn="0" w:firstRowLastColumn="0" w:lastRowFirstColumn="0" w:lastRowLastColumn="0"/>
            <w:tcW w:w="2275" w:type="dxa"/>
            <w:tcBorders>
              <w:bottom w:val="dotted" w:sz="4" w:space="0" w:color="auto"/>
            </w:tcBorders>
          </w:tcPr>
          <w:p w14:paraId="19A71984" w14:textId="16D4D466" w:rsidR="008D7641" w:rsidRPr="00A41574" w:rsidRDefault="008D7641" w:rsidP="008D7641">
            <w:pPr>
              <w:pStyle w:val="TableText"/>
            </w:pPr>
            <w:r w:rsidRPr="008706A8">
              <w:rPr>
                <w:rFonts w:ascii="Calibri" w:eastAsia="Calibri" w:hAnsi="Calibri" w:cs="Times New Roman"/>
              </w:rPr>
              <w:t>TBA</w:t>
            </w:r>
          </w:p>
        </w:tc>
        <w:tc>
          <w:tcPr>
            <w:tcW w:w="2266" w:type="dxa"/>
            <w:tcBorders>
              <w:bottom w:val="dotted" w:sz="4" w:space="0" w:color="auto"/>
            </w:tcBorders>
          </w:tcPr>
          <w:p w14:paraId="3A8AA2DD" w14:textId="7DE4FE5B" w:rsidR="008D7641" w:rsidRPr="002D6D87" w:rsidRDefault="008D7641" w:rsidP="008D7641">
            <w:pPr>
              <w:pStyle w:val="TableText"/>
              <w:cnfStyle w:val="000000000000" w:firstRow="0" w:lastRow="0" w:firstColumn="0" w:lastColumn="0" w:oddVBand="0" w:evenVBand="0" w:oddHBand="0" w:evenHBand="0" w:firstRowFirstColumn="0" w:firstRowLastColumn="0" w:lastRowFirstColumn="0" w:lastRowLastColumn="0"/>
            </w:pPr>
            <w:r w:rsidRPr="008706A8">
              <w:rPr>
                <w:rFonts w:ascii="Calibri" w:eastAsia="Calibri" w:hAnsi="Calibri" w:cs="Times New Roman"/>
              </w:rPr>
              <w:t>Certification of the CRIS</w:t>
            </w:r>
          </w:p>
        </w:tc>
        <w:tc>
          <w:tcPr>
            <w:tcW w:w="2267" w:type="dxa"/>
            <w:tcBorders>
              <w:bottom w:val="dotted" w:sz="4" w:space="0" w:color="auto"/>
            </w:tcBorders>
          </w:tcPr>
          <w:p w14:paraId="7396BDD1" w14:textId="24864840" w:rsidR="008D7641" w:rsidRPr="002D6D87" w:rsidRDefault="008D7641" w:rsidP="008D7641">
            <w:pPr>
              <w:pStyle w:val="TableText"/>
              <w:cnfStyle w:val="000000000000" w:firstRow="0" w:lastRow="0" w:firstColumn="0" w:lastColumn="0" w:oddVBand="0" w:evenVBand="0" w:oddHBand="0" w:evenHBand="0" w:firstRowFirstColumn="0" w:firstRowLastColumn="0" w:lastRowFirstColumn="0" w:lastRowLastColumn="0"/>
            </w:pPr>
            <w:r w:rsidRPr="008706A8">
              <w:rPr>
                <w:rFonts w:ascii="Calibri" w:eastAsia="Calibri" w:hAnsi="Calibri" w:cs="Times New Roman"/>
              </w:rPr>
              <w:t>Secretary, Department of Agriculture, Fisheries and Forestry</w:t>
            </w:r>
          </w:p>
        </w:tc>
        <w:tc>
          <w:tcPr>
            <w:tcW w:w="2262" w:type="dxa"/>
            <w:tcBorders>
              <w:bottom w:val="dotted" w:sz="4" w:space="0" w:color="auto"/>
            </w:tcBorders>
          </w:tcPr>
          <w:p w14:paraId="78FCEA57" w14:textId="4E8E79EB" w:rsidR="008D7641" w:rsidRPr="002D6D87" w:rsidRDefault="008D7641" w:rsidP="008D7641">
            <w:pPr>
              <w:pStyle w:val="TableText"/>
              <w:cnfStyle w:val="000000000000" w:firstRow="0" w:lastRow="0" w:firstColumn="0" w:lastColumn="0" w:oddVBand="0" w:evenVBand="0" w:oddHBand="0" w:evenHBand="0" w:firstRowFirstColumn="0" w:firstRowLastColumn="0" w:lastRowFirstColumn="0" w:lastRowLastColumn="0"/>
            </w:pPr>
            <w:r>
              <w:rPr>
                <w:rFonts w:ascii="Calibri" w:eastAsia="Calibri" w:hAnsi="Calibri" w:cs="Times New Roman"/>
              </w:rPr>
              <w:t>Confirmation of</w:t>
            </w:r>
            <w:r w:rsidRPr="008706A8">
              <w:rPr>
                <w:rFonts w:ascii="Calibri" w:eastAsia="Calibri" w:hAnsi="Calibri" w:cs="Times New Roman"/>
              </w:rPr>
              <w:t xml:space="preserve"> regulatory charging activity and revalidation of cost model</w:t>
            </w:r>
          </w:p>
        </w:tc>
      </w:tr>
      <w:tr w:rsidR="008D7641" w14:paraId="69993604" w14:textId="77777777" w:rsidTr="00E270BE">
        <w:tc>
          <w:tcPr>
            <w:cnfStyle w:val="001000000000" w:firstRow="0" w:lastRow="0" w:firstColumn="1" w:lastColumn="0" w:oddVBand="0" w:evenVBand="0" w:oddHBand="0" w:evenHBand="0" w:firstRowFirstColumn="0" w:firstRowLastColumn="0" w:lastRowFirstColumn="0" w:lastRowLastColumn="0"/>
            <w:tcW w:w="2275" w:type="dxa"/>
            <w:tcBorders>
              <w:top w:val="dotted" w:sz="4" w:space="0" w:color="auto"/>
            </w:tcBorders>
          </w:tcPr>
          <w:p w14:paraId="1EE24F39" w14:textId="4AE80ED4" w:rsidR="008D7641" w:rsidRPr="00A41574" w:rsidRDefault="008D7641" w:rsidP="008D7641">
            <w:pPr>
              <w:pStyle w:val="TableText"/>
            </w:pPr>
            <w:r w:rsidRPr="008706A8">
              <w:rPr>
                <w:rFonts w:ascii="Calibri" w:eastAsia="Calibri" w:hAnsi="Calibri" w:cs="Times New Roman"/>
              </w:rPr>
              <w:t>TBA</w:t>
            </w:r>
          </w:p>
        </w:tc>
        <w:tc>
          <w:tcPr>
            <w:tcW w:w="2266" w:type="dxa"/>
            <w:tcBorders>
              <w:top w:val="dotted" w:sz="4" w:space="0" w:color="auto"/>
            </w:tcBorders>
          </w:tcPr>
          <w:p w14:paraId="6B060796" w14:textId="438DA86B" w:rsidR="008D7641" w:rsidRPr="002D6D87" w:rsidRDefault="008D7641" w:rsidP="008D7641">
            <w:pPr>
              <w:pStyle w:val="TableText"/>
              <w:cnfStyle w:val="000000000000" w:firstRow="0" w:lastRow="0" w:firstColumn="0" w:lastColumn="0" w:oddVBand="0" w:evenVBand="0" w:oddHBand="0" w:evenHBand="0" w:firstRowFirstColumn="0" w:firstRowLastColumn="0" w:lastRowFirstColumn="0" w:lastRowLastColumn="0"/>
            </w:pPr>
            <w:r w:rsidRPr="008706A8">
              <w:rPr>
                <w:rFonts w:ascii="Calibri" w:eastAsia="Calibri" w:hAnsi="Calibri" w:cs="Times New Roman"/>
              </w:rPr>
              <w:t>Approval of CRIS</w:t>
            </w:r>
          </w:p>
        </w:tc>
        <w:tc>
          <w:tcPr>
            <w:tcW w:w="2267" w:type="dxa"/>
            <w:tcBorders>
              <w:top w:val="dotted" w:sz="4" w:space="0" w:color="auto"/>
            </w:tcBorders>
          </w:tcPr>
          <w:p w14:paraId="615DE313" w14:textId="2C82DCB3" w:rsidR="008D7641" w:rsidRPr="002D6D87" w:rsidRDefault="008D7641" w:rsidP="008D7641">
            <w:pPr>
              <w:pStyle w:val="TableText"/>
              <w:cnfStyle w:val="000000000000" w:firstRow="0" w:lastRow="0" w:firstColumn="0" w:lastColumn="0" w:oddVBand="0" w:evenVBand="0" w:oddHBand="0" w:evenHBand="0" w:firstRowFirstColumn="0" w:firstRowLastColumn="0" w:lastRowFirstColumn="0" w:lastRowLastColumn="0"/>
            </w:pPr>
            <w:r w:rsidRPr="008706A8">
              <w:rPr>
                <w:rFonts w:ascii="Calibri" w:eastAsia="Calibri" w:hAnsi="Calibri" w:cs="Times New Roman"/>
              </w:rPr>
              <w:t>Minister of Agriculture, Fisheries and Forestry</w:t>
            </w:r>
          </w:p>
        </w:tc>
        <w:tc>
          <w:tcPr>
            <w:tcW w:w="2262" w:type="dxa"/>
            <w:tcBorders>
              <w:top w:val="dotted" w:sz="4" w:space="0" w:color="auto"/>
            </w:tcBorders>
          </w:tcPr>
          <w:p w14:paraId="69DD4B28" w14:textId="4E910249" w:rsidR="008D7641" w:rsidRPr="002D6D87" w:rsidRDefault="008D7641" w:rsidP="008D7641">
            <w:pPr>
              <w:pStyle w:val="TableText"/>
              <w:cnfStyle w:val="000000000000" w:firstRow="0" w:lastRow="0" w:firstColumn="0" w:lastColumn="0" w:oddVBand="0" w:evenVBand="0" w:oddHBand="0" w:evenHBand="0" w:firstRowFirstColumn="0" w:firstRowLastColumn="0" w:lastRowFirstColumn="0" w:lastRowLastColumn="0"/>
            </w:pPr>
            <w:r w:rsidRPr="008706A8">
              <w:rPr>
                <w:rFonts w:ascii="Calibri" w:eastAsia="Calibri" w:hAnsi="Calibri" w:cs="Times New Roman"/>
              </w:rPr>
              <w:t xml:space="preserve">Communication and distribution of the </w:t>
            </w:r>
            <w:r>
              <w:rPr>
                <w:rFonts w:ascii="Calibri" w:eastAsia="Calibri" w:hAnsi="Calibri" w:cs="Times New Roman"/>
              </w:rPr>
              <w:t xml:space="preserve">confirmation </w:t>
            </w:r>
            <w:r w:rsidR="00204267">
              <w:rPr>
                <w:rFonts w:ascii="Calibri" w:eastAsia="Calibri" w:hAnsi="Calibri" w:cs="Times New Roman"/>
              </w:rPr>
              <w:t xml:space="preserve">of </w:t>
            </w:r>
            <w:r w:rsidR="00204267" w:rsidRPr="008706A8">
              <w:rPr>
                <w:rFonts w:ascii="Calibri" w:eastAsia="Calibri" w:hAnsi="Calibri" w:cs="Times New Roman"/>
              </w:rPr>
              <w:t>regulatory</w:t>
            </w:r>
            <w:r w:rsidRPr="008706A8">
              <w:rPr>
                <w:rFonts w:ascii="Calibri" w:eastAsia="Calibri" w:hAnsi="Calibri" w:cs="Times New Roman"/>
              </w:rPr>
              <w:t xml:space="preserve"> charging activity and revalidation of cost model</w:t>
            </w:r>
          </w:p>
        </w:tc>
      </w:tr>
    </w:tbl>
    <w:p w14:paraId="1989D68D" w14:textId="77777777" w:rsidR="007010B3" w:rsidRPr="009D1B15" w:rsidRDefault="007010B3" w:rsidP="00324495">
      <w:pPr>
        <w:pStyle w:val="Heading2"/>
        <w:numPr>
          <w:ilvl w:val="0"/>
          <w:numId w:val="0"/>
        </w:numPr>
      </w:pPr>
      <w:bookmarkStart w:id="337" w:name="AppendixA"/>
      <w:bookmarkStart w:id="338" w:name="_Toc170293390"/>
      <w:bookmarkStart w:id="339" w:name="_Toc193794438"/>
      <w:bookmarkStart w:id="340" w:name="_Toc198898892"/>
      <w:bookmarkEnd w:id="336"/>
      <w:r w:rsidRPr="007010B3">
        <w:lastRenderedPageBreak/>
        <w:t>Appendix</w:t>
      </w:r>
      <w:r w:rsidRPr="009D1B15">
        <w:t xml:space="preserve"> A</w:t>
      </w:r>
      <w:bookmarkEnd w:id="337"/>
      <w:r w:rsidRPr="009D1B15">
        <w:t>: Additional fees and charges that may apply</w:t>
      </w:r>
      <w:bookmarkEnd w:id="338"/>
      <w:bookmarkEnd w:id="339"/>
      <w:bookmarkEnd w:id="340"/>
    </w:p>
    <w:p w14:paraId="57F8A488" w14:textId="77777777" w:rsidR="007010B3" w:rsidRPr="007010B3" w:rsidRDefault="007010B3" w:rsidP="00324495">
      <w:pPr>
        <w:pStyle w:val="Heading3"/>
        <w:numPr>
          <w:ilvl w:val="0"/>
          <w:numId w:val="0"/>
        </w:numPr>
        <w:ind w:left="964" w:hanging="964"/>
      </w:pPr>
      <w:bookmarkStart w:id="341" w:name="_Toc170293391"/>
      <w:bookmarkStart w:id="342" w:name="_Toc193794439"/>
      <w:bookmarkStart w:id="343" w:name="_Toc198898893"/>
      <w:r w:rsidRPr="00DA370D">
        <w:t>Organics</w:t>
      </w:r>
      <w:r w:rsidRPr="007010B3">
        <w:t xml:space="preserve"> – application and audit</w:t>
      </w:r>
      <w:bookmarkEnd w:id="341"/>
      <w:bookmarkEnd w:id="342"/>
      <w:bookmarkEnd w:id="343"/>
    </w:p>
    <w:p w14:paraId="78CCCFEB" w14:textId="2DABFF9C" w:rsidR="007010B3" w:rsidRPr="00242440" w:rsidRDefault="007010B3" w:rsidP="007010B3">
      <w:r w:rsidRPr="00242440">
        <w:t>The prices for application for and audit of organic certifying entity are as indicated</w:t>
      </w:r>
      <w:r w:rsidRPr="000E78C1">
        <w:t xml:space="preserve"> in</w:t>
      </w:r>
      <w:r>
        <w:t xml:space="preserve"> </w:t>
      </w:r>
      <w:r w:rsidR="005A1A1A">
        <w:fldChar w:fldCharType="begin"/>
      </w:r>
      <w:r w:rsidR="005A1A1A">
        <w:instrText xml:space="preserve"> REF _Ref198900072 \h </w:instrText>
      </w:r>
      <w:r w:rsidR="005A1A1A">
        <w:fldChar w:fldCharType="separate"/>
      </w:r>
      <w:r w:rsidR="0001784A">
        <w:t>Table A</w:t>
      </w:r>
      <w:r w:rsidR="0001784A">
        <w:rPr>
          <w:noProof/>
        </w:rPr>
        <w:t>1</w:t>
      </w:r>
      <w:r w:rsidR="005A1A1A">
        <w:fldChar w:fldCharType="end"/>
      </w:r>
      <w:r>
        <w:rPr>
          <w:noProof/>
        </w:rPr>
        <w:t>.</w:t>
      </w:r>
    </w:p>
    <w:p w14:paraId="64515465" w14:textId="3BF26CBE" w:rsidR="007010B3" w:rsidRPr="00772499" w:rsidRDefault="00F90829" w:rsidP="00F90829">
      <w:pPr>
        <w:pStyle w:val="Caption"/>
      </w:pPr>
      <w:bookmarkStart w:id="344" w:name="_Ref198900072"/>
      <w:bookmarkStart w:id="345" w:name="_Ref115183192"/>
      <w:bookmarkStart w:id="346" w:name="_Toc163028637"/>
      <w:bookmarkStart w:id="347" w:name="_Toc164695620"/>
      <w:bookmarkStart w:id="348" w:name="_Toc188355713"/>
      <w:bookmarkStart w:id="349" w:name="_Toc201227001"/>
      <w:bookmarkStart w:id="350" w:name="_Hlk164705731"/>
      <w:r>
        <w:t>Table A</w:t>
      </w:r>
      <w:r>
        <w:fldChar w:fldCharType="begin"/>
      </w:r>
      <w:r>
        <w:instrText xml:space="preserve"> SEQ Table_A \* ARABIC </w:instrText>
      </w:r>
      <w:r>
        <w:fldChar w:fldCharType="separate"/>
      </w:r>
      <w:r w:rsidR="0001784A">
        <w:rPr>
          <w:noProof/>
        </w:rPr>
        <w:t>1</w:t>
      </w:r>
      <w:r>
        <w:fldChar w:fldCharType="end"/>
      </w:r>
      <w:bookmarkEnd w:id="344"/>
      <w:r>
        <w:t xml:space="preserve"> </w:t>
      </w:r>
      <w:r w:rsidR="007010B3" w:rsidRPr="00772499">
        <w:t>Organics fees and charge</w:t>
      </w:r>
      <w:bookmarkEnd w:id="345"/>
      <w:bookmarkEnd w:id="346"/>
      <w:bookmarkEnd w:id="347"/>
      <w:bookmarkEnd w:id="348"/>
      <w:bookmarkEnd w:id="349"/>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1302"/>
        <w:gridCol w:w="2393"/>
        <w:gridCol w:w="1477"/>
        <w:gridCol w:w="1253"/>
        <w:gridCol w:w="1328"/>
        <w:gridCol w:w="1317"/>
      </w:tblGrid>
      <w:tr w:rsidR="007010B3" w:rsidRPr="009F02FC" w14:paraId="1A4D0E29" w14:textId="77777777" w:rsidTr="00E270BE">
        <w:trPr>
          <w:cantSplit/>
          <w:tblHeader/>
        </w:trPr>
        <w:tc>
          <w:tcPr>
            <w:tcW w:w="718" w:type="pct"/>
            <w:vMerge w:val="restart"/>
            <w:tcBorders>
              <w:top w:val="single" w:sz="4" w:space="0" w:color="auto"/>
            </w:tcBorders>
            <w:tcMar>
              <w:left w:w="108" w:type="dxa"/>
              <w:right w:w="108" w:type="dxa"/>
            </w:tcMar>
          </w:tcPr>
          <w:p w14:paraId="1F1F816F" w14:textId="77777777" w:rsidR="007010B3" w:rsidRPr="009F02FC" w:rsidRDefault="007010B3" w:rsidP="00E270BE">
            <w:pPr>
              <w:pStyle w:val="TableHeading"/>
            </w:pPr>
            <w:bookmarkStart w:id="351" w:name="Table_A1"/>
            <w:bookmarkEnd w:id="350"/>
            <w:bookmarkEnd w:id="351"/>
            <w:r w:rsidRPr="009F02FC">
              <w:t>Type of</w:t>
            </w:r>
            <w:r>
              <w:t xml:space="preserve"> </w:t>
            </w:r>
            <w:r w:rsidRPr="009F02FC">
              <w:t>charge</w:t>
            </w:r>
          </w:p>
        </w:tc>
        <w:tc>
          <w:tcPr>
            <w:tcW w:w="1319" w:type="pct"/>
            <w:vMerge w:val="restart"/>
            <w:tcBorders>
              <w:top w:val="single" w:sz="4" w:space="0" w:color="auto"/>
            </w:tcBorders>
          </w:tcPr>
          <w:p w14:paraId="16B53187" w14:textId="77777777" w:rsidR="007010B3" w:rsidRPr="009F02FC" w:rsidRDefault="007010B3" w:rsidP="00E270BE">
            <w:pPr>
              <w:pStyle w:val="TableHeading"/>
            </w:pPr>
            <w:r w:rsidRPr="009F02FC">
              <w:t>Cost recovery charges</w:t>
            </w:r>
          </w:p>
        </w:tc>
        <w:tc>
          <w:tcPr>
            <w:tcW w:w="814" w:type="pct"/>
            <w:vMerge w:val="restart"/>
            <w:tcBorders>
              <w:top w:val="single" w:sz="4" w:space="0" w:color="auto"/>
            </w:tcBorders>
          </w:tcPr>
          <w:p w14:paraId="4039D658" w14:textId="77777777" w:rsidR="007010B3" w:rsidRPr="009F02FC" w:rsidRDefault="007010B3" w:rsidP="00E270BE">
            <w:pPr>
              <w:pStyle w:val="TableHeading"/>
            </w:pPr>
            <w:r w:rsidRPr="009F02FC">
              <w:t>Unit</w:t>
            </w:r>
          </w:p>
        </w:tc>
        <w:tc>
          <w:tcPr>
            <w:tcW w:w="2149" w:type="pct"/>
            <w:gridSpan w:val="3"/>
            <w:tcBorders>
              <w:top w:val="single" w:sz="4" w:space="0" w:color="auto"/>
              <w:bottom w:val="single" w:sz="4" w:space="0" w:color="auto"/>
            </w:tcBorders>
          </w:tcPr>
          <w:p w14:paraId="05E0C0B2" w14:textId="77777777" w:rsidR="007010B3" w:rsidRPr="009F02FC" w:rsidRDefault="007010B3" w:rsidP="00E270BE">
            <w:pPr>
              <w:pStyle w:val="TableHeading"/>
              <w:jc w:val="center"/>
            </w:pPr>
            <w:r w:rsidRPr="009F02FC">
              <w:t>Price ($)</w:t>
            </w:r>
          </w:p>
        </w:tc>
      </w:tr>
      <w:tr w:rsidR="007010B3" w:rsidRPr="009F02FC" w14:paraId="467CCEE4" w14:textId="77777777" w:rsidTr="00E270BE">
        <w:trPr>
          <w:cantSplit/>
          <w:tblHeader/>
        </w:trPr>
        <w:tc>
          <w:tcPr>
            <w:tcW w:w="718" w:type="pct"/>
            <w:vMerge/>
            <w:tcBorders>
              <w:bottom w:val="single" w:sz="4" w:space="0" w:color="auto"/>
            </w:tcBorders>
            <w:tcMar>
              <w:left w:w="108" w:type="dxa"/>
              <w:right w:w="108" w:type="dxa"/>
            </w:tcMar>
          </w:tcPr>
          <w:p w14:paraId="1924F5CA" w14:textId="77777777" w:rsidR="007010B3" w:rsidRPr="009F02FC" w:rsidRDefault="007010B3" w:rsidP="00E270BE">
            <w:pPr>
              <w:pStyle w:val="TableHeading"/>
            </w:pPr>
          </w:p>
        </w:tc>
        <w:tc>
          <w:tcPr>
            <w:tcW w:w="1319" w:type="pct"/>
            <w:vMerge/>
            <w:tcBorders>
              <w:bottom w:val="single" w:sz="4" w:space="0" w:color="auto"/>
            </w:tcBorders>
            <w:tcMar>
              <w:left w:w="108" w:type="dxa"/>
              <w:right w:w="108" w:type="dxa"/>
            </w:tcMar>
          </w:tcPr>
          <w:p w14:paraId="39F61762" w14:textId="77777777" w:rsidR="007010B3" w:rsidRPr="009F02FC" w:rsidRDefault="007010B3" w:rsidP="00E270BE">
            <w:pPr>
              <w:pStyle w:val="TableHeading"/>
            </w:pPr>
          </w:p>
        </w:tc>
        <w:tc>
          <w:tcPr>
            <w:tcW w:w="814" w:type="pct"/>
            <w:vMerge/>
            <w:tcBorders>
              <w:bottom w:val="single" w:sz="4" w:space="0" w:color="auto"/>
            </w:tcBorders>
            <w:tcMar>
              <w:left w:w="108" w:type="dxa"/>
              <w:right w:w="108" w:type="dxa"/>
            </w:tcMar>
          </w:tcPr>
          <w:p w14:paraId="30EBCBA4" w14:textId="77777777" w:rsidR="007010B3" w:rsidRPr="009F02FC" w:rsidRDefault="007010B3" w:rsidP="00E270BE">
            <w:pPr>
              <w:pStyle w:val="TableHeading"/>
            </w:pPr>
          </w:p>
        </w:tc>
        <w:tc>
          <w:tcPr>
            <w:tcW w:w="691" w:type="pct"/>
            <w:tcBorders>
              <w:top w:val="single" w:sz="4" w:space="0" w:color="auto"/>
              <w:bottom w:val="single" w:sz="4" w:space="0" w:color="auto"/>
            </w:tcBorders>
          </w:tcPr>
          <w:p w14:paraId="60F01F87" w14:textId="77777777" w:rsidR="007010B3" w:rsidRPr="004B6C04" w:rsidRDefault="007010B3" w:rsidP="00E270BE">
            <w:pPr>
              <w:pStyle w:val="TableText"/>
              <w:jc w:val="right"/>
              <w:rPr>
                <w:rStyle w:val="Strong"/>
              </w:rPr>
            </w:pPr>
            <w:r w:rsidRPr="004B6C04">
              <w:rPr>
                <w:rStyle w:val="Strong"/>
              </w:rPr>
              <w:t>2023–24</w:t>
            </w:r>
          </w:p>
        </w:tc>
        <w:tc>
          <w:tcPr>
            <w:tcW w:w="732" w:type="pct"/>
            <w:tcBorders>
              <w:top w:val="single" w:sz="4" w:space="0" w:color="auto"/>
              <w:bottom w:val="single" w:sz="4" w:space="0" w:color="auto"/>
            </w:tcBorders>
          </w:tcPr>
          <w:p w14:paraId="76F66CC9" w14:textId="77777777" w:rsidR="007010B3" w:rsidRPr="004B6C04" w:rsidRDefault="007010B3" w:rsidP="00E270BE">
            <w:pPr>
              <w:pStyle w:val="TableText"/>
              <w:jc w:val="right"/>
              <w:rPr>
                <w:rStyle w:val="Strong"/>
              </w:rPr>
            </w:pPr>
            <w:r w:rsidRPr="004B6C04">
              <w:rPr>
                <w:rStyle w:val="Strong"/>
              </w:rPr>
              <w:t>2024–25</w:t>
            </w:r>
          </w:p>
        </w:tc>
        <w:tc>
          <w:tcPr>
            <w:tcW w:w="726" w:type="pct"/>
            <w:tcBorders>
              <w:top w:val="single" w:sz="4" w:space="0" w:color="auto"/>
              <w:bottom w:val="single" w:sz="4" w:space="0" w:color="auto"/>
            </w:tcBorders>
          </w:tcPr>
          <w:p w14:paraId="66B846B1" w14:textId="77777777" w:rsidR="007010B3" w:rsidRPr="004B6C04" w:rsidRDefault="007010B3" w:rsidP="00E270BE">
            <w:pPr>
              <w:pStyle w:val="TableText"/>
              <w:jc w:val="right"/>
              <w:rPr>
                <w:rStyle w:val="Strong"/>
              </w:rPr>
            </w:pPr>
            <w:r w:rsidRPr="004B6C04">
              <w:rPr>
                <w:rStyle w:val="Strong"/>
              </w:rPr>
              <w:t>2025–26</w:t>
            </w:r>
          </w:p>
        </w:tc>
      </w:tr>
      <w:tr w:rsidR="007010B3" w:rsidRPr="009F02FC" w14:paraId="58AD5D7B" w14:textId="77777777" w:rsidTr="00E270BE">
        <w:tc>
          <w:tcPr>
            <w:tcW w:w="718" w:type="pct"/>
            <w:tcBorders>
              <w:top w:val="single" w:sz="4" w:space="0" w:color="auto"/>
              <w:bottom w:val="single" w:sz="4" w:space="0" w:color="auto"/>
            </w:tcBorders>
            <w:tcMar>
              <w:left w:w="108" w:type="dxa"/>
              <w:right w:w="108" w:type="dxa"/>
            </w:tcMar>
          </w:tcPr>
          <w:p w14:paraId="3D19CB75" w14:textId="77777777" w:rsidR="007010B3" w:rsidRPr="004B6C04" w:rsidRDefault="007010B3" w:rsidP="00E270BE">
            <w:pPr>
              <w:pStyle w:val="TableText"/>
              <w:rPr>
                <w:rStyle w:val="Strong"/>
              </w:rPr>
            </w:pPr>
            <w:r w:rsidRPr="004B6C04">
              <w:rPr>
                <w:rStyle w:val="Strong"/>
              </w:rPr>
              <w:t>Charge</w:t>
            </w:r>
          </w:p>
        </w:tc>
        <w:tc>
          <w:tcPr>
            <w:tcW w:w="1319" w:type="pct"/>
            <w:tcBorders>
              <w:top w:val="single" w:sz="4" w:space="0" w:color="auto"/>
              <w:bottom w:val="single" w:sz="4" w:space="0" w:color="auto"/>
            </w:tcBorders>
            <w:tcMar>
              <w:left w:w="108" w:type="dxa"/>
              <w:right w:w="108" w:type="dxa"/>
            </w:tcMar>
          </w:tcPr>
          <w:p w14:paraId="219F1E0C" w14:textId="77777777" w:rsidR="007010B3" w:rsidRPr="00FC44BA" w:rsidRDefault="007010B3" w:rsidP="00E270BE">
            <w:pPr>
              <w:pStyle w:val="TableText"/>
            </w:pPr>
            <w:r w:rsidRPr="009F02FC">
              <w:t xml:space="preserve">Application charge for organic goods certification operations </w:t>
            </w:r>
          </w:p>
        </w:tc>
        <w:tc>
          <w:tcPr>
            <w:tcW w:w="814" w:type="pct"/>
            <w:tcBorders>
              <w:top w:val="single" w:sz="4" w:space="0" w:color="auto"/>
              <w:bottom w:val="single" w:sz="4" w:space="0" w:color="auto"/>
            </w:tcBorders>
            <w:tcMar>
              <w:left w:w="108" w:type="dxa"/>
              <w:right w:w="108" w:type="dxa"/>
            </w:tcMar>
          </w:tcPr>
          <w:p w14:paraId="70508454" w14:textId="77777777" w:rsidR="007010B3" w:rsidRPr="00FC44BA" w:rsidRDefault="007010B3" w:rsidP="00E270BE">
            <w:pPr>
              <w:pStyle w:val="TableText"/>
            </w:pPr>
            <w:r w:rsidRPr="009F02FC">
              <w:t>Per application</w:t>
            </w:r>
          </w:p>
        </w:tc>
        <w:tc>
          <w:tcPr>
            <w:tcW w:w="691" w:type="pct"/>
            <w:tcBorders>
              <w:top w:val="single" w:sz="4" w:space="0" w:color="auto"/>
              <w:bottom w:val="single" w:sz="4" w:space="0" w:color="auto"/>
            </w:tcBorders>
          </w:tcPr>
          <w:p w14:paraId="5BF17FC7" w14:textId="77777777" w:rsidR="007010B3" w:rsidRPr="009F02FC" w:rsidRDefault="007010B3" w:rsidP="00E270BE">
            <w:pPr>
              <w:pStyle w:val="TableText"/>
              <w:jc w:val="right"/>
            </w:pPr>
            <w:r w:rsidRPr="009F02FC">
              <w:t>675</w:t>
            </w:r>
          </w:p>
        </w:tc>
        <w:tc>
          <w:tcPr>
            <w:tcW w:w="732" w:type="pct"/>
            <w:tcBorders>
              <w:top w:val="single" w:sz="4" w:space="0" w:color="auto"/>
              <w:bottom w:val="single" w:sz="4" w:space="0" w:color="auto"/>
            </w:tcBorders>
          </w:tcPr>
          <w:p w14:paraId="5ABFD979" w14:textId="77777777" w:rsidR="007010B3" w:rsidRPr="00FC44BA" w:rsidRDefault="007010B3" w:rsidP="00E270BE">
            <w:pPr>
              <w:pStyle w:val="TableText"/>
              <w:jc w:val="right"/>
            </w:pPr>
            <w:r w:rsidRPr="009F02FC">
              <w:t>689</w:t>
            </w:r>
          </w:p>
        </w:tc>
        <w:tc>
          <w:tcPr>
            <w:tcW w:w="726" w:type="pct"/>
            <w:tcBorders>
              <w:top w:val="single" w:sz="4" w:space="0" w:color="auto"/>
              <w:bottom w:val="single" w:sz="4" w:space="0" w:color="auto"/>
            </w:tcBorders>
          </w:tcPr>
          <w:p w14:paraId="0D06CB2E" w14:textId="69E28D4A" w:rsidR="007010B3" w:rsidRPr="009F02FC" w:rsidRDefault="00AC0431" w:rsidP="00E270BE">
            <w:pPr>
              <w:pStyle w:val="TableText"/>
              <w:jc w:val="right"/>
            </w:pPr>
            <w:r>
              <w:t>689</w:t>
            </w:r>
          </w:p>
        </w:tc>
      </w:tr>
      <w:tr w:rsidR="007010B3" w:rsidRPr="009F02FC" w14:paraId="073AA1B4" w14:textId="77777777" w:rsidTr="00E270BE">
        <w:tc>
          <w:tcPr>
            <w:tcW w:w="718" w:type="pct"/>
            <w:vMerge w:val="restart"/>
            <w:tcBorders>
              <w:top w:val="single" w:sz="4" w:space="0" w:color="auto"/>
              <w:bottom w:val="single" w:sz="4" w:space="0" w:color="auto"/>
            </w:tcBorders>
            <w:tcMar>
              <w:left w:w="108" w:type="dxa"/>
              <w:right w:w="108" w:type="dxa"/>
            </w:tcMar>
          </w:tcPr>
          <w:p w14:paraId="0DE81340" w14:textId="77777777" w:rsidR="007010B3" w:rsidRPr="004B6C04" w:rsidRDefault="007010B3" w:rsidP="00E270BE">
            <w:pPr>
              <w:pStyle w:val="TableText"/>
              <w:rPr>
                <w:rStyle w:val="Strong"/>
              </w:rPr>
            </w:pPr>
            <w:r w:rsidRPr="004B6C04">
              <w:rPr>
                <w:rStyle w:val="Strong"/>
              </w:rPr>
              <w:t>Fees</w:t>
            </w:r>
          </w:p>
        </w:tc>
        <w:tc>
          <w:tcPr>
            <w:tcW w:w="1319" w:type="pct"/>
            <w:tcBorders>
              <w:top w:val="single" w:sz="4" w:space="0" w:color="auto"/>
              <w:bottom w:val="dotted" w:sz="4" w:space="0" w:color="auto"/>
            </w:tcBorders>
            <w:tcMar>
              <w:left w:w="108" w:type="dxa"/>
              <w:right w:w="108" w:type="dxa"/>
            </w:tcMar>
          </w:tcPr>
          <w:p w14:paraId="1B373061" w14:textId="77777777" w:rsidR="007010B3" w:rsidRPr="00FC44BA" w:rsidRDefault="007010B3" w:rsidP="00E270BE">
            <w:pPr>
              <w:pStyle w:val="TableText"/>
            </w:pPr>
            <w:r w:rsidRPr="009F02FC">
              <w:t xml:space="preserve">Assessment of applications or approvals </w:t>
            </w:r>
          </w:p>
        </w:tc>
        <w:tc>
          <w:tcPr>
            <w:tcW w:w="814" w:type="pct"/>
            <w:tcBorders>
              <w:top w:val="single" w:sz="4" w:space="0" w:color="auto"/>
              <w:bottom w:val="dotted" w:sz="4" w:space="0" w:color="auto"/>
            </w:tcBorders>
            <w:tcMar>
              <w:left w:w="108" w:type="dxa"/>
              <w:right w:w="108" w:type="dxa"/>
            </w:tcMar>
          </w:tcPr>
          <w:p w14:paraId="2F47C092" w14:textId="77777777" w:rsidR="007010B3" w:rsidRPr="00FC44BA" w:rsidRDefault="007010B3" w:rsidP="00E270BE">
            <w:pPr>
              <w:pStyle w:val="TableText"/>
            </w:pPr>
            <w:r w:rsidRPr="009F02FC">
              <w:t>Per quarter h</w:t>
            </w:r>
            <w:r>
              <w:t>ou</w:t>
            </w:r>
            <w:r w:rsidRPr="009F02FC">
              <w:t>r</w:t>
            </w:r>
          </w:p>
        </w:tc>
        <w:tc>
          <w:tcPr>
            <w:tcW w:w="691" w:type="pct"/>
            <w:tcBorders>
              <w:top w:val="single" w:sz="4" w:space="0" w:color="auto"/>
              <w:bottom w:val="dotted" w:sz="4" w:space="0" w:color="auto"/>
            </w:tcBorders>
          </w:tcPr>
          <w:p w14:paraId="6EB377E1" w14:textId="77777777" w:rsidR="007010B3" w:rsidRPr="009F02FC" w:rsidRDefault="007010B3" w:rsidP="00E270BE">
            <w:pPr>
              <w:pStyle w:val="TableText"/>
              <w:jc w:val="right"/>
            </w:pPr>
            <w:r w:rsidRPr="009F02FC">
              <w:t>38</w:t>
            </w:r>
          </w:p>
        </w:tc>
        <w:tc>
          <w:tcPr>
            <w:tcW w:w="732" w:type="pct"/>
            <w:tcBorders>
              <w:top w:val="single" w:sz="4" w:space="0" w:color="auto"/>
              <w:bottom w:val="dotted" w:sz="4" w:space="0" w:color="auto"/>
            </w:tcBorders>
          </w:tcPr>
          <w:p w14:paraId="760AE095" w14:textId="77777777" w:rsidR="007010B3" w:rsidRPr="00FC44BA" w:rsidRDefault="007010B3" w:rsidP="00E270BE">
            <w:pPr>
              <w:pStyle w:val="TableText"/>
              <w:jc w:val="right"/>
            </w:pPr>
            <w:r w:rsidRPr="009F02FC">
              <w:t>39</w:t>
            </w:r>
          </w:p>
        </w:tc>
        <w:tc>
          <w:tcPr>
            <w:tcW w:w="726" w:type="pct"/>
            <w:tcBorders>
              <w:top w:val="single" w:sz="4" w:space="0" w:color="auto"/>
              <w:bottom w:val="dotted" w:sz="4" w:space="0" w:color="auto"/>
            </w:tcBorders>
          </w:tcPr>
          <w:p w14:paraId="1A56990F" w14:textId="4C0302BF" w:rsidR="007010B3" w:rsidRPr="009F02FC" w:rsidRDefault="00AC0431" w:rsidP="00E270BE">
            <w:pPr>
              <w:pStyle w:val="TableText"/>
              <w:jc w:val="right"/>
            </w:pPr>
            <w:r>
              <w:t>39</w:t>
            </w:r>
          </w:p>
        </w:tc>
      </w:tr>
      <w:tr w:rsidR="007010B3" w:rsidRPr="009F02FC" w14:paraId="542CFBF7" w14:textId="77777777" w:rsidTr="00E270BE">
        <w:tc>
          <w:tcPr>
            <w:tcW w:w="718" w:type="pct"/>
            <w:vMerge/>
            <w:tcBorders>
              <w:top w:val="single" w:sz="4" w:space="0" w:color="auto"/>
              <w:bottom w:val="single" w:sz="4" w:space="0" w:color="auto"/>
            </w:tcBorders>
            <w:tcMar>
              <w:left w:w="108" w:type="dxa"/>
              <w:right w:w="108" w:type="dxa"/>
            </w:tcMar>
          </w:tcPr>
          <w:p w14:paraId="6F5A3447" w14:textId="77777777" w:rsidR="007010B3" w:rsidRPr="009F02FC" w:rsidRDefault="007010B3" w:rsidP="00E270BE">
            <w:pPr>
              <w:pStyle w:val="TableText"/>
            </w:pPr>
          </w:p>
        </w:tc>
        <w:tc>
          <w:tcPr>
            <w:tcW w:w="1319" w:type="pct"/>
            <w:tcBorders>
              <w:top w:val="dotted" w:sz="4" w:space="0" w:color="auto"/>
              <w:bottom w:val="single" w:sz="4" w:space="0" w:color="auto"/>
            </w:tcBorders>
            <w:tcMar>
              <w:left w:w="108" w:type="dxa"/>
              <w:right w:w="108" w:type="dxa"/>
            </w:tcMar>
          </w:tcPr>
          <w:p w14:paraId="72948957" w14:textId="77777777" w:rsidR="007010B3" w:rsidRPr="00FC44BA" w:rsidRDefault="007010B3" w:rsidP="00E270BE">
            <w:pPr>
              <w:pStyle w:val="TableText"/>
            </w:pPr>
            <w:r w:rsidRPr="009F02FC">
              <w:t>Audit fee for organic good certification operations</w:t>
            </w:r>
          </w:p>
        </w:tc>
        <w:tc>
          <w:tcPr>
            <w:tcW w:w="814" w:type="pct"/>
            <w:tcBorders>
              <w:top w:val="dotted" w:sz="4" w:space="0" w:color="auto"/>
              <w:bottom w:val="single" w:sz="4" w:space="0" w:color="auto"/>
            </w:tcBorders>
            <w:tcMar>
              <w:left w:w="108" w:type="dxa"/>
              <w:right w:w="108" w:type="dxa"/>
            </w:tcMar>
          </w:tcPr>
          <w:p w14:paraId="4765D10E" w14:textId="77777777" w:rsidR="007010B3" w:rsidRPr="00FC44BA" w:rsidRDefault="007010B3" w:rsidP="00E270BE">
            <w:pPr>
              <w:pStyle w:val="TableText"/>
            </w:pPr>
            <w:r w:rsidRPr="009F02FC">
              <w:t>Per quarter h</w:t>
            </w:r>
            <w:r>
              <w:t>ou</w:t>
            </w:r>
            <w:r w:rsidRPr="009F02FC">
              <w:t>r</w:t>
            </w:r>
          </w:p>
        </w:tc>
        <w:tc>
          <w:tcPr>
            <w:tcW w:w="691" w:type="pct"/>
            <w:tcBorders>
              <w:top w:val="dotted" w:sz="4" w:space="0" w:color="auto"/>
              <w:bottom w:val="single" w:sz="4" w:space="0" w:color="auto"/>
            </w:tcBorders>
          </w:tcPr>
          <w:p w14:paraId="2811E911" w14:textId="77777777" w:rsidR="007010B3" w:rsidRPr="009F02FC" w:rsidRDefault="007010B3" w:rsidP="00E270BE">
            <w:pPr>
              <w:pStyle w:val="TableText"/>
              <w:jc w:val="right"/>
            </w:pPr>
            <w:r w:rsidRPr="009F02FC">
              <w:t>38</w:t>
            </w:r>
          </w:p>
        </w:tc>
        <w:tc>
          <w:tcPr>
            <w:tcW w:w="732" w:type="pct"/>
            <w:tcBorders>
              <w:top w:val="dotted" w:sz="4" w:space="0" w:color="auto"/>
              <w:bottom w:val="single" w:sz="4" w:space="0" w:color="auto"/>
            </w:tcBorders>
          </w:tcPr>
          <w:p w14:paraId="522708FE" w14:textId="77777777" w:rsidR="007010B3" w:rsidRPr="00FC44BA" w:rsidRDefault="007010B3" w:rsidP="00E270BE">
            <w:pPr>
              <w:pStyle w:val="TableText"/>
              <w:jc w:val="right"/>
            </w:pPr>
            <w:r w:rsidRPr="009F02FC">
              <w:t>39</w:t>
            </w:r>
          </w:p>
        </w:tc>
        <w:tc>
          <w:tcPr>
            <w:tcW w:w="726" w:type="pct"/>
            <w:tcBorders>
              <w:top w:val="dotted" w:sz="4" w:space="0" w:color="auto"/>
              <w:bottom w:val="single" w:sz="4" w:space="0" w:color="auto"/>
            </w:tcBorders>
          </w:tcPr>
          <w:p w14:paraId="3E90CD9E" w14:textId="500EEA0D" w:rsidR="007010B3" w:rsidRPr="009F02FC" w:rsidRDefault="00AC0431" w:rsidP="00E270BE">
            <w:pPr>
              <w:pStyle w:val="TableText"/>
              <w:jc w:val="right"/>
            </w:pPr>
            <w:r>
              <w:t>39</w:t>
            </w:r>
          </w:p>
        </w:tc>
      </w:tr>
    </w:tbl>
    <w:p w14:paraId="5CCB1D34" w14:textId="77777777" w:rsidR="007010B3" w:rsidRPr="007010B3" w:rsidRDefault="007010B3" w:rsidP="00324495">
      <w:pPr>
        <w:pStyle w:val="Heading3"/>
        <w:numPr>
          <w:ilvl w:val="0"/>
          <w:numId w:val="0"/>
        </w:numPr>
        <w:ind w:left="964" w:hanging="964"/>
      </w:pPr>
      <w:bookmarkStart w:id="352" w:name="_Toc161301899"/>
      <w:bookmarkStart w:id="353" w:name="_Toc170293392"/>
      <w:bookmarkStart w:id="354" w:name="_Toc193794440"/>
      <w:bookmarkStart w:id="355" w:name="_Toc198898894"/>
      <w:r w:rsidRPr="007010B3">
        <w:t xml:space="preserve">Tariff rate </w:t>
      </w:r>
      <w:r w:rsidRPr="00DA370D">
        <w:t>quota</w:t>
      </w:r>
      <w:r w:rsidRPr="007010B3">
        <w:t xml:space="preserve"> (TRQ) certificates</w:t>
      </w:r>
      <w:bookmarkEnd w:id="352"/>
      <w:bookmarkEnd w:id="353"/>
      <w:bookmarkEnd w:id="354"/>
      <w:bookmarkEnd w:id="355"/>
    </w:p>
    <w:p w14:paraId="772C31FF" w14:textId="170F1CD8" w:rsidR="007010B3" w:rsidRDefault="007010B3" w:rsidP="007010B3">
      <w:r w:rsidRPr="000D5DF6">
        <w:t xml:space="preserve">The prices for TRQ certificates for goods other than prescribed meat, prescribed meat products, prescribed milk and prescribed milk products are as </w:t>
      </w:r>
      <w:r w:rsidRPr="008E75F8">
        <w:t xml:space="preserve">indicated in </w:t>
      </w:r>
      <w:hyperlink w:anchor="Table_A2" w:history="1">
        <w:r w:rsidR="008E75F8" w:rsidRPr="008E75F8">
          <w:rPr>
            <w:rStyle w:val="Hyperlink"/>
            <w:color w:val="auto"/>
            <w:u w:val="none"/>
          </w:rPr>
          <w:t>Table A2</w:t>
        </w:r>
      </w:hyperlink>
      <w:r w:rsidR="008E75F8">
        <w:t>.</w:t>
      </w:r>
    </w:p>
    <w:p w14:paraId="7587093B" w14:textId="56EAF655" w:rsidR="007010B3" w:rsidRDefault="00B1027E" w:rsidP="00B1027E">
      <w:pPr>
        <w:pStyle w:val="Caption"/>
      </w:pPr>
      <w:bookmarkStart w:id="356" w:name="_Ref115183553"/>
      <w:bookmarkStart w:id="357" w:name="_Toc163129555"/>
      <w:bookmarkStart w:id="358" w:name="_Toc188355714"/>
      <w:bookmarkStart w:id="359" w:name="_Toc201227002"/>
      <w:bookmarkStart w:id="360" w:name="_Hlk164677099"/>
      <w:r>
        <w:t>Table A</w:t>
      </w:r>
      <w:r>
        <w:fldChar w:fldCharType="begin"/>
      </w:r>
      <w:r>
        <w:instrText xml:space="preserve"> SEQ Table_A \* ARABIC </w:instrText>
      </w:r>
      <w:r>
        <w:fldChar w:fldCharType="separate"/>
      </w:r>
      <w:r w:rsidR="0001784A">
        <w:rPr>
          <w:noProof/>
        </w:rPr>
        <w:t>2</w:t>
      </w:r>
      <w:r>
        <w:fldChar w:fldCharType="end"/>
      </w:r>
      <w:r>
        <w:t xml:space="preserve"> </w:t>
      </w:r>
      <w:r w:rsidR="007010B3" w:rsidRPr="00772499">
        <w:t>TRQ certificate fees and charge</w:t>
      </w:r>
      <w:bookmarkEnd w:id="356"/>
      <w:bookmarkEnd w:id="357"/>
      <w:bookmarkEnd w:id="358"/>
      <w:bookmarkEnd w:id="359"/>
    </w:p>
    <w:tbl>
      <w:tblPr>
        <w:tblW w:w="5000" w:type="pct"/>
        <w:tblLook w:val="04A0" w:firstRow="1" w:lastRow="0" w:firstColumn="1" w:lastColumn="0" w:noHBand="0" w:noVBand="1"/>
      </w:tblPr>
      <w:tblGrid>
        <w:gridCol w:w="1436"/>
        <w:gridCol w:w="1857"/>
        <w:gridCol w:w="1520"/>
        <w:gridCol w:w="1419"/>
        <w:gridCol w:w="1419"/>
        <w:gridCol w:w="1419"/>
      </w:tblGrid>
      <w:tr w:rsidR="007010B3" w:rsidRPr="0061027D" w14:paraId="6BFE5FE1" w14:textId="77777777" w:rsidTr="0061027D">
        <w:trPr>
          <w:cantSplit/>
          <w:trHeight w:val="380"/>
        </w:trPr>
        <w:tc>
          <w:tcPr>
            <w:tcW w:w="792" w:type="pct"/>
            <w:vMerge w:val="restart"/>
            <w:tcBorders>
              <w:top w:val="single" w:sz="4" w:space="0" w:color="auto"/>
              <w:bottom w:val="single" w:sz="4" w:space="0" w:color="auto"/>
            </w:tcBorders>
            <w:shd w:val="clear" w:color="auto" w:fill="auto"/>
            <w:vAlign w:val="center"/>
            <w:hideMark/>
          </w:tcPr>
          <w:p w14:paraId="587A178A" w14:textId="77777777" w:rsidR="007010B3" w:rsidRPr="0061027D" w:rsidRDefault="007010B3" w:rsidP="00E270BE">
            <w:pPr>
              <w:pStyle w:val="TableHeading"/>
              <w:rPr>
                <w:rStyle w:val="Strong"/>
                <w:b/>
                <w:bCs w:val="0"/>
              </w:rPr>
            </w:pPr>
            <w:bookmarkStart w:id="361" w:name="Table_A2"/>
            <w:bookmarkStart w:id="362" w:name="_Hlk70687549" w:colFirst="1" w:colLast="5"/>
            <w:bookmarkEnd w:id="361"/>
            <w:r w:rsidRPr="0061027D">
              <w:rPr>
                <w:rStyle w:val="Strong"/>
                <w:b/>
                <w:bCs w:val="0"/>
              </w:rPr>
              <w:t>Type of charge</w:t>
            </w:r>
          </w:p>
        </w:tc>
        <w:tc>
          <w:tcPr>
            <w:tcW w:w="1024" w:type="pct"/>
            <w:vMerge w:val="restart"/>
            <w:tcBorders>
              <w:top w:val="single" w:sz="4" w:space="0" w:color="auto"/>
              <w:bottom w:val="single" w:sz="4" w:space="0" w:color="auto"/>
            </w:tcBorders>
            <w:shd w:val="clear" w:color="auto" w:fill="auto"/>
            <w:vAlign w:val="center"/>
            <w:hideMark/>
          </w:tcPr>
          <w:p w14:paraId="5EE5F3C1" w14:textId="77777777" w:rsidR="007010B3" w:rsidRPr="0061027D" w:rsidRDefault="007010B3" w:rsidP="00E270BE">
            <w:pPr>
              <w:pStyle w:val="TableHeading"/>
              <w:rPr>
                <w:rStyle w:val="Strong"/>
                <w:b/>
                <w:bCs w:val="0"/>
              </w:rPr>
            </w:pPr>
            <w:r w:rsidRPr="0061027D">
              <w:rPr>
                <w:rStyle w:val="Strong"/>
                <w:b/>
                <w:bCs w:val="0"/>
              </w:rPr>
              <w:t>Cost recovery charges</w:t>
            </w:r>
          </w:p>
        </w:tc>
        <w:tc>
          <w:tcPr>
            <w:tcW w:w="838" w:type="pct"/>
            <w:vMerge w:val="restart"/>
            <w:tcBorders>
              <w:top w:val="single" w:sz="4" w:space="0" w:color="auto"/>
            </w:tcBorders>
            <w:shd w:val="clear" w:color="auto" w:fill="auto"/>
            <w:vAlign w:val="center"/>
            <w:hideMark/>
          </w:tcPr>
          <w:p w14:paraId="36C51F29" w14:textId="77777777" w:rsidR="007010B3" w:rsidRPr="0061027D" w:rsidRDefault="007010B3" w:rsidP="00E270BE">
            <w:pPr>
              <w:pStyle w:val="TableHeading"/>
              <w:rPr>
                <w:rStyle w:val="Strong"/>
                <w:b/>
                <w:bCs w:val="0"/>
              </w:rPr>
            </w:pPr>
            <w:r w:rsidRPr="0061027D">
              <w:rPr>
                <w:rStyle w:val="Strong"/>
                <w:b/>
                <w:bCs w:val="0"/>
              </w:rPr>
              <w:t>Unit</w:t>
            </w:r>
          </w:p>
        </w:tc>
        <w:tc>
          <w:tcPr>
            <w:tcW w:w="2346" w:type="pct"/>
            <w:gridSpan w:val="3"/>
            <w:tcBorders>
              <w:top w:val="single" w:sz="4" w:space="0" w:color="auto"/>
              <w:bottom w:val="single" w:sz="4" w:space="0" w:color="000000" w:themeColor="text1"/>
            </w:tcBorders>
            <w:shd w:val="clear" w:color="auto" w:fill="auto"/>
            <w:hideMark/>
          </w:tcPr>
          <w:p w14:paraId="43493EE3" w14:textId="77777777" w:rsidR="007010B3" w:rsidRPr="0061027D" w:rsidRDefault="007010B3" w:rsidP="00E270BE">
            <w:pPr>
              <w:pStyle w:val="TableHeading"/>
              <w:jc w:val="center"/>
              <w:rPr>
                <w:rStyle w:val="Strong"/>
                <w:b/>
                <w:bCs w:val="0"/>
              </w:rPr>
            </w:pPr>
            <w:r w:rsidRPr="0061027D">
              <w:rPr>
                <w:rStyle w:val="Strong"/>
                <w:b/>
                <w:bCs w:val="0"/>
              </w:rPr>
              <w:t>Price ($)</w:t>
            </w:r>
          </w:p>
        </w:tc>
      </w:tr>
      <w:tr w:rsidR="007010B3" w:rsidRPr="0061027D" w14:paraId="578BE252" w14:textId="77777777" w:rsidTr="0061027D">
        <w:trPr>
          <w:trHeight w:val="300"/>
        </w:trPr>
        <w:tc>
          <w:tcPr>
            <w:tcW w:w="792" w:type="pct"/>
            <w:vMerge/>
            <w:tcBorders>
              <w:bottom w:val="single" w:sz="4" w:space="0" w:color="auto"/>
            </w:tcBorders>
            <w:shd w:val="clear" w:color="auto" w:fill="auto"/>
            <w:vAlign w:val="center"/>
            <w:hideMark/>
          </w:tcPr>
          <w:p w14:paraId="18B13DA4" w14:textId="77777777" w:rsidR="007010B3" w:rsidRPr="0061027D" w:rsidRDefault="007010B3" w:rsidP="00E270BE">
            <w:pPr>
              <w:pStyle w:val="TableHeading"/>
            </w:pPr>
          </w:p>
        </w:tc>
        <w:tc>
          <w:tcPr>
            <w:tcW w:w="1024" w:type="pct"/>
            <w:vMerge/>
            <w:tcBorders>
              <w:bottom w:val="single" w:sz="4" w:space="0" w:color="auto"/>
            </w:tcBorders>
            <w:shd w:val="clear" w:color="auto" w:fill="auto"/>
            <w:vAlign w:val="center"/>
            <w:hideMark/>
          </w:tcPr>
          <w:p w14:paraId="62967CA4" w14:textId="77777777" w:rsidR="007010B3" w:rsidRPr="0061027D" w:rsidRDefault="007010B3" w:rsidP="00E270BE">
            <w:pPr>
              <w:pStyle w:val="TableHeading"/>
            </w:pPr>
          </w:p>
        </w:tc>
        <w:tc>
          <w:tcPr>
            <w:tcW w:w="838" w:type="pct"/>
            <w:vMerge/>
            <w:tcBorders>
              <w:bottom w:val="single" w:sz="4" w:space="0" w:color="auto"/>
            </w:tcBorders>
            <w:shd w:val="clear" w:color="auto" w:fill="auto"/>
            <w:vAlign w:val="center"/>
            <w:hideMark/>
          </w:tcPr>
          <w:p w14:paraId="42388508" w14:textId="77777777" w:rsidR="007010B3" w:rsidRPr="0061027D" w:rsidRDefault="007010B3" w:rsidP="00E270BE">
            <w:pPr>
              <w:pStyle w:val="TableHeading"/>
            </w:pPr>
          </w:p>
        </w:tc>
        <w:tc>
          <w:tcPr>
            <w:tcW w:w="782" w:type="pct"/>
            <w:tcBorders>
              <w:top w:val="single" w:sz="4" w:space="0" w:color="000000" w:themeColor="text1"/>
              <w:bottom w:val="single" w:sz="4" w:space="0" w:color="auto"/>
            </w:tcBorders>
            <w:shd w:val="clear" w:color="auto" w:fill="auto"/>
            <w:hideMark/>
          </w:tcPr>
          <w:p w14:paraId="0D545B80" w14:textId="77777777" w:rsidR="007010B3" w:rsidRPr="0061027D" w:rsidRDefault="007010B3" w:rsidP="00E270BE">
            <w:pPr>
              <w:pStyle w:val="TableText"/>
              <w:jc w:val="right"/>
              <w:rPr>
                <w:rStyle w:val="Strong"/>
              </w:rPr>
            </w:pPr>
            <w:r w:rsidRPr="0061027D">
              <w:rPr>
                <w:rStyle w:val="Strong"/>
              </w:rPr>
              <w:t>2023–24</w:t>
            </w:r>
          </w:p>
        </w:tc>
        <w:tc>
          <w:tcPr>
            <w:tcW w:w="782" w:type="pct"/>
            <w:tcBorders>
              <w:top w:val="single" w:sz="4" w:space="0" w:color="000000" w:themeColor="text1"/>
              <w:bottom w:val="single" w:sz="4" w:space="0" w:color="auto"/>
            </w:tcBorders>
            <w:shd w:val="clear" w:color="auto" w:fill="auto"/>
            <w:hideMark/>
          </w:tcPr>
          <w:p w14:paraId="7846FDEF" w14:textId="77777777" w:rsidR="007010B3" w:rsidRPr="0061027D" w:rsidRDefault="007010B3" w:rsidP="00E270BE">
            <w:pPr>
              <w:pStyle w:val="TableText"/>
              <w:jc w:val="right"/>
              <w:rPr>
                <w:rStyle w:val="Strong"/>
              </w:rPr>
            </w:pPr>
            <w:r w:rsidRPr="0061027D">
              <w:rPr>
                <w:rStyle w:val="Strong"/>
              </w:rPr>
              <w:t>2024–25</w:t>
            </w:r>
          </w:p>
        </w:tc>
        <w:tc>
          <w:tcPr>
            <w:tcW w:w="782" w:type="pct"/>
            <w:tcBorders>
              <w:top w:val="single" w:sz="4" w:space="0" w:color="000000" w:themeColor="text1"/>
              <w:bottom w:val="single" w:sz="4" w:space="0" w:color="auto"/>
            </w:tcBorders>
            <w:shd w:val="clear" w:color="auto" w:fill="auto"/>
            <w:hideMark/>
          </w:tcPr>
          <w:p w14:paraId="5688C21E" w14:textId="77777777" w:rsidR="007010B3" w:rsidRPr="0061027D" w:rsidRDefault="007010B3" w:rsidP="00E270BE">
            <w:pPr>
              <w:pStyle w:val="TableText"/>
              <w:jc w:val="right"/>
              <w:rPr>
                <w:rStyle w:val="Strong"/>
              </w:rPr>
            </w:pPr>
            <w:r w:rsidRPr="0061027D">
              <w:rPr>
                <w:rStyle w:val="Strong"/>
              </w:rPr>
              <w:t>2025–26</w:t>
            </w:r>
          </w:p>
        </w:tc>
      </w:tr>
      <w:tr w:rsidR="007010B3" w:rsidRPr="0061027D" w14:paraId="4EAD49EA" w14:textId="77777777" w:rsidTr="0061027D">
        <w:trPr>
          <w:trHeight w:val="20"/>
        </w:trPr>
        <w:tc>
          <w:tcPr>
            <w:tcW w:w="792" w:type="pct"/>
            <w:tcBorders>
              <w:top w:val="single" w:sz="4" w:space="0" w:color="auto"/>
            </w:tcBorders>
            <w:shd w:val="clear" w:color="auto" w:fill="auto"/>
            <w:vAlign w:val="center"/>
            <w:hideMark/>
          </w:tcPr>
          <w:p w14:paraId="2C76536F" w14:textId="77777777" w:rsidR="007010B3" w:rsidRPr="0061027D" w:rsidRDefault="007010B3" w:rsidP="00E270BE">
            <w:pPr>
              <w:pStyle w:val="TableHeading"/>
              <w:rPr>
                <w:lang w:eastAsia="en-AU"/>
              </w:rPr>
            </w:pPr>
            <w:r w:rsidRPr="0061027D">
              <w:rPr>
                <w:lang w:eastAsia="en-AU"/>
              </w:rPr>
              <w:t>Charge</w:t>
            </w:r>
          </w:p>
        </w:tc>
        <w:tc>
          <w:tcPr>
            <w:tcW w:w="1024" w:type="pct"/>
            <w:tcBorders>
              <w:top w:val="single" w:sz="4" w:space="0" w:color="auto"/>
              <w:bottom w:val="dotted" w:sz="4" w:space="0" w:color="auto"/>
            </w:tcBorders>
            <w:shd w:val="clear" w:color="auto" w:fill="auto"/>
            <w:vAlign w:val="center"/>
            <w:hideMark/>
          </w:tcPr>
          <w:p w14:paraId="526B9587"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r w:rsidRPr="0061027D">
              <w:rPr>
                <w:rFonts w:ascii="Calibri" w:eastAsia="Times New Roman" w:hAnsi="Calibri" w:cs="Calibri"/>
                <w:color w:val="000000"/>
                <w:sz w:val="18"/>
                <w:szCs w:val="18"/>
                <w:lang w:eastAsia="en-AU"/>
              </w:rPr>
              <w:t>TRQ Certificate</w:t>
            </w:r>
          </w:p>
        </w:tc>
        <w:tc>
          <w:tcPr>
            <w:tcW w:w="838" w:type="pct"/>
            <w:tcBorders>
              <w:top w:val="single" w:sz="4" w:space="0" w:color="auto"/>
              <w:bottom w:val="dotted" w:sz="4" w:space="0" w:color="auto"/>
            </w:tcBorders>
            <w:shd w:val="clear" w:color="auto" w:fill="auto"/>
            <w:vAlign w:val="center"/>
            <w:hideMark/>
          </w:tcPr>
          <w:p w14:paraId="04542B79"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r w:rsidRPr="0061027D">
              <w:rPr>
                <w:rFonts w:ascii="Calibri" w:eastAsia="Times New Roman" w:hAnsi="Calibri" w:cs="Calibri"/>
                <w:color w:val="000000"/>
                <w:sz w:val="18"/>
                <w:szCs w:val="18"/>
                <w:lang w:eastAsia="en-AU"/>
              </w:rPr>
              <w:t>Per document</w:t>
            </w:r>
          </w:p>
        </w:tc>
        <w:tc>
          <w:tcPr>
            <w:tcW w:w="782" w:type="pct"/>
            <w:tcBorders>
              <w:top w:val="single" w:sz="4" w:space="0" w:color="auto"/>
              <w:bottom w:val="dotted" w:sz="4" w:space="0" w:color="auto"/>
            </w:tcBorders>
            <w:shd w:val="clear" w:color="auto" w:fill="auto"/>
            <w:hideMark/>
          </w:tcPr>
          <w:p w14:paraId="2C1462C0"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45</w:t>
            </w:r>
          </w:p>
        </w:tc>
        <w:tc>
          <w:tcPr>
            <w:tcW w:w="782" w:type="pct"/>
            <w:tcBorders>
              <w:top w:val="single" w:sz="4" w:space="0" w:color="auto"/>
              <w:bottom w:val="dotted" w:sz="4" w:space="0" w:color="auto"/>
            </w:tcBorders>
            <w:shd w:val="clear" w:color="auto" w:fill="auto"/>
            <w:hideMark/>
          </w:tcPr>
          <w:p w14:paraId="251D3685"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46</w:t>
            </w:r>
          </w:p>
        </w:tc>
        <w:tc>
          <w:tcPr>
            <w:tcW w:w="782" w:type="pct"/>
            <w:tcBorders>
              <w:top w:val="single" w:sz="4" w:space="0" w:color="auto"/>
              <w:bottom w:val="dotted" w:sz="4" w:space="0" w:color="auto"/>
            </w:tcBorders>
            <w:shd w:val="clear" w:color="auto" w:fill="auto"/>
            <w:hideMark/>
          </w:tcPr>
          <w:p w14:paraId="6CC14CD4" w14:textId="5B4B0791"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4</w:t>
            </w:r>
            <w:r w:rsidR="00AC0431" w:rsidRPr="0061027D">
              <w:rPr>
                <w:rFonts w:ascii="Calibri" w:eastAsia="Times New Roman" w:hAnsi="Calibri" w:cs="Calibri"/>
                <w:color w:val="000000"/>
                <w:szCs w:val="18"/>
                <w:lang w:eastAsia="en-AU"/>
              </w:rPr>
              <w:t>6</w:t>
            </w:r>
          </w:p>
        </w:tc>
      </w:tr>
      <w:tr w:rsidR="007010B3" w:rsidRPr="0061027D" w14:paraId="331E5BEA" w14:textId="77777777" w:rsidTr="0061027D">
        <w:trPr>
          <w:trHeight w:val="20"/>
        </w:trPr>
        <w:tc>
          <w:tcPr>
            <w:tcW w:w="792" w:type="pct"/>
            <w:vMerge w:val="restart"/>
            <w:tcBorders>
              <w:bottom w:val="single" w:sz="4" w:space="0" w:color="auto"/>
            </w:tcBorders>
            <w:shd w:val="clear" w:color="auto" w:fill="auto"/>
            <w:hideMark/>
          </w:tcPr>
          <w:p w14:paraId="68F97B3C" w14:textId="77777777" w:rsidR="007010B3" w:rsidRPr="0061027D" w:rsidRDefault="007010B3" w:rsidP="0061027D">
            <w:pPr>
              <w:pStyle w:val="TableHeading"/>
              <w:rPr>
                <w:lang w:eastAsia="en-AU"/>
              </w:rPr>
            </w:pPr>
            <w:r w:rsidRPr="0061027D">
              <w:t>Fee</w:t>
            </w:r>
          </w:p>
        </w:tc>
        <w:tc>
          <w:tcPr>
            <w:tcW w:w="1024" w:type="pct"/>
            <w:tcBorders>
              <w:top w:val="dotted" w:sz="4" w:space="0" w:color="auto"/>
              <w:bottom w:val="single" w:sz="4" w:space="0" w:color="auto"/>
            </w:tcBorders>
            <w:shd w:val="clear" w:color="auto" w:fill="auto"/>
            <w:vAlign w:val="center"/>
            <w:hideMark/>
          </w:tcPr>
          <w:p w14:paraId="45F995D9"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r w:rsidRPr="0061027D">
              <w:rPr>
                <w:rFonts w:ascii="Calibri" w:eastAsia="Times New Roman" w:hAnsi="Calibri" w:cs="Calibri"/>
                <w:color w:val="000000"/>
                <w:sz w:val="18"/>
                <w:szCs w:val="18"/>
                <w:lang w:eastAsia="en-AU"/>
              </w:rPr>
              <w:t>TRQ Certificate electronic</w:t>
            </w:r>
          </w:p>
        </w:tc>
        <w:tc>
          <w:tcPr>
            <w:tcW w:w="838" w:type="pct"/>
            <w:tcBorders>
              <w:top w:val="dotted" w:sz="4" w:space="0" w:color="auto"/>
              <w:bottom w:val="single" w:sz="4" w:space="0" w:color="auto"/>
            </w:tcBorders>
            <w:shd w:val="clear" w:color="auto" w:fill="auto"/>
            <w:vAlign w:val="center"/>
            <w:hideMark/>
          </w:tcPr>
          <w:p w14:paraId="12F672A3"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r w:rsidRPr="0061027D">
              <w:rPr>
                <w:rFonts w:ascii="Calibri" w:eastAsia="Times New Roman" w:hAnsi="Calibri" w:cs="Calibri"/>
                <w:color w:val="000000"/>
                <w:sz w:val="18"/>
                <w:szCs w:val="18"/>
                <w:lang w:eastAsia="en-AU"/>
              </w:rPr>
              <w:t>Per document</w:t>
            </w:r>
          </w:p>
        </w:tc>
        <w:tc>
          <w:tcPr>
            <w:tcW w:w="782" w:type="pct"/>
            <w:tcBorders>
              <w:top w:val="dotted" w:sz="4" w:space="0" w:color="auto"/>
              <w:bottom w:val="single" w:sz="4" w:space="0" w:color="auto"/>
            </w:tcBorders>
            <w:shd w:val="clear" w:color="auto" w:fill="auto"/>
            <w:hideMark/>
          </w:tcPr>
          <w:p w14:paraId="139891A9"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17</w:t>
            </w:r>
          </w:p>
        </w:tc>
        <w:tc>
          <w:tcPr>
            <w:tcW w:w="782" w:type="pct"/>
            <w:tcBorders>
              <w:top w:val="dotted" w:sz="4" w:space="0" w:color="auto"/>
              <w:bottom w:val="single" w:sz="4" w:space="0" w:color="auto"/>
            </w:tcBorders>
            <w:shd w:val="clear" w:color="auto" w:fill="auto"/>
            <w:hideMark/>
          </w:tcPr>
          <w:p w14:paraId="5F18CDF2"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17</w:t>
            </w:r>
          </w:p>
        </w:tc>
        <w:tc>
          <w:tcPr>
            <w:tcW w:w="782" w:type="pct"/>
            <w:tcBorders>
              <w:top w:val="dotted" w:sz="4" w:space="0" w:color="auto"/>
              <w:bottom w:val="single" w:sz="4" w:space="0" w:color="auto"/>
            </w:tcBorders>
            <w:shd w:val="clear" w:color="auto" w:fill="auto"/>
            <w:hideMark/>
          </w:tcPr>
          <w:p w14:paraId="55A196AD"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17</w:t>
            </w:r>
          </w:p>
        </w:tc>
      </w:tr>
      <w:tr w:rsidR="007010B3" w:rsidRPr="0061027D" w14:paraId="4F998614" w14:textId="77777777" w:rsidTr="0061027D">
        <w:trPr>
          <w:trHeight w:val="20"/>
        </w:trPr>
        <w:tc>
          <w:tcPr>
            <w:tcW w:w="792" w:type="pct"/>
            <w:vMerge/>
            <w:tcBorders>
              <w:bottom w:val="single" w:sz="4" w:space="0" w:color="auto"/>
            </w:tcBorders>
            <w:shd w:val="clear" w:color="auto" w:fill="auto"/>
            <w:vAlign w:val="center"/>
            <w:hideMark/>
          </w:tcPr>
          <w:p w14:paraId="2EB8FD85"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p>
        </w:tc>
        <w:tc>
          <w:tcPr>
            <w:tcW w:w="1024" w:type="pct"/>
            <w:tcBorders>
              <w:top w:val="single" w:sz="4" w:space="0" w:color="auto"/>
              <w:bottom w:val="dotted" w:sz="4" w:space="0" w:color="auto"/>
            </w:tcBorders>
            <w:shd w:val="clear" w:color="auto" w:fill="auto"/>
            <w:vAlign w:val="center"/>
            <w:hideMark/>
          </w:tcPr>
          <w:p w14:paraId="09E2A52C"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r w:rsidRPr="0061027D">
              <w:rPr>
                <w:rFonts w:ascii="Calibri" w:eastAsia="Times New Roman" w:hAnsi="Calibri" w:cs="Calibri"/>
                <w:color w:val="000000"/>
                <w:sz w:val="18"/>
                <w:szCs w:val="18"/>
                <w:lang w:eastAsia="en-AU"/>
              </w:rPr>
              <w:t>TRQ Certificate, manual</w:t>
            </w:r>
          </w:p>
        </w:tc>
        <w:tc>
          <w:tcPr>
            <w:tcW w:w="838" w:type="pct"/>
            <w:tcBorders>
              <w:top w:val="single" w:sz="4" w:space="0" w:color="auto"/>
              <w:bottom w:val="dotted" w:sz="4" w:space="0" w:color="auto"/>
            </w:tcBorders>
            <w:shd w:val="clear" w:color="auto" w:fill="auto"/>
            <w:vAlign w:val="center"/>
            <w:hideMark/>
          </w:tcPr>
          <w:p w14:paraId="56E731E5"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r w:rsidRPr="0061027D">
              <w:rPr>
                <w:rFonts w:ascii="Calibri" w:eastAsia="Times New Roman" w:hAnsi="Calibri" w:cs="Calibri"/>
                <w:color w:val="000000"/>
                <w:sz w:val="18"/>
                <w:szCs w:val="18"/>
                <w:lang w:eastAsia="en-AU"/>
              </w:rPr>
              <w:t>Per document</w:t>
            </w:r>
          </w:p>
        </w:tc>
        <w:tc>
          <w:tcPr>
            <w:tcW w:w="782" w:type="pct"/>
            <w:tcBorders>
              <w:top w:val="single" w:sz="4" w:space="0" w:color="auto"/>
              <w:bottom w:val="dotted" w:sz="4" w:space="0" w:color="auto"/>
            </w:tcBorders>
            <w:shd w:val="clear" w:color="auto" w:fill="auto"/>
            <w:hideMark/>
          </w:tcPr>
          <w:p w14:paraId="7E71FEC5"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41</w:t>
            </w:r>
          </w:p>
        </w:tc>
        <w:tc>
          <w:tcPr>
            <w:tcW w:w="782" w:type="pct"/>
            <w:tcBorders>
              <w:top w:val="single" w:sz="4" w:space="0" w:color="auto"/>
              <w:bottom w:val="dotted" w:sz="4" w:space="0" w:color="auto"/>
            </w:tcBorders>
            <w:shd w:val="clear" w:color="auto" w:fill="auto"/>
            <w:hideMark/>
          </w:tcPr>
          <w:p w14:paraId="7647D0F0"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41</w:t>
            </w:r>
          </w:p>
        </w:tc>
        <w:tc>
          <w:tcPr>
            <w:tcW w:w="782" w:type="pct"/>
            <w:tcBorders>
              <w:top w:val="single" w:sz="4" w:space="0" w:color="auto"/>
              <w:bottom w:val="dotted" w:sz="4" w:space="0" w:color="auto"/>
            </w:tcBorders>
            <w:shd w:val="clear" w:color="auto" w:fill="auto"/>
            <w:hideMark/>
          </w:tcPr>
          <w:p w14:paraId="3C276D51"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41</w:t>
            </w:r>
          </w:p>
        </w:tc>
      </w:tr>
      <w:tr w:rsidR="007010B3" w:rsidRPr="002F5BC0" w14:paraId="77AE9597" w14:textId="77777777" w:rsidTr="0061027D">
        <w:trPr>
          <w:trHeight w:val="20"/>
        </w:trPr>
        <w:tc>
          <w:tcPr>
            <w:tcW w:w="792" w:type="pct"/>
            <w:vMerge/>
            <w:tcBorders>
              <w:bottom w:val="single" w:sz="4" w:space="0" w:color="auto"/>
            </w:tcBorders>
            <w:shd w:val="clear" w:color="auto" w:fill="auto"/>
            <w:vAlign w:val="center"/>
            <w:hideMark/>
          </w:tcPr>
          <w:p w14:paraId="4FB99C4F"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p>
        </w:tc>
        <w:tc>
          <w:tcPr>
            <w:tcW w:w="1024" w:type="pct"/>
            <w:tcBorders>
              <w:top w:val="dotted" w:sz="4" w:space="0" w:color="auto"/>
              <w:bottom w:val="single" w:sz="4" w:space="0" w:color="auto"/>
            </w:tcBorders>
            <w:shd w:val="clear" w:color="auto" w:fill="auto"/>
            <w:vAlign w:val="center"/>
            <w:hideMark/>
          </w:tcPr>
          <w:p w14:paraId="1EAE63E2"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r w:rsidRPr="0061027D">
              <w:rPr>
                <w:rFonts w:ascii="Calibri" w:eastAsia="Times New Roman" w:hAnsi="Calibri" w:cs="Calibri"/>
                <w:color w:val="000000"/>
                <w:sz w:val="18"/>
                <w:szCs w:val="18"/>
                <w:lang w:eastAsia="en-AU"/>
              </w:rPr>
              <w:t>Replacement TRQ Certificate</w:t>
            </w:r>
          </w:p>
        </w:tc>
        <w:tc>
          <w:tcPr>
            <w:tcW w:w="838" w:type="pct"/>
            <w:tcBorders>
              <w:top w:val="dotted" w:sz="4" w:space="0" w:color="auto"/>
              <w:bottom w:val="single" w:sz="4" w:space="0" w:color="auto"/>
            </w:tcBorders>
            <w:shd w:val="clear" w:color="auto" w:fill="auto"/>
            <w:vAlign w:val="center"/>
            <w:hideMark/>
          </w:tcPr>
          <w:p w14:paraId="233A9F22" w14:textId="77777777" w:rsidR="007010B3" w:rsidRPr="0061027D" w:rsidRDefault="007010B3" w:rsidP="00E270BE">
            <w:pPr>
              <w:spacing w:after="0" w:line="240" w:lineRule="auto"/>
              <w:rPr>
                <w:rFonts w:ascii="Calibri" w:eastAsia="Times New Roman" w:hAnsi="Calibri" w:cs="Calibri"/>
                <w:color w:val="000000"/>
                <w:sz w:val="18"/>
                <w:szCs w:val="18"/>
                <w:lang w:eastAsia="en-AU"/>
              </w:rPr>
            </w:pPr>
            <w:r w:rsidRPr="0061027D">
              <w:rPr>
                <w:rFonts w:ascii="Calibri" w:eastAsia="Times New Roman" w:hAnsi="Calibri" w:cs="Calibri"/>
                <w:color w:val="000000"/>
                <w:sz w:val="18"/>
                <w:szCs w:val="18"/>
                <w:lang w:eastAsia="en-AU"/>
              </w:rPr>
              <w:t>Per document</w:t>
            </w:r>
          </w:p>
        </w:tc>
        <w:tc>
          <w:tcPr>
            <w:tcW w:w="782" w:type="pct"/>
            <w:tcBorders>
              <w:top w:val="dotted" w:sz="4" w:space="0" w:color="auto"/>
              <w:bottom w:val="single" w:sz="4" w:space="0" w:color="auto"/>
            </w:tcBorders>
            <w:shd w:val="clear" w:color="auto" w:fill="auto"/>
            <w:hideMark/>
          </w:tcPr>
          <w:p w14:paraId="1AF7A083"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563</w:t>
            </w:r>
          </w:p>
        </w:tc>
        <w:tc>
          <w:tcPr>
            <w:tcW w:w="782" w:type="pct"/>
            <w:tcBorders>
              <w:top w:val="dotted" w:sz="4" w:space="0" w:color="auto"/>
              <w:bottom w:val="single" w:sz="4" w:space="0" w:color="auto"/>
            </w:tcBorders>
            <w:shd w:val="clear" w:color="auto" w:fill="auto"/>
            <w:hideMark/>
          </w:tcPr>
          <w:p w14:paraId="28D58E2B" w14:textId="77777777" w:rsidR="007010B3" w:rsidRPr="0061027D"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574</w:t>
            </w:r>
          </w:p>
        </w:tc>
        <w:tc>
          <w:tcPr>
            <w:tcW w:w="782" w:type="pct"/>
            <w:tcBorders>
              <w:top w:val="dotted" w:sz="4" w:space="0" w:color="auto"/>
              <w:bottom w:val="single" w:sz="4" w:space="0" w:color="auto"/>
            </w:tcBorders>
            <w:shd w:val="clear" w:color="auto" w:fill="auto"/>
            <w:hideMark/>
          </w:tcPr>
          <w:p w14:paraId="23BBD387" w14:textId="7ADD572F" w:rsidR="007010B3" w:rsidRPr="002F5BC0" w:rsidRDefault="007010B3" w:rsidP="00E270BE">
            <w:pPr>
              <w:pStyle w:val="TableText"/>
              <w:jc w:val="right"/>
              <w:rPr>
                <w:rFonts w:ascii="Calibri" w:eastAsia="Times New Roman" w:hAnsi="Calibri" w:cs="Calibri"/>
                <w:color w:val="000000"/>
                <w:szCs w:val="18"/>
                <w:lang w:eastAsia="en-AU"/>
              </w:rPr>
            </w:pPr>
            <w:r w:rsidRPr="0061027D">
              <w:rPr>
                <w:rFonts w:ascii="Calibri" w:eastAsia="Times New Roman" w:hAnsi="Calibri" w:cs="Calibri"/>
                <w:color w:val="000000"/>
                <w:szCs w:val="18"/>
                <w:lang w:eastAsia="en-AU"/>
              </w:rPr>
              <w:t>5</w:t>
            </w:r>
            <w:r w:rsidR="00AC0431" w:rsidRPr="0061027D">
              <w:rPr>
                <w:rFonts w:ascii="Calibri" w:eastAsia="Times New Roman" w:hAnsi="Calibri" w:cs="Calibri"/>
                <w:color w:val="000000"/>
                <w:szCs w:val="18"/>
                <w:lang w:eastAsia="en-AU"/>
              </w:rPr>
              <w:t>74</w:t>
            </w:r>
          </w:p>
        </w:tc>
      </w:tr>
    </w:tbl>
    <w:p w14:paraId="7FADC0DB" w14:textId="77777777" w:rsidR="007010B3" w:rsidRPr="007010B3" w:rsidRDefault="007010B3" w:rsidP="00A7040E">
      <w:pPr>
        <w:pStyle w:val="Heading3"/>
        <w:numPr>
          <w:ilvl w:val="0"/>
          <w:numId w:val="0"/>
        </w:numPr>
        <w:spacing w:before="240"/>
        <w:ind w:left="964" w:hanging="964"/>
      </w:pPr>
      <w:bookmarkStart w:id="363" w:name="_Toc170293393"/>
      <w:bookmarkStart w:id="364" w:name="_Toc193794441"/>
      <w:bookmarkStart w:id="365" w:name="_Toc198898895"/>
      <w:bookmarkEnd w:id="360"/>
      <w:bookmarkEnd w:id="362"/>
      <w:r w:rsidRPr="007010B3">
        <w:t xml:space="preserve">Outside </w:t>
      </w:r>
      <w:r w:rsidRPr="00DA370D">
        <w:t>ordinary</w:t>
      </w:r>
      <w:r w:rsidRPr="007010B3">
        <w:t xml:space="preserve"> hours (OOH)</w:t>
      </w:r>
      <w:bookmarkEnd w:id="363"/>
      <w:bookmarkEnd w:id="364"/>
      <w:bookmarkEnd w:id="365"/>
    </w:p>
    <w:p w14:paraId="47CC8D44" w14:textId="141F20BB" w:rsidR="007010B3" w:rsidRDefault="007010B3" w:rsidP="007010B3">
      <w:r w:rsidRPr="009F02FC">
        <w:t xml:space="preserve">The additional fees payable for fee-bearing activity for certain goods by Commonwealth authorised officers outside ordinary hours of duty are as </w:t>
      </w:r>
      <w:r w:rsidRPr="005E693E">
        <w:t xml:space="preserve">indicated </w:t>
      </w:r>
      <w:r w:rsidRPr="008E75F8">
        <w:t xml:space="preserve">in </w:t>
      </w:r>
      <w:hyperlink w:anchor="Table_A3" w:history="1">
        <w:r w:rsidR="008E75F8" w:rsidRPr="008E75F8">
          <w:rPr>
            <w:rStyle w:val="Hyperlink"/>
            <w:color w:val="auto"/>
            <w:u w:val="none"/>
          </w:rPr>
          <w:t>Table A3</w:t>
        </w:r>
      </w:hyperlink>
      <w:r w:rsidR="008E75F8" w:rsidRPr="008E75F8">
        <w:t>.</w:t>
      </w:r>
    </w:p>
    <w:p w14:paraId="0D543F59" w14:textId="77777777" w:rsidR="007010B3" w:rsidRDefault="007010B3" w:rsidP="007010B3">
      <w:r>
        <w:t>Outside ordinary hours fees for goods other than prescribed livestock, prescribed live animals, prescribed animal reproductive material and prescribed meat and prescribed meat products</w:t>
      </w:r>
    </w:p>
    <w:p w14:paraId="2C0503A6" w14:textId="426ABEBC" w:rsidR="007010B3" w:rsidRPr="00772499" w:rsidRDefault="00A7040E" w:rsidP="00A7040E">
      <w:pPr>
        <w:pStyle w:val="Caption"/>
      </w:pPr>
      <w:bookmarkStart w:id="366" w:name="_Toc188355715"/>
      <w:bookmarkStart w:id="367" w:name="_Toc201227003"/>
      <w:bookmarkStart w:id="368" w:name="_Ref115183589"/>
      <w:bookmarkStart w:id="369" w:name="_Toc163129556"/>
      <w:r>
        <w:lastRenderedPageBreak/>
        <w:t>Table A</w:t>
      </w:r>
      <w:r>
        <w:fldChar w:fldCharType="begin"/>
      </w:r>
      <w:r>
        <w:instrText xml:space="preserve"> SEQ Table_A \* ARABIC </w:instrText>
      </w:r>
      <w:r>
        <w:fldChar w:fldCharType="separate"/>
      </w:r>
      <w:r w:rsidR="0001784A">
        <w:rPr>
          <w:noProof/>
        </w:rPr>
        <w:t>3</w:t>
      </w:r>
      <w:r>
        <w:fldChar w:fldCharType="end"/>
      </w:r>
      <w:r>
        <w:t xml:space="preserve"> </w:t>
      </w:r>
      <w:r w:rsidR="007010B3" w:rsidRPr="00772499">
        <w:t>Outside ordinary hours</w:t>
      </w:r>
      <w:bookmarkEnd w:id="366"/>
      <w:bookmarkEnd w:id="367"/>
      <w:r w:rsidR="007010B3" w:rsidRPr="00772499">
        <w:t xml:space="preserve"> </w:t>
      </w:r>
      <w:bookmarkEnd w:id="368"/>
      <w:bookmarkEnd w:id="369"/>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1346"/>
        <w:gridCol w:w="2485"/>
        <w:gridCol w:w="1725"/>
        <w:gridCol w:w="1123"/>
        <w:gridCol w:w="1241"/>
        <w:gridCol w:w="1150"/>
      </w:tblGrid>
      <w:tr w:rsidR="007010B3" w:rsidRPr="009F02FC" w14:paraId="62C15E56" w14:textId="77777777" w:rsidTr="00E270BE">
        <w:trPr>
          <w:cantSplit/>
          <w:tblHeader/>
        </w:trPr>
        <w:tc>
          <w:tcPr>
            <w:tcW w:w="742" w:type="pct"/>
            <w:vMerge w:val="restart"/>
            <w:tcBorders>
              <w:top w:val="single" w:sz="4" w:space="0" w:color="auto"/>
            </w:tcBorders>
            <w:tcMar>
              <w:left w:w="108" w:type="dxa"/>
              <w:right w:w="108" w:type="dxa"/>
            </w:tcMar>
          </w:tcPr>
          <w:p w14:paraId="5769CBBF" w14:textId="77777777" w:rsidR="007010B3" w:rsidRPr="009F02FC" w:rsidRDefault="007010B3" w:rsidP="00E270BE">
            <w:pPr>
              <w:pStyle w:val="TableHeading"/>
            </w:pPr>
            <w:bookmarkStart w:id="370" w:name="Table_A3"/>
            <w:bookmarkEnd w:id="370"/>
            <w:r w:rsidRPr="009F02FC">
              <w:t>Type of</w:t>
            </w:r>
            <w:r>
              <w:t xml:space="preserve"> </w:t>
            </w:r>
            <w:r w:rsidRPr="009F02FC">
              <w:t>charge</w:t>
            </w:r>
          </w:p>
        </w:tc>
        <w:tc>
          <w:tcPr>
            <w:tcW w:w="1370" w:type="pct"/>
            <w:vMerge w:val="restart"/>
            <w:tcBorders>
              <w:top w:val="single" w:sz="4" w:space="0" w:color="auto"/>
            </w:tcBorders>
          </w:tcPr>
          <w:p w14:paraId="10BA536E" w14:textId="77777777" w:rsidR="007010B3" w:rsidRPr="009F02FC" w:rsidRDefault="007010B3" w:rsidP="00E270BE">
            <w:pPr>
              <w:pStyle w:val="TableHeading"/>
            </w:pPr>
            <w:r>
              <w:t>Time of service</w:t>
            </w:r>
          </w:p>
        </w:tc>
        <w:tc>
          <w:tcPr>
            <w:tcW w:w="951" w:type="pct"/>
            <w:vMerge w:val="restart"/>
            <w:tcBorders>
              <w:top w:val="single" w:sz="4" w:space="0" w:color="auto"/>
            </w:tcBorders>
          </w:tcPr>
          <w:p w14:paraId="571F4BCC" w14:textId="77777777" w:rsidR="007010B3" w:rsidRPr="009F02FC" w:rsidRDefault="007010B3" w:rsidP="00E270BE">
            <w:pPr>
              <w:pStyle w:val="TableHeading"/>
            </w:pPr>
            <w:r w:rsidRPr="009F02FC">
              <w:t>Unit</w:t>
            </w:r>
          </w:p>
        </w:tc>
        <w:tc>
          <w:tcPr>
            <w:tcW w:w="1937" w:type="pct"/>
            <w:gridSpan w:val="3"/>
            <w:tcBorders>
              <w:top w:val="single" w:sz="4" w:space="0" w:color="auto"/>
              <w:bottom w:val="nil"/>
            </w:tcBorders>
          </w:tcPr>
          <w:p w14:paraId="66ABAAB9" w14:textId="77777777" w:rsidR="007010B3" w:rsidRPr="009F02FC" w:rsidRDefault="007010B3" w:rsidP="00E270BE">
            <w:pPr>
              <w:pStyle w:val="TableHeading"/>
              <w:jc w:val="center"/>
            </w:pPr>
            <w:r>
              <w:t>Price ($)</w:t>
            </w:r>
          </w:p>
        </w:tc>
      </w:tr>
      <w:tr w:rsidR="007010B3" w:rsidRPr="00A85E07" w14:paraId="6AA29DDA" w14:textId="77777777" w:rsidTr="00E270BE">
        <w:trPr>
          <w:cantSplit/>
          <w:tblHeader/>
        </w:trPr>
        <w:tc>
          <w:tcPr>
            <w:tcW w:w="742" w:type="pct"/>
            <w:vMerge/>
            <w:tcBorders>
              <w:bottom w:val="single" w:sz="4" w:space="0" w:color="auto"/>
            </w:tcBorders>
            <w:tcMar>
              <w:left w:w="108" w:type="dxa"/>
              <w:right w:w="108" w:type="dxa"/>
            </w:tcMar>
          </w:tcPr>
          <w:p w14:paraId="2F4CEEFF" w14:textId="77777777" w:rsidR="007010B3" w:rsidRPr="009F02FC" w:rsidRDefault="007010B3" w:rsidP="00E270BE">
            <w:pPr>
              <w:pStyle w:val="TableHeading"/>
              <w:rPr>
                <w:rStyle w:val="Strong"/>
              </w:rPr>
            </w:pPr>
          </w:p>
        </w:tc>
        <w:tc>
          <w:tcPr>
            <w:tcW w:w="1370" w:type="pct"/>
            <w:vMerge/>
            <w:tcBorders>
              <w:bottom w:val="single" w:sz="4" w:space="0" w:color="auto"/>
            </w:tcBorders>
            <w:tcMar>
              <w:left w:w="108" w:type="dxa"/>
              <w:right w:w="108" w:type="dxa"/>
            </w:tcMar>
          </w:tcPr>
          <w:p w14:paraId="357979BD" w14:textId="77777777" w:rsidR="007010B3" w:rsidRPr="009F02FC" w:rsidRDefault="007010B3" w:rsidP="00E270BE">
            <w:pPr>
              <w:pStyle w:val="TableHeading"/>
              <w:rPr>
                <w:rStyle w:val="Strong"/>
              </w:rPr>
            </w:pPr>
          </w:p>
        </w:tc>
        <w:tc>
          <w:tcPr>
            <w:tcW w:w="951" w:type="pct"/>
            <w:vMerge/>
            <w:tcBorders>
              <w:bottom w:val="single" w:sz="4" w:space="0" w:color="auto"/>
            </w:tcBorders>
            <w:tcMar>
              <w:left w:w="108" w:type="dxa"/>
              <w:right w:w="108" w:type="dxa"/>
            </w:tcMar>
          </w:tcPr>
          <w:p w14:paraId="10401DFB" w14:textId="77777777" w:rsidR="007010B3" w:rsidRPr="009F02FC" w:rsidRDefault="007010B3" w:rsidP="00E270BE">
            <w:pPr>
              <w:pStyle w:val="TableHeading"/>
              <w:rPr>
                <w:rStyle w:val="Strong"/>
              </w:rPr>
            </w:pPr>
          </w:p>
        </w:tc>
        <w:tc>
          <w:tcPr>
            <w:tcW w:w="619" w:type="pct"/>
            <w:tcBorders>
              <w:top w:val="single" w:sz="4" w:space="0" w:color="auto"/>
              <w:bottom w:val="single" w:sz="4" w:space="0" w:color="auto"/>
            </w:tcBorders>
          </w:tcPr>
          <w:p w14:paraId="06CAE341" w14:textId="77777777" w:rsidR="007010B3" w:rsidRPr="00D25A34" w:rsidRDefault="007010B3" w:rsidP="00E270BE">
            <w:pPr>
              <w:pStyle w:val="TableText"/>
              <w:jc w:val="right"/>
              <w:rPr>
                <w:rStyle w:val="Strong"/>
              </w:rPr>
            </w:pPr>
            <w:r w:rsidRPr="00D25A34">
              <w:rPr>
                <w:rStyle w:val="Strong"/>
              </w:rPr>
              <w:t>2023–24</w:t>
            </w:r>
          </w:p>
        </w:tc>
        <w:tc>
          <w:tcPr>
            <w:tcW w:w="684" w:type="pct"/>
            <w:tcBorders>
              <w:top w:val="single" w:sz="4" w:space="0" w:color="auto"/>
              <w:bottom w:val="single" w:sz="4" w:space="0" w:color="auto"/>
            </w:tcBorders>
          </w:tcPr>
          <w:p w14:paraId="307CE984" w14:textId="77777777" w:rsidR="007010B3" w:rsidRPr="00D25A34" w:rsidRDefault="007010B3" w:rsidP="00E270BE">
            <w:pPr>
              <w:pStyle w:val="TableText"/>
              <w:jc w:val="right"/>
              <w:rPr>
                <w:rStyle w:val="Strong"/>
              </w:rPr>
            </w:pPr>
            <w:r w:rsidRPr="00D25A34">
              <w:rPr>
                <w:rStyle w:val="Strong"/>
              </w:rPr>
              <w:t>2024–25</w:t>
            </w:r>
          </w:p>
        </w:tc>
        <w:tc>
          <w:tcPr>
            <w:tcW w:w="634" w:type="pct"/>
            <w:tcBorders>
              <w:top w:val="single" w:sz="4" w:space="0" w:color="auto"/>
              <w:bottom w:val="single" w:sz="4" w:space="0" w:color="auto"/>
            </w:tcBorders>
          </w:tcPr>
          <w:p w14:paraId="43172992" w14:textId="77777777" w:rsidR="007010B3" w:rsidRPr="00D25A34" w:rsidRDefault="007010B3" w:rsidP="00E270BE">
            <w:pPr>
              <w:pStyle w:val="TableText"/>
              <w:jc w:val="right"/>
              <w:rPr>
                <w:rStyle w:val="Strong"/>
              </w:rPr>
            </w:pPr>
            <w:r w:rsidRPr="00D25A34">
              <w:rPr>
                <w:rStyle w:val="Strong"/>
              </w:rPr>
              <w:t>2025–26</w:t>
            </w:r>
          </w:p>
        </w:tc>
      </w:tr>
      <w:tr w:rsidR="007010B3" w:rsidRPr="00F859F5" w14:paraId="4147DF54" w14:textId="77777777" w:rsidTr="00E270BE">
        <w:tc>
          <w:tcPr>
            <w:tcW w:w="742" w:type="pct"/>
            <w:vMerge w:val="restart"/>
            <w:tcBorders>
              <w:top w:val="single" w:sz="4" w:space="0" w:color="auto"/>
              <w:bottom w:val="single" w:sz="4" w:space="0" w:color="auto"/>
            </w:tcBorders>
            <w:tcMar>
              <w:left w:w="108" w:type="dxa"/>
              <w:right w:w="108" w:type="dxa"/>
            </w:tcMar>
          </w:tcPr>
          <w:p w14:paraId="7B8EAFE6" w14:textId="77777777" w:rsidR="007010B3" w:rsidRPr="00D25A34" w:rsidRDefault="007010B3" w:rsidP="00E270BE">
            <w:pPr>
              <w:pStyle w:val="TableText"/>
              <w:rPr>
                <w:rStyle w:val="Strong"/>
              </w:rPr>
            </w:pPr>
            <w:r w:rsidRPr="00D25A34">
              <w:rPr>
                <w:rStyle w:val="Strong"/>
              </w:rPr>
              <w:t>Fee – OOH</w:t>
            </w:r>
          </w:p>
        </w:tc>
        <w:tc>
          <w:tcPr>
            <w:tcW w:w="1370" w:type="pct"/>
            <w:tcBorders>
              <w:top w:val="single" w:sz="4" w:space="0" w:color="auto"/>
              <w:bottom w:val="single" w:sz="4" w:space="0" w:color="auto"/>
            </w:tcBorders>
            <w:tcMar>
              <w:left w:w="108" w:type="dxa"/>
              <w:right w:w="108" w:type="dxa"/>
            </w:tcMar>
          </w:tcPr>
          <w:p w14:paraId="2BFF067D" w14:textId="77777777" w:rsidR="007010B3" w:rsidRPr="00D25A34" w:rsidRDefault="007010B3" w:rsidP="00E270BE">
            <w:pPr>
              <w:pStyle w:val="TableText"/>
            </w:pPr>
            <w:r w:rsidRPr="00D25A34">
              <w:t xml:space="preserve">On a weekday, immediately before or after a fee-bearing activity </w:t>
            </w:r>
          </w:p>
        </w:tc>
        <w:tc>
          <w:tcPr>
            <w:tcW w:w="951" w:type="pct"/>
            <w:tcBorders>
              <w:top w:val="single" w:sz="4" w:space="0" w:color="auto"/>
              <w:bottom w:val="single" w:sz="4" w:space="0" w:color="auto"/>
            </w:tcBorders>
            <w:tcMar>
              <w:left w:w="108" w:type="dxa"/>
              <w:right w:w="108" w:type="dxa"/>
            </w:tcMar>
          </w:tcPr>
          <w:p w14:paraId="71A8ADAB" w14:textId="77777777" w:rsidR="007010B3" w:rsidRPr="00D25A34" w:rsidRDefault="007010B3" w:rsidP="00E270BE">
            <w:pPr>
              <w:pStyle w:val="TableText"/>
            </w:pPr>
            <w:r w:rsidRPr="00D25A34">
              <w:t>Per quarter hour</w:t>
            </w:r>
          </w:p>
        </w:tc>
        <w:tc>
          <w:tcPr>
            <w:tcW w:w="619" w:type="pct"/>
            <w:tcBorders>
              <w:top w:val="single" w:sz="4" w:space="0" w:color="auto"/>
              <w:bottom w:val="single" w:sz="4" w:space="0" w:color="auto"/>
            </w:tcBorders>
          </w:tcPr>
          <w:p w14:paraId="6F1B652A" w14:textId="77777777" w:rsidR="007010B3" w:rsidRPr="00FC44BA" w:rsidRDefault="007010B3" w:rsidP="00E270BE">
            <w:pPr>
              <w:pStyle w:val="TableText"/>
              <w:jc w:val="right"/>
            </w:pPr>
            <w:r w:rsidRPr="00F859F5">
              <w:t>15</w:t>
            </w:r>
          </w:p>
        </w:tc>
        <w:tc>
          <w:tcPr>
            <w:tcW w:w="684" w:type="pct"/>
            <w:tcBorders>
              <w:top w:val="single" w:sz="4" w:space="0" w:color="auto"/>
              <w:bottom w:val="single" w:sz="4" w:space="0" w:color="auto"/>
            </w:tcBorders>
          </w:tcPr>
          <w:p w14:paraId="0904F9C4" w14:textId="77777777" w:rsidR="007010B3" w:rsidRPr="00FC44BA" w:rsidRDefault="007010B3" w:rsidP="00E270BE">
            <w:pPr>
              <w:pStyle w:val="TableText"/>
              <w:jc w:val="right"/>
            </w:pPr>
            <w:r w:rsidRPr="00F859F5">
              <w:t>15</w:t>
            </w:r>
          </w:p>
        </w:tc>
        <w:tc>
          <w:tcPr>
            <w:tcW w:w="634" w:type="pct"/>
            <w:tcBorders>
              <w:top w:val="single" w:sz="4" w:space="0" w:color="auto"/>
              <w:bottom w:val="single" w:sz="4" w:space="0" w:color="auto"/>
            </w:tcBorders>
          </w:tcPr>
          <w:p w14:paraId="1EEE9146" w14:textId="77777777" w:rsidR="007010B3" w:rsidRPr="00F859F5" w:rsidRDefault="007010B3" w:rsidP="00E270BE">
            <w:pPr>
              <w:pStyle w:val="TableText"/>
              <w:jc w:val="right"/>
            </w:pPr>
            <w:r>
              <w:t>15</w:t>
            </w:r>
          </w:p>
        </w:tc>
      </w:tr>
      <w:tr w:rsidR="007010B3" w:rsidRPr="009C4951" w14:paraId="13C61F2F" w14:textId="77777777" w:rsidTr="00E270BE">
        <w:tc>
          <w:tcPr>
            <w:tcW w:w="742" w:type="pct"/>
            <w:vMerge/>
            <w:tcBorders>
              <w:top w:val="single" w:sz="4" w:space="0" w:color="auto"/>
              <w:bottom w:val="single" w:sz="4" w:space="0" w:color="auto"/>
            </w:tcBorders>
            <w:tcMar>
              <w:left w:w="108" w:type="dxa"/>
              <w:right w:w="108" w:type="dxa"/>
            </w:tcMar>
          </w:tcPr>
          <w:p w14:paraId="7D4F7C7E" w14:textId="77777777" w:rsidR="007010B3" w:rsidRPr="00D25A34" w:rsidRDefault="007010B3" w:rsidP="00E270BE">
            <w:pPr>
              <w:pStyle w:val="TableText"/>
            </w:pPr>
          </w:p>
        </w:tc>
        <w:tc>
          <w:tcPr>
            <w:tcW w:w="1370" w:type="pct"/>
            <w:vMerge w:val="restart"/>
            <w:tcBorders>
              <w:top w:val="single" w:sz="4" w:space="0" w:color="auto"/>
              <w:bottom w:val="dotted" w:sz="4" w:space="0" w:color="auto"/>
            </w:tcBorders>
            <w:tcMar>
              <w:left w:w="108" w:type="dxa"/>
              <w:right w:w="108" w:type="dxa"/>
            </w:tcMar>
          </w:tcPr>
          <w:p w14:paraId="6D67EBF3" w14:textId="77777777" w:rsidR="007010B3" w:rsidRPr="00D25A34" w:rsidRDefault="007010B3" w:rsidP="00E270BE">
            <w:pPr>
              <w:pStyle w:val="TableText"/>
            </w:pPr>
            <w:r w:rsidRPr="00D25A34">
              <w:t>On a weekday, in any other case</w:t>
            </w:r>
          </w:p>
        </w:tc>
        <w:tc>
          <w:tcPr>
            <w:tcW w:w="951" w:type="pct"/>
            <w:tcBorders>
              <w:top w:val="single" w:sz="4" w:space="0" w:color="auto"/>
              <w:bottom w:val="dotted" w:sz="4" w:space="0" w:color="auto"/>
            </w:tcBorders>
            <w:tcMar>
              <w:left w:w="108" w:type="dxa"/>
              <w:right w:w="108" w:type="dxa"/>
            </w:tcMar>
          </w:tcPr>
          <w:p w14:paraId="46D3C4FC" w14:textId="77777777" w:rsidR="007010B3" w:rsidRPr="00D25A34" w:rsidRDefault="007010B3" w:rsidP="00E270BE">
            <w:pPr>
              <w:pStyle w:val="TableText"/>
            </w:pPr>
            <w:r w:rsidRPr="00D25A34">
              <w:t>Any period up to 30 minutes</w:t>
            </w:r>
          </w:p>
        </w:tc>
        <w:tc>
          <w:tcPr>
            <w:tcW w:w="619" w:type="pct"/>
            <w:tcBorders>
              <w:top w:val="single" w:sz="4" w:space="0" w:color="auto"/>
              <w:bottom w:val="dotted" w:sz="4" w:space="0" w:color="auto"/>
            </w:tcBorders>
          </w:tcPr>
          <w:p w14:paraId="4538CD31" w14:textId="77777777" w:rsidR="007010B3" w:rsidRPr="00FC44BA" w:rsidRDefault="007010B3" w:rsidP="00E270BE">
            <w:pPr>
              <w:pStyle w:val="TableText"/>
              <w:jc w:val="right"/>
            </w:pPr>
            <w:r w:rsidRPr="009C4951">
              <w:t>30</w:t>
            </w:r>
          </w:p>
        </w:tc>
        <w:tc>
          <w:tcPr>
            <w:tcW w:w="684" w:type="pct"/>
            <w:tcBorders>
              <w:top w:val="single" w:sz="4" w:space="0" w:color="auto"/>
              <w:bottom w:val="dotted" w:sz="4" w:space="0" w:color="auto"/>
            </w:tcBorders>
          </w:tcPr>
          <w:p w14:paraId="2F249BE1" w14:textId="77777777" w:rsidR="007010B3" w:rsidRPr="00FC44BA" w:rsidRDefault="007010B3" w:rsidP="00E270BE">
            <w:pPr>
              <w:pStyle w:val="TableText"/>
              <w:jc w:val="right"/>
            </w:pPr>
            <w:r w:rsidRPr="009C4951">
              <w:t>30</w:t>
            </w:r>
          </w:p>
        </w:tc>
        <w:tc>
          <w:tcPr>
            <w:tcW w:w="634" w:type="pct"/>
            <w:tcBorders>
              <w:top w:val="single" w:sz="4" w:space="0" w:color="auto"/>
              <w:bottom w:val="dotted" w:sz="4" w:space="0" w:color="auto"/>
            </w:tcBorders>
          </w:tcPr>
          <w:p w14:paraId="2A7CE0BB" w14:textId="77777777" w:rsidR="007010B3" w:rsidRPr="009C4951" w:rsidRDefault="007010B3" w:rsidP="00E270BE">
            <w:pPr>
              <w:pStyle w:val="TableText"/>
              <w:jc w:val="right"/>
            </w:pPr>
            <w:r>
              <w:t>30</w:t>
            </w:r>
          </w:p>
        </w:tc>
      </w:tr>
      <w:tr w:rsidR="007010B3" w:rsidRPr="001F60AD" w14:paraId="343EAD19" w14:textId="77777777" w:rsidTr="00E270BE">
        <w:tc>
          <w:tcPr>
            <w:tcW w:w="742" w:type="pct"/>
            <w:vMerge/>
            <w:tcBorders>
              <w:top w:val="single" w:sz="4" w:space="0" w:color="auto"/>
              <w:bottom w:val="single" w:sz="4" w:space="0" w:color="auto"/>
            </w:tcBorders>
            <w:tcMar>
              <w:left w:w="108" w:type="dxa"/>
              <w:right w:w="108" w:type="dxa"/>
            </w:tcMar>
          </w:tcPr>
          <w:p w14:paraId="32A6F8DC" w14:textId="77777777" w:rsidR="007010B3" w:rsidRPr="00D25A34" w:rsidRDefault="007010B3" w:rsidP="00E270BE">
            <w:pPr>
              <w:pStyle w:val="TableText"/>
            </w:pPr>
          </w:p>
        </w:tc>
        <w:tc>
          <w:tcPr>
            <w:tcW w:w="1370" w:type="pct"/>
            <w:vMerge/>
            <w:tcBorders>
              <w:top w:val="dotted" w:sz="4" w:space="0" w:color="auto"/>
              <w:bottom w:val="single" w:sz="4" w:space="0" w:color="auto"/>
            </w:tcBorders>
            <w:tcMar>
              <w:left w:w="108" w:type="dxa"/>
              <w:right w:w="108" w:type="dxa"/>
            </w:tcMar>
          </w:tcPr>
          <w:p w14:paraId="4AA5DEE5" w14:textId="77777777" w:rsidR="007010B3" w:rsidRPr="00D25A34" w:rsidRDefault="007010B3" w:rsidP="00E270BE">
            <w:pPr>
              <w:pStyle w:val="TableText"/>
            </w:pPr>
          </w:p>
        </w:tc>
        <w:tc>
          <w:tcPr>
            <w:tcW w:w="951" w:type="pct"/>
            <w:tcBorders>
              <w:top w:val="dotted" w:sz="4" w:space="0" w:color="auto"/>
              <w:bottom w:val="single" w:sz="4" w:space="0" w:color="auto"/>
            </w:tcBorders>
            <w:tcMar>
              <w:left w:w="108" w:type="dxa"/>
              <w:right w:w="108" w:type="dxa"/>
            </w:tcMar>
          </w:tcPr>
          <w:p w14:paraId="5864E243" w14:textId="77777777" w:rsidR="007010B3" w:rsidRPr="00D25A34" w:rsidRDefault="007010B3" w:rsidP="00E270BE">
            <w:pPr>
              <w:pStyle w:val="TableText"/>
            </w:pPr>
            <w:r w:rsidRPr="00D25A34">
              <w:t>Per quarter hour after first 30 minutes</w:t>
            </w:r>
          </w:p>
        </w:tc>
        <w:tc>
          <w:tcPr>
            <w:tcW w:w="619" w:type="pct"/>
            <w:tcBorders>
              <w:top w:val="dotted" w:sz="4" w:space="0" w:color="auto"/>
              <w:bottom w:val="single" w:sz="4" w:space="0" w:color="auto"/>
            </w:tcBorders>
          </w:tcPr>
          <w:p w14:paraId="314913D6" w14:textId="77777777" w:rsidR="007010B3" w:rsidRPr="00FC44BA" w:rsidRDefault="007010B3" w:rsidP="00E270BE">
            <w:pPr>
              <w:pStyle w:val="TableText"/>
              <w:jc w:val="right"/>
            </w:pPr>
            <w:r w:rsidRPr="001F60AD">
              <w:t>15</w:t>
            </w:r>
          </w:p>
        </w:tc>
        <w:tc>
          <w:tcPr>
            <w:tcW w:w="684" w:type="pct"/>
            <w:tcBorders>
              <w:top w:val="dotted" w:sz="4" w:space="0" w:color="auto"/>
              <w:bottom w:val="single" w:sz="4" w:space="0" w:color="auto"/>
            </w:tcBorders>
          </w:tcPr>
          <w:p w14:paraId="5B8AB702" w14:textId="77777777" w:rsidR="007010B3" w:rsidRPr="00FC44BA" w:rsidRDefault="007010B3" w:rsidP="00E270BE">
            <w:pPr>
              <w:pStyle w:val="TableText"/>
              <w:jc w:val="right"/>
            </w:pPr>
            <w:r w:rsidRPr="001F60AD">
              <w:t>15</w:t>
            </w:r>
          </w:p>
        </w:tc>
        <w:tc>
          <w:tcPr>
            <w:tcW w:w="634" w:type="pct"/>
            <w:tcBorders>
              <w:top w:val="dotted" w:sz="4" w:space="0" w:color="auto"/>
              <w:bottom w:val="single" w:sz="4" w:space="0" w:color="auto"/>
            </w:tcBorders>
          </w:tcPr>
          <w:p w14:paraId="739B9F64" w14:textId="77777777" w:rsidR="007010B3" w:rsidRPr="001F60AD" w:rsidRDefault="007010B3" w:rsidP="00E270BE">
            <w:pPr>
              <w:pStyle w:val="TableText"/>
              <w:jc w:val="right"/>
            </w:pPr>
            <w:r>
              <w:t>15</w:t>
            </w:r>
          </w:p>
        </w:tc>
      </w:tr>
      <w:tr w:rsidR="007010B3" w14:paraId="663570A2" w14:textId="77777777" w:rsidTr="00E270BE">
        <w:tc>
          <w:tcPr>
            <w:tcW w:w="742" w:type="pct"/>
            <w:vMerge/>
            <w:tcBorders>
              <w:top w:val="single" w:sz="4" w:space="0" w:color="auto"/>
              <w:bottom w:val="single" w:sz="4" w:space="0" w:color="auto"/>
            </w:tcBorders>
            <w:tcMar>
              <w:left w:w="108" w:type="dxa"/>
              <w:right w:w="108" w:type="dxa"/>
            </w:tcMar>
          </w:tcPr>
          <w:p w14:paraId="638375F7" w14:textId="77777777" w:rsidR="007010B3" w:rsidRPr="00D25A34" w:rsidRDefault="007010B3" w:rsidP="00E270BE">
            <w:pPr>
              <w:pStyle w:val="TableText"/>
            </w:pPr>
          </w:p>
        </w:tc>
        <w:tc>
          <w:tcPr>
            <w:tcW w:w="1370" w:type="pct"/>
            <w:vMerge w:val="restart"/>
            <w:tcBorders>
              <w:top w:val="single" w:sz="4" w:space="0" w:color="auto"/>
              <w:bottom w:val="dotted" w:sz="4" w:space="0" w:color="auto"/>
            </w:tcBorders>
            <w:tcMar>
              <w:left w:w="108" w:type="dxa"/>
              <w:right w:w="108" w:type="dxa"/>
            </w:tcMar>
          </w:tcPr>
          <w:p w14:paraId="4551756C" w14:textId="77777777" w:rsidR="007010B3" w:rsidRPr="00D25A34" w:rsidRDefault="007010B3" w:rsidP="00E270BE">
            <w:pPr>
              <w:pStyle w:val="TableText"/>
            </w:pPr>
            <w:r w:rsidRPr="00D25A34">
              <w:t>Saturday, Sunday or a public holiday</w:t>
            </w:r>
          </w:p>
        </w:tc>
        <w:tc>
          <w:tcPr>
            <w:tcW w:w="951" w:type="pct"/>
            <w:tcBorders>
              <w:top w:val="single" w:sz="4" w:space="0" w:color="auto"/>
              <w:bottom w:val="dotted" w:sz="4" w:space="0" w:color="auto"/>
            </w:tcBorders>
            <w:tcMar>
              <w:left w:w="108" w:type="dxa"/>
              <w:right w:w="108" w:type="dxa"/>
            </w:tcMar>
          </w:tcPr>
          <w:p w14:paraId="61129144" w14:textId="77777777" w:rsidR="007010B3" w:rsidRPr="00D25A34" w:rsidRDefault="007010B3" w:rsidP="00E270BE">
            <w:pPr>
              <w:pStyle w:val="TableText"/>
            </w:pPr>
            <w:r w:rsidRPr="00D25A34">
              <w:t>Any period up to 30 minutes</w:t>
            </w:r>
          </w:p>
        </w:tc>
        <w:tc>
          <w:tcPr>
            <w:tcW w:w="619" w:type="pct"/>
            <w:tcBorders>
              <w:top w:val="single" w:sz="4" w:space="0" w:color="auto"/>
              <w:bottom w:val="dotted" w:sz="4" w:space="0" w:color="auto"/>
            </w:tcBorders>
          </w:tcPr>
          <w:p w14:paraId="205BC029" w14:textId="77777777" w:rsidR="007010B3" w:rsidRPr="00FC44BA" w:rsidRDefault="007010B3" w:rsidP="00E270BE">
            <w:pPr>
              <w:pStyle w:val="TableText"/>
              <w:jc w:val="right"/>
            </w:pPr>
            <w:r>
              <w:t>40</w:t>
            </w:r>
          </w:p>
        </w:tc>
        <w:tc>
          <w:tcPr>
            <w:tcW w:w="684" w:type="pct"/>
            <w:tcBorders>
              <w:top w:val="single" w:sz="4" w:space="0" w:color="auto"/>
              <w:bottom w:val="dotted" w:sz="4" w:space="0" w:color="auto"/>
            </w:tcBorders>
          </w:tcPr>
          <w:p w14:paraId="7AE7B24B" w14:textId="77777777" w:rsidR="007010B3" w:rsidRPr="00FC44BA" w:rsidRDefault="007010B3" w:rsidP="00E270BE">
            <w:pPr>
              <w:pStyle w:val="TableText"/>
              <w:jc w:val="right"/>
            </w:pPr>
            <w:r>
              <w:t>40</w:t>
            </w:r>
          </w:p>
        </w:tc>
        <w:tc>
          <w:tcPr>
            <w:tcW w:w="634" w:type="pct"/>
            <w:tcBorders>
              <w:top w:val="single" w:sz="4" w:space="0" w:color="auto"/>
              <w:bottom w:val="dotted" w:sz="4" w:space="0" w:color="auto"/>
            </w:tcBorders>
          </w:tcPr>
          <w:p w14:paraId="25AFD970" w14:textId="77777777" w:rsidR="007010B3" w:rsidRDefault="007010B3" w:rsidP="00E270BE">
            <w:pPr>
              <w:pStyle w:val="TableText"/>
              <w:jc w:val="right"/>
            </w:pPr>
            <w:r>
              <w:t>40</w:t>
            </w:r>
          </w:p>
        </w:tc>
      </w:tr>
      <w:tr w:rsidR="007010B3" w:rsidRPr="00C46949" w14:paraId="25137F8E" w14:textId="77777777" w:rsidTr="00E270BE">
        <w:tc>
          <w:tcPr>
            <w:tcW w:w="742" w:type="pct"/>
            <w:vMerge/>
            <w:tcBorders>
              <w:top w:val="single" w:sz="4" w:space="0" w:color="auto"/>
              <w:bottom w:val="single" w:sz="4" w:space="0" w:color="auto"/>
            </w:tcBorders>
            <w:tcMar>
              <w:left w:w="108" w:type="dxa"/>
              <w:right w:w="108" w:type="dxa"/>
            </w:tcMar>
          </w:tcPr>
          <w:p w14:paraId="2B2ED39D" w14:textId="77777777" w:rsidR="007010B3" w:rsidRPr="00D25A34" w:rsidRDefault="007010B3" w:rsidP="00E270BE">
            <w:pPr>
              <w:pStyle w:val="TableText"/>
            </w:pPr>
          </w:p>
        </w:tc>
        <w:tc>
          <w:tcPr>
            <w:tcW w:w="1370" w:type="pct"/>
            <w:vMerge/>
            <w:tcBorders>
              <w:top w:val="dotted" w:sz="4" w:space="0" w:color="auto"/>
              <w:bottom w:val="single" w:sz="4" w:space="0" w:color="auto"/>
            </w:tcBorders>
            <w:tcMar>
              <w:left w:w="108" w:type="dxa"/>
              <w:right w:w="108" w:type="dxa"/>
            </w:tcMar>
          </w:tcPr>
          <w:p w14:paraId="3E7902EE" w14:textId="77777777" w:rsidR="007010B3" w:rsidRPr="00D25A34" w:rsidRDefault="007010B3" w:rsidP="00E270BE">
            <w:pPr>
              <w:pStyle w:val="TableText"/>
            </w:pPr>
          </w:p>
        </w:tc>
        <w:tc>
          <w:tcPr>
            <w:tcW w:w="951" w:type="pct"/>
            <w:tcBorders>
              <w:top w:val="dotted" w:sz="4" w:space="0" w:color="auto"/>
              <w:bottom w:val="single" w:sz="4" w:space="0" w:color="auto"/>
            </w:tcBorders>
            <w:tcMar>
              <w:left w:w="108" w:type="dxa"/>
              <w:right w:w="108" w:type="dxa"/>
            </w:tcMar>
          </w:tcPr>
          <w:p w14:paraId="43723695" w14:textId="77777777" w:rsidR="007010B3" w:rsidRPr="00D25A34" w:rsidRDefault="007010B3" w:rsidP="00E270BE">
            <w:pPr>
              <w:pStyle w:val="TableText"/>
            </w:pPr>
            <w:r w:rsidRPr="00D25A34">
              <w:t>Per quarter hour after first 30 minutes</w:t>
            </w:r>
          </w:p>
        </w:tc>
        <w:tc>
          <w:tcPr>
            <w:tcW w:w="619" w:type="pct"/>
            <w:tcBorders>
              <w:top w:val="dotted" w:sz="4" w:space="0" w:color="auto"/>
              <w:bottom w:val="single" w:sz="4" w:space="0" w:color="auto"/>
            </w:tcBorders>
          </w:tcPr>
          <w:p w14:paraId="0FA4CEF8" w14:textId="77777777" w:rsidR="007010B3" w:rsidRPr="00FC44BA" w:rsidRDefault="007010B3" w:rsidP="00E270BE">
            <w:pPr>
              <w:pStyle w:val="TableText"/>
              <w:jc w:val="right"/>
            </w:pPr>
            <w:r w:rsidRPr="00C46949">
              <w:t>20</w:t>
            </w:r>
          </w:p>
        </w:tc>
        <w:tc>
          <w:tcPr>
            <w:tcW w:w="684" w:type="pct"/>
            <w:tcBorders>
              <w:top w:val="dotted" w:sz="4" w:space="0" w:color="auto"/>
              <w:bottom w:val="single" w:sz="4" w:space="0" w:color="auto"/>
            </w:tcBorders>
          </w:tcPr>
          <w:p w14:paraId="40A4B598" w14:textId="77777777" w:rsidR="007010B3" w:rsidRPr="00FC44BA" w:rsidRDefault="007010B3" w:rsidP="00E270BE">
            <w:pPr>
              <w:pStyle w:val="TableText"/>
              <w:jc w:val="right"/>
            </w:pPr>
            <w:r w:rsidRPr="00C46949">
              <w:t>20</w:t>
            </w:r>
          </w:p>
        </w:tc>
        <w:tc>
          <w:tcPr>
            <w:tcW w:w="634" w:type="pct"/>
            <w:tcBorders>
              <w:top w:val="dotted" w:sz="4" w:space="0" w:color="auto"/>
              <w:bottom w:val="single" w:sz="4" w:space="0" w:color="auto"/>
            </w:tcBorders>
          </w:tcPr>
          <w:p w14:paraId="09D75639" w14:textId="77777777" w:rsidR="007010B3" w:rsidRPr="00C46949" w:rsidRDefault="007010B3" w:rsidP="00E270BE">
            <w:pPr>
              <w:pStyle w:val="TableText"/>
              <w:jc w:val="right"/>
            </w:pPr>
            <w:r>
              <w:t>20</w:t>
            </w:r>
          </w:p>
        </w:tc>
      </w:tr>
    </w:tbl>
    <w:p w14:paraId="0516DBEE" w14:textId="77777777" w:rsidR="007010B3" w:rsidRPr="009D1B15" w:rsidRDefault="007010B3" w:rsidP="00324495">
      <w:pPr>
        <w:pStyle w:val="Heading2"/>
        <w:numPr>
          <w:ilvl w:val="0"/>
          <w:numId w:val="0"/>
        </w:numPr>
        <w:ind w:left="720" w:hanging="720"/>
      </w:pPr>
      <w:bookmarkStart w:id="371" w:name="_Appendix_B:_Cost"/>
      <w:bookmarkStart w:id="372" w:name="AppendixB"/>
      <w:bookmarkStart w:id="373" w:name="_Toc170293394"/>
      <w:bookmarkStart w:id="374" w:name="_Toc193794442"/>
      <w:bookmarkStart w:id="375" w:name="_Toc198898896"/>
      <w:bookmarkEnd w:id="371"/>
      <w:r w:rsidRPr="007010B3">
        <w:lastRenderedPageBreak/>
        <w:t>Appendix</w:t>
      </w:r>
      <w:r w:rsidRPr="009D1B15">
        <w:t xml:space="preserve"> B</w:t>
      </w:r>
      <w:bookmarkEnd w:id="372"/>
      <w:r w:rsidRPr="009D1B15">
        <w:t>: Cost recovery model</w:t>
      </w:r>
      <w:bookmarkEnd w:id="373"/>
      <w:bookmarkEnd w:id="374"/>
      <w:bookmarkEnd w:id="375"/>
    </w:p>
    <w:p w14:paraId="58FFFE78" w14:textId="77777777" w:rsidR="007010B3" w:rsidRPr="007010B3" w:rsidRDefault="007010B3" w:rsidP="00324495">
      <w:pPr>
        <w:pStyle w:val="Heading3"/>
        <w:numPr>
          <w:ilvl w:val="0"/>
          <w:numId w:val="0"/>
        </w:numPr>
      </w:pPr>
      <w:bookmarkStart w:id="376" w:name="_Toc170293395"/>
      <w:bookmarkStart w:id="377" w:name="_Toc193794443"/>
      <w:bookmarkStart w:id="378" w:name="_Toc198898897"/>
      <w:r w:rsidRPr="00DA370D">
        <w:t>Outputs</w:t>
      </w:r>
      <w:r w:rsidRPr="007010B3">
        <w:t xml:space="preserve"> and business processes of the regulatory charging activity</w:t>
      </w:r>
      <w:bookmarkEnd w:id="376"/>
      <w:bookmarkEnd w:id="377"/>
      <w:bookmarkEnd w:id="378"/>
    </w:p>
    <w:p w14:paraId="6FD22698" w14:textId="77777777" w:rsidR="007010B3" w:rsidRPr="007E7F52" w:rsidRDefault="007010B3" w:rsidP="007010B3">
      <w:pPr>
        <w:spacing w:before="120" w:after="120"/>
      </w:pPr>
      <w:r>
        <w:t>The key policy objectives</w:t>
      </w:r>
      <w:r w:rsidRPr="007E7F52">
        <w:t xml:space="preserve"> for </w:t>
      </w:r>
      <w:r>
        <w:t>the department’s</w:t>
      </w:r>
      <w:r w:rsidRPr="007E7F52">
        <w:t xml:space="preserve"> cost recovery arrangements are to:</w:t>
      </w:r>
    </w:p>
    <w:p w14:paraId="6C1F8FB9" w14:textId="77777777" w:rsidR="007010B3" w:rsidRPr="00536EE2" w:rsidRDefault="007010B3" w:rsidP="007010B3">
      <w:pPr>
        <w:pStyle w:val="ListNumber"/>
        <w:numPr>
          <w:ilvl w:val="0"/>
          <w:numId w:val="17"/>
        </w:numPr>
      </w:pPr>
      <w:r w:rsidRPr="00536EE2">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11D9ABD0" w14:textId="77777777" w:rsidR="007010B3" w:rsidRPr="00536EE2" w:rsidRDefault="007010B3" w:rsidP="007010B3">
      <w:pPr>
        <w:pStyle w:val="ListNumber"/>
      </w:pPr>
      <w:r w:rsidRPr="00536EE2">
        <w:t>support more sustainable, productive, internationally competitive and profitable Australian agricultural, food and fibre industries through policies and initiatives that promote better resource management practices, innovation, self-reliance and improved market access.</w:t>
      </w:r>
    </w:p>
    <w:p w14:paraId="66A10AED" w14:textId="649137D5" w:rsidR="007010B3" w:rsidRPr="007E7F52" w:rsidRDefault="007010B3" w:rsidP="007010B3">
      <w:r>
        <w:t>The department’s</w:t>
      </w:r>
      <w:r w:rsidRPr="007E7F52">
        <w:t xml:space="preserve"> cost recovery arrangements describe how </w:t>
      </w:r>
      <w:r>
        <w:t xml:space="preserve">we use </w:t>
      </w:r>
      <w:r w:rsidRPr="007E7F52">
        <w:t>resources (such as people, IT, property and equipment) to undertake business processes (regulatory activities), which enable</w:t>
      </w:r>
      <w:r>
        <w:t xml:space="preserve"> us </w:t>
      </w:r>
      <w:r w:rsidRPr="007E7F52">
        <w:t xml:space="preserve">to provide outputs that meet </w:t>
      </w:r>
      <w:r>
        <w:t>the department’s</w:t>
      </w:r>
      <w:r w:rsidRPr="007E7F52">
        <w:t xml:space="preserve"> policy objectives</w:t>
      </w:r>
      <w:r>
        <w:t xml:space="preserve"> (</w:t>
      </w:r>
      <w:r>
        <w:fldChar w:fldCharType="begin"/>
      </w:r>
      <w:r>
        <w:instrText xml:space="preserve"> REF _Ref168407505 \h </w:instrText>
      </w:r>
      <w:r>
        <w:fldChar w:fldCharType="separate"/>
      </w:r>
      <w:r w:rsidR="0001784A">
        <w:t>Figure B</w:t>
      </w:r>
      <w:r w:rsidR="0001784A">
        <w:rPr>
          <w:noProof/>
        </w:rPr>
        <w:t>1</w:t>
      </w:r>
      <w:r>
        <w:fldChar w:fldCharType="end"/>
      </w:r>
      <w:r>
        <w:fldChar w:fldCharType="begin"/>
      </w:r>
      <w:r>
        <w:instrText xml:space="preserve"> REF  Figure_B1 \h </w:instrText>
      </w:r>
      <w:r>
        <w:fldChar w:fldCharType="end"/>
      </w:r>
      <w:r>
        <w:fldChar w:fldCharType="begin"/>
      </w:r>
      <w:r>
        <w:instrText xml:space="preserve"> REF  Figure_B1 \h  \* MERGEFORMAT </w:instrText>
      </w:r>
      <w:r>
        <w:fldChar w:fldCharType="end"/>
      </w:r>
      <w:r w:rsidRPr="007E7F52">
        <w:t>).</w:t>
      </w:r>
    </w:p>
    <w:p w14:paraId="4B2D010F" w14:textId="14034B87" w:rsidR="007010B3" w:rsidRPr="0069293F" w:rsidRDefault="007010B3" w:rsidP="007010B3">
      <w:pPr>
        <w:pStyle w:val="Caption"/>
      </w:pPr>
      <w:bookmarkStart w:id="379" w:name="Figure_B1"/>
      <w:bookmarkStart w:id="380" w:name="_Ref168407505"/>
      <w:bookmarkStart w:id="381" w:name="_Toc165030407"/>
      <w:bookmarkStart w:id="382" w:name="_Ref168407501"/>
      <w:bookmarkStart w:id="383" w:name="_Toc198899211"/>
      <w:bookmarkEnd w:id="379"/>
      <w:r>
        <w:t>Figure B</w:t>
      </w:r>
      <w:r>
        <w:fldChar w:fldCharType="begin"/>
      </w:r>
      <w:r>
        <w:instrText xml:space="preserve"> SEQ Figure_B \* ARABIC </w:instrText>
      </w:r>
      <w:r>
        <w:fldChar w:fldCharType="separate"/>
      </w:r>
      <w:r w:rsidR="0001784A">
        <w:rPr>
          <w:noProof/>
        </w:rPr>
        <w:t>1</w:t>
      </w:r>
      <w:r>
        <w:fldChar w:fldCharType="end"/>
      </w:r>
      <w:bookmarkEnd w:id="380"/>
      <w:r>
        <w:t xml:space="preserve"> </w:t>
      </w:r>
      <w:r w:rsidRPr="0069293F">
        <w:t>Outputs and business processes of the department’s regulatory charging activity</w:t>
      </w:r>
      <w:bookmarkEnd w:id="381"/>
      <w:bookmarkEnd w:id="382"/>
      <w:bookmarkEnd w:id="383"/>
    </w:p>
    <w:p w14:paraId="188E89EC" w14:textId="77777777" w:rsidR="007010B3" w:rsidRPr="007E7F52" w:rsidRDefault="007010B3" w:rsidP="007010B3">
      <w:r w:rsidRPr="007E7F52">
        <w:rPr>
          <w:noProof/>
          <w:lang w:eastAsia="en-AU"/>
        </w:rPr>
        <w:drawing>
          <wp:inline distT="0" distB="0" distL="0" distR="0" wp14:anchorId="60DC901E" wp14:editId="0891B1F5">
            <wp:extent cx="4914900" cy="2895600"/>
            <wp:effectExtent l="0" t="0" r="0" b="0"/>
            <wp:docPr id="9" name="Picture 1" descr="Explains how resources (people, money and supplies) are transformed into outputs of the cost recovered activities through business processes or regulatory activity.&#10;Resources are input measures such as:&#10;• human resources&#10;• information system resources&#10;• properties&#10;• equipment&#10;• telecommunication systems&#10;• other tangible resources such as fleet vehicles and equipment&#10;• other intangible resources such as intellectual property.&#10;Business processes or regulatory activity include:&#10;• workforce and business management&#10;• business systems administration&#10;• stakeholder engagement&#10;• policy and instructional material&#10;• business improvement&#10;• risk management&#10;• verification&#10;• incident management&#10;• investigation support&#10;• corrective action&#10;• inspection&#10;• assessment&#10;• audit.&#10;Outputs include:&#10;• annual registration&#10;• export documentation&#10;• licence&#10;• application&#10;• inspection&#10;• assessment&#10;• 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10875" name="Picture 1" descr="C:\Users\pandya amar\AppData\Local\Microsoft\Windows\INetCache\Content.Word\BIO4033_0819_Cost recovery graphic-03.jpg"/>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4914900" cy="2895600"/>
                    </a:xfrm>
                    <a:prstGeom prst="rect">
                      <a:avLst/>
                    </a:prstGeom>
                    <a:noFill/>
                    <a:ln>
                      <a:noFill/>
                    </a:ln>
                  </pic:spPr>
                </pic:pic>
              </a:graphicData>
            </a:graphic>
          </wp:inline>
        </w:drawing>
      </w:r>
    </w:p>
    <w:p w14:paraId="2F4DE4AC" w14:textId="04A5600E" w:rsidR="007010B3" w:rsidRPr="007E7F52" w:rsidRDefault="007010B3" w:rsidP="007010B3">
      <w:r w:rsidRPr="007E7F52">
        <w:t xml:space="preserve">The processes listed in </w:t>
      </w:r>
      <w:r>
        <w:fldChar w:fldCharType="begin"/>
      </w:r>
      <w:r>
        <w:instrText xml:space="preserve"> REF _Ref168409325 \h </w:instrText>
      </w:r>
      <w:r>
        <w:fldChar w:fldCharType="separate"/>
      </w:r>
      <w:r w:rsidR="0001784A">
        <w:t>Figure B</w:t>
      </w:r>
      <w:r w:rsidR="0001784A">
        <w:rPr>
          <w:noProof/>
        </w:rPr>
        <w:t>2</w:t>
      </w:r>
      <w:r>
        <w:fldChar w:fldCharType="end"/>
      </w:r>
      <w:r>
        <w:fldChar w:fldCharType="begin"/>
      </w:r>
      <w:r>
        <w:instrText xml:space="preserve"> REF  Figure_B2 \h </w:instrText>
      </w:r>
      <w:r>
        <w:fldChar w:fldCharType="end"/>
      </w:r>
      <w:r>
        <w:t xml:space="preserve"> </w:t>
      </w:r>
      <w:r w:rsidRPr="007E7F52">
        <w:t xml:space="preserve">are grouped into </w:t>
      </w:r>
      <w:r>
        <w:t xml:space="preserve">4 </w:t>
      </w:r>
      <w:r w:rsidRPr="007E7F52">
        <w:t>categories of activities:</w:t>
      </w:r>
    </w:p>
    <w:p w14:paraId="5A4A6E54" w14:textId="77777777" w:rsidR="007010B3" w:rsidRPr="00536EE2" w:rsidRDefault="007010B3" w:rsidP="007010B3">
      <w:pPr>
        <w:pStyle w:val="ListNumber"/>
        <w:numPr>
          <w:ilvl w:val="0"/>
          <w:numId w:val="16"/>
        </w:numPr>
      </w:pPr>
      <w:r w:rsidRPr="00536EE2">
        <w:t>Program management and administration – administrative activities that support and deliver the department’s export regulatory activity commitments.</w:t>
      </w:r>
    </w:p>
    <w:p w14:paraId="7477702B" w14:textId="77777777" w:rsidR="007010B3" w:rsidRPr="00536EE2" w:rsidRDefault="007010B3" w:rsidP="007010B3">
      <w:pPr>
        <w:pStyle w:val="ListNumber"/>
      </w:pPr>
      <w:r w:rsidRPr="00536EE2">
        <w:t>Assurance – activities that mitigate risks to collective user groups by assessing departmental controls of systems and processes to ensure they operate in accordance with their intended design.</w:t>
      </w:r>
    </w:p>
    <w:p w14:paraId="251711CA" w14:textId="77777777" w:rsidR="007010B3" w:rsidRPr="00536EE2" w:rsidRDefault="007010B3" w:rsidP="007010B3">
      <w:pPr>
        <w:pStyle w:val="ListNumber"/>
      </w:pPr>
      <w:r w:rsidRPr="00536EE2">
        <w:lastRenderedPageBreak/>
        <w:t>Incident management – activities that respond to incidents concerning alleged breaches of Australian regulation or international import conditions.</w:t>
      </w:r>
    </w:p>
    <w:p w14:paraId="01124914" w14:textId="77777777" w:rsidR="007010B3" w:rsidRPr="00536EE2" w:rsidRDefault="007010B3" w:rsidP="007010B3">
      <w:pPr>
        <w:pStyle w:val="ListNumber"/>
      </w:pPr>
      <w:r w:rsidRPr="00536EE2">
        <w:t>Intervention – activities provided directly to an individual, business or organisation to meet export regulatory activity requirements.</w:t>
      </w:r>
    </w:p>
    <w:p w14:paraId="358A3DD0" w14:textId="77777777" w:rsidR="007010B3" w:rsidRPr="007010B3" w:rsidRDefault="007010B3" w:rsidP="00DA370D">
      <w:pPr>
        <w:pStyle w:val="Heading3"/>
        <w:numPr>
          <w:ilvl w:val="0"/>
          <w:numId w:val="0"/>
        </w:numPr>
        <w:ind w:left="964" w:hanging="964"/>
      </w:pPr>
      <w:bookmarkStart w:id="384" w:name="_Toc170293396"/>
      <w:bookmarkStart w:id="385" w:name="_Toc193794444"/>
      <w:bookmarkStart w:id="386" w:name="_Toc198898898"/>
      <w:r w:rsidRPr="007010B3">
        <w:t xml:space="preserve">Costs of </w:t>
      </w:r>
      <w:r w:rsidRPr="00DA370D">
        <w:t>regulatory</w:t>
      </w:r>
      <w:r w:rsidRPr="007010B3">
        <w:t xml:space="preserve"> charging activity</w:t>
      </w:r>
      <w:bookmarkEnd w:id="384"/>
      <w:bookmarkEnd w:id="385"/>
      <w:bookmarkEnd w:id="386"/>
    </w:p>
    <w:p w14:paraId="13721B39" w14:textId="77777777" w:rsidR="007010B3" w:rsidRDefault="007010B3" w:rsidP="00DA370D">
      <w:pPr>
        <w:pStyle w:val="Heading4"/>
        <w:numPr>
          <w:ilvl w:val="0"/>
          <w:numId w:val="0"/>
        </w:numPr>
        <w:ind w:left="964" w:hanging="964"/>
      </w:pPr>
      <w:r>
        <w:t xml:space="preserve">Cost </w:t>
      </w:r>
      <w:r w:rsidRPr="00324495">
        <w:t>allocation</w:t>
      </w:r>
      <w:r>
        <w:t xml:space="preserve"> process</w:t>
      </w:r>
    </w:p>
    <w:p w14:paraId="1B8B23AA" w14:textId="77777777" w:rsidR="007010B3" w:rsidRPr="007010B3" w:rsidRDefault="007010B3" w:rsidP="007010B3">
      <w:pPr>
        <w:spacing w:before="120" w:after="120"/>
      </w:pPr>
      <w:r w:rsidRPr="007010B3">
        <w:t>To determine the cost of regulatory activities, the department uses an activity-based costing (ABC) system. The ABC system allows for complex cost allocation calculations while also being efficient and effective to administer.</w:t>
      </w:r>
    </w:p>
    <w:p w14:paraId="43E3EEF3" w14:textId="77777777" w:rsidR="007010B3" w:rsidRPr="007010B3" w:rsidRDefault="007010B3" w:rsidP="007010B3">
      <w:r w:rsidRPr="007010B3">
        <w:t>The 2 expense categories are:</w:t>
      </w:r>
    </w:p>
    <w:p w14:paraId="1A52B0FA" w14:textId="77777777" w:rsidR="007010B3" w:rsidRPr="007010B3" w:rsidRDefault="007010B3" w:rsidP="007010B3">
      <w:pPr>
        <w:pStyle w:val="ListNumber"/>
        <w:numPr>
          <w:ilvl w:val="0"/>
          <w:numId w:val="15"/>
        </w:numPr>
        <w:ind w:left="567"/>
      </w:pPr>
      <w:r w:rsidRPr="007010B3">
        <w:t>Direct expenses – these can be directly attributed to the provision of an activity (e.g. inspections). They comprise of staff salaries and supplier costs including direct capital expenses.</w:t>
      </w:r>
    </w:p>
    <w:p w14:paraId="715C3258" w14:textId="77777777" w:rsidR="007010B3" w:rsidRPr="007010B3" w:rsidRDefault="007010B3" w:rsidP="007010B3">
      <w:pPr>
        <w:pStyle w:val="ListNumber"/>
        <w:numPr>
          <w:ilvl w:val="0"/>
          <w:numId w:val="14"/>
        </w:numPr>
        <w:ind w:left="567"/>
      </w:pPr>
      <w:r w:rsidRPr="007010B3">
        <w:t>Indirect expenses – these are not directly linked to an activity provided by us. Indirect expenses include corporate employee salaries and overheads such as information technology, finance, human resources costs, and indirect capital expenses.</w:t>
      </w:r>
    </w:p>
    <w:p w14:paraId="79045DC4" w14:textId="540EECA9" w:rsidR="007010B3" w:rsidRPr="007010B3" w:rsidRDefault="007010B3" w:rsidP="007010B3">
      <w:r w:rsidRPr="007010B3">
        <w:t xml:space="preserve">The cost allocation process apportions the costs of support functions (indirect expense) and direct expense to the processes/activities defined in </w:t>
      </w:r>
      <w:hyperlink w:anchor="_Description_of_cost" w:history="1">
        <w:r w:rsidRPr="007010B3">
          <w:rPr>
            <w:rStyle w:val="Hyperlink"/>
          </w:rPr>
          <w:t>Description of cost model activities</w:t>
        </w:r>
      </w:hyperlink>
      <w:r w:rsidRPr="007010B3">
        <w:t>. The department includes indirect expenses in the cost base to reflect the systems and processes that exist to help with efficient administration, which the cost-recovered arrangements benefit from. This is the same methodology employed for allocation of indirect costs to appropriated activities, in line with the department’s cost allocation policy.</w:t>
      </w:r>
    </w:p>
    <w:p w14:paraId="378E1586" w14:textId="77777777" w:rsidR="007010B3" w:rsidRPr="007010B3" w:rsidRDefault="007010B3" w:rsidP="007010B3">
      <w:r w:rsidRPr="007010B3">
        <w:t>The ABC system allocates costs in a staged approach.</w:t>
      </w:r>
    </w:p>
    <w:p w14:paraId="481B4D97" w14:textId="77777777" w:rsidR="007010B3" w:rsidRPr="007010B3" w:rsidRDefault="007010B3" w:rsidP="00324495">
      <w:pPr>
        <w:pStyle w:val="Heading5"/>
      </w:pPr>
      <w:r w:rsidRPr="00DA370D">
        <w:rPr>
          <w:rStyle w:val="Heading5Char"/>
          <w:b/>
        </w:rPr>
        <w:t>Stage</w:t>
      </w:r>
      <w:r w:rsidRPr="007010B3">
        <w:t xml:space="preserve"> 1</w:t>
      </w:r>
    </w:p>
    <w:p w14:paraId="5A7C82FB" w14:textId="77777777" w:rsidR="007010B3" w:rsidRPr="007010B3" w:rsidRDefault="007010B3" w:rsidP="007010B3">
      <w:r w:rsidRPr="007010B3">
        <w:t>Indirect costs such as property, finance, information technology, human resources and divisional executives are allocated to direct cost centres using a cost driver that estimates the relative usage of each of the corporate services. Cost drivers for corporate services include:</w:t>
      </w:r>
    </w:p>
    <w:p w14:paraId="75B9AAF3" w14:textId="77777777" w:rsidR="007010B3" w:rsidRPr="007010B3" w:rsidRDefault="007010B3" w:rsidP="007010B3">
      <w:pPr>
        <w:pStyle w:val="ListNumber"/>
        <w:numPr>
          <w:ilvl w:val="0"/>
          <w:numId w:val="18"/>
        </w:numPr>
      </w:pPr>
      <w:r w:rsidRPr="007010B3">
        <w:t>Work points – distributes costs based on space occupied, with the work point count reflecting the space where a person may be able to work.</w:t>
      </w:r>
    </w:p>
    <w:p w14:paraId="6EE02F53" w14:textId="77777777" w:rsidR="007010B3" w:rsidRPr="007010B3" w:rsidRDefault="007010B3" w:rsidP="007010B3">
      <w:pPr>
        <w:pStyle w:val="ListNumber"/>
      </w:pPr>
      <w:r w:rsidRPr="007010B3">
        <w:t>FTE – distributes costs based on each programme’s full-time equivalent staff numbers.</w:t>
      </w:r>
    </w:p>
    <w:p w14:paraId="29847785" w14:textId="77777777" w:rsidR="007010B3" w:rsidRPr="007010B3" w:rsidRDefault="007010B3" w:rsidP="007010B3">
      <w:pPr>
        <w:pStyle w:val="ListNumber"/>
      </w:pPr>
      <w:r w:rsidRPr="007010B3">
        <w:t>PC count/IT assets – distributes costs based on the number of IT assets in a program.</w:t>
      </w:r>
    </w:p>
    <w:p w14:paraId="59E9E03D" w14:textId="77777777" w:rsidR="007010B3" w:rsidRPr="007010B3" w:rsidRDefault="007010B3" w:rsidP="007010B3">
      <w:pPr>
        <w:pStyle w:val="ListNumber"/>
      </w:pPr>
      <w:r w:rsidRPr="007010B3">
        <w:t>Transactions – distributes costs based on the number of transactions incurred over a period. This driver is used to allocate expenses related to the functions of accounts receivable and accounts payable.</w:t>
      </w:r>
    </w:p>
    <w:p w14:paraId="7C4C6377" w14:textId="77777777" w:rsidR="007010B3" w:rsidRPr="007010B3" w:rsidRDefault="007010B3" w:rsidP="007010B3">
      <w:pPr>
        <w:pStyle w:val="ListNumber"/>
      </w:pPr>
      <w:r w:rsidRPr="007010B3">
        <w:t>Headcount – allocates costs based on the number of staff that a program area has as a proportion of the number of staff that are on the department’s total staff.</w:t>
      </w:r>
    </w:p>
    <w:p w14:paraId="1990CE3C" w14:textId="77777777" w:rsidR="007010B3" w:rsidRPr="007010B3" w:rsidRDefault="007010B3" w:rsidP="007010B3">
      <w:pPr>
        <w:pStyle w:val="ListNumber"/>
      </w:pPr>
      <w:r w:rsidRPr="007010B3">
        <w:lastRenderedPageBreak/>
        <w:t>Custom drivers – allocate costs to specific cost centres, primarily based on usage for shared program resources.</w:t>
      </w:r>
    </w:p>
    <w:p w14:paraId="63448CF7" w14:textId="77777777" w:rsidR="007010B3" w:rsidRPr="007010B3" w:rsidRDefault="007010B3" w:rsidP="007010B3">
      <w:pPr>
        <w:pStyle w:val="ListNumber"/>
      </w:pPr>
      <w:r w:rsidRPr="007010B3">
        <w:t>Cost drivers are reviewed on an annual basis, or as required. Changes to cost drivers are substantiated through effort or other data.</w:t>
      </w:r>
    </w:p>
    <w:p w14:paraId="57E0D046" w14:textId="77777777" w:rsidR="007010B3" w:rsidRPr="007010B3" w:rsidRDefault="007010B3" w:rsidP="00324495">
      <w:pPr>
        <w:pStyle w:val="Heading5"/>
      </w:pPr>
      <w:r w:rsidRPr="007010B3">
        <w:t>Stage 2</w:t>
      </w:r>
    </w:p>
    <w:p w14:paraId="66A2E086" w14:textId="77777777" w:rsidR="007010B3" w:rsidRPr="007010B3" w:rsidRDefault="007010B3" w:rsidP="007010B3">
      <w:r w:rsidRPr="007010B3">
        <w:t>Direct costs (including the indirect costs allocated in stage 1) are allocated to the activity and cost-recovered arrangements that best reflects the activity undertaken. Time recording systems allow the accurate allocation of effort to specific activities and arrangements, particularly to intervention activities.</w:t>
      </w:r>
    </w:p>
    <w:p w14:paraId="118C5F61" w14:textId="77777777" w:rsidR="007010B3" w:rsidRPr="007010B3" w:rsidRDefault="007010B3" w:rsidP="007010B3">
      <w:r w:rsidRPr="007010B3">
        <w:t>The primary variable used in the allocation of costs to activities is effort. As a result, cost estimates vary with changes in activity. If actual activity levels change during a financial year, the costs allocated to arrangements would require adjustment to align with that effort. The department monitors this throughout the year and adjust where necessary.</w:t>
      </w:r>
    </w:p>
    <w:p w14:paraId="5133D8E4" w14:textId="77777777" w:rsidR="007010B3" w:rsidRPr="007010B3" w:rsidRDefault="007010B3" w:rsidP="007010B3">
      <w:r w:rsidRPr="007010B3">
        <w:t>For example, food safety auditors undertake audits across multiple arrangements. The department forecasts the number of audits and average time for an audit for each arrangement. The associated costs are allocated to the arrangements and audit function based on total audit hours.</w:t>
      </w:r>
    </w:p>
    <w:p w14:paraId="4D1475B3" w14:textId="77777777" w:rsidR="007010B3" w:rsidRPr="007010B3" w:rsidRDefault="007010B3" w:rsidP="00324495">
      <w:pPr>
        <w:pStyle w:val="Heading5"/>
      </w:pPr>
      <w:r w:rsidRPr="00DA370D">
        <w:t>Stage</w:t>
      </w:r>
      <w:r w:rsidRPr="007010B3">
        <w:t xml:space="preserve"> 3</w:t>
      </w:r>
    </w:p>
    <w:p w14:paraId="24F429D2" w14:textId="5D09D0FF" w:rsidR="007010B3" w:rsidRPr="007010B3" w:rsidRDefault="007010B3" w:rsidP="007010B3">
      <w:r w:rsidRPr="007010B3">
        <w:t xml:space="preserve">Activity/arrangement costs (from stage 2) are allocated to charge points which identifies the cost associated with that charge. The department uses a combination of cost recovery fees and charges. </w:t>
      </w:r>
      <w:r w:rsidRPr="007010B3">
        <w:fldChar w:fldCharType="begin"/>
      </w:r>
      <w:r w:rsidRPr="007010B3">
        <w:instrText xml:space="preserve"> REF _Ref168409325 \h </w:instrText>
      </w:r>
      <w:r>
        <w:instrText xml:space="preserve"> \* MERGEFORMAT </w:instrText>
      </w:r>
      <w:r w:rsidRPr="007010B3">
        <w:fldChar w:fldCharType="separate"/>
      </w:r>
      <w:r w:rsidR="0001784A">
        <w:t>Figure B2</w:t>
      </w:r>
      <w:r w:rsidRPr="007010B3">
        <w:fldChar w:fldCharType="end"/>
      </w:r>
      <w:r w:rsidRPr="007010B3">
        <w:fldChar w:fldCharType="begin"/>
      </w:r>
      <w:r w:rsidRPr="007010B3">
        <w:instrText xml:space="preserve"> REF  Figure_B2 \h  \* MERGEFORMAT </w:instrText>
      </w:r>
      <w:r w:rsidRPr="007010B3">
        <w:fldChar w:fldCharType="end"/>
      </w:r>
      <w:r w:rsidRPr="007010B3">
        <w:t xml:space="preserve"> shows how the department categorises cost-recovered charge and fee activities and outputs.</w:t>
      </w:r>
    </w:p>
    <w:p w14:paraId="45F5364E" w14:textId="0E8F83B8" w:rsidR="007010B3" w:rsidRPr="0069293F" w:rsidRDefault="007010B3" w:rsidP="007010B3">
      <w:pPr>
        <w:pStyle w:val="Caption"/>
      </w:pPr>
      <w:bookmarkStart w:id="387" w:name="Figure_B2"/>
      <w:bookmarkStart w:id="388" w:name="_Ref168409325"/>
      <w:bookmarkStart w:id="389" w:name="_Toc162422150"/>
      <w:bookmarkStart w:id="390" w:name="_Toc165030408"/>
      <w:bookmarkStart w:id="391" w:name="_Toc198899212"/>
      <w:bookmarkEnd w:id="387"/>
      <w:r>
        <w:lastRenderedPageBreak/>
        <w:t>Figure B</w:t>
      </w:r>
      <w:r>
        <w:fldChar w:fldCharType="begin"/>
      </w:r>
      <w:r>
        <w:instrText xml:space="preserve"> SEQ Figure_B \* ARABIC </w:instrText>
      </w:r>
      <w:r>
        <w:fldChar w:fldCharType="separate"/>
      </w:r>
      <w:r w:rsidR="0001784A">
        <w:rPr>
          <w:noProof/>
        </w:rPr>
        <w:t>2</w:t>
      </w:r>
      <w:r>
        <w:fldChar w:fldCharType="end"/>
      </w:r>
      <w:bookmarkEnd w:id="388"/>
      <w:r w:rsidRPr="0069293F">
        <w:t xml:space="preserve"> Categories of activities</w:t>
      </w:r>
      <w:bookmarkEnd w:id="389"/>
      <w:bookmarkEnd w:id="390"/>
      <w:bookmarkEnd w:id="391"/>
    </w:p>
    <w:p w14:paraId="6B312015" w14:textId="77777777" w:rsidR="007010B3" w:rsidRPr="00697B98" w:rsidRDefault="007010B3" w:rsidP="007010B3">
      <w:r w:rsidRPr="007E7F52">
        <w:rPr>
          <w:noProof/>
          <w:lang w:eastAsia="en-AU"/>
        </w:rPr>
        <w:drawing>
          <wp:inline distT="0" distB="0" distL="0" distR="0" wp14:anchorId="56A8A5FC" wp14:editId="1EF4A52B">
            <wp:extent cx="4447641" cy="4648111"/>
            <wp:effectExtent l="0" t="0" r="0" b="635"/>
            <wp:docPr id="10" name="Picture 10" descr="The 4 groups of activities are:&#10;1) Program management and administration&#10;2) Assurance&#10;3) Incident management&#10;4) Intervention.&#10;&#10;Costs recovered through levies&#10;Costs in the 4 categories are recovered through levies.&#10;&#10;Program management and administration activities include workforce and business management, business systems administration, stakeholder engagement, policy and instructional material, and business improvement.&#10;&#10;Assurance activities include risk management, verification and surveillance.&#10;&#10;Incident management costs include incident management, investigation support and corrective action.&#10;&#10;Outputs for levy-related activities include annual registration, export documentation, throughput, application and organic certification.&#10;&#10;Costs recovered through fees&#10;Costs related to intervention are recovered through fees.&#10;&#10;Intervention activities include assessments, issuing approvals and certification, inspections, treatments, husbandry and audits.&#10;&#10;Outputs for fee-related activities match each intervention activity. For example, the outputs for assessments are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22388" name="Picture 2" descr="C:\Users\bell stephen\AppData\Local\Microsoft\Windows\INetCache\Content.Outlook\Y8B8J3CD\BIO4033_0819_Cost recovery graphic-01 (004).jp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4510553" cy="4713859"/>
                    </a:xfrm>
                    <a:prstGeom prst="rect">
                      <a:avLst/>
                    </a:prstGeom>
                    <a:noFill/>
                    <a:ln>
                      <a:noFill/>
                    </a:ln>
                  </pic:spPr>
                </pic:pic>
              </a:graphicData>
            </a:graphic>
          </wp:inline>
        </w:drawing>
      </w:r>
    </w:p>
    <w:p w14:paraId="323002A3" w14:textId="77777777" w:rsidR="007010B3" w:rsidRPr="007010B3" w:rsidRDefault="007010B3" w:rsidP="00DA370D">
      <w:pPr>
        <w:pStyle w:val="Heading3"/>
        <w:numPr>
          <w:ilvl w:val="0"/>
          <w:numId w:val="0"/>
        </w:numPr>
        <w:ind w:left="964" w:hanging="964"/>
      </w:pPr>
      <w:bookmarkStart w:id="392" w:name="_Description_of_cost"/>
      <w:bookmarkStart w:id="393" w:name="_Toc170293397"/>
      <w:bookmarkStart w:id="394" w:name="_Toc193794445"/>
      <w:bookmarkStart w:id="395" w:name="_Toc198898899"/>
      <w:bookmarkEnd w:id="392"/>
      <w:r w:rsidRPr="00DA370D">
        <w:t>Description</w:t>
      </w:r>
      <w:r w:rsidRPr="007010B3">
        <w:t xml:space="preserve"> of cost model activities</w:t>
      </w:r>
      <w:bookmarkEnd w:id="393"/>
      <w:bookmarkEnd w:id="394"/>
      <w:bookmarkEnd w:id="395"/>
    </w:p>
    <w:p w14:paraId="76E1F5A9" w14:textId="77777777" w:rsidR="007010B3" w:rsidRDefault="007010B3" w:rsidP="007010B3">
      <w:pPr>
        <w:rPr>
          <w:lang w:eastAsia="ja-JP"/>
        </w:rPr>
      </w:pPr>
      <w:r>
        <w:rPr>
          <w:lang w:eastAsia="ja-JP"/>
        </w:rPr>
        <w:t xml:space="preserve">The following provides details of the cost model activities undertaken in </w:t>
      </w:r>
      <w:r>
        <w:t>the department’s</w:t>
      </w:r>
      <w:r>
        <w:rPr>
          <w:lang w:eastAsia="ja-JP"/>
        </w:rPr>
        <w:t xml:space="preserve"> cost recovery arrangements.</w:t>
      </w:r>
    </w:p>
    <w:p w14:paraId="559A5B6A" w14:textId="77777777" w:rsidR="007010B3" w:rsidRPr="007010B3" w:rsidRDefault="007010B3" w:rsidP="00DA370D">
      <w:pPr>
        <w:pStyle w:val="Heading4"/>
        <w:numPr>
          <w:ilvl w:val="0"/>
          <w:numId w:val="0"/>
        </w:numPr>
        <w:ind w:left="964" w:hanging="964"/>
        <w:rPr>
          <w:lang w:eastAsia="ja-JP"/>
        </w:rPr>
      </w:pPr>
      <w:r w:rsidRPr="007010B3">
        <w:rPr>
          <w:lang w:eastAsia="ja-JP"/>
        </w:rPr>
        <w:t>Program management and administration activities</w:t>
      </w:r>
    </w:p>
    <w:p w14:paraId="1DB1D7A3" w14:textId="77777777" w:rsidR="007010B3" w:rsidRPr="007010B3" w:rsidRDefault="007010B3" w:rsidP="00324495">
      <w:pPr>
        <w:pStyle w:val="Heading5"/>
        <w:rPr>
          <w:lang w:eastAsia="ja-JP"/>
        </w:rPr>
      </w:pPr>
      <w:r w:rsidRPr="007010B3">
        <w:rPr>
          <w:lang w:eastAsia="ja-JP"/>
        </w:rPr>
        <w:t xml:space="preserve">Workforce </w:t>
      </w:r>
      <w:r w:rsidRPr="00DA370D">
        <w:t>and</w:t>
      </w:r>
      <w:r w:rsidRPr="007010B3">
        <w:rPr>
          <w:lang w:eastAsia="ja-JP"/>
        </w:rPr>
        <w:t xml:space="preserve"> business management</w:t>
      </w:r>
    </w:p>
    <w:p w14:paraId="4AAA51CB" w14:textId="77777777" w:rsidR="007010B3" w:rsidRPr="000F4103" w:rsidRDefault="007010B3" w:rsidP="007010B3">
      <w:pPr>
        <w:spacing w:before="120" w:after="120"/>
      </w:pPr>
      <w:r w:rsidRPr="000F4103">
        <w:t xml:space="preserve">This activity has </w:t>
      </w:r>
      <w:r>
        <w:t>4</w:t>
      </w:r>
      <w:r w:rsidRPr="000F4103">
        <w:t xml:space="preserve"> categories:</w:t>
      </w:r>
    </w:p>
    <w:p w14:paraId="0310C0D3" w14:textId="77777777" w:rsidR="007010B3" w:rsidRPr="00587417" w:rsidRDefault="007010B3" w:rsidP="007010B3">
      <w:pPr>
        <w:pStyle w:val="ListNumber"/>
        <w:numPr>
          <w:ilvl w:val="0"/>
          <w:numId w:val="19"/>
        </w:numPr>
      </w:pPr>
      <w:r w:rsidRPr="00587417">
        <w:t>Workforce management activities – staff supervision, allocating workforce resources, managing employee performance, leave, training and other conditions, managing work, health and safety requirements, recruitment and termination.</w:t>
      </w:r>
    </w:p>
    <w:p w14:paraId="34C21D98" w14:textId="77777777" w:rsidR="007010B3" w:rsidRPr="00587417" w:rsidRDefault="007010B3" w:rsidP="007010B3">
      <w:pPr>
        <w:pStyle w:val="ListNumber"/>
      </w:pPr>
      <w:r w:rsidRPr="00587417">
        <w:t>Business management activities – business planning and continuity; requesting legal advice; procurement and contracts; program and project administration, assurance, design and management; management of fixtures, facilities, equipment, supplies and logistics.</w:t>
      </w:r>
    </w:p>
    <w:p w14:paraId="15F619E1" w14:textId="77777777" w:rsidR="007010B3" w:rsidRPr="00587417" w:rsidRDefault="007010B3" w:rsidP="007010B3">
      <w:pPr>
        <w:pStyle w:val="ListNumber"/>
      </w:pPr>
      <w:r w:rsidRPr="00587417">
        <w:t>Financial management activities – billing and accounting, budgeting, charges and payments, collections and receivables, debt management, financial accounts, reporting and policy development.</w:t>
      </w:r>
    </w:p>
    <w:p w14:paraId="1D4B8610" w14:textId="77777777" w:rsidR="007010B3" w:rsidRPr="00587417" w:rsidRDefault="007010B3" w:rsidP="007010B3">
      <w:pPr>
        <w:pStyle w:val="ListNumber"/>
      </w:pPr>
      <w:r w:rsidRPr="00587417">
        <w:lastRenderedPageBreak/>
        <w:t>Information management activities – data management, information and records management, and information sharing and collaboration.</w:t>
      </w:r>
    </w:p>
    <w:p w14:paraId="7562C590" w14:textId="77777777" w:rsidR="007010B3" w:rsidRPr="007010B3" w:rsidRDefault="007010B3" w:rsidP="00DA370D">
      <w:pPr>
        <w:pStyle w:val="Heading4"/>
        <w:numPr>
          <w:ilvl w:val="0"/>
          <w:numId w:val="0"/>
        </w:numPr>
        <w:ind w:left="964" w:hanging="964"/>
        <w:rPr>
          <w:lang w:eastAsia="ja-JP"/>
        </w:rPr>
      </w:pPr>
      <w:r w:rsidRPr="007010B3">
        <w:rPr>
          <w:lang w:eastAsia="ja-JP"/>
        </w:rPr>
        <w:t xml:space="preserve">Business </w:t>
      </w:r>
      <w:r w:rsidRPr="00DA370D">
        <w:t>systems</w:t>
      </w:r>
      <w:r w:rsidRPr="007010B3">
        <w:rPr>
          <w:lang w:eastAsia="ja-JP"/>
        </w:rPr>
        <w:t xml:space="preserve"> administration</w:t>
      </w:r>
    </w:p>
    <w:p w14:paraId="69421687" w14:textId="77777777" w:rsidR="007010B3" w:rsidRDefault="007010B3" w:rsidP="007010B3">
      <w:pPr>
        <w:rPr>
          <w:lang w:eastAsia="ja-JP"/>
        </w:rPr>
      </w:pPr>
      <w:r>
        <w:rPr>
          <w:lang w:eastAsia="ja-JP"/>
        </w:rPr>
        <w:t>Includes developing, acquiring, testing, implementing and supporting applications and business systems. This includes technical support and maintenance of all business systems including information and communications technology.</w:t>
      </w:r>
    </w:p>
    <w:p w14:paraId="27672491" w14:textId="77777777" w:rsidR="007010B3" w:rsidRPr="007010B3" w:rsidRDefault="007010B3" w:rsidP="00DA370D">
      <w:pPr>
        <w:pStyle w:val="Heading4"/>
        <w:numPr>
          <w:ilvl w:val="0"/>
          <w:numId w:val="0"/>
        </w:numPr>
        <w:ind w:left="964" w:hanging="964"/>
        <w:rPr>
          <w:lang w:eastAsia="ja-JP"/>
        </w:rPr>
      </w:pPr>
      <w:r w:rsidRPr="007010B3">
        <w:rPr>
          <w:lang w:eastAsia="ja-JP"/>
        </w:rPr>
        <w:t>Stakeholder engagement</w:t>
      </w:r>
    </w:p>
    <w:p w14:paraId="3AF29B41" w14:textId="77777777" w:rsidR="007010B3" w:rsidRDefault="007010B3" w:rsidP="007010B3">
      <w:pPr>
        <w:rPr>
          <w:lang w:eastAsia="ja-JP"/>
        </w:rPr>
      </w:pPr>
      <w:r>
        <w:rPr>
          <w:lang w:eastAsia="ja-JP"/>
        </w:rPr>
        <w:t>Involves proactive engagement with any person, business, or organisation including any associated travel. This includes, engaging with peak industry bodies, secretariat support and attendance at industry consultative committee meetings, consultation on new standards and requirements, publishing website content and other information.</w:t>
      </w:r>
    </w:p>
    <w:p w14:paraId="083AD885" w14:textId="77777777" w:rsidR="007010B3" w:rsidRPr="007010B3" w:rsidRDefault="007010B3" w:rsidP="00DA370D">
      <w:pPr>
        <w:pStyle w:val="Heading4"/>
        <w:numPr>
          <w:ilvl w:val="0"/>
          <w:numId w:val="0"/>
        </w:numPr>
        <w:ind w:left="964" w:hanging="964"/>
        <w:rPr>
          <w:lang w:eastAsia="ja-JP"/>
        </w:rPr>
      </w:pPr>
      <w:r w:rsidRPr="007010B3">
        <w:rPr>
          <w:lang w:eastAsia="ja-JP"/>
        </w:rPr>
        <w:t xml:space="preserve">Policy and </w:t>
      </w:r>
      <w:r w:rsidRPr="00DA370D">
        <w:t>instructional</w:t>
      </w:r>
      <w:r w:rsidRPr="007010B3">
        <w:rPr>
          <w:lang w:eastAsia="ja-JP"/>
        </w:rPr>
        <w:t xml:space="preserve"> material</w:t>
      </w:r>
    </w:p>
    <w:p w14:paraId="549119DE" w14:textId="77777777" w:rsidR="007010B3" w:rsidRDefault="007010B3" w:rsidP="007010B3">
      <w:pPr>
        <w:rPr>
          <w:lang w:eastAsia="ja-JP"/>
        </w:rPr>
      </w:pPr>
      <w:r>
        <w:t>I</w:t>
      </w:r>
      <w:r>
        <w:rPr>
          <w:lang w:eastAsia="ja-JP"/>
        </w:rPr>
        <w:t xml:space="preserve">ncludes developing, maintaining and communicating </w:t>
      </w:r>
      <w:r>
        <w:t>the department’s</w:t>
      </w:r>
      <w:r>
        <w:rPr>
          <w:lang w:eastAsia="ja-JP"/>
        </w:rPr>
        <w:t xml:space="preserve"> policy and instructional material, such as operational and corporate policies, scientific advice, departmental guidelines and work instructions, and associated training development and delivery. Examples include responding to changes in importing country requirements, developing or revising policy processes and instructional material.</w:t>
      </w:r>
    </w:p>
    <w:p w14:paraId="5D9A324A" w14:textId="77777777" w:rsidR="007010B3" w:rsidRPr="007010B3" w:rsidRDefault="007010B3" w:rsidP="00DA370D">
      <w:pPr>
        <w:pStyle w:val="Heading4"/>
        <w:numPr>
          <w:ilvl w:val="0"/>
          <w:numId w:val="0"/>
        </w:numPr>
        <w:ind w:left="964" w:hanging="964"/>
        <w:rPr>
          <w:lang w:eastAsia="ja-JP"/>
        </w:rPr>
      </w:pPr>
      <w:r w:rsidRPr="007010B3">
        <w:rPr>
          <w:lang w:eastAsia="ja-JP"/>
        </w:rPr>
        <w:t xml:space="preserve">Business </w:t>
      </w:r>
      <w:r w:rsidRPr="00DA370D">
        <w:t>improvement</w:t>
      </w:r>
    </w:p>
    <w:p w14:paraId="7F881626" w14:textId="77777777" w:rsidR="007010B3" w:rsidRDefault="007010B3" w:rsidP="007010B3">
      <w:pPr>
        <w:rPr>
          <w:lang w:eastAsia="ja-JP"/>
        </w:rPr>
      </w:pPr>
      <w:r>
        <w:rPr>
          <w:lang w:eastAsia="ja-JP"/>
        </w:rPr>
        <w:t>Includes assessment, monitoring and management of business performance. Examples include adjustments to improve regulatory activity, against business performance reports against Key Performance Indicators (KPIs) and similar activities.</w:t>
      </w:r>
    </w:p>
    <w:p w14:paraId="22C6A4C5" w14:textId="77777777" w:rsidR="007010B3" w:rsidRPr="007010B3" w:rsidRDefault="007010B3" w:rsidP="00DA370D">
      <w:pPr>
        <w:pStyle w:val="Heading3"/>
        <w:numPr>
          <w:ilvl w:val="0"/>
          <w:numId w:val="0"/>
        </w:numPr>
        <w:ind w:left="964" w:hanging="964"/>
      </w:pPr>
      <w:bookmarkStart w:id="396" w:name="_Toc170293398"/>
      <w:bookmarkStart w:id="397" w:name="_Toc193794446"/>
      <w:bookmarkStart w:id="398" w:name="_Toc198898900"/>
      <w:r w:rsidRPr="007010B3">
        <w:t xml:space="preserve">Assurance </w:t>
      </w:r>
      <w:r w:rsidRPr="00DA370D">
        <w:t>activities</w:t>
      </w:r>
      <w:bookmarkEnd w:id="396"/>
      <w:bookmarkEnd w:id="397"/>
      <w:bookmarkEnd w:id="398"/>
    </w:p>
    <w:p w14:paraId="39ABE1DF" w14:textId="77777777" w:rsidR="007010B3" w:rsidRPr="007010B3" w:rsidRDefault="007010B3" w:rsidP="00DA370D">
      <w:pPr>
        <w:pStyle w:val="Heading4"/>
        <w:numPr>
          <w:ilvl w:val="0"/>
          <w:numId w:val="0"/>
        </w:numPr>
        <w:ind w:left="964" w:hanging="964"/>
        <w:rPr>
          <w:lang w:eastAsia="ja-JP"/>
        </w:rPr>
      </w:pPr>
      <w:r w:rsidRPr="007010B3">
        <w:rPr>
          <w:lang w:eastAsia="ja-JP"/>
        </w:rPr>
        <w:t xml:space="preserve">Risk </w:t>
      </w:r>
      <w:r w:rsidRPr="00DA370D">
        <w:t>management</w:t>
      </w:r>
    </w:p>
    <w:p w14:paraId="12050CB8" w14:textId="77777777" w:rsidR="007010B3" w:rsidRDefault="007010B3" w:rsidP="007010B3">
      <w:pPr>
        <w:rPr>
          <w:lang w:eastAsia="ja-JP"/>
        </w:rPr>
      </w:pPr>
      <w:r>
        <w:rPr>
          <w:lang w:eastAsia="ja-JP"/>
        </w:rPr>
        <w:t xml:space="preserve">Involves assessing and managing the risks posed to Australia’s ability to maintain market access. This includes communicating results of risk analysis, modelling and forecasting to operational areas and the collection, receipt and use of reliable compliance data to meet </w:t>
      </w:r>
      <w:r>
        <w:t>the departments</w:t>
      </w:r>
      <w:r>
        <w:rPr>
          <w:lang w:eastAsia="ja-JP"/>
        </w:rPr>
        <w:t xml:space="preserve"> compliance objectives. This work also includes any associated travel and regulated entity assistance work. For example, organising, involvement in and responding to overseas government’s systems-based audits.</w:t>
      </w:r>
    </w:p>
    <w:p w14:paraId="66C5A71D" w14:textId="77777777" w:rsidR="007010B3" w:rsidRPr="007010B3" w:rsidRDefault="007010B3" w:rsidP="00324495">
      <w:pPr>
        <w:pStyle w:val="Heading4"/>
        <w:numPr>
          <w:ilvl w:val="0"/>
          <w:numId w:val="0"/>
        </w:numPr>
        <w:rPr>
          <w:lang w:eastAsia="ja-JP"/>
        </w:rPr>
      </w:pPr>
      <w:r w:rsidRPr="00DA370D">
        <w:t>Verification</w:t>
      </w:r>
    </w:p>
    <w:p w14:paraId="47A8ED2F" w14:textId="77777777" w:rsidR="007010B3" w:rsidRDefault="007010B3" w:rsidP="007010B3">
      <w:pPr>
        <w:rPr>
          <w:lang w:eastAsia="ja-JP"/>
        </w:rPr>
      </w:pPr>
      <w:r>
        <w:rPr>
          <w:lang w:eastAsia="ja-JP"/>
        </w:rPr>
        <w:t>Includes assurance activities to provide stakeholders and departmental executive with confidence that departmental controls of its systems and processes are operating in accordance with their intended design and associated documentation. For example, verification of certification activity internally and by state regulators.</w:t>
      </w:r>
    </w:p>
    <w:p w14:paraId="36A00243" w14:textId="77777777" w:rsidR="007010B3" w:rsidRPr="007010B3" w:rsidRDefault="007010B3" w:rsidP="00DA370D">
      <w:pPr>
        <w:pStyle w:val="Heading4"/>
        <w:numPr>
          <w:ilvl w:val="0"/>
          <w:numId w:val="0"/>
        </w:numPr>
        <w:ind w:left="964" w:hanging="964"/>
        <w:rPr>
          <w:lang w:eastAsia="ja-JP"/>
        </w:rPr>
      </w:pPr>
      <w:r w:rsidRPr="00DA370D">
        <w:t>Surveillance</w:t>
      </w:r>
    </w:p>
    <w:p w14:paraId="3383842E" w14:textId="77777777" w:rsidR="007010B3" w:rsidRDefault="007010B3" w:rsidP="007010B3">
      <w:pPr>
        <w:rPr>
          <w:lang w:eastAsia="ja-JP"/>
        </w:rPr>
      </w:pPr>
      <w:r>
        <w:rPr>
          <w:lang w:eastAsia="ja-JP"/>
        </w:rPr>
        <w:t>Includes formal and informal monitoring to detect issues that may affect onshore production for export, such as changes in Australia’s pest or disease status or food safety concerns. Surveillance differs from an inspection because it is not done for a specific client.</w:t>
      </w:r>
    </w:p>
    <w:p w14:paraId="5772A942" w14:textId="77777777" w:rsidR="007010B3" w:rsidRPr="007010B3" w:rsidRDefault="007010B3" w:rsidP="00DA370D">
      <w:pPr>
        <w:pStyle w:val="Heading3"/>
        <w:numPr>
          <w:ilvl w:val="0"/>
          <w:numId w:val="0"/>
        </w:numPr>
        <w:ind w:left="964" w:hanging="964"/>
      </w:pPr>
      <w:bookmarkStart w:id="399" w:name="_Toc170293399"/>
      <w:bookmarkStart w:id="400" w:name="_Toc193794447"/>
      <w:bookmarkStart w:id="401" w:name="_Toc198898901"/>
      <w:r w:rsidRPr="007010B3">
        <w:lastRenderedPageBreak/>
        <w:t xml:space="preserve">Incident </w:t>
      </w:r>
      <w:r w:rsidRPr="00DA370D">
        <w:t>management</w:t>
      </w:r>
      <w:r w:rsidRPr="007010B3">
        <w:t xml:space="preserve"> activities</w:t>
      </w:r>
      <w:bookmarkEnd w:id="399"/>
      <w:bookmarkEnd w:id="400"/>
      <w:bookmarkEnd w:id="401"/>
    </w:p>
    <w:p w14:paraId="64D42CEE" w14:textId="77777777" w:rsidR="007010B3" w:rsidRPr="007010B3" w:rsidRDefault="007010B3" w:rsidP="00DA370D">
      <w:pPr>
        <w:pStyle w:val="Heading4"/>
        <w:numPr>
          <w:ilvl w:val="0"/>
          <w:numId w:val="0"/>
        </w:numPr>
        <w:ind w:left="964" w:hanging="964"/>
        <w:rPr>
          <w:lang w:eastAsia="ja-JP"/>
        </w:rPr>
      </w:pPr>
      <w:r w:rsidRPr="007010B3">
        <w:rPr>
          <w:lang w:eastAsia="ja-JP"/>
        </w:rPr>
        <w:t>Incident management</w:t>
      </w:r>
    </w:p>
    <w:p w14:paraId="3ACC8C24" w14:textId="77777777" w:rsidR="007010B3" w:rsidRDefault="007010B3" w:rsidP="007010B3">
      <w:pPr>
        <w:rPr>
          <w:lang w:eastAsia="ja-JP"/>
        </w:rPr>
      </w:pPr>
      <w:r>
        <w:t>T</w:t>
      </w:r>
      <w:r>
        <w:rPr>
          <w:lang w:eastAsia="ja-JP"/>
        </w:rPr>
        <w:t>he coordination and management of any incident including post border detection and export incidents. This includes all associated pre-and post</w:t>
      </w:r>
      <w:bookmarkStart w:id="402" w:name="_Hlk164262270"/>
      <w:r>
        <w:rPr>
          <w:lang w:eastAsia="ja-JP"/>
        </w:rPr>
        <w:t>-</w:t>
      </w:r>
      <w:bookmarkEnd w:id="402"/>
      <w:r>
        <w:rPr>
          <w:lang w:eastAsia="ja-JP"/>
        </w:rPr>
        <w:t>work, travel and regulated entity assistance in relation to an incident, government certification and other issues which result in goods being held at the border. For example, this includes managing and responding to food safety incidents where food may have been exported.</w:t>
      </w:r>
    </w:p>
    <w:p w14:paraId="54290736" w14:textId="77777777" w:rsidR="007010B3" w:rsidRPr="007010B3" w:rsidRDefault="007010B3" w:rsidP="00DA370D">
      <w:pPr>
        <w:pStyle w:val="Heading4"/>
        <w:numPr>
          <w:ilvl w:val="0"/>
          <w:numId w:val="0"/>
        </w:numPr>
        <w:ind w:left="964" w:hanging="964"/>
        <w:rPr>
          <w:lang w:eastAsia="ja-JP"/>
        </w:rPr>
      </w:pPr>
      <w:r w:rsidRPr="007010B3">
        <w:rPr>
          <w:lang w:eastAsia="ja-JP"/>
        </w:rPr>
        <w:t>Investigation support</w:t>
      </w:r>
    </w:p>
    <w:p w14:paraId="45067D0E" w14:textId="77777777" w:rsidR="007010B3" w:rsidRDefault="007010B3" w:rsidP="007010B3">
      <w:pPr>
        <w:rPr>
          <w:lang w:eastAsia="ja-JP"/>
        </w:rPr>
      </w:pPr>
      <w:r>
        <w:t>I</w:t>
      </w:r>
      <w:r>
        <w:rPr>
          <w:lang w:eastAsia="ja-JP"/>
        </w:rPr>
        <w:t>nvolves providing support for enforcement activities relating to an alleged breach of portfolio legislation, including any related regulated entity assistance and travel. This also includes enforcement activities that ensure compliance with Australian regulation and international import conditions such as investigations and engagement with regulated entities about compliance.</w:t>
      </w:r>
    </w:p>
    <w:p w14:paraId="24F86525" w14:textId="77777777" w:rsidR="007010B3" w:rsidRPr="007010B3" w:rsidRDefault="007010B3" w:rsidP="00DA370D">
      <w:pPr>
        <w:pStyle w:val="Heading4"/>
        <w:numPr>
          <w:ilvl w:val="0"/>
          <w:numId w:val="0"/>
        </w:numPr>
        <w:ind w:left="964" w:hanging="964"/>
        <w:rPr>
          <w:lang w:eastAsia="ja-JP"/>
        </w:rPr>
      </w:pPr>
      <w:r w:rsidRPr="007010B3">
        <w:rPr>
          <w:lang w:eastAsia="ja-JP"/>
        </w:rPr>
        <w:t>Corrective action</w:t>
      </w:r>
    </w:p>
    <w:p w14:paraId="684CF4DC" w14:textId="77777777" w:rsidR="007010B3" w:rsidRDefault="007010B3" w:rsidP="007010B3">
      <w:pPr>
        <w:rPr>
          <w:lang w:eastAsia="ja-JP"/>
        </w:rPr>
      </w:pPr>
      <w:r>
        <w:rPr>
          <w:lang w:eastAsia="ja-JP"/>
        </w:rPr>
        <w:t>Includes actions taken in response to non-compliance or contravention of legislation or procedures that are managed without a formal investigation by an enforcement officer. Corrective action activities include all pre and post work, travel and regulated entity assistance in relation to the enforcement process.</w:t>
      </w:r>
    </w:p>
    <w:p w14:paraId="6B5A9381" w14:textId="77777777" w:rsidR="007010B3" w:rsidRPr="007010B3" w:rsidRDefault="007010B3" w:rsidP="00DA370D">
      <w:pPr>
        <w:pStyle w:val="Heading3"/>
        <w:numPr>
          <w:ilvl w:val="0"/>
          <w:numId w:val="0"/>
        </w:numPr>
        <w:ind w:left="964" w:hanging="964"/>
      </w:pPr>
      <w:bookmarkStart w:id="403" w:name="_Intervention_activities"/>
      <w:bookmarkStart w:id="404" w:name="_Toc170293400"/>
      <w:bookmarkStart w:id="405" w:name="_Toc193794448"/>
      <w:bookmarkStart w:id="406" w:name="_Toc198898902"/>
      <w:bookmarkEnd w:id="403"/>
      <w:r w:rsidRPr="007010B3">
        <w:t xml:space="preserve">Intervention </w:t>
      </w:r>
      <w:r w:rsidRPr="00DA370D">
        <w:t>activities</w:t>
      </w:r>
      <w:bookmarkEnd w:id="404"/>
      <w:bookmarkEnd w:id="405"/>
      <w:bookmarkEnd w:id="406"/>
    </w:p>
    <w:p w14:paraId="0CD9B82C" w14:textId="77777777" w:rsidR="007010B3" w:rsidRPr="007010B3" w:rsidRDefault="007010B3" w:rsidP="00DA370D">
      <w:pPr>
        <w:pStyle w:val="Heading4"/>
        <w:numPr>
          <w:ilvl w:val="0"/>
          <w:numId w:val="0"/>
        </w:numPr>
        <w:ind w:left="964" w:hanging="964"/>
        <w:rPr>
          <w:lang w:eastAsia="ja-JP"/>
        </w:rPr>
      </w:pPr>
      <w:r w:rsidRPr="00DA370D">
        <w:t>Assessments</w:t>
      </w:r>
    </w:p>
    <w:p w14:paraId="177B30A6" w14:textId="77777777" w:rsidR="007010B3" w:rsidRDefault="007010B3" w:rsidP="007010B3">
      <w:pPr>
        <w:rPr>
          <w:lang w:eastAsia="ja-JP"/>
        </w:rPr>
      </w:pPr>
      <w:r>
        <w:rPr>
          <w:lang w:eastAsia="ja-JP"/>
        </w:rPr>
        <w:t xml:space="preserve">Involves assessing information to determine if it meets </w:t>
      </w:r>
      <w:r>
        <w:t>the department</w:t>
      </w:r>
      <w:r>
        <w:rPr>
          <w:lang w:eastAsia="ja-JP"/>
        </w:rPr>
        <w:t xml:space="preserve"> and the importing country requirements. This includes all preparatory work (such as confirming importing country or export requirements) and post work (such as assessment report preparation) travel and regulated entity assistance in relation to the assessment. Examples include assessments of licen</w:t>
      </w:r>
      <w:r>
        <w:t>c</w:t>
      </w:r>
      <w:r>
        <w:rPr>
          <w:lang w:eastAsia="ja-JP"/>
        </w:rPr>
        <w:t>es, permits, registrations, accreditations, and exemptions.</w:t>
      </w:r>
    </w:p>
    <w:p w14:paraId="6C0620C6" w14:textId="77777777" w:rsidR="007010B3" w:rsidRPr="007010B3" w:rsidRDefault="007010B3" w:rsidP="00DA370D">
      <w:pPr>
        <w:pStyle w:val="Heading4"/>
        <w:numPr>
          <w:ilvl w:val="0"/>
          <w:numId w:val="0"/>
        </w:numPr>
        <w:ind w:left="964" w:hanging="964"/>
        <w:rPr>
          <w:lang w:eastAsia="ja-JP"/>
        </w:rPr>
      </w:pPr>
      <w:r w:rsidRPr="007010B3">
        <w:rPr>
          <w:lang w:eastAsia="ja-JP"/>
        </w:rPr>
        <w:t xml:space="preserve">Issue approvals </w:t>
      </w:r>
      <w:r w:rsidRPr="00DA370D">
        <w:t>and</w:t>
      </w:r>
      <w:r w:rsidRPr="007010B3">
        <w:rPr>
          <w:lang w:eastAsia="ja-JP"/>
        </w:rPr>
        <w:t xml:space="preserve"> certification</w:t>
      </w:r>
    </w:p>
    <w:p w14:paraId="42244F47" w14:textId="77777777" w:rsidR="007010B3" w:rsidRDefault="007010B3" w:rsidP="007010B3">
      <w:pPr>
        <w:rPr>
          <w:lang w:eastAsia="ja-JP"/>
        </w:rPr>
      </w:pPr>
      <w:r>
        <w:rPr>
          <w:lang w:eastAsia="ja-JP"/>
        </w:rPr>
        <w:t>Includes issuing of a decision in relation to an assessment for cargo, vessels, plants, animals, food, biological and genetic material. This includes the work from the end of the assessment period to the completion of the decision notification process to support issuance of appropriate export documentation.</w:t>
      </w:r>
    </w:p>
    <w:p w14:paraId="060240AC" w14:textId="77777777" w:rsidR="007010B3" w:rsidRDefault="007010B3" w:rsidP="00DA370D">
      <w:pPr>
        <w:pStyle w:val="Heading4"/>
        <w:numPr>
          <w:ilvl w:val="0"/>
          <w:numId w:val="0"/>
        </w:numPr>
        <w:ind w:left="964" w:hanging="964"/>
      </w:pPr>
      <w:r w:rsidRPr="00324495">
        <w:t>I</w:t>
      </w:r>
      <w:r w:rsidRPr="00DA370D">
        <w:t>nspections</w:t>
      </w:r>
    </w:p>
    <w:p w14:paraId="1F77ACDA" w14:textId="77777777" w:rsidR="007010B3" w:rsidRDefault="007010B3" w:rsidP="007010B3">
      <w:pPr>
        <w:rPr>
          <w:lang w:eastAsia="ja-JP"/>
        </w:rPr>
      </w:pPr>
      <w:r>
        <w:rPr>
          <w:lang w:eastAsia="ja-JP"/>
        </w:rPr>
        <w:t>Involves the physical examination (and supervision of a physical examination) of export food commodities to determine compliance with export and importing country requirements.</w:t>
      </w:r>
    </w:p>
    <w:p w14:paraId="4D2EDAAC" w14:textId="77777777" w:rsidR="007010B3" w:rsidRPr="007010B3" w:rsidRDefault="007010B3" w:rsidP="00DA370D">
      <w:pPr>
        <w:pStyle w:val="Heading4"/>
        <w:numPr>
          <w:ilvl w:val="0"/>
          <w:numId w:val="0"/>
        </w:numPr>
        <w:ind w:left="964" w:hanging="964"/>
        <w:rPr>
          <w:lang w:eastAsia="ja-JP"/>
        </w:rPr>
      </w:pPr>
      <w:r w:rsidRPr="00DA370D">
        <w:t>Treatments</w:t>
      </w:r>
    </w:p>
    <w:p w14:paraId="1987CA29" w14:textId="77777777" w:rsidR="007010B3" w:rsidRDefault="007010B3" w:rsidP="007010B3">
      <w:pPr>
        <w:rPr>
          <w:lang w:eastAsia="ja-JP"/>
        </w:rPr>
      </w:pPr>
      <w:r>
        <w:rPr>
          <w:lang w:eastAsia="ja-JP"/>
        </w:rPr>
        <w:t>Includes the physical treatment of cargo, vessels, plants, animals, food, biological and genetic material, other conveyances or premises to prevent an adverse biosecurity outcome from occurring and to meet relevant importing country requirements.</w:t>
      </w:r>
    </w:p>
    <w:p w14:paraId="096339ED" w14:textId="77777777" w:rsidR="007010B3" w:rsidRPr="007010B3" w:rsidRDefault="007010B3" w:rsidP="00DA370D">
      <w:pPr>
        <w:pStyle w:val="Heading4"/>
        <w:numPr>
          <w:ilvl w:val="0"/>
          <w:numId w:val="0"/>
        </w:numPr>
        <w:ind w:left="964" w:hanging="964"/>
        <w:rPr>
          <w:lang w:eastAsia="ja-JP"/>
        </w:rPr>
      </w:pPr>
      <w:r w:rsidRPr="00DA370D">
        <w:lastRenderedPageBreak/>
        <w:t>Husbandry</w:t>
      </w:r>
    </w:p>
    <w:p w14:paraId="3EB1E0F6" w14:textId="77777777" w:rsidR="007010B3" w:rsidRDefault="007010B3" w:rsidP="007010B3">
      <w:pPr>
        <w:rPr>
          <w:lang w:eastAsia="ja-JP"/>
        </w:rPr>
      </w:pPr>
      <w:r>
        <w:t>I</w:t>
      </w:r>
      <w:r>
        <w:rPr>
          <w:lang w:eastAsia="ja-JP"/>
        </w:rPr>
        <w:t xml:space="preserve">ncludes activities relating to the care of plants and animals that </w:t>
      </w:r>
      <w:r>
        <w:t>the department is</w:t>
      </w:r>
      <w:r>
        <w:rPr>
          <w:lang w:eastAsia="ja-JP"/>
        </w:rPr>
        <w:t xml:space="preserve"> responsible for, including transport of plants and animals, housing, daily monitoring, feeding, cleaning of facilities, administering of medication, bookings and regulated entity assistance.</w:t>
      </w:r>
    </w:p>
    <w:p w14:paraId="4910091F" w14:textId="77777777" w:rsidR="007010B3" w:rsidRPr="007010B3" w:rsidRDefault="007010B3" w:rsidP="00DA370D">
      <w:pPr>
        <w:pStyle w:val="Heading4"/>
        <w:numPr>
          <w:ilvl w:val="0"/>
          <w:numId w:val="0"/>
        </w:numPr>
        <w:ind w:left="964" w:hanging="964"/>
        <w:rPr>
          <w:lang w:eastAsia="ja-JP"/>
        </w:rPr>
      </w:pPr>
      <w:r w:rsidRPr="00DA370D">
        <w:t>Audit</w:t>
      </w:r>
    </w:p>
    <w:p w14:paraId="073AB63E" w14:textId="77777777" w:rsidR="007010B3" w:rsidRDefault="007010B3" w:rsidP="007010B3">
      <w:pPr>
        <w:rPr>
          <w:lang w:eastAsia="ja-JP"/>
        </w:rPr>
      </w:pPr>
      <w:r>
        <w:rPr>
          <w:lang w:eastAsia="ja-JP"/>
        </w:rPr>
        <w:t>Includes the systematic and functionally independent examination to determine whether activities and related results comply with legislative or documented requirements. This includes all pre-and post-work, travel and regulated entity assistance in relation to the audit. Examples include audit to verify compliance with an export registered establishment’s approved arrangement.</w:t>
      </w:r>
    </w:p>
    <w:p w14:paraId="6CC04264" w14:textId="77777777" w:rsidR="007010B3" w:rsidRPr="009D1B15" w:rsidRDefault="007010B3" w:rsidP="007010B3">
      <w:pPr>
        <w:pStyle w:val="Heading2"/>
        <w:numPr>
          <w:ilvl w:val="0"/>
          <w:numId w:val="0"/>
        </w:numPr>
      </w:pPr>
      <w:bookmarkStart w:id="407" w:name="_Appendix_C:_Summary"/>
      <w:bookmarkStart w:id="408" w:name="AppendixC"/>
      <w:bookmarkStart w:id="409" w:name="_Toc170293401"/>
      <w:bookmarkStart w:id="410" w:name="_Toc193794449"/>
      <w:bookmarkStart w:id="411" w:name="_Toc198898903"/>
      <w:bookmarkEnd w:id="407"/>
      <w:r w:rsidRPr="009D1B15">
        <w:lastRenderedPageBreak/>
        <w:t>Appendix C</w:t>
      </w:r>
      <w:bookmarkEnd w:id="408"/>
      <w:r w:rsidRPr="009D1B15">
        <w:t>: Summary of stakeholder feedback</w:t>
      </w:r>
      <w:bookmarkEnd w:id="409"/>
      <w:bookmarkEnd w:id="410"/>
      <w:bookmarkEnd w:id="411"/>
    </w:p>
    <w:p w14:paraId="26BFEED1" w14:textId="61898A09" w:rsidR="007010B3" w:rsidRDefault="006215F8" w:rsidP="006215F8">
      <w:pPr>
        <w:pStyle w:val="Caption"/>
      </w:pPr>
      <w:bookmarkStart w:id="412" w:name="_Toc198900223"/>
      <w:r>
        <w:t>Table C</w:t>
      </w:r>
      <w:r>
        <w:fldChar w:fldCharType="begin"/>
      </w:r>
      <w:r>
        <w:instrText xml:space="preserve"> SEQ Table_C \* ARABIC </w:instrText>
      </w:r>
      <w:r>
        <w:fldChar w:fldCharType="separate"/>
      </w:r>
      <w:r w:rsidR="0001784A">
        <w:rPr>
          <w:noProof/>
        </w:rPr>
        <w:t>1</w:t>
      </w:r>
      <w:r>
        <w:fldChar w:fldCharType="end"/>
      </w:r>
      <w:r>
        <w:t xml:space="preserve"> </w:t>
      </w:r>
      <w:r w:rsidR="007010B3" w:rsidRPr="00970597">
        <w:t xml:space="preserve">stakeholder feedback for the </w:t>
      </w:r>
      <w:r w:rsidR="00191612">
        <w:t>2025-26</w:t>
      </w:r>
      <w:r w:rsidR="007010B3" w:rsidRPr="00970597">
        <w:t xml:space="preserve"> CRIS</w:t>
      </w:r>
      <w:bookmarkEnd w:id="412"/>
    </w:p>
    <w:tbl>
      <w:tblPr>
        <w:tblW w:w="5000" w:type="pct"/>
        <w:tblBorders>
          <w:top w:val="single" w:sz="4" w:space="0" w:color="auto"/>
          <w:bottom w:val="single" w:sz="4" w:space="0" w:color="auto"/>
        </w:tblBorders>
        <w:tblLook w:val="04A0" w:firstRow="1" w:lastRow="0" w:firstColumn="1" w:lastColumn="0" w:noHBand="0" w:noVBand="1"/>
      </w:tblPr>
      <w:tblGrid>
        <w:gridCol w:w="4395"/>
        <w:gridCol w:w="4675"/>
      </w:tblGrid>
      <w:tr w:rsidR="007010B3" w:rsidRPr="00846B14" w14:paraId="4EEB075F" w14:textId="77777777" w:rsidTr="00E270BE">
        <w:trPr>
          <w:tblHeader/>
        </w:trPr>
        <w:tc>
          <w:tcPr>
            <w:tcW w:w="2423" w:type="pct"/>
            <w:tcBorders>
              <w:top w:val="single" w:sz="4" w:space="0" w:color="auto"/>
              <w:bottom w:val="single" w:sz="4" w:space="0" w:color="auto"/>
            </w:tcBorders>
          </w:tcPr>
          <w:p w14:paraId="2C397E66" w14:textId="77777777" w:rsidR="007010B3" w:rsidRPr="00846B14" w:rsidRDefault="007010B3" w:rsidP="00E270BE">
            <w:pPr>
              <w:keepNext/>
              <w:spacing w:before="60" w:after="60" w:line="240" w:lineRule="auto"/>
              <w:rPr>
                <w:b/>
                <w:sz w:val="18"/>
                <w:lang w:eastAsia="ja-JP"/>
              </w:rPr>
            </w:pPr>
            <w:bookmarkStart w:id="413" w:name="Table_C1"/>
            <w:bookmarkEnd w:id="413"/>
            <w:r w:rsidRPr="00846B14">
              <w:rPr>
                <w:b/>
                <w:sz w:val="18"/>
                <w:lang w:eastAsia="ja-JP"/>
              </w:rPr>
              <w:t>Key theme</w:t>
            </w:r>
          </w:p>
        </w:tc>
        <w:tc>
          <w:tcPr>
            <w:tcW w:w="2577" w:type="pct"/>
            <w:tcBorders>
              <w:top w:val="single" w:sz="4" w:space="0" w:color="auto"/>
              <w:bottom w:val="single" w:sz="4" w:space="0" w:color="auto"/>
            </w:tcBorders>
          </w:tcPr>
          <w:p w14:paraId="34B2EAEB" w14:textId="77777777" w:rsidR="007010B3" w:rsidRPr="00846B14" w:rsidRDefault="007010B3" w:rsidP="00E270BE">
            <w:pPr>
              <w:keepNext/>
              <w:spacing w:before="60" w:after="60" w:line="240" w:lineRule="auto"/>
              <w:rPr>
                <w:b/>
                <w:sz w:val="18"/>
                <w:lang w:eastAsia="ja-JP"/>
              </w:rPr>
            </w:pPr>
            <w:r w:rsidRPr="00846B14">
              <w:rPr>
                <w:b/>
                <w:sz w:val="18"/>
                <w:lang w:eastAsia="ja-JP"/>
              </w:rPr>
              <w:t>Department response</w:t>
            </w:r>
          </w:p>
        </w:tc>
      </w:tr>
      <w:tr w:rsidR="00F62A12" w:rsidRPr="00846B14" w14:paraId="5C2F4B9E" w14:textId="77777777" w:rsidTr="00E270BE">
        <w:tc>
          <w:tcPr>
            <w:tcW w:w="2423" w:type="pct"/>
            <w:tcBorders>
              <w:top w:val="single" w:sz="4" w:space="0" w:color="auto"/>
              <w:bottom w:val="dotted" w:sz="4" w:space="0" w:color="auto"/>
            </w:tcBorders>
          </w:tcPr>
          <w:p w14:paraId="2986A4B9" w14:textId="776F3CD3" w:rsidR="00F62A12" w:rsidRPr="00702DCA" w:rsidRDefault="00F62A12" w:rsidP="00F62A12">
            <w:pPr>
              <w:pStyle w:val="Tablenumberedlist"/>
              <w:numPr>
                <w:ilvl w:val="0"/>
                <w:numId w:val="11"/>
              </w:numPr>
            </w:pPr>
            <w:r w:rsidRPr="00FC7628">
              <w:t xml:space="preserve">Industry raised concerns around high fixed costs calling for a more </w:t>
            </w:r>
            <w:r w:rsidR="00C53A08" w:rsidRPr="00FC7628">
              <w:t>realistic</w:t>
            </w:r>
            <w:r w:rsidRPr="00FC7628">
              <w:t xml:space="preserve"> and flexible cost model for small businesses.  Specifically</w:t>
            </w:r>
            <w:r w:rsidR="00C53A08">
              <w:t>,</w:t>
            </w:r>
            <w:r w:rsidRPr="00FC7628">
              <w:t xml:space="preserve"> registered quarantine facility audits, annual export permit fees, authorised officer accreditation and audit fees and the SHPRE tonnage threshold for bulky horticultural products. </w:t>
            </w:r>
          </w:p>
        </w:tc>
        <w:tc>
          <w:tcPr>
            <w:tcW w:w="2577" w:type="pct"/>
            <w:tcBorders>
              <w:top w:val="single" w:sz="4" w:space="0" w:color="auto"/>
              <w:bottom w:val="dotted" w:sz="4" w:space="0" w:color="auto"/>
            </w:tcBorders>
          </w:tcPr>
          <w:p w14:paraId="2D6A258D" w14:textId="43C82FD0" w:rsidR="00F62A12" w:rsidRPr="00702DCA" w:rsidRDefault="00F62A12" w:rsidP="00F62A12">
            <w:pPr>
              <w:pStyle w:val="TableText"/>
            </w:pPr>
            <w:r w:rsidRPr="006842A6">
              <w:t>This feedback will continue to be examined as part of the department’s work on a sustainable trade funding model.</w:t>
            </w:r>
          </w:p>
        </w:tc>
      </w:tr>
      <w:tr w:rsidR="00F62A12" w:rsidRPr="00846B14" w14:paraId="6CA3301D" w14:textId="77777777" w:rsidTr="00E270BE">
        <w:tc>
          <w:tcPr>
            <w:tcW w:w="2423" w:type="pct"/>
            <w:tcBorders>
              <w:top w:val="dotted" w:sz="4" w:space="0" w:color="auto"/>
              <w:bottom w:val="dotted" w:sz="4" w:space="0" w:color="auto"/>
            </w:tcBorders>
          </w:tcPr>
          <w:p w14:paraId="1D74CB7C" w14:textId="71DF072A" w:rsidR="00F62A12" w:rsidRPr="00702DCA" w:rsidRDefault="00F62A12" w:rsidP="00F62A12">
            <w:pPr>
              <w:pStyle w:val="Tablenumberedlist"/>
              <w:numPr>
                <w:ilvl w:val="0"/>
                <w:numId w:val="11"/>
              </w:numPr>
            </w:pPr>
            <w:r>
              <w:t>Industry is seeking modernised service level agreements, adaptable systems and processes, streamlined and transparent document approvals and improved departmental staff availability to reduce processing congestion.</w:t>
            </w:r>
          </w:p>
        </w:tc>
        <w:tc>
          <w:tcPr>
            <w:tcW w:w="2577" w:type="pct"/>
            <w:tcBorders>
              <w:top w:val="dotted" w:sz="4" w:space="0" w:color="auto"/>
              <w:bottom w:val="dotted" w:sz="4" w:space="0" w:color="auto"/>
            </w:tcBorders>
          </w:tcPr>
          <w:p w14:paraId="24AF1AC8" w14:textId="1422D6D6" w:rsidR="00F62A12" w:rsidRPr="00702DCA" w:rsidRDefault="00F62A12" w:rsidP="00F62A12">
            <w:pPr>
              <w:pStyle w:val="TableText"/>
            </w:pPr>
            <w:r w:rsidRPr="006842A6">
              <w:t>This feedback will continue to be examined as part of the department’s work on a sustainable trade funding model.</w:t>
            </w:r>
          </w:p>
        </w:tc>
      </w:tr>
      <w:tr w:rsidR="00F62A12" w:rsidRPr="00846B14" w14:paraId="6A7E52AB" w14:textId="77777777" w:rsidTr="00E270BE">
        <w:tc>
          <w:tcPr>
            <w:tcW w:w="2423" w:type="pct"/>
            <w:tcBorders>
              <w:top w:val="dotted" w:sz="4" w:space="0" w:color="auto"/>
              <w:bottom w:val="dotted" w:sz="4" w:space="0" w:color="auto"/>
            </w:tcBorders>
          </w:tcPr>
          <w:p w14:paraId="4B79B0FC" w14:textId="17989DE5" w:rsidR="00F62A12" w:rsidRPr="00702DCA" w:rsidRDefault="00F62A12" w:rsidP="00F62A12">
            <w:pPr>
              <w:pStyle w:val="Tablenumberedlist"/>
              <w:numPr>
                <w:ilvl w:val="0"/>
                <w:numId w:val="11"/>
              </w:numPr>
            </w:pPr>
            <w:r w:rsidRPr="007A509A">
              <w:t>Industry is seeking a replacement to uniform flat fees with a scaled or tiered model that adjusts charges based on exporter size, throughput volume, and risk profile to ensure fairer cost distribution and better alignment with regulatory effort.</w:t>
            </w:r>
          </w:p>
        </w:tc>
        <w:tc>
          <w:tcPr>
            <w:tcW w:w="2577" w:type="pct"/>
            <w:tcBorders>
              <w:top w:val="dotted" w:sz="4" w:space="0" w:color="auto"/>
              <w:bottom w:val="dotted" w:sz="4" w:space="0" w:color="auto"/>
            </w:tcBorders>
          </w:tcPr>
          <w:p w14:paraId="1687957B" w14:textId="4E272CEB" w:rsidR="00F62A12" w:rsidRPr="00702DCA" w:rsidRDefault="00F62A12" w:rsidP="00F62A12">
            <w:pPr>
              <w:pStyle w:val="TableText"/>
            </w:pPr>
            <w:r w:rsidRPr="006842A6">
              <w:t>This feedback will continue to be examined as part of the department’s work on a sustainable trade funding model.</w:t>
            </w:r>
          </w:p>
        </w:tc>
      </w:tr>
      <w:tr w:rsidR="00F62A12" w:rsidRPr="00846B14" w14:paraId="009C6D61" w14:textId="77777777" w:rsidTr="00E270BE">
        <w:tc>
          <w:tcPr>
            <w:tcW w:w="2423" w:type="pct"/>
            <w:tcBorders>
              <w:top w:val="dotted" w:sz="4" w:space="0" w:color="auto"/>
              <w:bottom w:val="dotted" w:sz="4" w:space="0" w:color="auto"/>
            </w:tcBorders>
          </w:tcPr>
          <w:p w14:paraId="0B3652CD" w14:textId="4FF313E1" w:rsidR="00F62A12" w:rsidRPr="00702DCA" w:rsidRDefault="00F62A12" w:rsidP="00F62A12">
            <w:pPr>
              <w:pStyle w:val="Tablenumberedlist"/>
              <w:numPr>
                <w:ilvl w:val="0"/>
                <w:numId w:val="11"/>
              </w:numPr>
            </w:pPr>
            <w:r w:rsidRPr="004B0917">
              <w:t>Industry seeks improved efficiency and transparency in certification and audit processes.</w:t>
            </w:r>
          </w:p>
        </w:tc>
        <w:tc>
          <w:tcPr>
            <w:tcW w:w="2577" w:type="pct"/>
            <w:tcBorders>
              <w:top w:val="dotted" w:sz="4" w:space="0" w:color="auto"/>
              <w:bottom w:val="dotted" w:sz="4" w:space="0" w:color="auto"/>
            </w:tcBorders>
          </w:tcPr>
          <w:p w14:paraId="3E132C6F" w14:textId="3B4E76C8" w:rsidR="00F62A12" w:rsidRPr="00702DCA" w:rsidRDefault="00F62A12" w:rsidP="00F62A12">
            <w:pPr>
              <w:pStyle w:val="TableText"/>
            </w:pPr>
            <w:r w:rsidRPr="004B0917">
              <w:t>This feedback will continue to be examined as part of the department’s work on a sustainable trade funding model.</w:t>
            </w:r>
          </w:p>
        </w:tc>
      </w:tr>
      <w:tr w:rsidR="00815404" w:rsidRPr="00846B14" w14:paraId="20FEE2C5" w14:textId="77777777" w:rsidTr="00E270BE">
        <w:tc>
          <w:tcPr>
            <w:tcW w:w="2423" w:type="pct"/>
            <w:tcBorders>
              <w:top w:val="dotted" w:sz="4" w:space="0" w:color="auto"/>
              <w:bottom w:val="dotted" w:sz="4" w:space="0" w:color="auto"/>
            </w:tcBorders>
          </w:tcPr>
          <w:p w14:paraId="3F64874F" w14:textId="77777777" w:rsidR="00815404" w:rsidRPr="00815404" w:rsidRDefault="00815404" w:rsidP="00815404">
            <w:pPr>
              <w:pStyle w:val="TableListNumber"/>
            </w:pPr>
            <w:r w:rsidRPr="00815404">
              <w:t>Industry seeks improvements to the current regulatory framework and cost recovery approach. Greater transparency and accountability from the regulator, in meeting service standards and reporting performance. Regulatory decisions based strictly on evidence and operational relevance, with clearer boundaries around third-party influence. A more collaborative, risk-based approach that rewards good compliance history and supports continuous improvement.</w:t>
            </w:r>
          </w:p>
          <w:p w14:paraId="61D7A281" w14:textId="0EA7AB22" w:rsidR="00815404" w:rsidRPr="004B0917" w:rsidRDefault="00815404" w:rsidP="00815404">
            <w:pPr>
              <w:pStyle w:val="Tablenumberedlist"/>
              <w:ind w:firstLine="0"/>
            </w:pPr>
            <w:r w:rsidRPr="00815404">
              <w:t>The Independent Observer program re-evaluated in favour of more efficient, technology-driven alternatives.</w:t>
            </w:r>
          </w:p>
        </w:tc>
        <w:tc>
          <w:tcPr>
            <w:tcW w:w="2577" w:type="pct"/>
            <w:tcBorders>
              <w:top w:val="dotted" w:sz="4" w:space="0" w:color="auto"/>
              <w:bottom w:val="dotted" w:sz="4" w:space="0" w:color="auto"/>
            </w:tcBorders>
          </w:tcPr>
          <w:p w14:paraId="28821225" w14:textId="0FE4DA41" w:rsidR="00815404" w:rsidRPr="004B0917" w:rsidRDefault="00815404" w:rsidP="00815404">
            <w:pPr>
              <w:pStyle w:val="TableText"/>
            </w:pPr>
            <w:r w:rsidRPr="004B0917">
              <w:t>This feedback will continue to be examined as part of the department’s work on a sustainable trade funding model.</w:t>
            </w:r>
          </w:p>
        </w:tc>
      </w:tr>
    </w:tbl>
    <w:p w14:paraId="65EB65F6" w14:textId="77777777" w:rsidR="007010B3" w:rsidRDefault="007010B3" w:rsidP="007010B3"/>
    <w:sectPr w:rsidR="007010B3" w:rsidSect="00437672">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991A5" w14:textId="77777777" w:rsidR="00876ECC" w:rsidRDefault="00876ECC">
      <w:r>
        <w:separator/>
      </w:r>
    </w:p>
    <w:p w14:paraId="00552E6D" w14:textId="77777777" w:rsidR="00876ECC" w:rsidRDefault="00876ECC"/>
    <w:p w14:paraId="5EE2CA03" w14:textId="77777777" w:rsidR="00876ECC" w:rsidRDefault="00876ECC"/>
  </w:endnote>
  <w:endnote w:type="continuationSeparator" w:id="0">
    <w:p w14:paraId="0F430C38" w14:textId="77777777" w:rsidR="00876ECC" w:rsidRDefault="00876ECC">
      <w:r>
        <w:continuationSeparator/>
      </w:r>
    </w:p>
    <w:p w14:paraId="1A3873BF" w14:textId="77777777" w:rsidR="00876ECC" w:rsidRDefault="00876ECC"/>
    <w:p w14:paraId="02BD3118" w14:textId="77777777" w:rsidR="00876ECC" w:rsidRDefault="00876ECC"/>
  </w:endnote>
  <w:endnote w:type="continuationNotice" w:id="1">
    <w:p w14:paraId="3E8D3E80" w14:textId="77777777" w:rsidR="00876ECC" w:rsidRDefault="00876ECC" w:rsidP="00274B73">
      <w:pPr>
        <w:pStyle w:val="Footer"/>
      </w:pPr>
    </w:p>
    <w:p w14:paraId="4BA39AC7" w14:textId="77777777" w:rsidR="00876ECC" w:rsidRDefault="00876ECC"/>
    <w:p w14:paraId="5E759BCF" w14:textId="77777777" w:rsidR="00876ECC" w:rsidRDefault="00876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7656" w14:textId="4054F678" w:rsidR="00437672" w:rsidRDefault="00437672" w:rsidP="00437672">
    <w:pPr>
      <w:pStyle w:val="Footer"/>
    </w:pPr>
    <w:r>
      <w:rPr>
        <w:noProof/>
      </w:rPr>
      <mc:AlternateContent>
        <mc:Choice Requires="wps">
          <w:drawing>
            <wp:anchor distT="0" distB="0" distL="0" distR="0" simplePos="0" relativeHeight="251657728" behindDoc="0" locked="0" layoutInCell="1" allowOverlap="1" wp14:anchorId="55D39A02" wp14:editId="31C81E90">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E1BDB25" w14:textId="77777777" w:rsidR="00437672" w:rsidRPr="009622CD" w:rsidRDefault="00437672" w:rsidP="00437672">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39A02" id="_x0000_t202" coordsize="21600,21600" o:spt="202" path="m,l,21600r21600,l21600,xe">
              <v:stroke joinstyle="miter"/>
              <v:path gradientshapeok="t" o:connecttype="rect"/>
            </v:shapetype>
            <v:shape id="Text Box 6" o:spid="_x0000_s1027"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E1BDB25" w14:textId="77777777" w:rsidR="00437672" w:rsidRPr="009622CD" w:rsidRDefault="00437672" w:rsidP="00437672">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Pr="00DE0AAE">
      <w:t>Department of Agriculture, Fisheries and Forestry</w:t>
    </w:r>
    <w:r>
      <w:tab/>
    </w:r>
    <w:r>
      <w:fldChar w:fldCharType="begin"/>
    </w:r>
    <w:r>
      <w:instrText xml:space="preserve"> PAGE   \* MERGEFORMAT </w:instrText>
    </w:r>
    <w:r>
      <w:fldChar w:fldCharType="separate"/>
    </w:r>
    <w:r>
      <w:t>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2A9B" w14:textId="77777777" w:rsidR="00876ECC" w:rsidRDefault="00876ECC">
      <w:r>
        <w:separator/>
      </w:r>
    </w:p>
    <w:p w14:paraId="27145C25" w14:textId="77777777" w:rsidR="00876ECC" w:rsidRDefault="00876ECC"/>
    <w:p w14:paraId="531FB721" w14:textId="77777777" w:rsidR="00876ECC" w:rsidRDefault="00876ECC"/>
  </w:footnote>
  <w:footnote w:type="continuationSeparator" w:id="0">
    <w:p w14:paraId="4E0BAA90" w14:textId="77777777" w:rsidR="00876ECC" w:rsidRDefault="00876ECC">
      <w:r>
        <w:continuationSeparator/>
      </w:r>
    </w:p>
    <w:p w14:paraId="309B3B3F" w14:textId="77777777" w:rsidR="00876ECC" w:rsidRDefault="00876ECC"/>
    <w:p w14:paraId="4E3C9DB4" w14:textId="77777777" w:rsidR="00876ECC" w:rsidRDefault="00876ECC"/>
  </w:footnote>
  <w:footnote w:type="continuationNotice" w:id="1">
    <w:p w14:paraId="3187FECE" w14:textId="77777777" w:rsidR="00876ECC" w:rsidRDefault="00876ECC" w:rsidP="00274B73">
      <w:pPr>
        <w:pStyle w:val="Footer"/>
      </w:pPr>
    </w:p>
    <w:p w14:paraId="49470066" w14:textId="77777777" w:rsidR="00876ECC" w:rsidRDefault="00876ECC"/>
    <w:p w14:paraId="43E7218C" w14:textId="77777777" w:rsidR="00876ECC" w:rsidRDefault="00876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0A53" w14:textId="49F04332" w:rsidR="00437672" w:rsidRDefault="00437672" w:rsidP="00437672">
    <w:pPr>
      <w:pStyle w:val="Header"/>
    </w:pPr>
    <w:r>
      <w:rPr>
        <w:noProof/>
        <w:lang w:val="en-US"/>
      </w:rPr>
      <mc:AlternateContent>
        <mc:Choice Requires="wps">
          <w:drawing>
            <wp:anchor distT="0" distB="0" distL="0" distR="0" simplePos="0" relativeHeight="251656704" behindDoc="0" locked="0" layoutInCell="1" allowOverlap="1" wp14:anchorId="5DE1C8C5" wp14:editId="62E581DE">
              <wp:simplePos x="0" y="0"/>
              <wp:positionH relativeFrom="page">
                <wp:posOffset>3308116</wp:posOffset>
              </wp:positionH>
              <wp:positionV relativeFrom="page">
                <wp:posOffset>84087</wp:posOffset>
              </wp:positionV>
              <wp:extent cx="551815" cy="421105"/>
              <wp:effectExtent l="0" t="0" r="635" b="1714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21105"/>
                      </a:xfrm>
                      <a:prstGeom prst="rect">
                        <a:avLst/>
                      </a:prstGeom>
                      <a:noFill/>
                      <a:ln>
                        <a:noFill/>
                      </a:ln>
                    </wps:spPr>
                    <wps:txbx>
                      <w:txbxContent>
                        <w:p w14:paraId="7A8EFB14" w14:textId="77777777" w:rsidR="00437672" w:rsidRPr="009622CD" w:rsidRDefault="00437672" w:rsidP="00437672">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1C8C5" id="_x0000_t202" coordsize="21600,21600" o:spt="202" path="m,l,21600r21600,l21600,xe">
              <v:stroke joinstyle="miter"/>
              <v:path gradientshapeok="t" o:connecttype="rect"/>
            </v:shapetype>
            <v:shape id="Text Box 3" o:spid="_x0000_s1026" type="#_x0000_t202" alt="OFFICIAL" style="position:absolute;left:0;text-align:left;margin-left:260.5pt;margin-top:6.6pt;width:43.45pt;height:33.15pt;z-index:25165670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" filled="f" stroked="f">
              <v:textbox inset="0,15pt,0,0">
                <w:txbxContent>
                  <w:p w14:paraId="7A8EFB14" w14:textId="77777777" w:rsidR="00437672" w:rsidRPr="009622CD" w:rsidRDefault="00437672" w:rsidP="00437672">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Pr="00EE4A1D">
      <w:t xml:space="preserve">Cost recovery implementation statement: </w:t>
    </w:r>
    <w:r w:rsidR="00084BBB">
      <w:t>horticulture</w:t>
    </w:r>
    <w:r w:rsidRPr="00EE4A1D">
      <w:t xml:space="preserve"> exports 2025</w:t>
    </w:r>
    <w:r w:rsidR="00EF4EC4" w:rsidRPr="007E7F52">
      <w:t>–</w:t>
    </w:r>
    <w:r w:rsidRPr="00EE4A1D">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5D2B8B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AC55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83402AC"/>
    <w:multiLevelType w:val="hybridMultilevel"/>
    <w:tmpl w:val="B850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27782"/>
    <w:multiLevelType w:val="multilevel"/>
    <w:tmpl w:val="8DD4602E"/>
    <w:styleLink w:val="CRISnumber"/>
    <w:lvl w:ilvl="0">
      <w:start w:val="1"/>
      <w:numFmt w:val="decimal"/>
      <w:lvlText w:val="%1)"/>
      <w:lvlJc w:val="left"/>
      <w:pPr>
        <w:ind w:left="425" w:hanging="425"/>
      </w:pPr>
      <w:rPr>
        <w:rFonts w:hint="default"/>
        <w:color w:val="auto"/>
      </w:rPr>
    </w:lvl>
    <w:lvl w:ilvl="1">
      <w:start w:val="1"/>
      <w:numFmt w:val="lowerLetter"/>
      <w:lvlRestart w:val="0"/>
      <w:lvlText w:val="%2)"/>
      <w:lvlJc w:val="left"/>
      <w:pPr>
        <w:ind w:left="851" w:hanging="426"/>
      </w:pPr>
      <w:rPr>
        <w:rFonts w:hint="default"/>
      </w:rPr>
    </w:lvl>
    <w:lvl w:ilvl="2">
      <w:start w:val="1"/>
      <w:numFmt w:val="lowerRoman"/>
      <w:lvlRestart w:val="0"/>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414F4729"/>
    <w:multiLevelType w:val="multilevel"/>
    <w:tmpl w:val="A0241B28"/>
    <w:numStyleLink w:val="List1"/>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03B3"/>
    <w:multiLevelType w:val="hybridMultilevel"/>
    <w:tmpl w:val="94C61278"/>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51D1184"/>
    <w:multiLevelType w:val="multilevel"/>
    <w:tmpl w:val="7B68CB52"/>
    <w:lvl w:ilvl="0">
      <w:start w:val="1"/>
      <w:numFmt w:val="bullet"/>
      <w:lvlText w:val=""/>
      <w:lvlJc w:val="left"/>
      <w:pPr>
        <w:ind w:left="425" w:hanging="425"/>
      </w:pPr>
      <w:rPr>
        <w:rFonts w:ascii="Symbol" w:hAnsi="Symbol" w:hint="default"/>
        <w:color w:val="003150"/>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13"/>
  </w:num>
  <w:num w:numId="2" w16cid:durableId="1639215797">
    <w:abstractNumId w:val="14"/>
  </w:num>
  <w:num w:numId="3" w16cid:durableId="1643265712">
    <w:abstractNumId w:val="4"/>
  </w:num>
  <w:num w:numId="4" w16cid:durableId="626202022">
    <w:abstractNumId w:val="10"/>
  </w:num>
  <w:num w:numId="5" w16cid:durableId="281765065">
    <w:abstractNumId w:val="12"/>
  </w:num>
  <w:num w:numId="6" w16cid:durableId="2092000146">
    <w:abstractNumId w:val="8"/>
  </w:num>
  <w:num w:numId="7" w16cid:durableId="864908900">
    <w:abstractNumId w:val="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1469322956">
    <w:abstractNumId w:val="13"/>
  </w:num>
  <w:num w:numId="9" w16cid:durableId="1341661948">
    <w:abstractNumId w:val="14"/>
  </w:num>
  <w:num w:numId="10" w16cid:durableId="1983389004">
    <w:abstractNumId w:val="3"/>
  </w:num>
  <w:num w:numId="11" w16cid:durableId="1385720017">
    <w:abstractNumId w:val="15"/>
  </w:num>
  <w:num w:numId="12" w16cid:durableId="2119637520">
    <w:abstractNumId w:val="2"/>
  </w:num>
  <w:num w:numId="13" w16cid:durableId="1905019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8699392">
    <w:abstractNumId w:val="6"/>
  </w:num>
  <w:num w:numId="15" w16cid:durableId="114569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533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58770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6833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5683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9847447">
    <w:abstractNumId w:val="7"/>
  </w:num>
  <w:num w:numId="21" w16cid:durableId="1120297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2657314">
    <w:abstractNumId w:val="9"/>
  </w:num>
  <w:num w:numId="23" w16cid:durableId="1871452519">
    <w:abstractNumId w:val="4"/>
    <w:lvlOverride w:ilvl="0">
      <w:lvl w:ilvl="0">
        <w:start w:val="1"/>
        <w:numFmt w:val="decimal"/>
        <w:pStyle w:val="Heading2"/>
        <w:lvlText w:val="%1"/>
        <w:lvlJc w:val="left"/>
        <w:pPr>
          <w:ind w:left="720" w:hanging="720"/>
        </w:pPr>
        <w:rPr>
          <w:color w:val="auto"/>
        </w:rPr>
      </w:lvl>
    </w:lvlOverride>
  </w:num>
  <w:num w:numId="24" w16cid:durableId="1554579862">
    <w:abstractNumId w:val="14"/>
  </w:num>
  <w:num w:numId="25" w16cid:durableId="1376780769">
    <w:abstractNumId w:val="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260991427">
    <w:abstractNumId w:val="4"/>
    <w:lvlOverride w:ilvl="0">
      <w:lvl w:ilvl="0">
        <w:start w:val="1"/>
        <w:numFmt w:val="decimal"/>
        <w:pStyle w:val="Heading2"/>
        <w:lvlText w:val="%1"/>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lvl>
    </w:lvlOverride>
    <w:lvlOverride w:ilvl="2">
      <w:lvl w:ilvl="2">
        <w:start w:val="1"/>
        <w:numFmt w:val="decimal"/>
        <w:pStyle w:val="Heading4"/>
        <w:lvlText w:val="%1.%2.%3"/>
        <w:lvlJc w:val="left"/>
        <w:pPr>
          <w:ind w:left="964" w:hanging="964"/>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27" w16cid:durableId="964197373">
    <w:abstractNumId w:val="1"/>
  </w:num>
  <w:num w:numId="28" w16cid:durableId="1618565944">
    <w:abstractNumId w:val="0"/>
  </w:num>
  <w:num w:numId="29" w16cid:durableId="1805349977">
    <w:abstractNumId w:val="0"/>
  </w:num>
  <w:num w:numId="30" w16cid:durableId="1450857484">
    <w:abstractNumId w:val="5"/>
  </w:num>
  <w:num w:numId="31" w16cid:durableId="683358251">
    <w:abstractNumId w:val="13"/>
  </w:num>
  <w:num w:numId="32" w16cid:durableId="968587496">
    <w:abstractNumId w:val="11"/>
  </w:num>
  <w:num w:numId="33" w16cid:durableId="17512376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25"/>
    <w:rsid w:val="000032AD"/>
    <w:rsid w:val="00006D71"/>
    <w:rsid w:val="00011E74"/>
    <w:rsid w:val="0001784A"/>
    <w:rsid w:val="00021286"/>
    <w:rsid w:val="00025824"/>
    <w:rsid w:val="000325CD"/>
    <w:rsid w:val="00032789"/>
    <w:rsid w:val="00033E60"/>
    <w:rsid w:val="000373C5"/>
    <w:rsid w:val="00043166"/>
    <w:rsid w:val="000436CB"/>
    <w:rsid w:val="00043D85"/>
    <w:rsid w:val="00043DAD"/>
    <w:rsid w:val="000527BD"/>
    <w:rsid w:val="000542FF"/>
    <w:rsid w:val="000551E3"/>
    <w:rsid w:val="00071927"/>
    <w:rsid w:val="00084BBB"/>
    <w:rsid w:val="000869AB"/>
    <w:rsid w:val="00090E75"/>
    <w:rsid w:val="000910FE"/>
    <w:rsid w:val="000942EE"/>
    <w:rsid w:val="00097325"/>
    <w:rsid w:val="00097FA8"/>
    <w:rsid w:val="000A08BE"/>
    <w:rsid w:val="000A1447"/>
    <w:rsid w:val="000A5170"/>
    <w:rsid w:val="000A5453"/>
    <w:rsid w:val="000A5F2B"/>
    <w:rsid w:val="000A7AAF"/>
    <w:rsid w:val="000B5FA0"/>
    <w:rsid w:val="000B70B1"/>
    <w:rsid w:val="000C0CD2"/>
    <w:rsid w:val="000C0F45"/>
    <w:rsid w:val="000C36A4"/>
    <w:rsid w:val="000C6039"/>
    <w:rsid w:val="000D6DB8"/>
    <w:rsid w:val="000E3C0F"/>
    <w:rsid w:val="000F2A79"/>
    <w:rsid w:val="000F450D"/>
    <w:rsid w:val="000F495A"/>
    <w:rsid w:val="000F503B"/>
    <w:rsid w:val="000F65AA"/>
    <w:rsid w:val="001013AD"/>
    <w:rsid w:val="00102F52"/>
    <w:rsid w:val="00110B33"/>
    <w:rsid w:val="001116C3"/>
    <w:rsid w:val="001120ED"/>
    <w:rsid w:val="00113024"/>
    <w:rsid w:val="00122FA1"/>
    <w:rsid w:val="001238A2"/>
    <w:rsid w:val="0013191B"/>
    <w:rsid w:val="0015123F"/>
    <w:rsid w:val="00151490"/>
    <w:rsid w:val="0015775D"/>
    <w:rsid w:val="0016201B"/>
    <w:rsid w:val="001641A3"/>
    <w:rsid w:val="00171880"/>
    <w:rsid w:val="00172307"/>
    <w:rsid w:val="001728AE"/>
    <w:rsid w:val="0017351A"/>
    <w:rsid w:val="00175813"/>
    <w:rsid w:val="00176121"/>
    <w:rsid w:val="00176594"/>
    <w:rsid w:val="0017699C"/>
    <w:rsid w:val="00180A05"/>
    <w:rsid w:val="001835C7"/>
    <w:rsid w:val="00183F54"/>
    <w:rsid w:val="001868A1"/>
    <w:rsid w:val="00191612"/>
    <w:rsid w:val="001A0623"/>
    <w:rsid w:val="001B2786"/>
    <w:rsid w:val="001B62D1"/>
    <w:rsid w:val="001B69E5"/>
    <w:rsid w:val="001C1865"/>
    <w:rsid w:val="001C1B16"/>
    <w:rsid w:val="001C782B"/>
    <w:rsid w:val="001E50A9"/>
    <w:rsid w:val="001F3E48"/>
    <w:rsid w:val="001F42A7"/>
    <w:rsid w:val="001F5F59"/>
    <w:rsid w:val="001F73AF"/>
    <w:rsid w:val="00202F99"/>
    <w:rsid w:val="00204267"/>
    <w:rsid w:val="00211CFF"/>
    <w:rsid w:val="00215C1E"/>
    <w:rsid w:val="00215CF0"/>
    <w:rsid w:val="0021649B"/>
    <w:rsid w:val="00216882"/>
    <w:rsid w:val="002172D3"/>
    <w:rsid w:val="0021758F"/>
    <w:rsid w:val="00222137"/>
    <w:rsid w:val="002235C9"/>
    <w:rsid w:val="00232F52"/>
    <w:rsid w:val="002349D9"/>
    <w:rsid w:val="00243CA4"/>
    <w:rsid w:val="002562A0"/>
    <w:rsid w:val="00260118"/>
    <w:rsid w:val="00263CB6"/>
    <w:rsid w:val="002655CF"/>
    <w:rsid w:val="00265A2D"/>
    <w:rsid w:val="00266B5E"/>
    <w:rsid w:val="00266C5A"/>
    <w:rsid w:val="002744D2"/>
    <w:rsid w:val="00274B73"/>
    <w:rsid w:val="00274FFC"/>
    <w:rsid w:val="00275281"/>
    <w:rsid w:val="00281BB6"/>
    <w:rsid w:val="00284C5A"/>
    <w:rsid w:val="00284D14"/>
    <w:rsid w:val="00286307"/>
    <w:rsid w:val="0029130F"/>
    <w:rsid w:val="00292128"/>
    <w:rsid w:val="00293223"/>
    <w:rsid w:val="002A1D20"/>
    <w:rsid w:val="002A648A"/>
    <w:rsid w:val="002A6518"/>
    <w:rsid w:val="002A670C"/>
    <w:rsid w:val="002B382C"/>
    <w:rsid w:val="002B4EE1"/>
    <w:rsid w:val="002C2214"/>
    <w:rsid w:val="002C2571"/>
    <w:rsid w:val="002D4BDA"/>
    <w:rsid w:val="002D5118"/>
    <w:rsid w:val="002D5B0A"/>
    <w:rsid w:val="002D67C2"/>
    <w:rsid w:val="002E0CB6"/>
    <w:rsid w:val="002E1FD1"/>
    <w:rsid w:val="002E7D75"/>
    <w:rsid w:val="002F1457"/>
    <w:rsid w:val="003017B6"/>
    <w:rsid w:val="003024BD"/>
    <w:rsid w:val="00304AB4"/>
    <w:rsid w:val="00305BDC"/>
    <w:rsid w:val="00312F91"/>
    <w:rsid w:val="00317F6E"/>
    <w:rsid w:val="003214B3"/>
    <w:rsid w:val="00324495"/>
    <w:rsid w:val="00324BD0"/>
    <w:rsid w:val="003271D8"/>
    <w:rsid w:val="00330CE4"/>
    <w:rsid w:val="003329F7"/>
    <w:rsid w:val="00333589"/>
    <w:rsid w:val="003336C1"/>
    <w:rsid w:val="00334440"/>
    <w:rsid w:val="003361CD"/>
    <w:rsid w:val="00336D32"/>
    <w:rsid w:val="00340138"/>
    <w:rsid w:val="0034039D"/>
    <w:rsid w:val="003406F3"/>
    <w:rsid w:val="00341111"/>
    <w:rsid w:val="003411C0"/>
    <w:rsid w:val="00347718"/>
    <w:rsid w:val="00350D80"/>
    <w:rsid w:val="0035187F"/>
    <w:rsid w:val="003537AD"/>
    <w:rsid w:val="00354C6A"/>
    <w:rsid w:val="00360039"/>
    <w:rsid w:val="003601C5"/>
    <w:rsid w:val="00362888"/>
    <w:rsid w:val="00362E53"/>
    <w:rsid w:val="00364A4A"/>
    <w:rsid w:val="003654AC"/>
    <w:rsid w:val="003656B6"/>
    <w:rsid w:val="0037073B"/>
    <w:rsid w:val="00372691"/>
    <w:rsid w:val="00381498"/>
    <w:rsid w:val="00382B09"/>
    <w:rsid w:val="00383A6E"/>
    <w:rsid w:val="003929D5"/>
    <w:rsid w:val="00393940"/>
    <w:rsid w:val="0039508F"/>
    <w:rsid w:val="00395407"/>
    <w:rsid w:val="003A0913"/>
    <w:rsid w:val="003A6F9D"/>
    <w:rsid w:val="003B11D0"/>
    <w:rsid w:val="003B1E29"/>
    <w:rsid w:val="003B6425"/>
    <w:rsid w:val="003C1FCE"/>
    <w:rsid w:val="003D0C7A"/>
    <w:rsid w:val="003D59DA"/>
    <w:rsid w:val="003D5BDF"/>
    <w:rsid w:val="003E1446"/>
    <w:rsid w:val="003E3253"/>
    <w:rsid w:val="003E56A0"/>
    <w:rsid w:val="003F0145"/>
    <w:rsid w:val="003F58F8"/>
    <w:rsid w:val="00403EDF"/>
    <w:rsid w:val="00410B27"/>
    <w:rsid w:val="004119A5"/>
    <w:rsid w:val="00414D51"/>
    <w:rsid w:val="00416DF3"/>
    <w:rsid w:val="0042443D"/>
    <w:rsid w:val="004254C9"/>
    <w:rsid w:val="00425884"/>
    <w:rsid w:val="00431476"/>
    <w:rsid w:val="00432172"/>
    <w:rsid w:val="00437495"/>
    <w:rsid w:val="00437672"/>
    <w:rsid w:val="0044146C"/>
    <w:rsid w:val="00441BFD"/>
    <w:rsid w:val="00443D5D"/>
    <w:rsid w:val="00446881"/>
    <w:rsid w:val="00451B82"/>
    <w:rsid w:val="00453260"/>
    <w:rsid w:val="0045582E"/>
    <w:rsid w:val="00461226"/>
    <w:rsid w:val="00461957"/>
    <w:rsid w:val="00463DA6"/>
    <w:rsid w:val="0046625C"/>
    <w:rsid w:val="00470A95"/>
    <w:rsid w:val="00470C21"/>
    <w:rsid w:val="00476C9E"/>
    <w:rsid w:val="00483B6D"/>
    <w:rsid w:val="00491E5F"/>
    <w:rsid w:val="00493F3C"/>
    <w:rsid w:val="00495B33"/>
    <w:rsid w:val="00495C6A"/>
    <w:rsid w:val="00496D0B"/>
    <w:rsid w:val="0049704F"/>
    <w:rsid w:val="004975D1"/>
    <w:rsid w:val="004976BA"/>
    <w:rsid w:val="004A203A"/>
    <w:rsid w:val="004A4986"/>
    <w:rsid w:val="004A775D"/>
    <w:rsid w:val="004B1D54"/>
    <w:rsid w:val="004B3F30"/>
    <w:rsid w:val="004B51E6"/>
    <w:rsid w:val="004B6E01"/>
    <w:rsid w:val="004C1846"/>
    <w:rsid w:val="004C23E9"/>
    <w:rsid w:val="004C320D"/>
    <w:rsid w:val="004C5012"/>
    <w:rsid w:val="004D32A1"/>
    <w:rsid w:val="004D6DD4"/>
    <w:rsid w:val="004E0F77"/>
    <w:rsid w:val="004F3F2A"/>
    <w:rsid w:val="005031DB"/>
    <w:rsid w:val="005043EB"/>
    <w:rsid w:val="00513DA1"/>
    <w:rsid w:val="00514A31"/>
    <w:rsid w:val="00517A68"/>
    <w:rsid w:val="00522D3B"/>
    <w:rsid w:val="005240BC"/>
    <w:rsid w:val="005279C3"/>
    <w:rsid w:val="005339BC"/>
    <w:rsid w:val="00536821"/>
    <w:rsid w:val="00543EDA"/>
    <w:rsid w:val="00544064"/>
    <w:rsid w:val="0054629A"/>
    <w:rsid w:val="005507EF"/>
    <w:rsid w:val="00554401"/>
    <w:rsid w:val="0055555B"/>
    <w:rsid w:val="00555FB4"/>
    <w:rsid w:val="00565A36"/>
    <w:rsid w:val="00567B3C"/>
    <w:rsid w:val="00574557"/>
    <w:rsid w:val="00581320"/>
    <w:rsid w:val="005911C7"/>
    <w:rsid w:val="0059380F"/>
    <w:rsid w:val="00593D91"/>
    <w:rsid w:val="005A08B1"/>
    <w:rsid w:val="005A1A1A"/>
    <w:rsid w:val="005A2709"/>
    <w:rsid w:val="005A7193"/>
    <w:rsid w:val="005B0417"/>
    <w:rsid w:val="005B0E41"/>
    <w:rsid w:val="005B29CD"/>
    <w:rsid w:val="005B3D24"/>
    <w:rsid w:val="005B5E76"/>
    <w:rsid w:val="005C2C03"/>
    <w:rsid w:val="005C36F6"/>
    <w:rsid w:val="005D34F4"/>
    <w:rsid w:val="005D3790"/>
    <w:rsid w:val="005E25BD"/>
    <w:rsid w:val="005E6C6B"/>
    <w:rsid w:val="005F109D"/>
    <w:rsid w:val="00602D05"/>
    <w:rsid w:val="0061027D"/>
    <w:rsid w:val="006138D1"/>
    <w:rsid w:val="00615FA5"/>
    <w:rsid w:val="0061729B"/>
    <w:rsid w:val="00621420"/>
    <w:rsid w:val="006215F8"/>
    <w:rsid w:val="0062542B"/>
    <w:rsid w:val="00635C53"/>
    <w:rsid w:val="00641472"/>
    <w:rsid w:val="00641ADE"/>
    <w:rsid w:val="00643C78"/>
    <w:rsid w:val="006440A9"/>
    <w:rsid w:val="006505CF"/>
    <w:rsid w:val="006517AC"/>
    <w:rsid w:val="00652C4C"/>
    <w:rsid w:val="006566ED"/>
    <w:rsid w:val="006615B1"/>
    <w:rsid w:val="00661F3C"/>
    <w:rsid w:val="00666719"/>
    <w:rsid w:val="006713A7"/>
    <w:rsid w:val="00671940"/>
    <w:rsid w:val="0067515B"/>
    <w:rsid w:val="0068052B"/>
    <w:rsid w:val="00680970"/>
    <w:rsid w:val="00680ADB"/>
    <w:rsid w:val="00683CF6"/>
    <w:rsid w:val="00690171"/>
    <w:rsid w:val="00690929"/>
    <w:rsid w:val="00690FA8"/>
    <w:rsid w:val="006B0213"/>
    <w:rsid w:val="006B222A"/>
    <w:rsid w:val="006B3546"/>
    <w:rsid w:val="006C16FF"/>
    <w:rsid w:val="006C261F"/>
    <w:rsid w:val="006C2E62"/>
    <w:rsid w:val="006C2E83"/>
    <w:rsid w:val="006C350D"/>
    <w:rsid w:val="006C45B6"/>
    <w:rsid w:val="006C4CB8"/>
    <w:rsid w:val="006C5145"/>
    <w:rsid w:val="006C7E2A"/>
    <w:rsid w:val="006D1999"/>
    <w:rsid w:val="006E1A6F"/>
    <w:rsid w:val="006E6712"/>
    <w:rsid w:val="006F6656"/>
    <w:rsid w:val="0070084B"/>
    <w:rsid w:val="007010B3"/>
    <w:rsid w:val="00702DCA"/>
    <w:rsid w:val="00710FBB"/>
    <w:rsid w:val="0071381A"/>
    <w:rsid w:val="007169D6"/>
    <w:rsid w:val="0072178A"/>
    <w:rsid w:val="00723450"/>
    <w:rsid w:val="0073719C"/>
    <w:rsid w:val="00737F46"/>
    <w:rsid w:val="00740705"/>
    <w:rsid w:val="007420A6"/>
    <w:rsid w:val="00745F53"/>
    <w:rsid w:val="00747A30"/>
    <w:rsid w:val="0075237E"/>
    <w:rsid w:val="00755631"/>
    <w:rsid w:val="00757DC0"/>
    <w:rsid w:val="00761FCF"/>
    <w:rsid w:val="00764D6A"/>
    <w:rsid w:val="007708EA"/>
    <w:rsid w:val="00771FC8"/>
    <w:rsid w:val="00773056"/>
    <w:rsid w:val="00776C92"/>
    <w:rsid w:val="00784908"/>
    <w:rsid w:val="007904D6"/>
    <w:rsid w:val="0079267F"/>
    <w:rsid w:val="00797460"/>
    <w:rsid w:val="007A2F1F"/>
    <w:rsid w:val="007A4DDB"/>
    <w:rsid w:val="007A5D10"/>
    <w:rsid w:val="007B018C"/>
    <w:rsid w:val="007B66C4"/>
    <w:rsid w:val="007B7E13"/>
    <w:rsid w:val="007C358A"/>
    <w:rsid w:val="007C3FAB"/>
    <w:rsid w:val="007C6D4B"/>
    <w:rsid w:val="007E0D65"/>
    <w:rsid w:val="007E1363"/>
    <w:rsid w:val="007E2BC6"/>
    <w:rsid w:val="007E39EF"/>
    <w:rsid w:val="007F410F"/>
    <w:rsid w:val="00800B59"/>
    <w:rsid w:val="00800FE1"/>
    <w:rsid w:val="00804C6C"/>
    <w:rsid w:val="00815404"/>
    <w:rsid w:val="00820F04"/>
    <w:rsid w:val="0082206E"/>
    <w:rsid w:val="00831DED"/>
    <w:rsid w:val="00833460"/>
    <w:rsid w:val="00834D72"/>
    <w:rsid w:val="0084011B"/>
    <w:rsid w:val="008416C6"/>
    <w:rsid w:val="00844EB0"/>
    <w:rsid w:val="008500CC"/>
    <w:rsid w:val="0085311F"/>
    <w:rsid w:val="00863135"/>
    <w:rsid w:val="008670C4"/>
    <w:rsid w:val="00867F72"/>
    <w:rsid w:val="00876ECC"/>
    <w:rsid w:val="0087752B"/>
    <w:rsid w:val="00877605"/>
    <w:rsid w:val="008802FA"/>
    <w:rsid w:val="00880725"/>
    <w:rsid w:val="00885346"/>
    <w:rsid w:val="00892CC1"/>
    <w:rsid w:val="0089320B"/>
    <w:rsid w:val="008937BC"/>
    <w:rsid w:val="00893A4F"/>
    <w:rsid w:val="00897B06"/>
    <w:rsid w:val="008A02A3"/>
    <w:rsid w:val="008A0EE3"/>
    <w:rsid w:val="008A22AF"/>
    <w:rsid w:val="008A331D"/>
    <w:rsid w:val="008A4C4A"/>
    <w:rsid w:val="008A7F4C"/>
    <w:rsid w:val="008B14E1"/>
    <w:rsid w:val="008B34EE"/>
    <w:rsid w:val="008C56EB"/>
    <w:rsid w:val="008C584E"/>
    <w:rsid w:val="008D25DF"/>
    <w:rsid w:val="008D2B2C"/>
    <w:rsid w:val="008D55D1"/>
    <w:rsid w:val="008D5A4C"/>
    <w:rsid w:val="008D619B"/>
    <w:rsid w:val="008D7641"/>
    <w:rsid w:val="008E2231"/>
    <w:rsid w:val="008E3A08"/>
    <w:rsid w:val="008E7092"/>
    <w:rsid w:val="008E75F8"/>
    <w:rsid w:val="008F34A4"/>
    <w:rsid w:val="008F5066"/>
    <w:rsid w:val="008F55B7"/>
    <w:rsid w:val="008F7B16"/>
    <w:rsid w:val="009020C3"/>
    <w:rsid w:val="009133E2"/>
    <w:rsid w:val="00920CE5"/>
    <w:rsid w:val="00920FFA"/>
    <w:rsid w:val="00923528"/>
    <w:rsid w:val="00923CC9"/>
    <w:rsid w:val="00934B4F"/>
    <w:rsid w:val="009407D8"/>
    <w:rsid w:val="00943CF5"/>
    <w:rsid w:val="00944399"/>
    <w:rsid w:val="00951ED9"/>
    <w:rsid w:val="00961243"/>
    <w:rsid w:val="009622CD"/>
    <w:rsid w:val="0097615E"/>
    <w:rsid w:val="00982FC5"/>
    <w:rsid w:val="00986C1B"/>
    <w:rsid w:val="009A2939"/>
    <w:rsid w:val="009A2E9A"/>
    <w:rsid w:val="009A501D"/>
    <w:rsid w:val="009A7D90"/>
    <w:rsid w:val="009B774A"/>
    <w:rsid w:val="009B790D"/>
    <w:rsid w:val="009C2AE0"/>
    <w:rsid w:val="009C2D57"/>
    <w:rsid w:val="009D263F"/>
    <w:rsid w:val="009D5007"/>
    <w:rsid w:val="009D7F52"/>
    <w:rsid w:val="009E2823"/>
    <w:rsid w:val="009E3FC4"/>
    <w:rsid w:val="009E72F6"/>
    <w:rsid w:val="009E7C1C"/>
    <w:rsid w:val="009F2802"/>
    <w:rsid w:val="009F34C5"/>
    <w:rsid w:val="009F625A"/>
    <w:rsid w:val="009F76C6"/>
    <w:rsid w:val="00A12C62"/>
    <w:rsid w:val="00A133AC"/>
    <w:rsid w:val="00A159D3"/>
    <w:rsid w:val="00A2427D"/>
    <w:rsid w:val="00A305CC"/>
    <w:rsid w:val="00A306C3"/>
    <w:rsid w:val="00A32E25"/>
    <w:rsid w:val="00A34602"/>
    <w:rsid w:val="00A411A8"/>
    <w:rsid w:val="00A4283A"/>
    <w:rsid w:val="00A45188"/>
    <w:rsid w:val="00A46923"/>
    <w:rsid w:val="00A50EBC"/>
    <w:rsid w:val="00A560EF"/>
    <w:rsid w:val="00A60505"/>
    <w:rsid w:val="00A62E35"/>
    <w:rsid w:val="00A63FB7"/>
    <w:rsid w:val="00A660FE"/>
    <w:rsid w:val="00A67EB6"/>
    <w:rsid w:val="00A7040E"/>
    <w:rsid w:val="00A72578"/>
    <w:rsid w:val="00A7385A"/>
    <w:rsid w:val="00A812AF"/>
    <w:rsid w:val="00A83E42"/>
    <w:rsid w:val="00A91307"/>
    <w:rsid w:val="00A931A4"/>
    <w:rsid w:val="00A964BA"/>
    <w:rsid w:val="00A97DEA"/>
    <w:rsid w:val="00AA1D58"/>
    <w:rsid w:val="00AA6670"/>
    <w:rsid w:val="00AB50A7"/>
    <w:rsid w:val="00AB665C"/>
    <w:rsid w:val="00AB7911"/>
    <w:rsid w:val="00AC0431"/>
    <w:rsid w:val="00AC103C"/>
    <w:rsid w:val="00AC16AD"/>
    <w:rsid w:val="00AC35F5"/>
    <w:rsid w:val="00AD11B8"/>
    <w:rsid w:val="00AD74A2"/>
    <w:rsid w:val="00AE4237"/>
    <w:rsid w:val="00AF5841"/>
    <w:rsid w:val="00AF7997"/>
    <w:rsid w:val="00B02B9B"/>
    <w:rsid w:val="00B02F5D"/>
    <w:rsid w:val="00B06E3D"/>
    <w:rsid w:val="00B1027E"/>
    <w:rsid w:val="00B209E2"/>
    <w:rsid w:val="00B238DA"/>
    <w:rsid w:val="00B2557D"/>
    <w:rsid w:val="00B31731"/>
    <w:rsid w:val="00B324F4"/>
    <w:rsid w:val="00B35DFA"/>
    <w:rsid w:val="00B46AC4"/>
    <w:rsid w:val="00B5495D"/>
    <w:rsid w:val="00B54B30"/>
    <w:rsid w:val="00B54FF8"/>
    <w:rsid w:val="00B5580E"/>
    <w:rsid w:val="00B5740E"/>
    <w:rsid w:val="00B63B5D"/>
    <w:rsid w:val="00B83E08"/>
    <w:rsid w:val="00B84485"/>
    <w:rsid w:val="00B861B4"/>
    <w:rsid w:val="00B868CC"/>
    <w:rsid w:val="00B90A70"/>
    <w:rsid w:val="00B913D3"/>
    <w:rsid w:val="00B93C7A"/>
    <w:rsid w:val="00B95F72"/>
    <w:rsid w:val="00B97E61"/>
    <w:rsid w:val="00BA0730"/>
    <w:rsid w:val="00BA37AB"/>
    <w:rsid w:val="00BA3DE9"/>
    <w:rsid w:val="00BA5B0F"/>
    <w:rsid w:val="00BB1A63"/>
    <w:rsid w:val="00BB7189"/>
    <w:rsid w:val="00BC1616"/>
    <w:rsid w:val="00BC4481"/>
    <w:rsid w:val="00BC69AA"/>
    <w:rsid w:val="00BD671A"/>
    <w:rsid w:val="00BE05ED"/>
    <w:rsid w:val="00BE297D"/>
    <w:rsid w:val="00BE561A"/>
    <w:rsid w:val="00BE6B5C"/>
    <w:rsid w:val="00BF09E3"/>
    <w:rsid w:val="00BF4D87"/>
    <w:rsid w:val="00BF4E55"/>
    <w:rsid w:val="00BF6B40"/>
    <w:rsid w:val="00C003C5"/>
    <w:rsid w:val="00C02519"/>
    <w:rsid w:val="00C07674"/>
    <w:rsid w:val="00C127DE"/>
    <w:rsid w:val="00C12ACE"/>
    <w:rsid w:val="00C25175"/>
    <w:rsid w:val="00C33358"/>
    <w:rsid w:val="00C35BD1"/>
    <w:rsid w:val="00C416EC"/>
    <w:rsid w:val="00C5350B"/>
    <w:rsid w:val="00C53A08"/>
    <w:rsid w:val="00C60A4B"/>
    <w:rsid w:val="00C63E3B"/>
    <w:rsid w:val="00C65D3C"/>
    <w:rsid w:val="00C70DA4"/>
    <w:rsid w:val="00C76A59"/>
    <w:rsid w:val="00C80D4B"/>
    <w:rsid w:val="00C84903"/>
    <w:rsid w:val="00C859C9"/>
    <w:rsid w:val="00C85C59"/>
    <w:rsid w:val="00C85C62"/>
    <w:rsid w:val="00CA6C9D"/>
    <w:rsid w:val="00CB7DEC"/>
    <w:rsid w:val="00CC061F"/>
    <w:rsid w:val="00CC090E"/>
    <w:rsid w:val="00CC1ECE"/>
    <w:rsid w:val="00CC29E2"/>
    <w:rsid w:val="00CC345A"/>
    <w:rsid w:val="00CD6120"/>
    <w:rsid w:val="00CF20CB"/>
    <w:rsid w:val="00CF4F5E"/>
    <w:rsid w:val="00CF52C1"/>
    <w:rsid w:val="00CF664E"/>
    <w:rsid w:val="00D01BA5"/>
    <w:rsid w:val="00D038CF"/>
    <w:rsid w:val="00D043D6"/>
    <w:rsid w:val="00D04580"/>
    <w:rsid w:val="00D07F7D"/>
    <w:rsid w:val="00D1032B"/>
    <w:rsid w:val="00D12B2D"/>
    <w:rsid w:val="00D1664E"/>
    <w:rsid w:val="00D20DAF"/>
    <w:rsid w:val="00D252EA"/>
    <w:rsid w:val="00D278D5"/>
    <w:rsid w:val="00D30BD7"/>
    <w:rsid w:val="00D37C89"/>
    <w:rsid w:val="00D41EF7"/>
    <w:rsid w:val="00D41F21"/>
    <w:rsid w:val="00D4494F"/>
    <w:rsid w:val="00D46CA3"/>
    <w:rsid w:val="00D47121"/>
    <w:rsid w:val="00D62BFD"/>
    <w:rsid w:val="00D62F42"/>
    <w:rsid w:val="00D6561B"/>
    <w:rsid w:val="00D65CD1"/>
    <w:rsid w:val="00D6626A"/>
    <w:rsid w:val="00D73CC9"/>
    <w:rsid w:val="00D84B1C"/>
    <w:rsid w:val="00D95BC4"/>
    <w:rsid w:val="00DA193A"/>
    <w:rsid w:val="00DA1F76"/>
    <w:rsid w:val="00DA370D"/>
    <w:rsid w:val="00DA4378"/>
    <w:rsid w:val="00DA71B8"/>
    <w:rsid w:val="00DB0946"/>
    <w:rsid w:val="00DB16DA"/>
    <w:rsid w:val="00DB31EB"/>
    <w:rsid w:val="00DB48FD"/>
    <w:rsid w:val="00DB59D3"/>
    <w:rsid w:val="00DB71A3"/>
    <w:rsid w:val="00DB7F9A"/>
    <w:rsid w:val="00DC41DE"/>
    <w:rsid w:val="00DC55BE"/>
    <w:rsid w:val="00DC7AA9"/>
    <w:rsid w:val="00DD23DA"/>
    <w:rsid w:val="00DD32C4"/>
    <w:rsid w:val="00DD38D4"/>
    <w:rsid w:val="00DD58F7"/>
    <w:rsid w:val="00DD7EB3"/>
    <w:rsid w:val="00DE0A7A"/>
    <w:rsid w:val="00DE0AAE"/>
    <w:rsid w:val="00DE21ED"/>
    <w:rsid w:val="00DF0A25"/>
    <w:rsid w:val="00DF2B36"/>
    <w:rsid w:val="00DF31A6"/>
    <w:rsid w:val="00E012D7"/>
    <w:rsid w:val="00E04BD4"/>
    <w:rsid w:val="00E11AC7"/>
    <w:rsid w:val="00E13C37"/>
    <w:rsid w:val="00E154B1"/>
    <w:rsid w:val="00E1639D"/>
    <w:rsid w:val="00E20810"/>
    <w:rsid w:val="00E223F4"/>
    <w:rsid w:val="00E318FA"/>
    <w:rsid w:val="00E32222"/>
    <w:rsid w:val="00E3554A"/>
    <w:rsid w:val="00E420E5"/>
    <w:rsid w:val="00E60342"/>
    <w:rsid w:val="00E6673B"/>
    <w:rsid w:val="00E71EF2"/>
    <w:rsid w:val="00E724CE"/>
    <w:rsid w:val="00E759EF"/>
    <w:rsid w:val="00E83BAC"/>
    <w:rsid w:val="00E84F8D"/>
    <w:rsid w:val="00E85C93"/>
    <w:rsid w:val="00E87CEC"/>
    <w:rsid w:val="00E91D72"/>
    <w:rsid w:val="00E97CE1"/>
    <w:rsid w:val="00E97F13"/>
    <w:rsid w:val="00EA3E22"/>
    <w:rsid w:val="00EA5678"/>
    <w:rsid w:val="00EA7BC3"/>
    <w:rsid w:val="00EB0B7A"/>
    <w:rsid w:val="00EB2307"/>
    <w:rsid w:val="00EB518C"/>
    <w:rsid w:val="00EC40D3"/>
    <w:rsid w:val="00EC485D"/>
    <w:rsid w:val="00ED01BB"/>
    <w:rsid w:val="00ED2E28"/>
    <w:rsid w:val="00ED78A6"/>
    <w:rsid w:val="00EE3A02"/>
    <w:rsid w:val="00EE4833"/>
    <w:rsid w:val="00EF4C30"/>
    <w:rsid w:val="00EF4EC4"/>
    <w:rsid w:val="00EF55CC"/>
    <w:rsid w:val="00F01D00"/>
    <w:rsid w:val="00F02EAA"/>
    <w:rsid w:val="00F04729"/>
    <w:rsid w:val="00F06394"/>
    <w:rsid w:val="00F204D9"/>
    <w:rsid w:val="00F26A5F"/>
    <w:rsid w:val="00F26BE7"/>
    <w:rsid w:val="00F32D48"/>
    <w:rsid w:val="00F333E9"/>
    <w:rsid w:val="00F45BC5"/>
    <w:rsid w:val="00F5304F"/>
    <w:rsid w:val="00F62A12"/>
    <w:rsid w:val="00F64045"/>
    <w:rsid w:val="00F65243"/>
    <w:rsid w:val="00F672D4"/>
    <w:rsid w:val="00F67AFC"/>
    <w:rsid w:val="00F76605"/>
    <w:rsid w:val="00F77520"/>
    <w:rsid w:val="00F80E17"/>
    <w:rsid w:val="00F82EA8"/>
    <w:rsid w:val="00F82F27"/>
    <w:rsid w:val="00F84EE7"/>
    <w:rsid w:val="00F90829"/>
    <w:rsid w:val="00FA0B2E"/>
    <w:rsid w:val="00FA2743"/>
    <w:rsid w:val="00FA562E"/>
    <w:rsid w:val="00FA7759"/>
    <w:rsid w:val="00FB4ABA"/>
    <w:rsid w:val="00FC1759"/>
    <w:rsid w:val="00FC74A5"/>
    <w:rsid w:val="00FD1D57"/>
    <w:rsid w:val="00FD7468"/>
    <w:rsid w:val="00FE274C"/>
    <w:rsid w:val="00FE4AAF"/>
    <w:rsid w:val="00FE64BC"/>
    <w:rsid w:val="00FE6686"/>
    <w:rsid w:val="00FE73D1"/>
    <w:rsid w:val="00FF1791"/>
    <w:rsid w:val="00FF4FC8"/>
    <w:rsid w:val="00FF5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CE339"/>
  <w15:docId w15:val="{7650E4E7-E468-40D7-ACF0-BF205647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qFormat/>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7"/>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7"/>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99"/>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8"/>
      </w:numPr>
      <w:spacing w:before="120" w:after="120"/>
      <w:contextualSpacing/>
    </w:pPr>
  </w:style>
  <w:style w:type="paragraph" w:styleId="ListNumber">
    <w:name w:val="List Number"/>
    <w:basedOn w:val="Normal"/>
    <w:uiPriority w:val="9"/>
    <w:qFormat/>
    <w:rsid w:val="00CA6C9D"/>
    <w:pPr>
      <w:numPr>
        <w:numId w:val="9"/>
      </w:numPr>
      <w:tabs>
        <w:tab w:val="left" w:pos="142"/>
      </w:tabs>
      <w:spacing w:before="120" w:after="120"/>
    </w:pPr>
  </w:style>
  <w:style w:type="paragraph" w:styleId="ListNumber2">
    <w:name w:val="List Number 2"/>
    <w:uiPriority w:val="10"/>
    <w:qFormat/>
    <w:rsid w:val="002B382C"/>
    <w:pPr>
      <w:numPr>
        <w:ilvl w:val="1"/>
        <w:numId w:val="9"/>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9"/>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link w:val="TableHeadingChar"/>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
    <w:name w:val="Table Bullet"/>
    <w:basedOn w:val="TableText"/>
    <w:uiPriority w:val="15"/>
    <w:qFormat/>
    <w:rsid w:val="00ED01BB"/>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441BFD"/>
    <w:pPr>
      <w:numPr>
        <w:ilvl w:val="2"/>
        <w:numId w:val="8"/>
      </w:numPr>
      <w:ind w:left="964" w:hanging="96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1"/>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0"/>
      </w:numPr>
      <w:tabs>
        <w:tab w:val="num" w:pos="361"/>
      </w:tabs>
      <w:ind w:left="568" w:hanging="284"/>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1"/>
      </w:numPr>
    </w:pPr>
  </w:style>
  <w:style w:type="paragraph" w:customStyle="1" w:styleId="TableListNumber3">
    <w:name w:val="Table List Number 3"/>
    <w:basedOn w:val="TableText"/>
    <w:qFormat/>
    <w:rsid w:val="0071381A"/>
    <w:pPr>
      <w:numPr>
        <w:ilvl w:val="2"/>
        <w:numId w:val="11"/>
      </w:numPr>
    </w:pPr>
  </w:style>
  <w:style w:type="numbering" w:customStyle="1" w:styleId="Tablenumberedlists">
    <w:name w:val="Table numbered lists"/>
    <w:uiPriority w:val="99"/>
    <w:rsid w:val="0071381A"/>
    <w:pPr>
      <w:numPr>
        <w:numId w:val="11"/>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2"/>
      </w:numPr>
    </w:pPr>
  </w:style>
  <w:style w:type="paragraph" w:customStyle="1" w:styleId="TableBullet1">
    <w:name w:val="Table Bullet 1"/>
    <w:basedOn w:val="TableText"/>
    <w:uiPriority w:val="15"/>
    <w:qFormat/>
    <w:rsid w:val="00A964BA"/>
    <w:pPr>
      <w:tabs>
        <w:tab w:val="num" w:pos="284"/>
      </w:tabs>
      <w:ind w:left="284" w:hanging="284"/>
    </w:pPr>
  </w:style>
  <w:style w:type="paragraph" w:customStyle="1" w:styleId="Tablenumberedlist">
    <w:name w:val="Table numbered list"/>
    <w:uiPriority w:val="99"/>
    <w:qFormat/>
    <w:rsid w:val="00A964BA"/>
    <w:pPr>
      <w:spacing w:before="60" w:after="60"/>
      <w:ind w:left="284" w:hanging="284"/>
      <w:contextualSpacing/>
    </w:pPr>
    <w:rPr>
      <w:rFonts w:asciiTheme="minorHAnsi" w:eastAsia="Calibri" w:hAnsiTheme="minorHAnsi"/>
      <w:color w:val="000000" w:themeColor="text1"/>
      <w:sz w:val="18"/>
      <w:szCs w:val="22"/>
      <w:lang w:eastAsia="en-US"/>
    </w:rPr>
  </w:style>
  <w:style w:type="paragraph" w:customStyle="1" w:styleId="Tablenumberedlist2">
    <w:name w:val="Table numbered list 2"/>
    <w:basedOn w:val="TableText"/>
    <w:qFormat/>
    <w:rsid w:val="00A964BA"/>
    <w:pPr>
      <w:ind w:left="567" w:hanging="283"/>
    </w:pPr>
  </w:style>
  <w:style w:type="paragraph" w:customStyle="1" w:styleId="Tablenumberedlist3">
    <w:name w:val="Table numbered list 3"/>
    <w:basedOn w:val="TableText"/>
    <w:qFormat/>
    <w:rsid w:val="00A964BA"/>
    <w:pPr>
      <w:ind w:left="851" w:hanging="284"/>
    </w:pPr>
  </w:style>
  <w:style w:type="character" w:customStyle="1" w:styleId="TableHeadingChar">
    <w:name w:val="Table Heading Char"/>
    <w:basedOn w:val="DefaultParagraphFont"/>
    <w:link w:val="TableHeading"/>
    <w:uiPriority w:val="14"/>
    <w:rsid w:val="00A964BA"/>
    <w:rPr>
      <w:rFonts w:asciiTheme="minorHAnsi" w:eastAsiaTheme="minorHAnsi" w:hAnsiTheme="minorHAnsi" w:cstheme="minorBidi"/>
      <w:b/>
      <w:sz w:val="18"/>
      <w:szCs w:val="22"/>
      <w:lang w:eastAsia="en-US"/>
    </w:rPr>
  </w:style>
  <w:style w:type="numbering" w:customStyle="1" w:styleId="CRISnumber">
    <w:name w:val="CRIS number"/>
    <w:uiPriority w:val="99"/>
    <w:rsid w:val="007010B3"/>
    <w:pPr>
      <w:numPr>
        <w:numId w:val="14"/>
      </w:numPr>
    </w:pPr>
  </w:style>
  <w:style w:type="paragraph" w:styleId="Revision">
    <w:name w:val="Revision"/>
    <w:hidden/>
    <w:uiPriority w:val="99"/>
    <w:semiHidden/>
    <w:rsid w:val="00B209E2"/>
    <w:rPr>
      <w:rFonts w:asciiTheme="minorHAnsi" w:eastAsiaTheme="minorHAnsi" w:hAnsiTheme="minorHAnsi" w:cstheme="minorBidi"/>
      <w:sz w:val="22"/>
      <w:szCs w:val="22"/>
      <w:lang w:eastAsia="en-US"/>
    </w:rPr>
  </w:style>
  <w:style w:type="paragraph" w:customStyle="1" w:styleId="msonormal0">
    <w:name w:val="msonormal"/>
    <w:basedOn w:val="Normal"/>
    <w:uiPriority w:val="99"/>
    <w:semiHidden/>
    <w:rsid w:val="0081540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2850654">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16361797">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006561">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8628123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35695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27295">
      <w:bodyDiv w:val="1"/>
      <w:marLeft w:val="0"/>
      <w:marRight w:val="0"/>
      <w:marTop w:val="0"/>
      <w:marBottom w:val="0"/>
      <w:divBdr>
        <w:top w:val="none" w:sz="0" w:space="0" w:color="auto"/>
        <w:left w:val="none" w:sz="0" w:space="0" w:color="auto"/>
        <w:bottom w:val="none" w:sz="0" w:space="0" w:color="auto"/>
        <w:right w:val="none" w:sz="0" w:space="0" w:color="auto"/>
      </w:divBdr>
    </w:div>
    <w:div w:id="191604252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griculture.gov.au/sites/default/files/documents/FINAL-MYEFO-FACTSHEET-Ag%20Exports_CLEAN%20201223.pdf" TargetMode="External"/><Relationship Id="rId26" Type="http://schemas.openxmlformats.org/officeDocument/2006/relationships/image" Target="media/image4.png"/><Relationship Id="rId21" Type="http://schemas.openxmlformats.org/officeDocument/2006/relationships/hyperlink" Target="https://oia.pmc.gov.au/resources/guidance-impact-analysis/australian-government-guide-policy-impact-analysis" TargetMode="External"/><Relationship Id="rId34"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https://www.agriculture.gov.au/export/controlled-goods" TargetMode="External"/><Relationship Id="rId33" Type="http://schemas.openxmlformats.org/officeDocument/2006/relationships/hyperlink" Target="https://www.agriculture.gov.au/about/reporting/annual-repor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inance.gov.au/government/managing-commonwealth-resources/implementing-charging-framework-rmg-302/what-australian-government-charging-framework" TargetMode="External"/><Relationship Id="rId29" Type="http://schemas.openxmlformats.org/officeDocument/2006/relationships/hyperlink" Target="https://www.agriculture.gov.au/about/fees/charging-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inance.gov.au/government/managing-commonwealth-resources/implementing-charging-framework-rmg-302/australian-government-cost-recovery-policy" TargetMode="External"/><Relationship Id="rId32" Type="http://schemas.openxmlformats.org/officeDocument/2006/relationships/hyperlink" Target="https://www.agriculture.gov.au/about/reporting/annual-repor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image" Target="media/image3.png"/><Relationship Id="rId28" Type="http://schemas.openxmlformats.org/officeDocument/2006/relationships/hyperlink" Target="https://www.legislation.gov.au/F2021L00338/latest/tex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nance.gov.au/government/managing-commonwealth-resources/implementing-charging-framework-rmg-302/australian-government-charging-policy" TargetMode="External"/><Relationship Id="rId31" Type="http://schemas.openxmlformats.org/officeDocument/2006/relationships/hyperlink" Target="https://www.legislation.gov.au/F2021L00338/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bout/fees/cost-recovery-2024-25" TargetMode="External"/><Relationship Id="rId22" Type="http://schemas.openxmlformats.org/officeDocument/2006/relationships/hyperlink" Target="https://www.industry.gov.au/publications/aps-framework-engagement-and-participation" TargetMode="External"/><Relationship Id="rId27" Type="http://schemas.openxmlformats.org/officeDocument/2006/relationships/hyperlink" Target="https://www.legislation.gov.au/F2021L00309/latest/text" TargetMode="External"/><Relationship Id="rId30" Type="http://schemas.openxmlformats.org/officeDocument/2006/relationships/hyperlink" Target="https://www.legislation.gov.au/F2021L00309/latest/text" TargetMode="External"/><Relationship Id="rId35" Type="http://schemas.openxmlformats.org/officeDocument/2006/relationships/image" Target="media/image6.jpe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df769d-5b78-4b74-ba7e-b67d70b873cd">
      <Terms xmlns="http://schemas.microsoft.com/office/infopath/2007/PartnerControls"/>
    </lcf76f155ced4ddcb4097134ff3c332f>
    <TaxCatchAll xmlns="81c01dc6-2c49-4730-b140-874c95cac377" xsi:nil="true"/>
    <Comments_x002f_updates xmlns="f3df769d-5b78-4b74-ba7e-b67d70b873cd" xsi:nil="true"/>
    <DueDate xmlns="f3df769d-5b78-4b74-ba7e-b67d70b873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AA482D0E876B429E1975836BEF7054" ma:contentTypeVersion="14" ma:contentTypeDescription="Create a new document." ma:contentTypeScope="" ma:versionID="619d8998bbd98cd347d2bcc532614f4d">
  <xsd:schema xmlns:xsd="http://www.w3.org/2001/XMLSchema" xmlns:xs="http://www.w3.org/2001/XMLSchema" xmlns:p="http://schemas.microsoft.com/office/2006/metadata/properties" xmlns:ns2="f3df769d-5b78-4b74-ba7e-b67d70b873cd" xmlns:ns3="81c01dc6-2c49-4730-b140-874c95cac377" targetNamespace="http://schemas.microsoft.com/office/2006/metadata/properties" ma:root="true" ma:fieldsID="120320c8145ca2fd6f292f18954a9b45" ns2:_="" ns3:_="">
    <xsd:import namespace="f3df769d-5b78-4b74-ba7e-b67d70b873c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Comments_x002f_updat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f769d-5b78-4b74-ba7e-b67d70b87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Comments_x002f_updates" ma:index="20" nillable="true" ma:displayName="Comments/updates" ma:format="Dropdown" ma:internalName="Comments_x002f_updates">
      <xsd:simpleType>
        <xsd:restriction base="dms:Text">
          <xsd:maxLength value="255"/>
        </xsd:restriction>
      </xsd:simpleType>
    </xsd:element>
    <xsd:element name="DueDate" ma:index="21" nillable="true" ma:displayName="Due Date"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493739-0860-4f17-89c6-185cf26ffdd5}" ma:internalName="TaxCatchAll" ma:showField="CatchAllData" ma:web="ecc73639-f59d-459f-b974-da85c21a2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f3df769d-5b78-4b74-ba7e-b67d70b873cd"/>
    <ds:schemaRef ds:uri="81c01dc6-2c49-4730-b140-874c95cac377"/>
  </ds:schemaRefs>
</ds:datastoreItem>
</file>

<file path=customXml/itemProps4.xml><?xml version="1.0" encoding="utf-8"?>
<ds:datastoreItem xmlns:ds="http://schemas.openxmlformats.org/officeDocument/2006/customXml" ds:itemID="{7F8A87DE-2C3D-4082-9DED-D72041E86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f769d-5b78-4b74-ba7e-b67d70b873c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218</TotalTime>
  <Pages>34</Pages>
  <Words>10420</Words>
  <Characters>59399</Characters>
  <Application>Microsoft Office Word</Application>
  <DocSecurity>0</DocSecurity>
  <Lines>494</Lines>
  <Paragraphs>139</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Cost-recovery-implementation-statement:-horticulture-exports-2025-26</vt:lpstr>
      <vt:lpstr>/Cost recovery implementation statement: horticulture exports 2025-26</vt:lpstr>
      <vt:lpstr>    Summary</vt:lpstr>
      <vt:lpstr>    Policy and statutory authority to cost recover</vt:lpstr>
      <vt:lpstr>        About the department</vt:lpstr>
      <vt:lpstr>        Government policy approval to cost recover</vt:lpstr>
      <vt:lpstr>        Government policy approval to cost recover the regulatory activity</vt:lpstr>
      <vt:lpstr>        Statutory authority to apply fees and charges</vt:lpstr>
      <vt:lpstr>        Who pays for regulatory activities</vt:lpstr>
      <vt:lpstr>    Risk assessment</vt:lpstr>
      <vt:lpstr>    Stakeholder consultation</vt:lpstr>
      <vt:lpstr>        Stakeholder engagement strategy</vt:lpstr>
      <vt:lpstr>    Cost recovery arrangement for horticulture exports</vt:lpstr>
      <vt:lpstr>        Description of the regulatory activity</vt:lpstr>
      <vt:lpstr>        Cost base assumptions</vt:lpstr>
      <vt:lpstr>        Projected cost base</vt:lpstr>
      <vt:lpstr>    Design of regulatory charges</vt:lpstr>
      <vt:lpstr>        Horticulture exports fees and charges</vt:lpstr>
      <vt:lpstr>        Revenue variability</vt:lpstr>
      <vt:lpstr>    Financial estimates</vt:lpstr>
      <vt:lpstr>        Financial estimates</vt:lpstr>
      <vt:lpstr>        Accumulated balance</vt:lpstr>
      <vt:lpstr>    Financial and non-financial performance</vt:lpstr>
      <vt:lpstr>        Financial performance</vt:lpstr>
      <vt:lpstr>        Summary financial performance 2023-24</vt:lpstr>
      <vt:lpstr>        Non-financial performance</vt:lpstr>
      <vt:lpstr>    CRIS   approval and change register</vt:lpstr>
      <vt:lpstr>    Appendix A: Additional fees and charges that may apply</vt:lpstr>
      <vt:lpstr>        Organics – application and audit</vt:lpstr>
      <vt:lpstr>        Tariff rate quota (TRQ) certificates</vt:lpstr>
      <vt:lpstr>        Outside ordinary hours (OOH)</vt:lpstr>
      <vt:lpstr>    Appendix B: Cost recovery model</vt:lpstr>
      <vt:lpstr>        Outputs and business processes of the regulatory charging activity</vt:lpstr>
      <vt:lpstr>        Costs of regulatory charging activity</vt:lpstr>
      <vt:lpstr>        Description of cost model activities</vt:lpstr>
      <vt:lpstr>        Assurance activities</vt:lpstr>
      <vt:lpstr>        Incident management activities</vt:lpstr>
      <vt:lpstr>        Intervention activities</vt:lpstr>
      <vt:lpstr>    Appendix C: Summary of stakeholder feedback</vt:lpstr>
      <vt:lpstr>    Appendix D: Government decisions</vt:lpstr>
    </vt:vector>
  </TitlesOfParts>
  <Company/>
  <LinksUpToDate>false</LinksUpToDate>
  <CharactersWithSpaces>69680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Cost-recovery-implementation-statement:-horticulture-exports-2025-26</dc:title>
  <dc:creator>Department of Agriculture, Fisheries and Forestry</dc:creator>
  <cp:lastModifiedBy>Bryan, Kylie</cp:lastModifiedBy>
  <cp:revision>140</cp:revision>
  <cp:lastPrinted>2025-06-24T22:42:00Z</cp:lastPrinted>
  <dcterms:created xsi:type="dcterms:W3CDTF">2025-03-28T02:03:00Z</dcterms:created>
  <dcterms:modified xsi:type="dcterms:W3CDTF">2025-06-24T22:43:00Z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0x0101005EAA482D0E876B429E1975836BEF7054</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