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2DD0" w14:textId="5A81480F" w:rsidR="00B82095" w:rsidRPr="000170A9" w:rsidRDefault="00095B09" w:rsidP="009B6EBB">
      <w:pPr>
        <w:pStyle w:val="Heading1"/>
        <w:spacing w:before="840"/>
        <w:rPr>
          <w:sz w:val="44"/>
          <w:szCs w:val="32"/>
        </w:rPr>
      </w:pPr>
      <w:r>
        <w:rPr>
          <w:shd w:val="clear" w:color="auto" w:fill="FFFFFF"/>
        </w:rPr>
        <w:t>M</w:t>
      </w:r>
      <w:r w:rsidR="00E80363">
        <w:rPr>
          <w:shd w:val="clear" w:color="auto" w:fill="FFFFFF"/>
        </w:rPr>
        <w:t>ail an</w:t>
      </w:r>
      <w:r>
        <w:rPr>
          <w:shd w:val="clear" w:color="auto" w:fill="FFFFFF"/>
        </w:rPr>
        <w:t xml:space="preserve">d </w:t>
      </w:r>
      <w:r w:rsidR="00E80363">
        <w:rPr>
          <w:shd w:val="clear" w:color="auto" w:fill="FFFFFF"/>
        </w:rPr>
        <w:t>traveller pathway</w:t>
      </w:r>
      <w:r w:rsidR="00816A43" w:rsidRPr="000170A9">
        <w:t xml:space="preserve"> </w:t>
      </w:r>
      <w:r>
        <w:t>fees</w:t>
      </w:r>
      <w:r w:rsidR="00F42E9B">
        <w:t xml:space="preserve"> 2026–27</w:t>
      </w:r>
    </w:p>
    <w:p w14:paraId="19FBBCFC" w14:textId="5C9F8813" w:rsidR="00FD1BDD" w:rsidRDefault="00095B09" w:rsidP="00FD1BDD">
      <w:pPr>
        <w:pStyle w:val="Heading2"/>
      </w:pPr>
      <w:bookmarkStart w:id="0" w:name="_Hlk163645417"/>
      <w:bookmarkStart w:id="1" w:name="_Hlk170106629"/>
      <w:bookmarkStart w:id="2" w:name="_Hlk199157121"/>
      <w:r>
        <w:t>Fees</w:t>
      </w:r>
      <w:r w:rsidR="00FD1BDD" w:rsidRPr="00816A43">
        <w:t xml:space="preserve"> for biosecurity regulatory</w:t>
      </w:r>
      <w:r w:rsidR="00703B0F">
        <w:t xml:space="preserve"> </w:t>
      </w:r>
      <w:r w:rsidR="00FD1BDD" w:rsidRPr="00816A43">
        <w:t xml:space="preserve">activity from 1 July </w:t>
      </w:r>
      <w:r w:rsidR="00F0550C">
        <w:t>202</w:t>
      </w:r>
      <w:r w:rsidR="00A36B4F">
        <w:t>6</w:t>
      </w:r>
    </w:p>
    <w:p w14:paraId="5F2BB642" w14:textId="3E01460A" w:rsidR="00C44DD8" w:rsidRDefault="00961F7F" w:rsidP="00961F7F">
      <w:pPr>
        <w:pStyle w:val="Caption"/>
      </w:pPr>
      <w:bookmarkStart w:id="3" w:name="_Ref163637138"/>
      <w:bookmarkEnd w:id="0"/>
      <w:bookmarkEnd w:id="1"/>
      <w:r>
        <w:t xml:space="preserve">Table </w:t>
      </w:r>
      <w:fldSimple w:instr=" SEQ Table \* ARABIC ">
        <w:r w:rsidR="00615DBF">
          <w:rPr>
            <w:noProof/>
          </w:rPr>
          <w:t>1</w:t>
        </w:r>
      </w:fldSimple>
      <w:bookmarkEnd w:id="3"/>
      <w:r w:rsidRPr="008B148D">
        <w:t xml:space="preserve"> </w:t>
      </w:r>
      <w:r w:rsidR="00095B09">
        <w:t>Fees</w:t>
      </w:r>
      <w:r w:rsidRPr="008B148D">
        <w:t xml:space="preserve"> for </w:t>
      </w:r>
      <w:r w:rsidR="00A7474D">
        <w:t>treatment and storage</w:t>
      </w:r>
      <w:r w:rsidR="00F42E9B">
        <w:t>, 2025–26 and 2026–27</w:t>
      </w:r>
    </w:p>
    <w:tbl>
      <w:tblPr>
        <w:tblW w:w="5122" w:type="pct"/>
        <w:tblBorders>
          <w:top w:val="single" w:sz="4" w:space="0" w:color="auto"/>
          <w:bottom w:val="single" w:sz="4" w:space="0" w:color="auto"/>
          <w:insideH w:val="single" w:sz="4" w:space="0" w:color="auto"/>
        </w:tblBorders>
        <w:tblLook w:val="06A0" w:firstRow="1" w:lastRow="0" w:firstColumn="1" w:lastColumn="0" w:noHBand="1" w:noVBand="1"/>
      </w:tblPr>
      <w:tblGrid>
        <w:gridCol w:w="1658"/>
        <w:gridCol w:w="3020"/>
        <w:gridCol w:w="2553"/>
        <w:gridCol w:w="1134"/>
        <w:gridCol w:w="1277"/>
      </w:tblGrid>
      <w:tr w:rsidR="00A36B4F" w14:paraId="65AD18A5" w14:textId="2ED31B32" w:rsidTr="00F65312">
        <w:trPr>
          <w:cantSplit/>
          <w:tblHeader/>
        </w:trPr>
        <w:tc>
          <w:tcPr>
            <w:tcW w:w="860" w:type="pct"/>
          </w:tcPr>
          <w:bookmarkStart w:id="4" w:name="Title_1"/>
          <w:bookmarkEnd w:id="4"/>
          <w:p w14:paraId="7339BC7B" w14:textId="05BDDF2B" w:rsidR="00A36B4F" w:rsidRPr="00BA7C58" w:rsidRDefault="00A36B4F" w:rsidP="007C1CD6">
            <w:pPr>
              <w:pStyle w:val="TableHeading"/>
              <w:rPr>
                <w:rStyle w:val="Strong"/>
                <w:b/>
                <w:bCs w:val="0"/>
              </w:rPr>
            </w:pPr>
            <w:r w:rsidRPr="00BA7C58">
              <w:rPr>
                <w:rStyle w:val="Strong"/>
                <w:b/>
                <w:bCs w:val="0"/>
              </w:rPr>
              <w:fldChar w:fldCharType="begin"/>
            </w:r>
            <w:r w:rsidRPr="00BA7C58">
              <w:rPr>
                <w:rStyle w:val="Strong"/>
                <w:b/>
                <w:bCs w:val="0"/>
              </w:rPr>
              <w:instrText xml:space="preserve"> REF Title_1 \h  \* MERGEFORMAT </w:instrText>
            </w:r>
            <w:r w:rsidRPr="00BA7C58">
              <w:rPr>
                <w:rStyle w:val="Strong"/>
                <w:b/>
                <w:bCs w:val="0"/>
              </w:rPr>
            </w:r>
            <w:r w:rsidRPr="00BA7C58">
              <w:rPr>
                <w:rStyle w:val="Strong"/>
                <w:b/>
                <w:bCs w:val="0"/>
              </w:rPr>
              <w:fldChar w:fldCharType="end"/>
            </w:r>
            <w:r>
              <w:rPr>
                <w:rStyle w:val="Strong"/>
                <w:b/>
                <w:bCs w:val="0"/>
              </w:rPr>
              <w:t>C</w:t>
            </w:r>
            <w:r w:rsidRPr="00BA7C58">
              <w:rPr>
                <w:rStyle w:val="Strong"/>
                <w:b/>
                <w:bCs w:val="0"/>
              </w:rPr>
              <w:t>harge</w:t>
            </w:r>
            <w:r>
              <w:rPr>
                <w:rStyle w:val="Strong"/>
                <w:b/>
                <w:bCs w:val="0"/>
              </w:rPr>
              <w:t xml:space="preserve"> </w:t>
            </w:r>
            <w:r>
              <w:rPr>
                <w:rStyle w:val="Strong"/>
                <w:b/>
              </w:rPr>
              <w:t>pathway</w:t>
            </w:r>
          </w:p>
        </w:tc>
        <w:tc>
          <w:tcPr>
            <w:tcW w:w="1566" w:type="pct"/>
          </w:tcPr>
          <w:p w14:paraId="09009F04" w14:textId="4AADF016" w:rsidR="00A36B4F" w:rsidRPr="00BA7C58" w:rsidRDefault="00A36B4F" w:rsidP="007C1CD6">
            <w:pPr>
              <w:pStyle w:val="TableHeading"/>
              <w:rPr>
                <w:rStyle w:val="Strong"/>
                <w:b/>
                <w:bCs w:val="0"/>
              </w:rPr>
            </w:pPr>
            <w:r w:rsidRPr="00BA7C58">
              <w:rPr>
                <w:rStyle w:val="Strong"/>
                <w:b/>
                <w:bCs w:val="0"/>
              </w:rPr>
              <w:t>Charge point</w:t>
            </w:r>
          </w:p>
        </w:tc>
        <w:tc>
          <w:tcPr>
            <w:tcW w:w="1324" w:type="pct"/>
          </w:tcPr>
          <w:p w14:paraId="77E11851" w14:textId="0DE05BD4" w:rsidR="00A36B4F" w:rsidRPr="00BA7C58" w:rsidRDefault="00A36B4F" w:rsidP="007C1CD6">
            <w:pPr>
              <w:pStyle w:val="TableHeading"/>
              <w:rPr>
                <w:rStyle w:val="Strong"/>
                <w:b/>
                <w:bCs w:val="0"/>
              </w:rPr>
            </w:pPr>
            <w:r w:rsidRPr="00BA7C58">
              <w:rPr>
                <w:rStyle w:val="Strong"/>
                <w:b/>
                <w:bCs w:val="0"/>
              </w:rPr>
              <w:t>Unit</w:t>
            </w:r>
          </w:p>
        </w:tc>
        <w:tc>
          <w:tcPr>
            <w:tcW w:w="588" w:type="pct"/>
          </w:tcPr>
          <w:p w14:paraId="40C2B16E" w14:textId="28BEABE4" w:rsidR="00A36B4F" w:rsidRPr="00DA3233" w:rsidRDefault="00A36B4F" w:rsidP="007C1CD6">
            <w:pPr>
              <w:pStyle w:val="TableText"/>
              <w:jc w:val="right"/>
              <w:rPr>
                <w:b/>
              </w:rPr>
            </w:pPr>
            <w:r w:rsidRPr="00DA3233">
              <w:rPr>
                <w:b/>
              </w:rPr>
              <w:t>2025</w:t>
            </w:r>
            <w:r w:rsidR="00F42E9B">
              <w:rPr>
                <w:b/>
              </w:rPr>
              <w:t>–</w:t>
            </w:r>
            <w:r w:rsidRPr="00DA3233">
              <w:rPr>
                <w:b/>
              </w:rPr>
              <w:t>26 price ($)</w:t>
            </w:r>
          </w:p>
        </w:tc>
        <w:tc>
          <w:tcPr>
            <w:tcW w:w="662" w:type="pct"/>
          </w:tcPr>
          <w:p w14:paraId="73C72B7F" w14:textId="4BEBB29F" w:rsidR="00A36B4F" w:rsidRPr="00DA3233" w:rsidRDefault="00A36B4F" w:rsidP="007C1CD6">
            <w:pPr>
              <w:pStyle w:val="TableText"/>
              <w:jc w:val="right"/>
            </w:pPr>
            <w:r w:rsidRPr="00DA3233">
              <w:rPr>
                <w:b/>
              </w:rPr>
              <w:t>202</w:t>
            </w:r>
            <w:r w:rsidR="00F42E9B">
              <w:rPr>
                <w:b/>
              </w:rPr>
              <w:t>6–</w:t>
            </w:r>
            <w:r w:rsidRPr="00DA3233">
              <w:rPr>
                <w:b/>
              </w:rPr>
              <w:t>2</w:t>
            </w:r>
            <w:r w:rsidR="00F42E9B">
              <w:rPr>
                <w:b/>
              </w:rPr>
              <w:t>7</w:t>
            </w:r>
            <w:r w:rsidRPr="00DA3233">
              <w:rPr>
                <w:b/>
              </w:rPr>
              <w:t xml:space="preserve"> price ($)</w:t>
            </w:r>
          </w:p>
        </w:tc>
      </w:tr>
      <w:tr w:rsidR="00F42E9B" w14:paraId="1FF91B22" w14:textId="3ADC9B47" w:rsidTr="00F65312">
        <w:tc>
          <w:tcPr>
            <w:tcW w:w="860" w:type="pct"/>
            <w:vMerge w:val="restart"/>
          </w:tcPr>
          <w:p w14:paraId="3C9751B3" w14:textId="7F0D4254" w:rsidR="00F42E9B" w:rsidRDefault="00F42E9B" w:rsidP="00A36B4F">
            <w:pPr>
              <w:pStyle w:val="TableText"/>
            </w:pPr>
            <w:r>
              <w:t>International mail</w:t>
            </w:r>
          </w:p>
        </w:tc>
        <w:tc>
          <w:tcPr>
            <w:tcW w:w="1566" w:type="pct"/>
          </w:tcPr>
          <w:p w14:paraId="14261F1D" w14:textId="0936B075" w:rsidR="00F42E9B" w:rsidRDefault="00F42E9B" w:rsidP="007C1CD6">
            <w:pPr>
              <w:pStyle w:val="TableText"/>
            </w:pPr>
            <w:r w:rsidRPr="00FA291D">
              <w:t xml:space="preserve">Treatment </w:t>
            </w:r>
            <w:r>
              <w:t>–</w:t>
            </w:r>
            <w:r w:rsidRPr="00FA291D">
              <w:t xml:space="preserve"> </w:t>
            </w:r>
            <w:r>
              <w:t>e</w:t>
            </w:r>
            <w:r w:rsidRPr="00FA291D">
              <w:t xml:space="preserve">thylene </w:t>
            </w:r>
            <w:r>
              <w:t>o</w:t>
            </w:r>
            <w:r w:rsidRPr="00FA291D">
              <w:t>xide</w:t>
            </w:r>
          </w:p>
        </w:tc>
        <w:tc>
          <w:tcPr>
            <w:tcW w:w="1324" w:type="pct"/>
          </w:tcPr>
          <w:p w14:paraId="15846245" w14:textId="0A1B8730" w:rsidR="00F42E9B" w:rsidRDefault="00F42E9B" w:rsidP="007C1CD6">
            <w:pPr>
              <w:pStyle w:val="TableText"/>
            </w:pPr>
            <w:r w:rsidRPr="000920AA">
              <w:t xml:space="preserve">Per </w:t>
            </w:r>
            <w:r>
              <w:t>treatment</w:t>
            </w:r>
          </w:p>
        </w:tc>
        <w:tc>
          <w:tcPr>
            <w:tcW w:w="588" w:type="pct"/>
          </w:tcPr>
          <w:p w14:paraId="712144FE" w14:textId="44AF3ABC" w:rsidR="00F42E9B" w:rsidRDefault="00F42E9B" w:rsidP="007C1CD6">
            <w:pPr>
              <w:pStyle w:val="TableText"/>
              <w:jc w:val="right"/>
            </w:pPr>
            <w:r>
              <w:t>96</w:t>
            </w:r>
          </w:p>
        </w:tc>
        <w:tc>
          <w:tcPr>
            <w:tcW w:w="662" w:type="pct"/>
          </w:tcPr>
          <w:p w14:paraId="3C3DBB40" w14:textId="6AC50520" w:rsidR="00F42E9B" w:rsidRDefault="00F42E9B" w:rsidP="007C1CD6">
            <w:pPr>
              <w:pStyle w:val="TableText"/>
              <w:jc w:val="right"/>
            </w:pPr>
            <w:r>
              <w:t>100</w:t>
            </w:r>
          </w:p>
        </w:tc>
      </w:tr>
      <w:tr w:rsidR="00F42E9B" w14:paraId="49692EE4" w14:textId="27455287" w:rsidTr="00F65312">
        <w:tc>
          <w:tcPr>
            <w:tcW w:w="860" w:type="pct"/>
            <w:vMerge/>
          </w:tcPr>
          <w:p w14:paraId="3292A2C5" w14:textId="4FEBF53E" w:rsidR="00F42E9B" w:rsidRDefault="00F42E9B" w:rsidP="00A36B4F">
            <w:pPr>
              <w:pStyle w:val="TableText"/>
            </w:pPr>
          </w:p>
        </w:tc>
        <w:tc>
          <w:tcPr>
            <w:tcW w:w="1566" w:type="pct"/>
          </w:tcPr>
          <w:p w14:paraId="3E7B3AFB" w14:textId="5C463F92" w:rsidR="00F42E9B" w:rsidRDefault="00F42E9B" w:rsidP="00A36B4F">
            <w:pPr>
              <w:pStyle w:val="TableText"/>
            </w:pPr>
            <w:r w:rsidRPr="00FA291D">
              <w:t xml:space="preserve">Treatment </w:t>
            </w:r>
            <w:r>
              <w:t>–</w:t>
            </w:r>
            <w:r w:rsidRPr="00FA291D">
              <w:t xml:space="preserve"> </w:t>
            </w:r>
            <w:r>
              <w:t>f</w:t>
            </w:r>
            <w:r w:rsidRPr="00FA291D">
              <w:t>umigation</w:t>
            </w:r>
          </w:p>
        </w:tc>
        <w:tc>
          <w:tcPr>
            <w:tcW w:w="1324" w:type="pct"/>
          </w:tcPr>
          <w:p w14:paraId="189279BD" w14:textId="087D344F" w:rsidR="00F42E9B" w:rsidRDefault="00F42E9B" w:rsidP="00A36B4F">
            <w:pPr>
              <w:pStyle w:val="TableText"/>
            </w:pPr>
            <w:r w:rsidRPr="000920AA">
              <w:t xml:space="preserve">Per </w:t>
            </w:r>
            <w:r>
              <w:t>treatment</w:t>
            </w:r>
          </w:p>
        </w:tc>
        <w:tc>
          <w:tcPr>
            <w:tcW w:w="588" w:type="pct"/>
          </w:tcPr>
          <w:p w14:paraId="2B30FE2E" w14:textId="116D1A76" w:rsidR="00F42E9B" w:rsidRDefault="00F42E9B" w:rsidP="00A36B4F">
            <w:pPr>
              <w:pStyle w:val="TableText"/>
              <w:jc w:val="right"/>
            </w:pPr>
            <w:r>
              <w:t>96</w:t>
            </w:r>
          </w:p>
        </w:tc>
        <w:tc>
          <w:tcPr>
            <w:tcW w:w="662" w:type="pct"/>
          </w:tcPr>
          <w:p w14:paraId="297BDB70" w14:textId="4863A7DC" w:rsidR="00F42E9B" w:rsidRDefault="00F42E9B" w:rsidP="00A36B4F">
            <w:pPr>
              <w:pStyle w:val="TableText"/>
              <w:jc w:val="right"/>
            </w:pPr>
            <w:r w:rsidRPr="00D60CEA">
              <w:t>100</w:t>
            </w:r>
          </w:p>
        </w:tc>
      </w:tr>
      <w:tr w:rsidR="00F42E9B" w14:paraId="3EC07896" w14:textId="0F9E1BBA" w:rsidTr="00F65312">
        <w:tc>
          <w:tcPr>
            <w:tcW w:w="860" w:type="pct"/>
            <w:vMerge/>
          </w:tcPr>
          <w:p w14:paraId="6338AF5A" w14:textId="0F49F75E" w:rsidR="00F42E9B" w:rsidRDefault="00F42E9B" w:rsidP="00A36B4F">
            <w:pPr>
              <w:pStyle w:val="TableText"/>
            </w:pPr>
          </w:p>
        </w:tc>
        <w:tc>
          <w:tcPr>
            <w:tcW w:w="1566" w:type="pct"/>
          </w:tcPr>
          <w:p w14:paraId="10ABF753" w14:textId="37D2F210" w:rsidR="00F42E9B" w:rsidRDefault="00F42E9B" w:rsidP="00A36B4F">
            <w:pPr>
              <w:pStyle w:val="TableText"/>
            </w:pPr>
            <w:r w:rsidRPr="00FA291D">
              <w:t xml:space="preserve">Treatment </w:t>
            </w:r>
            <w:r>
              <w:t>–</w:t>
            </w:r>
            <w:r w:rsidRPr="00FA291D">
              <w:t xml:space="preserve"> </w:t>
            </w:r>
            <w:r>
              <w:t>g</w:t>
            </w:r>
            <w:r w:rsidRPr="00FA291D">
              <w:t xml:space="preserve">amma </w:t>
            </w:r>
            <w:r>
              <w:t>i</w:t>
            </w:r>
            <w:r w:rsidRPr="00FA291D">
              <w:t>rradiation</w:t>
            </w:r>
          </w:p>
        </w:tc>
        <w:tc>
          <w:tcPr>
            <w:tcW w:w="1324" w:type="pct"/>
          </w:tcPr>
          <w:p w14:paraId="303BE6A6" w14:textId="593CCA37" w:rsidR="00F42E9B" w:rsidRDefault="00F42E9B" w:rsidP="00A36B4F">
            <w:pPr>
              <w:pStyle w:val="TableText"/>
            </w:pPr>
            <w:r w:rsidRPr="000920AA">
              <w:t xml:space="preserve">Per </w:t>
            </w:r>
            <w:r>
              <w:t>treatment</w:t>
            </w:r>
          </w:p>
        </w:tc>
        <w:tc>
          <w:tcPr>
            <w:tcW w:w="588" w:type="pct"/>
          </w:tcPr>
          <w:p w14:paraId="71804071" w14:textId="219CE461" w:rsidR="00F42E9B" w:rsidRDefault="00F42E9B" w:rsidP="00A36B4F">
            <w:pPr>
              <w:pStyle w:val="TableText"/>
              <w:jc w:val="right"/>
            </w:pPr>
            <w:r>
              <w:t>96</w:t>
            </w:r>
          </w:p>
        </w:tc>
        <w:tc>
          <w:tcPr>
            <w:tcW w:w="662" w:type="pct"/>
          </w:tcPr>
          <w:p w14:paraId="3F9A5F59" w14:textId="4B46C087" w:rsidR="00F42E9B" w:rsidRDefault="00F42E9B" w:rsidP="00A36B4F">
            <w:pPr>
              <w:pStyle w:val="TableText"/>
              <w:jc w:val="right"/>
            </w:pPr>
            <w:r w:rsidRPr="00D60CEA">
              <w:t>100</w:t>
            </w:r>
          </w:p>
        </w:tc>
      </w:tr>
      <w:tr w:rsidR="00F42E9B" w14:paraId="1E273A52" w14:textId="2048BCB0" w:rsidTr="00F65312">
        <w:tc>
          <w:tcPr>
            <w:tcW w:w="860" w:type="pct"/>
            <w:vMerge/>
          </w:tcPr>
          <w:p w14:paraId="78DEE270" w14:textId="40C8CC50" w:rsidR="00F42E9B" w:rsidRDefault="00F42E9B" w:rsidP="00A36B4F">
            <w:pPr>
              <w:pStyle w:val="TableText"/>
            </w:pPr>
          </w:p>
        </w:tc>
        <w:tc>
          <w:tcPr>
            <w:tcW w:w="1566" w:type="pct"/>
          </w:tcPr>
          <w:p w14:paraId="19A1DBA0" w14:textId="53A12E56" w:rsidR="00F42E9B" w:rsidRDefault="00F42E9B" w:rsidP="00A36B4F">
            <w:pPr>
              <w:pStyle w:val="TableText"/>
            </w:pPr>
            <w:r w:rsidRPr="00FA291D">
              <w:t xml:space="preserve">Treatment </w:t>
            </w:r>
            <w:r>
              <w:t>–</w:t>
            </w:r>
            <w:r w:rsidRPr="00FA291D">
              <w:t xml:space="preserve"> </w:t>
            </w:r>
            <w:r>
              <w:t>h</w:t>
            </w:r>
            <w:r w:rsidRPr="00FA291D">
              <w:t xml:space="preserve">eat </w:t>
            </w:r>
            <w:r>
              <w:t>t</w:t>
            </w:r>
            <w:r w:rsidRPr="00FA291D">
              <w:t>reatment</w:t>
            </w:r>
          </w:p>
        </w:tc>
        <w:tc>
          <w:tcPr>
            <w:tcW w:w="1324" w:type="pct"/>
          </w:tcPr>
          <w:p w14:paraId="71734331" w14:textId="0F2435BC" w:rsidR="00F42E9B" w:rsidRDefault="00F42E9B" w:rsidP="00A36B4F">
            <w:pPr>
              <w:pStyle w:val="TableText"/>
            </w:pPr>
            <w:r w:rsidRPr="000920AA">
              <w:t xml:space="preserve">Per </w:t>
            </w:r>
            <w:r>
              <w:t>treatment</w:t>
            </w:r>
          </w:p>
        </w:tc>
        <w:tc>
          <w:tcPr>
            <w:tcW w:w="588" w:type="pct"/>
          </w:tcPr>
          <w:p w14:paraId="722F101F" w14:textId="1AF229F8" w:rsidR="00F42E9B" w:rsidRDefault="00F42E9B" w:rsidP="00A36B4F">
            <w:pPr>
              <w:pStyle w:val="TableText"/>
              <w:jc w:val="right"/>
            </w:pPr>
            <w:r>
              <w:t>96</w:t>
            </w:r>
          </w:p>
        </w:tc>
        <w:tc>
          <w:tcPr>
            <w:tcW w:w="662" w:type="pct"/>
          </w:tcPr>
          <w:p w14:paraId="217B803C" w14:textId="73E545E0" w:rsidR="00F42E9B" w:rsidRDefault="00F42E9B" w:rsidP="00A36B4F">
            <w:pPr>
              <w:pStyle w:val="TableText"/>
              <w:jc w:val="right"/>
            </w:pPr>
            <w:r w:rsidRPr="00D60CEA">
              <w:t>100</w:t>
            </w:r>
          </w:p>
        </w:tc>
      </w:tr>
      <w:tr w:rsidR="00F42E9B" w14:paraId="2F0C0D3C" w14:textId="2110217C" w:rsidTr="00F65312">
        <w:tc>
          <w:tcPr>
            <w:tcW w:w="860" w:type="pct"/>
            <w:vMerge w:val="restart"/>
          </w:tcPr>
          <w:p w14:paraId="58AE92C6" w14:textId="4302DB62" w:rsidR="00F42E9B" w:rsidRDefault="00F42E9B" w:rsidP="00F42E9B">
            <w:pPr>
              <w:pStyle w:val="TableText"/>
            </w:pPr>
            <w:r>
              <w:t>Travellers</w:t>
            </w:r>
          </w:p>
        </w:tc>
        <w:tc>
          <w:tcPr>
            <w:tcW w:w="1566" w:type="pct"/>
            <w:vAlign w:val="bottom"/>
          </w:tcPr>
          <w:p w14:paraId="3C419F94" w14:textId="5FA717D7" w:rsidR="00F42E9B" w:rsidRDefault="00F42E9B" w:rsidP="007C1CD6">
            <w:pPr>
              <w:pStyle w:val="TableText"/>
            </w:pPr>
            <w:r w:rsidRPr="00AC6230">
              <w:t>Treatment</w:t>
            </w:r>
          </w:p>
        </w:tc>
        <w:tc>
          <w:tcPr>
            <w:tcW w:w="1324" w:type="pct"/>
          </w:tcPr>
          <w:p w14:paraId="3C93CEF3" w14:textId="5D948239" w:rsidR="00F42E9B" w:rsidRDefault="00F42E9B" w:rsidP="007C1CD6">
            <w:pPr>
              <w:pStyle w:val="TableText"/>
            </w:pPr>
            <w:r w:rsidRPr="000920AA">
              <w:t xml:space="preserve">Per </w:t>
            </w:r>
            <w:r>
              <w:t>treatment</w:t>
            </w:r>
          </w:p>
        </w:tc>
        <w:tc>
          <w:tcPr>
            <w:tcW w:w="588" w:type="pct"/>
          </w:tcPr>
          <w:p w14:paraId="61CF6A52" w14:textId="5740C292" w:rsidR="00F42E9B" w:rsidRDefault="00F42E9B" w:rsidP="007C1CD6">
            <w:pPr>
              <w:pStyle w:val="TableText"/>
              <w:jc w:val="right"/>
            </w:pPr>
            <w:r>
              <w:t>132</w:t>
            </w:r>
          </w:p>
        </w:tc>
        <w:tc>
          <w:tcPr>
            <w:tcW w:w="662" w:type="pct"/>
          </w:tcPr>
          <w:p w14:paraId="02E155DC" w14:textId="22B5D772" w:rsidR="00F42E9B" w:rsidRDefault="00F42E9B" w:rsidP="007C1CD6">
            <w:pPr>
              <w:pStyle w:val="TableText"/>
              <w:jc w:val="right"/>
            </w:pPr>
            <w:r>
              <w:t>137</w:t>
            </w:r>
          </w:p>
        </w:tc>
      </w:tr>
      <w:tr w:rsidR="00F42E9B" w14:paraId="6EB006B9" w14:textId="77777777" w:rsidTr="00F65312">
        <w:tc>
          <w:tcPr>
            <w:tcW w:w="860" w:type="pct"/>
            <w:vMerge/>
          </w:tcPr>
          <w:p w14:paraId="0D6EC3B9" w14:textId="6795966B" w:rsidR="00F42E9B" w:rsidRDefault="00F42E9B" w:rsidP="007C1CD6">
            <w:pPr>
              <w:pStyle w:val="TableText"/>
            </w:pPr>
          </w:p>
        </w:tc>
        <w:tc>
          <w:tcPr>
            <w:tcW w:w="1566" w:type="pct"/>
          </w:tcPr>
          <w:p w14:paraId="6D57518B" w14:textId="284A79C2" w:rsidR="00F42E9B" w:rsidRDefault="00F42E9B" w:rsidP="007C1CD6">
            <w:pPr>
              <w:pStyle w:val="TableText"/>
            </w:pPr>
            <w:r>
              <w:t>Temporary storage</w:t>
            </w:r>
          </w:p>
        </w:tc>
        <w:tc>
          <w:tcPr>
            <w:tcW w:w="1324" w:type="pct"/>
          </w:tcPr>
          <w:p w14:paraId="49E02A52" w14:textId="16497C30" w:rsidR="00F42E9B" w:rsidRDefault="00F42E9B" w:rsidP="007C1CD6">
            <w:pPr>
              <w:pStyle w:val="TableText"/>
            </w:pPr>
            <w:r>
              <w:t>Per 30 days (or part thereof)</w:t>
            </w:r>
          </w:p>
        </w:tc>
        <w:tc>
          <w:tcPr>
            <w:tcW w:w="588" w:type="pct"/>
          </w:tcPr>
          <w:p w14:paraId="36494CF9" w14:textId="6A752CB5" w:rsidR="00F42E9B" w:rsidRDefault="00F42E9B" w:rsidP="007C1CD6">
            <w:pPr>
              <w:pStyle w:val="TableText"/>
              <w:jc w:val="right"/>
            </w:pPr>
            <w:r>
              <w:t>48</w:t>
            </w:r>
          </w:p>
        </w:tc>
        <w:tc>
          <w:tcPr>
            <w:tcW w:w="662" w:type="pct"/>
          </w:tcPr>
          <w:p w14:paraId="05281B68" w14:textId="67B25BA1" w:rsidR="00F42E9B" w:rsidRDefault="00F42E9B" w:rsidP="007C1CD6">
            <w:pPr>
              <w:pStyle w:val="TableText"/>
              <w:jc w:val="right"/>
            </w:pPr>
            <w:r>
              <w:t>50</w:t>
            </w:r>
          </w:p>
        </w:tc>
      </w:tr>
    </w:tbl>
    <w:bookmarkEnd w:id="2"/>
    <w:p w14:paraId="05D3C6F5" w14:textId="77777777" w:rsidR="00A7474D" w:rsidRPr="0080517C" w:rsidRDefault="00A7474D" w:rsidP="00A7474D">
      <w:pPr>
        <w:pStyle w:val="Heading2"/>
        <w:spacing w:before="360"/>
      </w:pPr>
      <w:r>
        <w:t>More</w:t>
      </w:r>
      <w:r w:rsidRPr="0080517C">
        <w:t xml:space="preserve"> information</w:t>
      </w:r>
    </w:p>
    <w:p w14:paraId="76353005" w14:textId="6141AA5D" w:rsidR="00A7474D" w:rsidRDefault="00F42E9B" w:rsidP="00F42E9B">
      <w:pPr>
        <w:spacing w:after="360"/>
        <w:rPr>
          <w:lang w:eastAsia="ja-JP"/>
        </w:rPr>
      </w:pPr>
      <w:bookmarkStart w:id="5" w:name="_Hlk163653999"/>
      <w:bookmarkStart w:id="6" w:name="_Hlk163653973"/>
      <w:r>
        <w:rPr>
          <w:lang w:eastAsia="ja-JP"/>
        </w:rPr>
        <w:t>To learn more about</w:t>
      </w:r>
      <w:r w:rsidR="008C0137">
        <w:rPr>
          <w:lang w:eastAsia="ja-JP"/>
        </w:rPr>
        <w:t xml:space="preserve"> </w:t>
      </w:r>
      <w:r w:rsidR="0065156A">
        <w:rPr>
          <w:lang w:eastAsia="ja-JP"/>
        </w:rPr>
        <w:t>fees and charges</w:t>
      </w:r>
      <w:r>
        <w:rPr>
          <w:lang w:eastAsia="ja-JP"/>
        </w:rPr>
        <w:t>, see</w:t>
      </w:r>
      <w:r w:rsidR="0065156A">
        <w:rPr>
          <w:lang w:eastAsia="ja-JP"/>
        </w:rPr>
        <w:t xml:space="preserve"> </w:t>
      </w:r>
      <w:hyperlink r:id="rId11" w:history="1">
        <w:r w:rsidR="004704C5" w:rsidRPr="004704C5">
          <w:rPr>
            <w:rStyle w:val="Hyperlink"/>
            <w:lang w:eastAsia="ja-JP"/>
          </w:rPr>
          <w:t>Biosecurity cost recovery implementation statements</w:t>
        </w:r>
      </w:hyperlink>
      <w:bookmarkEnd w:id="5"/>
      <w:r>
        <w:t xml:space="preserve"> or email </w:t>
      </w:r>
      <w:hyperlink r:id="rId12" w:history="1">
        <w:r w:rsidR="00A7474D" w:rsidRPr="00367022">
          <w:rPr>
            <w:rStyle w:val="Hyperlink"/>
            <w:lang w:eastAsia="ja-JP"/>
          </w:rPr>
          <w:t>BioCRIS@aff.gov.au</w:t>
        </w:r>
      </w:hyperlink>
      <w:r w:rsidR="00A7474D">
        <w:rPr>
          <w:rStyle w:val="Hyperlink"/>
          <w:lang w:eastAsia="ja-JP"/>
        </w:rPr>
        <w:t>.</w:t>
      </w:r>
    </w:p>
    <w:bookmarkEnd w:id="6"/>
    <w:p w14:paraId="03E125C4" w14:textId="77777777" w:rsidR="00F42E9B" w:rsidRDefault="00F42E9B" w:rsidP="00F42E9B">
      <w:pPr>
        <w:pStyle w:val="Normalsmall"/>
        <w:spacing w:after="0"/>
      </w:pPr>
      <w:r>
        <w:rPr>
          <w:rStyle w:val="Strong"/>
        </w:rPr>
        <w:t>Acknowledgement of Country</w:t>
      </w:r>
    </w:p>
    <w:p w14:paraId="6F72924A" w14:textId="77777777" w:rsidR="00F42E9B" w:rsidRPr="000A5BA0" w:rsidRDefault="00F42E9B" w:rsidP="00F42E9B">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196302AB" w14:textId="77777777" w:rsidR="00F42E9B" w:rsidRDefault="00F42E9B" w:rsidP="00F42E9B">
      <w:pPr>
        <w:pStyle w:val="Normalsmall"/>
        <w:spacing w:before="360"/>
      </w:pPr>
      <w:r>
        <w:t>© Commonwealth of Australia 2026</w:t>
      </w:r>
    </w:p>
    <w:p w14:paraId="066A0F40" w14:textId="77777777" w:rsidR="00F42E9B" w:rsidRDefault="00F42E9B" w:rsidP="00F42E9B">
      <w:pPr>
        <w:pStyle w:val="Normalsmall"/>
      </w:pPr>
      <w:r>
        <w:t>Unless otherwise noted, copyright (and any other intellectual property rights) in this publication is owned by the Commonwealth of Australia (referred to as the Commonwealth).</w:t>
      </w:r>
    </w:p>
    <w:p w14:paraId="2DD7B569" w14:textId="77777777" w:rsidR="00F42E9B" w:rsidRDefault="00F42E9B" w:rsidP="00F42E9B">
      <w:pPr>
        <w:pStyle w:val="Normalsmall"/>
      </w:pPr>
      <w:r>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0E7050AD" w14:textId="5DEC437E" w:rsidR="00A7474D" w:rsidRPr="00056631" w:rsidRDefault="00F42E9B" w:rsidP="00F42E9B">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A7474D" w:rsidRPr="00056631" w:rsidSect="00816A43">
      <w:headerReference w:type="even" r:id="rId14"/>
      <w:headerReference w:type="default" r:id="rId15"/>
      <w:footerReference w:type="even" r:id="rId16"/>
      <w:footerReference w:type="default" r:id="rId17"/>
      <w:headerReference w:type="first" r:id="rId18"/>
      <w:footerReference w:type="first" r:id="rId19"/>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8977" w14:textId="77777777" w:rsidR="005F7825" w:rsidRDefault="005F7825">
      <w:r>
        <w:separator/>
      </w:r>
    </w:p>
    <w:p w14:paraId="71176F0C" w14:textId="77777777" w:rsidR="005F7825" w:rsidRDefault="005F7825"/>
    <w:p w14:paraId="2B0C10E1" w14:textId="77777777" w:rsidR="005F7825" w:rsidRDefault="005F7825"/>
  </w:endnote>
  <w:endnote w:type="continuationSeparator" w:id="0">
    <w:p w14:paraId="0430723E" w14:textId="77777777" w:rsidR="005F7825" w:rsidRDefault="005F7825">
      <w:r>
        <w:continuationSeparator/>
      </w:r>
    </w:p>
    <w:p w14:paraId="519B5B8F" w14:textId="77777777" w:rsidR="005F7825" w:rsidRDefault="005F7825"/>
    <w:p w14:paraId="50146F24" w14:textId="77777777" w:rsidR="005F7825" w:rsidRDefault="005F7825"/>
  </w:endnote>
  <w:endnote w:type="continuationNotice" w:id="1">
    <w:p w14:paraId="6BFA41F0" w14:textId="77777777" w:rsidR="005F7825" w:rsidRDefault="005F7825">
      <w:pPr>
        <w:pStyle w:val="Footer"/>
      </w:pPr>
    </w:p>
    <w:p w14:paraId="7AC08F71" w14:textId="77777777" w:rsidR="005F7825" w:rsidRDefault="005F7825"/>
    <w:p w14:paraId="484BDA9C" w14:textId="77777777" w:rsidR="005F7825" w:rsidRDefault="005F7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B3D2" w14:textId="77777777" w:rsidR="00F637B6" w:rsidRDefault="00F637B6">
    <w:pPr>
      <w:pStyle w:val="Footer"/>
    </w:pPr>
    <w:r>
      <w:rPr>
        <w:noProof/>
      </w:rPr>
      <mc:AlternateContent>
        <mc:Choice Requires="wps">
          <w:drawing>
            <wp:anchor distT="0" distB="0" distL="0" distR="0" simplePos="0" relativeHeight="251664384" behindDoc="0" locked="0" layoutInCell="1" allowOverlap="1" wp14:anchorId="33BCB098" wp14:editId="68CF939A">
              <wp:simplePos x="635" y="635"/>
              <wp:positionH relativeFrom="page">
                <wp:align>center</wp:align>
              </wp:positionH>
              <wp:positionV relativeFrom="page">
                <wp:align>bottom</wp:align>
              </wp:positionV>
              <wp:extent cx="443865" cy="443865"/>
              <wp:effectExtent l="0" t="0" r="635" b="0"/>
              <wp:wrapNone/>
              <wp:docPr id="17429967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3F978"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CB098"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5C3F978"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0A2D" w14:textId="6801D3BC" w:rsidR="00863E83" w:rsidRDefault="00863E83" w:rsidP="00863E83">
    <w:pPr>
      <w:pStyle w:val="Footer"/>
    </w:pPr>
    <w:r w:rsidRPr="007B1F92">
      <w:t>Department of Agriculture, Fisheries and Forestry</w:t>
    </w:r>
  </w:p>
  <w:p w14:paraId="32D6388A" w14:textId="77777777" w:rsidR="000542B4" w:rsidRDefault="005F7825"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40093"/>
      <w:docPartObj>
        <w:docPartGallery w:val="Page Numbers (Bottom of Page)"/>
        <w:docPartUnique/>
      </w:docPartObj>
    </w:sdtPr>
    <w:sdtEndPr>
      <w:rPr>
        <w:noProof/>
      </w:rPr>
    </w:sdtEndPr>
    <w:sdtContent>
      <w:p w14:paraId="44415380"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1D07" w14:textId="77777777" w:rsidR="005F7825" w:rsidRDefault="005F7825">
      <w:r>
        <w:separator/>
      </w:r>
    </w:p>
    <w:p w14:paraId="444491D9" w14:textId="77777777" w:rsidR="005F7825" w:rsidRDefault="005F7825"/>
    <w:p w14:paraId="159C18DD" w14:textId="77777777" w:rsidR="005F7825" w:rsidRDefault="005F7825"/>
  </w:footnote>
  <w:footnote w:type="continuationSeparator" w:id="0">
    <w:p w14:paraId="63B47FAD" w14:textId="77777777" w:rsidR="005F7825" w:rsidRDefault="005F7825">
      <w:r>
        <w:continuationSeparator/>
      </w:r>
    </w:p>
    <w:p w14:paraId="1E92F9A6" w14:textId="77777777" w:rsidR="005F7825" w:rsidRDefault="005F7825"/>
    <w:p w14:paraId="07801B11" w14:textId="77777777" w:rsidR="005F7825" w:rsidRDefault="005F7825"/>
  </w:footnote>
  <w:footnote w:type="continuationNotice" w:id="1">
    <w:p w14:paraId="502C073A" w14:textId="77777777" w:rsidR="005F7825" w:rsidRDefault="005F7825">
      <w:pPr>
        <w:pStyle w:val="Footer"/>
      </w:pPr>
    </w:p>
    <w:p w14:paraId="441E18FB" w14:textId="77777777" w:rsidR="005F7825" w:rsidRDefault="005F7825"/>
    <w:p w14:paraId="51B13803" w14:textId="77777777" w:rsidR="005F7825" w:rsidRDefault="005F7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D882" w14:textId="77777777" w:rsidR="00F637B6" w:rsidRDefault="00F637B6">
    <w:pPr>
      <w:pStyle w:val="Header"/>
    </w:pPr>
    <w:r>
      <w:rPr>
        <w:noProof/>
      </w:rPr>
      <mc:AlternateContent>
        <mc:Choice Requires="wps">
          <w:drawing>
            <wp:anchor distT="0" distB="0" distL="0" distR="0" simplePos="0" relativeHeight="251661312" behindDoc="0" locked="0" layoutInCell="1" allowOverlap="1" wp14:anchorId="1A921D10" wp14:editId="7271ABBA">
              <wp:simplePos x="635" y="635"/>
              <wp:positionH relativeFrom="page">
                <wp:align>center</wp:align>
              </wp:positionH>
              <wp:positionV relativeFrom="page">
                <wp:align>top</wp:align>
              </wp:positionV>
              <wp:extent cx="443865" cy="443865"/>
              <wp:effectExtent l="0" t="0" r="635" b="14605"/>
              <wp:wrapNone/>
              <wp:docPr id="441879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9909A"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21D10"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19909A"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0AB3" w14:textId="460676BE" w:rsidR="000542B4" w:rsidRDefault="00736D8A">
    <w:pPr>
      <w:pStyle w:val="Header"/>
    </w:pPr>
    <w:r w:rsidRPr="00736D8A">
      <w:t xml:space="preserve">Fees and charges for biosecurity </w:t>
    </w:r>
    <w:r w:rsidR="00B43E79">
      <w:t xml:space="preserve">and imported food </w:t>
    </w:r>
    <w:r w:rsidRPr="00736D8A">
      <w:t>regulatory activity from 1 July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92F7" w14:textId="77777777"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3F0E6FDD" wp14:editId="27E63F5D">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50D3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3"/>
  </w:num>
  <w:num w:numId="3" w16cid:durableId="211696695">
    <w:abstractNumId w:val="7"/>
  </w:num>
  <w:num w:numId="4" w16cid:durableId="1550148830">
    <w:abstractNumId w:val="8"/>
  </w:num>
  <w:num w:numId="5" w16cid:durableId="1460108156">
    <w:abstractNumId w:val="1"/>
  </w:num>
  <w:num w:numId="6" w16cid:durableId="1934704985">
    <w:abstractNumId w:val="5"/>
  </w:num>
  <w:num w:numId="7" w16cid:durableId="1013073201">
    <w:abstractNumId w:val="6"/>
  </w:num>
  <w:num w:numId="8" w16cid:durableId="524289160">
    <w:abstractNumId w:val="2"/>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78042045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43"/>
    <w:rsid w:val="0000059E"/>
    <w:rsid w:val="0000066F"/>
    <w:rsid w:val="00001B53"/>
    <w:rsid w:val="000170A9"/>
    <w:rsid w:val="00017ACB"/>
    <w:rsid w:val="00021590"/>
    <w:rsid w:val="00025D1B"/>
    <w:rsid w:val="000266C4"/>
    <w:rsid w:val="000542B4"/>
    <w:rsid w:val="00056631"/>
    <w:rsid w:val="000618F3"/>
    <w:rsid w:val="00064056"/>
    <w:rsid w:val="00066D0B"/>
    <w:rsid w:val="000717D2"/>
    <w:rsid w:val="00074A56"/>
    <w:rsid w:val="00080827"/>
    <w:rsid w:val="0008277A"/>
    <w:rsid w:val="00084523"/>
    <w:rsid w:val="000904C1"/>
    <w:rsid w:val="000913B5"/>
    <w:rsid w:val="0009583E"/>
    <w:rsid w:val="00095B09"/>
    <w:rsid w:val="000A08B5"/>
    <w:rsid w:val="000A5BA0"/>
    <w:rsid w:val="000B3924"/>
    <w:rsid w:val="000B3C44"/>
    <w:rsid w:val="000C0412"/>
    <w:rsid w:val="000C29E2"/>
    <w:rsid w:val="000C4558"/>
    <w:rsid w:val="000C67CF"/>
    <w:rsid w:val="000E455C"/>
    <w:rsid w:val="000E4D74"/>
    <w:rsid w:val="000E7803"/>
    <w:rsid w:val="000F0491"/>
    <w:rsid w:val="000F4F40"/>
    <w:rsid w:val="0010223A"/>
    <w:rsid w:val="001150A3"/>
    <w:rsid w:val="001233A8"/>
    <w:rsid w:val="0013083A"/>
    <w:rsid w:val="0013173D"/>
    <w:rsid w:val="00131891"/>
    <w:rsid w:val="001414E9"/>
    <w:rsid w:val="00143A7B"/>
    <w:rsid w:val="00144601"/>
    <w:rsid w:val="00144B4C"/>
    <w:rsid w:val="00171C98"/>
    <w:rsid w:val="00187F44"/>
    <w:rsid w:val="00190D7E"/>
    <w:rsid w:val="001929D2"/>
    <w:rsid w:val="001A0900"/>
    <w:rsid w:val="001A6968"/>
    <w:rsid w:val="001B01A6"/>
    <w:rsid w:val="001C7ED5"/>
    <w:rsid w:val="001D0EF3"/>
    <w:rsid w:val="001D6909"/>
    <w:rsid w:val="00201BFB"/>
    <w:rsid w:val="00203DE1"/>
    <w:rsid w:val="002149B6"/>
    <w:rsid w:val="0021506A"/>
    <w:rsid w:val="00215464"/>
    <w:rsid w:val="00220618"/>
    <w:rsid w:val="00226D54"/>
    <w:rsid w:val="00231DC5"/>
    <w:rsid w:val="00232141"/>
    <w:rsid w:val="002359E0"/>
    <w:rsid w:val="00237A69"/>
    <w:rsid w:val="0025659A"/>
    <w:rsid w:val="002629AD"/>
    <w:rsid w:val="00275B58"/>
    <w:rsid w:val="00284B53"/>
    <w:rsid w:val="002A22D6"/>
    <w:rsid w:val="002A7913"/>
    <w:rsid w:val="002B1FAF"/>
    <w:rsid w:val="002B5F26"/>
    <w:rsid w:val="002C1046"/>
    <w:rsid w:val="002E04D3"/>
    <w:rsid w:val="002E3FD4"/>
    <w:rsid w:val="002F1D43"/>
    <w:rsid w:val="002F4595"/>
    <w:rsid w:val="00300AFD"/>
    <w:rsid w:val="003032C0"/>
    <w:rsid w:val="00314AE9"/>
    <w:rsid w:val="00315F42"/>
    <w:rsid w:val="00320517"/>
    <w:rsid w:val="00320AA4"/>
    <w:rsid w:val="00320E7F"/>
    <w:rsid w:val="00336B60"/>
    <w:rsid w:val="0035108D"/>
    <w:rsid w:val="003569F9"/>
    <w:rsid w:val="003609AA"/>
    <w:rsid w:val="00360ACC"/>
    <w:rsid w:val="00366721"/>
    <w:rsid w:val="003705D4"/>
    <w:rsid w:val="00370990"/>
    <w:rsid w:val="0037698A"/>
    <w:rsid w:val="00383EB0"/>
    <w:rsid w:val="00392124"/>
    <w:rsid w:val="003937B8"/>
    <w:rsid w:val="003C5959"/>
    <w:rsid w:val="003E37C8"/>
    <w:rsid w:val="003E5E68"/>
    <w:rsid w:val="003F73D7"/>
    <w:rsid w:val="00411260"/>
    <w:rsid w:val="004277DA"/>
    <w:rsid w:val="00437040"/>
    <w:rsid w:val="00442630"/>
    <w:rsid w:val="0044304D"/>
    <w:rsid w:val="00446CB3"/>
    <w:rsid w:val="004704C5"/>
    <w:rsid w:val="00474BB1"/>
    <w:rsid w:val="00477888"/>
    <w:rsid w:val="004826B6"/>
    <w:rsid w:val="00483F5E"/>
    <w:rsid w:val="00485201"/>
    <w:rsid w:val="00495068"/>
    <w:rsid w:val="004C2DA2"/>
    <w:rsid w:val="004D0888"/>
    <w:rsid w:val="004D17CB"/>
    <w:rsid w:val="004E6316"/>
    <w:rsid w:val="005019C1"/>
    <w:rsid w:val="005070C8"/>
    <w:rsid w:val="005149C8"/>
    <w:rsid w:val="00514CEE"/>
    <w:rsid w:val="00515287"/>
    <w:rsid w:val="005157CF"/>
    <w:rsid w:val="005278F5"/>
    <w:rsid w:val="00530D2E"/>
    <w:rsid w:val="00531B5A"/>
    <w:rsid w:val="00553E9D"/>
    <w:rsid w:val="0055447F"/>
    <w:rsid w:val="00560322"/>
    <w:rsid w:val="00562C39"/>
    <w:rsid w:val="00567DFC"/>
    <w:rsid w:val="00571888"/>
    <w:rsid w:val="00577F29"/>
    <w:rsid w:val="00582031"/>
    <w:rsid w:val="005A48A6"/>
    <w:rsid w:val="005A7457"/>
    <w:rsid w:val="005B613F"/>
    <w:rsid w:val="005B656B"/>
    <w:rsid w:val="005C2BFD"/>
    <w:rsid w:val="005E2125"/>
    <w:rsid w:val="005F7825"/>
    <w:rsid w:val="0060682D"/>
    <w:rsid w:val="00607A21"/>
    <w:rsid w:val="00607A36"/>
    <w:rsid w:val="00613137"/>
    <w:rsid w:val="006156DF"/>
    <w:rsid w:val="00615DBF"/>
    <w:rsid w:val="00616C5C"/>
    <w:rsid w:val="00624383"/>
    <w:rsid w:val="00625D8D"/>
    <w:rsid w:val="00625F97"/>
    <w:rsid w:val="006360F9"/>
    <w:rsid w:val="00642F36"/>
    <w:rsid w:val="00646917"/>
    <w:rsid w:val="0065156A"/>
    <w:rsid w:val="00656587"/>
    <w:rsid w:val="00657989"/>
    <w:rsid w:val="00662ABE"/>
    <w:rsid w:val="00696682"/>
    <w:rsid w:val="006A55C3"/>
    <w:rsid w:val="006B0030"/>
    <w:rsid w:val="006B49DE"/>
    <w:rsid w:val="006D413F"/>
    <w:rsid w:val="006D4B91"/>
    <w:rsid w:val="006E353E"/>
    <w:rsid w:val="006E4781"/>
    <w:rsid w:val="006F162E"/>
    <w:rsid w:val="006F6FE8"/>
    <w:rsid w:val="00700A80"/>
    <w:rsid w:val="00703B0F"/>
    <w:rsid w:val="0070464B"/>
    <w:rsid w:val="00712991"/>
    <w:rsid w:val="00721291"/>
    <w:rsid w:val="007258B1"/>
    <w:rsid w:val="00725C8B"/>
    <w:rsid w:val="00727DCD"/>
    <w:rsid w:val="00736D8A"/>
    <w:rsid w:val="007407BF"/>
    <w:rsid w:val="00741C88"/>
    <w:rsid w:val="00746C52"/>
    <w:rsid w:val="00754CA3"/>
    <w:rsid w:val="0076317A"/>
    <w:rsid w:val="0076549B"/>
    <w:rsid w:val="00766E9C"/>
    <w:rsid w:val="00780288"/>
    <w:rsid w:val="007811B3"/>
    <w:rsid w:val="00793E18"/>
    <w:rsid w:val="007B2A2D"/>
    <w:rsid w:val="007B4C63"/>
    <w:rsid w:val="007C0010"/>
    <w:rsid w:val="007C1CD6"/>
    <w:rsid w:val="007E69AF"/>
    <w:rsid w:val="007F3077"/>
    <w:rsid w:val="007F3922"/>
    <w:rsid w:val="007F4986"/>
    <w:rsid w:val="008040B2"/>
    <w:rsid w:val="0080517C"/>
    <w:rsid w:val="00813E69"/>
    <w:rsid w:val="00816A43"/>
    <w:rsid w:val="00816A44"/>
    <w:rsid w:val="00832638"/>
    <w:rsid w:val="00837596"/>
    <w:rsid w:val="008508EC"/>
    <w:rsid w:val="00853F69"/>
    <w:rsid w:val="00863E83"/>
    <w:rsid w:val="00865130"/>
    <w:rsid w:val="00871043"/>
    <w:rsid w:val="008722E0"/>
    <w:rsid w:val="008733E9"/>
    <w:rsid w:val="00892F53"/>
    <w:rsid w:val="00895341"/>
    <w:rsid w:val="008A346F"/>
    <w:rsid w:val="008B13CA"/>
    <w:rsid w:val="008C0137"/>
    <w:rsid w:val="008C5C16"/>
    <w:rsid w:val="008E3B54"/>
    <w:rsid w:val="008F1712"/>
    <w:rsid w:val="008F1769"/>
    <w:rsid w:val="008F1AFE"/>
    <w:rsid w:val="008F382A"/>
    <w:rsid w:val="008F786B"/>
    <w:rsid w:val="0090260C"/>
    <w:rsid w:val="00902E92"/>
    <w:rsid w:val="0090743D"/>
    <w:rsid w:val="00911F4A"/>
    <w:rsid w:val="00913747"/>
    <w:rsid w:val="00916FC3"/>
    <w:rsid w:val="00935EFC"/>
    <w:rsid w:val="00943779"/>
    <w:rsid w:val="009527E9"/>
    <w:rsid w:val="009537EA"/>
    <w:rsid w:val="00961F7F"/>
    <w:rsid w:val="009648BA"/>
    <w:rsid w:val="009677E0"/>
    <w:rsid w:val="00974CD6"/>
    <w:rsid w:val="00983299"/>
    <w:rsid w:val="009844EA"/>
    <w:rsid w:val="009A39D4"/>
    <w:rsid w:val="009A5D19"/>
    <w:rsid w:val="009B6EBB"/>
    <w:rsid w:val="009B7461"/>
    <w:rsid w:val="009C1267"/>
    <w:rsid w:val="009C206F"/>
    <w:rsid w:val="009C37F9"/>
    <w:rsid w:val="009C3FA3"/>
    <w:rsid w:val="009C5CE4"/>
    <w:rsid w:val="009C6CEF"/>
    <w:rsid w:val="009D7044"/>
    <w:rsid w:val="009E6E21"/>
    <w:rsid w:val="009E7262"/>
    <w:rsid w:val="00A0018B"/>
    <w:rsid w:val="00A005B3"/>
    <w:rsid w:val="00A0289A"/>
    <w:rsid w:val="00A04AFD"/>
    <w:rsid w:val="00A130F7"/>
    <w:rsid w:val="00A13B36"/>
    <w:rsid w:val="00A163B2"/>
    <w:rsid w:val="00A227E8"/>
    <w:rsid w:val="00A32860"/>
    <w:rsid w:val="00A36B4F"/>
    <w:rsid w:val="00A62CD6"/>
    <w:rsid w:val="00A62F99"/>
    <w:rsid w:val="00A65D84"/>
    <w:rsid w:val="00A661FD"/>
    <w:rsid w:val="00A7016C"/>
    <w:rsid w:val="00A735A0"/>
    <w:rsid w:val="00A7474D"/>
    <w:rsid w:val="00A77E8E"/>
    <w:rsid w:val="00A8157A"/>
    <w:rsid w:val="00A8338F"/>
    <w:rsid w:val="00A91633"/>
    <w:rsid w:val="00AA1D89"/>
    <w:rsid w:val="00AA213D"/>
    <w:rsid w:val="00AC035E"/>
    <w:rsid w:val="00AC0FB7"/>
    <w:rsid w:val="00AC772A"/>
    <w:rsid w:val="00AE1E6E"/>
    <w:rsid w:val="00AE40DE"/>
    <w:rsid w:val="00AE4763"/>
    <w:rsid w:val="00AE5230"/>
    <w:rsid w:val="00AE6B3E"/>
    <w:rsid w:val="00B0121B"/>
    <w:rsid w:val="00B0455B"/>
    <w:rsid w:val="00B11E02"/>
    <w:rsid w:val="00B3190C"/>
    <w:rsid w:val="00B3476F"/>
    <w:rsid w:val="00B37E04"/>
    <w:rsid w:val="00B404AB"/>
    <w:rsid w:val="00B43568"/>
    <w:rsid w:val="00B43E79"/>
    <w:rsid w:val="00B477F1"/>
    <w:rsid w:val="00B50AE4"/>
    <w:rsid w:val="00B65B69"/>
    <w:rsid w:val="00B73946"/>
    <w:rsid w:val="00B82095"/>
    <w:rsid w:val="00B8353E"/>
    <w:rsid w:val="00B87465"/>
    <w:rsid w:val="00B90975"/>
    <w:rsid w:val="00B93571"/>
    <w:rsid w:val="00B940D3"/>
    <w:rsid w:val="00B94CBD"/>
    <w:rsid w:val="00BA0454"/>
    <w:rsid w:val="00BA2806"/>
    <w:rsid w:val="00BA7C58"/>
    <w:rsid w:val="00BC321A"/>
    <w:rsid w:val="00BD4F8E"/>
    <w:rsid w:val="00BE345B"/>
    <w:rsid w:val="00BE7C56"/>
    <w:rsid w:val="00BF2FA5"/>
    <w:rsid w:val="00C10509"/>
    <w:rsid w:val="00C312B5"/>
    <w:rsid w:val="00C44DD8"/>
    <w:rsid w:val="00C47CE1"/>
    <w:rsid w:val="00C52FF0"/>
    <w:rsid w:val="00C6128D"/>
    <w:rsid w:val="00C71DF3"/>
    <w:rsid w:val="00C73278"/>
    <w:rsid w:val="00C765C8"/>
    <w:rsid w:val="00C82029"/>
    <w:rsid w:val="00C850D5"/>
    <w:rsid w:val="00C86A5B"/>
    <w:rsid w:val="00C9283A"/>
    <w:rsid w:val="00C93EA0"/>
    <w:rsid w:val="00C95039"/>
    <w:rsid w:val="00CA4615"/>
    <w:rsid w:val="00CA7C6F"/>
    <w:rsid w:val="00CC214A"/>
    <w:rsid w:val="00CC678D"/>
    <w:rsid w:val="00CD3A6F"/>
    <w:rsid w:val="00CD507C"/>
    <w:rsid w:val="00CD6263"/>
    <w:rsid w:val="00CE7F36"/>
    <w:rsid w:val="00CF7D08"/>
    <w:rsid w:val="00D04A3C"/>
    <w:rsid w:val="00D06C32"/>
    <w:rsid w:val="00D20F1E"/>
    <w:rsid w:val="00D22097"/>
    <w:rsid w:val="00D22887"/>
    <w:rsid w:val="00D22A23"/>
    <w:rsid w:val="00D2429D"/>
    <w:rsid w:val="00D36C41"/>
    <w:rsid w:val="00D4039B"/>
    <w:rsid w:val="00D47FC5"/>
    <w:rsid w:val="00D50496"/>
    <w:rsid w:val="00D533AE"/>
    <w:rsid w:val="00D55A85"/>
    <w:rsid w:val="00D574D5"/>
    <w:rsid w:val="00D750D0"/>
    <w:rsid w:val="00D7737C"/>
    <w:rsid w:val="00D77CBA"/>
    <w:rsid w:val="00D8006B"/>
    <w:rsid w:val="00D87480"/>
    <w:rsid w:val="00D95823"/>
    <w:rsid w:val="00DA3233"/>
    <w:rsid w:val="00DB71FD"/>
    <w:rsid w:val="00DC453F"/>
    <w:rsid w:val="00DC547C"/>
    <w:rsid w:val="00DC57F0"/>
    <w:rsid w:val="00DC5E3D"/>
    <w:rsid w:val="00DD39BD"/>
    <w:rsid w:val="00DE546F"/>
    <w:rsid w:val="00DF241E"/>
    <w:rsid w:val="00E25A07"/>
    <w:rsid w:val="00E333DF"/>
    <w:rsid w:val="00E44E91"/>
    <w:rsid w:val="00E564F7"/>
    <w:rsid w:val="00E6122D"/>
    <w:rsid w:val="00E80363"/>
    <w:rsid w:val="00E83C41"/>
    <w:rsid w:val="00E87842"/>
    <w:rsid w:val="00E93631"/>
    <w:rsid w:val="00E9781D"/>
    <w:rsid w:val="00EA1AC0"/>
    <w:rsid w:val="00EA5648"/>
    <w:rsid w:val="00EA5D76"/>
    <w:rsid w:val="00EB035E"/>
    <w:rsid w:val="00EC2925"/>
    <w:rsid w:val="00EC5579"/>
    <w:rsid w:val="00EC5C40"/>
    <w:rsid w:val="00EC6E32"/>
    <w:rsid w:val="00ED4F75"/>
    <w:rsid w:val="00ED774B"/>
    <w:rsid w:val="00EE0118"/>
    <w:rsid w:val="00EE49CE"/>
    <w:rsid w:val="00EE7C8D"/>
    <w:rsid w:val="00EF24B1"/>
    <w:rsid w:val="00EF3918"/>
    <w:rsid w:val="00F01A62"/>
    <w:rsid w:val="00F0550C"/>
    <w:rsid w:val="00F16EF0"/>
    <w:rsid w:val="00F17081"/>
    <w:rsid w:val="00F23AF2"/>
    <w:rsid w:val="00F30857"/>
    <w:rsid w:val="00F330C3"/>
    <w:rsid w:val="00F35230"/>
    <w:rsid w:val="00F3602D"/>
    <w:rsid w:val="00F42E9B"/>
    <w:rsid w:val="00F44380"/>
    <w:rsid w:val="00F46889"/>
    <w:rsid w:val="00F61DBE"/>
    <w:rsid w:val="00F637B6"/>
    <w:rsid w:val="00F65312"/>
    <w:rsid w:val="00F715A1"/>
    <w:rsid w:val="00F75F33"/>
    <w:rsid w:val="00F76852"/>
    <w:rsid w:val="00F76D2A"/>
    <w:rsid w:val="00F84236"/>
    <w:rsid w:val="00FA38A8"/>
    <w:rsid w:val="00FC2568"/>
    <w:rsid w:val="00FC2CE4"/>
    <w:rsid w:val="00FC379E"/>
    <w:rsid w:val="00FD1BDD"/>
    <w:rsid w:val="00FD337C"/>
    <w:rsid w:val="00FD3BAE"/>
    <w:rsid w:val="00FD5236"/>
    <w:rsid w:val="00FD7D5B"/>
    <w:rsid w:val="00FE0F23"/>
    <w:rsid w:val="00FE5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C7078"/>
  <w15:docId w15:val="{476C1B5F-259F-41C5-8212-78086C52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F637B6"/>
    <w:pPr>
      <w:numPr>
        <w:ilvl w:val="1"/>
        <w:numId w:val="4"/>
      </w:numPr>
      <w:tabs>
        <w:tab w:val="left" w:pos="567"/>
      </w:tabs>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numberedlist2">
    <w:name w:val="Table numbered list 2"/>
    <w:basedOn w:val="TableText"/>
    <w:qFormat/>
    <w:rsid w:val="00143A7B"/>
    <w:pPr>
      <w:numPr>
        <w:ilvl w:val="1"/>
        <w:numId w:val="12"/>
      </w:numPr>
    </w:pPr>
    <w:rPr>
      <w:rFonts w:eastAsiaTheme="minorHAnsi" w:cstheme="minorBidi"/>
      <w:color w:val="auto"/>
      <w:sz w:val="18"/>
      <w:lang w:val="en-AU" w:eastAsia="en-US"/>
    </w:rPr>
  </w:style>
  <w:style w:type="paragraph" w:customStyle="1" w:styleId="Tablenumberedlist3">
    <w:name w:val="Table numbered list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numbering" w:customStyle="1" w:styleId="List11">
    <w:name w:val="List11"/>
    <w:basedOn w:val="NoList"/>
    <w:uiPriority w:val="99"/>
    <w:rsid w:val="00FD1BDD"/>
  </w:style>
  <w:style w:type="numbering" w:customStyle="1" w:styleId="Numberlist1">
    <w:name w:val="Number list1"/>
    <w:uiPriority w:val="99"/>
    <w:rsid w:val="00FD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oCRIS@aff.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about/fees/biosecurity-cri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474190D6-AB4C-4F8F-88CD-58C8FA46B8D3}"/>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17</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Mail and traveller pathway fees 2026–27</vt:lpstr>
    </vt:vector>
  </TitlesOfParts>
  <Company/>
  <LinksUpToDate>false</LinksUpToDate>
  <CharactersWithSpaces>2316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and traveller pathway fees 2026–27</dc:title>
  <dc:creator>Department of Agriculture, Fisheries and Forestry</dc:creator>
  <cp:revision>6</cp:revision>
  <cp:lastPrinted>2025-06-25T05:22:00Z</cp:lastPrinted>
  <dcterms:created xsi:type="dcterms:W3CDTF">2026-06-22T02:26:00Z</dcterms:created>
  <dcterms:modified xsi:type="dcterms:W3CDTF">2026-06-26T04:45:00Z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9b46975,1a568d03,2d9ecd7f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189b4681,67e404fa,44b48a58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2024-02-26T21:50:56Z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3721af09-955a-4638-ac1c-9d231f6e033f</vt:lpwstr>
  </property>
  <property fmtid="{D5CDD505-2E9C-101B-9397-08002B2CF9AE}" pid="15" name="MSIP_Label_933d8be6-3c40-4052-87a2-9c2adcba8759_ContentBits">
    <vt:lpwstr>3</vt:lpwstr>
  </property>
  <property fmtid="{D5CDD505-2E9C-101B-9397-08002B2CF9AE}" pid="16" name="MediaServiceImageTags">
    <vt:lpwstr/>
  </property>
</Properties>
</file>