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2DD0" w14:textId="72A20098" w:rsidR="00B82095" w:rsidRDefault="00B92945" w:rsidP="009B6EBB">
      <w:pPr>
        <w:pStyle w:val="Heading1"/>
        <w:spacing w:before="840"/>
      </w:pPr>
      <w:r>
        <w:t>2026</w:t>
      </w:r>
      <w:r w:rsidR="00A21C25">
        <w:t>–</w:t>
      </w:r>
      <w:r>
        <w:t xml:space="preserve">27 </w:t>
      </w:r>
      <w:r w:rsidR="00FD1BDD">
        <w:t>f</w:t>
      </w:r>
      <w:r w:rsidR="00816A43" w:rsidRPr="00816A43">
        <w:t xml:space="preserve">ees and charges for biosecurity </w:t>
      </w:r>
      <w:r w:rsidR="00FD1BDD">
        <w:t xml:space="preserve">and imported food regulatory </w:t>
      </w:r>
      <w:r w:rsidR="00816A43" w:rsidRPr="00816A43">
        <w:t xml:space="preserve">activity </w:t>
      </w:r>
    </w:p>
    <w:p w14:paraId="7623B5D5" w14:textId="0F0F4B12" w:rsidR="000253F4" w:rsidRDefault="00D460B2" w:rsidP="00D460B2">
      <w:r>
        <w:t xml:space="preserve">In </w:t>
      </w:r>
      <w:r w:rsidR="00A035AF">
        <w:t xml:space="preserve">the </w:t>
      </w:r>
      <w:r>
        <w:t>2026</w:t>
      </w:r>
      <w:r w:rsidR="00E826FF">
        <w:t>–</w:t>
      </w:r>
      <w:r>
        <w:t xml:space="preserve">27 </w:t>
      </w:r>
      <w:r w:rsidR="00A035AF">
        <w:t xml:space="preserve">financial year, </w:t>
      </w:r>
      <w:r>
        <w:t xml:space="preserve">most cost recovery charges </w:t>
      </w:r>
      <w:r w:rsidR="00A035AF">
        <w:t xml:space="preserve">for biosecurity and imported food regulatory activity </w:t>
      </w:r>
      <w:r w:rsidR="000253F4">
        <w:t>will increase by 3.8%</w:t>
      </w:r>
      <w:r w:rsidR="00FF1AE1">
        <w:t xml:space="preserve"> in accordance with legislated indexation provisions</w:t>
      </w:r>
      <w:r w:rsidR="00A035AF">
        <w:t>.</w:t>
      </w:r>
      <w:r w:rsidR="000253F4">
        <w:t xml:space="preserve"> </w:t>
      </w:r>
      <w:r w:rsidR="00A035AF">
        <w:t>T</w:t>
      </w:r>
      <w:r>
        <w:t xml:space="preserve">he exception to this is the </w:t>
      </w:r>
      <w:r w:rsidR="000253F4">
        <w:t>cost recovery cha</w:t>
      </w:r>
      <w:r w:rsidR="004A6473">
        <w:t>r</w:t>
      </w:r>
      <w:r w:rsidR="000253F4">
        <w:t xml:space="preserve">ges </w:t>
      </w:r>
      <w:r w:rsidR="004A6473">
        <w:t xml:space="preserve">that apply to </w:t>
      </w:r>
      <w:r w:rsidR="000253F4">
        <w:t>companion animal</w:t>
      </w:r>
      <w:r w:rsidR="004A6473">
        <w:t>s</w:t>
      </w:r>
      <w:r w:rsidR="000253F4">
        <w:t xml:space="preserve"> which </w:t>
      </w:r>
      <w:r w:rsidR="004A6473">
        <w:t xml:space="preserve">are proposed to </w:t>
      </w:r>
      <w:r w:rsidR="000253F4">
        <w:t>increase above the indexation</w:t>
      </w:r>
      <w:r w:rsidR="004A6473">
        <w:t xml:space="preserve"> amount</w:t>
      </w:r>
      <w:r w:rsidR="000253F4">
        <w:t xml:space="preserve">. This increase is driven by additional costs to deliver regulatory activity associated with companion animals at the Post Entry </w:t>
      </w:r>
      <w:r w:rsidR="004A6473">
        <w:t>Quarantine (PEQ)</w:t>
      </w:r>
      <w:r w:rsidR="000253F4">
        <w:t xml:space="preserve"> facility.</w:t>
      </w:r>
    </w:p>
    <w:p w14:paraId="33A9F574" w14:textId="4DF61BEC" w:rsidR="004A6473" w:rsidRDefault="000253F4" w:rsidP="00D460B2">
      <w:r>
        <w:t xml:space="preserve">In </w:t>
      </w:r>
      <w:r w:rsidR="00B357F2">
        <w:t>addition,</w:t>
      </w:r>
      <w:r w:rsidR="00713814">
        <w:t xml:space="preserve"> in </w:t>
      </w:r>
      <w:r w:rsidR="00A035AF">
        <w:t xml:space="preserve">the </w:t>
      </w:r>
      <w:r w:rsidR="00713814">
        <w:t>2026</w:t>
      </w:r>
      <w:r w:rsidR="00E826FF">
        <w:t>–</w:t>
      </w:r>
      <w:r w:rsidR="00713814">
        <w:t>27</w:t>
      </w:r>
      <w:r w:rsidR="00A035AF">
        <w:t xml:space="preserve"> financial year</w:t>
      </w:r>
      <w:r w:rsidR="00713814">
        <w:t xml:space="preserve"> </w:t>
      </w:r>
      <w:r w:rsidR="00A035AF">
        <w:t>the department is</w:t>
      </w:r>
      <w:r>
        <w:t xml:space="preserve"> proposing to</w:t>
      </w:r>
      <w:r w:rsidR="004A6473">
        <w:t>:</w:t>
      </w:r>
    </w:p>
    <w:p w14:paraId="774C3B30" w14:textId="4869EBF2" w:rsidR="004A6473" w:rsidRDefault="000253F4" w:rsidP="004A6473">
      <w:pPr>
        <w:pStyle w:val="ListBullet"/>
      </w:pPr>
      <w:r>
        <w:t>introduce new cost recovery charges for live snail</w:t>
      </w:r>
      <w:r w:rsidR="004A6473">
        <w:t xml:space="preserve"> consignment</w:t>
      </w:r>
      <w:r w:rsidR="00A035AF">
        <w:t>s</w:t>
      </w:r>
      <w:r w:rsidR="004A6473">
        <w:t xml:space="preserve"> when housed at the PEQ</w:t>
      </w:r>
    </w:p>
    <w:p w14:paraId="3C402B17" w14:textId="77777777" w:rsidR="004A6473" w:rsidRDefault="000253F4" w:rsidP="004A6473">
      <w:pPr>
        <w:pStyle w:val="ListBullet"/>
      </w:pPr>
      <w:r>
        <w:t>make improvements to cost recovery for diagnostics through the introduction of new charge points and a revised fees structure</w:t>
      </w:r>
    </w:p>
    <w:p w14:paraId="691DFEEE" w14:textId="742772DA" w:rsidR="00D460B2" w:rsidRDefault="004A6473" w:rsidP="004A6473">
      <w:pPr>
        <w:pStyle w:val="ListBullet"/>
      </w:pPr>
      <w:r>
        <w:t xml:space="preserve">amend </w:t>
      </w:r>
      <w:r w:rsidR="00A035AF">
        <w:t xml:space="preserve">specific </w:t>
      </w:r>
      <w:r>
        <w:t xml:space="preserve">legislative </w:t>
      </w:r>
      <w:r w:rsidR="00DB50CC">
        <w:t>provisions and</w:t>
      </w:r>
      <w:r>
        <w:t xml:space="preserve"> </w:t>
      </w:r>
      <w:r w:rsidR="000253F4">
        <w:t>remove provisions that are no longer applied</w:t>
      </w:r>
      <w:r w:rsidR="00A035AF">
        <w:t>.</w:t>
      </w:r>
    </w:p>
    <w:p w14:paraId="03346977" w14:textId="669465F1" w:rsidR="000253F4" w:rsidRPr="00C67681" w:rsidRDefault="004A6473" w:rsidP="00C67681">
      <w:pPr>
        <w:rPr>
          <w:i/>
          <w:iCs/>
        </w:rPr>
      </w:pPr>
      <w:r>
        <w:t>Further information</w:t>
      </w:r>
      <w:r w:rsidR="000253F4">
        <w:t xml:space="preserve"> on the</w:t>
      </w:r>
      <w:r w:rsidR="00C67681">
        <w:t xml:space="preserve">se proposed changes </w:t>
      </w:r>
      <w:r w:rsidR="00B357F2">
        <w:t>is</w:t>
      </w:r>
      <w:r w:rsidR="00C67681">
        <w:t xml:space="preserve"> </w:t>
      </w:r>
      <w:r w:rsidR="00B106E2">
        <w:t xml:space="preserve">provided </w:t>
      </w:r>
      <w:r w:rsidR="00C67681">
        <w:t>in the accompanying documents ‘</w:t>
      </w:r>
      <w:r w:rsidR="00C67681" w:rsidRPr="00C67681">
        <w:rPr>
          <w:i/>
          <w:iCs/>
        </w:rPr>
        <w:t>I</w:t>
      </w:r>
      <w:r w:rsidR="00AC401A" w:rsidRPr="00C67681">
        <w:rPr>
          <w:i/>
          <w:iCs/>
        </w:rPr>
        <w:t>mproving cost recovery for diagnostic activities</w:t>
      </w:r>
      <w:r w:rsidR="00C67681">
        <w:rPr>
          <w:i/>
          <w:iCs/>
        </w:rPr>
        <w:t xml:space="preserve">’ </w:t>
      </w:r>
      <w:r w:rsidR="00C67681" w:rsidRPr="00C67681">
        <w:t>and</w:t>
      </w:r>
      <w:r w:rsidR="00C67681">
        <w:rPr>
          <w:i/>
          <w:iCs/>
        </w:rPr>
        <w:t xml:space="preserve"> ‘</w:t>
      </w:r>
      <w:r w:rsidR="00C67681" w:rsidRPr="00C67681">
        <w:rPr>
          <w:i/>
          <w:iCs/>
        </w:rPr>
        <w:t>Changes to cost recovery legislation in 2026-27</w:t>
      </w:r>
      <w:r w:rsidR="00C67681">
        <w:rPr>
          <w:i/>
          <w:iCs/>
        </w:rPr>
        <w:t xml:space="preserve">’. </w:t>
      </w:r>
    </w:p>
    <w:p w14:paraId="0E6D512C" w14:textId="3C56E0E2" w:rsidR="00A75D69" w:rsidRDefault="00A75D69" w:rsidP="00A75D69">
      <w:pPr>
        <w:pStyle w:val="Heading2"/>
      </w:pPr>
      <w:r>
        <w:t>Proposed f</w:t>
      </w:r>
      <w:r w:rsidRPr="00816A43">
        <w:t xml:space="preserve">ees and charges for </w:t>
      </w:r>
      <w:r>
        <w:t xml:space="preserve">companion animal </w:t>
      </w:r>
      <w:r w:rsidRPr="00816A43">
        <w:t xml:space="preserve">regulatory activity </w:t>
      </w:r>
    </w:p>
    <w:p w14:paraId="27EDBA97" w14:textId="084CCA8F" w:rsidR="00BB045F" w:rsidRPr="00411260" w:rsidRDefault="00BB045F" w:rsidP="00BB045F">
      <w:pPr>
        <w:tabs>
          <w:tab w:val="left" w:pos="6135"/>
        </w:tabs>
      </w:pPr>
      <w:r>
        <w:t xml:space="preserve">Table 1 sets out the proposed </w:t>
      </w:r>
      <w:r w:rsidR="00B357F2">
        <w:t>2026</w:t>
      </w:r>
      <w:r w:rsidR="00A21C25">
        <w:t>–</w:t>
      </w:r>
      <w:r w:rsidR="00B357F2">
        <w:t xml:space="preserve">27 </w:t>
      </w:r>
      <w:r>
        <w:t xml:space="preserve">prices </w:t>
      </w:r>
      <w:r w:rsidR="00F660C7">
        <w:t xml:space="preserve">for </w:t>
      </w:r>
      <w:r w:rsidR="00B357F2">
        <w:t xml:space="preserve">cost recovery charges </w:t>
      </w:r>
      <w:r w:rsidR="00772578">
        <w:t xml:space="preserve">for </w:t>
      </w:r>
      <w:r>
        <w:t>companion animals</w:t>
      </w:r>
      <w:r w:rsidR="00B357F2">
        <w:t>.</w:t>
      </w:r>
      <w:r>
        <w:t xml:space="preserve"> </w:t>
      </w:r>
      <w:r w:rsidR="00D460B2">
        <w:t>Th</w:t>
      </w:r>
      <w:r w:rsidR="00B357F2">
        <w:t>is</w:t>
      </w:r>
      <w:r w:rsidR="00D460B2">
        <w:t xml:space="preserve"> increase </w:t>
      </w:r>
      <w:r w:rsidR="00B357F2">
        <w:t xml:space="preserve">is needed to </w:t>
      </w:r>
      <w:r w:rsidR="00D460B2">
        <w:t xml:space="preserve">allow the department to recover </w:t>
      </w:r>
      <w:r w:rsidR="00B357F2">
        <w:t xml:space="preserve">the additional costs </w:t>
      </w:r>
      <w:r w:rsidR="00D460B2">
        <w:t xml:space="preserve">to deliver regulatory activity in the companion animal </w:t>
      </w:r>
      <w:r w:rsidR="004A6473">
        <w:t xml:space="preserve">pathway </w:t>
      </w:r>
      <w:r w:rsidR="00B357F2">
        <w:t xml:space="preserve">supporting </w:t>
      </w:r>
      <w:r w:rsidR="004A6473">
        <w:t xml:space="preserve">ongoing alignment of cost to price. </w:t>
      </w:r>
    </w:p>
    <w:p w14:paraId="3DCE1816" w14:textId="2D3A89B5" w:rsidR="00BB045F" w:rsidRDefault="00BB045F" w:rsidP="00BB045F">
      <w:pPr>
        <w:pStyle w:val="Caption"/>
      </w:pPr>
      <w:r>
        <w:t xml:space="preserve">Table </w:t>
      </w:r>
      <w:fldSimple w:instr=" SEQ Table \* ARABIC ">
        <w:r>
          <w:rPr>
            <w:noProof/>
          </w:rPr>
          <w:t>1</w:t>
        </w:r>
      </w:fldSimple>
      <w:r>
        <w:t xml:space="preserve"> </w:t>
      </w:r>
      <w:r w:rsidR="00A035AF">
        <w:t xml:space="preserve">- </w:t>
      </w:r>
      <w:r>
        <w:t>F</w:t>
      </w:r>
      <w:r w:rsidRPr="008B148D">
        <w:t xml:space="preserve">ees and charges for </w:t>
      </w:r>
      <w:r>
        <w:t xml:space="preserve">companion animal </w:t>
      </w:r>
      <w:r w:rsidRPr="008B148D">
        <w:t>regulatory activities</w:t>
      </w:r>
      <w:r>
        <w:t xml:space="preserve"> – above indexation </w:t>
      </w:r>
    </w:p>
    <w:tbl>
      <w:tblPr>
        <w:tblW w:w="5271" w:type="pct"/>
        <w:tblLook w:val="04A0" w:firstRow="1" w:lastRow="0" w:firstColumn="1" w:lastColumn="0" w:noHBand="0" w:noVBand="1"/>
      </w:tblPr>
      <w:tblGrid>
        <w:gridCol w:w="1611"/>
        <w:gridCol w:w="2996"/>
        <w:gridCol w:w="1068"/>
        <w:gridCol w:w="1413"/>
        <w:gridCol w:w="1560"/>
        <w:gridCol w:w="1274"/>
      </w:tblGrid>
      <w:tr w:rsidR="00F660C7" w:rsidRPr="008040B2" w14:paraId="48DA91F9" w14:textId="77777777" w:rsidTr="00F660C7">
        <w:trPr>
          <w:cantSplit/>
          <w:tblHeader/>
        </w:trPr>
        <w:tc>
          <w:tcPr>
            <w:tcW w:w="812" w:type="pct"/>
            <w:tcBorders>
              <w:top w:val="single" w:sz="4" w:space="0" w:color="auto"/>
              <w:bottom w:val="single" w:sz="4" w:space="0" w:color="auto"/>
            </w:tcBorders>
          </w:tcPr>
          <w:p w14:paraId="0C2C2304" w14:textId="77777777" w:rsidR="00BB045F" w:rsidRPr="008040B2" w:rsidRDefault="00BB045F" w:rsidP="00BB045F">
            <w:pPr>
              <w:pStyle w:val="TableText"/>
              <w:rPr>
                <w:rStyle w:val="Strong"/>
              </w:rPr>
            </w:pPr>
            <w:r>
              <w:rPr>
                <w:rStyle w:val="Strong"/>
              </w:rPr>
              <w:fldChar w:fldCharType="begin"/>
            </w:r>
            <w:r>
              <w:rPr>
                <w:rStyle w:val="Strong"/>
              </w:rPr>
              <w:instrText xml:space="preserve"> REF Title_1 \h  \* MERGEFORMAT </w:instrText>
            </w:r>
            <w:r>
              <w:rPr>
                <w:rStyle w:val="Strong"/>
              </w:rPr>
            </w:r>
            <w:r>
              <w:rPr>
                <w:rStyle w:val="Strong"/>
              </w:rPr>
              <w:fldChar w:fldCharType="end"/>
            </w:r>
            <w:r w:rsidRPr="008040B2">
              <w:rPr>
                <w:rStyle w:val="Strong"/>
              </w:rPr>
              <w:t>Type of charge</w:t>
            </w:r>
          </w:p>
        </w:tc>
        <w:tc>
          <w:tcPr>
            <w:tcW w:w="1510" w:type="pct"/>
            <w:tcBorders>
              <w:top w:val="single" w:sz="4" w:space="0" w:color="auto"/>
              <w:bottom w:val="single" w:sz="4" w:space="0" w:color="auto"/>
            </w:tcBorders>
          </w:tcPr>
          <w:p w14:paraId="1448044F" w14:textId="77777777" w:rsidR="00BB045F" w:rsidRPr="008040B2" w:rsidRDefault="00BB045F" w:rsidP="00BB045F">
            <w:pPr>
              <w:pStyle w:val="TableText"/>
              <w:rPr>
                <w:rStyle w:val="Strong"/>
              </w:rPr>
            </w:pPr>
            <w:r w:rsidRPr="008040B2">
              <w:rPr>
                <w:rStyle w:val="Strong"/>
              </w:rPr>
              <w:t>Charge point</w:t>
            </w:r>
          </w:p>
        </w:tc>
        <w:tc>
          <w:tcPr>
            <w:tcW w:w="538" w:type="pct"/>
            <w:tcBorders>
              <w:top w:val="single" w:sz="4" w:space="0" w:color="auto"/>
              <w:bottom w:val="single" w:sz="4" w:space="0" w:color="auto"/>
            </w:tcBorders>
          </w:tcPr>
          <w:p w14:paraId="29D9FDFD" w14:textId="77777777" w:rsidR="00BB045F" w:rsidRPr="008040B2" w:rsidRDefault="00BB045F" w:rsidP="00BB045F">
            <w:pPr>
              <w:pStyle w:val="TableText"/>
              <w:rPr>
                <w:rStyle w:val="Strong"/>
              </w:rPr>
            </w:pPr>
            <w:r w:rsidRPr="008040B2">
              <w:rPr>
                <w:rStyle w:val="Strong"/>
              </w:rPr>
              <w:t>Unit</w:t>
            </w:r>
          </w:p>
        </w:tc>
        <w:tc>
          <w:tcPr>
            <w:tcW w:w="712" w:type="pct"/>
            <w:tcBorders>
              <w:top w:val="single" w:sz="4" w:space="0" w:color="auto"/>
              <w:bottom w:val="single" w:sz="4" w:space="0" w:color="auto"/>
            </w:tcBorders>
          </w:tcPr>
          <w:p w14:paraId="4478549A" w14:textId="1FF2E4F9" w:rsidR="00BB045F" w:rsidRDefault="00BB045F" w:rsidP="00BB045F">
            <w:pPr>
              <w:pStyle w:val="TableText"/>
              <w:jc w:val="right"/>
              <w:rPr>
                <w:rStyle w:val="Strong"/>
              </w:rPr>
            </w:pPr>
            <w:r>
              <w:rPr>
                <w:rStyle w:val="Strong"/>
              </w:rPr>
              <w:t>2025-26</w:t>
            </w:r>
            <w:r w:rsidRPr="008040B2">
              <w:rPr>
                <w:rStyle w:val="Strong"/>
              </w:rPr>
              <w:t xml:space="preserve"> Price ($)</w:t>
            </w:r>
          </w:p>
        </w:tc>
        <w:tc>
          <w:tcPr>
            <w:tcW w:w="786" w:type="pct"/>
            <w:tcBorders>
              <w:top w:val="single" w:sz="4" w:space="0" w:color="auto"/>
              <w:bottom w:val="single" w:sz="4" w:space="0" w:color="auto"/>
            </w:tcBorders>
          </w:tcPr>
          <w:p w14:paraId="081D0098" w14:textId="7CAB2842" w:rsidR="00BB045F" w:rsidRDefault="00BB045F" w:rsidP="00F660C7">
            <w:pPr>
              <w:pStyle w:val="TableText"/>
              <w:rPr>
                <w:rStyle w:val="Strong"/>
              </w:rPr>
            </w:pPr>
            <w:r>
              <w:rPr>
                <w:rStyle w:val="Strong"/>
              </w:rPr>
              <w:t xml:space="preserve">Indexation </w:t>
            </w:r>
            <w:r w:rsidR="00F660C7">
              <w:rPr>
                <w:rStyle w:val="Strong"/>
              </w:rPr>
              <w:t>only Increase</w:t>
            </w:r>
            <w:r>
              <w:rPr>
                <w:rStyle w:val="Strong"/>
              </w:rPr>
              <w:t xml:space="preserve"> </w:t>
            </w:r>
            <w:r w:rsidR="00F660C7">
              <w:rPr>
                <w:rStyle w:val="Strong"/>
              </w:rPr>
              <w:t>($)</w:t>
            </w:r>
          </w:p>
        </w:tc>
        <w:tc>
          <w:tcPr>
            <w:tcW w:w="643" w:type="pct"/>
            <w:tcBorders>
              <w:top w:val="single" w:sz="4" w:space="0" w:color="auto"/>
              <w:bottom w:val="single" w:sz="4" w:space="0" w:color="auto"/>
            </w:tcBorders>
          </w:tcPr>
          <w:p w14:paraId="13874E7B" w14:textId="6664AE3A" w:rsidR="00BB045F" w:rsidRPr="008040B2" w:rsidRDefault="0018237B" w:rsidP="00BB045F">
            <w:pPr>
              <w:pStyle w:val="TableText"/>
              <w:jc w:val="right"/>
              <w:rPr>
                <w:rStyle w:val="Strong"/>
              </w:rPr>
            </w:pPr>
            <w:r>
              <w:rPr>
                <w:rStyle w:val="Strong"/>
              </w:rPr>
              <w:t>*</w:t>
            </w:r>
            <w:r w:rsidR="00BB045F">
              <w:rPr>
                <w:rStyle w:val="Strong"/>
              </w:rPr>
              <w:t xml:space="preserve">2026-27 </w:t>
            </w:r>
            <w:r w:rsidR="00BB045F" w:rsidRPr="008040B2">
              <w:rPr>
                <w:rStyle w:val="Strong"/>
              </w:rPr>
              <w:t>Price ($)</w:t>
            </w:r>
          </w:p>
        </w:tc>
      </w:tr>
      <w:tr w:rsidR="00F660C7" w:rsidRPr="000920AA" w14:paraId="08D41526" w14:textId="77777777" w:rsidTr="00F660C7">
        <w:tc>
          <w:tcPr>
            <w:tcW w:w="812" w:type="pct"/>
            <w:vMerge w:val="restart"/>
            <w:tcBorders>
              <w:top w:val="single" w:sz="4" w:space="0" w:color="auto"/>
            </w:tcBorders>
          </w:tcPr>
          <w:p w14:paraId="041ED205" w14:textId="382BAB2C" w:rsidR="00F660C7" w:rsidRDefault="00F660C7" w:rsidP="00F660C7">
            <w:pPr>
              <w:pStyle w:val="TableText"/>
            </w:pPr>
            <w:r>
              <w:t xml:space="preserve">Charge </w:t>
            </w:r>
          </w:p>
        </w:tc>
        <w:tc>
          <w:tcPr>
            <w:tcW w:w="1510" w:type="pct"/>
            <w:tcBorders>
              <w:top w:val="single" w:sz="4" w:space="0" w:color="auto"/>
              <w:bottom w:val="single" w:sz="4" w:space="0" w:color="auto"/>
            </w:tcBorders>
          </w:tcPr>
          <w:p w14:paraId="2D6BA970" w14:textId="5B03FCCE" w:rsidR="00F660C7" w:rsidRDefault="00F660C7" w:rsidP="00F660C7">
            <w:pPr>
              <w:pStyle w:val="TableText"/>
            </w:pPr>
            <w:r w:rsidRPr="00BB045F">
              <w:t>Reservation charge – animal not covered by another item of this table (includes cat or dog)</w:t>
            </w:r>
          </w:p>
        </w:tc>
        <w:tc>
          <w:tcPr>
            <w:tcW w:w="538" w:type="pct"/>
            <w:tcBorders>
              <w:top w:val="single" w:sz="4" w:space="0" w:color="auto"/>
              <w:bottom w:val="single" w:sz="4" w:space="0" w:color="auto"/>
            </w:tcBorders>
          </w:tcPr>
          <w:p w14:paraId="164FFA31" w14:textId="43064B6B" w:rsidR="00F660C7" w:rsidRDefault="00F660C7" w:rsidP="00F660C7">
            <w:pPr>
              <w:pStyle w:val="TableText"/>
            </w:pPr>
            <w:r w:rsidRPr="00BB045F">
              <w:t>Per animal</w:t>
            </w:r>
          </w:p>
        </w:tc>
        <w:tc>
          <w:tcPr>
            <w:tcW w:w="712" w:type="pct"/>
            <w:tcBorders>
              <w:top w:val="single" w:sz="4" w:space="0" w:color="auto"/>
              <w:bottom w:val="single" w:sz="4" w:space="0" w:color="auto"/>
            </w:tcBorders>
          </w:tcPr>
          <w:p w14:paraId="11E0F250" w14:textId="638826E1" w:rsidR="00F660C7" w:rsidRPr="000920AA" w:rsidRDefault="00F660C7" w:rsidP="00F660C7">
            <w:pPr>
              <w:pStyle w:val="TableText"/>
              <w:jc w:val="right"/>
            </w:pPr>
            <w:r w:rsidRPr="00BB045F">
              <w:t>269</w:t>
            </w:r>
          </w:p>
        </w:tc>
        <w:tc>
          <w:tcPr>
            <w:tcW w:w="786" w:type="pct"/>
            <w:tcBorders>
              <w:top w:val="single" w:sz="4" w:space="0" w:color="auto"/>
              <w:bottom w:val="single" w:sz="4" w:space="0" w:color="auto"/>
            </w:tcBorders>
          </w:tcPr>
          <w:p w14:paraId="053635F5" w14:textId="6E9EF3A9" w:rsidR="00F660C7" w:rsidRPr="000920AA" w:rsidRDefault="00F660C7" w:rsidP="00F660C7">
            <w:pPr>
              <w:pStyle w:val="TableText"/>
              <w:jc w:val="right"/>
            </w:pPr>
            <w:r w:rsidRPr="00BB045F">
              <w:t>279</w:t>
            </w:r>
          </w:p>
        </w:tc>
        <w:tc>
          <w:tcPr>
            <w:tcW w:w="643" w:type="pct"/>
            <w:tcBorders>
              <w:top w:val="single" w:sz="4" w:space="0" w:color="auto"/>
              <w:bottom w:val="single" w:sz="4" w:space="0" w:color="auto"/>
            </w:tcBorders>
          </w:tcPr>
          <w:p w14:paraId="03FC8056" w14:textId="7D4FE31A" w:rsidR="00F660C7" w:rsidRPr="00F660C7" w:rsidRDefault="00F660C7" w:rsidP="00F660C7">
            <w:pPr>
              <w:pStyle w:val="TableText"/>
              <w:jc w:val="right"/>
              <w:rPr>
                <w:b/>
                <w:bCs/>
              </w:rPr>
            </w:pPr>
            <w:r w:rsidRPr="00F660C7">
              <w:rPr>
                <w:b/>
                <w:bCs/>
              </w:rPr>
              <w:t>282</w:t>
            </w:r>
          </w:p>
        </w:tc>
      </w:tr>
      <w:tr w:rsidR="00F660C7" w:rsidRPr="000920AA" w14:paraId="74410888" w14:textId="77777777" w:rsidTr="00F660C7">
        <w:tc>
          <w:tcPr>
            <w:tcW w:w="812" w:type="pct"/>
            <w:vMerge/>
            <w:tcBorders>
              <w:bottom w:val="single" w:sz="4" w:space="0" w:color="auto"/>
            </w:tcBorders>
          </w:tcPr>
          <w:p w14:paraId="0770C1E2" w14:textId="77777777" w:rsidR="00F660C7" w:rsidRDefault="00F660C7" w:rsidP="00F660C7">
            <w:pPr>
              <w:pStyle w:val="TableText"/>
            </w:pPr>
          </w:p>
        </w:tc>
        <w:tc>
          <w:tcPr>
            <w:tcW w:w="1510" w:type="pct"/>
            <w:tcBorders>
              <w:top w:val="single" w:sz="4" w:space="0" w:color="auto"/>
              <w:bottom w:val="single" w:sz="4" w:space="0" w:color="auto"/>
            </w:tcBorders>
          </w:tcPr>
          <w:p w14:paraId="0BCAB64C" w14:textId="6A5EED3A" w:rsidR="00F660C7" w:rsidRPr="00BB045F" w:rsidRDefault="00F660C7" w:rsidP="00F660C7">
            <w:pPr>
              <w:pStyle w:val="TableText"/>
            </w:pPr>
            <w:r w:rsidRPr="00BB045F">
              <w:t>Confirmation of reservation – animal not covered by another item of this table (includes cat or dog)</w:t>
            </w:r>
          </w:p>
        </w:tc>
        <w:tc>
          <w:tcPr>
            <w:tcW w:w="538" w:type="pct"/>
            <w:tcBorders>
              <w:top w:val="single" w:sz="4" w:space="0" w:color="auto"/>
              <w:bottom w:val="single" w:sz="4" w:space="0" w:color="auto"/>
            </w:tcBorders>
          </w:tcPr>
          <w:p w14:paraId="7AC0481D" w14:textId="56BFB24B" w:rsidR="00F660C7" w:rsidRPr="00BB045F" w:rsidRDefault="00F660C7" w:rsidP="00F660C7">
            <w:pPr>
              <w:pStyle w:val="TableText"/>
            </w:pPr>
            <w:r w:rsidRPr="00BB045F">
              <w:t>Per animal</w:t>
            </w:r>
          </w:p>
        </w:tc>
        <w:tc>
          <w:tcPr>
            <w:tcW w:w="712" w:type="pct"/>
            <w:tcBorders>
              <w:top w:val="single" w:sz="4" w:space="0" w:color="auto"/>
              <w:bottom w:val="single" w:sz="4" w:space="0" w:color="auto"/>
            </w:tcBorders>
          </w:tcPr>
          <w:p w14:paraId="4A950E5E" w14:textId="1327DA7D" w:rsidR="00F660C7" w:rsidRPr="00BB045F" w:rsidRDefault="00F660C7" w:rsidP="00F660C7">
            <w:pPr>
              <w:pStyle w:val="TableText"/>
              <w:jc w:val="right"/>
            </w:pPr>
            <w:r w:rsidRPr="00BB045F">
              <w:t>1,078</w:t>
            </w:r>
          </w:p>
        </w:tc>
        <w:tc>
          <w:tcPr>
            <w:tcW w:w="786" w:type="pct"/>
            <w:tcBorders>
              <w:top w:val="single" w:sz="4" w:space="0" w:color="auto"/>
              <w:bottom w:val="single" w:sz="4" w:space="0" w:color="auto"/>
            </w:tcBorders>
          </w:tcPr>
          <w:p w14:paraId="79EC9A70" w14:textId="62F68CF5" w:rsidR="00F660C7" w:rsidRPr="00BB045F" w:rsidRDefault="00F660C7" w:rsidP="00F660C7">
            <w:pPr>
              <w:pStyle w:val="TableText"/>
              <w:jc w:val="right"/>
            </w:pPr>
            <w:r w:rsidRPr="00BB045F">
              <w:t>1,119</w:t>
            </w:r>
          </w:p>
        </w:tc>
        <w:tc>
          <w:tcPr>
            <w:tcW w:w="643" w:type="pct"/>
            <w:tcBorders>
              <w:top w:val="single" w:sz="4" w:space="0" w:color="auto"/>
              <w:bottom w:val="single" w:sz="4" w:space="0" w:color="auto"/>
            </w:tcBorders>
          </w:tcPr>
          <w:p w14:paraId="11368961" w14:textId="4C6DF7B9" w:rsidR="00F660C7" w:rsidRPr="00F660C7" w:rsidRDefault="00F660C7" w:rsidP="00F660C7">
            <w:pPr>
              <w:pStyle w:val="TableText"/>
              <w:jc w:val="right"/>
              <w:rPr>
                <w:b/>
                <w:bCs/>
              </w:rPr>
            </w:pPr>
            <w:r w:rsidRPr="00F660C7">
              <w:rPr>
                <w:b/>
                <w:bCs/>
              </w:rPr>
              <w:t>1,132</w:t>
            </w:r>
          </w:p>
        </w:tc>
      </w:tr>
      <w:tr w:rsidR="00F660C7" w:rsidRPr="000920AA" w14:paraId="5E1C85F1" w14:textId="77777777" w:rsidTr="00F660C7">
        <w:tc>
          <w:tcPr>
            <w:tcW w:w="812" w:type="pct"/>
            <w:tcBorders>
              <w:top w:val="single" w:sz="4" w:space="0" w:color="auto"/>
              <w:bottom w:val="single" w:sz="4" w:space="0" w:color="auto"/>
            </w:tcBorders>
          </w:tcPr>
          <w:p w14:paraId="31D1C356" w14:textId="3C483BF1" w:rsidR="00F660C7" w:rsidRDefault="00F660C7" w:rsidP="00F660C7">
            <w:pPr>
              <w:pStyle w:val="TableText"/>
            </w:pPr>
            <w:r>
              <w:t>Fee</w:t>
            </w:r>
          </w:p>
        </w:tc>
        <w:tc>
          <w:tcPr>
            <w:tcW w:w="1510" w:type="pct"/>
            <w:tcBorders>
              <w:top w:val="single" w:sz="4" w:space="0" w:color="auto"/>
              <w:bottom w:val="single" w:sz="4" w:space="0" w:color="auto"/>
            </w:tcBorders>
          </w:tcPr>
          <w:p w14:paraId="573F8C96" w14:textId="56D7AA94" w:rsidR="00F660C7" w:rsidRPr="00BB045F" w:rsidRDefault="00F660C7" w:rsidP="00F660C7">
            <w:pPr>
              <w:pStyle w:val="TableText"/>
            </w:pPr>
            <w:r w:rsidRPr="00BB045F">
              <w:t>Husbandry fee – animal not covered by another item of this table (includes cat or dog)</w:t>
            </w:r>
          </w:p>
        </w:tc>
        <w:tc>
          <w:tcPr>
            <w:tcW w:w="538" w:type="pct"/>
            <w:tcBorders>
              <w:top w:val="single" w:sz="4" w:space="0" w:color="auto"/>
              <w:bottom w:val="single" w:sz="4" w:space="0" w:color="auto"/>
            </w:tcBorders>
          </w:tcPr>
          <w:p w14:paraId="3C01483C" w14:textId="2AB7D3B9" w:rsidR="00F660C7" w:rsidRPr="00BB045F" w:rsidRDefault="00F660C7" w:rsidP="00F660C7">
            <w:pPr>
              <w:pStyle w:val="TableText"/>
            </w:pPr>
            <w:r w:rsidRPr="00BB045F">
              <w:t>Per animal per day</w:t>
            </w:r>
          </w:p>
        </w:tc>
        <w:tc>
          <w:tcPr>
            <w:tcW w:w="712" w:type="pct"/>
            <w:tcBorders>
              <w:top w:val="single" w:sz="4" w:space="0" w:color="auto"/>
              <w:bottom w:val="single" w:sz="4" w:space="0" w:color="auto"/>
            </w:tcBorders>
          </w:tcPr>
          <w:p w14:paraId="0303E7DC" w14:textId="69421F85" w:rsidR="00F660C7" w:rsidRPr="00BB045F" w:rsidRDefault="00F660C7" w:rsidP="00F660C7">
            <w:pPr>
              <w:pStyle w:val="TableText"/>
              <w:jc w:val="right"/>
            </w:pPr>
            <w:r w:rsidRPr="00BB045F">
              <w:t>53</w:t>
            </w:r>
          </w:p>
        </w:tc>
        <w:tc>
          <w:tcPr>
            <w:tcW w:w="786" w:type="pct"/>
            <w:tcBorders>
              <w:top w:val="single" w:sz="4" w:space="0" w:color="auto"/>
              <w:bottom w:val="single" w:sz="4" w:space="0" w:color="auto"/>
            </w:tcBorders>
          </w:tcPr>
          <w:p w14:paraId="2E9D94C9" w14:textId="278A88DE" w:rsidR="00F660C7" w:rsidRPr="00BB045F" w:rsidRDefault="00F660C7" w:rsidP="00F660C7">
            <w:pPr>
              <w:pStyle w:val="TableText"/>
              <w:jc w:val="right"/>
            </w:pPr>
            <w:r w:rsidRPr="00BB045F">
              <w:t>55</w:t>
            </w:r>
          </w:p>
        </w:tc>
        <w:tc>
          <w:tcPr>
            <w:tcW w:w="643" w:type="pct"/>
            <w:tcBorders>
              <w:top w:val="single" w:sz="4" w:space="0" w:color="auto"/>
              <w:bottom w:val="single" w:sz="4" w:space="0" w:color="auto"/>
            </w:tcBorders>
          </w:tcPr>
          <w:p w14:paraId="759B33BB" w14:textId="0339AB9E" w:rsidR="00F660C7" w:rsidRPr="00F660C7" w:rsidRDefault="00F660C7" w:rsidP="00F660C7">
            <w:pPr>
              <w:pStyle w:val="TableText"/>
              <w:jc w:val="right"/>
              <w:rPr>
                <w:b/>
                <w:bCs/>
              </w:rPr>
            </w:pPr>
            <w:r w:rsidRPr="00F660C7">
              <w:rPr>
                <w:b/>
                <w:bCs/>
              </w:rPr>
              <w:t>56</w:t>
            </w:r>
          </w:p>
        </w:tc>
      </w:tr>
    </w:tbl>
    <w:p w14:paraId="62D0FC3B" w14:textId="39321348" w:rsidR="00BB045F" w:rsidRDefault="0018237B" w:rsidP="0018237B">
      <w:pPr>
        <w:pStyle w:val="FigureTableNoteSource"/>
      </w:pPr>
      <w:r>
        <w:t>*Price increase</w:t>
      </w:r>
      <w:r w:rsidR="008B4398">
        <w:t>s</w:t>
      </w:r>
      <w:r>
        <w:t xml:space="preserve"> above indexation are pending decision of government. </w:t>
      </w:r>
    </w:p>
    <w:p w14:paraId="19FBBCFC" w14:textId="6D464F5B" w:rsidR="00FD1BDD" w:rsidRDefault="00FD1BDD" w:rsidP="00A74676">
      <w:pPr>
        <w:pStyle w:val="Heading2"/>
        <w:pageBreakBefore/>
      </w:pPr>
      <w:bookmarkStart w:id="0" w:name="_Hlk163645417"/>
      <w:bookmarkStart w:id="1" w:name="_Hlk170106629"/>
      <w:r w:rsidRPr="00816A43">
        <w:lastRenderedPageBreak/>
        <w:t xml:space="preserve">Fees and charges for biosecurity regulatory activity from 1 July </w:t>
      </w:r>
      <w:r w:rsidR="00B92945" w:rsidRPr="00816A43">
        <w:t>202</w:t>
      </w:r>
      <w:r w:rsidR="00B92945">
        <w:t>6</w:t>
      </w:r>
    </w:p>
    <w:bookmarkEnd w:id="0"/>
    <w:bookmarkEnd w:id="1"/>
    <w:p w14:paraId="6FB95183" w14:textId="158525AC" w:rsidR="00B82095" w:rsidRDefault="00F76852" w:rsidP="00816A43">
      <w:pPr>
        <w:tabs>
          <w:tab w:val="left" w:pos="6135"/>
        </w:tabs>
      </w:pPr>
      <w:r>
        <w:fldChar w:fldCharType="begin"/>
      </w:r>
      <w:r>
        <w:instrText xml:space="preserve"> REF _Ref163637138 \h </w:instrText>
      </w:r>
      <w:r>
        <w:fldChar w:fldCharType="separate"/>
      </w:r>
      <w:r w:rsidR="00BB045F">
        <w:t xml:space="preserve">Table </w:t>
      </w:r>
      <w:r w:rsidR="00BB045F">
        <w:rPr>
          <w:noProof/>
        </w:rPr>
        <w:t>2</w:t>
      </w:r>
      <w:r>
        <w:fldChar w:fldCharType="end"/>
      </w:r>
      <w:r>
        <w:t xml:space="preserve"> </w:t>
      </w:r>
      <w:r w:rsidR="001136FA">
        <w:t xml:space="preserve">includes proposed new fees and charges, </w:t>
      </w:r>
      <w:r w:rsidR="00D460B2">
        <w:t xml:space="preserve">proposed </w:t>
      </w:r>
      <w:r w:rsidR="001136FA">
        <w:t xml:space="preserve">revisions to </w:t>
      </w:r>
      <w:r w:rsidR="00D460B2">
        <w:t>some</w:t>
      </w:r>
      <w:r w:rsidR="001136FA">
        <w:t xml:space="preserve"> existing charge points and </w:t>
      </w:r>
      <w:r w:rsidR="00F660C7">
        <w:t xml:space="preserve">indexed </w:t>
      </w:r>
      <w:r w:rsidR="00816A43">
        <w:t xml:space="preserve">prices for </w:t>
      </w:r>
      <w:r w:rsidR="00B37E04">
        <w:t>biosecurity</w:t>
      </w:r>
      <w:r w:rsidR="00816A43">
        <w:t xml:space="preserve"> activities commencing 1 July </w:t>
      </w:r>
      <w:r w:rsidR="00B92945">
        <w:t>2026</w:t>
      </w:r>
      <w:r w:rsidR="0018237B">
        <w:t>.</w:t>
      </w:r>
    </w:p>
    <w:p w14:paraId="5F2BB642" w14:textId="47135498" w:rsidR="00C44DD8" w:rsidRDefault="00961F7F" w:rsidP="00961F7F">
      <w:pPr>
        <w:pStyle w:val="Caption"/>
      </w:pPr>
      <w:bookmarkStart w:id="2" w:name="_Ref163637138"/>
      <w:r>
        <w:t xml:space="preserve">Table </w:t>
      </w:r>
      <w:fldSimple w:instr=" SEQ Table \* ARABIC ">
        <w:r w:rsidR="00BB045F">
          <w:rPr>
            <w:noProof/>
          </w:rPr>
          <w:t>2</w:t>
        </w:r>
      </w:fldSimple>
      <w:bookmarkEnd w:id="2"/>
      <w:r>
        <w:t xml:space="preserve"> </w:t>
      </w:r>
      <w:r w:rsidR="001B4A4E">
        <w:t>F</w:t>
      </w:r>
      <w:r w:rsidRPr="008B148D">
        <w:t>ees and charges for biosecurity regulatory activities</w:t>
      </w:r>
    </w:p>
    <w:tbl>
      <w:tblPr>
        <w:tblW w:w="5224" w:type="pct"/>
        <w:tblLook w:val="04A0" w:firstRow="1" w:lastRow="0" w:firstColumn="1" w:lastColumn="0" w:noHBand="0" w:noVBand="1"/>
      </w:tblPr>
      <w:tblGrid>
        <w:gridCol w:w="1657"/>
        <w:gridCol w:w="3049"/>
        <w:gridCol w:w="2360"/>
        <w:gridCol w:w="1385"/>
        <w:gridCol w:w="1383"/>
      </w:tblGrid>
      <w:tr w:rsidR="00B92945" w14:paraId="65AD18A5" w14:textId="2ED31B32" w:rsidTr="00FE167A">
        <w:trPr>
          <w:cantSplit/>
          <w:tblHeader/>
        </w:trPr>
        <w:tc>
          <w:tcPr>
            <w:tcW w:w="842" w:type="pct"/>
            <w:tcBorders>
              <w:top w:val="single" w:sz="4" w:space="0" w:color="auto"/>
              <w:bottom w:val="single" w:sz="4" w:space="0" w:color="auto"/>
            </w:tcBorders>
          </w:tcPr>
          <w:p w14:paraId="7339BC7B" w14:textId="4B81954D" w:rsidR="00B92945" w:rsidRPr="008040B2" w:rsidRDefault="00B92945" w:rsidP="00B92945">
            <w:pPr>
              <w:pStyle w:val="TableText"/>
              <w:rPr>
                <w:rStyle w:val="Strong"/>
              </w:rPr>
            </w:pPr>
            <w:r>
              <w:rPr>
                <w:rStyle w:val="Strong"/>
              </w:rPr>
              <w:fldChar w:fldCharType="begin"/>
            </w:r>
            <w:r>
              <w:rPr>
                <w:rStyle w:val="Strong"/>
              </w:rPr>
              <w:instrText xml:space="preserve"> REF Title_1 \h  \* MERGEFORMAT </w:instrText>
            </w:r>
            <w:r>
              <w:rPr>
                <w:rStyle w:val="Strong"/>
              </w:rPr>
            </w:r>
            <w:r>
              <w:rPr>
                <w:rStyle w:val="Strong"/>
              </w:rPr>
              <w:fldChar w:fldCharType="end"/>
            </w:r>
            <w:r w:rsidRPr="008040B2">
              <w:rPr>
                <w:rStyle w:val="Strong"/>
              </w:rPr>
              <w:t>Type of charge</w:t>
            </w:r>
          </w:p>
        </w:tc>
        <w:tc>
          <w:tcPr>
            <w:tcW w:w="1550" w:type="pct"/>
            <w:tcBorders>
              <w:top w:val="single" w:sz="4" w:space="0" w:color="auto"/>
              <w:bottom w:val="single" w:sz="4" w:space="0" w:color="auto"/>
            </w:tcBorders>
          </w:tcPr>
          <w:p w14:paraId="09009F04" w14:textId="4AADF016" w:rsidR="00B92945" w:rsidRPr="008040B2" w:rsidRDefault="00B92945" w:rsidP="00B92945">
            <w:pPr>
              <w:pStyle w:val="TableText"/>
              <w:rPr>
                <w:rStyle w:val="Strong"/>
              </w:rPr>
            </w:pPr>
            <w:r w:rsidRPr="008040B2">
              <w:rPr>
                <w:rStyle w:val="Strong"/>
              </w:rPr>
              <w:t>Charge point</w:t>
            </w:r>
          </w:p>
        </w:tc>
        <w:tc>
          <w:tcPr>
            <w:tcW w:w="1200" w:type="pct"/>
            <w:tcBorders>
              <w:top w:val="single" w:sz="4" w:space="0" w:color="auto"/>
              <w:bottom w:val="single" w:sz="4" w:space="0" w:color="auto"/>
            </w:tcBorders>
          </w:tcPr>
          <w:p w14:paraId="77E11851" w14:textId="0DE05BD4" w:rsidR="00B92945" w:rsidRPr="008040B2" w:rsidRDefault="00B92945" w:rsidP="00B92945">
            <w:pPr>
              <w:pStyle w:val="TableText"/>
              <w:rPr>
                <w:rStyle w:val="Strong"/>
              </w:rPr>
            </w:pPr>
            <w:r w:rsidRPr="008040B2">
              <w:rPr>
                <w:rStyle w:val="Strong"/>
              </w:rPr>
              <w:t>Unit</w:t>
            </w:r>
          </w:p>
        </w:tc>
        <w:tc>
          <w:tcPr>
            <w:tcW w:w="704" w:type="pct"/>
            <w:tcBorders>
              <w:top w:val="single" w:sz="4" w:space="0" w:color="auto"/>
              <w:bottom w:val="single" w:sz="4" w:space="0" w:color="auto"/>
            </w:tcBorders>
          </w:tcPr>
          <w:p w14:paraId="465BEAAD" w14:textId="709FC799" w:rsidR="00B92945" w:rsidRDefault="00B92945" w:rsidP="00B92945">
            <w:pPr>
              <w:pStyle w:val="TableText"/>
              <w:jc w:val="right"/>
              <w:rPr>
                <w:rStyle w:val="Strong"/>
              </w:rPr>
            </w:pPr>
            <w:r>
              <w:rPr>
                <w:rStyle w:val="Strong"/>
              </w:rPr>
              <w:t>2025-26</w:t>
            </w:r>
            <w:r w:rsidRPr="008040B2">
              <w:rPr>
                <w:rStyle w:val="Strong"/>
              </w:rPr>
              <w:t xml:space="preserve"> Price ($)</w:t>
            </w:r>
          </w:p>
        </w:tc>
        <w:tc>
          <w:tcPr>
            <w:tcW w:w="703" w:type="pct"/>
            <w:tcBorders>
              <w:top w:val="single" w:sz="4" w:space="0" w:color="auto"/>
              <w:bottom w:val="single" w:sz="4" w:space="0" w:color="auto"/>
            </w:tcBorders>
          </w:tcPr>
          <w:p w14:paraId="3E543632" w14:textId="2EDFB0F4" w:rsidR="00B92945" w:rsidRPr="008040B2" w:rsidRDefault="00B92945" w:rsidP="00B92945">
            <w:pPr>
              <w:pStyle w:val="TableText"/>
              <w:jc w:val="right"/>
              <w:rPr>
                <w:rStyle w:val="Strong"/>
              </w:rPr>
            </w:pPr>
            <w:r>
              <w:rPr>
                <w:rStyle w:val="Strong"/>
              </w:rPr>
              <w:t xml:space="preserve">2026-27 </w:t>
            </w:r>
            <w:r w:rsidRPr="008040B2">
              <w:rPr>
                <w:rStyle w:val="Strong"/>
              </w:rPr>
              <w:t>Price ($)</w:t>
            </w:r>
          </w:p>
        </w:tc>
      </w:tr>
      <w:tr w:rsidR="001136FA" w14:paraId="1FF91B22" w14:textId="3ADC9B47" w:rsidTr="00FE167A">
        <w:tc>
          <w:tcPr>
            <w:tcW w:w="842" w:type="pct"/>
            <w:vMerge w:val="restart"/>
            <w:tcBorders>
              <w:top w:val="single" w:sz="4" w:space="0" w:color="auto"/>
            </w:tcBorders>
          </w:tcPr>
          <w:p w14:paraId="3C9751B3" w14:textId="488409BE" w:rsidR="001136FA" w:rsidRDefault="001136FA" w:rsidP="00B92945">
            <w:pPr>
              <w:pStyle w:val="TableText"/>
            </w:pPr>
            <w:r>
              <w:t xml:space="preserve">Charge </w:t>
            </w:r>
          </w:p>
        </w:tc>
        <w:tc>
          <w:tcPr>
            <w:tcW w:w="1550" w:type="pct"/>
            <w:tcBorders>
              <w:top w:val="single" w:sz="4" w:space="0" w:color="auto"/>
              <w:bottom w:val="single" w:sz="4" w:space="0" w:color="auto"/>
            </w:tcBorders>
          </w:tcPr>
          <w:p w14:paraId="14261F1D" w14:textId="29B7C566" w:rsidR="001136FA" w:rsidRDefault="001136FA" w:rsidP="00B92945">
            <w:pPr>
              <w:pStyle w:val="TableText"/>
            </w:pPr>
            <w:r w:rsidRPr="000920AA">
              <w:t>Full Import Declaration charge – air</w:t>
            </w:r>
          </w:p>
        </w:tc>
        <w:tc>
          <w:tcPr>
            <w:tcW w:w="1200" w:type="pct"/>
            <w:tcBorders>
              <w:top w:val="single" w:sz="4" w:space="0" w:color="auto"/>
              <w:bottom w:val="single" w:sz="4" w:space="0" w:color="auto"/>
            </w:tcBorders>
          </w:tcPr>
          <w:p w14:paraId="15846245" w14:textId="0A1CAC1B" w:rsidR="001136FA" w:rsidRDefault="001136FA" w:rsidP="00B92945">
            <w:pPr>
              <w:pStyle w:val="TableText"/>
            </w:pPr>
            <w:r w:rsidRPr="000920AA">
              <w:t>Per import declaration</w:t>
            </w:r>
          </w:p>
        </w:tc>
        <w:tc>
          <w:tcPr>
            <w:tcW w:w="704" w:type="pct"/>
            <w:tcBorders>
              <w:top w:val="single" w:sz="4" w:space="0" w:color="auto"/>
              <w:bottom w:val="single" w:sz="4" w:space="0" w:color="auto"/>
            </w:tcBorders>
          </w:tcPr>
          <w:p w14:paraId="6948DCB6" w14:textId="3CB919EA" w:rsidR="001136FA" w:rsidRPr="000920AA" w:rsidRDefault="001136FA" w:rsidP="00B92945">
            <w:pPr>
              <w:pStyle w:val="TableText"/>
              <w:jc w:val="right"/>
            </w:pPr>
            <w:r>
              <w:t>46</w:t>
            </w:r>
          </w:p>
        </w:tc>
        <w:tc>
          <w:tcPr>
            <w:tcW w:w="703" w:type="pct"/>
            <w:tcBorders>
              <w:top w:val="single" w:sz="4" w:space="0" w:color="auto"/>
              <w:bottom w:val="single" w:sz="4" w:space="0" w:color="auto"/>
            </w:tcBorders>
          </w:tcPr>
          <w:p w14:paraId="5E6BBFCA" w14:textId="53B0B1CE" w:rsidR="001136FA" w:rsidRPr="000920AA" w:rsidRDefault="001136FA" w:rsidP="00B92945">
            <w:pPr>
              <w:pStyle w:val="TableText"/>
              <w:jc w:val="right"/>
            </w:pPr>
            <w:r>
              <w:t>48</w:t>
            </w:r>
          </w:p>
        </w:tc>
      </w:tr>
      <w:tr w:rsidR="001136FA" w14:paraId="49692EE4" w14:textId="27455287" w:rsidTr="00FE167A">
        <w:tc>
          <w:tcPr>
            <w:tcW w:w="842" w:type="pct"/>
            <w:vMerge/>
          </w:tcPr>
          <w:p w14:paraId="3292A2C5" w14:textId="77777777" w:rsidR="001136FA" w:rsidRDefault="001136FA" w:rsidP="00B92945">
            <w:pPr>
              <w:pStyle w:val="TableText"/>
            </w:pPr>
          </w:p>
        </w:tc>
        <w:tc>
          <w:tcPr>
            <w:tcW w:w="1550" w:type="pct"/>
            <w:tcBorders>
              <w:top w:val="single" w:sz="4" w:space="0" w:color="auto"/>
              <w:bottom w:val="single" w:sz="4" w:space="0" w:color="auto"/>
            </w:tcBorders>
          </w:tcPr>
          <w:p w14:paraId="3E7B3AFB" w14:textId="200611FD" w:rsidR="001136FA" w:rsidRDefault="001136FA" w:rsidP="00B92945">
            <w:pPr>
              <w:pStyle w:val="TableText"/>
            </w:pPr>
            <w:r w:rsidRPr="000920AA">
              <w:t>Full Import Declaration charge – sea</w:t>
            </w:r>
          </w:p>
        </w:tc>
        <w:tc>
          <w:tcPr>
            <w:tcW w:w="1200" w:type="pct"/>
            <w:tcBorders>
              <w:top w:val="single" w:sz="4" w:space="0" w:color="auto"/>
              <w:bottom w:val="single" w:sz="4" w:space="0" w:color="auto"/>
            </w:tcBorders>
          </w:tcPr>
          <w:p w14:paraId="189279BD" w14:textId="23ECD148" w:rsidR="001136FA" w:rsidRDefault="001136FA" w:rsidP="00B92945">
            <w:pPr>
              <w:pStyle w:val="TableText"/>
            </w:pPr>
            <w:r w:rsidRPr="000920AA">
              <w:t>Per import declaration</w:t>
            </w:r>
          </w:p>
        </w:tc>
        <w:tc>
          <w:tcPr>
            <w:tcW w:w="704" w:type="pct"/>
            <w:tcBorders>
              <w:top w:val="single" w:sz="4" w:space="0" w:color="auto"/>
              <w:bottom w:val="single" w:sz="4" w:space="0" w:color="auto"/>
            </w:tcBorders>
          </w:tcPr>
          <w:p w14:paraId="0941222D" w14:textId="2423FE0D" w:rsidR="001136FA" w:rsidRPr="000920AA" w:rsidRDefault="001136FA" w:rsidP="00B92945">
            <w:pPr>
              <w:pStyle w:val="TableText"/>
              <w:jc w:val="right"/>
            </w:pPr>
            <w:r>
              <w:t>68</w:t>
            </w:r>
          </w:p>
        </w:tc>
        <w:tc>
          <w:tcPr>
            <w:tcW w:w="703" w:type="pct"/>
            <w:tcBorders>
              <w:top w:val="single" w:sz="4" w:space="0" w:color="auto"/>
              <w:bottom w:val="single" w:sz="4" w:space="0" w:color="auto"/>
            </w:tcBorders>
          </w:tcPr>
          <w:p w14:paraId="12E6B480" w14:textId="02F90A3D" w:rsidR="001136FA" w:rsidRPr="000920AA" w:rsidRDefault="001136FA" w:rsidP="00B92945">
            <w:pPr>
              <w:pStyle w:val="TableText"/>
              <w:jc w:val="right"/>
            </w:pPr>
            <w:r>
              <w:t>71</w:t>
            </w:r>
          </w:p>
        </w:tc>
      </w:tr>
      <w:tr w:rsidR="001136FA" w14:paraId="2EAD3AE0" w14:textId="77777777" w:rsidTr="00FE167A">
        <w:tc>
          <w:tcPr>
            <w:tcW w:w="842" w:type="pct"/>
            <w:vMerge/>
          </w:tcPr>
          <w:p w14:paraId="1A3AD096" w14:textId="77777777" w:rsidR="001136FA" w:rsidRDefault="001136FA" w:rsidP="00B92945">
            <w:pPr>
              <w:pStyle w:val="TableText"/>
            </w:pPr>
          </w:p>
        </w:tc>
        <w:tc>
          <w:tcPr>
            <w:tcW w:w="1550" w:type="pct"/>
            <w:tcBorders>
              <w:top w:val="single" w:sz="4" w:space="0" w:color="auto"/>
              <w:bottom w:val="single" w:sz="4" w:space="0" w:color="auto"/>
            </w:tcBorders>
          </w:tcPr>
          <w:p w14:paraId="5D60C7DB" w14:textId="344B0F0E" w:rsidR="001136FA" w:rsidRPr="000920AA" w:rsidRDefault="001136FA" w:rsidP="00B92945">
            <w:pPr>
              <w:pStyle w:val="TableText"/>
            </w:pPr>
            <w:r>
              <w:t xml:space="preserve">Self-Assessed Clearance charge </w:t>
            </w:r>
          </w:p>
        </w:tc>
        <w:tc>
          <w:tcPr>
            <w:tcW w:w="1200" w:type="pct"/>
            <w:tcBorders>
              <w:top w:val="single" w:sz="4" w:space="0" w:color="auto"/>
              <w:bottom w:val="single" w:sz="4" w:space="0" w:color="auto"/>
            </w:tcBorders>
          </w:tcPr>
          <w:p w14:paraId="64E013B1" w14:textId="2EDFB326" w:rsidR="001136FA" w:rsidRPr="000920AA" w:rsidRDefault="001136FA" w:rsidP="00B92945">
            <w:pPr>
              <w:pStyle w:val="TableText"/>
            </w:pPr>
            <w:r>
              <w:t>Per declaration</w:t>
            </w:r>
          </w:p>
        </w:tc>
        <w:tc>
          <w:tcPr>
            <w:tcW w:w="704" w:type="pct"/>
            <w:tcBorders>
              <w:top w:val="single" w:sz="4" w:space="0" w:color="auto"/>
              <w:bottom w:val="single" w:sz="4" w:space="0" w:color="auto"/>
            </w:tcBorders>
          </w:tcPr>
          <w:p w14:paraId="0B4EBA31" w14:textId="13D5FC9C" w:rsidR="001136FA" w:rsidRDefault="001136FA" w:rsidP="00B92945">
            <w:pPr>
              <w:pStyle w:val="TableText"/>
              <w:jc w:val="right"/>
            </w:pPr>
            <w:r>
              <w:t>0.37</w:t>
            </w:r>
          </w:p>
        </w:tc>
        <w:tc>
          <w:tcPr>
            <w:tcW w:w="703" w:type="pct"/>
            <w:tcBorders>
              <w:top w:val="single" w:sz="4" w:space="0" w:color="auto"/>
              <w:bottom w:val="single" w:sz="4" w:space="0" w:color="auto"/>
            </w:tcBorders>
          </w:tcPr>
          <w:p w14:paraId="0360662A" w14:textId="4BBD196C" w:rsidR="001136FA" w:rsidRPr="000920AA" w:rsidRDefault="001136FA" w:rsidP="00B92945">
            <w:pPr>
              <w:pStyle w:val="TableText"/>
              <w:jc w:val="right"/>
            </w:pPr>
            <w:r>
              <w:t>0.38</w:t>
            </w:r>
          </w:p>
        </w:tc>
      </w:tr>
      <w:tr w:rsidR="001136FA" w14:paraId="3EC07896" w14:textId="0F9E1BBA" w:rsidTr="00FE167A">
        <w:tc>
          <w:tcPr>
            <w:tcW w:w="842" w:type="pct"/>
            <w:vMerge/>
          </w:tcPr>
          <w:p w14:paraId="6338AF5A" w14:textId="77777777" w:rsidR="001136FA" w:rsidRDefault="001136FA" w:rsidP="00B92945">
            <w:pPr>
              <w:pStyle w:val="TableText"/>
            </w:pPr>
          </w:p>
        </w:tc>
        <w:tc>
          <w:tcPr>
            <w:tcW w:w="1550" w:type="pct"/>
            <w:tcBorders>
              <w:top w:val="single" w:sz="4" w:space="0" w:color="auto"/>
              <w:bottom w:val="single" w:sz="4" w:space="0" w:color="auto"/>
            </w:tcBorders>
          </w:tcPr>
          <w:p w14:paraId="10ABF753" w14:textId="4452ECB3" w:rsidR="001136FA" w:rsidRDefault="001136FA" w:rsidP="00B92945">
            <w:pPr>
              <w:pStyle w:val="TableText"/>
            </w:pPr>
            <w:r w:rsidRPr="000920AA">
              <w:t>Permit application charge</w:t>
            </w:r>
          </w:p>
        </w:tc>
        <w:tc>
          <w:tcPr>
            <w:tcW w:w="1200" w:type="pct"/>
            <w:tcBorders>
              <w:top w:val="single" w:sz="4" w:space="0" w:color="auto"/>
              <w:bottom w:val="single" w:sz="4" w:space="0" w:color="auto"/>
            </w:tcBorders>
          </w:tcPr>
          <w:p w14:paraId="303BE6A6" w14:textId="3C4F6785" w:rsidR="001136FA" w:rsidRDefault="001136FA" w:rsidP="00B92945">
            <w:pPr>
              <w:pStyle w:val="TableText"/>
            </w:pPr>
            <w:r w:rsidRPr="000920AA">
              <w:t>Per application</w:t>
            </w:r>
          </w:p>
        </w:tc>
        <w:tc>
          <w:tcPr>
            <w:tcW w:w="704" w:type="pct"/>
            <w:tcBorders>
              <w:top w:val="single" w:sz="4" w:space="0" w:color="auto"/>
              <w:bottom w:val="single" w:sz="4" w:space="0" w:color="auto"/>
            </w:tcBorders>
          </w:tcPr>
          <w:p w14:paraId="3134BDB1" w14:textId="1348B5E1" w:rsidR="001136FA" w:rsidRPr="000920AA" w:rsidRDefault="001136FA" w:rsidP="00B92945">
            <w:pPr>
              <w:pStyle w:val="TableText"/>
              <w:jc w:val="right"/>
            </w:pPr>
            <w:r>
              <w:t>130</w:t>
            </w:r>
          </w:p>
        </w:tc>
        <w:tc>
          <w:tcPr>
            <w:tcW w:w="703" w:type="pct"/>
            <w:tcBorders>
              <w:top w:val="single" w:sz="4" w:space="0" w:color="auto"/>
              <w:bottom w:val="single" w:sz="4" w:space="0" w:color="auto"/>
            </w:tcBorders>
          </w:tcPr>
          <w:p w14:paraId="264E63D7" w14:textId="17E1BA90" w:rsidR="001136FA" w:rsidRPr="000920AA" w:rsidRDefault="001136FA" w:rsidP="00B92945">
            <w:pPr>
              <w:pStyle w:val="TableText"/>
              <w:jc w:val="right"/>
            </w:pPr>
            <w:r>
              <w:t>135</w:t>
            </w:r>
          </w:p>
        </w:tc>
      </w:tr>
      <w:tr w:rsidR="001136FA" w14:paraId="37F83391" w14:textId="77777777" w:rsidTr="00FE167A">
        <w:tc>
          <w:tcPr>
            <w:tcW w:w="842" w:type="pct"/>
            <w:vMerge/>
          </w:tcPr>
          <w:p w14:paraId="17A1F791" w14:textId="77777777" w:rsidR="001136FA" w:rsidRDefault="001136FA" w:rsidP="00B92945">
            <w:pPr>
              <w:pStyle w:val="TableText"/>
            </w:pPr>
          </w:p>
        </w:tc>
        <w:tc>
          <w:tcPr>
            <w:tcW w:w="1550" w:type="pct"/>
            <w:tcBorders>
              <w:top w:val="single" w:sz="4" w:space="0" w:color="auto"/>
              <w:bottom w:val="single" w:sz="4" w:space="0" w:color="auto"/>
            </w:tcBorders>
          </w:tcPr>
          <w:p w14:paraId="3BA342DA" w14:textId="19A31A23" w:rsidR="001136FA" w:rsidRPr="000920AA" w:rsidRDefault="001136FA" w:rsidP="00B92945">
            <w:pPr>
              <w:pStyle w:val="TableText"/>
            </w:pPr>
            <w:r w:rsidRPr="000920AA">
              <w:t>Reservation charge – horses</w:t>
            </w:r>
          </w:p>
        </w:tc>
        <w:tc>
          <w:tcPr>
            <w:tcW w:w="1200" w:type="pct"/>
            <w:tcBorders>
              <w:top w:val="single" w:sz="4" w:space="0" w:color="auto"/>
              <w:bottom w:val="single" w:sz="4" w:space="0" w:color="auto"/>
            </w:tcBorders>
          </w:tcPr>
          <w:p w14:paraId="0148827C" w14:textId="212E6744" w:rsidR="001136FA" w:rsidRPr="000920AA" w:rsidRDefault="001136FA" w:rsidP="00B92945">
            <w:pPr>
              <w:pStyle w:val="TableText"/>
            </w:pPr>
            <w:r w:rsidRPr="000920AA">
              <w:t>Per animal</w:t>
            </w:r>
          </w:p>
        </w:tc>
        <w:tc>
          <w:tcPr>
            <w:tcW w:w="704" w:type="pct"/>
            <w:tcBorders>
              <w:top w:val="single" w:sz="4" w:space="0" w:color="auto"/>
              <w:bottom w:val="single" w:sz="4" w:space="0" w:color="auto"/>
            </w:tcBorders>
          </w:tcPr>
          <w:p w14:paraId="61CBA734" w14:textId="67763DF8" w:rsidR="001136FA" w:rsidRPr="009B7461" w:rsidRDefault="001136FA" w:rsidP="00B92945">
            <w:pPr>
              <w:pStyle w:val="TableText"/>
              <w:jc w:val="right"/>
            </w:pPr>
            <w:r>
              <w:t>1,048</w:t>
            </w:r>
          </w:p>
        </w:tc>
        <w:tc>
          <w:tcPr>
            <w:tcW w:w="703" w:type="pct"/>
            <w:tcBorders>
              <w:top w:val="single" w:sz="4" w:space="0" w:color="auto"/>
              <w:bottom w:val="single" w:sz="4" w:space="0" w:color="auto"/>
            </w:tcBorders>
          </w:tcPr>
          <w:p w14:paraId="55C287FE" w14:textId="113843FF" w:rsidR="001136FA" w:rsidRPr="000920AA" w:rsidRDefault="001136FA" w:rsidP="00B92945">
            <w:pPr>
              <w:pStyle w:val="TableText"/>
              <w:jc w:val="right"/>
            </w:pPr>
            <w:r>
              <w:t>1,088</w:t>
            </w:r>
          </w:p>
        </w:tc>
      </w:tr>
      <w:tr w:rsidR="001136FA" w14:paraId="60522C16" w14:textId="77777777" w:rsidTr="00FE167A">
        <w:tc>
          <w:tcPr>
            <w:tcW w:w="842" w:type="pct"/>
            <w:vMerge/>
          </w:tcPr>
          <w:p w14:paraId="38715B5B" w14:textId="77777777" w:rsidR="001136FA" w:rsidRDefault="001136FA" w:rsidP="00B92945">
            <w:pPr>
              <w:pStyle w:val="TableText"/>
            </w:pPr>
          </w:p>
        </w:tc>
        <w:tc>
          <w:tcPr>
            <w:tcW w:w="1550" w:type="pct"/>
            <w:tcBorders>
              <w:top w:val="single" w:sz="4" w:space="0" w:color="auto"/>
              <w:bottom w:val="single" w:sz="4" w:space="0" w:color="auto"/>
            </w:tcBorders>
          </w:tcPr>
          <w:p w14:paraId="6FCA8A9F" w14:textId="21F750DF" w:rsidR="001136FA" w:rsidRPr="000920AA" w:rsidRDefault="001136FA" w:rsidP="00B92945">
            <w:pPr>
              <w:pStyle w:val="TableText"/>
            </w:pPr>
            <w:r w:rsidRPr="000920AA">
              <w:t>Confirmation of reservation charge – horses</w:t>
            </w:r>
          </w:p>
        </w:tc>
        <w:tc>
          <w:tcPr>
            <w:tcW w:w="1200" w:type="pct"/>
            <w:tcBorders>
              <w:top w:val="single" w:sz="4" w:space="0" w:color="auto"/>
              <w:bottom w:val="single" w:sz="4" w:space="0" w:color="auto"/>
            </w:tcBorders>
          </w:tcPr>
          <w:p w14:paraId="4834EA6D" w14:textId="27E64FD6" w:rsidR="001136FA" w:rsidRPr="000920AA" w:rsidRDefault="001136FA" w:rsidP="00B92945">
            <w:pPr>
              <w:pStyle w:val="TableText"/>
            </w:pPr>
            <w:r w:rsidRPr="000920AA">
              <w:t>Per animal</w:t>
            </w:r>
          </w:p>
        </w:tc>
        <w:tc>
          <w:tcPr>
            <w:tcW w:w="704" w:type="pct"/>
            <w:tcBorders>
              <w:top w:val="single" w:sz="4" w:space="0" w:color="auto"/>
              <w:bottom w:val="single" w:sz="4" w:space="0" w:color="auto"/>
            </w:tcBorders>
          </w:tcPr>
          <w:p w14:paraId="3EAA452D" w14:textId="3E344D01" w:rsidR="001136FA" w:rsidRPr="000920AA" w:rsidRDefault="001136FA" w:rsidP="00B92945">
            <w:pPr>
              <w:pStyle w:val="TableText"/>
              <w:jc w:val="right"/>
            </w:pPr>
            <w:r w:rsidRPr="009D42CA">
              <w:t>4</w:t>
            </w:r>
            <w:r>
              <w:t>,</w:t>
            </w:r>
            <w:r w:rsidRPr="009D42CA">
              <w:t>193</w:t>
            </w:r>
          </w:p>
        </w:tc>
        <w:tc>
          <w:tcPr>
            <w:tcW w:w="703" w:type="pct"/>
            <w:tcBorders>
              <w:top w:val="single" w:sz="4" w:space="0" w:color="auto"/>
              <w:bottom w:val="single" w:sz="4" w:space="0" w:color="auto"/>
            </w:tcBorders>
          </w:tcPr>
          <w:p w14:paraId="31122A65" w14:textId="09A2BDAB" w:rsidR="001136FA" w:rsidRPr="000920AA" w:rsidRDefault="001136FA" w:rsidP="00B92945">
            <w:pPr>
              <w:pStyle w:val="TableText"/>
              <w:jc w:val="right"/>
            </w:pPr>
            <w:r>
              <w:t>4,352</w:t>
            </w:r>
          </w:p>
        </w:tc>
      </w:tr>
      <w:tr w:rsidR="001136FA" w14:paraId="0B7812D6" w14:textId="77777777" w:rsidTr="00FE167A">
        <w:tc>
          <w:tcPr>
            <w:tcW w:w="842" w:type="pct"/>
            <w:vMerge/>
          </w:tcPr>
          <w:p w14:paraId="256F696C" w14:textId="77777777" w:rsidR="001136FA" w:rsidRDefault="001136FA" w:rsidP="00B92945">
            <w:pPr>
              <w:pStyle w:val="TableText"/>
            </w:pPr>
          </w:p>
        </w:tc>
        <w:tc>
          <w:tcPr>
            <w:tcW w:w="1550" w:type="pct"/>
            <w:tcBorders>
              <w:top w:val="single" w:sz="4" w:space="0" w:color="auto"/>
              <w:bottom w:val="single" w:sz="4" w:space="0" w:color="auto"/>
            </w:tcBorders>
          </w:tcPr>
          <w:p w14:paraId="3E2C2648" w14:textId="28AEF5FC" w:rsidR="001136FA" w:rsidRPr="000920AA" w:rsidRDefault="001136FA" w:rsidP="00B92945">
            <w:pPr>
              <w:pStyle w:val="TableText"/>
            </w:pPr>
            <w:r w:rsidRPr="000920AA">
              <w:t>Reservation charge – ruminants</w:t>
            </w:r>
          </w:p>
        </w:tc>
        <w:tc>
          <w:tcPr>
            <w:tcW w:w="1200" w:type="pct"/>
            <w:tcBorders>
              <w:top w:val="single" w:sz="4" w:space="0" w:color="auto"/>
              <w:bottom w:val="single" w:sz="4" w:space="0" w:color="auto"/>
            </w:tcBorders>
          </w:tcPr>
          <w:p w14:paraId="3EC56E06" w14:textId="5B1F8A61" w:rsidR="001136FA" w:rsidRPr="000920AA" w:rsidRDefault="001136FA" w:rsidP="00B92945">
            <w:pPr>
              <w:pStyle w:val="TableText"/>
            </w:pPr>
            <w:r w:rsidRPr="000920AA">
              <w:t>Per animal</w:t>
            </w:r>
          </w:p>
        </w:tc>
        <w:tc>
          <w:tcPr>
            <w:tcW w:w="704" w:type="pct"/>
            <w:tcBorders>
              <w:top w:val="single" w:sz="4" w:space="0" w:color="auto"/>
              <w:bottom w:val="single" w:sz="4" w:space="0" w:color="auto"/>
            </w:tcBorders>
          </w:tcPr>
          <w:p w14:paraId="3A610AC5" w14:textId="777AE724" w:rsidR="001136FA" w:rsidRPr="000920AA" w:rsidRDefault="001136FA" w:rsidP="00B92945">
            <w:pPr>
              <w:pStyle w:val="TableText"/>
              <w:jc w:val="right"/>
            </w:pPr>
            <w:r w:rsidRPr="00741523">
              <w:t>1,071</w:t>
            </w:r>
          </w:p>
        </w:tc>
        <w:tc>
          <w:tcPr>
            <w:tcW w:w="703" w:type="pct"/>
            <w:tcBorders>
              <w:top w:val="single" w:sz="4" w:space="0" w:color="auto"/>
              <w:bottom w:val="single" w:sz="4" w:space="0" w:color="auto"/>
            </w:tcBorders>
          </w:tcPr>
          <w:p w14:paraId="371ABC2A" w14:textId="2C78F96B" w:rsidR="001136FA" w:rsidRPr="000920AA" w:rsidRDefault="001136FA" w:rsidP="00B92945">
            <w:pPr>
              <w:pStyle w:val="TableText"/>
              <w:jc w:val="right"/>
            </w:pPr>
            <w:r>
              <w:t>1,112</w:t>
            </w:r>
          </w:p>
        </w:tc>
      </w:tr>
      <w:tr w:rsidR="001136FA" w14:paraId="4FEA10FD" w14:textId="77777777" w:rsidTr="00FE167A">
        <w:tc>
          <w:tcPr>
            <w:tcW w:w="842" w:type="pct"/>
            <w:vMerge/>
          </w:tcPr>
          <w:p w14:paraId="18776254" w14:textId="77777777" w:rsidR="001136FA" w:rsidRDefault="001136FA" w:rsidP="00B92945">
            <w:pPr>
              <w:pStyle w:val="TableText"/>
            </w:pPr>
          </w:p>
        </w:tc>
        <w:tc>
          <w:tcPr>
            <w:tcW w:w="1550" w:type="pct"/>
            <w:tcBorders>
              <w:top w:val="single" w:sz="4" w:space="0" w:color="auto"/>
              <w:bottom w:val="single" w:sz="4" w:space="0" w:color="auto"/>
            </w:tcBorders>
          </w:tcPr>
          <w:p w14:paraId="3703E80A" w14:textId="108A0566" w:rsidR="001136FA" w:rsidRPr="000920AA" w:rsidRDefault="001136FA" w:rsidP="00B92945">
            <w:pPr>
              <w:pStyle w:val="TableText"/>
            </w:pPr>
            <w:r w:rsidRPr="000920AA">
              <w:t>Confirmation of reservation charge – ruminants</w:t>
            </w:r>
          </w:p>
        </w:tc>
        <w:tc>
          <w:tcPr>
            <w:tcW w:w="1200" w:type="pct"/>
            <w:tcBorders>
              <w:top w:val="single" w:sz="4" w:space="0" w:color="auto"/>
              <w:bottom w:val="single" w:sz="4" w:space="0" w:color="auto"/>
            </w:tcBorders>
          </w:tcPr>
          <w:p w14:paraId="2BE991F7" w14:textId="19FDD301" w:rsidR="001136FA" w:rsidRPr="000920AA" w:rsidRDefault="001136FA" w:rsidP="00B92945">
            <w:pPr>
              <w:pStyle w:val="TableText"/>
            </w:pPr>
            <w:r w:rsidRPr="000920AA">
              <w:t>Per animal</w:t>
            </w:r>
          </w:p>
        </w:tc>
        <w:tc>
          <w:tcPr>
            <w:tcW w:w="704" w:type="pct"/>
            <w:tcBorders>
              <w:top w:val="single" w:sz="4" w:space="0" w:color="auto"/>
              <w:bottom w:val="single" w:sz="4" w:space="0" w:color="auto"/>
            </w:tcBorders>
          </w:tcPr>
          <w:p w14:paraId="32E61333" w14:textId="410250BB" w:rsidR="001136FA" w:rsidRPr="000920AA" w:rsidRDefault="001136FA" w:rsidP="00B92945">
            <w:pPr>
              <w:pStyle w:val="TableText"/>
              <w:jc w:val="right"/>
            </w:pPr>
            <w:r w:rsidRPr="00741523">
              <w:t>4,284</w:t>
            </w:r>
          </w:p>
        </w:tc>
        <w:tc>
          <w:tcPr>
            <w:tcW w:w="703" w:type="pct"/>
            <w:tcBorders>
              <w:top w:val="single" w:sz="4" w:space="0" w:color="auto"/>
              <w:bottom w:val="single" w:sz="4" w:space="0" w:color="auto"/>
            </w:tcBorders>
          </w:tcPr>
          <w:p w14:paraId="3A916B66" w14:textId="38122D9F" w:rsidR="001136FA" w:rsidRPr="000920AA" w:rsidRDefault="001136FA" w:rsidP="00B92945">
            <w:pPr>
              <w:pStyle w:val="TableText"/>
              <w:jc w:val="right"/>
            </w:pPr>
            <w:r>
              <w:t>4,447</w:t>
            </w:r>
          </w:p>
        </w:tc>
      </w:tr>
      <w:tr w:rsidR="001136FA" w14:paraId="6402A557" w14:textId="77777777" w:rsidTr="00FE167A">
        <w:tc>
          <w:tcPr>
            <w:tcW w:w="842" w:type="pct"/>
            <w:vMerge/>
          </w:tcPr>
          <w:p w14:paraId="4FC410E5" w14:textId="77777777" w:rsidR="001136FA" w:rsidRDefault="001136FA" w:rsidP="00B92945">
            <w:pPr>
              <w:pStyle w:val="TableText"/>
            </w:pPr>
          </w:p>
        </w:tc>
        <w:tc>
          <w:tcPr>
            <w:tcW w:w="1550" w:type="pct"/>
            <w:tcBorders>
              <w:top w:val="single" w:sz="4" w:space="0" w:color="auto"/>
              <w:bottom w:val="single" w:sz="4" w:space="0" w:color="auto"/>
            </w:tcBorders>
          </w:tcPr>
          <w:p w14:paraId="2FC902F9" w14:textId="16BA5F20" w:rsidR="001136FA" w:rsidRPr="000920AA" w:rsidRDefault="001136FA" w:rsidP="00B92945">
            <w:pPr>
              <w:pStyle w:val="TableText"/>
            </w:pPr>
            <w:r w:rsidRPr="00BE205E">
              <w:t>Reservation charge – bees</w:t>
            </w:r>
          </w:p>
        </w:tc>
        <w:tc>
          <w:tcPr>
            <w:tcW w:w="1200" w:type="pct"/>
            <w:tcBorders>
              <w:top w:val="single" w:sz="4" w:space="0" w:color="auto"/>
              <w:bottom w:val="single" w:sz="4" w:space="0" w:color="auto"/>
            </w:tcBorders>
          </w:tcPr>
          <w:p w14:paraId="4D83E5DE" w14:textId="06DFFF55" w:rsidR="001136FA" w:rsidRPr="000920AA" w:rsidRDefault="001136FA" w:rsidP="00B92945">
            <w:pPr>
              <w:pStyle w:val="TableText"/>
            </w:pPr>
            <w:r w:rsidRPr="00BE205E">
              <w:t>Per bee consignment</w:t>
            </w:r>
          </w:p>
        </w:tc>
        <w:tc>
          <w:tcPr>
            <w:tcW w:w="704" w:type="pct"/>
            <w:tcBorders>
              <w:top w:val="single" w:sz="4" w:space="0" w:color="auto"/>
              <w:bottom w:val="single" w:sz="4" w:space="0" w:color="auto"/>
            </w:tcBorders>
          </w:tcPr>
          <w:p w14:paraId="169DCB99" w14:textId="7759581C" w:rsidR="001136FA" w:rsidRPr="00BE205E" w:rsidRDefault="001136FA" w:rsidP="00B92945">
            <w:pPr>
              <w:pStyle w:val="TableText"/>
              <w:jc w:val="right"/>
            </w:pPr>
            <w:r w:rsidRPr="003F563B">
              <w:t>892</w:t>
            </w:r>
          </w:p>
        </w:tc>
        <w:tc>
          <w:tcPr>
            <w:tcW w:w="703" w:type="pct"/>
            <w:tcBorders>
              <w:top w:val="single" w:sz="4" w:space="0" w:color="auto"/>
              <w:bottom w:val="single" w:sz="4" w:space="0" w:color="auto"/>
            </w:tcBorders>
          </w:tcPr>
          <w:p w14:paraId="58166690" w14:textId="08AAF1DE" w:rsidR="001136FA" w:rsidRPr="000920AA" w:rsidRDefault="001136FA" w:rsidP="00B92945">
            <w:pPr>
              <w:pStyle w:val="TableText"/>
              <w:jc w:val="right"/>
            </w:pPr>
            <w:r>
              <w:t>926</w:t>
            </w:r>
          </w:p>
        </w:tc>
      </w:tr>
      <w:tr w:rsidR="001136FA" w14:paraId="04C3F6AE" w14:textId="77777777" w:rsidTr="00FE167A">
        <w:tc>
          <w:tcPr>
            <w:tcW w:w="842" w:type="pct"/>
            <w:vMerge/>
          </w:tcPr>
          <w:p w14:paraId="548DEF91" w14:textId="77777777" w:rsidR="001136FA" w:rsidRDefault="001136FA" w:rsidP="00B92945">
            <w:pPr>
              <w:pStyle w:val="TableText"/>
            </w:pPr>
          </w:p>
        </w:tc>
        <w:tc>
          <w:tcPr>
            <w:tcW w:w="1550" w:type="pct"/>
            <w:tcBorders>
              <w:top w:val="single" w:sz="4" w:space="0" w:color="auto"/>
              <w:bottom w:val="single" w:sz="4" w:space="0" w:color="auto"/>
            </w:tcBorders>
          </w:tcPr>
          <w:p w14:paraId="642C7C45" w14:textId="7397FE9A" w:rsidR="001136FA" w:rsidRPr="000920AA" w:rsidRDefault="001136FA" w:rsidP="00B92945">
            <w:pPr>
              <w:pStyle w:val="TableText"/>
            </w:pPr>
            <w:r w:rsidRPr="00BE205E">
              <w:t>Confirmation of reservation charge – bees</w:t>
            </w:r>
          </w:p>
        </w:tc>
        <w:tc>
          <w:tcPr>
            <w:tcW w:w="1200" w:type="pct"/>
            <w:tcBorders>
              <w:top w:val="single" w:sz="4" w:space="0" w:color="auto"/>
              <w:bottom w:val="single" w:sz="4" w:space="0" w:color="auto"/>
            </w:tcBorders>
          </w:tcPr>
          <w:p w14:paraId="19A840CE" w14:textId="290F5B46" w:rsidR="001136FA" w:rsidRPr="000920AA" w:rsidRDefault="001136FA" w:rsidP="00B92945">
            <w:pPr>
              <w:pStyle w:val="TableText"/>
            </w:pPr>
            <w:r w:rsidRPr="00BE205E">
              <w:t>Per bee consignment</w:t>
            </w:r>
          </w:p>
        </w:tc>
        <w:tc>
          <w:tcPr>
            <w:tcW w:w="704" w:type="pct"/>
            <w:tcBorders>
              <w:top w:val="single" w:sz="4" w:space="0" w:color="auto"/>
              <w:bottom w:val="single" w:sz="4" w:space="0" w:color="auto"/>
            </w:tcBorders>
          </w:tcPr>
          <w:p w14:paraId="76F78DA0" w14:textId="39962DF9" w:rsidR="001136FA" w:rsidRPr="00BE205E" w:rsidRDefault="001136FA" w:rsidP="00B92945">
            <w:pPr>
              <w:pStyle w:val="TableText"/>
              <w:jc w:val="right"/>
            </w:pPr>
            <w:r w:rsidRPr="003F563B">
              <w:t>3,571</w:t>
            </w:r>
          </w:p>
        </w:tc>
        <w:tc>
          <w:tcPr>
            <w:tcW w:w="703" w:type="pct"/>
            <w:tcBorders>
              <w:top w:val="single" w:sz="4" w:space="0" w:color="auto"/>
              <w:bottom w:val="single" w:sz="4" w:space="0" w:color="auto"/>
            </w:tcBorders>
          </w:tcPr>
          <w:p w14:paraId="66CADB3A" w14:textId="5F21C0AE" w:rsidR="001136FA" w:rsidRPr="000920AA" w:rsidRDefault="001136FA" w:rsidP="00B92945">
            <w:pPr>
              <w:pStyle w:val="TableText"/>
              <w:jc w:val="right"/>
            </w:pPr>
            <w:r>
              <w:t>3,707</w:t>
            </w:r>
          </w:p>
        </w:tc>
      </w:tr>
      <w:tr w:rsidR="00A10347" w14:paraId="3A558C65" w14:textId="77777777" w:rsidTr="00C65429">
        <w:tc>
          <w:tcPr>
            <w:tcW w:w="842" w:type="pct"/>
            <w:vMerge/>
          </w:tcPr>
          <w:p w14:paraId="527B85F3" w14:textId="77777777" w:rsidR="00A10347" w:rsidRDefault="00A10347" w:rsidP="00A10347">
            <w:pPr>
              <w:pStyle w:val="TableText"/>
            </w:pPr>
          </w:p>
        </w:tc>
        <w:tc>
          <w:tcPr>
            <w:tcW w:w="1550" w:type="pct"/>
            <w:tcBorders>
              <w:top w:val="single" w:sz="4" w:space="0" w:color="auto"/>
              <w:bottom w:val="single" w:sz="4" w:space="0" w:color="auto"/>
            </w:tcBorders>
            <w:shd w:val="clear" w:color="auto" w:fill="D9D9D9" w:themeFill="background1" w:themeFillShade="D9"/>
          </w:tcPr>
          <w:p w14:paraId="67CE9736" w14:textId="504E4DFF" w:rsidR="00A10347" w:rsidRPr="0018237B" w:rsidRDefault="00A10347" w:rsidP="00A10347">
            <w:pPr>
              <w:pStyle w:val="TableText"/>
              <w:rPr>
                <w:b/>
                <w:bCs/>
              </w:rPr>
            </w:pPr>
            <w:r w:rsidRPr="0018237B">
              <w:rPr>
                <w:b/>
                <w:bCs/>
                <w:sz w:val="20"/>
                <w:szCs w:val="20"/>
              </w:rPr>
              <w:t>Reservation charge - live snails</w:t>
            </w:r>
          </w:p>
        </w:tc>
        <w:tc>
          <w:tcPr>
            <w:tcW w:w="1200" w:type="pct"/>
            <w:tcBorders>
              <w:top w:val="single" w:sz="4" w:space="0" w:color="auto"/>
              <w:bottom w:val="single" w:sz="4" w:space="0" w:color="auto"/>
            </w:tcBorders>
            <w:shd w:val="clear" w:color="auto" w:fill="D9D9D9" w:themeFill="background1" w:themeFillShade="D9"/>
          </w:tcPr>
          <w:p w14:paraId="7B8BEDF2" w14:textId="46D9E881" w:rsidR="00A10347" w:rsidRPr="0018237B" w:rsidRDefault="00A10347" w:rsidP="00A10347">
            <w:pPr>
              <w:pStyle w:val="TableText"/>
              <w:rPr>
                <w:b/>
                <w:bCs/>
              </w:rPr>
            </w:pPr>
            <w:r w:rsidRPr="0018237B">
              <w:rPr>
                <w:b/>
                <w:bCs/>
                <w:sz w:val="20"/>
                <w:szCs w:val="20"/>
              </w:rPr>
              <w:t xml:space="preserve">Per consignment </w:t>
            </w:r>
          </w:p>
        </w:tc>
        <w:tc>
          <w:tcPr>
            <w:tcW w:w="704" w:type="pct"/>
            <w:tcBorders>
              <w:top w:val="single" w:sz="4" w:space="0" w:color="auto"/>
              <w:bottom w:val="single" w:sz="4" w:space="0" w:color="auto"/>
            </w:tcBorders>
            <w:shd w:val="clear" w:color="auto" w:fill="D9D9D9" w:themeFill="background1" w:themeFillShade="D9"/>
          </w:tcPr>
          <w:p w14:paraId="42345C5E" w14:textId="36817D38" w:rsidR="00A10347" w:rsidRPr="00380E27" w:rsidRDefault="00A10347" w:rsidP="00A10347">
            <w:pPr>
              <w:pStyle w:val="TableText"/>
            </w:pPr>
            <w:r w:rsidRPr="00A742FE">
              <w:rPr>
                <w:b/>
                <w:bCs/>
              </w:rPr>
              <w:t>New charge proposed to commence 1 July 2026</w:t>
            </w:r>
          </w:p>
        </w:tc>
        <w:tc>
          <w:tcPr>
            <w:tcW w:w="703" w:type="pct"/>
            <w:tcBorders>
              <w:top w:val="single" w:sz="4" w:space="0" w:color="auto"/>
              <w:bottom w:val="single" w:sz="4" w:space="0" w:color="auto"/>
            </w:tcBorders>
            <w:shd w:val="clear" w:color="auto" w:fill="D9D9D9" w:themeFill="background1" w:themeFillShade="D9"/>
          </w:tcPr>
          <w:p w14:paraId="6DC85AF0" w14:textId="737B7291" w:rsidR="00A10347" w:rsidRDefault="00A10347" w:rsidP="00A10347">
            <w:pPr>
              <w:pStyle w:val="TableText"/>
              <w:jc w:val="right"/>
            </w:pPr>
            <w:r>
              <w:rPr>
                <w:b/>
                <w:bCs/>
                <w:sz w:val="20"/>
                <w:szCs w:val="20"/>
              </w:rPr>
              <w:t>892</w:t>
            </w:r>
          </w:p>
        </w:tc>
      </w:tr>
      <w:tr w:rsidR="00A10347" w14:paraId="760A0808" w14:textId="77777777" w:rsidTr="00C65429">
        <w:tc>
          <w:tcPr>
            <w:tcW w:w="842" w:type="pct"/>
            <w:vMerge/>
          </w:tcPr>
          <w:p w14:paraId="22726FF1" w14:textId="77777777" w:rsidR="00A10347" w:rsidRDefault="00A10347" w:rsidP="00A10347">
            <w:pPr>
              <w:pStyle w:val="TableText"/>
            </w:pPr>
          </w:p>
        </w:tc>
        <w:tc>
          <w:tcPr>
            <w:tcW w:w="1550" w:type="pct"/>
            <w:tcBorders>
              <w:top w:val="single" w:sz="4" w:space="0" w:color="auto"/>
              <w:bottom w:val="single" w:sz="4" w:space="0" w:color="auto"/>
            </w:tcBorders>
            <w:shd w:val="clear" w:color="auto" w:fill="D9D9D9" w:themeFill="background1" w:themeFillShade="D9"/>
          </w:tcPr>
          <w:p w14:paraId="1B3D308B" w14:textId="4F94C51C" w:rsidR="00A10347" w:rsidRPr="0018237B" w:rsidRDefault="00A10347" w:rsidP="00A10347">
            <w:pPr>
              <w:pStyle w:val="TableText"/>
              <w:rPr>
                <w:b/>
                <w:bCs/>
              </w:rPr>
            </w:pPr>
            <w:r w:rsidRPr="0018237B">
              <w:rPr>
                <w:b/>
                <w:bCs/>
                <w:sz w:val="20"/>
                <w:szCs w:val="20"/>
              </w:rPr>
              <w:t>Confirmation of a reservation charge - live snails</w:t>
            </w:r>
          </w:p>
        </w:tc>
        <w:tc>
          <w:tcPr>
            <w:tcW w:w="1200" w:type="pct"/>
            <w:tcBorders>
              <w:top w:val="single" w:sz="4" w:space="0" w:color="auto"/>
              <w:bottom w:val="single" w:sz="4" w:space="0" w:color="auto"/>
            </w:tcBorders>
            <w:shd w:val="clear" w:color="auto" w:fill="D9D9D9" w:themeFill="background1" w:themeFillShade="D9"/>
          </w:tcPr>
          <w:p w14:paraId="157BFC9F" w14:textId="3345BB1E" w:rsidR="00A10347" w:rsidRPr="0018237B" w:rsidRDefault="00A10347" w:rsidP="00A10347">
            <w:pPr>
              <w:pStyle w:val="TableText"/>
              <w:rPr>
                <w:b/>
                <w:bCs/>
              </w:rPr>
            </w:pPr>
            <w:r w:rsidRPr="0018237B">
              <w:rPr>
                <w:b/>
                <w:bCs/>
                <w:sz w:val="20"/>
                <w:szCs w:val="20"/>
              </w:rPr>
              <w:t>Per consignment</w:t>
            </w:r>
          </w:p>
        </w:tc>
        <w:tc>
          <w:tcPr>
            <w:tcW w:w="704" w:type="pct"/>
            <w:tcBorders>
              <w:top w:val="single" w:sz="4" w:space="0" w:color="auto"/>
              <w:bottom w:val="single" w:sz="4" w:space="0" w:color="auto"/>
            </w:tcBorders>
            <w:shd w:val="clear" w:color="auto" w:fill="D9D9D9" w:themeFill="background1" w:themeFillShade="D9"/>
          </w:tcPr>
          <w:p w14:paraId="5097151C" w14:textId="20AD9834" w:rsidR="00A10347" w:rsidRPr="00380E27" w:rsidRDefault="00A10347" w:rsidP="00A10347">
            <w:pPr>
              <w:pStyle w:val="TableText"/>
            </w:pPr>
            <w:r w:rsidRPr="00A742FE">
              <w:rPr>
                <w:b/>
                <w:bCs/>
              </w:rPr>
              <w:t>New charge proposed to commence 1 July 2026</w:t>
            </w:r>
          </w:p>
        </w:tc>
        <w:tc>
          <w:tcPr>
            <w:tcW w:w="703" w:type="pct"/>
            <w:tcBorders>
              <w:top w:val="single" w:sz="4" w:space="0" w:color="auto"/>
              <w:bottom w:val="single" w:sz="4" w:space="0" w:color="auto"/>
            </w:tcBorders>
            <w:shd w:val="clear" w:color="auto" w:fill="D9D9D9" w:themeFill="background1" w:themeFillShade="D9"/>
          </w:tcPr>
          <w:p w14:paraId="4F11B999" w14:textId="61E71152" w:rsidR="00A10347" w:rsidRDefault="00A10347" w:rsidP="00A10347">
            <w:pPr>
              <w:pStyle w:val="TableText"/>
              <w:jc w:val="right"/>
            </w:pPr>
            <w:r w:rsidRPr="00B90E1F">
              <w:rPr>
                <w:b/>
                <w:bCs/>
                <w:sz w:val="20"/>
                <w:szCs w:val="20"/>
              </w:rPr>
              <w:t>3,</w:t>
            </w:r>
            <w:r>
              <w:rPr>
                <w:b/>
                <w:bCs/>
                <w:sz w:val="20"/>
                <w:szCs w:val="20"/>
              </w:rPr>
              <w:t>571</w:t>
            </w:r>
          </w:p>
        </w:tc>
      </w:tr>
      <w:tr w:rsidR="00A10347" w14:paraId="3E8453E2" w14:textId="77777777" w:rsidTr="00C65429">
        <w:tc>
          <w:tcPr>
            <w:tcW w:w="842" w:type="pct"/>
            <w:vMerge/>
          </w:tcPr>
          <w:p w14:paraId="735E2553" w14:textId="77777777" w:rsidR="00A10347" w:rsidRDefault="00A10347" w:rsidP="00A10347">
            <w:pPr>
              <w:pStyle w:val="TableText"/>
            </w:pPr>
          </w:p>
        </w:tc>
        <w:tc>
          <w:tcPr>
            <w:tcW w:w="1550" w:type="pct"/>
            <w:tcBorders>
              <w:top w:val="single" w:sz="4" w:space="0" w:color="auto"/>
              <w:bottom w:val="single" w:sz="4" w:space="0" w:color="auto"/>
            </w:tcBorders>
            <w:shd w:val="clear" w:color="auto" w:fill="D9D9D9" w:themeFill="background1" w:themeFillShade="D9"/>
          </w:tcPr>
          <w:p w14:paraId="7DCACD0C" w14:textId="7555612D" w:rsidR="00A10347" w:rsidRPr="0018237B" w:rsidRDefault="00A10347" w:rsidP="00A10347">
            <w:pPr>
              <w:pStyle w:val="TableText"/>
              <w:rPr>
                <w:b/>
                <w:bCs/>
              </w:rPr>
            </w:pPr>
            <w:r w:rsidRPr="0018237B">
              <w:rPr>
                <w:b/>
                <w:bCs/>
              </w:rPr>
              <w:t>Reservation charge – avian (live bird)</w:t>
            </w:r>
          </w:p>
        </w:tc>
        <w:tc>
          <w:tcPr>
            <w:tcW w:w="1200" w:type="pct"/>
            <w:tcBorders>
              <w:top w:val="single" w:sz="4" w:space="0" w:color="auto"/>
              <w:bottom w:val="single" w:sz="4" w:space="0" w:color="auto"/>
            </w:tcBorders>
            <w:shd w:val="clear" w:color="auto" w:fill="D9D9D9" w:themeFill="background1" w:themeFillShade="D9"/>
          </w:tcPr>
          <w:p w14:paraId="682934C7" w14:textId="6D8CBE74" w:rsidR="00A10347" w:rsidRPr="0018237B" w:rsidRDefault="00A10347" w:rsidP="00A10347">
            <w:pPr>
              <w:pStyle w:val="TableText"/>
              <w:rPr>
                <w:b/>
                <w:bCs/>
              </w:rPr>
            </w:pPr>
            <w:r w:rsidRPr="0018237B">
              <w:rPr>
                <w:b/>
                <w:bCs/>
              </w:rPr>
              <w:t xml:space="preserve">Proposed to amend ‘per consignment’ to ‘per biocontainment unit’  </w:t>
            </w:r>
          </w:p>
        </w:tc>
        <w:tc>
          <w:tcPr>
            <w:tcW w:w="704" w:type="pct"/>
            <w:tcBorders>
              <w:top w:val="single" w:sz="4" w:space="0" w:color="auto"/>
              <w:bottom w:val="single" w:sz="4" w:space="0" w:color="auto"/>
            </w:tcBorders>
            <w:shd w:val="clear" w:color="auto" w:fill="D9D9D9" w:themeFill="background1" w:themeFillShade="D9"/>
          </w:tcPr>
          <w:p w14:paraId="539C495E" w14:textId="516E706A" w:rsidR="00A10347" w:rsidRPr="00BE205E" w:rsidRDefault="00A10347" w:rsidP="00A10347">
            <w:pPr>
              <w:pStyle w:val="TableText"/>
              <w:jc w:val="right"/>
            </w:pPr>
            <w:r w:rsidRPr="00380E27">
              <w:t>5,018</w:t>
            </w:r>
          </w:p>
        </w:tc>
        <w:tc>
          <w:tcPr>
            <w:tcW w:w="703" w:type="pct"/>
            <w:tcBorders>
              <w:top w:val="single" w:sz="4" w:space="0" w:color="auto"/>
              <w:bottom w:val="single" w:sz="4" w:space="0" w:color="auto"/>
            </w:tcBorders>
            <w:shd w:val="clear" w:color="auto" w:fill="D9D9D9" w:themeFill="background1" w:themeFillShade="D9"/>
          </w:tcPr>
          <w:p w14:paraId="0FDA9408" w14:textId="266FBC33" w:rsidR="00A10347" w:rsidRPr="00BE205E" w:rsidRDefault="00A10347" w:rsidP="00A10347">
            <w:pPr>
              <w:pStyle w:val="TableText"/>
              <w:jc w:val="right"/>
            </w:pPr>
            <w:r>
              <w:t>5,209</w:t>
            </w:r>
          </w:p>
        </w:tc>
      </w:tr>
      <w:tr w:rsidR="00A10347" w14:paraId="00191780" w14:textId="77777777" w:rsidTr="00C65429">
        <w:tc>
          <w:tcPr>
            <w:tcW w:w="842" w:type="pct"/>
            <w:vMerge/>
          </w:tcPr>
          <w:p w14:paraId="7592E6CE" w14:textId="77777777" w:rsidR="00A10347" w:rsidRDefault="00A10347" w:rsidP="00A10347">
            <w:pPr>
              <w:pStyle w:val="TableText"/>
            </w:pPr>
          </w:p>
        </w:tc>
        <w:tc>
          <w:tcPr>
            <w:tcW w:w="1550" w:type="pct"/>
            <w:tcBorders>
              <w:top w:val="single" w:sz="4" w:space="0" w:color="auto"/>
              <w:bottom w:val="single" w:sz="4" w:space="0" w:color="auto"/>
            </w:tcBorders>
            <w:shd w:val="clear" w:color="auto" w:fill="D9D9D9" w:themeFill="background1" w:themeFillShade="D9"/>
          </w:tcPr>
          <w:p w14:paraId="1FAD67A5" w14:textId="76CE3C1C" w:rsidR="00A10347" w:rsidRPr="0018237B" w:rsidRDefault="00A10347" w:rsidP="00A10347">
            <w:pPr>
              <w:pStyle w:val="TableText"/>
              <w:rPr>
                <w:b/>
                <w:bCs/>
              </w:rPr>
            </w:pPr>
            <w:r w:rsidRPr="0018237B">
              <w:rPr>
                <w:b/>
                <w:bCs/>
              </w:rPr>
              <w:t>Confirmation of reservation charge – avian (live bird)</w:t>
            </w:r>
          </w:p>
        </w:tc>
        <w:tc>
          <w:tcPr>
            <w:tcW w:w="1200" w:type="pct"/>
            <w:tcBorders>
              <w:top w:val="single" w:sz="4" w:space="0" w:color="auto"/>
              <w:bottom w:val="single" w:sz="4" w:space="0" w:color="auto"/>
            </w:tcBorders>
            <w:shd w:val="clear" w:color="auto" w:fill="D9D9D9" w:themeFill="background1" w:themeFillShade="D9"/>
          </w:tcPr>
          <w:p w14:paraId="5A6DF3B1" w14:textId="66B7AC0D" w:rsidR="00A10347" w:rsidRPr="0018237B" w:rsidRDefault="00A10347" w:rsidP="00A10347">
            <w:pPr>
              <w:pStyle w:val="TableText"/>
              <w:rPr>
                <w:b/>
                <w:bCs/>
              </w:rPr>
            </w:pPr>
            <w:r w:rsidRPr="0018237B">
              <w:rPr>
                <w:b/>
                <w:bCs/>
              </w:rPr>
              <w:t xml:space="preserve">Proposed to amend ‘per consignment’ to ‘per biocontainment unit’  </w:t>
            </w:r>
          </w:p>
        </w:tc>
        <w:tc>
          <w:tcPr>
            <w:tcW w:w="704" w:type="pct"/>
            <w:tcBorders>
              <w:top w:val="single" w:sz="4" w:space="0" w:color="auto"/>
              <w:bottom w:val="single" w:sz="4" w:space="0" w:color="auto"/>
            </w:tcBorders>
            <w:shd w:val="clear" w:color="auto" w:fill="D9D9D9" w:themeFill="background1" w:themeFillShade="D9"/>
          </w:tcPr>
          <w:p w14:paraId="72F2F55D" w14:textId="14DB6CE0" w:rsidR="00A10347" w:rsidRPr="00BE205E" w:rsidRDefault="00A10347" w:rsidP="00A10347">
            <w:pPr>
              <w:pStyle w:val="TableText"/>
              <w:jc w:val="right"/>
            </w:pPr>
            <w:r w:rsidRPr="00380E27">
              <w:t>20,069</w:t>
            </w:r>
          </w:p>
        </w:tc>
        <w:tc>
          <w:tcPr>
            <w:tcW w:w="703" w:type="pct"/>
            <w:tcBorders>
              <w:top w:val="single" w:sz="4" w:space="0" w:color="auto"/>
              <w:bottom w:val="single" w:sz="4" w:space="0" w:color="auto"/>
            </w:tcBorders>
            <w:shd w:val="clear" w:color="auto" w:fill="D9D9D9" w:themeFill="background1" w:themeFillShade="D9"/>
          </w:tcPr>
          <w:p w14:paraId="472AA378" w14:textId="2C1FDF2A" w:rsidR="00A10347" w:rsidRPr="00BE205E" w:rsidRDefault="00A10347" w:rsidP="00A10347">
            <w:pPr>
              <w:pStyle w:val="TableText"/>
              <w:jc w:val="right"/>
            </w:pPr>
            <w:r>
              <w:t>20,832</w:t>
            </w:r>
          </w:p>
        </w:tc>
      </w:tr>
      <w:tr w:rsidR="00A10347" w14:paraId="5CA3FB15" w14:textId="77777777" w:rsidTr="00C65429">
        <w:tc>
          <w:tcPr>
            <w:tcW w:w="842" w:type="pct"/>
            <w:vMerge/>
          </w:tcPr>
          <w:p w14:paraId="6CDB1F4A" w14:textId="77777777" w:rsidR="00A10347" w:rsidRDefault="00A10347" w:rsidP="00A10347">
            <w:pPr>
              <w:pStyle w:val="TableText"/>
            </w:pPr>
          </w:p>
        </w:tc>
        <w:tc>
          <w:tcPr>
            <w:tcW w:w="1550" w:type="pct"/>
            <w:tcBorders>
              <w:top w:val="single" w:sz="4" w:space="0" w:color="auto"/>
              <w:bottom w:val="single" w:sz="4" w:space="0" w:color="auto"/>
            </w:tcBorders>
            <w:shd w:val="clear" w:color="auto" w:fill="D9D9D9" w:themeFill="background1" w:themeFillShade="D9"/>
          </w:tcPr>
          <w:p w14:paraId="2D4C4EEC" w14:textId="453F352A" w:rsidR="00A10347" w:rsidRPr="0018237B" w:rsidRDefault="00A10347" w:rsidP="00A10347">
            <w:pPr>
              <w:pStyle w:val="TableText"/>
              <w:rPr>
                <w:b/>
                <w:bCs/>
              </w:rPr>
            </w:pPr>
            <w:r w:rsidRPr="0018237B">
              <w:rPr>
                <w:b/>
                <w:bCs/>
              </w:rPr>
              <w:t>Reservation of charge – avian (eggs for hatching)</w:t>
            </w:r>
          </w:p>
        </w:tc>
        <w:tc>
          <w:tcPr>
            <w:tcW w:w="1200" w:type="pct"/>
            <w:tcBorders>
              <w:top w:val="single" w:sz="4" w:space="0" w:color="auto"/>
              <w:bottom w:val="single" w:sz="4" w:space="0" w:color="auto"/>
            </w:tcBorders>
            <w:shd w:val="clear" w:color="auto" w:fill="D9D9D9" w:themeFill="background1" w:themeFillShade="D9"/>
          </w:tcPr>
          <w:p w14:paraId="637C8315" w14:textId="3AF8D490" w:rsidR="00A10347" w:rsidRPr="0018237B" w:rsidRDefault="00A10347" w:rsidP="00A10347">
            <w:pPr>
              <w:pStyle w:val="TableText"/>
              <w:rPr>
                <w:b/>
                <w:bCs/>
              </w:rPr>
            </w:pPr>
            <w:r w:rsidRPr="0018237B">
              <w:rPr>
                <w:b/>
                <w:bCs/>
              </w:rPr>
              <w:t xml:space="preserve">Proposed to amend ‘per consignment’ to ‘per biocontainment unit’  </w:t>
            </w:r>
          </w:p>
        </w:tc>
        <w:tc>
          <w:tcPr>
            <w:tcW w:w="704" w:type="pct"/>
            <w:tcBorders>
              <w:top w:val="single" w:sz="4" w:space="0" w:color="auto"/>
              <w:bottom w:val="single" w:sz="4" w:space="0" w:color="auto"/>
            </w:tcBorders>
            <w:shd w:val="clear" w:color="auto" w:fill="D9D9D9" w:themeFill="background1" w:themeFillShade="D9"/>
          </w:tcPr>
          <w:p w14:paraId="5B3BEC8F" w14:textId="40EC8319" w:rsidR="00A10347" w:rsidRPr="00852501" w:rsidRDefault="00A10347" w:rsidP="00A10347">
            <w:pPr>
              <w:pStyle w:val="TableText"/>
              <w:jc w:val="right"/>
            </w:pPr>
            <w:r w:rsidRPr="00852501">
              <w:t>13,974</w:t>
            </w:r>
          </w:p>
        </w:tc>
        <w:tc>
          <w:tcPr>
            <w:tcW w:w="703" w:type="pct"/>
            <w:tcBorders>
              <w:top w:val="single" w:sz="4" w:space="0" w:color="auto"/>
              <w:bottom w:val="single" w:sz="4" w:space="0" w:color="auto"/>
            </w:tcBorders>
            <w:shd w:val="clear" w:color="auto" w:fill="D9D9D9" w:themeFill="background1" w:themeFillShade="D9"/>
          </w:tcPr>
          <w:p w14:paraId="3ABDA42E" w14:textId="6C795FFA" w:rsidR="00A10347" w:rsidRPr="00852501" w:rsidRDefault="00A10347" w:rsidP="00A10347">
            <w:pPr>
              <w:pStyle w:val="TableText"/>
              <w:jc w:val="right"/>
            </w:pPr>
            <w:r w:rsidRPr="00852501">
              <w:t>14,505</w:t>
            </w:r>
          </w:p>
        </w:tc>
      </w:tr>
      <w:tr w:rsidR="00A10347" w14:paraId="32705F52" w14:textId="77777777" w:rsidTr="00C65429">
        <w:tc>
          <w:tcPr>
            <w:tcW w:w="842" w:type="pct"/>
            <w:vMerge/>
          </w:tcPr>
          <w:p w14:paraId="2373E51F" w14:textId="77777777" w:rsidR="00A10347" w:rsidRDefault="00A10347" w:rsidP="00A10347">
            <w:pPr>
              <w:pStyle w:val="TableText"/>
            </w:pPr>
          </w:p>
        </w:tc>
        <w:tc>
          <w:tcPr>
            <w:tcW w:w="1550" w:type="pct"/>
            <w:tcBorders>
              <w:top w:val="single" w:sz="4" w:space="0" w:color="auto"/>
              <w:bottom w:val="single" w:sz="4" w:space="0" w:color="auto"/>
            </w:tcBorders>
            <w:shd w:val="clear" w:color="auto" w:fill="D9D9D9" w:themeFill="background1" w:themeFillShade="D9"/>
          </w:tcPr>
          <w:p w14:paraId="30298A6A" w14:textId="7A18EEAD" w:rsidR="00A10347" w:rsidRPr="0018237B" w:rsidRDefault="00A10347" w:rsidP="00A10347">
            <w:pPr>
              <w:pStyle w:val="TableText"/>
              <w:rPr>
                <w:b/>
                <w:bCs/>
              </w:rPr>
            </w:pPr>
            <w:r w:rsidRPr="0018237B">
              <w:rPr>
                <w:b/>
                <w:bCs/>
              </w:rPr>
              <w:t>Confirmation of reservation charge – avian (eggs for hatching)</w:t>
            </w:r>
          </w:p>
        </w:tc>
        <w:tc>
          <w:tcPr>
            <w:tcW w:w="1200" w:type="pct"/>
            <w:tcBorders>
              <w:top w:val="single" w:sz="4" w:space="0" w:color="auto"/>
              <w:bottom w:val="single" w:sz="4" w:space="0" w:color="auto"/>
            </w:tcBorders>
            <w:shd w:val="clear" w:color="auto" w:fill="D9D9D9" w:themeFill="background1" w:themeFillShade="D9"/>
          </w:tcPr>
          <w:p w14:paraId="44AFC82B" w14:textId="427A4071" w:rsidR="00A10347" w:rsidRPr="0018237B" w:rsidRDefault="00A10347" w:rsidP="00A10347">
            <w:pPr>
              <w:pStyle w:val="TableText"/>
              <w:rPr>
                <w:b/>
                <w:bCs/>
              </w:rPr>
            </w:pPr>
            <w:r w:rsidRPr="0018237B">
              <w:rPr>
                <w:b/>
                <w:bCs/>
              </w:rPr>
              <w:t xml:space="preserve">Proposed to amend ‘per consignment’ to ‘per biocontainment unit’  </w:t>
            </w:r>
          </w:p>
        </w:tc>
        <w:tc>
          <w:tcPr>
            <w:tcW w:w="704" w:type="pct"/>
            <w:tcBorders>
              <w:top w:val="single" w:sz="4" w:space="0" w:color="auto"/>
              <w:bottom w:val="single" w:sz="4" w:space="0" w:color="auto"/>
            </w:tcBorders>
            <w:shd w:val="clear" w:color="auto" w:fill="D9D9D9" w:themeFill="background1" w:themeFillShade="D9"/>
          </w:tcPr>
          <w:p w14:paraId="02A494B6" w14:textId="4C6E38FD" w:rsidR="00A10347" w:rsidRPr="00852501" w:rsidRDefault="00A10347" w:rsidP="00A10347">
            <w:pPr>
              <w:pStyle w:val="TableText"/>
              <w:jc w:val="right"/>
            </w:pPr>
            <w:r w:rsidRPr="00852501">
              <w:t>55,894</w:t>
            </w:r>
          </w:p>
        </w:tc>
        <w:tc>
          <w:tcPr>
            <w:tcW w:w="703" w:type="pct"/>
            <w:tcBorders>
              <w:top w:val="single" w:sz="4" w:space="0" w:color="auto"/>
              <w:bottom w:val="single" w:sz="4" w:space="0" w:color="auto"/>
            </w:tcBorders>
            <w:shd w:val="clear" w:color="auto" w:fill="D9D9D9" w:themeFill="background1" w:themeFillShade="D9"/>
          </w:tcPr>
          <w:p w14:paraId="269EF449" w14:textId="755DA446" w:rsidR="00A10347" w:rsidRPr="00852501" w:rsidRDefault="00A10347" w:rsidP="00A10347">
            <w:pPr>
              <w:pStyle w:val="TableText"/>
              <w:jc w:val="right"/>
            </w:pPr>
            <w:r w:rsidRPr="00852501">
              <w:t>58,018</w:t>
            </w:r>
          </w:p>
        </w:tc>
      </w:tr>
      <w:tr w:rsidR="00A10347" w14:paraId="21AE4915" w14:textId="77777777" w:rsidTr="00FE167A">
        <w:tc>
          <w:tcPr>
            <w:tcW w:w="842" w:type="pct"/>
            <w:vMerge/>
          </w:tcPr>
          <w:p w14:paraId="44562B1A" w14:textId="77777777" w:rsidR="00A10347" w:rsidRDefault="00A10347" w:rsidP="00A10347">
            <w:pPr>
              <w:pStyle w:val="TableText"/>
            </w:pPr>
          </w:p>
        </w:tc>
        <w:tc>
          <w:tcPr>
            <w:tcW w:w="1550" w:type="pct"/>
            <w:tcBorders>
              <w:top w:val="single" w:sz="4" w:space="0" w:color="auto"/>
              <w:bottom w:val="single" w:sz="4" w:space="0" w:color="auto"/>
            </w:tcBorders>
          </w:tcPr>
          <w:p w14:paraId="38C04FD3" w14:textId="7BEC09C8" w:rsidR="00A10347" w:rsidRPr="000920AA" w:rsidRDefault="00A10347" w:rsidP="00A10347">
            <w:pPr>
              <w:pStyle w:val="TableText"/>
            </w:pPr>
            <w:r w:rsidRPr="00BE205E">
              <w:t>Importation charge – plants</w:t>
            </w:r>
          </w:p>
        </w:tc>
        <w:tc>
          <w:tcPr>
            <w:tcW w:w="1200" w:type="pct"/>
            <w:tcBorders>
              <w:top w:val="single" w:sz="4" w:space="0" w:color="auto"/>
              <w:bottom w:val="single" w:sz="4" w:space="0" w:color="auto"/>
            </w:tcBorders>
          </w:tcPr>
          <w:p w14:paraId="44C32127" w14:textId="294031A6" w:rsidR="00A10347" w:rsidRPr="000920AA" w:rsidRDefault="00A10347" w:rsidP="00A10347">
            <w:pPr>
              <w:pStyle w:val="TableText"/>
            </w:pPr>
            <w:r w:rsidRPr="00BE205E">
              <w:t>Per m</w:t>
            </w:r>
            <w:r w:rsidRPr="007811B3">
              <w:rPr>
                <w:vertAlign w:val="superscript"/>
              </w:rPr>
              <w:t>2</w:t>
            </w:r>
            <w:r w:rsidRPr="00BE205E">
              <w:t xml:space="preserve"> per month</w:t>
            </w:r>
          </w:p>
        </w:tc>
        <w:tc>
          <w:tcPr>
            <w:tcW w:w="704" w:type="pct"/>
            <w:tcBorders>
              <w:top w:val="single" w:sz="4" w:space="0" w:color="auto"/>
              <w:bottom w:val="single" w:sz="4" w:space="0" w:color="auto"/>
            </w:tcBorders>
          </w:tcPr>
          <w:p w14:paraId="67B9864A" w14:textId="3B8D12C2" w:rsidR="00A10347" w:rsidRPr="00BE205E" w:rsidRDefault="00A10347" w:rsidP="00A10347">
            <w:pPr>
              <w:pStyle w:val="TableText"/>
              <w:jc w:val="right"/>
            </w:pPr>
            <w:r>
              <w:t>310</w:t>
            </w:r>
          </w:p>
        </w:tc>
        <w:tc>
          <w:tcPr>
            <w:tcW w:w="703" w:type="pct"/>
            <w:tcBorders>
              <w:top w:val="single" w:sz="4" w:space="0" w:color="auto"/>
              <w:bottom w:val="single" w:sz="4" w:space="0" w:color="auto"/>
            </w:tcBorders>
          </w:tcPr>
          <w:p w14:paraId="0CDBA44C" w14:textId="0890382E" w:rsidR="00A10347" w:rsidRPr="000920AA" w:rsidRDefault="00A10347" w:rsidP="00A10347">
            <w:pPr>
              <w:pStyle w:val="TableText"/>
              <w:jc w:val="right"/>
            </w:pPr>
            <w:r>
              <w:t>322</w:t>
            </w:r>
          </w:p>
        </w:tc>
      </w:tr>
      <w:tr w:rsidR="00A10347" w14:paraId="2F0C0D3C" w14:textId="2110217C" w:rsidTr="00FE167A">
        <w:tc>
          <w:tcPr>
            <w:tcW w:w="842" w:type="pct"/>
            <w:vMerge/>
          </w:tcPr>
          <w:p w14:paraId="58AE92C6" w14:textId="77777777" w:rsidR="00A10347" w:rsidRDefault="00A10347" w:rsidP="00A10347">
            <w:pPr>
              <w:pStyle w:val="TableText"/>
            </w:pPr>
          </w:p>
        </w:tc>
        <w:tc>
          <w:tcPr>
            <w:tcW w:w="1550" w:type="pct"/>
            <w:tcBorders>
              <w:top w:val="single" w:sz="4" w:space="0" w:color="auto"/>
              <w:bottom w:val="single" w:sz="4" w:space="0" w:color="auto"/>
            </w:tcBorders>
          </w:tcPr>
          <w:p w14:paraId="3C419F94" w14:textId="2D89B3F8" w:rsidR="00A10347" w:rsidRDefault="00A10347" w:rsidP="00A10347">
            <w:pPr>
              <w:pStyle w:val="TableText"/>
            </w:pPr>
            <w:r w:rsidRPr="000920AA">
              <w:t>Approved arrangement application charge</w:t>
            </w:r>
          </w:p>
        </w:tc>
        <w:tc>
          <w:tcPr>
            <w:tcW w:w="1200" w:type="pct"/>
            <w:tcBorders>
              <w:top w:val="single" w:sz="4" w:space="0" w:color="auto"/>
              <w:bottom w:val="single" w:sz="4" w:space="0" w:color="auto"/>
            </w:tcBorders>
          </w:tcPr>
          <w:p w14:paraId="3C93CEF3" w14:textId="16C9F85A" w:rsidR="00A10347" w:rsidRDefault="00A10347" w:rsidP="00A10347">
            <w:pPr>
              <w:pStyle w:val="TableText"/>
            </w:pPr>
            <w:r w:rsidRPr="000920AA">
              <w:t>Per application</w:t>
            </w:r>
          </w:p>
        </w:tc>
        <w:tc>
          <w:tcPr>
            <w:tcW w:w="704" w:type="pct"/>
            <w:tcBorders>
              <w:top w:val="single" w:sz="4" w:space="0" w:color="auto"/>
              <w:bottom w:val="single" w:sz="4" w:space="0" w:color="auto"/>
            </w:tcBorders>
          </w:tcPr>
          <w:p w14:paraId="647760D7" w14:textId="2E1575F1" w:rsidR="00A10347" w:rsidRPr="000920AA" w:rsidRDefault="00A10347" w:rsidP="00A10347">
            <w:pPr>
              <w:pStyle w:val="TableText"/>
              <w:jc w:val="right"/>
            </w:pPr>
            <w:r>
              <w:t>207</w:t>
            </w:r>
          </w:p>
        </w:tc>
        <w:tc>
          <w:tcPr>
            <w:tcW w:w="703" w:type="pct"/>
            <w:tcBorders>
              <w:top w:val="single" w:sz="4" w:space="0" w:color="auto"/>
              <w:bottom w:val="single" w:sz="4" w:space="0" w:color="auto"/>
            </w:tcBorders>
          </w:tcPr>
          <w:p w14:paraId="09A450D5" w14:textId="51D79AA5" w:rsidR="00A10347" w:rsidRPr="000920AA" w:rsidRDefault="00A10347" w:rsidP="00A10347">
            <w:pPr>
              <w:pStyle w:val="TableText"/>
              <w:jc w:val="right"/>
            </w:pPr>
            <w:r>
              <w:t>215</w:t>
            </w:r>
          </w:p>
        </w:tc>
      </w:tr>
      <w:tr w:rsidR="00A10347" w14:paraId="67C1D736" w14:textId="77777777" w:rsidTr="00FE167A">
        <w:tc>
          <w:tcPr>
            <w:tcW w:w="842" w:type="pct"/>
            <w:vMerge/>
          </w:tcPr>
          <w:p w14:paraId="4F15FE78" w14:textId="77777777" w:rsidR="00A10347" w:rsidRDefault="00A10347" w:rsidP="00A10347">
            <w:pPr>
              <w:pStyle w:val="TableText"/>
            </w:pPr>
          </w:p>
        </w:tc>
        <w:tc>
          <w:tcPr>
            <w:tcW w:w="1550" w:type="pct"/>
            <w:tcBorders>
              <w:top w:val="single" w:sz="4" w:space="0" w:color="auto"/>
              <w:bottom w:val="single" w:sz="4" w:space="0" w:color="auto"/>
            </w:tcBorders>
          </w:tcPr>
          <w:p w14:paraId="19D01B36" w14:textId="2034A06C" w:rsidR="00A10347" w:rsidRPr="000920AA" w:rsidRDefault="00A10347" w:rsidP="00A10347">
            <w:pPr>
              <w:pStyle w:val="TableText"/>
            </w:pPr>
            <w:r w:rsidRPr="000920AA">
              <w:t>Approved arrangement – multiple</w:t>
            </w:r>
            <w:r>
              <w:t xml:space="preserve"> for full year</w:t>
            </w:r>
          </w:p>
        </w:tc>
        <w:tc>
          <w:tcPr>
            <w:tcW w:w="1200" w:type="pct"/>
            <w:tcBorders>
              <w:top w:val="single" w:sz="4" w:space="0" w:color="auto"/>
              <w:bottom w:val="single" w:sz="4" w:space="0" w:color="auto"/>
            </w:tcBorders>
          </w:tcPr>
          <w:p w14:paraId="5FB0A362" w14:textId="35370141" w:rsidR="00A10347" w:rsidRPr="000920AA" w:rsidRDefault="00A10347" w:rsidP="00A10347">
            <w:pPr>
              <w:pStyle w:val="TableText"/>
            </w:pPr>
            <w:r w:rsidRPr="000920AA">
              <w:t>Per item</w:t>
            </w:r>
          </w:p>
        </w:tc>
        <w:tc>
          <w:tcPr>
            <w:tcW w:w="704" w:type="pct"/>
            <w:tcBorders>
              <w:top w:val="single" w:sz="4" w:space="0" w:color="auto"/>
              <w:bottom w:val="single" w:sz="4" w:space="0" w:color="auto"/>
            </w:tcBorders>
          </w:tcPr>
          <w:p w14:paraId="5287B65B" w14:textId="085A73BF" w:rsidR="00A10347" w:rsidRPr="000920AA" w:rsidRDefault="00A10347" w:rsidP="00A10347">
            <w:pPr>
              <w:pStyle w:val="TableText"/>
              <w:jc w:val="right"/>
            </w:pPr>
            <w:r>
              <w:t>3,316</w:t>
            </w:r>
          </w:p>
        </w:tc>
        <w:tc>
          <w:tcPr>
            <w:tcW w:w="703" w:type="pct"/>
            <w:tcBorders>
              <w:top w:val="single" w:sz="4" w:space="0" w:color="auto"/>
              <w:bottom w:val="single" w:sz="4" w:space="0" w:color="auto"/>
            </w:tcBorders>
          </w:tcPr>
          <w:p w14:paraId="1678CC5B" w14:textId="56BEE3E7" w:rsidR="00A10347" w:rsidRPr="000920AA" w:rsidRDefault="00A10347" w:rsidP="00A10347">
            <w:pPr>
              <w:pStyle w:val="TableText"/>
              <w:jc w:val="right"/>
            </w:pPr>
            <w:r>
              <w:t>3,442</w:t>
            </w:r>
          </w:p>
        </w:tc>
      </w:tr>
      <w:tr w:rsidR="00A10347" w14:paraId="2A56DD6C" w14:textId="77777777" w:rsidTr="00FE167A">
        <w:tc>
          <w:tcPr>
            <w:tcW w:w="842" w:type="pct"/>
            <w:vMerge/>
          </w:tcPr>
          <w:p w14:paraId="126A160D" w14:textId="77777777" w:rsidR="00A10347" w:rsidRDefault="00A10347" w:rsidP="00A10347">
            <w:pPr>
              <w:pStyle w:val="TableText"/>
            </w:pPr>
          </w:p>
        </w:tc>
        <w:tc>
          <w:tcPr>
            <w:tcW w:w="1550" w:type="pct"/>
            <w:tcBorders>
              <w:top w:val="single" w:sz="4" w:space="0" w:color="auto"/>
              <w:bottom w:val="single" w:sz="4" w:space="0" w:color="auto"/>
            </w:tcBorders>
          </w:tcPr>
          <w:p w14:paraId="7624CEB0" w14:textId="62DA429E" w:rsidR="00A10347" w:rsidRDefault="00A10347" w:rsidP="00A10347">
            <w:pPr>
              <w:pStyle w:val="TableText"/>
            </w:pPr>
            <w:r w:rsidRPr="000920AA">
              <w:t>Approved arrangement – multiple</w:t>
            </w:r>
            <w:r>
              <w:t xml:space="preserve"> for part year</w:t>
            </w:r>
          </w:p>
          <w:p w14:paraId="0ADCA5A0" w14:textId="7D1A2CB2" w:rsidR="00A10347" w:rsidRPr="000920AA" w:rsidRDefault="00A10347" w:rsidP="00A10347">
            <w:pPr>
              <w:pStyle w:val="TableText"/>
            </w:pPr>
            <w:r w:rsidRPr="000920AA">
              <w:lastRenderedPageBreak/>
              <w:t xml:space="preserve">(Part year 50% of annual charge) </w:t>
            </w:r>
          </w:p>
        </w:tc>
        <w:tc>
          <w:tcPr>
            <w:tcW w:w="1200" w:type="pct"/>
            <w:tcBorders>
              <w:top w:val="single" w:sz="4" w:space="0" w:color="auto"/>
              <w:bottom w:val="single" w:sz="4" w:space="0" w:color="auto"/>
            </w:tcBorders>
          </w:tcPr>
          <w:p w14:paraId="4DCAA7BE" w14:textId="7031A51E" w:rsidR="00A10347" w:rsidRPr="000920AA" w:rsidRDefault="00A10347" w:rsidP="00A10347">
            <w:pPr>
              <w:pStyle w:val="TableText"/>
            </w:pPr>
            <w:r w:rsidRPr="000920AA">
              <w:lastRenderedPageBreak/>
              <w:t>Per item</w:t>
            </w:r>
          </w:p>
        </w:tc>
        <w:tc>
          <w:tcPr>
            <w:tcW w:w="704" w:type="pct"/>
            <w:tcBorders>
              <w:top w:val="single" w:sz="4" w:space="0" w:color="auto"/>
              <w:bottom w:val="single" w:sz="4" w:space="0" w:color="auto"/>
            </w:tcBorders>
          </w:tcPr>
          <w:p w14:paraId="2B922AAD" w14:textId="11172E05" w:rsidR="00A10347" w:rsidRDefault="00A10347" w:rsidP="00A10347">
            <w:pPr>
              <w:pStyle w:val="TableText"/>
              <w:jc w:val="right"/>
            </w:pPr>
            <w:r>
              <w:t>1,658</w:t>
            </w:r>
          </w:p>
        </w:tc>
        <w:tc>
          <w:tcPr>
            <w:tcW w:w="703" w:type="pct"/>
            <w:tcBorders>
              <w:top w:val="single" w:sz="4" w:space="0" w:color="auto"/>
              <w:bottom w:val="single" w:sz="4" w:space="0" w:color="auto"/>
            </w:tcBorders>
          </w:tcPr>
          <w:p w14:paraId="7291FBD6" w14:textId="67BA518E" w:rsidR="00A10347" w:rsidRPr="000920AA" w:rsidRDefault="00A10347" w:rsidP="00A10347">
            <w:pPr>
              <w:pStyle w:val="TableText"/>
              <w:jc w:val="right"/>
            </w:pPr>
            <w:r>
              <w:t>1,721</w:t>
            </w:r>
          </w:p>
        </w:tc>
      </w:tr>
      <w:tr w:rsidR="00A10347" w14:paraId="5D10315C" w14:textId="77777777" w:rsidTr="00FE167A">
        <w:tc>
          <w:tcPr>
            <w:tcW w:w="842" w:type="pct"/>
            <w:vMerge/>
          </w:tcPr>
          <w:p w14:paraId="476DB711" w14:textId="77777777" w:rsidR="00A10347" w:rsidRDefault="00A10347" w:rsidP="00A10347">
            <w:pPr>
              <w:pStyle w:val="TableText"/>
            </w:pPr>
          </w:p>
        </w:tc>
        <w:tc>
          <w:tcPr>
            <w:tcW w:w="1550" w:type="pct"/>
            <w:tcBorders>
              <w:top w:val="single" w:sz="4" w:space="0" w:color="auto"/>
              <w:bottom w:val="single" w:sz="4" w:space="0" w:color="auto"/>
            </w:tcBorders>
          </w:tcPr>
          <w:p w14:paraId="5714E1B0" w14:textId="4A68B7F7" w:rsidR="00A10347" w:rsidRPr="000920AA" w:rsidRDefault="00A10347" w:rsidP="00A10347">
            <w:pPr>
              <w:pStyle w:val="TableText"/>
            </w:pPr>
            <w:r w:rsidRPr="000920AA">
              <w:t>Approved arrangement – class 19</w:t>
            </w:r>
            <w:r>
              <w:t xml:space="preserve"> for full year</w:t>
            </w:r>
          </w:p>
        </w:tc>
        <w:tc>
          <w:tcPr>
            <w:tcW w:w="1200" w:type="pct"/>
            <w:tcBorders>
              <w:top w:val="single" w:sz="4" w:space="0" w:color="auto"/>
              <w:bottom w:val="single" w:sz="4" w:space="0" w:color="auto"/>
            </w:tcBorders>
          </w:tcPr>
          <w:p w14:paraId="572306F6" w14:textId="521E739C" w:rsidR="00A10347" w:rsidRPr="000920AA" w:rsidRDefault="00A10347" w:rsidP="00A10347">
            <w:pPr>
              <w:pStyle w:val="TableText"/>
            </w:pPr>
            <w:r w:rsidRPr="000920AA">
              <w:t>Per item</w:t>
            </w:r>
          </w:p>
        </w:tc>
        <w:tc>
          <w:tcPr>
            <w:tcW w:w="704" w:type="pct"/>
            <w:tcBorders>
              <w:top w:val="single" w:sz="4" w:space="0" w:color="auto"/>
              <w:bottom w:val="single" w:sz="4" w:space="0" w:color="auto"/>
            </w:tcBorders>
          </w:tcPr>
          <w:p w14:paraId="2A050C0C" w14:textId="414D422B" w:rsidR="00A10347" w:rsidRPr="000920AA" w:rsidRDefault="00A10347" w:rsidP="00A10347">
            <w:pPr>
              <w:pStyle w:val="TableText"/>
              <w:jc w:val="right"/>
            </w:pPr>
            <w:r>
              <w:t>571</w:t>
            </w:r>
          </w:p>
        </w:tc>
        <w:tc>
          <w:tcPr>
            <w:tcW w:w="703" w:type="pct"/>
            <w:tcBorders>
              <w:top w:val="single" w:sz="4" w:space="0" w:color="auto"/>
              <w:bottom w:val="single" w:sz="4" w:space="0" w:color="auto"/>
            </w:tcBorders>
          </w:tcPr>
          <w:p w14:paraId="75CEE607" w14:textId="36B1DE37" w:rsidR="00A10347" w:rsidRPr="000920AA" w:rsidRDefault="00A10347" w:rsidP="00A10347">
            <w:pPr>
              <w:pStyle w:val="TableText"/>
              <w:jc w:val="right"/>
            </w:pPr>
            <w:r>
              <w:t>593</w:t>
            </w:r>
          </w:p>
        </w:tc>
      </w:tr>
      <w:tr w:rsidR="00A10347" w14:paraId="149A1679" w14:textId="77777777" w:rsidTr="00FE167A">
        <w:tc>
          <w:tcPr>
            <w:tcW w:w="842" w:type="pct"/>
            <w:vMerge/>
          </w:tcPr>
          <w:p w14:paraId="51426FBC" w14:textId="77777777" w:rsidR="00A10347" w:rsidRDefault="00A10347" w:rsidP="00A10347">
            <w:pPr>
              <w:pStyle w:val="TableText"/>
            </w:pPr>
          </w:p>
        </w:tc>
        <w:tc>
          <w:tcPr>
            <w:tcW w:w="1550" w:type="pct"/>
            <w:tcBorders>
              <w:top w:val="single" w:sz="4" w:space="0" w:color="auto"/>
              <w:bottom w:val="single" w:sz="4" w:space="0" w:color="auto"/>
            </w:tcBorders>
          </w:tcPr>
          <w:p w14:paraId="2856FAF7" w14:textId="77777777" w:rsidR="00A10347" w:rsidRDefault="00A10347" w:rsidP="00A10347">
            <w:pPr>
              <w:pStyle w:val="TableText"/>
            </w:pPr>
            <w:r w:rsidRPr="000920AA">
              <w:t>Approved arrangement – class 19</w:t>
            </w:r>
            <w:r>
              <w:t xml:space="preserve"> for part year</w:t>
            </w:r>
          </w:p>
          <w:p w14:paraId="7CC56CEA" w14:textId="481611D0" w:rsidR="00A10347" w:rsidRPr="000920AA" w:rsidRDefault="00A10347" w:rsidP="00A10347">
            <w:pPr>
              <w:pStyle w:val="TableText"/>
            </w:pPr>
            <w:r w:rsidRPr="000920AA">
              <w:t>(Part year 50% of annual charge)</w:t>
            </w:r>
          </w:p>
        </w:tc>
        <w:tc>
          <w:tcPr>
            <w:tcW w:w="1200" w:type="pct"/>
            <w:tcBorders>
              <w:top w:val="single" w:sz="4" w:space="0" w:color="auto"/>
              <w:bottom w:val="single" w:sz="4" w:space="0" w:color="auto"/>
            </w:tcBorders>
          </w:tcPr>
          <w:p w14:paraId="3CF0433F" w14:textId="19873BD2" w:rsidR="00A10347" w:rsidRPr="000920AA" w:rsidRDefault="00A10347" w:rsidP="00A10347">
            <w:pPr>
              <w:pStyle w:val="TableText"/>
            </w:pPr>
            <w:r>
              <w:t>Per item</w:t>
            </w:r>
          </w:p>
        </w:tc>
        <w:tc>
          <w:tcPr>
            <w:tcW w:w="704" w:type="pct"/>
            <w:tcBorders>
              <w:top w:val="single" w:sz="4" w:space="0" w:color="auto"/>
              <w:bottom w:val="single" w:sz="4" w:space="0" w:color="auto"/>
            </w:tcBorders>
          </w:tcPr>
          <w:p w14:paraId="4730B7F5" w14:textId="4BF048FB" w:rsidR="00A10347" w:rsidRDefault="00A10347" w:rsidP="00A10347">
            <w:pPr>
              <w:pStyle w:val="TableText"/>
              <w:jc w:val="right"/>
            </w:pPr>
            <w:r w:rsidRPr="00B94923">
              <w:t>285.5</w:t>
            </w:r>
            <w:r>
              <w:t>0</w:t>
            </w:r>
          </w:p>
        </w:tc>
        <w:tc>
          <w:tcPr>
            <w:tcW w:w="703" w:type="pct"/>
            <w:tcBorders>
              <w:top w:val="single" w:sz="4" w:space="0" w:color="auto"/>
              <w:bottom w:val="single" w:sz="4" w:space="0" w:color="auto"/>
            </w:tcBorders>
          </w:tcPr>
          <w:p w14:paraId="685093A3" w14:textId="654625CB" w:rsidR="00A10347" w:rsidRPr="000920AA" w:rsidRDefault="00A10347" w:rsidP="00A10347">
            <w:pPr>
              <w:pStyle w:val="TableText"/>
              <w:jc w:val="right"/>
            </w:pPr>
            <w:r>
              <w:t>296.50</w:t>
            </w:r>
          </w:p>
        </w:tc>
      </w:tr>
      <w:tr w:rsidR="00A10347" w14:paraId="182B6807" w14:textId="77777777" w:rsidTr="00FE167A">
        <w:tc>
          <w:tcPr>
            <w:tcW w:w="842" w:type="pct"/>
            <w:vMerge/>
          </w:tcPr>
          <w:p w14:paraId="61794350" w14:textId="77777777" w:rsidR="00A10347" w:rsidRDefault="00A10347" w:rsidP="00A10347">
            <w:pPr>
              <w:pStyle w:val="TableText"/>
            </w:pPr>
          </w:p>
        </w:tc>
        <w:tc>
          <w:tcPr>
            <w:tcW w:w="1550" w:type="pct"/>
            <w:tcBorders>
              <w:top w:val="single" w:sz="4" w:space="0" w:color="auto"/>
              <w:bottom w:val="single" w:sz="4" w:space="0" w:color="auto"/>
            </w:tcBorders>
          </w:tcPr>
          <w:p w14:paraId="04182E0E" w14:textId="70FA8407" w:rsidR="00A10347" w:rsidRPr="000920AA" w:rsidRDefault="00A10347" w:rsidP="00A10347">
            <w:pPr>
              <w:pStyle w:val="TableText"/>
            </w:pPr>
            <w:r w:rsidRPr="000920AA">
              <w:t xml:space="preserve">Approved arrangement – single </w:t>
            </w:r>
            <w:r>
              <w:t>for full year</w:t>
            </w:r>
          </w:p>
        </w:tc>
        <w:tc>
          <w:tcPr>
            <w:tcW w:w="1200" w:type="pct"/>
            <w:tcBorders>
              <w:top w:val="single" w:sz="4" w:space="0" w:color="auto"/>
              <w:bottom w:val="single" w:sz="4" w:space="0" w:color="auto"/>
            </w:tcBorders>
          </w:tcPr>
          <w:p w14:paraId="2EAB8855" w14:textId="31674E2B" w:rsidR="00A10347" w:rsidRPr="000920AA" w:rsidRDefault="00A10347" w:rsidP="00A10347">
            <w:pPr>
              <w:pStyle w:val="TableText"/>
            </w:pPr>
            <w:r w:rsidRPr="000920AA">
              <w:t>Per item</w:t>
            </w:r>
          </w:p>
        </w:tc>
        <w:tc>
          <w:tcPr>
            <w:tcW w:w="704" w:type="pct"/>
            <w:tcBorders>
              <w:top w:val="single" w:sz="4" w:space="0" w:color="auto"/>
              <w:bottom w:val="single" w:sz="4" w:space="0" w:color="auto"/>
            </w:tcBorders>
          </w:tcPr>
          <w:p w14:paraId="3F67526E" w14:textId="5C2CAB76" w:rsidR="00A10347" w:rsidRPr="000920AA" w:rsidRDefault="00A10347" w:rsidP="00A10347">
            <w:pPr>
              <w:pStyle w:val="TableText"/>
              <w:jc w:val="right"/>
            </w:pPr>
            <w:r w:rsidRPr="00B94923">
              <w:t>2,857</w:t>
            </w:r>
          </w:p>
        </w:tc>
        <w:tc>
          <w:tcPr>
            <w:tcW w:w="703" w:type="pct"/>
            <w:tcBorders>
              <w:top w:val="single" w:sz="4" w:space="0" w:color="auto"/>
              <w:bottom w:val="single" w:sz="4" w:space="0" w:color="auto"/>
            </w:tcBorders>
          </w:tcPr>
          <w:p w14:paraId="0599F608" w14:textId="48DF4071" w:rsidR="00A10347" w:rsidRPr="000920AA" w:rsidRDefault="00A10347" w:rsidP="00A10347">
            <w:pPr>
              <w:pStyle w:val="TableText"/>
              <w:jc w:val="right"/>
            </w:pPr>
            <w:r>
              <w:t>2,966</w:t>
            </w:r>
          </w:p>
        </w:tc>
      </w:tr>
      <w:tr w:rsidR="00A10347" w14:paraId="6EB006B9" w14:textId="77777777" w:rsidTr="00FE167A">
        <w:tc>
          <w:tcPr>
            <w:tcW w:w="842" w:type="pct"/>
            <w:vMerge/>
          </w:tcPr>
          <w:p w14:paraId="0D6EC3B9" w14:textId="77777777" w:rsidR="00A10347" w:rsidRDefault="00A10347" w:rsidP="00A10347">
            <w:pPr>
              <w:pStyle w:val="TableText"/>
            </w:pPr>
          </w:p>
        </w:tc>
        <w:tc>
          <w:tcPr>
            <w:tcW w:w="1550" w:type="pct"/>
            <w:tcBorders>
              <w:top w:val="single" w:sz="4" w:space="0" w:color="auto"/>
              <w:bottom w:val="single" w:sz="4" w:space="0" w:color="auto"/>
            </w:tcBorders>
          </w:tcPr>
          <w:p w14:paraId="7DCB8B4E" w14:textId="1C06BE09" w:rsidR="00A10347" w:rsidRDefault="00A10347" w:rsidP="00A10347">
            <w:pPr>
              <w:pStyle w:val="TableText"/>
            </w:pPr>
            <w:r w:rsidRPr="000920AA">
              <w:t xml:space="preserve">Approved arrangement – single </w:t>
            </w:r>
            <w:r>
              <w:t>for part year</w:t>
            </w:r>
          </w:p>
          <w:p w14:paraId="6D57518B" w14:textId="04AC3A08" w:rsidR="00A10347" w:rsidRDefault="00A10347" w:rsidP="00A10347">
            <w:pPr>
              <w:pStyle w:val="TableText"/>
            </w:pPr>
            <w:r>
              <w:t>(</w:t>
            </w:r>
            <w:r w:rsidRPr="000920AA">
              <w:t>Part year 50% of annual charge</w:t>
            </w:r>
            <w:r>
              <w:t>)</w:t>
            </w:r>
          </w:p>
        </w:tc>
        <w:tc>
          <w:tcPr>
            <w:tcW w:w="1200" w:type="pct"/>
            <w:tcBorders>
              <w:top w:val="single" w:sz="4" w:space="0" w:color="auto"/>
              <w:bottom w:val="single" w:sz="4" w:space="0" w:color="auto"/>
            </w:tcBorders>
          </w:tcPr>
          <w:p w14:paraId="49E02A52" w14:textId="26EFEB72" w:rsidR="00A10347" w:rsidRDefault="00A10347" w:rsidP="00A10347">
            <w:pPr>
              <w:pStyle w:val="TableText"/>
            </w:pPr>
            <w:r>
              <w:t>Per item</w:t>
            </w:r>
          </w:p>
        </w:tc>
        <w:tc>
          <w:tcPr>
            <w:tcW w:w="704" w:type="pct"/>
            <w:tcBorders>
              <w:top w:val="single" w:sz="4" w:space="0" w:color="auto"/>
              <w:bottom w:val="single" w:sz="4" w:space="0" w:color="auto"/>
            </w:tcBorders>
          </w:tcPr>
          <w:p w14:paraId="0DE9C3D6" w14:textId="38BAA562" w:rsidR="00A10347" w:rsidRPr="008B1268" w:rsidRDefault="00A10347" w:rsidP="00A10347">
            <w:pPr>
              <w:pStyle w:val="TableText"/>
              <w:jc w:val="right"/>
            </w:pPr>
            <w:r w:rsidRPr="00B94923">
              <w:t>1,428.50</w:t>
            </w:r>
          </w:p>
        </w:tc>
        <w:tc>
          <w:tcPr>
            <w:tcW w:w="703" w:type="pct"/>
            <w:tcBorders>
              <w:top w:val="single" w:sz="4" w:space="0" w:color="auto"/>
              <w:bottom w:val="single" w:sz="4" w:space="0" w:color="auto"/>
            </w:tcBorders>
          </w:tcPr>
          <w:p w14:paraId="28D33149" w14:textId="7115F7F6" w:rsidR="00A10347" w:rsidRPr="000920AA" w:rsidRDefault="00A10347" w:rsidP="00A10347">
            <w:pPr>
              <w:pStyle w:val="TableText"/>
              <w:jc w:val="right"/>
            </w:pPr>
            <w:r>
              <w:t>1,483</w:t>
            </w:r>
          </w:p>
        </w:tc>
      </w:tr>
      <w:tr w:rsidR="00A10347" w14:paraId="628D5B52" w14:textId="77777777" w:rsidTr="00FE167A">
        <w:tc>
          <w:tcPr>
            <w:tcW w:w="842" w:type="pct"/>
            <w:vMerge/>
          </w:tcPr>
          <w:p w14:paraId="5AE3C412" w14:textId="77777777" w:rsidR="00A10347" w:rsidRDefault="00A10347" w:rsidP="00A10347">
            <w:pPr>
              <w:pStyle w:val="TableText"/>
            </w:pPr>
          </w:p>
        </w:tc>
        <w:tc>
          <w:tcPr>
            <w:tcW w:w="1550" w:type="pct"/>
            <w:tcBorders>
              <w:top w:val="single" w:sz="4" w:space="0" w:color="auto"/>
              <w:bottom w:val="single" w:sz="4" w:space="0" w:color="auto"/>
            </w:tcBorders>
          </w:tcPr>
          <w:p w14:paraId="44DA9CF0" w14:textId="1702D9A4" w:rsidR="00A10347" w:rsidRDefault="00A10347" w:rsidP="00A10347">
            <w:pPr>
              <w:pStyle w:val="TableText"/>
            </w:pPr>
            <w:r w:rsidRPr="000920AA">
              <w:t xml:space="preserve">Approved arrangement </w:t>
            </w:r>
            <w:r w:rsidRPr="00931D69">
              <w:t>– upgrade</w:t>
            </w:r>
            <w:r>
              <w:t xml:space="preserve"> full year– class 19</w:t>
            </w:r>
          </w:p>
          <w:p w14:paraId="6EE5C8EB" w14:textId="60C1CEEE" w:rsidR="00A10347" w:rsidRPr="000920AA" w:rsidRDefault="00A10347" w:rsidP="00A10347">
            <w:pPr>
              <w:pStyle w:val="TableText"/>
            </w:pPr>
            <w:r>
              <w:t xml:space="preserve">(Covered by a class 19 then approved for at least one further arrangement of a different class) before 1 January in the same financial year) </w:t>
            </w:r>
          </w:p>
        </w:tc>
        <w:tc>
          <w:tcPr>
            <w:tcW w:w="1200" w:type="pct"/>
            <w:tcBorders>
              <w:top w:val="single" w:sz="4" w:space="0" w:color="auto"/>
              <w:bottom w:val="single" w:sz="4" w:space="0" w:color="auto"/>
            </w:tcBorders>
          </w:tcPr>
          <w:p w14:paraId="0059CC2C" w14:textId="7C4B13C3" w:rsidR="00A10347" w:rsidRPr="000920AA" w:rsidRDefault="00A10347" w:rsidP="00A10347">
            <w:pPr>
              <w:pStyle w:val="TableText"/>
            </w:pPr>
            <w:r>
              <w:t>Per item</w:t>
            </w:r>
          </w:p>
        </w:tc>
        <w:tc>
          <w:tcPr>
            <w:tcW w:w="704" w:type="pct"/>
            <w:tcBorders>
              <w:top w:val="single" w:sz="4" w:space="0" w:color="auto"/>
              <w:bottom w:val="single" w:sz="4" w:space="0" w:color="auto"/>
            </w:tcBorders>
          </w:tcPr>
          <w:p w14:paraId="1F9350F2" w14:textId="6B67806F" w:rsidR="00A10347" w:rsidRDefault="00A10347" w:rsidP="00A10347">
            <w:pPr>
              <w:pStyle w:val="TableText"/>
              <w:jc w:val="right"/>
            </w:pPr>
            <w:r>
              <w:t>2,744</w:t>
            </w:r>
          </w:p>
        </w:tc>
        <w:tc>
          <w:tcPr>
            <w:tcW w:w="703" w:type="pct"/>
            <w:tcBorders>
              <w:top w:val="single" w:sz="4" w:space="0" w:color="auto"/>
              <w:bottom w:val="single" w:sz="4" w:space="0" w:color="auto"/>
            </w:tcBorders>
          </w:tcPr>
          <w:p w14:paraId="0FFA5D93" w14:textId="453A58EB" w:rsidR="00A10347" w:rsidRPr="000920AA" w:rsidRDefault="00A10347" w:rsidP="00A10347">
            <w:pPr>
              <w:pStyle w:val="TableText"/>
              <w:jc w:val="right"/>
            </w:pPr>
            <w:r>
              <w:t>2,848</w:t>
            </w:r>
          </w:p>
        </w:tc>
      </w:tr>
      <w:tr w:rsidR="00A10347" w14:paraId="66640BC7" w14:textId="77777777" w:rsidTr="00FE167A">
        <w:tc>
          <w:tcPr>
            <w:tcW w:w="842" w:type="pct"/>
            <w:vMerge/>
          </w:tcPr>
          <w:p w14:paraId="63F54557" w14:textId="77777777" w:rsidR="00A10347" w:rsidRDefault="00A10347" w:rsidP="00A10347">
            <w:pPr>
              <w:pStyle w:val="TableText"/>
            </w:pPr>
          </w:p>
        </w:tc>
        <w:tc>
          <w:tcPr>
            <w:tcW w:w="1550" w:type="pct"/>
            <w:tcBorders>
              <w:top w:val="single" w:sz="4" w:space="0" w:color="auto"/>
              <w:bottom w:val="single" w:sz="4" w:space="0" w:color="auto"/>
            </w:tcBorders>
          </w:tcPr>
          <w:p w14:paraId="7D10755B" w14:textId="137B7209" w:rsidR="00A10347" w:rsidRPr="00931D69" w:rsidRDefault="00A10347" w:rsidP="00A10347">
            <w:pPr>
              <w:pStyle w:val="TableText"/>
              <w:rPr>
                <w:rStyle w:val="Strong"/>
                <w:b w:val="0"/>
                <w:bCs w:val="0"/>
              </w:rPr>
            </w:pPr>
            <w:r w:rsidRPr="00027C6B">
              <w:t xml:space="preserve">Approved arrangement </w:t>
            </w:r>
            <w:r w:rsidRPr="00931D69">
              <w:t xml:space="preserve">– upgrade </w:t>
            </w:r>
            <w:r w:rsidRPr="00931D69">
              <w:rPr>
                <w:rStyle w:val="Strong"/>
                <w:b w:val="0"/>
                <w:bCs w:val="0"/>
              </w:rPr>
              <w:t>part year– class 19</w:t>
            </w:r>
          </w:p>
          <w:p w14:paraId="537203E1" w14:textId="3F354EE9" w:rsidR="00A10347" w:rsidRPr="000920AA" w:rsidRDefault="00A10347" w:rsidP="00A10347">
            <w:pPr>
              <w:pStyle w:val="TableText"/>
            </w:pPr>
            <w:r>
              <w:rPr>
                <w:rStyle w:val="Strong"/>
                <w:b w:val="0"/>
                <w:bCs w:val="0"/>
              </w:rPr>
              <w:t>(</w:t>
            </w:r>
            <w:r w:rsidRPr="00931D69">
              <w:rPr>
                <w:rStyle w:val="Strong"/>
                <w:b w:val="0"/>
                <w:bCs w:val="0"/>
              </w:rPr>
              <w:t>Covered</w:t>
            </w:r>
            <w:r w:rsidRPr="00027C6B">
              <w:t xml:space="preserve"> </w:t>
            </w:r>
            <w:r>
              <w:t xml:space="preserve">by a class 19 then approved for at least one further </w:t>
            </w:r>
            <w:r>
              <w:rPr>
                <w:lang w:eastAsia="ja-JP"/>
              </w:rPr>
              <w:t>arrangement</w:t>
            </w:r>
            <w:r>
              <w:t xml:space="preserve"> of a different class </w:t>
            </w:r>
            <w:r w:rsidRPr="00931D69">
              <w:rPr>
                <w:rStyle w:val="Strong"/>
                <w:b w:val="0"/>
                <w:bCs w:val="0"/>
              </w:rPr>
              <w:t>after 1 January</w:t>
            </w:r>
            <w:r>
              <w:t xml:space="preserve"> in the same financial year)</w:t>
            </w:r>
          </w:p>
        </w:tc>
        <w:tc>
          <w:tcPr>
            <w:tcW w:w="1200" w:type="pct"/>
            <w:tcBorders>
              <w:top w:val="single" w:sz="4" w:space="0" w:color="auto"/>
              <w:bottom w:val="single" w:sz="4" w:space="0" w:color="auto"/>
            </w:tcBorders>
          </w:tcPr>
          <w:p w14:paraId="580BB072" w14:textId="71F86EDD" w:rsidR="00A10347" w:rsidRPr="000920AA" w:rsidRDefault="00A10347" w:rsidP="00A10347">
            <w:pPr>
              <w:pStyle w:val="TableText"/>
            </w:pPr>
            <w:r>
              <w:t>Per item</w:t>
            </w:r>
          </w:p>
        </w:tc>
        <w:tc>
          <w:tcPr>
            <w:tcW w:w="704" w:type="pct"/>
            <w:tcBorders>
              <w:top w:val="single" w:sz="4" w:space="0" w:color="auto"/>
              <w:bottom w:val="single" w:sz="4" w:space="0" w:color="auto"/>
            </w:tcBorders>
          </w:tcPr>
          <w:p w14:paraId="01EF6377" w14:textId="7CB70860" w:rsidR="00A10347" w:rsidRDefault="00A10347" w:rsidP="00A10347">
            <w:pPr>
              <w:pStyle w:val="TableText"/>
              <w:jc w:val="right"/>
            </w:pPr>
            <w:r>
              <w:t>1,086</w:t>
            </w:r>
          </w:p>
        </w:tc>
        <w:tc>
          <w:tcPr>
            <w:tcW w:w="703" w:type="pct"/>
            <w:tcBorders>
              <w:top w:val="single" w:sz="4" w:space="0" w:color="auto"/>
              <w:bottom w:val="single" w:sz="4" w:space="0" w:color="auto"/>
            </w:tcBorders>
          </w:tcPr>
          <w:p w14:paraId="537CD9DB" w14:textId="160FB82F" w:rsidR="00A10347" w:rsidRPr="000920AA" w:rsidRDefault="00A10347" w:rsidP="00A10347">
            <w:pPr>
              <w:pStyle w:val="TableText"/>
              <w:jc w:val="right"/>
            </w:pPr>
            <w:r>
              <w:t>1,127</w:t>
            </w:r>
          </w:p>
        </w:tc>
      </w:tr>
      <w:tr w:rsidR="00A10347" w14:paraId="36D0A5D7" w14:textId="77777777" w:rsidTr="00FE167A">
        <w:tc>
          <w:tcPr>
            <w:tcW w:w="842" w:type="pct"/>
            <w:vMerge/>
          </w:tcPr>
          <w:p w14:paraId="2724D159" w14:textId="77777777" w:rsidR="00A10347" w:rsidRDefault="00A10347" w:rsidP="00A10347">
            <w:pPr>
              <w:pStyle w:val="TableText"/>
            </w:pPr>
          </w:p>
        </w:tc>
        <w:tc>
          <w:tcPr>
            <w:tcW w:w="1550" w:type="pct"/>
            <w:tcBorders>
              <w:top w:val="single" w:sz="4" w:space="0" w:color="auto"/>
              <w:bottom w:val="single" w:sz="4" w:space="0" w:color="auto"/>
            </w:tcBorders>
          </w:tcPr>
          <w:p w14:paraId="54E5AFA0" w14:textId="43A9B301" w:rsidR="00A10347" w:rsidRDefault="00A10347" w:rsidP="00A10347">
            <w:pPr>
              <w:pStyle w:val="TableText"/>
              <w:rPr>
                <w:rStyle w:val="Strong"/>
              </w:rPr>
            </w:pPr>
            <w:r w:rsidRPr="00931D69">
              <w:t>Approved arrangement – upgrade part year – class 19</w:t>
            </w:r>
            <w:r>
              <w:rPr>
                <w:rStyle w:val="Strong"/>
              </w:rPr>
              <w:t xml:space="preserve"> </w:t>
            </w:r>
          </w:p>
          <w:p w14:paraId="4A800711" w14:textId="0EEB85C0" w:rsidR="00A10347" w:rsidRPr="000920AA" w:rsidRDefault="00A10347" w:rsidP="00A10347">
            <w:pPr>
              <w:pStyle w:val="TableText"/>
            </w:pPr>
            <w:r w:rsidRPr="00931D69">
              <w:t>(</w:t>
            </w:r>
            <w:r w:rsidRPr="00CF75A7">
              <w:t xml:space="preserve">Covered by a class 19 for the first time </w:t>
            </w:r>
            <w:r w:rsidRPr="00931D69">
              <w:t>after 1 January</w:t>
            </w:r>
            <w:r w:rsidRPr="00CF75A7">
              <w:t xml:space="preserve"> then approved to hold at least one further </w:t>
            </w:r>
            <w:r w:rsidRPr="00931D69">
              <w:t>arrangement</w:t>
            </w:r>
            <w:r w:rsidRPr="00CF75A7">
              <w:t xml:space="preserve"> of a different class in </w:t>
            </w:r>
            <w:r>
              <w:t>the same</w:t>
            </w:r>
            <w:r w:rsidRPr="00CF75A7">
              <w:t xml:space="preserve"> financial year)</w:t>
            </w:r>
          </w:p>
        </w:tc>
        <w:tc>
          <w:tcPr>
            <w:tcW w:w="1200" w:type="pct"/>
            <w:tcBorders>
              <w:top w:val="single" w:sz="4" w:space="0" w:color="auto"/>
              <w:bottom w:val="single" w:sz="4" w:space="0" w:color="auto"/>
            </w:tcBorders>
          </w:tcPr>
          <w:p w14:paraId="2C9BF8CF" w14:textId="6A752659" w:rsidR="00A10347" w:rsidRPr="000920AA" w:rsidRDefault="00A10347" w:rsidP="00A10347">
            <w:pPr>
              <w:pStyle w:val="TableText"/>
            </w:pPr>
            <w:r w:rsidRPr="00CE09F6">
              <w:t>Per item</w:t>
            </w:r>
          </w:p>
        </w:tc>
        <w:tc>
          <w:tcPr>
            <w:tcW w:w="704" w:type="pct"/>
            <w:tcBorders>
              <w:top w:val="single" w:sz="4" w:space="0" w:color="auto"/>
              <w:bottom w:val="single" w:sz="4" w:space="0" w:color="auto"/>
            </w:tcBorders>
          </w:tcPr>
          <w:p w14:paraId="18B23481" w14:textId="14C93401" w:rsidR="00A10347" w:rsidRPr="00CE09F6" w:rsidRDefault="00A10347" w:rsidP="00A10347">
            <w:pPr>
              <w:pStyle w:val="TableText"/>
              <w:jc w:val="right"/>
            </w:pPr>
            <w:r w:rsidRPr="00CF75A7">
              <w:t>1,372</w:t>
            </w:r>
          </w:p>
        </w:tc>
        <w:tc>
          <w:tcPr>
            <w:tcW w:w="703" w:type="pct"/>
            <w:tcBorders>
              <w:top w:val="single" w:sz="4" w:space="0" w:color="auto"/>
              <w:bottom w:val="single" w:sz="4" w:space="0" w:color="auto"/>
            </w:tcBorders>
          </w:tcPr>
          <w:p w14:paraId="76A4EAAC" w14:textId="39F2C0C0" w:rsidR="00A10347" w:rsidRPr="000920AA" w:rsidRDefault="00A10347" w:rsidP="00A10347">
            <w:pPr>
              <w:pStyle w:val="TableText"/>
              <w:jc w:val="right"/>
            </w:pPr>
            <w:r>
              <w:t>1,424</w:t>
            </w:r>
          </w:p>
        </w:tc>
      </w:tr>
      <w:tr w:rsidR="00A10347" w14:paraId="1F35856E" w14:textId="77777777" w:rsidTr="00FE167A">
        <w:tc>
          <w:tcPr>
            <w:tcW w:w="842" w:type="pct"/>
            <w:vMerge/>
          </w:tcPr>
          <w:p w14:paraId="7D770D35" w14:textId="77777777" w:rsidR="00A10347" w:rsidRDefault="00A10347" w:rsidP="00A10347">
            <w:pPr>
              <w:pStyle w:val="TableText"/>
            </w:pPr>
          </w:p>
        </w:tc>
        <w:tc>
          <w:tcPr>
            <w:tcW w:w="1550" w:type="pct"/>
            <w:tcBorders>
              <w:top w:val="single" w:sz="4" w:space="0" w:color="auto"/>
              <w:bottom w:val="single" w:sz="4" w:space="0" w:color="auto"/>
            </w:tcBorders>
          </w:tcPr>
          <w:p w14:paraId="5B429DDE" w14:textId="3F5B967A" w:rsidR="00A10347" w:rsidRPr="000920AA" w:rsidRDefault="00A10347" w:rsidP="00A10347">
            <w:pPr>
              <w:pStyle w:val="TableText"/>
            </w:pPr>
            <w:r w:rsidRPr="000920AA">
              <w:t>Approved arrangement</w:t>
            </w:r>
            <w:r>
              <w:t xml:space="preserve"> – upgrade full year </w:t>
            </w:r>
            <w:r>
              <w:br/>
              <w:t>(</w:t>
            </w:r>
            <w:r w:rsidRPr="00931D69">
              <w:t>Covered</w:t>
            </w:r>
            <w:r w:rsidRPr="001E5B20">
              <w:t xml:space="preserve"> by a single </w:t>
            </w:r>
            <w:r>
              <w:rPr>
                <w:lang w:eastAsia="ja-JP"/>
              </w:rPr>
              <w:t>approved arrangement</w:t>
            </w:r>
            <w:r w:rsidRPr="001E5B20">
              <w:t xml:space="preserve"> then approved to hold at least one further </w:t>
            </w:r>
            <w:r>
              <w:rPr>
                <w:lang w:eastAsia="ja-JP"/>
              </w:rPr>
              <w:t>approved arrangement</w:t>
            </w:r>
            <w:r w:rsidRPr="001E5B20">
              <w:t xml:space="preserve"> </w:t>
            </w:r>
            <w:r w:rsidRPr="00931D69">
              <w:t>before 1 January</w:t>
            </w:r>
            <w:r w:rsidRPr="001E5B20">
              <w:t xml:space="preserve"> in the same financial year</w:t>
            </w:r>
            <w:r>
              <w:t>)</w:t>
            </w:r>
          </w:p>
        </w:tc>
        <w:tc>
          <w:tcPr>
            <w:tcW w:w="1200" w:type="pct"/>
            <w:tcBorders>
              <w:top w:val="single" w:sz="4" w:space="0" w:color="auto"/>
              <w:bottom w:val="single" w:sz="4" w:space="0" w:color="auto"/>
            </w:tcBorders>
          </w:tcPr>
          <w:p w14:paraId="25AF31FB" w14:textId="1C791E5E" w:rsidR="00A10347" w:rsidRPr="000920AA" w:rsidRDefault="00A10347" w:rsidP="00A10347">
            <w:pPr>
              <w:pStyle w:val="TableText"/>
            </w:pPr>
            <w:r w:rsidRPr="002F7FFC">
              <w:t>Per item</w:t>
            </w:r>
          </w:p>
        </w:tc>
        <w:tc>
          <w:tcPr>
            <w:tcW w:w="704" w:type="pct"/>
            <w:tcBorders>
              <w:top w:val="single" w:sz="4" w:space="0" w:color="auto"/>
              <w:bottom w:val="single" w:sz="4" w:space="0" w:color="auto"/>
            </w:tcBorders>
          </w:tcPr>
          <w:p w14:paraId="788BE825" w14:textId="05DCB7D9" w:rsidR="00A10347" w:rsidRPr="002F7FFC" w:rsidRDefault="00A10347" w:rsidP="00A10347">
            <w:pPr>
              <w:pStyle w:val="TableText"/>
              <w:jc w:val="right"/>
            </w:pPr>
            <w:r>
              <w:t>459</w:t>
            </w:r>
          </w:p>
        </w:tc>
        <w:tc>
          <w:tcPr>
            <w:tcW w:w="703" w:type="pct"/>
            <w:tcBorders>
              <w:top w:val="single" w:sz="4" w:space="0" w:color="auto"/>
              <w:bottom w:val="single" w:sz="4" w:space="0" w:color="auto"/>
            </w:tcBorders>
          </w:tcPr>
          <w:p w14:paraId="4D1D25FA" w14:textId="716461F6" w:rsidR="00A10347" w:rsidRPr="000920AA" w:rsidRDefault="00A10347" w:rsidP="00A10347">
            <w:pPr>
              <w:pStyle w:val="TableText"/>
              <w:jc w:val="right"/>
            </w:pPr>
            <w:r>
              <w:t>476</w:t>
            </w:r>
          </w:p>
        </w:tc>
      </w:tr>
      <w:tr w:rsidR="00A10347" w14:paraId="5569A744" w14:textId="77777777" w:rsidTr="00FE167A">
        <w:tc>
          <w:tcPr>
            <w:tcW w:w="842" w:type="pct"/>
            <w:vMerge/>
          </w:tcPr>
          <w:p w14:paraId="634C9E68" w14:textId="77777777" w:rsidR="00A10347" w:rsidRDefault="00A10347" w:rsidP="00A10347">
            <w:pPr>
              <w:pStyle w:val="TableText"/>
            </w:pPr>
          </w:p>
        </w:tc>
        <w:tc>
          <w:tcPr>
            <w:tcW w:w="1550" w:type="pct"/>
            <w:tcBorders>
              <w:top w:val="single" w:sz="4" w:space="0" w:color="auto"/>
              <w:bottom w:val="single" w:sz="4" w:space="0" w:color="auto"/>
            </w:tcBorders>
          </w:tcPr>
          <w:p w14:paraId="526DC6D7" w14:textId="77777777" w:rsidR="00A10347" w:rsidRDefault="00A10347" w:rsidP="00A10347">
            <w:pPr>
              <w:pStyle w:val="TableText"/>
            </w:pPr>
            <w:r w:rsidRPr="000920AA">
              <w:t>Approved arrangement</w:t>
            </w:r>
            <w:r>
              <w:t xml:space="preserve"> – upgrade part year</w:t>
            </w:r>
          </w:p>
          <w:p w14:paraId="0D65E6A2" w14:textId="53E499D3" w:rsidR="00A10347" w:rsidRPr="000920AA" w:rsidRDefault="00A10347" w:rsidP="00A10347">
            <w:pPr>
              <w:pStyle w:val="TableText"/>
            </w:pPr>
            <w:r>
              <w:t>(Covered by a single approved arrangement after January 1 then applies for and is approved to hold at least one further arrangement after 1 January in the same financial year)</w:t>
            </w:r>
          </w:p>
        </w:tc>
        <w:tc>
          <w:tcPr>
            <w:tcW w:w="1200" w:type="pct"/>
            <w:tcBorders>
              <w:top w:val="single" w:sz="4" w:space="0" w:color="auto"/>
              <w:bottom w:val="single" w:sz="4" w:space="0" w:color="auto"/>
            </w:tcBorders>
          </w:tcPr>
          <w:p w14:paraId="194D8914" w14:textId="15D1E05A" w:rsidR="00A10347" w:rsidRPr="000920AA" w:rsidRDefault="00A10347" w:rsidP="00A10347">
            <w:pPr>
              <w:pStyle w:val="TableText"/>
            </w:pPr>
            <w:r w:rsidRPr="002F7FFC">
              <w:t>Per item</w:t>
            </w:r>
          </w:p>
        </w:tc>
        <w:tc>
          <w:tcPr>
            <w:tcW w:w="704" w:type="pct"/>
            <w:tcBorders>
              <w:top w:val="single" w:sz="4" w:space="0" w:color="auto"/>
              <w:bottom w:val="single" w:sz="4" w:space="0" w:color="auto"/>
            </w:tcBorders>
          </w:tcPr>
          <w:p w14:paraId="364F792C" w14:textId="7F85BD1F" w:rsidR="00A10347" w:rsidRPr="002F7FFC" w:rsidRDefault="00A10347" w:rsidP="00A10347">
            <w:pPr>
              <w:pStyle w:val="TableText"/>
              <w:jc w:val="right"/>
            </w:pPr>
            <w:r>
              <w:t>229</w:t>
            </w:r>
          </w:p>
        </w:tc>
        <w:tc>
          <w:tcPr>
            <w:tcW w:w="703" w:type="pct"/>
            <w:tcBorders>
              <w:top w:val="single" w:sz="4" w:space="0" w:color="auto"/>
              <w:bottom w:val="single" w:sz="4" w:space="0" w:color="auto"/>
            </w:tcBorders>
          </w:tcPr>
          <w:p w14:paraId="4E908EE5" w14:textId="1FE50B8A" w:rsidR="00A10347" w:rsidRPr="000920AA" w:rsidRDefault="00A10347" w:rsidP="00A10347">
            <w:pPr>
              <w:pStyle w:val="TableText"/>
              <w:jc w:val="right"/>
            </w:pPr>
            <w:r>
              <w:t>238</w:t>
            </w:r>
          </w:p>
        </w:tc>
      </w:tr>
      <w:tr w:rsidR="00A10347" w14:paraId="471DC272" w14:textId="77777777" w:rsidTr="00FE167A">
        <w:tc>
          <w:tcPr>
            <w:tcW w:w="842" w:type="pct"/>
            <w:vMerge/>
          </w:tcPr>
          <w:p w14:paraId="5142D0F7" w14:textId="77777777" w:rsidR="00A10347" w:rsidRDefault="00A10347" w:rsidP="00A10347">
            <w:pPr>
              <w:pStyle w:val="TableText"/>
            </w:pPr>
          </w:p>
        </w:tc>
        <w:tc>
          <w:tcPr>
            <w:tcW w:w="1550" w:type="pct"/>
            <w:tcBorders>
              <w:top w:val="single" w:sz="4" w:space="0" w:color="auto"/>
              <w:bottom w:val="single" w:sz="4" w:space="0" w:color="auto"/>
            </w:tcBorders>
          </w:tcPr>
          <w:p w14:paraId="0B5777D7" w14:textId="74CB2ABC" w:rsidR="00A10347" w:rsidRPr="000920AA" w:rsidRDefault="00A10347" w:rsidP="00A10347">
            <w:pPr>
              <w:pStyle w:val="TableText"/>
            </w:pPr>
            <w:r w:rsidRPr="000920AA">
              <w:t xml:space="preserve">Approved arrangement – </w:t>
            </w:r>
            <w:r w:rsidR="00F72D44">
              <w:t>Class 19</w:t>
            </w:r>
            <w:r w:rsidRPr="000920AA">
              <w:t xml:space="preserve"> entry</w:t>
            </w:r>
            <w:r w:rsidR="0029125B">
              <w:t xml:space="preserve"> (</w:t>
            </w:r>
            <w:r w:rsidR="0029125B" w:rsidRPr="00F72D44">
              <w:rPr>
                <w:lang w:val="en-AU"/>
              </w:rPr>
              <w:t>entry of information into the automated entry processing system</w:t>
            </w:r>
            <w:r w:rsidR="0029125B">
              <w:rPr>
                <w:lang w:val="en-AU"/>
              </w:rPr>
              <w:t>)</w:t>
            </w:r>
          </w:p>
        </w:tc>
        <w:tc>
          <w:tcPr>
            <w:tcW w:w="1200" w:type="pct"/>
            <w:tcBorders>
              <w:top w:val="single" w:sz="4" w:space="0" w:color="auto"/>
              <w:bottom w:val="single" w:sz="4" w:space="0" w:color="auto"/>
            </w:tcBorders>
          </w:tcPr>
          <w:p w14:paraId="359D19FF" w14:textId="7DB871E3" w:rsidR="00A10347" w:rsidRPr="000920AA" w:rsidRDefault="00A10347" w:rsidP="00A10347">
            <w:pPr>
              <w:pStyle w:val="TableText"/>
            </w:pPr>
            <w:r w:rsidRPr="000920AA">
              <w:t>Per item</w:t>
            </w:r>
          </w:p>
        </w:tc>
        <w:tc>
          <w:tcPr>
            <w:tcW w:w="704" w:type="pct"/>
            <w:tcBorders>
              <w:top w:val="single" w:sz="4" w:space="0" w:color="auto"/>
              <w:bottom w:val="single" w:sz="4" w:space="0" w:color="auto"/>
            </w:tcBorders>
          </w:tcPr>
          <w:p w14:paraId="6D360D61" w14:textId="48B53E6E" w:rsidR="00A10347" w:rsidRPr="000920AA" w:rsidRDefault="00A10347" w:rsidP="00A10347">
            <w:pPr>
              <w:pStyle w:val="TableText"/>
              <w:jc w:val="right"/>
            </w:pPr>
            <w:r>
              <w:t>22</w:t>
            </w:r>
          </w:p>
        </w:tc>
        <w:tc>
          <w:tcPr>
            <w:tcW w:w="703" w:type="pct"/>
            <w:tcBorders>
              <w:top w:val="single" w:sz="4" w:space="0" w:color="auto"/>
              <w:bottom w:val="single" w:sz="4" w:space="0" w:color="auto"/>
            </w:tcBorders>
          </w:tcPr>
          <w:p w14:paraId="66FB0987" w14:textId="29F45E72" w:rsidR="00A10347" w:rsidRPr="000920AA" w:rsidRDefault="00A10347" w:rsidP="00A10347">
            <w:pPr>
              <w:pStyle w:val="TableText"/>
              <w:jc w:val="right"/>
            </w:pPr>
            <w:r>
              <w:t>23</w:t>
            </w:r>
          </w:p>
        </w:tc>
      </w:tr>
      <w:tr w:rsidR="00A10347" w14:paraId="67C57F7A" w14:textId="77777777" w:rsidTr="00FE167A">
        <w:tc>
          <w:tcPr>
            <w:tcW w:w="842" w:type="pct"/>
            <w:vMerge/>
          </w:tcPr>
          <w:p w14:paraId="5D6580C3" w14:textId="77777777" w:rsidR="00A10347" w:rsidRDefault="00A10347" w:rsidP="00A10347">
            <w:pPr>
              <w:pStyle w:val="TableText"/>
            </w:pPr>
          </w:p>
        </w:tc>
        <w:tc>
          <w:tcPr>
            <w:tcW w:w="1550" w:type="pct"/>
            <w:tcBorders>
              <w:top w:val="single" w:sz="4" w:space="0" w:color="auto"/>
              <w:bottom w:val="single" w:sz="4" w:space="0" w:color="auto"/>
            </w:tcBorders>
          </w:tcPr>
          <w:p w14:paraId="1A09978D" w14:textId="0CCA17D1" w:rsidR="00A10347" w:rsidRPr="009E2B31" w:rsidRDefault="00A10347" w:rsidP="00A10347">
            <w:pPr>
              <w:pStyle w:val="TableText"/>
              <w:rPr>
                <w:lang w:val="fr-CI"/>
              </w:rPr>
            </w:pPr>
            <w:r w:rsidRPr="009E2B31">
              <w:rPr>
                <w:lang w:val="fr-CI"/>
              </w:rPr>
              <w:t>Non-commercial vessel arrival charge</w:t>
            </w:r>
          </w:p>
        </w:tc>
        <w:tc>
          <w:tcPr>
            <w:tcW w:w="1200" w:type="pct"/>
            <w:tcBorders>
              <w:top w:val="single" w:sz="4" w:space="0" w:color="auto"/>
              <w:bottom w:val="single" w:sz="4" w:space="0" w:color="auto"/>
            </w:tcBorders>
          </w:tcPr>
          <w:p w14:paraId="7D07C679" w14:textId="40006F03" w:rsidR="00A10347" w:rsidRDefault="00A10347" w:rsidP="00A10347">
            <w:pPr>
              <w:pStyle w:val="TableText"/>
            </w:pPr>
            <w:r w:rsidRPr="000920AA">
              <w:t>Per vessel</w:t>
            </w:r>
          </w:p>
        </w:tc>
        <w:tc>
          <w:tcPr>
            <w:tcW w:w="704" w:type="pct"/>
            <w:tcBorders>
              <w:top w:val="single" w:sz="4" w:space="0" w:color="auto"/>
              <w:bottom w:val="single" w:sz="4" w:space="0" w:color="auto"/>
            </w:tcBorders>
          </w:tcPr>
          <w:p w14:paraId="64022048" w14:textId="6C28D8A7" w:rsidR="00A10347" w:rsidRPr="000920AA" w:rsidRDefault="00A10347" w:rsidP="00A10347">
            <w:pPr>
              <w:pStyle w:val="TableText"/>
              <w:jc w:val="right"/>
            </w:pPr>
            <w:r w:rsidRPr="000920AA">
              <w:t>1</w:t>
            </w:r>
            <w:r>
              <w:t>6</w:t>
            </w:r>
            <w:r w:rsidRPr="000920AA">
              <w:t>5</w:t>
            </w:r>
          </w:p>
        </w:tc>
        <w:tc>
          <w:tcPr>
            <w:tcW w:w="703" w:type="pct"/>
            <w:tcBorders>
              <w:top w:val="single" w:sz="4" w:space="0" w:color="auto"/>
              <w:bottom w:val="single" w:sz="4" w:space="0" w:color="auto"/>
            </w:tcBorders>
          </w:tcPr>
          <w:p w14:paraId="7F095B6E" w14:textId="69158D13" w:rsidR="00A10347" w:rsidRPr="000920AA" w:rsidRDefault="00A10347" w:rsidP="00A10347">
            <w:pPr>
              <w:pStyle w:val="TableText"/>
              <w:jc w:val="right"/>
            </w:pPr>
            <w:r>
              <w:t>171</w:t>
            </w:r>
          </w:p>
        </w:tc>
      </w:tr>
      <w:tr w:rsidR="00A10347" w14:paraId="24449173" w14:textId="77777777" w:rsidTr="00FE167A">
        <w:tc>
          <w:tcPr>
            <w:tcW w:w="842" w:type="pct"/>
            <w:vMerge/>
          </w:tcPr>
          <w:p w14:paraId="1EB858CB" w14:textId="77777777" w:rsidR="00A10347" w:rsidRDefault="00A10347" w:rsidP="00A10347">
            <w:pPr>
              <w:pStyle w:val="TableText"/>
            </w:pPr>
          </w:p>
        </w:tc>
        <w:tc>
          <w:tcPr>
            <w:tcW w:w="1550" w:type="pct"/>
            <w:tcBorders>
              <w:top w:val="single" w:sz="4" w:space="0" w:color="auto"/>
              <w:bottom w:val="single" w:sz="4" w:space="0" w:color="auto"/>
            </w:tcBorders>
          </w:tcPr>
          <w:p w14:paraId="213325AF" w14:textId="2D85AD27" w:rsidR="00A10347" w:rsidRDefault="00A10347" w:rsidP="00A10347">
            <w:pPr>
              <w:pStyle w:val="TableText"/>
            </w:pPr>
            <w:r w:rsidRPr="000920AA">
              <w:t>Vessel, other than a non-commercial vessel arrival charge</w:t>
            </w:r>
          </w:p>
        </w:tc>
        <w:tc>
          <w:tcPr>
            <w:tcW w:w="1200" w:type="pct"/>
            <w:tcBorders>
              <w:top w:val="single" w:sz="4" w:space="0" w:color="auto"/>
              <w:bottom w:val="single" w:sz="4" w:space="0" w:color="auto"/>
            </w:tcBorders>
          </w:tcPr>
          <w:p w14:paraId="42397E6B" w14:textId="7C5080BD" w:rsidR="00A10347" w:rsidRDefault="00A10347" w:rsidP="00A10347">
            <w:pPr>
              <w:pStyle w:val="TableText"/>
            </w:pPr>
            <w:r w:rsidRPr="000920AA">
              <w:t>Per vessel</w:t>
            </w:r>
          </w:p>
        </w:tc>
        <w:tc>
          <w:tcPr>
            <w:tcW w:w="704" w:type="pct"/>
            <w:tcBorders>
              <w:top w:val="single" w:sz="4" w:space="0" w:color="auto"/>
              <w:bottom w:val="single" w:sz="4" w:space="0" w:color="auto"/>
            </w:tcBorders>
          </w:tcPr>
          <w:p w14:paraId="6FC45716" w14:textId="760C5E93" w:rsidR="00A10347" w:rsidRPr="000920AA" w:rsidRDefault="00A10347" w:rsidP="00A10347">
            <w:pPr>
              <w:pStyle w:val="TableText"/>
              <w:jc w:val="right"/>
            </w:pPr>
            <w:r w:rsidRPr="000920AA">
              <w:t>1,</w:t>
            </w:r>
            <w:r>
              <w:t>44</w:t>
            </w:r>
            <w:r w:rsidRPr="000920AA">
              <w:t>4</w:t>
            </w:r>
          </w:p>
        </w:tc>
        <w:tc>
          <w:tcPr>
            <w:tcW w:w="703" w:type="pct"/>
            <w:tcBorders>
              <w:top w:val="single" w:sz="4" w:space="0" w:color="auto"/>
              <w:bottom w:val="single" w:sz="4" w:space="0" w:color="auto"/>
            </w:tcBorders>
          </w:tcPr>
          <w:p w14:paraId="5EDE516B" w14:textId="4D21FEFC" w:rsidR="00A10347" w:rsidRPr="000920AA" w:rsidRDefault="00A10347" w:rsidP="00A10347">
            <w:pPr>
              <w:pStyle w:val="TableText"/>
              <w:jc w:val="right"/>
            </w:pPr>
            <w:r>
              <w:t>1,499</w:t>
            </w:r>
          </w:p>
        </w:tc>
      </w:tr>
      <w:tr w:rsidR="00A10347" w14:paraId="615BF5FA" w14:textId="77777777" w:rsidTr="001136FA">
        <w:tc>
          <w:tcPr>
            <w:tcW w:w="842" w:type="pct"/>
            <w:vMerge/>
          </w:tcPr>
          <w:p w14:paraId="3D009395" w14:textId="77777777" w:rsidR="00A10347" w:rsidRDefault="00A10347" w:rsidP="00A10347">
            <w:pPr>
              <w:pStyle w:val="TableText"/>
            </w:pPr>
          </w:p>
        </w:tc>
        <w:tc>
          <w:tcPr>
            <w:tcW w:w="1550" w:type="pct"/>
            <w:tcBorders>
              <w:top w:val="single" w:sz="4" w:space="0" w:color="auto"/>
              <w:bottom w:val="single" w:sz="4" w:space="0" w:color="auto"/>
            </w:tcBorders>
            <w:shd w:val="clear" w:color="auto" w:fill="D9D9D9" w:themeFill="background1" w:themeFillShade="D9"/>
          </w:tcPr>
          <w:p w14:paraId="5A2A9112" w14:textId="5E082804" w:rsidR="00A10347" w:rsidRPr="00A742FE" w:rsidRDefault="00A10347" w:rsidP="00A10347">
            <w:pPr>
              <w:pStyle w:val="TableText"/>
              <w:rPr>
                <w:b/>
                <w:bCs/>
              </w:rPr>
            </w:pPr>
            <w:r>
              <w:rPr>
                <w:b/>
                <w:bCs/>
                <w:sz w:val="20"/>
                <w:szCs w:val="20"/>
              </w:rPr>
              <w:t>Diagnostic activity in relation to an i</w:t>
            </w:r>
            <w:r w:rsidRPr="00A742FE">
              <w:rPr>
                <w:b/>
                <w:bCs/>
                <w:sz w:val="20"/>
                <w:szCs w:val="20"/>
              </w:rPr>
              <w:t xml:space="preserve">nternational vehicle carrier vessel entering Australian waters </w:t>
            </w:r>
          </w:p>
        </w:tc>
        <w:tc>
          <w:tcPr>
            <w:tcW w:w="1200" w:type="pct"/>
            <w:tcBorders>
              <w:top w:val="single" w:sz="4" w:space="0" w:color="auto"/>
              <w:bottom w:val="single" w:sz="4" w:space="0" w:color="auto"/>
            </w:tcBorders>
            <w:shd w:val="clear" w:color="auto" w:fill="D9D9D9" w:themeFill="background1" w:themeFillShade="D9"/>
          </w:tcPr>
          <w:p w14:paraId="2E0C467E" w14:textId="189B1FBC" w:rsidR="00A10347" w:rsidRPr="00A742FE" w:rsidRDefault="00A10347" w:rsidP="00A10347">
            <w:pPr>
              <w:pStyle w:val="TableText"/>
              <w:rPr>
                <w:b/>
                <w:bCs/>
              </w:rPr>
            </w:pPr>
            <w:r w:rsidRPr="00A742FE">
              <w:rPr>
                <w:b/>
                <w:bCs/>
                <w:sz w:val="20"/>
                <w:szCs w:val="20"/>
              </w:rPr>
              <w:t>Per vessel</w:t>
            </w:r>
          </w:p>
        </w:tc>
        <w:tc>
          <w:tcPr>
            <w:tcW w:w="704" w:type="pct"/>
            <w:tcBorders>
              <w:top w:val="single" w:sz="4" w:space="0" w:color="auto"/>
              <w:bottom w:val="single" w:sz="4" w:space="0" w:color="auto"/>
            </w:tcBorders>
            <w:shd w:val="clear" w:color="auto" w:fill="D9D9D9" w:themeFill="background1" w:themeFillShade="D9"/>
          </w:tcPr>
          <w:p w14:paraId="27F91948" w14:textId="39F6FFCE" w:rsidR="00A10347" w:rsidRPr="00A742FE" w:rsidRDefault="00A10347" w:rsidP="00A10347">
            <w:pPr>
              <w:pStyle w:val="TableText"/>
              <w:rPr>
                <w:b/>
                <w:bCs/>
              </w:rPr>
            </w:pPr>
            <w:r w:rsidRPr="00A742FE">
              <w:rPr>
                <w:b/>
                <w:bCs/>
              </w:rPr>
              <w:t>New charge proposed to commence 1 July 2026</w:t>
            </w:r>
          </w:p>
        </w:tc>
        <w:tc>
          <w:tcPr>
            <w:tcW w:w="703" w:type="pct"/>
            <w:tcBorders>
              <w:top w:val="single" w:sz="4" w:space="0" w:color="auto"/>
              <w:bottom w:val="single" w:sz="4" w:space="0" w:color="auto"/>
            </w:tcBorders>
            <w:shd w:val="clear" w:color="auto" w:fill="D9D9D9" w:themeFill="background1" w:themeFillShade="D9"/>
          </w:tcPr>
          <w:p w14:paraId="1A4B99E7" w14:textId="3C5D7179" w:rsidR="00A10347" w:rsidRPr="00A742FE" w:rsidRDefault="00A10347" w:rsidP="00A10347">
            <w:pPr>
              <w:pStyle w:val="TableText"/>
              <w:jc w:val="right"/>
              <w:rPr>
                <w:b/>
                <w:bCs/>
              </w:rPr>
            </w:pPr>
            <w:r w:rsidRPr="00A742FE">
              <w:rPr>
                <w:b/>
                <w:bCs/>
                <w:sz w:val="20"/>
                <w:szCs w:val="20"/>
              </w:rPr>
              <w:t>710</w:t>
            </w:r>
          </w:p>
        </w:tc>
      </w:tr>
      <w:tr w:rsidR="00A10347" w14:paraId="0853B864" w14:textId="77777777" w:rsidTr="001136FA">
        <w:tc>
          <w:tcPr>
            <w:tcW w:w="842" w:type="pct"/>
            <w:vMerge/>
          </w:tcPr>
          <w:p w14:paraId="1FF86777" w14:textId="77777777" w:rsidR="00A10347" w:rsidRDefault="00A10347" w:rsidP="00A10347">
            <w:pPr>
              <w:pStyle w:val="TableText"/>
            </w:pPr>
          </w:p>
        </w:tc>
        <w:tc>
          <w:tcPr>
            <w:tcW w:w="1550" w:type="pct"/>
            <w:tcBorders>
              <w:top w:val="single" w:sz="4" w:space="0" w:color="auto"/>
              <w:bottom w:val="single" w:sz="4" w:space="0" w:color="auto"/>
            </w:tcBorders>
            <w:shd w:val="clear" w:color="auto" w:fill="D9D9D9" w:themeFill="background1" w:themeFillShade="D9"/>
          </w:tcPr>
          <w:p w14:paraId="17A60C6F" w14:textId="79F41A3C" w:rsidR="00A10347" w:rsidRPr="00A742FE" w:rsidRDefault="00A10347" w:rsidP="00A10347">
            <w:pPr>
              <w:pStyle w:val="TableText"/>
              <w:rPr>
                <w:b/>
                <w:bCs/>
              </w:rPr>
            </w:pPr>
            <w:r>
              <w:rPr>
                <w:b/>
                <w:bCs/>
                <w:sz w:val="20"/>
                <w:szCs w:val="20"/>
              </w:rPr>
              <w:t xml:space="preserve">Diagnostic activity in relation to an </w:t>
            </w:r>
            <w:r w:rsidRPr="00A742FE">
              <w:rPr>
                <w:b/>
                <w:bCs/>
                <w:sz w:val="20"/>
                <w:szCs w:val="20"/>
              </w:rPr>
              <w:t xml:space="preserve">international vessel other than </w:t>
            </w:r>
            <w:r>
              <w:rPr>
                <w:b/>
                <w:bCs/>
                <w:sz w:val="20"/>
                <w:szCs w:val="20"/>
              </w:rPr>
              <w:t xml:space="preserve">a </w:t>
            </w:r>
            <w:r w:rsidRPr="00A742FE">
              <w:rPr>
                <w:b/>
                <w:bCs/>
                <w:sz w:val="20"/>
                <w:szCs w:val="20"/>
              </w:rPr>
              <w:t>vehicle carrier vessel entering Australian waters</w:t>
            </w:r>
          </w:p>
        </w:tc>
        <w:tc>
          <w:tcPr>
            <w:tcW w:w="1200" w:type="pct"/>
            <w:tcBorders>
              <w:top w:val="single" w:sz="4" w:space="0" w:color="auto"/>
              <w:bottom w:val="single" w:sz="4" w:space="0" w:color="auto"/>
            </w:tcBorders>
            <w:shd w:val="clear" w:color="auto" w:fill="D9D9D9" w:themeFill="background1" w:themeFillShade="D9"/>
          </w:tcPr>
          <w:p w14:paraId="5837CDBF" w14:textId="0AA03812" w:rsidR="00A10347" w:rsidRPr="00A742FE" w:rsidRDefault="00A10347" w:rsidP="00A10347">
            <w:pPr>
              <w:pStyle w:val="TableText"/>
              <w:rPr>
                <w:b/>
                <w:bCs/>
              </w:rPr>
            </w:pPr>
            <w:r w:rsidRPr="00A742FE">
              <w:rPr>
                <w:b/>
                <w:bCs/>
                <w:sz w:val="20"/>
                <w:szCs w:val="20"/>
              </w:rPr>
              <w:t>Per vessel</w:t>
            </w:r>
          </w:p>
        </w:tc>
        <w:tc>
          <w:tcPr>
            <w:tcW w:w="704" w:type="pct"/>
            <w:tcBorders>
              <w:top w:val="single" w:sz="4" w:space="0" w:color="auto"/>
              <w:bottom w:val="single" w:sz="4" w:space="0" w:color="auto"/>
            </w:tcBorders>
            <w:shd w:val="clear" w:color="auto" w:fill="D9D9D9" w:themeFill="background1" w:themeFillShade="D9"/>
          </w:tcPr>
          <w:p w14:paraId="6FDD06E7" w14:textId="167862CA" w:rsidR="00A10347" w:rsidRPr="00A742FE" w:rsidRDefault="00A10347" w:rsidP="00A10347">
            <w:pPr>
              <w:pStyle w:val="TableText"/>
              <w:rPr>
                <w:b/>
                <w:bCs/>
              </w:rPr>
            </w:pPr>
            <w:r w:rsidRPr="00A742FE">
              <w:rPr>
                <w:b/>
                <w:bCs/>
              </w:rPr>
              <w:t>New charge proposed to commence 1 July 2026</w:t>
            </w:r>
          </w:p>
        </w:tc>
        <w:tc>
          <w:tcPr>
            <w:tcW w:w="703" w:type="pct"/>
            <w:tcBorders>
              <w:top w:val="single" w:sz="4" w:space="0" w:color="auto"/>
              <w:bottom w:val="single" w:sz="4" w:space="0" w:color="auto"/>
            </w:tcBorders>
            <w:shd w:val="clear" w:color="auto" w:fill="D9D9D9" w:themeFill="background1" w:themeFillShade="D9"/>
          </w:tcPr>
          <w:p w14:paraId="0D5EC90D" w14:textId="67D6F683" w:rsidR="00A10347" w:rsidRPr="00A742FE" w:rsidRDefault="00A10347" w:rsidP="00A10347">
            <w:pPr>
              <w:pStyle w:val="TableText"/>
              <w:jc w:val="right"/>
              <w:rPr>
                <w:b/>
                <w:bCs/>
              </w:rPr>
            </w:pPr>
            <w:r w:rsidRPr="00A742FE">
              <w:rPr>
                <w:b/>
                <w:bCs/>
                <w:sz w:val="20"/>
                <w:szCs w:val="20"/>
              </w:rPr>
              <w:t>189</w:t>
            </w:r>
          </w:p>
        </w:tc>
      </w:tr>
      <w:tr w:rsidR="00A10347" w14:paraId="2B6264AC" w14:textId="77777777" w:rsidTr="00FE167A">
        <w:tc>
          <w:tcPr>
            <w:tcW w:w="842" w:type="pct"/>
            <w:vMerge w:val="restart"/>
            <w:tcBorders>
              <w:top w:val="single" w:sz="4" w:space="0" w:color="auto"/>
            </w:tcBorders>
          </w:tcPr>
          <w:p w14:paraId="2ADD7548" w14:textId="5A1E19E2" w:rsidR="00A10347" w:rsidRDefault="00A10347" w:rsidP="00A10347">
            <w:pPr>
              <w:pStyle w:val="TableText"/>
            </w:pPr>
            <w:r w:rsidRPr="00961F7F">
              <w:t>Fee for service – inspection (including virtual inspections), examination, document assessment, analysis, diagnostic activity, clearance of cargo, treatment, audit, supervision, training</w:t>
            </w:r>
          </w:p>
        </w:tc>
        <w:tc>
          <w:tcPr>
            <w:tcW w:w="1550" w:type="pct"/>
            <w:tcBorders>
              <w:top w:val="single" w:sz="4" w:space="0" w:color="auto"/>
              <w:bottom w:val="single" w:sz="4" w:space="0" w:color="auto"/>
            </w:tcBorders>
          </w:tcPr>
          <w:p w14:paraId="0CE91E41" w14:textId="30FC5ACF" w:rsidR="00A10347" w:rsidRPr="00BE205E" w:rsidRDefault="00A10347" w:rsidP="00A10347">
            <w:pPr>
              <w:pStyle w:val="TableText"/>
            </w:pPr>
            <w:r w:rsidRPr="00BE480D">
              <w:t>In-office fee during ordinary hours of duty</w:t>
            </w:r>
          </w:p>
        </w:tc>
        <w:tc>
          <w:tcPr>
            <w:tcW w:w="1200" w:type="pct"/>
            <w:tcBorders>
              <w:top w:val="single" w:sz="4" w:space="0" w:color="auto"/>
              <w:bottom w:val="single" w:sz="4" w:space="0" w:color="auto"/>
            </w:tcBorders>
          </w:tcPr>
          <w:p w14:paraId="663A67F2" w14:textId="21BBD28A" w:rsidR="00A10347" w:rsidRPr="00BE205E" w:rsidRDefault="00A10347" w:rsidP="00A10347">
            <w:pPr>
              <w:pStyle w:val="TableText"/>
            </w:pPr>
            <w:r w:rsidRPr="00BE480D">
              <w:t>Per 15 minutes</w:t>
            </w:r>
            <w:r>
              <w:t xml:space="preserve"> for each person </w:t>
            </w:r>
          </w:p>
        </w:tc>
        <w:tc>
          <w:tcPr>
            <w:tcW w:w="704" w:type="pct"/>
            <w:tcBorders>
              <w:top w:val="single" w:sz="4" w:space="0" w:color="auto"/>
              <w:bottom w:val="single" w:sz="4" w:space="0" w:color="auto"/>
            </w:tcBorders>
          </w:tcPr>
          <w:p w14:paraId="774136A3" w14:textId="53951A6C" w:rsidR="00A10347" w:rsidRPr="00BE480D" w:rsidRDefault="00A10347" w:rsidP="00A10347">
            <w:pPr>
              <w:pStyle w:val="TableText"/>
              <w:jc w:val="right"/>
            </w:pPr>
            <w:r>
              <w:t>40</w:t>
            </w:r>
          </w:p>
        </w:tc>
        <w:tc>
          <w:tcPr>
            <w:tcW w:w="703" w:type="pct"/>
            <w:tcBorders>
              <w:top w:val="single" w:sz="4" w:space="0" w:color="auto"/>
              <w:bottom w:val="single" w:sz="4" w:space="0" w:color="auto"/>
            </w:tcBorders>
          </w:tcPr>
          <w:p w14:paraId="72AC5129" w14:textId="21C00AE0" w:rsidR="00A10347" w:rsidRPr="00BE480D" w:rsidRDefault="00A10347" w:rsidP="00A10347">
            <w:pPr>
              <w:pStyle w:val="TableText"/>
              <w:jc w:val="right"/>
            </w:pPr>
            <w:r>
              <w:t>42</w:t>
            </w:r>
          </w:p>
        </w:tc>
      </w:tr>
      <w:tr w:rsidR="00A10347" w14:paraId="05E34A8E" w14:textId="77777777" w:rsidTr="00FE167A">
        <w:tc>
          <w:tcPr>
            <w:tcW w:w="842" w:type="pct"/>
            <w:vMerge/>
          </w:tcPr>
          <w:p w14:paraId="06AC54CF" w14:textId="77777777" w:rsidR="00A10347" w:rsidRDefault="00A10347" w:rsidP="00A10347">
            <w:pPr>
              <w:pStyle w:val="TableText"/>
            </w:pPr>
          </w:p>
        </w:tc>
        <w:tc>
          <w:tcPr>
            <w:tcW w:w="1550" w:type="pct"/>
            <w:tcBorders>
              <w:top w:val="single" w:sz="4" w:space="0" w:color="auto"/>
              <w:bottom w:val="single" w:sz="4" w:space="0" w:color="auto"/>
            </w:tcBorders>
          </w:tcPr>
          <w:p w14:paraId="15F8B777" w14:textId="187D31E5" w:rsidR="00A10347" w:rsidRDefault="00A10347" w:rsidP="00A10347">
            <w:pPr>
              <w:pStyle w:val="TableText"/>
              <w:rPr>
                <w:rFonts w:cstheme="minorHAnsi"/>
              </w:rPr>
            </w:pPr>
            <w:r w:rsidRPr="00736D8A">
              <w:t xml:space="preserve">In-office fee outside ordinary hours </w:t>
            </w:r>
            <w:r>
              <w:t xml:space="preserve">- </w:t>
            </w:r>
            <w:r>
              <w:rPr>
                <w:rFonts w:cstheme="minorHAnsi"/>
              </w:rPr>
              <w:t>w</w:t>
            </w:r>
            <w:r w:rsidRPr="003A58F8">
              <w:rPr>
                <w:rFonts w:cstheme="minorHAnsi"/>
              </w:rPr>
              <w:t>hen activity is provided immediately before or after ordinary hours</w:t>
            </w:r>
          </w:p>
          <w:p w14:paraId="1C3E4179" w14:textId="4828BA48" w:rsidR="00A10347" w:rsidRPr="00736D8A" w:rsidRDefault="00A10347" w:rsidP="00A10347">
            <w:pPr>
              <w:pStyle w:val="TableText"/>
            </w:pPr>
            <w:r>
              <w:t>(continuous)</w:t>
            </w:r>
          </w:p>
        </w:tc>
        <w:tc>
          <w:tcPr>
            <w:tcW w:w="1200" w:type="pct"/>
            <w:tcBorders>
              <w:top w:val="single" w:sz="4" w:space="0" w:color="auto"/>
              <w:bottom w:val="single" w:sz="4" w:space="0" w:color="auto"/>
            </w:tcBorders>
          </w:tcPr>
          <w:p w14:paraId="1B62823F" w14:textId="1161EA41" w:rsidR="00A10347" w:rsidRPr="00736D8A" w:rsidRDefault="00A10347" w:rsidP="00A10347">
            <w:pPr>
              <w:pStyle w:val="TableText"/>
            </w:pPr>
            <w:r w:rsidRPr="00736D8A">
              <w:t>Per 15 minutes</w:t>
            </w:r>
            <w:r>
              <w:t xml:space="preserve"> for each person</w:t>
            </w:r>
          </w:p>
        </w:tc>
        <w:tc>
          <w:tcPr>
            <w:tcW w:w="704" w:type="pct"/>
            <w:tcBorders>
              <w:top w:val="single" w:sz="4" w:space="0" w:color="auto"/>
              <w:bottom w:val="single" w:sz="4" w:space="0" w:color="auto"/>
            </w:tcBorders>
          </w:tcPr>
          <w:p w14:paraId="17707422" w14:textId="1A23862A" w:rsidR="00A10347" w:rsidRPr="00736D8A" w:rsidRDefault="00A10347" w:rsidP="00A10347">
            <w:pPr>
              <w:pStyle w:val="TableText"/>
              <w:jc w:val="right"/>
            </w:pPr>
            <w:r>
              <w:t>58</w:t>
            </w:r>
          </w:p>
        </w:tc>
        <w:tc>
          <w:tcPr>
            <w:tcW w:w="703" w:type="pct"/>
            <w:tcBorders>
              <w:top w:val="single" w:sz="4" w:space="0" w:color="auto"/>
              <w:bottom w:val="single" w:sz="4" w:space="0" w:color="auto"/>
            </w:tcBorders>
          </w:tcPr>
          <w:p w14:paraId="2D2B62B6" w14:textId="367613E3" w:rsidR="00A10347" w:rsidRPr="00736D8A" w:rsidRDefault="00A10347" w:rsidP="00A10347">
            <w:pPr>
              <w:pStyle w:val="TableText"/>
              <w:jc w:val="right"/>
            </w:pPr>
            <w:r>
              <w:t>60</w:t>
            </w:r>
          </w:p>
        </w:tc>
      </w:tr>
      <w:tr w:rsidR="00A10347" w14:paraId="2F53F6D3" w14:textId="77777777" w:rsidTr="00FE167A">
        <w:tc>
          <w:tcPr>
            <w:tcW w:w="842" w:type="pct"/>
            <w:vMerge/>
          </w:tcPr>
          <w:p w14:paraId="3B819DEE" w14:textId="77777777" w:rsidR="00A10347" w:rsidRDefault="00A10347" w:rsidP="00A10347">
            <w:pPr>
              <w:pStyle w:val="TableText"/>
            </w:pPr>
          </w:p>
        </w:tc>
        <w:tc>
          <w:tcPr>
            <w:tcW w:w="1550" w:type="pct"/>
            <w:tcBorders>
              <w:top w:val="single" w:sz="4" w:space="0" w:color="auto"/>
              <w:bottom w:val="single" w:sz="4" w:space="0" w:color="auto"/>
            </w:tcBorders>
          </w:tcPr>
          <w:p w14:paraId="0E0AF1B1" w14:textId="2713C43B" w:rsidR="00A10347" w:rsidRDefault="00A10347" w:rsidP="00A10347">
            <w:pPr>
              <w:pStyle w:val="TableText"/>
              <w:rPr>
                <w:rFonts w:cstheme="minorHAnsi"/>
              </w:rPr>
            </w:pPr>
            <w:r w:rsidRPr="00736D8A">
              <w:t xml:space="preserve">In-office fee outside ordinary hours on weekdays </w:t>
            </w:r>
            <w:r>
              <w:t xml:space="preserve">– </w:t>
            </w:r>
            <w:r>
              <w:rPr>
                <w:rFonts w:cstheme="minorHAnsi"/>
              </w:rPr>
              <w:t>w</w:t>
            </w:r>
            <w:r w:rsidRPr="003A58F8">
              <w:rPr>
                <w:rFonts w:cstheme="minorHAnsi"/>
              </w:rPr>
              <w:t xml:space="preserve">hen activity is </w:t>
            </w:r>
            <w:r>
              <w:rPr>
                <w:rFonts w:cstheme="minorHAnsi"/>
              </w:rPr>
              <w:t xml:space="preserve">not </w:t>
            </w:r>
            <w:r w:rsidRPr="003A58F8">
              <w:rPr>
                <w:rFonts w:cstheme="minorHAnsi"/>
              </w:rPr>
              <w:t>provided immediately before or after ordinary hours</w:t>
            </w:r>
            <w:r>
              <w:rPr>
                <w:rFonts w:cstheme="minorHAnsi"/>
              </w:rPr>
              <w:t>, initial 30–minute rate applies followed by the 15–minute rate</w:t>
            </w:r>
          </w:p>
          <w:p w14:paraId="76948D26" w14:textId="0662D475" w:rsidR="00A10347" w:rsidRPr="009D42CA" w:rsidRDefault="00A10347" w:rsidP="00A10347">
            <w:pPr>
              <w:pStyle w:val="TableText"/>
              <w:rPr>
                <w:rFonts w:cstheme="minorHAnsi"/>
              </w:rPr>
            </w:pPr>
            <w:r>
              <w:rPr>
                <w:rFonts w:cstheme="minorHAnsi"/>
              </w:rPr>
              <w:t xml:space="preserve">(non-continuous) </w:t>
            </w:r>
          </w:p>
        </w:tc>
        <w:tc>
          <w:tcPr>
            <w:tcW w:w="1200" w:type="pct"/>
            <w:tcBorders>
              <w:top w:val="single" w:sz="4" w:space="0" w:color="auto"/>
              <w:bottom w:val="single" w:sz="4" w:space="0" w:color="auto"/>
            </w:tcBorders>
          </w:tcPr>
          <w:p w14:paraId="3BF7D4E7" w14:textId="69EC4D8F" w:rsidR="00A10347" w:rsidRPr="00736D8A" w:rsidRDefault="00A10347" w:rsidP="00A10347">
            <w:pPr>
              <w:pStyle w:val="TableText"/>
            </w:pPr>
            <w:r w:rsidRPr="00736D8A">
              <w:t>Per 30 minutes</w:t>
            </w:r>
            <w:r>
              <w:t xml:space="preserve"> for each person</w:t>
            </w:r>
          </w:p>
        </w:tc>
        <w:tc>
          <w:tcPr>
            <w:tcW w:w="704" w:type="pct"/>
            <w:tcBorders>
              <w:top w:val="single" w:sz="4" w:space="0" w:color="auto"/>
              <w:bottom w:val="single" w:sz="4" w:space="0" w:color="auto"/>
            </w:tcBorders>
          </w:tcPr>
          <w:p w14:paraId="11EA5932" w14:textId="5FDEC66F" w:rsidR="00A10347" w:rsidRPr="00736D8A" w:rsidRDefault="00A10347" w:rsidP="00A10347">
            <w:pPr>
              <w:pStyle w:val="TableText"/>
              <w:jc w:val="right"/>
            </w:pPr>
            <w:r w:rsidRPr="00B94923">
              <w:t>116</w:t>
            </w:r>
          </w:p>
        </w:tc>
        <w:tc>
          <w:tcPr>
            <w:tcW w:w="703" w:type="pct"/>
            <w:tcBorders>
              <w:top w:val="single" w:sz="4" w:space="0" w:color="auto"/>
              <w:bottom w:val="single" w:sz="4" w:space="0" w:color="auto"/>
            </w:tcBorders>
          </w:tcPr>
          <w:p w14:paraId="2DAF838D" w14:textId="49055074" w:rsidR="00A10347" w:rsidRPr="00736D8A" w:rsidRDefault="00A10347" w:rsidP="00A10347">
            <w:pPr>
              <w:pStyle w:val="TableText"/>
              <w:jc w:val="right"/>
            </w:pPr>
            <w:r>
              <w:t>120</w:t>
            </w:r>
          </w:p>
        </w:tc>
      </w:tr>
      <w:tr w:rsidR="00A10347" w14:paraId="36698D97" w14:textId="77777777" w:rsidTr="00FE167A">
        <w:tc>
          <w:tcPr>
            <w:tcW w:w="842" w:type="pct"/>
            <w:vMerge/>
          </w:tcPr>
          <w:p w14:paraId="76929FE3" w14:textId="77777777" w:rsidR="00A10347" w:rsidRDefault="00A10347" w:rsidP="00A10347">
            <w:pPr>
              <w:pStyle w:val="TableText"/>
            </w:pPr>
          </w:p>
        </w:tc>
        <w:tc>
          <w:tcPr>
            <w:tcW w:w="1550" w:type="pct"/>
            <w:tcBorders>
              <w:top w:val="single" w:sz="4" w:space="0" w:color="auto"/>
              <w:bottom w:val="single" w:sz="4" w:space="0" w:color="auto"/>
            </w:tcBorders>
          </w:tcPr>
          <w:p w14:paraId="720CB502" w14:textId="2AF93991" w:rsidR="00A10347" w:rsidRPr="00D24B07" w:rsidRDefault="00A10347" w:rsidP="00A10347">
            <w:pPr>
              <w:pStyle w:val="TableText"/>
            </w:pPr>
            <w:r w:rsidRPr="00736D8A">
              <w:t>In-office fee outside ordinary hours after the first 30</w:t>
            </w:r>
            <w:r>
              <w:t>–</w:t>
            </w:r>
            <w:r w:rsidRPr="00736D8A">
              <w:t xml:space="preserve">minutes on weekdays </w:t>
            </w:r>
          </w:p>
        </w:tc>
        <w:tc>
          <w:tcPr>
            <w:tcW w:w="1200" w:type="pct"/>
            <w:tcBorders>
              <w:top w:val="single" w:sz="4" w:space="0" w:color="auto"/>
              <w:bottom w:val="single" w:sz="4" w:space="0" w:color="auto"/>
            </w:tcBorders>
          </w:tcPr>
          <w:p w14:paraId="6C88FD24" w14:textId="6AE4D4DE" w:rsidR="00A10347" w:rsidRPr="00D24B07" w:rsidRDefault="00A10347" w:rsidP="00A10347">
            <w:pPr>
              <w:pStyle w:val="TableText"/>
            </w:pPr>
            <w:r w:rsidRPr="00736D8A">
              <w:t>Per 15 minutes</w:t>
            </w:r>
            <w:r>
              <w:t xml:space="preserve"> for each person</w:t>
            </w:r>
          </w:p>
        </w:tc>
        <w:tc>
          <w:tcPr>
            <w:tcW w:w="704" w:type="pct"/>
            <w:tcBorders>
              <w:top w:val="single" w:sz="4" w:space="0" w:color="auto"/>
              <w:bottom w:val="single" w:sz="4" w:space="0" w:color="auto"/>
            </w:tcBorders>
          </w:tcPr>
          <w:p w14:paraId="6AC406C7" w14:textId="006F6D9D" w:rsidR="00A10347" w:rsidRPr="00736D8A" w:rsidRDefault="00A10347" w:rsidP="00A10347">
            <w:pPr>
              <w:pStyle w:val="TableText"/>
              <w:jc w:val="right"/>
            </w:pPr>
            <w:r w:rsidRPr="00B94923">
              <w:t>58</w:t>
            </w:r>
          </w:p>
        </w:tc>
        <w:tc>
          <w:tcPr>
            <w:tcW w:w="703" w:type="pct"/>
            <w:tcBorders>
              <w:top w:val="single" w:sz="4" w:space="0" w:color="auto"/>
              <w:bottom w:val="single" w:sz="4" w:space="0" w:color="auto"/>
            </w:tcBorders>
          </w:tcPr>
          <w:p w14:paraId="5E64522D" w14:textId="5CB1B944" w:rsidR="00A10347" w:rsidRPr="00D24B07" w:rsidRDefault="00A10347" w:rsidP="00A10347">
            <w:pPr>
              <w:pStyle w:val="TableText"/>
              <w:jc w:val="right"/>
            </w:pPr>
            <w:r>
              <w:t>60</w:t>
            </w:r>
          </w:p>
        </w:tc>
      </w:tr>
      <w:tr w:rsidR="00A10347" w14:paraId="3EE743F1" w14:textId="77777777" w:rsidTr="00FE167A">
        <w:tc>
          <w:tcPr>
            <w:tcW w:w="842" w:type="pct"/>
            <w:vMerge/>
          </w:tcPr>
          <w:p w14:paraId="4FADBC5A" w14:textId="77777777" w:rsidR="00A10347" w:rsidRDefault="00A10347" w:rsidP="00A10347">
            <w:pPr>
              <w:pStyle w:val="TableText"/>
            </w:pPr>
          </w:p>
        </w:tc>
        <w:tc>
          <w:tcPr>
            <w:tcW w:w="1550" w:type="pct"/>
            <w:tcBorders>
              <w:top w:val="single" w:sz="4" w:space="0" w:color="auto"/>
              <w:bottom w:val="single" w:sz="4" w:space="0" w:color="auto"/>
            </w:tcBorders>
          </w:tcPr>
          <w:p w14:paraId="571F9F29" w14:textId="02CAE09F" w:rsidR="00A10347" w:rsidRPr="009D42CA" w:rsidRDefault="00A10347" w:rsidP="00A10347">
            <w:pPr>
              <w:pStyle w:val="TableText"/>
            </w:pPr>
            <w:r w:rsidRPr="00736D8A">
              <w:t>In-office fee on a weekend or departmental holiday</w:t>
            </w:r>
            <w:r>
              <w:t>, m</w:t>
            </w:r>
            <w:r w:rsidRPr="00736D8A">
              <w:t xml:space="preserve">inimum </w:t>
            </w:r>
            <w:r>
              <w:t xml:space="preserve">30–minute </w:t>
            </w:r>
            <w:r w:rsidRPr="00736D8A">
              <w:t xml:space="preserve">charge </w:t>
            </w:r>
            <w:r>
              <w:rPr>
                <w:rFonts w:cstheme="minorHAnsi"/>
              </w:rPr>
              <w:t>followed by the 15–minute rate</w:t>
            </w:r>
          </w:p>
        </w:tc>
        <w:tc>
          <w:tcPr>
            <w:tcW w:w="1200" w:type="pct"/>
            <w:tcBorders>
              <w:top w:val="single" w:sz="4" w:space="0" w:color="auto"/>
              <w:bottom w:val="single" w:sz="4" w:space="0" w:color="auto"/>
            </w:tcBorders>
          </w:tcPr>
          <w:p w14:paraId="7329D942" w14:textId="58EFAE96" w:rsidR="00A10347" w:rsidRPr="00D24B07" w:rsidRDefault="00A10347" w:rsidP="00A10347">
            <w:pPr>
              <w:pStyle w:val="TableText"/>
            </w:pPr>
            <w:r w:rsidRPr="00736D8A">
              <w:t>Per 30 minutes</w:t>
            </w:r>
            <w:r>
              <w:t xml:space="preserve"> for each person</w:t>
            </w:r>
          </w:p>
        </w:tc>
        <w:tc>
          <w:tcPr>
            <w:tcW w:w="704" w:type="pct"/>
            <w:tcBorders>
              <w:top w:val="single" w:sz="4" w:space="0" w:color="auto"/>
              <w:bottom w:val="single" w:sz="4" w:space="0" w:color="auto"/>
            </w:tcBorders>
          </w:tcPr>
          <w:p w14:paraId="56A4AE2F" w14:textId="4DCCD8FB" w:rsidR="00A10347" w:rsidRPr="00736D8A" w:rsidRDefault="00A10347" w:rsidP="00A10347">
            <w:pPr>
              <w:pStyle w:val="TableText"/>
              <w:jc w:val="right"/>
            </w:pPr>
            <w:r w:rsidRPr="00B94923">
              <w:t>126</w:t>
            </w:r>
          </w:p>
        </w:tc>
        <w:tc>
          <w:tcPr>
            <w:tcW w:w="703" w:type="pct"/>
            <w:tcBorders>
              <w:top w:val="single" w:sz="4" w:space="0" w:color="auto"/>
              <w:bottom w:val="single" w:sz="4" w:space="0" w:color="auto"/>
            </w:tcBorders>
          </w:tcPr>
          <w:p w14:paraId="2780B25D" w14:textId="424AE74E" w:rsidR="00A10347" w:rsidRPr="00D24B07" w:rsidRDefault="00A10347" w:rsidP="00A10347">
            <w:pPr>
              <w:pStyle w:val="TableText"/>
              <w:jc w:val="right"/>
            </w:pPr>
            <w:r>
              <w:t>130</w:t>
            </w:r>
          </w:p>
        </w:tc>
      </w:tr>
      <w:tr w:rsidR="00A10347" w14:paraId="2C365AC1" w14:textId="77777777" w:rsidTr="00FE167A">
        <w:tc>
          <w:tcPr>
            <w:tcW w:w="842" w:type="pct"/>
            <w:vMerge/>
          </w:tcPr>
          <w:p w14:paraId="4926470C" w14:textId="77777777" w:rsidR="00A10347" w:rsidRDefault="00A10347" w:rsidP="00A10347">
            <w:pPr>
              <w:pStyle w:val="TableText"/>
            </w:pPr>
          </w:p>
        </w:tc>
        <w:tc>
          <w:tcPr>
            <w:tcW w:w="1550" w:type="pct"/>
            <w:tcBorders>
              <w:top w:val="single" w:sz="4" w:space="0" w:color="auto"/>
              <w:bottom w:val="single" w:sz="4" w:space="0" w:color="auto"/>
            </w:tcBorders>
          </w:tcPr>
          <w:p w14:paraId="5C8070AC" w14:textId="7BA5D68F" w:rsidR="00A10347" w:rsidRPr="00D24B07" w:rsidRDefault="00A10347" w:rsidP="00A10347">
            <w:pPr>
              <w:pStyle w:val="TableText"/>
            </w:pPr>
            <w:r w:rsidRPr="00736D8A">
              <w:t>In-office fee after the first 30 minutes on a weekend or departmental holiday</w:t>
            </w:r>
          </w:p>
        </w:tc>
        <w:tc>
          <w:tcPr>
            <w:tcW w:w="1200" w:type="pct"/>
            <w:tcBorders>
              <w:top w:val="single" w:sz="4" w:space="0" w:color="auto"/>
              <w:bottom w:val="single" w:sz="4" w:space="0" w:color="auto"/>
            </w:tcBorders>
          </w:tcPr>
          <w:p w14:paraId="466F641B" w14:textId="528208B8" w:rsidR="00A10347" w:rsidRPr="00D24B07" w:rsidRDefault="00A10347" w:rsidP="00A10347">
            <w:pPr>
              <w:pStyle w:val="TableText"/>
            </w:pPr>
            <w:r w:rsidRPr="00736D8A">
              <w:t>Per 15 minutes</w:t>
            </w:r>
            <w:r>
              <w:t xml:space="preserve"> for each person</w:t>
            </w:r>
          </w:p>
        </w:tc>
        <w:tc>
          <w:tcPr>
            <w:tcW w:w="704" w:type="pct"/>
            <w:tcBorders>
              <w:top w:val="single" w:sz="4" w:space="0" w:color="auto"/>
              <w:bottom w:val="single" w:sz="4" w:space="0" w:color="auto"/>
            </w:tcBorders>
          </w:tcPr>
          <w:p w14:paraId="55DE73D4" w14:textId="46ACF0D2" w:rsidR="00A10347" w:rsidRPr="00736D8A" w:rsidRDefault="00A10347" w:rsidP="00A10347">
            <w:pPr>
              <w:pStyle w:val="TableText"/>
              <w:jc w:val="right"/>
            </w:pPr>
            <w:r>
              <w:t>63</w:t>
            </w:r>
          </w:p>
        </w:tc>
        <w:tc>
          <w:tcPr>
            <w:tcW w:w="703" w:type="pct"/>
            <w:tcBorders>
              <w:top w:val="single" w:sz="4" w:space="0" w:color="auto"/>
              <w:bottom w:val="single" w:sz="4" w:space="0" w:color="auto"/>
            </w:tcBorders>
          </w:tcPr>
          <w:p w14:paraId="3A602FAF" w14:textId="4D870BB4" w:rsidR="00A10347" w:rsidRPr="00D24B07" w:rsidRDefault="00A10347" w:rsidP="00A10347">
            <w:pPr>
              <w:pStyle w:val="TableText"/>
              <w:jc w:val="right"/>
            </w:pPr>
            <w:r>
              <w:t>65</w:t>
            </w:r>
          </w:p>
        </w:tc>
      </w:tr>
      <w:tr w:rsidR="00A10347" w14:paraId="325394E4" w14:textId="77777777" w:rsidTr="00FE167A">
        <w:tc>
          <w:tcPr>
            <w:tcW w:w="842" w:type="pct"/>
            <w:vMerge/>
          </w:tcPr>
          <w:p w14:paraId="78E0C140" w14:textId="77777777" w:rsidR="00A10347" w:rsidRDefault="00A10347" w:rsidP="00A10347">
            <w:pPr>
              <w:pStyle w:val="TableText"/>
            </w:pPr>
          </w:p>
        </w:tc>
        <w:tc>
          <w:tcPr>
            <w:tcW w:w="1550" w:type="pct"/>
            <w:tcBorders>
              <w:top w:val="single" w:sz="4" w:space="0" w:color="auto"/>
              <w:bottom w:val="single" w:sz="4" w:space="0" w:color="auto"/>
            </w:tcBorders>
          </w:tcPr>
          <w:p w14:paraId="6162BC2B" w14:textId="1EAE8ADE" w:rsidR="00A10347" w:rsidRPr="00DC547C" w:rsidRDefault="00A10347" w:rsidP="00A10347">
            <w:pPr>
              <w:pStyle w:val="TableText"/>
            </w:pPr>
            <w:r w:rsidRPr="00D24B07">
              <w:t>Out-of-office fee during ordinary hours of duty</w:t>
            </w:r>
          </w:p>
        </w:tc>
        <w:tc>
          <w:tcPr>
            <w:tcW w:w="1200" w:type="pct"/>
            <w:tcBorders>
              <w:top w:val="single" w:sz="4" w:space="0" w:color="auto"/>
              <w:bottom w:val="single" w:sz="4" w:space="0" w:color="auto"/>
            </w:tcBorders>
          </w:tcPr>
          <w:p w14:paraId="23D9AAA5" w14:textId="5A14E7C4" w:rsidR="00A10347" w:rsidRPr="007D727F" w:rsidRDefault="00A10347" w:rsidP="00A10347">
            <w:pPr>
              <w:pStyle w:val="TableText"/>
            </w:pPr>
            <w:r w:rsidRPr="00D24B07">
              <w:t>Per 15 minutes</w:t>
            </w:r>
            <w:r>
              <w:t xml:space="preserve"> for each person </w:t>
            </w:r>
          </w:p>
        </w:tc>
        <w:tc>
          <w:tcPr>
            <w:tcW w:w="704" w:type="pct"/>
            <w:tcBorders>
              <w:top w:val="single" w:sz="4" w:space="0" w:color="auto"/>
              <w:bottom w:val="single" w:sz="4" w:space="0" w:color="auto"/>
            </w:tcBorders>
          </w:tcPr>
          <w:p w14:paraId="117125AD" w14:textId="739F9335" w:rsidR="00A10347" w:rsidRPr="00D24B07" w:rsidRDefault="00A10347" w:rsidP="00A10347">
            <w:pPr>
              <w:pStyle w:val="TableText"/>
              <w:jc w:val="right"/>
            </w:pPr>
            <w:r>
              <w:t>67</w:t>
            </w:r>
          </w:p>
        </w:tc>
        <w:tc>
          <w:tcPr>
            <w:tcW w:w="703" w:type="pct"/>
            <w:tcBorders>
              <w:top w:val="single" w:sz="4" w:space="0" w:color="auto"/>
              <w:bottom w:val="single" w:sz="4" w:space="0" w:color="auto"/>
            </w:tcBorders>
          </w:tcPr>
          <w:p w14:paraId="70743A6E" w14:textId="4ED047E5" w:rsidR="00A10347" w:rsidRPr="007D727F" w:rsidRDefault="00A10347" w:rsidP="00A10347">
            <w:pPr>
              <w:pStyle w:val="TableText"/>
              <w:jc w:val="right"/>
            </w:pPr>
            <w:r>
              <w:t>70</w:t>
            </w:r>
          </w:p>
        </w:tc>
      </w:tr>
      <w:tr w:rsidR="00A10347" w14:paraId="18BE9328" w14:textId="77777777" w:rsidTr="00FE167A">
        <w:tc>
          <w:tcPr>
            <w:tcW w:w="842" w:type="pct"/>
            <w:vMerge/>
          </w:tcPr>
          <w:p w14:paraId="4B83AE5E" w14:textId="77777777" w:rsidR="00A10347" w:rsidRDefault="00A10347" w:rsidP="00A10347">
            <w:pPr>
              <w:pStyle w:val="TableText"/>
            </w:pPr>
          </w:p>
        </w:tc>
        <w:tc>
          <w:tcPr>
            <w:tcW w:w="1550" w:type="pct"/>
            <w:tcBorders>
              <w:top w:val="single" w:sz="4" w:space="0" w:color="auto"/>
              <w:bottom w:val="single" w:sz="4" w:space="0" w:color="auto"/>
            </w:tcBorders>
          </w:tcPr>
          <w:p w14:paraId="15C52730" w14:textId="2D71318E" w:rsidR="00A10347" w:rsidRPr="00DC547C" w:rsidRDefault="00A10347" w:rsidP="00A10347">
            <w:pPr>
              <w:pStyle w:val="TableText"/>
            </w:pPr>
            <w:r w:rsidRPr="00D24B07">
              <w:t>Out-of-office fee during ordinary hours of duty</w:t>
            </w:r>
            <w:r>
              <w:t xml:space="preserve"> </w:t>
            </w:r>
          </w:p>
        </w:tc>
        <w:tc>
          <w:tcPr>
            <w:tcW w:w="1200" w:type="pct"/>
            <w:tcBorders>
              <w:top w:val="single" w:sz="4" w:space="0" w:color="auto"/>
              <w:bottom w:val="single" w:sz="4" w:space="0" w:color="auto"/>
            </w:tcBorders>
          </w:tcPr>
          <w:p w14:paraId="477D2A83" w14:textId="125231EC" w:rsidR="00A10347" w:rsidRPr="007D727F" w:rsidRDefault="00A10347" w:rsidP="00A10347">
            <w:pPr>
              <w:pStyle w:val="TableText"/>
            </w:pPr>
            <w:r w:rsidRPr="00D24B07">
              <w:t>Daily</w:t>
            </w:r>
            <w:r>
              <w:t xml:space="preserve"> for each person</w:t>
            </w:r>
          </w:p>
        </w:tc>
        <w:tc>
          <w:tcPr>
            <w:tcW w:w="704" w:type="pct"/>
            <w:tcBorders>
              <w:top w:val="single" w:sz="4" w:space="0" w:color="auto"/>
              <w:bottom w:val="single" w:sz="4" w:space="0" w:color="auto"/>
            </w:tcBorders>
          </w:tcPr>
          <w:p w14:paraId="0ADA19E1" w14:textId="4BDF602C" w:rsidR="00A10347" w:rsidRPr="00D24B07" w:rsidRDefault="00A10347" w:rsidP="00A10347">
            <w:pPr>
              <w:pStyle w:val="TableText"/>
              <w:jc w:val="right"/>
            </w:pPr>
            <w:r>
              <w:t>1,302</w:t>
            </w:r>
          </w:p>
        </w:tc>
        <w:tc>
          <w:tcPr>
            <w:tcW w:w="703" w:type="pct"/>
            <w:tcBorders>
              <w:top w:val="single" w:sz="4" w:space="0" w:color="auto"/>
              <w:bottom w:val="single" w:sz="4" w:space="0" w:color="auto"/>
            </w:tcBorders>
          </w:tcPr>
          <w:p w14:paraId="27D4C7C5" w14:textId="05EF5CE4" w:rsidR="00A10347" w:rsidRPr="007D727F" w:rsidRDefault="00A10347" w:rsidP="00A10347">
            <w:pPr>
              <w:pStyle w:val="TableText"/>
              <w:jc w:val="right"/>
            </w:pPr>
            <w:r>
              <w:t>1,351</w:t>
            </w:r>
          </w:p>
        </w:tc>
      </w:tr>
      <w:tr w:rsidR="00A10347" w14:paraId="49FC96B4" w14:textId="77777777" w:rsidTr="00FE167A">
        <w:tc>
          <w:tcPr>
            <w:tcW w:w="842" w:type="pct"/>
            <w:vMerge/>
          </w:tcPr>
          <w:p w14:paraId="62201ABB" w14:textId="77777777" w:rsidR="00A10347" w:rsidRDefault="00A10347" w:rsidP="00A10347">
            <w:pPr>
              <w:pStyle w:val="TableText"/>
            </w:pPr>
          </w:p>
        </w:tc>
        <w:tc>
          <w:tcPr>
            <w:tcW w:w="1550" w:type="pct"/>
            <w:tcBorders>
              <w:top w:val="single" w:sz="4" w:space="0" w:color="auto"/>
              <w:bottom w:val="single" w:sz="4" w:space="0" w:color="auto"/>
            </w:tcBorders>
          </w:tcPr>
          <w:p w14:paraId="04AE506E" w14:textId="4235B744" w:rsidR="00A10347" w:rsidRPr="00DC547C" w:rsidRDefault="00A10347" w:rsidP="00A10347">
            <w:pPr>
              <w:pStyle w:val="TableText"/>
            </w:pPr>
            <w:r w:rsidRPr="002B4B8C">
              <w:t xml:space="preserve">Out-of-office fee outside ordinary hours </w:t>
            </w:r>
            <w:r>
              <w:t xml:space="preserve">on </w:t>
            </w:r>
            <w:r w:rsidRPr="002B4B8C">
              <w:t>weekdays</w:t>
            </w:r>
            <w:r>
              <w:t xml:space="preserve"> </w:t>
            </w:r>
            <w:r>
              <w:rPr>
                <w:rFonts w:cstheme="minorHAnsi"/>
              </w:rPr>
              <w:t>w</w:t>
            </w:r>
            <w:r w:rsidRPr="003A58F8">
              <w:rPr>
                <w:rFonts w:cstheme="minorHAnsi"/>
              </w:rPr>
              <w:t>hen activity is provided immediately before or after ordinary hours only</w:t>
            </w:r>
            <w:r>
              <w:rPr>
                <w:rFonts w:cstheme="minorHAnsi"/>
              </w:rPr>
              <w:br/>
            </w:r>
            <w:r>
              <w:t>(continuous)</w:t>
            </w:r>
          </w:p>
        </w:tc>
        <w:tc>
          <w:tcPr>
            <w:tcW w:w="1200" w:type="pct"/>
            <w:tcBorders>
              <w:top w:val="single" w:sz="4" w:space="0" w:color="auto"/>
              <w:bottom w:val="single" w:sz="4" w:space="0" w:color="auto"/>
            </w:tcBorders>
          </w:tcPr>
          <w:p w14:paraId="2E502CEE" w14:textId="46885588" w:rsidR="00A10347" w:rsidRPr="007D727F" w:rsidRDefault="00A10347" w:rsidP="00A10347">
            <w:pPr>
              <w:pStyle w:val="TableText"/>
            </w:pPr>
            <w:r w:rsidRPr="00CC577E">
              <w:t>Per 15 minutes</w:t>
            </w:r>
            <w:r>
              <w:t xml:space="preserve"> for each person</w:t>
            </w:r>
          </w:p>
        </w:tc>
        <w:tc>
          <w:tcPr>
            <w:tcW w:w="704" w:type="pct"/>
            <w:tcBorders>
              <w:top w:val="single" w:sz="4" w:space="0" w:color="auto"/>
              <w:bottom w:val="single" w:sz="4" w:space="0" w:color="auto"/>
            </w:tcBorders>
          </w:tcPr>
          <w:p w14:paraId="0D252B13" w14:textId="53796501" w:rsidR="00A10347" w:rsidRPr="00CC577E" w:rsidRDefault="00A10347" w:rsidP="00A10347">
            <w:pPr>
              <w:pStyle w:val="TableText"/>
              <w:jc w:val="right"/>
            </w:pPr>
            <w:r w:rsidRPr="00CC577E">
              <w:t>8</w:t>
            </w:r>
            <w:r>
              <w:t>5</w:t>
            </w:r>
          </w:p>
        </w:tc>
        <w:tc>
          <w:tcPr>
            <w:tcW w:w="703" w:type="pct"/>
            <w:tcBorders>
              <w:top w:val="single" w:sz="4" w:space="0" w:color="auto"/>
              <w:bottom w:val="single" w:sz="4" w:space="0" w:color="auto"/>
            </w:tcBorders>
          </w:tcPr>
          <w:p w14:paraId="54D87D4D" w14:textId="75D5746D" w:rsidR="00A10347" w:rsidRPr="007D727F" w:rsidRDefault="00A10347" w:rsidP="00A10347">
            <w:pPr>
              <w:pStyle w:val="TableText"/>
              <w:jc w:val="right"/>
            </w:pPr>
            <w:r>
              <w:t>88</w:t>
            </w:r>
          </w:p>
        </w:tc>
      </w:tr>
      <w:tr w:rsidR="00A10347" w:rsidRPr="00B94923" w14:paraId="1901D524" w14:textId="77777777" w:rsidTr="00FE167A">
        <w:tc>
          <w:tcPr>
            <w:tcW w:w="842" w:type="pct"/>
            <w:vMerge/>
          </w:tcPr>
          <w:p w14:paraId="7A2E5CFD" w14:textId="77777777" w:rsidR="00A10347" w:rsidRDefault="00A10347" w:rsidP="00A10347">
            <w:pPr>
              <w:pStyle w:val="TableText"/>
            </w:pPr>
          </w:p>
        </w:tc>
        <w:tc>
          <w:tcPr>
            <w:tcW w:w="1550" w:type="pct"/>
            <w:tcBorders>
              <w:top w:val="single" w:sz="4" w:space="0" w:color="auto"/>
              <w:bottom w:val="single" w:sz="4" w:space="0" w:color="auto"/>
            </w:tcBorders>
          </w:tcPr>
          <w:p w14:paraId="7BFAB6BF" w14:textId="77777777" w:rsidR="00A10347" w:rsidRDefault="00A10347" w:rsidP="00A10347">
            <w:pPr>
              <w:pStyle w:val="TableText"/>
            </w:pPr>
            <w:r w:rsidRPr="00503DCB">
              <w:t xml:space="preserve">Out-of-office fee outside ordinary hours </w:t>
            </w:r>
            <w:r>
              <w:t xml:space="preserve">on </w:t>
            </w:r>
            <w:r w:rsidRPr="00503DCB">
              <w:t>weekdays</w:t>
            </w:r>
            <w:r>
              <w:t xml:space="preserve"> - m</w:t>
            </w:r>
            <w:r w:rsidRPr="00736D8A">
              <w:t xml:space="preserve">inimum </w:t>
            </w:r>
            <w:r>
              <w:t xml:space="preserve">30– minute </w:t>
            </w:r>
            <w:r w:rsidRPr="00736D8A">
              <w:t xml:space="preserve">charge when activity is not provided immediately before or </w:t>
            </w:r>
            <w:r w:rsidRPr="00736D8A">
              <w:lastRenderedPageBreak/>
              <w:t>after ordinary hours</w:t>
            </w:r>
            <w:r>
              <w:t>, followed by the 15–minute rate</w:t>
            </w:r>
          </w:p>
          <w:p w14:paraId="5FB261CD" w14:textId="4C267F9E" w:rsidR="00A10347" w:rsidRPr="00DC547C" w:rsidRDefault="00A10347" w:rsidP="00A10347">
            <w:pPr>
              <w:pStyle w:val="TableText"/>
            </w:pPr>
            <w:r>
              <w:rPr>
                <w:rFonts w:cstheme="minorHAnsi"/>
              </w:rPr>
              <w:t>(non-continuous)</w:t>
            </w:r>
          </w:p>
        </w:tc>
        <w:tc>
          <w:tcPr>
            <w:tcW w:w="1200" w:type="pct"/>
            <w:tcBorders>
              <w:top w:val="single" w:sz="4" w:space="0" w:color="auto"/>
              <w:bottom w:val="single" w:sz="4" w:space="0" w:color="auto"/>
            </w:tcBorders>
          </w:tcPr>
          <w:p w14:paraId="595ED41B" w14:textId="692DF768" w:rsidR="00A10347" w:rsidRPr="007D727F" w:rsidRDefault="00A10347" w:rsidP="00A10347">
            <w:pPr>
              <w:pStyle w:val="TableText"/>
            </w:pPr>
            <w:r w:rsidRPr="00C051B5">
              <w:lastRenderedPageBreak/>
              <w:t>Per 30 minutes</w:t>
            </w:r>
            <w:r>
              <w:t xml:space="preserve"> for each person</w:t>
            </w:r>
          </w:p>
        </w:tc>
        <w:tc>
          <w:tcPr>
            <w:tcW w:w="704" w:type="pct"/>
            <w:tcBorders>
              <w:top w:val="single" w:sz="4" w:space="0" w:color="auto"/>
              <w:bottom w:val="single" w:sz="4" w:space="0" w:color="auto"/>
            </w:tcBorders>
          </w:tcPr>
          <w:p w14:paraId="151E096F" w14:textId="7324BC37" w:rsidR="00A10347" w:rsidRPr="00C051B5" w:rsidRDefault="00A10347" w:rsidP="00A10347">
            <w:pPr>
              <w:pStyle w:val="TableText"/>
              <w:jc w:val="right"/>
            </w:pPr>
            <w:r w:rsidRPr="00B94923">
              <w:t>170</w:t>
            </w:r>
          </w:p>
        </w:tc>
        <w:tc>
          <w:tcPr>
            <w:tcW w:w="703" w:type="pct"/>
            <w:tcBorders>
              <w:top w:val="single" w:sz="4" w:space="0" w:color="auto"/>
              <w:bottom w:val="single" w:sz="4" w:space="0" w:color="auto"/>
            </w:tcBorders>
          </w:tcPr>
          <w:p w14:paraId="25FBF976" w14:textId="64ED38F6" w:rsidR="00A10347" w:rsidRPr="007D727F" w:rsidRDefault="00A10347" w:rsidP="00A10347">
            <w:pPr>
              <w:pStyle w:val="TableText"/>
              <w:jc w:val="right"/>
            </w:pPr>
            <w:r>
              <w:t>176</w:t>
            </w:r>
          </w:p>
        </w:tc>
      </w:tr>
      <w:tr w:rsidR="00A10347" w:rsidRPr="00B94923" w14:paraId="0ED3D6C2" w14:textId="77777777" w:rsidTr="00FE167A">
        <w:tc>
          <w:tcPr>
            <w:tcW w:w="842" w:type="pct"/>
            <w:vMerge/>
          </w:tcPr>
          <w:p w14:paraId="0ABD9FA9" w14:textId="77777777" w:rsidR="00A10347" w:rsidRDefault="00A10347" w:rsidP="00A10347">
            <w:pPr>
              <w:pStyle w:val="TableText"/>
            </w:pPr>
          </w:p>
        </w:tc>
        <w:tc>
          <w:tcPr>
            <w:tcW w:w="1550" w:type="pct"/>
            <w:tcBorders>
              <w:top w:val="single" w:sz="4" w:space="0" w:color="auto"/>
              <w:bottom w:val="single" w:sz="4" w:space="0" w:color="auto"/>
            </w:tcBorders>
          </w:tcPr>
          <w:p w14:paraId="27A2C9DF" w14:textId="30726C40" w:rsidR="00A10347" w:rsidRDefault="00A10347" w:rsidP="00A10347">
            <w:pPr>
              <w:pStyle w:val="TableText"/>
            </w:pPr>
            <w:r w:rsidRPr="00503DCB">
              <w:t xml:space="preserve">Out-of-office fee outside ordinary hours </w:t>
            </w:r>
            <w:r>
              <w:t xml:space="preserve">on </w:t>
            </w:r>
            <w:r w:rsidRPr="00503DCB">
              <w:t>weekdays</w:t>
            </w:r>
            <w:r>
              <w:t xml:space="preserve"> </w:t>
            </w:r>
            <w:r w:rsidRPr="00736D8A">
              <w:t>after the first 30</w:t>
            </w:r>
            <w:r>
              <w:t>–</w:t>
            </w:r>
            <w:r w:rsidRPr="00736D8A">
              <w:t>minutes</w:t>
            </w:r>
          </w:p>
        </w:tc>
        <w:tc>
          <w:tcPr>
            <w:tcW w:w="1200" w:type="pct"/>
            <w:tcBorders>
              <w:top w:val="single" w:sz="4" w:space="0" w:color="auto"/>
              <w:bottom w:val="single" w:sz="4" w:space="0" w:color="auto"/>
            </w:tcBorders>
          </w:tcPr>
          <w:p w14:paraId="2B2741AF" w14:textId="61EA9B57" w:rsidR="00A10347" w:rsidRPr="00C74B86" w:rsidRDefault="00A10347" w:rsidP="00A10347">
            <w:pPr>
              <w:pStyle w:val="TableText"/>
            </w:pPr>
            <w:r w:rsidRPr="00CC577E">
              <w:t>Per 15 minutes</w:t>
            </w:r>
            <w:r>
              <w:t xml:space="preserve"> for each person</w:t>
            </w:r>
          </w:p>
        </w:tc>
        <w:tc>
          <w:tcPr>
            <w:tcW w:w="704" w:type="pct"/>
            <w:tcBorders>
              <w:top w:val="single" w:sz="4" w:space="0" w:color="auto"/>
              <w:bottom w:val="single" w:sz="4" w:space="0" w:color="auto"/>
            </w:tcBorders>
          </w:tcPr>
          <w:p w14:paraId="46F9442A" w14:textId="6355768D" w:rsidR="00A10347" w:rsidRPr="00CC577E" w:rsidRDefault="00A10347" w:rsidP="00A10347">
            <w:pPr>
              <w:pStyle w:val="TableText"/>
              <w:jc w:val="right"/>
            </w:pPr>
            <w:r w:rsidRPr="00B94923">
              <w:t>85</w:t>
            </w:r>
          </w:p>
        </w:tc>
        <w:tc>
          <w:tcPr>
            <w:tcW w:w="703" w:type="pct"/>
            <w:tcBorders>
              <w:top w:val="single" w:sz="4" w:space="0" w:color="auto"/>
              <w:bottom w:val="single" w:sz="4" w:space="0" w:color="auto"/>
            </w:tcBorders>
          </w:tcPr>
          <w:p w14:paraId="1C0FAFF7" w14:textId="67BFDBCB" w:rsidR="00A10347" w:rsidRPr="00C74B86" w:rsidRDefault="00A10347" w:rsidP="00A10347">
            <w:pPr>
              <w:pStyle w:val="TableText"/>
              <w:jc w:val="right"/>
            </w:pPr>
            <w:r>
              <w:t>88</w:t>
            </w:r>
          </w:p>
        </w:tc>
      </w:tr>
      <w:tr w:rsidR="00A10347" w:rsidRPr="00B94923" w14:paraId="2DC3918E" w14:textId="77777777" w:rsidTr="00FE167A">
        <w:tc>
          <w:tcPr>
            <w:tcW w:w="842" w:type="pct"/>
            <w:vMerge/>
          </w:tcPr>
          <w:p w14:paraId="0342BFFB" w14:textId="77777777" w:rsidR="00A10347" w:rsidRDefault="00A10347" w:rsidP="00A10347">
            <w:pPr>
              <w:pStyle w:val="TableText"/>
            </w:pPr>
          </w:p>
        </w:tc>
        <w:tc>
          <w:tcPr>
            <w:tcW w:w="1550" w:type="pct"/>
            <w:tcBorders>
              <w:top w:val="single" w:sz="4" w:space="0" w:color="auto"/>
              <w:bottom w:val="single" w:sz="4" w:space="0" w:color="auto"/>
            </w:tcBorders>
          </w:tcPr>
          <w:p w14:paraId="32CBB17D" w14:textId="5C41C23C" w:rsidR="00A10347" w:rsidRPr="00DC547C" w:rsidRDefault="00A10347" w:rsidP="00A10347">
            <w:pPr>
              <w:pStyle w:val="TableText"/>
            </w:pPr>
            <w:r>
              <w:t xml:space="preserve">Out-of-office fee on a weekend or departmental holiday - minimum of 30 minutes followed by the per 15-minute rate </w:t>
            </w:r>
          </w:p>
        </w:tc>
        <w:tc>
          <w:tcPr>
            <w:tcW w:w="1200" w:type="pct"/>
            <w:tcBorders>
              <w:top w:val="single" w:sz="4" w:space="0" w:color="auto"/>
              <w:bottom w:val="single" w:sz="4" w:space="0" w:color="auto"/>
            </w:tcBorders>
          </w:tcPr>
          <w:p w14:paraId="4B64CFD2" w14:textId="2B2C7957" w:rsidR="00A10347" w:rsidRPr="007D727F" w:rsidRDefault="00A10347" w:rsidP="00A10347">
            <w:pPr>
              <w:pStyle w:val="TableText"/>
            </w:pPr>
            <w:r w:rsidRPr="00C74B86">
              <w:t>Per 30 minutes</w:t>
            </w:r>
            <w:r>
              <w:t xml:space="preserve"> for each person</w:t>
            </w:r>
          </w:p>
        </w:tc>
        <w:tc>
          <w:tcPr>
            <w:tcW w:w="704" w:type="pct"/>
            <w:tcBorders>
              <w:top w:val="single" w:sz="4" w:space="0" w:color="auto"/>
              <w:bottom w:val="single" w:sz="4" w:space="0" w:color="auto"/>
            </w:tcBorders>
          </w:tcPr>
          <w:p w14:paraId="4367FD08" w14:textId="60B1E0B4" w:rsidR="00A10347" w:rsidRPr="00C74B86" w:rsidRDefault="00A10347" w:rsidP="00A10347">
            <w:pPr>
              <w:pStyle w:val="TableText"/>
              <w:jc w:val="right"/>
            </w:pPr>
            <w:r w:rsidRPr="00B94923">
              <w:t>180</w:t>
            </w:r>
          </w:p>
        </w:tc>
        <w:tc>
          <w:tcPr>
            <w:tcW w:w="703" w:type="pct"/>
            <w:tcBorders>
              <w:top w:val="single" w:sz="4" w:space="0" w:color="auto"/>
              <w:bottom w:val="single" w:sz="4" w:space="0" w:color="auto"/>
            </w:tcBorders>
          </w:tcPr>
          <w:p w14:paraId="758579BC" w14:textId="776E2D15" w:rsidR="00A10347" w:rsidRPr="007D727F" w:rsidRDefault="00A10347" w:rsidP="00A10347">
            <w:pPr>
              <w:pStyle w:val="TableText"/>
              <w:jc w:val="right"/>
            </w:pPr>
            <w:r>
              <w:t>186</w:t>
            </w:r>
          </w:p>
        </w:tc>
      </w:tr>
      <w:tr w:rsidR="00A10347" w14:paraId="45D16538" w14:textId="77777777" w:rsidTr="00FE167A">
        <w:tc>
          <w:tcPr>
            <w:tcW w:w="842" w:type="pct"/>
            <w:vMerge/>
          </w:tcPr>
          <w:p w14:paraId="42B3BE2A" w14:textId="77777777" w:rsidR="00A10347" w:rsidRDefault="00A10347" w:rsidP="00A10347">
            <w:pPr>
              <w:pStyle w:val="TableText"/>
            </w:pPr>
          </w:p>
        </w:tc>
        <w:tc>
          <w:tcPr>
            <w:tcW w:w="1550" w:type="pct"/>
            <w:tcBorders>
              <w:top w:val="single" w:sz="4" w:space="0" w:color="auto"/>
              <w:bottom w:val="single" w:sz="4" w:space="0" w:color="auto"/>
            </w:tcBorders>
          </w:tcPr>
          <w:p w14:paraId="04933956" w14:textId="58B45B81" w:rsidR="00A10347" w:rsidRPr="00DC547C" w:rsidRDefault="00A10347" w:rsidP="00A10347">
            <w:pPr>
              <w:pStyle w:val="TableText"/>
            </w:pPr>
            <w:r w:rsidRPr="008F6C3A">
              <w:t>Out-of-office fee on</w:t>
            </w:r>
            <w:r>
              <w:t xml:space="preserve"> a </w:t>
            </w:r>
            <w:r w:rsidRPr="008F6C3A">
              <w:t>weekend or departmental holiday</w:t>
            </w:r>
            <w:r>
              <w:t xml:space="preserve"> after the initial 30-minutes</w:t>
            </w:r>
          </w:p>
        </w:tc>
        <w:tc>
          <w:tcPr>
            <w:tcW w:w="1200" w:type="pct"/>
            <w:tcBorders>
              <w:top w:val="single" w:sz="4" w:space="0" w:color="auto"/>
              <w:bottom w:val="single" w:sz="4" w:space="0" w:color="auto"/>
            </w:tcBorders>
          </w:tcPr>
          <w:p w14:paraId="1F0B572F" w14:textId="0F2062A2" w:rsidR="00A10347" w:rsidRPr="007D727F" w:rsidRDefault="00A10347" w:rsidP="00A10347">
            <w:pPr>
              <w:pStyle w:val="TableText"/>
            </w:pPr>
            <w:r w:rsidRPr="008F6C3A">
              <w:t>Per 15 minutes</w:t>
            </w:r>
            <w:r>
              <w:t xml:space="preserve"> for each person</w:t>
            </w:r>
          </w:p>
        </w:tc>
        <w:tc>
          <w:tcPr>
            <w:tcW w:w="704" w:type="pct"/>
            <w:tcBorders>
              <w:top w:val="single" w:sz="4" w:space="0" w:color="auto"/>
              <w:bottom w:val="single" w:sz="4" w:space="0" w:color="auto"/>
            </w:tcBorders>
          </w:tcPr>
          <w:p w14:paraId="7C579C96" w14:textId="23063F4C" w:rsidR="00A10347" w:rsidRPr="008F6C3A" w:rsidRDefault="00A10347" w:rsidP="00A10347">
            <w:pPr>
              <w:pStyle w:val="TableText"/>
              <w:jc w:val="right"/>
            </w:pPr>
            <w:r>
              <w:t>90</w:t>
            </w:r>
          </w:p>
        </w:tc>
        <w:tc>
          <w:tcPr>
            <w:tcW w:w="703" w:type="pct"/>
            <w:tcBorders>
              <w:top w:val="single" w:sz="4" w:space="0" w:color="auto"/>
              <w:bottom w:val="single" w:sz="4" w:space="0" w:color="auto"/>
            </w:tcBorders>
          </w:tcPr>
          <w:p w14:paraId="111C6FBB" w14:textId="3E3B730B" w:rsidR="00A10347" w:rsidRPr="007D727F" w:rsidRDefault="00A10347" w:rsidP="00A10347">
            <w:pPr>
              <w:pStyle w:val="TableText"/>
              <w:jc w:val="right"/>
            </w:pPr>
            <w:r>
              <w:t>93</w:t>
            </w:r>
          </w:p>
        </w:tc>
      </w:tr>
      <w:tr w:rsidR="00A10347" w14:paraId="1A6F8050" w14:textId="77777777" w:rsidTr="00FE167A">
        <w:tc>
          <w:tcPr>
            <w:tcW w:w="842" w:type="pct"/>
            <w:tcBorders>
              <w:top w:val="single" w:sz="4" w:space="0" w:color="auto"/>
              <w:bottom w:val="single" w:sz="4" w:space="0" w:color="auto"/>
            </w:tcBorders>
          </w:tcPr>
          <w:p w14:paraId="1FFE1C01" w14:textId="04408276" w:rsidR="00A10347" w:rsidRDefault="00A10347" w:rsidP="00A10347">
            <w:pPr>
              <w:pStyle w:val="TableText"/>
            </w:pPr>
            <w:r w:rsidRPr="004019D4">
              <w:t>Fee for service – temporary storage in relation to international travellers and their baggage</w:t>
            </w:r>
          </w:p>
        </w:tc>
        <w:tc>
          <w:tcPr>
            <w:tcW w:w="1550" w:type="pct"/>
            <w:tcBorders>
              <w:top w:val="single" w:sz="4" w:space="0" w:color="auto"/>
              <w:bottom w:val="single" w:sz="4" w:space="0" w:color="auto"/>
            </w:tcBorders>
          </w:tcPr>
          <w:p w14:paraId="72850649" w14:textId="6B4EDDA1" w:rsidR="00A10347" w:rsidRPr="00BE205E" w:rsidRDefault="00A10347" w:rsidP="00A10347">
            <w:pPr>
              <w:pStyle w:val="TableText"/>
            </w:pPr>
            <w:r w:rsidRPr="004019D4">
              <w:t>Temporary storage at premises owned or managed by the Commonwealth, of baggage brought into Australian territory</w:t>
            </w:r>
          </w:p>
        </w:tc>
        <w:tc>
          <w:tcPr>
            <w:tcW w:w="1200" w:type="pct"/>
            <w:tcBorders>
              <w:top w:val="single" w:sz="4" w:space="0" w:color="auto"/>
              <w:bottom w:val="single" w:sz="4" w:space="0" w:color="auto"/>
            </w:tcBorders>
          </w:tcPr>
          <w:p w14:paraId="744F1A00" w14:textId="4B995A7B" w:rsidR="00A10347" w:rsidRPr="00BE205E" w:rsidRDefault="00A10347" w:rsidP="00A10347">
            <w:pPr>
              <w:pStyle w:val="TableText"/>
            </w:pPr>
            <w:r w:rsidRPr="004019D4">
              <w:t>Per 30 days per piece of baggage</w:t>
            </w:r>
          </w:p>
        </w:tc>
        <w:tc>
          <w:tcPr>
            <w:tcW w:w="704" w:type="pct"/>
            <w:tcBorders>
              <w:top w:val="single" w:sz="4" w:space="0" w:color="auto"/>
              <w:bottom w:val="single" w:sz="4" w:space="0" w:color="auto"/>
            </w:tcBorders>
          </w:tcPr>
          <w:p w14:paraId="6F024210" w14:textId="41B6FB49" w:rsidR="00A10347" w:rsidRPr="004019D4" w:rsidRDefault="00A10347" w:rsidP="00A10347">
            <w:pPr>
              <w:pStyle w:val="TableText"/>
              <w:jc w:val="right"/>
            </w:pPr>
            <w:r>
              <w:t>48</w:t>
            </w:r>
          </w:p>
        </w:tc>
        <w:tc>
          <w:tcPr>
            <w:tcW w:w="703" w:type="pct"/>
            <w:tcBorders>
              <w:top w:val="single" w:sz="4" w:space="0" w:color="auto"/>
              <w:bottom w:val="single" w:sz="4" w:space="0" w:color="auto"/>
            </w:tcBorders>
          </w:tcPr>
          <w:p w14:paraId="2738860A" w14:textId="6812BA36" w:rsidR="00A10347" w:rsidRPr="004019D4" w:rsidRDefault="00A10347" w:rsidP="00A10347">
            <w:pPr>
              <w:pStyle w:val="TableText"/>
              <w:jc w:val="right"/>
            </w:pPr>
            <w:r>
              <w:t>50</w:t>
            </w:r>
          </w:p>
        </w:tc>
      </w:tr>
      <w:tr w:rsidR="00A10347" w14:paraId="09760DCC" w14:textId="77777777" w:rsidTr="00FE167A">
        <w:tc>
          <w:tcPr>
            <w:tcW w:w="842" w:type="pct"/>
            <w:vMerge w:val="restart"/>
            <w:tcBorders>
              <w:top w:val="single" w:sz="4" w:space="0" w:color="auto"/>
            </w:tcBorders>
          </w:tcPr>
          <w:p w14:paraId="429A3C87" w14:textId="60B355D3" w:rsidR="00A10347" w:rsidRDefault="00A10347" w:rsidP="00A10347">
            <w:pPr>
              <w:pStyle w:val="TableText"/>
            </w:pPr>
            <w:r w:rsidRPr="00E0488C">
              <w:t>Fee for service – special processing areas, agreed fee in relation to international travellers and their baggage</w:t>
            </w:r>
          </w:p>
        </w:tc>
        <w:tc>
          <w:tcPr>
            <w:tcW w:w="1550" w:type="pct"/>
            <w:tcBorders>
              <w:top w:val="single" w:sz="4" w:space="0" w:color="auto"/>
              <w:bottom w:val="single" w:sz="4" w:space="0" w:color="auto"/>
            </w:tcBorders>
          </w:tcPr>
          <w:p w14:paraId="3210DB1D" w14:textId="5530F73A" w:rsidR="00A10347" w:rsidRPr="00BE205E" w:rsidRDefault="00A10347" w:rsidP="00A10347">
            <w:pPr>
              <w:pStyle w:val="TableText"/>
            </w:pPr>
            <w:r w:rsidRPr="00E0488C">
              <w:t>Any period up to 3 hours during which one or more fee bearing activities are carried out</w:t>
            </w:r>
          </w:p>
        </w:tc>
        <w:tc>
          <w:tcPr>
            <w:tcW w:w="1200" w:type="pct"/>
            <w:tcBorders>
              <w:top w:val="single" w:sz="4" w:space="0" w:color="auto"/>
              <w:bottom w:val="single" w:sz="4" w:space="0" w:color="auto"/>
            </w:tcBorders>
          </w:tcPr>
          <w:p w14:paraId="4BB2B9BB" w14:textId="52807E9E" w:rsidR="00A10347" w:rsidRPr="00BE205E" w:rsidRDefault="00A10347" w:rsidP="00A10347">
            <w:pPr>
              <w:pStyle w:val="TableText"/>
            </w:pPr>
            <w:r w:rsidRPr="00E0488C">
              <w:t xml:space="preserve">First 3 hours for each person carrying out those activities </w:t>
            </w:r>
          </w:p>
        </w:tc>
        <w:tc>
          <w:tcPr>
            <w:tcW w:w="704" w:type="pct"/>
            <w:tcBorders>
              <w:top w:val="single" w:sz="4" w:space="0" w:color="auto"/>
              <w:bottom w:val="single" w:sz="4" w:space="0" w:color="auto"/>
            </w:tcBorders>
          </w:tcPr>
          <w:p w14:paraId="47D98757" w14:textId="23D2ED99" w:rsidR="00A10347" w:rsidRPr="00E0488C" w:rsidRDefault="00A10347" w:rsidP="00A10347">
            <w:pPr>
              <w:pStyle w:val="TableText"/>
            </w:pPr>
            <w:r w:rsidRPr="00E0488C">
              <w:t xml:space="preserve">At least </w:t>
            </w:r>
            <w:r>
              <w:t>550</w:t>
            </w:r>
            <w:r w:rsidRPr="00E0488C">
              <w:t xml:space="preserve"> but not more than 1,</w:t>
            </w:r>
            <w:r>
              <w:t>100</w:t>
            </w:r>
          </w:p>
        </w:tc>
        <w:tc>
          <w:tcPr>
            <w:tcW w:w="703" w:type="pct"/>
            <w:tcBorders>
              <w:top w:val="single" w:sz="4" w:space="0" w:color="auto"/>
              <w:bottom w:val="single" w:sz="4" w:space="0" w:color="auto"/>
            </w:tcBorders>
          </w:tcPr>
          <w:p w14:paraId="0D7F054D" w14:textId="63C5A74B" w:rsidR="00A10347" w:rsidRPr="00E0488C" w:rsidRDefault="00A10347" w:rsidP="00A10347">
            <w:pPr>
              <w:pStyle w:val="TableText"/>
            </w:pPr>
            <w:r w:rsidRPr="00E0488C">
              <w:t xml:space="preserve">At least </w:t>
            </w:r>
            <w:r>
              <w:t>571</w:t>
            </w:r>
            <w:r w:rsidRPr="00E0488C">
              <w:t xml:space="preserve"> but not more than 1,</w:t>
            </w:r>
            <w:r>
              <w:t>142</w:t>
            </w:r>
          </w:p>
        </w:tc>
      </w:tr>
      <w:tr w:rsidR="00A10347" w14:paraId="4590CDDF" w14:textId="77777777" w:rsidTr="00FE167A">
        <w:tc>
          <w:tcPr>
            <w:tcW w:w="842" w:type="pct"/>
            <w:vMerge/>
            <w:tcBorders>
              <w:bottom w:val="single" w:sz="4" w:space="0" w:color="auto"/>
            </w:tcBorders>
          </w:tcPr>
          <w:p w14:paraId="10FBFE97" w14:textId="77777777" w:rsidR="00A10347" w:rsidRDefault="00A10347" w:rsidP="00A10347">
            <w:pPr>
              <w:pStyle w:val="TableText"/>
            </w:pPr>
          </w:p>
        </w:tc>
        <w:tc>
          <w:tcPr>
            <w:tcW w:w="1550" w:type="pct"/>
            <w:tcBorders>
              <w:top w:val="single" w:sz="4" w:space="0" w:color="auto"/>
              <w:bottom w:val="single" w:sz="4" w:space="0" w:color="auto"/>
            </w:tcBorders>
          </w:tcPr>
          <w:p w14:paraId="2E62922A" w14:textId="5D521273" w:rsidR="00A10347" w:rsidRPr="00BE205E" w:rsidRDefault="00A10347" w:rsidP="00A10347">
            <w:pPr>
              <w:pStyle w:val="TableText"/>
            </w:pPr>
            <w:r w:rsidRPr="00E0488C">
              <w:t>Immediately following the first 3 hours during which those activities are carried out</w:t>
            </w:r>
          </w:p>
        </w:tc>
        <w:tc>
          <w:tcPr>
            <w:tcW w:w="1200" w:type="pct"/>
            <w:tcBorders>
              <w:top w:val="single" w:sz="4" w:space="0" w:color="auto"/>
              <w:bottom w:val="single" w:sz="4" w:space="0" w:color="auto"/>
            </w:tcBorders>
          </w:tcPr>
          <w:p w14:paraId="168E2EA6" w14:textId="5F97338A" w:rsidR="00A10347" w:rsidRPr="00BE205E" w:rsidRDefault="00A10347" w:rsidP="00A10347">
            <w:pPr>
              <w:pStyle w:val="TableText"/>
            </w:pPr>
            <w:r w:rsidRPr="00E0488C">
              <w:t>Per 15 minutes immediately following first 3 hours for each person carrying out those activities</w:t>
            </w:r>
          </w:p>
        </w:tc>
        <w:tc>
          <w:tcPr>
            <w:tcW w:w="704" w:type="pct"/>
            <w:tcBorders>
              <w:top w:val="single" w:sz="4" w:space="0" w:color="auto"/>
              <w:bottom w:val="single" w:sz="4" w:space="0" w:color="auto"/>
            </w:tcBorders>
          </w:tcPr>
          <w:p w14:paraId="04BC1377" w14:textId="6DF1C465" w:rsidR="00A10347" w:rsidRPr="00E0488C" w:rsidRDefault="00A10347" w:rsidP="00A10347">
            <w:pPr>
              <w:pStyle w:val="TableText"/>
            </w:pPr>
            <w:r w:rsidRPr="00E0488C">
              <w:t>At least 4</w:t>
            </w:r>
            <w:r>
              <w:t>6</w:t>
            </w:r>
            <w:r w:rsidRPr="00E0488C">
              <w:t xml:space="preserve"> but not more than </w:t>
            </w:r>
            <w:r>
              <w:t>92</w:t>
            </w:r>
            <w:r w:rsidRPr="00E0488C">
              <w:t xml:space="preserve"> </w:t>
            </w:r>
          </w:p>
        </w:tc>
        <w:tc>
          <w:tcPr>
            <w:tcW w:w="703" w:type="pct"/>
            <w:tcBorders>
              <w:top w:val="single" w:sz="4" w:space="0" w:color="auto"/>
              <w:bottom w:val="single" w:sz="4" w:space="0" w:color="auto"/>
            </w:tcBorders>
          </w:tcPr>
          <w:p w14:paraId="27043C57" w14:textId="688F6D4F" w:rsidR="00A10347" w:rsidRPr="00E0488C" w:rsidRDefault="00A10347" w:rsidP="00A10347">
            <w:pPr>
              <w:pStyle w:val="TableText"/>
            </w:pPr>
            <w:r w:rsidRPr="00E0488C">
              <w:t>At least 4</w:t>
            </w:r>
            <w:r>
              <w:t>8</w:t>
            </w:r>
            <w:r w:rsidRPr="00E0488C">
              <w:t xml:space="preserve"> but not more than </w:t>
            </w:r>
            <w:r>
              <w:t>95</w:t>
            </w:r>
          </w:p>
        </w:tc>
      </w:tr>
      <w:tr w:rsidR="00A10347" w14:paraId="302E6108" w14:textId="77777777" w:rsidTr="00C65429">
        <w:tc>
          <w:tcPr>
            <w:tcW w:w="842" w:type="pct"/>
            <w:vMerge w:val="restart"/>
            <w:tcBorders>
              <w:top w:val="single" w:sz="4" w:space="0" w:color="auto"/>
            </w:tcBorders>
          </w:tcPr>
          <w:p w14:paraId="5F36C4E4" w14:textId="37EEDFBD" w:rsidR="00A10347" w:rsidRDefault="00A10347" w:rsidP="00A10347">
            <w:pPr>
              <w:pStyle w:val="TableText"/>
            </w:pPr>
            <w:r w:rsidRPr="00CD75FE">
              <w:t>Fee for service – husbandry</w:t>
            </w:r>
          </w:p>
        </w:tc>
        <w:tc>
          <w:tcPr>
            <w:tcW w:w="1550" w:type="pct"/>
            <w:tcBorders>
              <w:top w:val="single" w:sz="4" w:space="0" w:color="auto"/>
              <w:bottom w:val="single" w:sz="4" w:space="0" w:color="auto"/>
            </w:tcBorders>
            <w:shd w:val="clear" w:color="auto" w:fill="D9D9D9" w:themeFill="background1" w:themeFillShade="D9"/>
          </w:tcPr>
          <w:p w14:paraId="532C59B6" w14:textId="309AAA08" w:rsidR="00A10347" w:rsidRPr="00F660C7" w:rsidRDefault="00A10347" w:rsidP="00A10347">
            <w:pPr>
              <w:pStyle w:val="TableText"/>
              <w:rPr>
                <w:b/>
                <w:bCs/>
              </w:rPr>
            </w:pPr>
            <w:r w:rsidRPr="00F660C7">
              <w:rPr>
                <w:b/>
                <w:bCs/>
              </w:rPr>
              <w:t>Husbandry fee – horses that overstay the initial 14-day period</w:t>
            </w:r>
          </w:p>
        </w:tc>
        <w:tc>
          <w:tcPr>
            <w:tcW w:w="1200" w:type="pct"/>
            <w:tcBorders>
              <w:top w:val="single" w:sz="4" w:space="0" w:color="auto"/>
              <w:bottom w:val="single" w:sz="4" w:space="0" w:color="auto"/>
            </w:tcBorders>
            <w:shd w:val="clear" w:color="auto" w:fill="D9D9D9" w:themeFill="background1" w:themeFillShade="D9"/>
          </w:tcPr>
          <w:p w14:paraId="677A70C2" w14:textId="3B54589B" w:rsidR="00A10347" w:rsidRPr="00F660C7" w:rsidRDefault="00A10347" w:rsidP="00A10347">
            <w:pPr>
              <w:pStyle w:val="TableText"/>
              <w:rPr>
                <w:b/>
                <w:bCs/>
              </w:rPr>
            </w:pPr>
            <w:r w:rsidRPr="00F660C7">
              <w:rPr>
                <w:b/>
                <w:bCs/>
              </w:rPr>
              <w:t>Per animal per day over 14 days</w:t>
            </w:r>
          </w:p>
        </w:tc>
        <w:tc>
          <w:tcPr>
            <w:tcW w:w="704" w:type="pct"/>
            <w:tcBorders>
              <w:top w:val="single" w:sz="4" w:space="0" w:color="auto"/>
              <w:bottom w:val="single" w:sz="4" w:space="0" w:color="auto"/>
            </w:tcBorders>
            <w:shd w:val="clear" w:color="auto" w:fill="D9D9D9" w:themeFill="background1" w:themeFillShade="D9"/>
          </w:tcPr>
          <w:p w14:paraId="39AEA09F" w14:textId="6F085146" w:rsidR="00A10347" w:rsidRPr="00F660C7" w:rsidRDefault="00A10347" w:rsidP="00A10347">
            <w:pPr>
              <w:pStyle w:val="TableText"/>
              <w:jc w:val="right"/>
              <w:rPr>
                <w:b/>
                <w:bCs/>
              </w:rPr>
            </w:pPr>
            <w:r w:rsidRPr="00F660C7">
              <w:rPr>
                <w:b/>
                <w:bCs/>
              </w:rPr>
              <w:t>47</w:t>
            </w:r>
          </w:p>
        </w:tc>
        <w:tc>
          <w:tcPr>
            <w:tcW w:w="703" w:type="pct"/>
            <w:tcBorders>
              <w:top w:val="single" w:sz="4" w:space="0" w:color="auto"/>
              <w:bottom w:val="single" w:sz="4" w:space="0" w:color="auto"/>
            </w:tcBorders>
            <w:shd w:val="clear" w:color="auto" w:fill="D9D9D9" w:themeFill="background1" w:themeFillShade="D9"/>
          </w:tcPr>
          <w:p w14:paraId="4C8C96FF" w14:textId="4624B3EF" w:rsidR="00A10347" w:rsidRPr="00F660C7" w:rsidRDefault="00A10347" w:rsidP="00A10347">
            <w:pPr>
              <w:pStyle w:val="TableText"/>
              <w:rPr>
                <w:b/>
                <w:bCs/>
              </w:rPr>
            </w:pPr>
            <w:r>
              <w:rPr>
                <w:b/>
                <w:bCs/>
              </w:rPr>
              <w:t xml:space="preserve">Proposed to remove fee </w:t>
            </w:r>
          </w:p>
        </w:tc>
      </w:tr>
      <w:tr w:rsidR="00A10347" w14:paraId="526C3821" w14:textId="77777777" w:rsidTr="00FE167A">
        <w:tc>
          <w:tcPr>
            <w:tcW w:w="842" w:type="pct"/>
            <w:vMerge/>
          </w:tcPr>
          <w:p w14:paraId="7E4D410D" w14:textId="77777777" w:rsidR="00A10347" w:rsidRDefault="00A10347" w:rsidP="00A10347">
            <w:pPr>
              <w:pStyle w:val="TableText"/>
            </w:pPr>
          </w:p>
        </w:tc>
        <w:tc>
          <w:tcPr>
            <w:tcW w:w="1550" w:type="pct"/>
            <w:tcBorders>
              <w:top w:val="single" w:sz="4" w:space="0" w:color="auto"/>
              <w:bottom w:val="single" w:sz="4" w:space="0" w:color="auto"/>
            </w:tcBorders>
          </w:tcPr>
          <w:p w14:paraId="74C5850F" w14:textId="5D5E40B3" w:rsidR="00A10347" w:rsidRPr="00BE205E" w:rsidRDefault="00A10347" w:rsidP="00A10347">
            <w:pPr>
              <w:pStyle w:val="TableText"/>
            </w:pPr>
            <w:r w:rsidRPr="00CD75FE">
              <w:t>Husbandry fee – ruminants</w:t>
            </w:r>
          </w:p>
        </w:tc>
        <w:tc>
          <w:tcPr>
            <w:tcW w:w="1200" w:type="pct"/>
            <w:tcBorders>
              <w:top w:val="single" w:sz="4" w:space="0" w:color="auto"/>
              <w:bottom w:val="single" w:sz="4" w:space="0" w:color="auto"/>
            </w:tcBorders>
          </w:tcPr>
          <w:p w14:paraId="588E7BAC" w14:textId="03E4F470" w:rsidR="00A10347" w:rsidRPr="00BE205E" w:rsidRDefault="00A10347" w:rsidP="00A10347">
            <w:pPr>
              <w:pStyle w:val="TableText"/>
            </w:pPr>
            <w:r w:rsidRPr="00CD75FE">
              <w:t>Per animal per day</w:t>
            </w:r>
          </w:p>
        </w:tc>
        <w:tc>
          <w:tcPr>
            <w:tcW w:w="704" w:type="pct"/>
            <w:tcBorders>
              <w:top w:val="single" w:sz="4" w:space="0" w:color="auto"/>
              <w:bottom w:val="single" w:sz="4" w:space="0" w:color="auto"/>
            </w:tcBorders>
          </w:tcPr>
          <w:p w14:paraId="7BF685EE" w14:textId="2D22CA90" w:rsidR="00A10347" w:rsidRPr="00CD75FE" w:rsidRDefault="00A10347" w:rsidP="00A10347">
            <w:pPr>
              <w:pStyle w:val="TableText"/>
              <w:jc w:val="right"/>
            </w:pPr>
            <w:r>
              <w:t>108</w:t>
            </w:r>
          </w:p>
        </w:tc>
        <w:tc>
          <w:tcPr>
            <w:tcW w:w="703" w:type="pct"/>
            <w:tcBorders>
              <w:top w:val="single" w:sz="4" w:space="0" w:color="auto"/>
              <w:bottom w:val="single" w:sz="4" w:space="0" w:color="auto"/>
            </w:tcBorders>
          </w:tcPr>
          <w:p w14:paraId="63872952" w14:textId="645F23CD" w:rsidR="00A10347" w:rsidRPr="00CD75FE" w:rsidRDefault="00A10347" w:rsidP="00A10347">
            <w:pPr>
              <w:pStyle w:val="TableText"/>
              <w:jc w:val="right"/>
            </w:pPr>
            <w:r>
              <w:t>112</w:t>
            </w:r>
          </w:p>
        </w:tc>
      </w:tr>
      <w:tr w:rsidR="00A10347" w14:paraId="5903DF95" w14:textId="77777777" w:rsidTr="00FE167A">
        <w:tc>
          <w:tcPr>
            <w:tcW w:w="842" w:type="pct"/>
            <w:vMerge/>
          </w:tcPr>
          <w:p w14:paraId="6DF2D1AA" w14:textId="77777777" w:rsidR="00A10347" w:rsidRDefault="00A10347" w:rsidP="00A10347">
            <w:pPr>
              <w:pStyle w:val="TableText"/>
            </w:pPr>
          </w:p>
        </w:tc>
        <w:tc>
          <w:tcPr>
            <w:tcW w:w="1550" w:type="pct"/>
            <w:tcBorders>
              <w:top w:val="single" w:sz="4" w:space="0" w:color="auto"/>
              <w:bottom w:val="single" w:sz="4" w:space="0" w:color="auto"/>
            </w:tcBorders>
          </w:tcPr>
          <w:p w14:paraId="17625308" w14:textId="48DBD920" w:rsidR="00A10347" w:rsidRPr="00CD75FE" w:rsidRDefault="00A10347" w:rsidP="00A10347">
            <w:pPr>
              <w:pStyle w:val="TableText"/>
            </w:pPr>
            <w:r w:rsidRPr="00CD75FE">
              <w:t>Husbandry fee – bees</w:t>
            </w:r>
          </w:p>
        </w:tc>
        <w:tc>
          <w:tcPr>
            <w:tcW w:w="1200" w:type="pct"/>
            <w:tcBorders>
              <w:top w:val="single" w:sz="4" w:space="0" w:color="auto"/>
              <w:bottom w:val="single" w:sz="4" w:space="0" w:color="auto"/>
            </w:tcBorders>
          </w:tcPr>
          <w:p w14:paraId="32181F84" w14:textId="35258435" w:rsidR="00A10347" w:rsidRPr="00CD75FE" w:rsidRDefault="00A10347" w:rsidP="00A10347">
            <w:pPr>
              <w:pStyle w:val="TableText"/>
            </w:pPr>
            <w:r w:rsidRPr="00CD75FE">
              <w:t>Per bee consignment monthly</w:t>
            </w:r>
          </w:p>
        </w:tc>
        <w:tc>
          <w:tcPr>
            <w:tcW w:w="704" w:type="pct"/>
            <w:tcBorders>
              <w:top w:val="single" w:sz="4" w:space="0" w:color="auto"/>
              <w:bottom w:val="single" w:sz="4" w:space="0" w:color="auto"/>
            </w:tcBorders>
          </w:tcPr>
          <w:p w14:paraId="25F6FB51" w14:textId="68A036BC" w:rsidR="00A10347" w:rsidRPr="00CD75FE" w:rsidRDefault="00A10347" w:rsidP="00A10347">
            <w:pPr>
              <w:pStyle w:val="TableText"/>
              <w:jc w:val="right"/>
            </w:pPr>
            <w:r>
              <w:t>500</w:t>
            </w:r>
          </w:p>
        </w:tc>
        <w:tc>
          <w:tcPr>
            <w:tcW w:w="703" w:type="pct"/>
            <w:tcBorders>
              <w:top w:val="single" w:sz="4" w:space="0" w:color="auto"/>
              <w:bottom w:val="single" w:sz="4" w:space="0" w:color="auto"/>
            </w:tcBorders>
          </w:tcPr>
          <w:p w14:paraId="627DDAFA" w14:textId="6DC82069" w:rsidR="00A10347" w:rsidRPr="00CD75FE" w:rsidRDefault="00A10347" w:rsidP="00A10347">
            <w:pPr>
              <w:pStyle w:val="TableText"/>
              <w:jc w:val="right"/>
            </w:pPr>
            <w:r>
              <w:t>519</w:t>
            </w:r>
          </w:p>
        </w:tc>
      </w:tr>
      <w:tr w:rsidR="00A10347" w14:paraId="18FCCCF9" w14:textId="77777777" w:rsidTr="00A10347">
        <w:tc>
          <w:tcPr>
            <w:tcW w:w="842" w:type="pct"/>
            <w:vMerge/>
          </w:tcPr>
          <w:p w14:paraId="4FB8CCD6" w14:textId="77777777" w:rsidR="00A10347" w:rsidRDefault="00A10347" w:rsidP="00A10347">
            <w:pPr>
              <w:pStyle w:val="TableText"/>
            </w:pPr>
          </w:p>
        </w:tc>
        <w:tc>
          <w:tcPr>
            <w:tcW w:w="1550" w:type="pct"/>
            <w:tcBorders>
              <w:top w:val="single" w:sz="4" w:space="0" w:color="auto"/>
              <w:bottom w:val="single" w:sz="4" w:space="0" w:color="auto"/>
            </w:tcBorders>
            <w:shd w:val="clear" w:color="auto" w:fill="D9D9D9" w:themeFill="background1" w:themeFillShade="D9"/>
          </w:tcPr>
          <w:p w14:paraId="58D00DC9" w14:textId="5B5DEFB1" w:rsidR="00A10347" w:rsidRPr="00A10347" w:rsidRDefault="00A10347" w:rsidP="00A10347">
            <w:pPr>
              <w:pStyle w:val="TableText"/>
              <w:rPr>
                <w:b/>
                <w:bCs/>
                <w:color w:val="auto"/>
                <w:sz w:val="20"/>
                <w:szCs w:val="20"/>
              </w:rPr>
            </w:pPr>
            <w:r w:rsidRPr="00A10347">
              <w:rPr>
                <w:b/>
                <w:bCs/>
                <w:color w:val="auto"/>
                <w:sz w:val="20"/>
                <w:szCs w:val="20"/>
              </w:rPr>
              <w:t>Husbandry fee – live snails</w:t>
            </w:r>
          </w:p>
          <w:p w14:paraId="7F9715F7" w14:textId="77777777" w:rsidR="00A10347" w:rsidRPr="00A10347" w:rsidRDefault="00A10347" w:rsidP="00A10347">
            <w:pPr>
              <w:pStyle w:val="TableText"/>
              <w:rPr>
                <w:b/>
                <w:bCs/>
                <w:color w:val="auto"/>
              </w:rPr>
            </w:pPr>
          </w:p>
        </w:tc>
        <w:tc>
          <w:tcPr>
            <w:tcW w:w="1200" w:type="pct"/>
            <w:tcBorders>
              <w:top w:val="single" w:sz="4" w:space="0" w:color="auto"/>
              <w:bottom w:val="single" w:sz="4" w:space="0" w:color="auto"/>
            </w:tcBorders>
            <w:shd w:val="clear" w:color="auto" w:fill="D9D9D9" w:themeFill="background1" w:themeFillShade="D9"/>
          </w:tcPr>
          <w:p w14:paraId="623297F8" w14:textId="44C62099" w:rsidR="00A10347" w:rsidRPr="00A10347" w:rsidRDefault="00A10347" w:rsidP="00A10347">
            <w:pPr>
              <w:pStyle w:val="TableText"/>
              <w:rPr>
                <w:b/>
                <w:bCs/>
                <w:color w:val="auto"/>
              </w:rPr>
            </w:pPr>
            <w:r w:rsidRPr="00A10347">
              <w:rPr>
                <w:b/>
                <w:bCs/>
                <w:color w:val="auto"/>
                <w:sz w:val="20"/>
                <w:szCs w:val="20"/>
              </w:rPr>
              <w:t xml:space="preserve">Per calendar month or part thereof, </w:t>
            </w:r>
            <w:r>
              <w:rPr>
                <w:b/>
                <w:bCs/>
                <w:color w:val="auto"/>
                <w:sz w:val="20"/>
                <w:szCs w:val="20"/>
              </w:rPr>
              <w:t>per</w:t>
            </w:r>
            <w:r w:rsidRPr="00A10347">
              <w:rPr>
                <w:b/>
                <w:bCs/>
                <w:color w:val="auto"/>
                <w:sz w:val="20"/>
                <w:szCs w:val="20"/>
              </w:rPr>
              <w:t xml:space="preserve"> consignment </w:t>
            </w:r>
          </w:p>
        </w:tc>
        <w:tc>
          <w:tcPr>
            <w:tcW w:w="704" w:type="pct"/>
            <w:tcBorders>
              <w:top w:val="single" w:sz="4" w:space="0" w:color="auto"/>
              <w:bottom w:val="single" w:sz="4" w:space="0" w:color="auto"/>
            </w:tcBorders>
            <w:shd w:val="clear" w:color="auto" w:fill="D9D9D9" w:themeFill="background1" w:themeFillShade="D9"/>
          </w:tcPr>
          <w:p w14:paraId="49FCED05" w14:textId="3399335E" w:rsidR="00A10347" w:rsidRPr="00A10347" w:rsidRDefault="00A10347" w:rsidP="00A10347">
            <w:pPr>
              <w:pStyle w:val="TableText"/>
              <w:rPr>
                <w:b/>
                <w:bCs/>
                <w:color w:val="auto"/>
              </w:rPr>
            </w:pPr>
            <w:r w:rsidRPr="00A742FE">
              <w:rPr>
                <w:b/>
                <w:bCs/>
              </w:rPr>
              <w:t xml:space="preserve">New </w:t>
            </w:r>
            <w:r>
              <w:rPr>
                <w:b/>
                <w:bCs/>
              </w:rPr>
              <w:t>fee</w:t>
            </w:r>
            <w:r w:rsidRPr="00A742FE">
              <w:rPr>
                <w:b/>
                <w:bCs/>
              </w:rPr>
              <w:t xml:space="preserve"> proposed to commence 1 July 2026</w:t>
            </w:r>
          </w:p>
        </w:tc>
        <w:tc>
          <w:tcPr>
            <w:tcW w:w="703" w:type="pct"/>
            <w:tcBorders>
              <w:top w:val="single" w:sz="4" w:space="0" w:color="auto"/>
              <w:bottom w:val="single" w:sz="4" w:space="0" w:color="auto"/>
            </w:tcBorders>
            <w:shd w:val="clear" w:color="auto" w:fill="D9D9D9" w:themeFill="background1" w:themeFillShade="D9"/>
          </w:tcPr>
          <w:p w14:paraId="071DB030" w14:textId="25F23C7C" w:rsidR="00A10347" w:rsidRPr="00A10347" w:rsidRDefault="00A10347" w:rsidP="00A10347">
            <w:pPr>
              <w:pStyle w:val="TableText"/>
              <w:jc w:val="right"/>
              <w:rPr>
                <w:color w:val="auto"/>
              </w:rPr>
            </w:pPr>
            <w:r w:rsidRPr="00A10347">
              <w:rPr>
                <w:b/>
                <w:bCs/>
                <w:color w:val="auto"/>
                <w:sz w:val="20"/>
                <w:szCs w:val="20"/>
              </w:rPr>
              <w:t>2</w:t>
            </w:r>
            <w:r w:rsidR="00D92293">
              <w:rPr>
                <w:b/>
                <w:bCs/>
                <w:color w:val="auto"/>
                <w:sz w:val="20"/>
                <w:szCs w:val="20"/>
              </w:rPr>
              <w:t>,</w:t>
            </w:r>
            <w:r w:rsidRPr="00A10347">
              <w:rPr>
                <w:b/>
                <w:bCs/>
                <w:color w:val="auto"/>
                <w:sz w:val="20"/>
                <w:szCs w:val="20"/>
              </w:rPr>
              <w:t>470</w:t>
            </w:r>
          </w:p>
        </w:tc>
      </w:tr>
      <w:tr w:rsidR="00A10347" w14:paraId="0C6E89A0" w14:textId="77777777" w:rsidTr="00A10347">
        <w:tc>
          <w:tcPr>
            <w:tcW w:w="842" w:type="pct"/>
            <w:vMerge/>
          </w:tcPr>
          <w:p w14:paraId="082B0791" w14:textId="77777777" w:rsidR="00A10347" w:rsidRDefault="00A10347" w:rsidP="00A10347">
            <w:pPr>
              <w:pStyle w:val="TableText"/>
            </w:pPr>
          </w:p>
        </w:tc>
        <w:tc>
          <w:tcPr>
            <w:tcW w:w="1550" w:type="pct"/>
            <w:tcBorders>
              <w:top w:val="single" w:sz="4" w:space="0" w:color="auto"/>
              <w:bottom w:val="single" w:sz="4" w:space="0" w:color="auto"/>
            </w:tcBorders>
            <w:shd w:val="clear" w:color="auto" w:fill="D9D9D9" w:themeFill="background1" w:themeFillShade="D9"/>
          </w:tcPr>
          <w:p w14:paraId="75CDF3C1" w14:textId="77596570" w:rsidR="00A10347" w:rsidRPr="00A10347" w:rsidRDefault="00A10347" w:rsidP="00A10347">
            <w:pPr>
              <w:pStyle w:val="TableText"/>
              <w:rPr>
                <w:b/>
                <w:bCs/>
                <w:color w:val="auto"/>
              </w:rPr>
            </w:pPr>
            <w:r w:rsidRPr="00A10347">
              <w:rPr>
                <w:b/>
                <w:bCs/>
                <w:color w:val="auto"/>
              </w:rPr>
              <w:t>Husbandry fee – avian (consignment of birds)</w:t>
            </w:r>
          </w:p>
        </w:tc>
        <w:tc>
          <w:tcPr>
            <w:tcW w:w="1200" w:type="pct"/>
            <w:tcBorders>
              <w:top w:val="single" w:sz="4" w:space="0" w:color="auto"/>
              <w:bottom w:val="single" w:sz="4" w:space="0" w:color="auto"/>
            </w:tcBorders>
            <w:shd w:val="clear" w:color="auto" w:fill="D9D9D9" w:themeFill="background1" w:themeFillShade="D9"/>
          </w:tcPr>
          <w:p w14:paraId="790D2826" w14:textId="288B362E" w:rsidR="00A10347" w:rsidRPr="00A10347" w:rsidRDefault="00A10347" w:rsidP="00A10347">
            <w:pPr>
              <w:pStyle w:val="TableText"/>
              <w:rPr>
                <w:b/>
                <w:bCs/>
                <w:color w:val="auto"/>
              </w:rPr>
            </w:pPr>
            <w:r w:rsidRPr="00A10347">
              <w:rPr>
                <w:b/>
                <w:bCs/>
                <w:color w:val="auto"/>
              </w:rPr>
              <w:t>Proposed to amend ‘per consignment’ to ‘per biocontainment unit’ per day</w:t>
            </w:r>
          </w:p>
        </w:tc>
        <w:tc>
          <w:tcPr>
            <w:tcW w:w="704" w:type="pct"/>
            <w:tcBorders>
              <w:top w:val="single" w:sz="4" w:space="0" w:color="auto"/>
              <w:bottom w:val="single" w:sz="4" w:space="0" w:color="auto"/>
            </w:tcBorders>
            <w:shd w:val="clear" w:color="auto" w:fill="D9D9D9" w:themeFill="background1" w:themeFillShade="D9"/>
          </w:tcPr>
          <w:p w14:paraId="0F27959A" w14:textId="6560B3DE" w:rsidR="00A10347" w:rsidRPr="00A10347" w:rsidRDefault="00A10347" w:rsidP="00A10347">
            <w:pPr>
              <w:pStyle w:val="TableText"/>
              <w:jc w:val="right"/>
              <w:rPr>
                <w:b/>
                <w:bCs/>
                <w:color w:val="auto"/>
              </w:rPr>
            </w:pPr>
            <w:r w:rsidRPr="00A10347">
              <w:rPr>
                <w:b/>
                <w:bCs/>
                <w:color w:val="auto"/>
              </w:rPr>
              <w:t>60</w:t>
            </w:r>
          </w:p>
        </w:tc>
        <w:tc>
          <w:tcPr>
            <w:tcW w:w="703" w:type="pct"/>
            <w:tcBorders>
              <w:top w:val="single" w:sz="4" w:space="0" w:color="auto"/>
              <w:bottom w:val="single" w:sz="4" w:space="0" w:color="auto"/>
            </w:tcBorders>
            <w:shd w:val="clear" w:color="auto" w:fill="D9D9D9" w:themeFill="background1" w:themeFillShade="D9"/>
          </w:tcPr>
          <w:p w14:paraId="08CA2F85" w14:textId="7EEF699A" w:rsidR="00A10347" w:rsidRPr="00A10347" w:rsidRDefault="00A10347" w:rsidP="00A10347">
            <w:pPr>
              <w:pStyle w:val="TableText"/>
              <w:jc w:val="right"/>
              <w:rPr>
                <w:b/>
                <w:bCs/>
                <w:color w:val="auto"/>
              </w:rPr>
            </w:pPr>
            <w:r w:rsidRPr="00A10347">
              <w:rPr>
                <w:b/>
                <w:bCs/>
                <w:color w:val="auto"/>
              </w:rPr>
              <w:t>62</w:t>
            </w:r>
          </w:p>
        </w:tc>
      </w:tr>
      <w:tr w:rsidR="00A10347" w14:paraId="1017E8B9" w14:textId="77777777" w:rsidTr="00A10347">
        <w:tc>
          <w:tcPr>
            <w:tcW w:w="842" w:type="pct"/>
            <w:vMerge/>
          </w:tcPr>
          <w:p w14:paraId="2064F0F0" w14:textId="77777777" w:rsidR="00A10347" w:rsidRDefault="00A10347" w:rsidP="00A10347">
            <w:pPr>
              <w:pStyle w:val="TableText"/>
            </w:pPr>
          </w:p>
        </w:tc>
        <w:tc>
          <w:tcPr>
            <w:tcW w:w="1550" w:type="pct"/>
            <w:tcBorders>
              <w:top w:val="single" w:sz="4" w:space="0" w:color="auto"/>
              <w:bottom w:val="single" w:sz="4" w:space="0" w:color="auto"/>
            </w:tcBorders>
            <w:shd w:val="clear" w:color="auto" w:fill="D9D9D9" w:themeFill="background1" w:themeFillShade="D9"/>
          </w:tcPr>
          <w:p w14:paraId="5B7BE441" w14:textId="6A33E647" w:rsidR="00A10347" w:rsidRPr="00A10347" w:rsidRDefault="00A10347" w:rsidP="00A10347">
            <w:pPr>
              <w:pStyle w:val="TableText"/>
              <w:rPr>
                <w:b/>
                <w:bCs/>
                <w:color w:val="auto"/>
              </w:rPr>
            </w:pPr>
            <w:r w:rsidRPr="00A10347">
              <w:rPr>
                <w:b/>
                <w:bCs/>
                <w:color w:val="auto"/>
              </w:rPr>
              <w:t>Husbandry fee – avian (eggs for hatching)</w:t>
            </w:r>
          </w:p>
        </w:tc>
        <w:tc>
          <w:tcPr>
            <w:tcW w:w="1200" w:type="pct"/>
            <w:tcBorders>
              <w:top w:val="single" w:sz="4" w:space="0" w:color="auto"/>
              <w:bottom w:val="single" w:sz="4" w:space="0" w:color="auto"/>
            </w:tcBorders>
            <w:shd w:val="clear" w:color="auto" w:fill="D9D9D9" w:themeFill="background1" w:themeFillShade="D9"/>
          </w:tcPr>
          <w:p w14:paraId="3AF06CE0" w14:textId="5C85D115" w:rsidR="00A10347" w:rsidRPr="00A10347" w:rsidRDefault="00A10347" w:rsidP="00A10347">
            <w:pPr>
              <w:pStyle w:val="TableText"/>
              <w:rPr>
                <w:b/>
                <w:bCs/>
                <w:color w:val="auto"/>
              </w:rPr>
            </w:pPr>
            <w:r w:rsidRPr="00A10347">
              <w:rPr>
                <w:b/>
                <w:bCs/>
                <w:color w:val="auto"/>
              </w:rPr>
              <w:t>Proposed to amend ‘per consignment’ to ‘per biocontainment unit’ per day</w:t>
            </w:r>
          </w:p>
        </w:tc>
        <w:tc>
          <w:tcPr>
            <w:tcW w:w="704" w:type="pct"/>
            <w:tcBorders>
              <w:top w:val="single" w:sz="4" w:space="0" w:color="auto"/>
              <w:bottom w:val="single" w:sz="4" w:space="0" w:color="auto"/>
            </w:tcBorders>
            <w:shd w:val="clear" w:color="auto" w:fill="D9D9D9" w:themeFill="background1" w:themeFillShade="D9"/>
          </w:tcPr>
          <w:p w14:paraId="0FE9725A" w14:textId="49E1493A" w:rsidR="00A10347" w:rsidRPr="00A10347" w:rsidRDefault="00A10347" w:rsidP="00A10347">
            <w:pPr>
              <w:pStyle w:val="TableText"/>
              <w:jc w:val="right"/>
              <w:rPr>
                <w:b/>
                <w:bCs/>
                <w:color w:val="auto"/>
              </w:rPr>
            </w:pPr>
            <w:r w:rsidRPr="00A10347">
              <w:rPr>
                <w:b/>
                <w:bCs/>
                <w:color w:val="auto"/>
              </w:rPr>
              <w:t>81</w:t>
            </w:r>
          </w:p>
        </w:tc>
        <w:tc>
          <w:tcPr>
            <w:tcW w:w="703" w:type="pct"/>
            <w:tcBorders>
              <w:top w:val="single" w:sz="4" w:space="0" w:color="auto"/>
              <w:bottom w:val="single" w:sz="4" w:space="0" w:color="auto"/>
            </w:tcBorders>
            <w:shd w:val="clear" w:color="auto" w:fill="D9D9D9" w:themeFill="background1" w:themeFillShade="D9"/>
          </w:tcPr>
          <w:p w14:paraId="69B298F9" w14:textId="46DDA4CC" w:rsidR="00A10347" w:rsidRPr="00A10347" w:rsidRDefault="00A10347" w:rsidP="00A10347">
            <w:pPr>
              <w:pStyle w:val="TableText"/>
              <w:jc w:val="right"/>
              <w:rPr>
                <w:b/>
                <w:bCs/>
                <w:color w:val="auto"/>
              </w:rPr>
            </w:pPr>
            <w:r w:rsidRPr="00A10347">
              <w:rPr>
                <w:b/>
                <w:bCs/>
                <w:color w:val="auto"/>
              </w:rPr>
              <w:t>84</w:t>
            </w:r>
          </w:p>
        </w:tc>
      </w:tr>
      <w:tr w:rsidR="00A10347" w14:paraId="1C6B445C" w14:textId="77777777" w:rsidTr="00FE167A">
        <w:tc>
          <w:tcPr>
            <w:tcW w:w="842" w:type="pct"/>
            <w:vMerge/>
            <w:tcBorders>
              <w:bottom w:val="single" w:sz="4" w:space="0" w:color="auto"/>
            </w:tcBorders>
          </w:tcPr>
          <w:p w14:paraId="0047B06B" w14:textId="77777777" w:rsidR="00A10347" w:rsidRDefault="00A10347" w:rsidP="00A10347">
            <w:pPr>
              <w:pStyle w:val="TableText"/>
            </w:pPr>
          </w:p>
        </w:tc>
        <w:tc>
          <w:tcPr>
            <w:tcW w:w="1550" w:type="pct"/>
            <w:tcBorders>
              <w:top w:val="single" w:sz="4" w:space="0" w:color="auto"/>
              <w:bottom w:val="single" w:sz="4" w:space="0" w:color="auto"/>
            </w:tcBorders>
          </w:tcPr>
          <w:p w14:paraId="5947969E" w14:textId="7E74D167" w:rsidR="00A10347" w:rsidRPr="00BE205E" w:rsidRDefault="00A10347" w:rsidP="00A10347">
            <w:pPr>
              <w:pStyle w:val="TableText"/>
            </w:pPr>
            <w:r w:rsidRPr="00CD75FE">
              <w:t>Husbandry fee – plants</w:t>
            </w:r>
          </w:p>
        </w:tc>
        <w:tc>
          <w:tcPr>
            <w:tcW w:w="1200" w:type="pct"/>
            <w:tcBorders>
              <w:top w:val="single" w:sz="4" w:space="0" w:color="auto"/>
              <w:bottom w:val="single" w:sz="4" w:space="0" w:color="auto"/>
            </w:tcBorders>
          </w:tcPr>
          <w:p w14:paraId="2A6A0983" w14:textId="62925D38" w:rsidR="00A10347" w:rsidRPr="00BE205E" w:rsidRDefault="00A10347" w:rsidP="00A10347">
            <w:pPr>
              <w:pStyle w:val="TableText"/>
            </w:pPr>
            <w:r w:rsidRPr="00CD75FE">
              <w:t>Per m</w:t>
            </w:r>
            <w:r w:rsidRPr="00F17081">
              <w:rPr>
                <w:vertAlign w:val="superscript"/>
              </w:rPr>
              <w:t>2</w:t>
            </w:r>
            <w:r w:rsidRPr="00CD75FE">
              <w:t xml:space="preserve"> per month</w:t>
            </w:r>
          </w:p>
        </w:tc>
        <w:tc>
          <w:tcPr>
            <w:tcW w:w="704" w:type="pct"/>
            <w:tcBorders>
              <w:top w:val="single" w:sz="4" w:space="0" w:color="auto"/>
              <w:bottom w:val="single" w:sz="4" w:space="0" w:color="auto"/>
            </w:tcBorders>
          </w:tcPr>
          <w:p w14:paraId="3B3426C7" w14:textId="62C32064" w:rsidR="00A10347" w:rsidRPr="00CD75FE" w:rsidRDefault="00A10347" w:rsidP="00A10347">
            <w:pPr>
              <w:pStyle w:val="TableText"/>
              <w:jc w:val="right"/>
            </w:pPr>
            <w:r w:rsidRPr="00CD75FE">
              <w:t>6</w:t>
            </w:r>
            <w:r>
              <w:t>3</w:t>
            </w:r>
          </w:p>
        </w:tc>
        <w:tc>
          <w:tcPr>
            <w:tcW w:w="703" w:type="pct"/>
            <w:tcBorders>
              <w:top w:val="single" w:sz="4" w:space="0" w:color="auto"/>
              <w:bottom w:val="single" w:sz="4" w:space="0" w:color="auto"/>
            </w:tcBorders>
          </w:tcPr>
          <w:p w14:paraId="32825B4B" w14:textId="25C5FB0F" w:rsidR="00A10347" w:rsidRPr="00CD75FE" w:rsidRDefault="00A10347" w:rsidP="00A10347">
            <w:pPr>
              <w:pStyle w:val="TableText"/>
              <w:jc w:val="right"/>
            </w:pPr>
            <w:r>
              <w:t>65</w:t>
            </w:r>
          </w:p>
        </w:tc>
      </w:tr>
      <w:tr w:rsidR="00A10347" w14:paraId="7346F253" w14:textId="77777777" w:rsidTr="00FE167A">
        <w:tc>
          <w:tcPr>
            <w:tcW w:w="842" w:type="pct"/>
            <w:vMerge w:val="restart"/>
            <w:tcBorders>
              <w:top w:val="single" w:sz="4" w:space="0" w:color="auto"/>
              <w:bottom w:val="single" w:sz="4" w:space="0" w:color="auto"/>
            </w:tcBorders>
          </w:tcPr>
          <w:p w14:paraId="09F0B2E5" w14:textId="4ADE9F70" w:rsidR="00A10347" w:rsidRDefault="00A10347" w:rsidP="00A10347">
            <w:pPr>
              <w:pStyle w:val="TableText"/>
            </w:pPr>
            <w:r w:rsidRPr="0022151F">
              <w:t>Fee for service—assessment of permit application</w:t>
            </w:r>
          </w:p>
        </w:tc>
        <w:tc>
          <w:tcPr>
            <w:tcW w:w="1550" w:type="pct"/>
            <w:tcBorders>
              <w:top w:val="single" w:sz="4" w:space="0" w:color="auto"/>
              <w:bottom w:val="single" w:sz="4" w:space="0" w:color="auto"/>
            </w:tcBorders>
          </w:tcPr>
          <w:p w14:paraId="720BAB71" w14:textId="457FE340" w:rsidR="00A10347" w:rsidRPr="00BE205E" w:rsidRDefault="00A10347" w:rsidP="00A10347">
            <w:pPr>
              <w:pStyle w:val="TableText"/>
            </w:pPr>
            <w:r w:rsidRPr="00DC547C">
              <w:t xml:space="preserve">Assessment of a permit application not completed within the initial assessment period for the application </w:t>
            </w:r>
            <w:r>
              <w:t>- in</w:t>
            </w:r>
            <w:r w:rsidRPr="00DC547C">
              <w:t xml:space="preserve"> ordinary hours</w:t>
            </w:r>
          </w:p>
        </w:tc>
        <w:tc>
          <w:tcPr>
            <w:tcW w:w="1200" w:type="pct"/>
            <w:tcBorders>
              <w:top w:val="single" w:sz="4" w:space="0" w:color="auto"/>
              <w:bottom w:val="single" w:sz="4" w:space="0" w:color="auto"/>
            </w:tcBorders>
          </w:tcPr>
          <w:p w14:paraId="44BD0D5B" w14:textId="563DED8F" w:rsidR="00A10347" w:rsidRPr="00BE205E" w:rsidRDefault="00A10347" w:rsidP="00A10347">
            <w:pPr>
              <w:pStyle w:val="TableText"/>
            </w:pPr>
            <w:r w:rsidRPr="007D727F">
              <w:t>Per 15 minutes after the initial assessment period</w:t>
            </w:r>
          </w:p>
        </w:tc>
        <w:tc>
          <w:tcPr>
            <w:tcW w:w="704" w:type="pct"/>
            <w:tcBorders>
              <w:top w:val="single" w:sz="4" w:space="0" w:color="auto"/>
              <w:bottom w:val="single" w:sz="4" w:space="0" w:color="auto"/>
            </w:tcBorders>
          </w:tcPr>
          <w:p w14:paraId="2667AD06" w14:textId="72BE92DD" w:rsidR="00A10347" w:rsidRPr="007D727F" w:rsidRDefault="00A10347" w:rsidP="00A10347">
            <w:pPr>
              <w:pStyle w:val="TableText"/>
              <w:jc w:val="right"/>
            </w:pPr>
            <w:r>
              <w:t>40</w:t>
            </w:r>
          </w:p>
        </w:tc>
        <w:tc>
          <w:tcPr>
            <w:tcW w:w="703" w:type="pct"/>
            <w:tcBorders>
              <w:top w:val="single" w:sz="4" w:space="0" w:color="auto"/>
              <w:bottom w:val="single" w:sz="4" w:space="0" w:color="auto"/>
            </w:tcBorders>
          </w:tcPr>
          <w:p w14:paraId="424A3CBA" w14:textId="6C92D840" w:rsidR="00A10347" w:rsidRPr="0022151F" w:rsidRDefault="00A10347" w:rsidP="00A10347">
            <w:pPr>
              <w:pStyle w:val="TableText"/>
              <w:jc w:val="right"/>
            </w:pPr>
            <w:r>
              <w:t>42</w:t>
            </w:r>
          </w:p>
        </w:tc>
      </w:tr>
      <w:tr w:rsidR="00A10347" w14:paraId="30A162FE" w14:textId="77777777" w:rsidTr="00FE167A">
        <w:tc>
          <w:tcPr>
            <w:tcW w:w="842" w:type="pct"/>
            <w:vMerge/>
            <w:tcBorders>
              <w:bottom w:val="single" w:sz="4" w:space="0" w:color="auto"/>
            </w:tcBorders>
          </w:tcPr>
          <w:p w14:paraId="07183ACC" w14:textId="77777777" w:rsidR="00A10347" w:rsidRDefault="00A10347" w:rsidP="00A10347">
            <w:pPr>
              <w:pStyle w:val="TableText"/>
            </w:pPr>
          </w:p>
        </w:tc>
        <w:tc>
          <w:tcPr>
            <w:tcW w:w="1550" w:type="pct"/>
            <w:tcBorders>
              <w:top w:val="single" w:sz="4" w:space="0" w:color="auto"/>
              <w:bottom w:val="single" w:sz="4" w:space="0" w:color="auto"/>
            </w:tcBorders>
          </w:tcPr>
          <w:p w14:paraId="47945689" w14:textId="410BE4BE" w:rsidR="00A10347" w:rsidRPr="0022151F" w:rsidRDefault="00A10347" w:rsidP="00A10347">
            <w:pPr>
              <w:pStyle w:val="TableText"/>
            </w:pPr>
            <w:r w:rsidRPr="0022151F">
              <w:t>Assessment Category 1 Permit application</w:t>
            </w:r>
          </w:p>
        </w:tc>
        <w:tc>
          <w:tcPr>
            <w:tcW w:w="1200" w:type="pct"/>
            <w:tcBorders>
              <w:top w:val="single" w:sz="4" w:space="0" w:color="auto"/>
              <w:bottom w:val="single" w:sz="4" w:space="0" w:color="auto"/>
            </w:tcBorders>
          </w:tcPr>
          <w:p w14:paraId="20C8A8FA" w14:textId="00532717" w:rsidR="00A10347" w:rsidRPr="0022151F" w:rsidRDefault="00A10347" w:rsidP="00A10347">
            <w:pPr>
              <w:pStyle w:val="TableText"/>
            </w:pPr>
            <w:r w:rsidRPr="0022151F">
              <w:t>Each application</w:t>
            </w:r>
          </w:p>
        </w:tc>
        <w:tc>
          <w:tcPr>
            <w:tcW w:w="704" w:type="pct"/>
            <w:tcBorders>
              <w:top w:val="single" w:sz="4" w:space="0" w:color="auto"/>
              <w:bottom w:val="single" w:sz="4" w:space="0" w:color="auto"/>
            </w:tcBorders>
          </w:tcPr>
          <w:p w14:paraId="3BF485C9" w14:textId="14150FC4" w:rsidR="00A10347" w:rsidRPr="0022151F" w:rsidRDefault="00A10347" w:rsidP="00A10347">
            <w:pPr>
              <w:pStyle w:val="TableText"/>
              <w:jc w:val="right"/>
            </w:pPr>
            <w:r>
              <w:t>79</w:t>
            </w:r>
          </w:p>
        </w:tc>
        <w:tc>
          <w:tcPr>
            <w:tcW w:w="703" w:type="pct"/>
            <w:tcBorders>
              <w:top w:val="single" w:sz="4" w:space="0" w:color="auto"/>
              <w:bottom w:val="single" w:sz="4" w:space="0" w:color="auto"/>
            </w:tcBorders>
          </w:tcPr>
          <w:p w14:paraId="4D07452D" w14:textId="2F6B34D8" w:rsidR="00A10347" w:rsidRPr="0022151F" w:rsidRDefault="00A10347" w:rsidP="00A10347">
            <w:pPr>
              <w:pStyle w:val="TableText"/>
              <w:jc w:val="right"/>
            </w:pPr>
            <w:r>
              <w:t>82</w:t>
            </w:r>
          </w:p>
        </w:tc>
      </w:tr>
      <w:tr w:rsidR="00A10347" w14:paraId="7A6C8F0D" w14:textId="77777777" w:rsidTr="00FE167A">
        <w:tc>
          <w:tcPr>
            <w:tcW w:w="842" w:type="pct"/>
            <w:vMerge/>
            <w:tcBorders>
              <w:bottom w:val="single" w:sz="4" w:space="0" w:color="auto"/>
            </w:tcBorders>
          </w:tcPr>
          <w:p w14:paraId="3A5F8A2F" w14:textId="77777777" w:rsidR="00A10347" w:rsidRDefault="00A10347" w:rsidP="00A10347">
            <w:pPr>
              <w:pStyle w:val="TableText"/>
            </w:pPr>
          </w:p>
        </w:tc>
        <w:tc>
          <w:tcPr>
            <w:tcW w:w="1550" w:type="pct"/>
            <w:tcBorders>
              <w:top w:val="single" w:sz="4" w:space="0" w:color="auto"/>
              <w:bottom w:val="single" w:sz="4" w:space="0" w:color="auto"/>
            </w:tcBorders>
          </w:tcPr>
          <w:p w14:paraId="7E44F3BA" w14:textId="3C35A4E5" w:rsidR="00A10347" w:rsidRPr="0022151F" w:rsidRDefault="00A10347" w:rsidP="00A10347">
            <w:pPr>
              <w:pStyle w:val="TableText"/>
            </w:pPr>
            <w:r w:rsidRPr="0022151F">
              <w:t>Assessment Category 2 Permit application</w:t>
            </w:r>
          </w:p>
        </w:tc>
        <w:tc>
          <w:tcPr>
            <w:tcW w:w="1200" w:type="pct"/>
            <w:tcBorders>
              <w:top w:val="single" w:sz="4" w:space="0" w:color="auto"/>
              <w:bottom w:val="single" w:sz="4" w:space="0" w:color="auto"/>
            </w:tcBorders>
          </w:tcPr>
          <w:p w14:paraId="364731CA" w14:textId="7103A96E" w:rsidR="00A10347" w:rsidRPr="0022151F" w:rsidRDefault="00A10347" w:rsidP="00A10347">
            <w:pPr>
              <w:pStyle w:val="TableText"/>
            </w:pPr>
            <w:r w:rsidRPr="0022151F">
              <w:t>Each application</w:t>
            </w:r>
          </w:p>
        </w:tc>
        <w:tc>
          <w:tcPr>
            <w:tcW w:w="704" w:type="pct"/>
            <w:tcBorders>
              <w:top w:val="single" w:sz="4" w:space="0" w:color="auto"/>
              <w:bottom w:val="single" w:sz="4" w:space="0" w:color="auto"/>
            </w:tcBorders>
          </w:tcPr>
          <w:p w14:paraId="2EB04FA1" w14:textId="070A7FD7" w:rsidR="00A10347" w:rsidRPr="0022151F" w:rsidRDefault="00A10347" w:rsidP="00A10347">
            <w:pPr>
              <w:pStyle w:val="TableText"/>
              <w:jc w:val="right"/>
            </w:pPr>
            <w:r>
              <w:t>158</w:t>
            </w:r>
          </w:p>
        </w:tc>
        <w:tc>
          <w:tcPr>
            <w:tcW w:w="703" w:type="pct"/>
            <w:tcBorders>
              <w:top w:val="single" w:sz="4" w:space="0" w:color="auto"/>
              <w:bottom w:val="single" w:sz="4" w:space="0" w:color="auto"/>
            </w:tcBorders>
          </w:tcPr>
          <w:p w14:paraId="644DD8BD" w14:textId="62F4E214" w:rsidR="00A10347" w:rsidRPr="0022151F" w:rsidRDefault="00A10347" w:rsidP="00A10347">
            <w:pPr>
              <w:pStyle w:val="TableText"/>
              <w:jc w:val="right"/>
            </w:pPr>
            <w:r>
              <w:t>164</w:t>
            </w:r>
          </w:p>
        </w:tc>
      </w:tr>
      <w:tr w:rsidR="00A10347" w14:paraId="01D91C29" w14:textId="77777777" w:rsidTr="00FE167A">
        <w:tc>
          <w:tcPr>
            <w:tcW w:w="842" w:type="pct"/>
            <w:vMerge/>
            <w:tcBorders>
              <w:bottom w:val="single" w:sz="4" w:space="0" w:color="auto"/>
            </w:tcBorders>
          </w:tcPr>
          <w:p w14:paraId="18189760" w14:textId="77777777" w:rsidR="00A10347" w:rsidRDefault="00A10347" w:rsidP="00A10347">
            <w:pPr>
              <w:pStyle w:val="TableText"/>
            </w:pPr>
          </w:p>
        </w:tc>
        <w:tc>
          <w:tcPr>
            <w:tcW w:w="1550" w:type="pct"/>
            <w:tcBorders>
              <w:top w:val="single" w:sz="4" w:space="0" w:color="auto"/>
              <w:bottom w:val="single" w:sz="4" w:space="0" w:color="auto"/>
            </w:tcBorders>
          </w:tcPr>
          <w:p w14:paraId="0273F866" w14:textId="06B0BE4F" w:rsidR="00A10347" w:rsidRPr="00BE205E" w:rsidRDefault="00A10347" w:rsidP="00A10347">
            <w:pPr>
              <w:pStyle w:val="TableText"/>
            </w:pPr>
            <w:r w:rsidRPr="0022151F">
              <w:t>Assessment Category 3 Permit application</w:t>
            </w:r>
          </w:p>
        </w:tc>
        <w:tc>
          <w:tcPr>
            <w:tcW w:w="1200" w:type="pct"/>
            <w:tcBorders>
              <w:top w:val="single" w:sz="4" w:space="0" w:color="auto"/>
              <w:bottom w:val="single" w:sz="4" w:space="0" w:color="auto"/>
            </w:tcBorders>
          </w:tcPr>
          <w:p w14:paraId="360D0F36" w14:textId="4581957F" w:rsidR="00A10347" w:rsidRPr="00BE205E" w:rsidRDefault="00A10347" w:rsidP="00A10347">
            <w:pPr>
              <w:pStyle w:val="TableText"/>
            </w:pPr>
            <w:r w:rsidRPr="0022151F">
              <w:t>Each application</w:t>
            </w:r>
          </w:p>
        </w:tc>
        <w:tc>
          <w:tcPr>
            <w:tcW w:w="704" w:type="pct"/>
            <w:tcBorders>
              <w:top w:val="single" w:sz="4" w:space="0" w:color="auto"/>
              <w:bottom w:val="single" w:sz="4" w:space="0" w:color="auto"/>
            </w:tcBorders>
          </w:tcPr>
          <w:p w14:paraId="37850B47" w14:textId="38D6FFF9" w:rsidR="00A10347" w:rsidRPr="0022151F" w:rsidRDefault="00A10347" w:rsidP="00A10347">
            <w:pPr>
              <w:pStyle w:val="TableText"/>
              <w:jc w:val="right"/>
            </w:pPr>
            <w:r>
              <w:t>315</w:t>
            </w:r>
          </w:p>
        </w:tc>
        <w:tc>
          <w:tcPr>
            <w:tcW w:w="703" w:type="pct"/>
            <w:tcBorders>
              <w:top w:val="single" w:sz="4" w:space="0" w:color="auto"/>
              <w:bottom w:val="single" w:sz="4" w:space="0" w:color="auto"/>
            </w:tcBorders>
          </w:tcPr>
          <w:p w14:paraId="65051DE0" w14:textId="2CB567EF" w:rsidR="00A10347" w:rsidRPr="0022151F" w:rsidRDefault="00A10347" w:rsidP="00A10347">
            <w:pPr>
              <w:pStyle w:val="TableText"/>
              <w:jc w:val="right"/>
            </w:pPr>
            <w:r>
              <w:t>327</w:t>
            </w:r>
          </w:p>
        </w:tc>
      </w:tr>
      <w:tr w:rsidR="00A10347" w14:paraId="07EDB0D6" w14:textId="77777777" w:rsidTr="00FE167A">
        <w:tc>
          <w:tcPr>
            <w:tcW w:w="842" w:type="pct"/>
            <w:vMerge/>
            <w:tcBorders>
              <w:bottom w:val="single" w:sz="4" w:space="0" w:color="auto"/>
            </w:tcBorders>
          </w:tcPr>
          <w:p w14:paraId="011A0AF8" w14:textId="77777777" w:rsidR="00A10347" w:rsidRDefault="00A10347" w:rsidP="00A10347">
            <w:pPr>
              <w:pStyle w:val="TableText"/>
            </w:pPr>
          </w:p>
        </w:tc>
        <w:tc>
          <w:tcPr>
            <w:tcW w:w="1550" w:type="pct"/>
            <w:tcBorders>
              <w:top w:val="single" w:sz="4" w:space="0" w:color="auto"/>
              <w:bottom w:val="single" w:sz="4" w:space="0" w:color="auto"/>
            </w:tcBorders>
          </w:tcPr>
          <w:p w14:paraId="5F2376CE" w14:textId="459972E0" w:rsidR="00A10347" w:rsidRPr="00BE205E" w:rsidRDefault="00A10347" w:rsidP="00A10347">
            <w:pPr>
              <w:pStyle w:val="TableText"/>
            </w:pPr>
            <w:r w:rsidRPr="0022151F">
              <w:t>Assessment Category 4 Permit application</w:t>
            </w:r>
          </w:p>
        </w:tc>
        <w:tc>
          <w:tcPr>
            <w:tcW w:w="1200" w:type="pct"/>
            <w:tcBorders>
              <w:top w:val="single" w:sz="4" w:space="0" w:color="auto"/>
              <w:bottom w:val="single" w:sz="4" w:space="0" w:color="auto"/>
            </w:tcBorders>
          </w:tcPr>
          <w:p w14:paraId="6E919BD6" w14:textId="2AD8D9A3" w:rsidR="00A10347" w:rsidRPr="00BE205E" w:rsidRDefault="00A10347" w:rsidP="00A10347">
            <w:pPr>
              <w:pStyle w:val="TableText"/>
            </w:pPr>
            <w:r w:rsidRPr="0022151F">
              <w:t>Each application</w:t>
            </w:r>
          </w:p>
        </w:tc>
        <w:tc>
          <w:tcPr>
            <w:tcW w:w="704" w:type="pct"/>
            <w:tcBorders>
              <w:top w:val="single" w:sz="4" w:space="0" w:color="auto"/>
              <w:bottom w:val="single" w:sz="4" w:space="0" w:color="auto"/>
            </w:tcBorders>
          </w:tcPr>
          <w:p w14:paraId="712CCE6C" w14:textId="2B26B505" w:rsidR="00A10347" w:rsidRPr="0022151F" w:rsidRDefault="00A10347" w:rsidP="00A10347">
            <w:pPr>
              <w:pStyle w:val="TableText"/>
              <w:jc w:val="right"/>
            </w:pPr>
            <w:r>
              <w:t>473</w:t>
            </w:r>
          </w:p>
        </w:tc>
        <w:tc>
          <w:tcPr>
            <w:tcW w:w="703" w:type="pct"/>
            <w:tcBorders>
              <w:top w:val="single" w:sz="4" w:space="0" w:color="auto"/>
              <w:bottom w:val="single" w:sz="4" w:space="0" w:color="auto"/>
            </w:tcBorders>
          </w:tcPr>
          <w:p w14:paraId="1C1AD2CE" w14:textId="54B2A0B7" w:rsidR="00A10347" w:rsidRPr="0022151F" w:rsidRDefault="00A10347" w:rsidP="00A10347">
            <w:pPr>
              <w:pStyle w:val="TableText"/>
              <w:jc w:val="right"/>
            </w:pPr>
            <w:r>
              <w:t>491</w:t>
            </w:r>
          </w:p>
        </w:tc>
      </w:tr>
      <w:tr w:rsidR="00A10347" w14:paraId="6F399412" w14:textId="77777777" w:rsidTr="00FE167A">
        <w:tc>
          <w:tcPr>
            <w:tcW w:w="842" w:type="pct"/>
            <w:vMerge/>
            <w:tcBorders>
              <w:bottom w:val="single" w:sz="4" w:space="0" w:color="auto"/>
            </w:tcBorders>
          </w:tcPr>
          <w:p w14:paraId="48C43D04" w14:textId="77777777" w:rsidR="00A10347" w:rsidRDefault="00A10347" w:rsidP="00A10347">
            <w:pPr>
              <w:pStyle w:val="TableText"/>
            </w:pPr>
          </w:p>
        </w:tc>
        <w:tc>
          <w:tcPr>
            <w:tcW w:w="1550" w:type="pct"/>
            <w:tcBorders>
              <w:top w:val="single" w:sz="4" w:space="0" w:color="auto"/>
              <w:bottom w:val="single" w:sz="4" w:space="0" w:color="auto"/>
            </w:tcBorders>
          </w:tcPr>
          <w:p w14:paraId="2B65AB94" w14:textId="25E7D9A4" w:rsidR="00A10347" w:rsidRPr="00BE205E" w:rsidRDefault="00A10347" w:rsidP="00A10347">
            <w:pPr>
              <w:pStyle w:val="TableText"/>
            </w:pPr>
            <w:r w:rsidRPr="0022151F">
              <w:t>Assessment Category 5 Permit application</w:t>
            </w:r>
          </w:p>
        </w:tc>
        <w:tc>
          <w:tcPr>
            <w:tcW w:w="1200" w:type="pct"/>
            <w:tcBorders>
              <w:top w:val="single" w:sz="4" w:space="0" w:color="auto"/>
              <w:bottom w:val="single" w:sz="4" w:space="0" w:color="auto"/>
            </w:tcBorders>
          </w:tcPr>
          <w:p w14:paraId="76742088" w14:textId="4A95245F" w:rsidR="00A10347" w:rsidRPr="00BE205E" w:rsidRDefault="00A10347" w:rsidP="00A10347">
            <w:pPr>
              <w:pStyle w:val="TableText"/>
            </w:pPr>
            <w:r w:rsidRPr="0022151F">
              <w:t>Each application</w:t>
            </w:r>
          </w:p>
        </w:tc>
        <w:tc>
          <w:tcPr>
            <w:tcW w:w="704" w:type="pct"/>
            <w:tcBorders>
              <w:top w:val="single" w:sz="4" w:space="0" w:color="auto"/>
              <w:bottom w:val="single" w:sz="4" w:space="0" w:color="auto"/>
            </w:tcBorders>
          </w:tcPr>
          <w:p w14:paraId="6AC4B924" w14:textId="06FB5830" w:rsidR="00A10347" w:rsidRPr="0022151F" w:rsidRDefault="00A10347" w:rsidP="00A10347">
            <w:pPr>
              <w:pStyle w:val="TableText"/>
              <w:jc w:val="right"/>
            </w:pPr>
            <w:r>
              <w:t>631</w:t>
            </w:r>
          </w:p>
        </w:tc>
        <w:tc>
          <w:tcPr>
            <w:tcW w:w="703" w:type="pct"/>
            <w:tcBorders>
              <w:top w:val="single" w:sz="4" w:space="0" w:color="auto"/>
              <w:bottom w:val="single" w:sz="4" w:space="0" w:color="auto"/>
            </w:tcBorders>
          </w:tcPr>
          <w:p w14:paraId="01BC8C2E" w14:textId="53712537" w:rsidR="00A10347" w:rsidRPr="0022151F" w:rsidRDefault="00A10347" w:rsidP="00A10347">
            <w:pPr>
              <w:pStyle w:val="TableText"/>
              <w:jc w:val="right"/>
            </w:pPr>
            <w:r>
              <w:t>655</w:t>
            </w:r>
          </w:p>
        </w:tc>
      </w:tr>
    </w:tbl>
    <w:p w14:paraId="7FA70916" w14:textId="050084BE" w:rsidR="008B4398" w:rsidRDefault="008B4398" w:rsidP="008B4398">
      <w:pPr>
        <w:pStyle w:val="FigureTableNoteSource"/>
      </w:pPr>
      <w:r>
        <w:t xml:space="preserve">Note: all proposed changes are pending decision of government. </w:t>
      </w:r>
    </w:p>
    <w:p w14:paraId="7DBFF2A9" w14:textId="35F1B803" w:rsidR="00FD1BDD" w:rsidRPr="008B4398" w:rsidRDefault="00FD1BDD" w:rsidP="008B4398">
      <w:pPr>
        <w:pStyle w:val="Heading2"/>
        <w:pageBreakBefore/>
      </w:pPr>
      <w:r w:rsidRPr="008B4398">
        <w:lastRenderedPageBreak/>
        <w:t xml:space="preserve">Fees and charges for imported food regulatory activity from 1 July </w:t>
      </w:r>
      <w:r w:rsidR="00B92945" w:rsidRPr="008B4398">
        <w:t>2026</w:t>
      </w:r>
    </w:p>
    <w:p w14:paraId="2FDBD3E3" w14:textId="2B1CDD72" w:rsidR="00FD1BDD" w:rsidRPr="00FD1BDD" w:rsidRDefault="00D2429D" w:rsidP="00FD1BDD">
      <w:pPr>
        <w:rPr>
          <w:lang w:eastAsia="ja-JP"/>
        </w:rPr>
      </w:pPr>
      <w:hyperlink w:anchor="Title_2" w:history="1">
        <w:r w:rsidRPr="00231DC5">
          <w:rPr>
            <w:rStyle w:val="Hyperlink"/>
            <w:color w:val="auto"/>
            <w:u w:val="none"/>
            <w:lang w:eastAsia="ja-JP"/>
          </w:rPr>
          <w:t xml:space="preserve">Table </w:t>
        </w:r>
        <w:r w:rsidR="00BB045F">
          <w:rPr>
            <w:rStyle w:val="Hyperlink"/>
            <w:color w:val="auto"/>
            <w:u w:val="none"/>
            <w:lang w:eastAsia="ja-JP"/>
          </w:rPr>
          <w:t>3</w:t>
        </w:r>
      </w:hyperlink>
      <w:r>
        <w:rPr>
          <w:lang w:eastAsia="ja-JP"/>
        </w:rPr>
        <w:t xml:space="preserve"> </w:t>
      </w:r>
      <w:r w:rsidR="00FD1BDD" w:rsidRPr="00FD1BDD">
        <w:rPr>
          <w:lang w:eastAsia="ja-JP"/>
        </w:rPr>
        <w:t xml:space="preserve">sets out the </w:t>
      </w:r>
      <w:r w:rsidR="00F660C7">
        <w:rPr>
          <w:lang w:eastAsia="ja-JP"/>
        </w:rPr>
        <w:t xml:space="preserve">indexed </w:t>
      </w:r>
      <w:r w:rsidR="00FD1BDD" w:rsidRPr="00FD1BDD">
        <w:rPr>
          <w:lang w:eastAsia="ja-JP"/>
        </w:rPr>
        <w:t xml:space="preserve">prices for </w:t>
      </w:r>
      <w:r w:rsidR="00FD1BDD">
        <w:rPr>
          <w:lang w:eastAsia="ja-JP"/>
        </w:rPr>
        <w:t xml:space="preserve">imported food regulatory </w:t>
      </w:r>
      <w:r w:rsidR="009E7262">
        <w:rPr>
          <w:lang w:eastAsia="ja-JP"/>
        </w:rPr>
        <w:t>activity</w:t>
      </w:r>
      <w:r w:rsidR="00FD1BDD" w:rsidRPr="00FD1BDD">
        <w:rPr>
          <w:lang w:eastAsia="ja-JP"/>
        </w:rPr>
        <w:t xml:space="preserve"> commencing 1 July </w:t>
      </w:r>
      <w:r w:rsidR="00B92945" w:rsidRPr="00FD1BDD">
        <w:rPr>
          <w:lang w:eastAsia="ja-JP"/>
        </w:rPr>
        <w:t>20</w:t>
      </w:r>
      <w:r w:rsidR="00B92945">
        <w:rPr>
          <w:lang w:eastAsia="ja-JP"/>
        </w:rPr>
        <w:t>26</w:t>
      </w:r>
      <w:r w:rsidR="00FD1BDD" w:rsidRPr="00FD1BDD">
        <w:rPr>
          <w:lang w:eastAsia="ja-JP"/>
        </w:rPr>
        <w:t>.</w:t>
      </w:r>
    </w:p>
    <w:p w14:paraId="1294B4DF" w14:textId="42B795BC" w:rsidR="00B43E79" w:rsidRDefault="00B43E79" w:rsidP="00FD1BDD">
      <w:pPr>
        <w:pStyle w:val="Caption"/>
      </w:pPr>
      <w:r>
        <w:t xml:space="preserve">Table </w:t>
      </w:r>
      <w:r w:rsidR="00BB045F">
        <w:t>3</w:t>
      </w:r>
      <w:r>
        <w:t xml:space="preserve"> </w:t>
      </w:r>
      <w:r w:rsidR="00C73B66">
        <w:t xml:space="preserve">- </w:t>
      </w:r>
      <w:r w:rsidR="001B4A4E">
        <w:t>F</w:t>
      </w:r>
      <w:r w:rsidRPr="008B148D">
        <w:t xml:space="preserve">ees and charges for </w:t>
      </w:r>
      <w:r>
        <w:t>imported food</w:t>
      </w:r>
      <w:r w:rsidRPr="008B148D">
        <w:t xml:space="preserve"> regulatory activities</w:t>
      </w:r>
    </w:p>
    <w:tbl>
      <w:tblPr>
        <w:tblW w:w="5091" w:type="pct"/>
        <w:tblLook w:val="04A0" w:firstRow="1" w:lastRow="0" w:firstColumn="1" w:lastColumn="0" w:noHBand="0" w:noVBand="1"/>
      </w:tblPr>
      <w:tblGrid>
        <w:gridCol w:w="1644"/>
        <w:gridCol w:w="3036"/>
        <w:gridCol w:w="2265"/>
        <w:gridCol w:w="1319"/>
        <w:gridCol w:w="1319"/>
      </w:tblGrid>
      <w:tr w:rsidR="00B92945" w14:paraId="20C66F24" w14:textId="0549696F" w:rsidTr="00B92945">
        <w:trPr>
          <w:cantSplit/>
          <w:tblHeader/>
        </w:trPr>
        <w:tc>
          <w:tcPr>
            <w:tcW w:w="858" w:type="pct"/>
            <w:tcBorders>
              <w:top w:val="single" w:sz="4" w:space="0" w:color="auto"/>
              <w:bottom w:val="single" w:sz="4" w:space="0" w:color="auto"/>
            </w:tcBorders>
          </w:tcPr>
          <w:bookmarkStart w:id="3" w:name="Title_2"/>
          <w:bookmarkEnd w:id="3"/>
          <w:p w14:paraId="6DEB92AB" w14:textId="35221125" w:rsidR="00B92945" w:rsidRPr="008040B2" w:rsidRDefault="00B92945" w:rsidP="00B92945">
            <w:pPr>
              <w:pStyle w:val="TableText"/>
              <w:rPr>
                <w:rStyle w:val="Strong"/>
              </w:rPr>
            </w:pPr>
            <w:r>
              <w:rPr>
                <w:rStyle w:val="Strong"/>
              </w:rPr>
              <w:fldChar w:fldCharType="begin"/>
            </w:r>
            <w:r>
              <w:rPr>
                <w:rStyle w:val="Strong"/>
              </w:rPr>
              <w:instrText xml:space="preserve"> REF Title_2 \h </w:instrText>
            </w:r>
            <w:r>
              <w:rPr>
                <w:rStyle w:val="Strong"/>
              </w:rPr>
            </w:r>
            <w:r>
              <w:rPr>
                <w:rStyle w:val="Strong"/>
              </w:rPr>
              <w:fldChar w:fldCharType="end"/>
            </w:r>
            <w:r w:rsidRPr="008040B2">
              <w:rPr>
                <w:rStyle w:val="Strong"/>
              </w:rPr>
              <w:t>Type of charge</w:t>
            </w:r>
          </w:p>
        </w:tc>
        <w:tc>
          <w:tcPr>
            <w:tcW w:w="1584" w:type="pct"/>
            <w:tcBorders>
              <w:top w:val="single" w:sz="4" w:space="0" w:color="auto"/>
              <w:bottom w:val="single" w:sz="4" w:space="0" w:color="auto"/>
            </w:tcBorders>
          </w:tcPr>
          <w:p w14:paraId="0166AB27" w14:textId="35702F9A" w:rsidR="00B92945" w:rsidRPr="008040B2" w:rsidRDefault="00B92945" w:rsidP="00B92945">
            <w:pPr>
              <w:pStyle w:val="TableText"/>
              <w:rPr>
                <w:rStyle w:val="Strong"/>
              </w:rPr>
            </w:pPr>
            <w:r w:rsidRPr="008040B2">
              <w:rPr>
                <w:rStyle w:val="Strong"/>
              </w:rPr>
              <w:t>Charge point</w:t>
            </w:r>
          </w:p>
        </w:tc>
        <w:tc>
          <w:tcPr>
            <w:tcW w:w="1182" w:type="pct"/>
            <w:tcBorders>
              <w:top w:val="single" w:sz="4" w:space="0" w:color="auto"/>
              <w:bottom w:val="single" w:sz="4" w:space="0" w:color="auto"/>
            </w:tcBorders>
          </w:tcPr>
          <w:p w14:paraId="5AC0A28D" w14:textId="23620563" w:rsidR="00B92945" w:rsidRPr="008040B2" w:rsidRDefault="00B92945" w:rsidP="00B92945">
            <w:pPr>
              <w:pStyle w:val="TableText"/>
              <w:rPr>
                <w:rStyle w:val="Strong"/>
              </w:rPr>
            </w:pPr>
            <w:r w:rsidRPr="008040B2">
              <w:rPr>
                <w:rStyle w:val="Strong"/>
              </w:rPr>
              <w:t>Unit</w:t>
            </w:r>
          </w:p>
        </w:tc>
        <w:tc>
          <w:tcPr>
            <w:tcW w:w="688" w:type="pct"/>
            <w:tcBorders>
              <w:top w:val="single" w:sz="4" w:space="0" w:color="auto"/>
              <w:bottom w:val="single" w:sz="4" w:space="0" w:color="auto"/>
            </w:tcBorders>
          </w:tcPr>
          <w:p w14:paraId="2EDA289A" w14:textId="5BCE36C2" w:rsidR="00B92945" w:rsidRDefault="00B92945" w:rsidP="00B92945">
            <w:pPr>
              <w:pStyle w:val="TableText"/>
              <w:jc w:val="right"/>
              <w:rPr>
                <w:rStyle w:val="Strong"/>
              </w:rPr>
            </w:pPr>
            <w:r>
              <w:rPr>
                <w:rStyle w:val="Strong"/>
              </w:rPr>
              <w:t>2025-26</w:t>
            </w:r>
            <w:r w:rsidRPr="008040B2">
              <w:rPr>
                <w:rStyle w:val="Strong"/>
              </w:rPr>
              <w:t xml:space="preserve"> Price ($)</w:t>
            </w:r>
          </w:p>
        </w:tc>
        <w:tc>
          <w:tcPr>
            <w:tcW w:w="688" w:type="pct"/>
            <w:tcBorders>
              <w:top w:val="single" w:sz="4" w:space="0" w:color="auto"/>
              <w:bottom w:val="single" w:sz="4" w:space="0" w:color="auto"/>
            </w:tcBorders>
          </w:tcPr>
          <w:p w14:paraId="684C8DFB" w14:textId="2E9E2DA2" w:rsidR="00B92945" w:rsidRPr="008040B2" w:rsidRDefault="00B92945" w:rsidP="00B92945">
            <w:pPr>
              <w:pStyle w:val="TableText"/>
              <w:jc w:val="right"/>
              <w:rPr>
                <w:rStyle w:val="Strong"/>
              </w:rPr>
            </w:pPr>
            <w:r>
              <w:rPr>
                <w:rStyle w:val="Strong"/>
              </w:rPr>
              <w:t xml:space="preserve">2026-27 </w:t>
            </w:r>
            <w:r w:rsidRPr="008040B2">
              <w:rPr>
                <w:rStyle w:val="Strong"/>
              </w:rPr>
              <w:t>Price ($)</w:t>
            </w:r>
          </w:p>
        </w:tc>
      </w:tr>
      <w:tr w:rsidR="00B92945" w14:paraId="304B0556" w14:textId="3DFCBA80" w:rsidTr="00B92945">
        <w:tc>
          <w:tcPr>
            <w:tcW w:w="858" w:type="pct"/>
            <w:vMerge w:val="restart"/>
            <w:tcBorders>
              <w:top w:val="single" w:sz="4" w:space="0" w:color="auto"/>
            </w:tcBorders>
          </w:tcPr>
          <w:p w14:paraId="77A26FD2" w14:textId="01BC0394" w:rsidR="00B92945" w:rsidRDefault="00B92945" w:rsidP="00B92945">
            <w:pPr>
              <w:pStyle w:val="TableText"/>
            </w:pPr>
            <w:r>
              <w:t>Charge (levy)</w:t>
            </w:r>
          </w:p>
        </w:tc>
        <w:tc>
          <w:tcPr>
            <w:tcW w:w="1584" w:type="pct"/>
            <w:tcBorders>
              <w:top w:val="single" w:sz="4" w:space="0" w:color="auto"/>
              <w:bottom w:val="single" w:sz="4" w:space="0" w:color="auto"/>
            </w:tcBorders>
          </w:tcPr>
          <w:p w14:paraId="2DA8D0E3" w14:textId="005EFA2D" w:rsidR="00B92945" w:rsidRDefault="00B92945" w:rsidP="00B92945">
            <w:pPr>
              <w:pStyle w:val="TableText"/>
            </w:pPr>
            <w:r>
              <w:t xml:space="preserve">Compliance agreement </w:t>
            </w:r>
            <w:r w:rsidRPr="003D04EA">
              <w:t>application charge</w:t>
            </w:r>
          </w:p>
        </w:tc>
        <w:tc>
          <w:tcPr>
            <w:tcW w:w="1182" w:type="pct"/>
            <w:tcBorders>
              <w:top w:val="single" w:sz="4" w:space="0" w:color="auto"/>
              <w:bottom w:val="single" w:sz="4" w:space="0" w:color="auto"/>
            </w:tcBorders>
          </w:tcPr>
          <w:p w14:paraId="40626936" w14:textId="452C300C" w:rsidR="00B92945" w:rsidRDefault="00B92945" w:rsidP="00B92945">
            <w:pPr>
              <w:pStyle w:val="TableText"/>
            </w:pPr>
            <w:r w:rsidRPr="003D04EA">
              <w:t>Per application</w:t>
            </w:r>
          </w:p>
        </w:tc>
        <w:tc>
          <w:tcPr>
            <w:tcW w:w="688" w:type="pct"/>
            <w:tcBorders>
              <w:top w:val="single" w:sz="4" w:space="0" w:color="auto"/>
              <w:bottom w:val="single" w:sz="4" w:space="0" w:color="auto"/>
            </w:tcBorders>
          </w:tcPr>
          <w:p w14:paraId="7B885097" w14:textId="5B54B263" w:rsidR="00B92945" w:rsidRPr="003D04EA" w:rsidRDefault="00B92945" w:rsidP="00B92945">
            <w:pPr>
              <w:pStyle w:val="TableText"/>
              <w:jc w:val="right"/>
            </w:pPr>
            <w:r w:rsidRPr="003D04EA">
              <w:t>207</w:t>
            </w:r>
          </w:p>
        </w:tc>
        <w:tc>
          <w:tcPr>
            <w:tcW w:w="688" w:type="pct"/>
            <w:tcBorders>
              <w:top w:val="single" w:sz="4" w:space="0" w:color="auto"/>
              <w:bottom w:val="single" w:sz="4" w:space="0" w:color="auto"/>
            </w:tcBorders>
          </w:tcPr>
          <w:p w14:paraId="1A8A8AF1" w14:textId="1DE6E570" w:rsidR="00B92945" w:rsidRPr="000920AA" w:rsidRDefault="004D14FE" w:rsidP="00B92945">
            <w:pPr>
              <w:pStyle w:val="TableText"/>
              <w:jc w:val="right"/>
            </w:pPr>
            <w:r>
              <w:t>215</w:t>
            </w:r>
          </w:p>
        </w:tc>
      </w:tr>
      <w:tr w:rsidR="00B92945" w14:paraId="0684ED8D" w14:textId="2713DBA9" w:rsidTr="00B92945">
        <w:tc>
          <w:tcPr>
            <w:tcW w:w="858" w:type="pct"/>
            <w:vMerge/>
          </w:tcPr>
          <w:p w14:paraId="78B31A46" w14:textId="238B9EE9" w:rsidR="00B92945" w:rsidRDefault="00B92945" w:rsidP="00B92945">
            <w:pPr>
              <w:pStyle w:val="TableText"/>
            </w:pPr>
          </w:p>
        </w:tc>
        <w:tc>
          <w:tcPr>
            <w:tcW w:w="1584" w:type="pct"/>
            <w:tcBorders>
              <w:top w:val="single" w:sz="4" w:space="0" w:color="auto"/>
              <w:bottom w:val="single" w:sz="4" w:space="0" w:color="auto"/>
            </w:tcBorders>
          </w:tcPr>
          <w:p w14:paraId="0A03E48C" w14:textId="0319A250" w:rsidR="00B92945" w:rsidRDefault="00B92945" w:rsidP="00B92945">
            <w:pPr>
              <w:pStyle w:val="TableText"/>
            </w:pPr>
            <w:r>
              <w:t xml:space="preserve">Compliance agreement </w:t>
            </w:r>
            <w:r w:rsidRPr="000920AA">
              <w:t xml:space="preserve">– </w:t>
            </w:r>
            <w:r>
              <w:t xml:space="preserve">multiple for full year </w:t>
            </w:r>
          </w:p>
        </w:tc>
        <w:tc>
          <w:tcPr>
            <w:tcW w:w="1182" w:type="pct"/>
            <w:tcBorders>
              <w:top w:val="single" w:sz="4" w:space="0" w:color="auto"/>
              <w:bottom w:val="single" w:sz="4" w:space="0" w:color="auto"/>
            </w:tcBorders>
          </w:tcPr>
          <w:p w14:paraId="52637EBD" w14:textId="5746FE0E" w:rsidR="00B92945" w:rsidRPr="000920AA" w:rsidRDefault="00B92945" w:rsidP="00B92945">
            <w:pPr>
              <w:pStyle w:val="TableText"/>
            </w:pPr>
            <w:r w:rsidRPr="000920AA">
              <w:t>Per item</w:t>
            </w:r>
          </w:p>
        </w:tc>
        <w:tc>
          <w:tcPr>
            <w:tcW w:w="688" w:type="pct"/>
            <w:tcBorders>
              <w:top w:val="single" w:sz="4" w:space="0" w:color="auto"/>
              <w:bottom w:val="single" w:sz="4" w:space="0" w:color="auto"/>
            </w:tcBorders>
          </w:tcPr>
          <w:p w14:paraId="0F05275F" w14:textId="1C84F277" w:rsidR="00B92945" w:rsidRDefault="00B92945" w:rsidP="00B92945">
            <w:pPr>
              <w:pStyle w:val="TableText"/>
              <w:jc w:val="right"/>
            </w:pPr>
            <w:r>
              <w:t>3,316</w:t>
            </w:r>
          </w:p>
        </w:tc>
        <w:tc>
          <w:tcPr>
            <w:tcW w:w="688" w:type="pct"/>
            <w:tcBorders>
              <w:top w:val="single" w:sz="4" w:space="0" w:color="auto"/>
              <w:bottom w:val="single" w:sz="4" w:space="0" w:color="auto"/>
            </w:tcBorders>
          </w:tcPr>
          <w:p w14:paraId="4E01F51F" w14:textId="7E1FDAA5" w:rsidR="00B92945" w:rsidRPr="000920AA" w:rsidRDefault="009731D4" w:rsidP="00B92945">
            <w:pPr>
              <w:pStyle w:val="TableText"/>
              <w:jc w:val="right"/>
            </w:pPr>
            <w:r>
              <w:t>3</w:t>
            </w:r>
            <w:r w:rsidR="00046705">
              <w:t>,</w:t>
            </w:r>
            <w:r>
              <w:t>442</w:t>
            </w:r>
          </w:p>
        </w:tc>
      </w:tr>
      <w:tr w:rsidR="00B92945" w14:paraId="4513B1D9" w14:textId="14CCD6EF" w:rsidTr="00B92945">
        <w:tc>
          <w:tcPr>
            <w:tcW w:w="858" w:type="pct"/>
            <w:vMerge/>
          </w:tcPr>
          <w:p w14:paraId="3499EF33" w14:textId="3FDEB5A4" w:rsidR="00B92945" w:rsidRDefault="00B92945" w:rsidP="00B92945">
            <w:pPr>
              <w:pStyle w:val="TableText"/>
            </w:pPr>
          </w:p>
        </w:tc>
        <w:tc>
          <w:tcPr>
            <w:tcW w:w="1584" w:type="pct"/>
            <w:tcBorders>
              <w:top w:val="single" w:sz="4" w:space="0" w:color="auto"/>
              <w:bottom w:val="single" w:sz="4" w:space="0" w:color="auto"/>
            </w:tcBorders>
          </w:tcPr>
          <w:p w14:paraId="40B363C6" w14:textId="611E1735" w:rsidR="00B92945" w:rsidRDefault="00B92945" w:rsidP="00B92945">
            <w:pPr>
              <w:pStyle w:val="TableText"/>
            </w:pPr>
            <w:r>
              <w:t xml:space="preserve">Compliance agreement </w:t>
            </w:r>
            <w:r w:rsidRPr="000920AA">
              <w:t xml:space="preserve">– </w:t>
            </w:r>
            <w:r>
              <w:t xml:space="preserve">multiple for part year </w:t>
            </w:r>
          </w:p>
          <w:p w14:paraId="107A3B1E" w14:textId="602B1827" w:rsidR="00B92945" w:rsidRDefault="00B92945" w:rsidP="00B92945">
            <w:pPr>
              <w:pStyle w:val="TableText"/>
            </w:pPr>
            <w:r>
              <w:t>(</w:t>
            </w:r>
            <w:r w:rsidRPr="000920AA">
              <w:t>Part year 50% of annual charge</w:t>
            </w:r>
            <w:r>
              <w:t>)</w:t>
            </w:r>
          </w:p>
        </w:tc>
        <w:tc>
          <w:tcPr>
            <w:tcW w:w="1182" w:type="pct"/>
            <w:tcBorders>
              <w:top w:val="single" w:sz="4" w:space="0" w:color="auto"/>
              <w:bottom w:val="single" w:sz="4" w:space="0" w:color="auto"/>
            </w:tcBorders>
          </w:tcPr>
          <w:p w14:paraId="3C3A9B3B" w14:textId="720B1DCF" w:rsidR="00B92945" w:rsidRPr="000920AA" w:rsidRDefault="00B92945" w:rsidP="00B92945">
            <w:pPr>
              <w:pStyle w:val="TableText"/>
            </w:pPr>
            <w:r w:rsidRPr="000920AA">
              <w:t>Per item</w:t>
            </w:r>
          </w:p>
        </w:tc>
        <w:tc>
          <w:tcPr>
            <w:tcW w:w="688" w:type="pct"/>
            <w:tcBorders>
              <w:top w:val="single" w:sz="4" w:space="0" w:color="auto"/>
              <w:bottom w:val="single" w:sz="4" w:space="0" w:color="auto"/>
            </w:tcBorders>
          </w:tcPr>
          <w:p w14:paraId="26C4BCA4" w14:textId="6414E182" w:rsidR="00B92945" w:rsidRDefault="00B92945" w:rsidP="00B92945">
            <w:pPr>
              <w:pStyle w:val="TableText"/>
              <w:jc w:val="right"/>
            </w:pPr>
            <w:r>
              <w:t>1,658</w:t>
            </w:r>
          </w:p>
        </w:tc>
        <w:tc>
          <w:tcPr>
            <w:tcW w:w="688" w:type="pct"/>
            <w:tcBorders>
              <w:top w:val="single" w:sz="4" w:space="0" w:color="auto"/>
              <w:bottom w:val="single" w:sz="4" w:space="0" w:color="auto"/>
            </w:tcBorders>
          </w:tcPr>
          <w:p w14:paraId="2F61FC27" w14:textId="4E685D37" w:rsidR="00B92945" w:rsidRPr="000920AA" w:rsidRDefault="009731D4" w:rsidP="00B92945">
            <w:pPr>
              <w:pStyle w:val="TableText"/>
              <w:jc w:val="right"/>
            </w:pPr>
            <w:r>
              <w:t>1</w:t>
            </w:r>
            <w:r w:rsidR="00046705">
              <w:t>,</w:t>
            </w:r>
            <w:r>
              <w:t>721</w:t>
            </w:r>
          </w:p>
        </w:tc>
      </w:tr>
      <w:tr w:rsidR="00B92945" w14:paraId="5F24306F" w14:textId="34773FB5" w:rsidTr="00B92945">
        <w:tc>
          <w:tcPr>
            <w:tcW w:w="858" w:type="pct"/>
            <w:vMerge/>
          </w:tcPr>
          <w:p w14:paraId="49188949" w14:textId="115E3B09" w:rsidR="00B92945" w:rsidRDefault="00B92945" w:rsidP="00B92945">
            <w:pPr>
              <w:pStyle w:val="TableText"/>
            </w:pPr>
          </w:p>
        </w:tc>
        <w:tc>
          <w:tcPr>
            <w:tcW w:w="1584" w:type="pct"/>
            <w:tcBorders>
              <w:top w:val="single" w:sz="4" w:space="0" w:color="auto"/>
              <w:bottom w:val="single" w:sz="4" w:space="0" w:color="auto"/>
            </w:tcBorders>
          </w:tcPr>
          <w:p w14:paraId="4D579594" w14:textId="6023CFC4" w:rsidR="00B92945" w:rsidRDefault="00B92945" w:rsidP="00B92945">
            <w:pPr>
              <w:pStyle w:val="TableText"/>
            </w:pPr>
            <w:r>
              <w:t xml:space="preserve">Compliance agreement </w:t>
            </w:r>
            <w:r w:rsidRPr="000920AA">
              <w:t>– single</w:t>
            </w:r>
            <w:r>
              <w:t xml:space="preserve"> for full year </w:t>
            </w:r>
          </w:p>
        </w:tc>
        <w:tc>
          <w:tcPr>
            <w:tcW w:w="1182" w:type="pct"/>
            <w:tcBorders>
              <w:top w:val="single" w:sz="4" w:space="0" w:color="auto"/>
              <w:bottom w:val="single" w:sz="4" w:space="0" w:color="auto"/>
            </w:tcBorders>
          </w:tcPr>
          <w:p w14:paraId="3412235C" w14:textId="1F0A42C9" w:rsidR="00B92945" w:rsidRDefault="00B92945" w:rsidP="00B92945">
            <w:pPr>
              <w:pStyle w:val="TableText"/>
            </w:pPr>
            <w:r w:rsidRPr="000920AA">
              <w:t>Per item</w:t>
            </w:r>
          </w:p>
        </w:tc>
        <w:tc>
          <w:tcPr>
            <w:tcW w:w="688" w:type="pct"/>
            <w:tcBorders>
              <w:top w:val="single" w:sz="4" w:space="0" w:color="auto"/>
              <w:bottom w:val="single" w:sz="4" w:space="0" w:color="auto"/>
            </w:tcBorders>
          </w:tcPr>
          <w:p w14:paraId="78AB751A" w14:textId="06D55C77" w:rsidR="00B92945" w:rsidRPr="000920AA" w:rsidRDefault="00B92945" w:rsidP="00B92945">
            <w:pPr>
              <w:pStyle w:val="TableText"/>
              <w:jc w:val="right"/>
            </w:pPr>
            <w:r>
              <w:t>2,857</w:t>
            </w:r>
          </w:p>
        </w:tc>
        <w:tc>
          <w:tcPr>
            <w:tcW w:w="688" w:type="pct"/>
            <w:tcBorders>
              <w:top w:val="single" w:sz="4" w:space="0" w:color="auto"/>
              <w:bottom w:val="single" w:sz="4" w:space="0" w:color="auto"/>
            </w:tcBorders>
          </w:tcPr>
          <w:p w14:paraId="51B9EB38" w14:textId="037ED9D4" w:rsidR="00B92945" w:rsidRPr="000920AA" w:rsidRDefault="009731D4" w:rsidP="00B92945">
            <w:pPr>
              <w:pStyle w:val="TableText"/>
              <w:jc w:val="right"/>
            </w:pPr>
            <w:r>
              <w:t>2,966</w:t>
            </w:r>
          </w:p>
        </w:tc>
      </w:tr>
      <w:tr w:rsidR="00B92945" w14:paraId="6DBF0C16" w14:textId="750BAEA6" w:rsidTr="00B92945">
        <w:tc>
          <w:tcPr>
            <w:tcW w:w="858" w:type="pct"/>
            <w:vMerge/>
          </w:tcPr>
          <w:p w14:paraId="1897BA03" w14:textId="5DD3C43D" w:rsidR="00B92945" w:rsidRDefault="00B92945" w:rsidP="00B92945">
            <w:pPr>
              <w:pStyle w:val="TableText"/>
            </w:pPr>
          </w:p>
        </w:tc>
        <w:tc>
          <w:tcPr>
            <w:tcW w:w="1584" w:type="pct"/>
            <w:tcBorders>
              <w:top w:val="single" w:sz="4" w:space="0" w:color="auto"/>
              <w:bottom w:val="single" w:sz="4" w:space="0" w:color="auto"/>
            </w:tcBorders>
          </w:tcPr>
          <w:p w14:paraId="57086853" w14:textId="2CDB23F2" w:rsidR="00B92945" w:rsidRDefault="00B92945" w:rsidP="00B92945">
            <w:pPr>
              <w:pStyle w:val="TableText"/>
            </w:pPr>
            <w:r>
              <w:t xml:space="preserve">Compliance agreement </w:t>
            </w:r>
            <w:r w:rsidRPr="000920AA">
              <w:t>– single</w:t>
            </w:r>
            <w:r>
              <w:t xml:space="preserve"> for part year </w:t>
            </w:r>
          </w:p>
          <w:p w14:paraId="0FC7C023" w14:textId="6743EB09" w:rsidR="00B92945" w:rsidRDefault="00B92945" w:rsidP="00B92945">
            <w:pPr>
              <w:pStyle w:val="TableText"/>
            </w:pPr>
            <w:r>
              <w:t>(</w:t>
            </w:r>
            <w:r w:rsidRPr="000920AA">
              <w:t>Part year 50% of annual charge</w:t>
            </w:r>
            <w:r>
              <w:t>)</w:t>
            </w:r>
          </w:p>
        </w:tc>
        <w:tc>
          <w:tcPr>
            <w:tcW w:w="1182" w:type="pct"/>
            <w:tcBorders>
              <w:top w:val="single" w:sz="4" w:space="0" w:color="auto"/>
              <w:bottom w:val="single" w:sz="4" w:space="0" w:color="auto"/>
            </w:tcBorders>
          </w:tcPr>
          <w:p w14:paraId="7D22B748" w14:textId="1B10B1A7" w:rsidR="00B92945" w:rsidRPr="000920AA" w:rsidRDefault="00B92945" w:rsidP="00B92945">
            <w:pPr>
              <w:pStyle w:val="TableText"/>
            </w:pPr>
            <w:r w:rsidRPr="000920AA">
              <w:t>Per item</w:t>
            </w:r>
          </w:p>
        </w:tc>
        <w:tc>
          <w:tcPr>
            <w:tcW w:w="688" w:type="pct"/>
            <w:tcBorders>
              <w:top w:val="single" w:sz="4" w:space="0" w:color="auto"/>
              <w:bottom w:val="single" w:sz="4" w:space="0" w:color="auto"/>
            </w:tcBorders>
          </w:tcPr>
          <w:p w14:paraId="0F04FA20" w14:textId="3672425A" w:rsidR="00B92945" w:rsidRDefault="00B92945" w:rsidP="00B92945">
            <w:pPr>
              <w:pStyle w:val="TableText"/>
              <w:jc w:val="right"/>
            </w:pPr>
            <w:r>
              <w:t>1,428.50</w:t>
            </w:r>
          </w:p>
        </w:tc>
        <w:tc>
          <w:tcPr>
            <w:tcW w:w="688" w:type="pct"/>
            <w:tcBorders>
              <w:top w:val="single" w:sz="4" w:space="0" w:color="auto"/>
              <w:bottom w:val="single" w:sz="4" w:space="0" w:color="auto"/>
            </w:tcBorders>
          </w:tcPr>
          <w:p w14:paraId="37DE4AAE" w14:textId="32B8C288" w:rsidR="00B92945" w:rsidRPr="000920AA" w:rsidRDefault="009731D4" w:rsidP="00B92945">
            <w:pPr>
              <w:pStyle w:val="TableText"/>
              <w:jc w:val="right"/>
            </w:pPr>
            <w:r>
              <w:t>1,483</w:t>
            </w:r>
          </w:p>
        </w:tc>
      </w:tr>
      <w:tr w:rsidR="00B92945" w14:paraId="72C5E27E" w14:textId="4055A859" w:rsidTr="00B92945">
        <w:tc>
          <w:tcPr>
            <w:tcW w:w="858" w:type="pct"/>
          </w:tcPr>
          <w:p w14:paraId="56BED62A" w14:textId="5C380EF0" w:rsidR="00B92945" w:rsidRDefault="00B92945" w:rsidP="00B92945">
            <w:pPr>
              <w:pStyle w:val="TableText"/>
            </w:pPr>
          </w:p>
        </w:tc>
        <w:tc>
          <w:tcPr>
            <w:tcW w:w="1584" w:type="pct"/>
            <w:tcBorders>
              <w:top w:val="single" w:sz="4" w:space="0" w:color="auto"/>
              <w:bottom w:val="single" w:sz="4" w:space="0" w:color="auto"/>
            </w:tcBorders>
          </w:tcPr>
          <w:p w14:paraId="102B68C2" w14:textId="29726B98" w:rsidR="00B92945" w:rsidRDefault="00B92945" w:rsidP="00B92945">
            <w:pPr>
              <w:pStyle w:val="TableText"/>
            </w:pPr>
            <w:r>
              <w:t>Compliance agreement</w:t>
            </w:r>
            <w:r w:rsidRPr="00497B15">
              <w:t xml:space="preserve"> – upgrade full year– class 19</w:t>
            </w:r>
          </w:p>
          <w:p w14:paraId="722AE950" w14:textId="178664F3" w:rsidR="00B92945" w:rsidRDefault="00B92945" w:rsidP="00B92945">
            <w:pPr>
              <w:pStyle w:val="TableText"/>
            </w:pPr>
            <w:r w:rsidRPr="00497B15">
              <w:t xml:space="preserve">(Covered by a class 19 then approved </w:t>
            </w:r>
            <w:r>
              <w:t>to hold an</w:t>
            </w:r>
            <w:r w:rsidRPr="00497B15">
              <w:t xml:space="preserve"> </w:t>
            </w:r>
            <w:r>
              <w:t>agreement</w:t>
            </w:r>
            <w:r w:rsidRPr="00497B15">
              <w:t xml:space="preserve"> before 1 January in the same financial year)</w:t>
            </w:r>
          </w:p>
        </w:tc>
        <w:tc>
          <w:tcPr>
            <w:tcW w:w="1182" w:type="pct"/>
            <w:tcBorders>
              <w:top w:val="single" w:sz="4" w:space="0" w:color="auto"/>
              <w:bottom w:val="single" w:sz="4" w:space="0" w:color="auto"/>
            </w:tcBorders>
          </w:tcPr>
          <w:p w14:paraId="73459D04" w14:textId="15036FA1" w:rsidR="00B92945" w:rsidRPr="000920AA" w:rsidRDefault="00B92945" w:rsidP="00B92945">
            <w:pPr>
              <w:pStyle w:val="TableText"/>
            </w:pPr>
            <w:r w:rsidRPr="009E5B08">
              <w:t>Per item</w:t>
            </w:r>
          </w:p>
        </w:tc>
        <w:tc>
          <w:tcPr>
            <w:tcW w:w="688" w:type="pct"/>
            <w:tcBorders>
              <w:top w:val="single" w:sz="4" w:space="0" w:color="auto"/>
              <w:bottom w:val="single" w:sz="4" w:space="0" w:color="auto"/>
            </w:tcBorders>
          </w:tcPr>
          <w:p w14:paraId="066CC7DF" w14:textId="4B0206F3" w:rsidR="00B92945" w:rsidRPr="00B64276" w:rsidRDefault="00B92945" w:rsidP="00B92945">
            <w:pPr>
              <w:pStyle w:val="TableText"/>
              <w:jc w:val="right"/>
            </w:pPr>
            <w:r w:rsidRPr="00B64276">
              <w:t>2,744</w:t>
            </w:r>
          </w:p>
        </w:tc>
        <w:tc>
          <w:tcPr>
            <w:tcW w:w="688" w:type="pct"/>
            <w:tcBorders>
              <w:top w:val="single" w:sz="4" w:space="0" w:color="auto"/>
              <w:bottom w:val="single" w:sz="4" w:space="0" w:color="auto"/>
            </w:tcBorders>
          </w:tcPr>
          <w:p w14:paraId="50A5A581" w14:textId="0D66EB18" w:rsidR="00B92945" w:rsidRDefault="004D14FE" w:rsidP="00B92945">
            <w:pPr>
              <w:pStyle w:val="TableText"/>
              <w:jc w:val="right"/>
            </w:pPr>
            <w:r>
              <w:t>2</w:t>
            </w:r>
            <w:r w:rsidR="00046705">
              <w:t>,</w:t>
            </w:r>
            <w:r>
              <w:t>848</w:t>
            </w:r>
          </w:p>
        </w:tc>
      </w:tr>
      <w:tr w:rsidR="00B92945" w14:paraId="3B5670B1" w14:textId="36189662" w:rsidTr="00B92945">
        <w:tc>
          <w:tcPr>
            <w:tcW w:w="858" w:type="pct"/>
          </w:tcPr>
          <w:p w14:paraId="2C8EFA7B" w14:textId="312833C0" w:rsidR="00B92945" w:rsidRDefault="00B92945" w:rsidP="00B92945">
            <w:pPr>
              <w:pStyle w:val="TableText"/>
            </w:pPr>
          </w:p>
        </w:tc>
        <w:tc>
          <w:tcPr>
            <w:tcW w:w="1584" w:type="pct"/>
            <w:tcBorders>
              <w:top w:val="single" w:sz="4" w:space="0" w:color="auto"/>
              <w:bottom w:val="single" w:sz="4" w:space="0" w:color="auto"/>
            </w:tcBorders>
          </w:tcPr>
          <w:p w14:paraId="180F4F30" w14:textId="518638A5" w:rsidR="00B92945" w:rsidRDefault="00B92945" w:rsidP="00B92945">
            <w:pPr>
              <w:pStyle w:val="TableText"/>
            </w:pPr>
            <w:r>
              <w:t>Compliance agreement</w:t>
            </w:r>
            <w:r w:rsidRPr="00497B15">
              <w:t xml:space="preserve"> – upgrade part year– class 19</w:t>
            </w:r>
          </w:p>
          <w:p w14:paraId="042BFA28" w14:textId="31838192" w:rsidR="00B92945" w:rsidRDefault="00B92945" w:rsidP="00B92945">
            <w:pPr>
              <w:pStyle w:val="TableText"/>
            </w:pPr>
            <w:r w:rsidRPr="00497B15">
              <w:t xml:space="preserve">(Covered by a class 19 then approved </w:t>
            </w:r>
            <w:r>
              <w:t>to hold an agreement</w:t>
            </w:r>
            <w:r w:rsidRPr="00497B15">
              <w:t xml:space="preserve"> after 1 January in the same financial year)</w:t>
            </w:r>
          </w:p>
        </w:tc>
        <w:tc>
          <w:tcPr>
            <w:tcW w:w="1182" w:type="pct"/>
            <w:tcBorders>
              <w:top w:val="single" w:sz="4" w:space="0" w:color="auto"/>
              <w:bottom w:val="single" w:sz="4" w:space="0" w:color="auto"/>
            </w:tcBorders>
          </w:tcPr>
          <w:p w14:paraId="26289039" w14:textId="5030CF16" w:rsidR="00B92945" w:rsidRPr="000920AA" w:rsidRDefault="00B92945" w:rsidP="00B92945">
            <w:pPr>
              <w:pStyle w:val="TableText"/>
            </w:pPr>
            <w:r w:rsidRPr="009E5B08">
              <w:t>Per item</w:t>
            </w:r>
          </w:p>
        </w:tc>
        <w:tc>
          <w:tcPr>
            <w:tcW w:w="688" w:type="pct"/>
            <w:tcBorders>
              <w:top w:val="single" w:sz="4" w:space="0" w:color="auto"/>
              <w:bottom w:val="single" w:sz="4" w:space="0" w:color="auto"/>
            </w:tcBorders>
          </w:tcPr>
          <w:p w14:paraId="27400B3B" w14:textId="48319815" w:rsidR="00B92945" w:rsidRPr="00B64276" w:rsidRDefault="00B92945" w:rsidP="00B92945">
            <w:pPr>
              <w:pStyle w:val="TableText"/>
              <w:jc w:val="right"/>
            </w:pPr>
            <w:r w:rsidRPr="00B64276">
              <w:t>1,086</w:t>
            </w:r>
          </w:p>
        </w:tc>
        <w:tc>
          <w:tcPr>
            <w:tcW w:w="688" w:type="pct"/>
            <w:tcBorders>
              <w:top w:val="single" w:sz="4" w:space="0" w:color="auto"/>
              <w:bottom w:val="single" w:sz="4" w:space="0" w:color="auto"/>
            </w:tcBorders>
          </w:tcPr>
          <w:p w14:paraId="7D319D51" w14:textId="7AE4C9A4" w:rsidR="00B92945" w:rsidRDefault="004D14FE" w:rsidP="00B92945">
            <w:pPr>
              <w:pStyle w:val="TableText"/>
              <w:jc w:val="right"/>
            </w:pPr>
            <w:r>
              <w:t>1</w:t>
            </w:r>
            <w:r w:rsidR="00046705">
              <w:t>,</w:t>
            </w:r>
            <w:r>
              <w:t>127</w:t>
            </w:r>
          </w:p>
        </w:tc>
      </w:tr>
      <w:tr w:rsidR="00B92945" w14:paraId="21D00E75" w14:textId="5DD82B75" w:rsidTr="00B92945">
        <w:tc>
          <w:tcPr>
            <w:tcW w:w="858" w:type="pct"/>
          </w:tcPr>
          <w:p w14:paraId="7E2E038C" w14:textId="684E068A" w:rsidR="00B92945" w:rsidRDefault="00B92945" w:rsidP="00B92945">
            <w:pPr>
              <w:pStyle w:val="TableText"/>
            </w:pPr>
          </w:p>
        </w:tc>
        <w:tc>
          <w:tcPr>
            <w:tcW w:w="1584" w:type="pct"/>
            <w:tcBorders>
              <w:top w:val="single" w:sz="4" w:space="0" w:color="auto"/>
              <w:bottom w:val="single" w:sz="4" w:space="0" w:color="auto"/>
            </w:tcBorders>
          </w:tcPr>
          <w:p w14:paraId="11EE6AD6" w14:textId="1C12E660" w:rsidR="00B92945" w:rsidRDefault="00B92945" w:rsidP="00B92945">
            <w:pPr>
              <w:pStyle w:val="TableText"/>
            </w:pPr>
            <w:r>
              <w:t xml:space="preserve">Compliance agreement </w:t>
            </w:r>
            <w:r w:rsidRPr="00497B15">
              <w:t>– upgrade part year – class 19</w:t>
            </w:r>
          </w:p>
          <w:p w14:paraId="464B1C7A" w14:textId="787AF7C7" w:rsidR="00B92945" w:rsidRDefault="00B92945" w:rsidP="00B92945">
            <w:pPr>
              <w:pStyle w:val="TableText"/>
            </w:pPr>
            <w:r w:rsidRPr="00497B15">
              <w:t xml:space="preserve">(Covered by a class 19 for the first time after 1 January then </w:t>
            </w:r>
            <w:r>
              <w:t xml:space="preserve">is </w:t>
            </w:r>
            <w:r w:rsidRPr="00497B15">
              <w:t xml:space="preserve">approved </w:t>
            </w:r>
            <w:r>
              <w:t>to hold an</w:t>
            </w:r>
            <w:r w:rsidRPr="00497B15">
              <w:t xml:space="preserve"> </w:t>
            </w:r>
            <w:r>
              <w:t xml:space="preserve">agreement </w:t>
            </w:r>
            <w:r w:rsidRPr="00497B15">
              <w:t xml:space="preserve">in </w:t>
            </w:r>
            <w:r>
              <w:t>the same</w:t>
            </w:r>
            <w:r w:rsidRPr="00497B15">
              <w:t xml:space="preserve"> financial year)</w:t>
            </w:r>
          </w:p>
        </w:tc>
        <w:tc>
          <w:tcPr>
            <w:tcW w:w="1182" w:type="pct"/>
            <w:tcBorders>
              <w:top w:val="single" w:sz="4" w:space="0" w:color="auto"/>
              <w:bottom w:val="single" w:sz="4" w:space="0" w:color="auto"/>
            </w:tcBorders>
          </w:tcPr>
          <w:p w14:paraId="4A904FA8" w14:textId="7E599789" w:rsidR="00B92945" w:rsidRPr="000920AA" w:rsidRDefault="00B92945" w:rsidP="00B92945">
            <w:pPr>
              <w:pStyle w:val="TableText"/>
            </w:pPr>
            <w:r w:rsidRPr="009E5B08">
              <w:t>Per item</w:t>
            </w:r>
          </w:p>
        </w:tc>
        <w:tc>
          <w:tcPr>
            <w:tcW w:w="688" w:type="pct"/>
            <w:tcBorders>
              <w:top w:val="single" w:sz="4" w:space="0" w:color="auto"/>
              <w:bottom w:val="single" w:sz="4" w:space="0" w:color="auto"/>
            </w:tcBorders>
          </w:tcPr>
          <w:p w14:paraId="74988DC9" w14:textId="727359D2" w:rsidR="00B92945" w:rsidRPr="00B64276" w:rsidRDefault="00B92945" w:rsidP="00B92945">
            <w:pPr>
              <w:pStyle w:val="TableText"/>
              <w:jc w:val="right"/>
            </w:pPr>
            <w:r w:rsidRPr="00B64276">
              <w:t>1,372</w:t>
            </w:r>
          </w:p>
        </w:tc>
        <w:tc>
          <w:tcPr>
            <w:tcW w:w="688" w:type="pct"/>
            <w:tcBorders>
              <w:top w:val="single" w:sz="4" w:space="0" w:color="auto"/>
              <w:bottom w:val="single" w:sz="4" w:space="0" w:color="auto"/>
            </w:tcBorders>
          </w:tcPr>
          <w:p w14:paraId="1D4CC9FB" w14:textId="1D54EB6B" w:rsidR="00B92945" w:rsidRDefault="004D14FE" w:rsidP="00B92945">
            <w:pPr>
              <w:pStyle w:val="TableText"/>
              <w:jc w:val="right"/>
            </w:pPr>
            <w:r>
              <w:t>1</w:t>
            </w:r>
            <w:r w:rsidR="00046705">
              <w:t>,</w:t>
            </w:r>
            <w:r>
              <w:t>424</w:t>
            </w:r>
          </w:p>
        </w:tc>
      </w:tr>
      <w:tr w:rsidR="00B92945" w14:paraId="2DABD035" w14:textId="2658913E" w:rsidTr="00B92945">
        <w:tc>
          <w:tcPr>
            <w:tcW w:w="858" w:type="pct"/>
          </w:tcPr>
          <w:p w14:paraId="45C7708D" w14:textId="49081234" w:rsidR="00B92945" w:rsidRDefault="00B92945" w:rsidP="00B92945">
            <w:pPr>
              <w:pStyle w:val="TableText"/>
            </w:pPr>
          </w:p>
        </w:tc>
        <w:tc>
          <w:tcPr>
            <w:tcW w:w="1584" w:type="pct"/>
            <w:tcBorders>
              <w:top w:val="single" w:sz="4" w:space="0" w:color="auto"/>
              <w:bottom w:val="single" w:sz="4" w:space="0" w:color="auto"/>
            </w:tcBorders>
          </w:tcPr>
          <w:p w14:paraId="7300C90F" w14:textId="25FC7FF1" w:rsidR="00B92945" w:rsidRDefault="00B92945" w:rsidP="00B92945">
            <w:pPr>
              <w:pStyle w:val="TableText"/>
            </w:pPr>
            <w:r>
              <w:t>Compliance agreement</w:t>
            </w:r>
            <w:r w:rsidRPr="00497B15">
              <w:t xml:space="preserve"> – upgrade full year </w:t>
            </w:r>
          </w:p>
          <w:p w14:paraId="0F35A718" w14:textId="44C9F39D" w:rsidR="00B92945" w:rsidRDefault="00B92945" w:rsidP="00B92945">
            <w:pPr>
              <w:pStyle w:val="TableText"/>
            </w:pPr>
            <w:r w:rsidRPr="00497B15">
              <w:t>(Covered by a</w:t>
            </w:r>
            <w:r>
              <w:t xml:space="preserve">n agreement </w:t>
            </w:r>
            <w:r w:rsidRPr="00497B15">
              <w:t xml:space="preserve">then approved to hold </w:t>
            </w:r>
            <w:r>
              <w:t>an</w:t>
            </w:r>
            <w:r w:rsidRPr="00497B15">
              <w:t xml:space="preserve"> approved arrangement before 1 January in the same financial year)</w:t>
            </w:r>
          </w:p>
        </w:tc>
        <w:tc>
          <w:tcPr>
            <w:tcW w:w="1182" w:type="pct"/>
            <w:tcBorders>
              <w:top w:val="single" w:sz="4" w:space="0" w:color="auto"/>
              <w:bottom w:val="single" w:sz="4" w:space="0" w:color="auto"/>
            </w:tcBorders>
          </w:tcPr>
          <w:p w14:paraId="1857FD57" w14:textId="4393C574" w:rsidR="00B92945" w:rsidRPr="000920AA" w:rsidRDefault="00B92945" w:rsidP="00B92945">
            <w:pPr>
              <w:pStyle w:val="TableText"/>
            </w:pPr>
            <w:r w:rsidRPr="009E5B08">
              <w:t>Per item</w:t>
            </w:r>
          </w:p>
        </w:tc>
        <w:tc>
          <w:tcPr>
            <w:tcW w:w="688" w:type="pct"/>
            <w:tcBorders>
              <w:top w:val="single" w:sz="4" w:space="0" w:color="auto"/>
              <w:bottom w:val="single" w:sz="4" w:space="0" w:color="auto"/>
            </w:tcBorders>
          </w:tcPr>
          <w:p w14:paraId="3DE343C5" w14:textId="16E1CE47" w:rsidR="00B92945" w:rsidRPr="00B64276" w:rsidRDefault="00B92945" w:rsidP="00B92945">
            <w:pPr>
              <w:pStyle w:val="TableText"/>
              <w:jc w:val="right"/>
            </w:pPr>
            <w:r w:rsidRPr="00B64276">
              <w:t>459</w:t>
            </w:r>
          </w:p>
        </w:tc>
        <w:tc>
          <w:tcPr>
            <w:tcW w:w="688" w:type="pct"/>
            <w:tcBorders>
              <w:top w:val="single" w:sz="4" w:space="0" w:color="auto"/>
              <w:bottom w:val="single" w:sz="4" w:space="0" w:color="auto"/>
            </w:tcBorders>
          </w:tcPr>
          <w:p w14:paraId="029EC03C" w14:textId="49499150" w:rsidR="00B92945" w:rsidRDefault="004D14FE" w:rsidP="00B92945">
            <w:pPr>
              <w:pStyle w:val="TableText"/>
              <w:jc w:val="right"/>
            </w:pPr>
            <w:r>
              <w:t>476</w:t>
            </w:r>
          </w:p>
        </w:tc>
      </w:tr>
      <w:tr w:rsidR="00B92945" w14:paraId="418A5339" w14:textId="78EA0894" w:rsidTr="00B92945">
        <w:tc>
          <w:tcPr>
            <w:tcW w:w="858" w:type="pct"/>
          </w:tcPr>
          <w:p w14:paraId="335F4FC8" w14:textId="2EC8AF92" w:rsidR="00B92945" w:rsidRDefault="00B92945" w:rsidP="00B92945">
            <w:pPr>
              <w:pStyle w:val="TableText"/>
            </w:pPr>
          </w:p>
        </w:tc>
        <w:tc>
          <w:tcPr>
            <w:tcW w:w="1584" w:type="pct"/>
            <w:tcBorders>
              <w:top w:val="single" w:sz="4" w:space="0" w:color="auto"/>
              <w:bottom w:val="single" w:sz="4" w:space="0" w:color="auto"/>
            </w:tcBorders>
          </w:tcPr>
          <w:p w14:paraId="6A846CEB" w14:textId="00AE67BE" w:rsidR="00B92945" w:rsidRDefault="00B92945" w:rsidP="00B92945">
            <w:pPr>
              <w:pStyle w:val="TableText"/>
            </w:pPr>
            <w:r>
              <w:t>Compliance agreement</w:t>
            </w:r>
            <w:r w:rsidRPr="00497B15">
              <w:t xml:space="preserve"> – upgrade part year</w:t>
            </w:r>
            <w:r>
              <w:br/>
            </w:r>
            <w:r w:rsidRPr="00497B15">
              <w:t>(Covered by a</w:t>
            </w:r>
            <w:r>
              <w:t xml:space="preserve">n agreement </w:t>
            </w:r>
            <w:r w:rsidRPr="00497B15">
              <w:t xml:space="preserve">after January 1 then approved to hold at </w:t>
            </w:r>
            <w:r>
              <w:t>an</w:t>
            </w:r>
            <w:r w:rsidRPr="00497B15">
              <w:t xml:space="preserve"> arrangement after 1 January in the same financial year)</w:t>
            </w:r>
          </w:p>
        </w:tc>
        <w:tc>
          <w:tcPr>
            <w:tcW w:w="1182" w:type="pct"/>
            <w:tcBorders>
              <w:top w:val="single" w:sz="4" w:space="0" w:color="auto"/>
              <w:bottom w:val="single" w:sz="4" w:space="0" w:color="auto"/>
            </w:tcBorders>
          </w:tcPr>
          <w:p w14:paraId="75535539" w14:textId="3DCE9374" w:rsidR="00B92945" w:rsidRPr="000920AA" w:rsidRDefault="00B92945" w:rsidP="00B92945">
            <w:pPr>
              <w:pStyle w:val="TableText"/>
            </w:pPr>
          </w:p>
        </w:tc>
        <w:tc>
          <w:tcPr>
            <w:tcW w:w="688" w:type="pct"/>
            <w:tcBorders>
              <w:top w:val="single" w:sz="4" w:space="0" w:color="auto"/>
              <w:bottom w:val="single" w:sz="4" w:space="0" w:color="auto"/>
            </w:tcBorders>
          </w:tcPr>
          <w:p w14:paraId="1F313496" w14:textId="2888B5BE" w:rsidR="00B92945" w:rsidRPr="00B64276" w:rsidRDefault="00B92945" w:rsidP="00B92945">
            <w:pPr>
              <w:pStyle w:val="TableText"/>
              <w:jc w:val="right"/>
            </w:pPr>
            <w:r w:rsidRPr="00B64276">
              <w:t>229</w:t>
            </w:r>
          </w:p>
        </w:tc>
        <w:tc>
          <w:tcPr>
            <w:tcW w:w="688" w:type="pct"/>
            <w:tcBorders>
              <w:top w:val="single" w:sz="4" w:space="0" w:color="auto"/>
              <w:bottom w:val="single" w:sz="4" w:space="0" w:color="auto"/>
            </w:tcBorders>
          </w:tcPr>
          <w:p w14:paraId="18F97474" w14:textId="671A598B" w:rsidR="00B92945" w:rsidRDefault="004D14FE" w:rsidP="00B92945">
            <w:pPr>
              <w:pStyle w:val="TableText"/>
              <w:jc w:val="right"/>
            </w:pPr>
            <w:r>
              <w:t>238</w:t>
            </w:r>
          </w:p>
        </w:tc>
      </w:tr>
      <w:tr w:rsidR="00B92945" w14:paraId="41EE9321" w14:textId="2680787F" w:rsidTr="00B92945">
        <w:tc>
          <w:tcPr>
            <w:tcW w:w="858" w:type="pct"/>
            <w:vMerge w:val="restart"/>
            <w:tcBorders>
              <w:top w:val="single" w:sz="4" w:space="0" w:color="auto"/>
            </w:tcBorders>
          </w:tcPr>
          <w:p w14:paraId="3E804C21" w14:textId="5C729DBE" w:rsidR="00B92945" w:rsidRDefault="00B92945" w:rsidP="00B92945">
            <w:pPr>
              <w:pStyle w:val="TableText"/>
            </w:pPr>
            <w:r w:rsidRPr="008E563A">
              <w:t xml:space="preserve">Fee for service – issue of approval </w:t>
            </w:r>
            <w:r w:rsidRPr="008E563A">
              <w:lastRenderedPageBreak/>
              <w:t>or other relevant documentation, inspection, treatment, audit, analysis, training</w:t>
            </w:r>
          </w:p>
        </w:tc>
        <w:tc>
          <w:tcPr>
            <w:tcW w:w="1584" w:type="pct"/>
            <w:tcBorders>
              <w:top w:val="single" w:sz="4" w:space="0" w:color="auto"/>
              <w:bottom w:val="single" w:sz="4" w:space="0" w:color="auto"/>
            </w:tcBorders>
          </w:tcPr>
          <w:p w14:paraId="5AF55EC2" w14:textId="747385BC" w:rsidR="00B92945" w:rsidRPr="00BE205E" w:rsidRDefault="00B92945" w:rsidP="00B92945">
            <w:pPr>
              <w:pStyle w:val="TableText"/>
            </w:pPr>
            <w:r w:rsidRPr="00BE480D">
              <w:lastRenderedPageBreak/>
              <w:t>In-office fee during ordinary hours of duty</w:t>
            </w:r>
          </w:p>
        </w:tc>
        <w:tc>
          <w:tcPr>
            <w:tcW w:w="1182" w:type="pct"/>
            <w:tcBorders>
              <w:top w:val="single" w:sz="4" w:space="0" w:color="auto"/>
              <w:bottom w:val="single" w:sz="4" w:space="0" w:color="auto"/>
            </w:tcBorders>
          </w:tcPr>
          <w:p w14:paraId="12413157" w14:textId="73734613" w:rsidR="00B92945" w:rsidRPr="00BE205E" w:rsidRDefault="00B92945" w:rsidP="00B92945">
            <w:pPr>
              <w:pStyle w:val="TableText"/>
            </w:pPr>
            <w:r w:rsidRPr="00BE480D">
              <w:t>Per 15 minutes</w:t>
            </w:r>
            <w:r>
              <w:t xml:space="preserve"> for each person </w:t>
            </w:r>
          </w:p>
        </w:tc>
        <w:tc>
          <w:tcPr>
            <w:tcW w:w="688" w:type="pct"/>
            <w:tcBorders>
              <w:top w:val="single" w:sz="4" w:space="0" w:color="auto"/>
              <w:bottom w:val="single" w:sz="4" w:space="0" w:color="auto"/>
            </w:tcBorders>
          </w:tcPr>
          <w:p w14:paraId="4FE063E8" w14:textId="43A8EF06" w:rsidR="00B92945" w:rsidRPr="00BE480D" w:rsidRDefault="00B92945" w:rsidP="00B92945">
            <w:pPr>
              <w:pStyle w:val="TableText"/>
              <w:jc w:val="right"/>
            </w:pPr>
            <w:r>
              <w:t>40</w:t>
            </w:r>
          </w:p>
        </w:tc>
        <w:tc>
          <w:tcPr>
            <w:tcW w:w="688" w:type="pct"/>
            <w:tcBorders>
              <w:top w:val="single" w:sz="4" w:space="0" w:color="auto"/>
              <w:bottom w:val="single" w:sz="4" w:space="0" w:color="auto"/>
            </w:tcBorders>
          </w:tcPr>
          <w:p w14:paraId="46D20BAC" w14:textId="1FFF76E2" w:rsidR="00B92945" w:rsidRPr="00BE480D" w:rsidRDefault="009731D4" w:rsidP="00B92945">
            <w:pPr>
              <w:pStyle w:val="TableText"/>
              <w:jc w:val="right"/>
            </w:pPr>
            <w:r>
              <w:t>42</w:t>
            </w:r>
          </w:p>
        </w:tc>
      </w:tr>
      <w:tr w:rsidR="00B92945" w14:paraId="7D1078CB" w14:textId="255BC321" w:rsidTr="00B92945">
        <w:tc>
          <w:tcPr>
            <w:tcW w:w="858" w:type="pct"/>
            <w:vMerge/>
            <w:tcBorders>
              <w:top w:val="single" w:sz="4" w:space="0" w:color="auto"/>
            </w:tcBorders>
          </w:tcPr>
          <w:p w14:paraId="3E44418E" w14:textId="299B630D" w:rsidR="00B92945" w:rsidRPr="008E563A" w:rsidRDefault="00B92945" w:rsidP="00B92945">
            <w:pPr>
              <w:pStyle w:val="TableText"/>
            </w:pPr>
          </w:p>
        </w:tc>
        <w:tc>
          <w:tcPr>
            <w:tcW w:w="1584" w:type="pct"/>
            <w:tcBorders>
              <w:top w:val="single" w:sz="4" w:space="0" w:color="auto"/>
              <w:bottom w:val="single" w:sz="4" w:space="0" w:color="auto"/>
            </w:tcBorders>
          </w:tcPr>
          <w:p w14:paraId="507BE115" w14:textId="678F8027" w:rsidR="00B92945" w:rsidRDefault="00B92945" w:rsidP="00B92945">
            <w:pPr>
              <w:pStyle w:val="TableText"/>
              <w:rPr>
                <w:rFonts w:cstheme="minorHAnsi"/>
              </w:rPr>
            </w:pPr>
            <w:r w:rsidRPr="00736D8A">
              <w:t xml:space="preserve">In-office fee outside ordinary hours </w:t>
            </w:r>
            <w:r>
              <w:t xml:space="preserve">- </w:t>
            </w:r>
            <w:r>
              <w:rPr>
                <w:rFonts w:cstheme="minorHAnsi"/>
              </w:rPr>
              <w:t>w</w:t>
            </w:r>
            <w:r w:rsidRPr="003A58F8">
              <w:rPr>
                <w:rFonts w:cstheme="minorHAnsi"/>
              </w:rPr>
              <w:t>hen activity is provided immediately before or after ordinary hours</w:t>
            </w:r>
          </w:p>
          <w:p w14:paraId="5B93CCA9" w14:textId="7ADF0C55" w:rsidR="00B92945" w:rsidRPr="00BE205E" w:rsidRDefault="00B92945" w:rsidP="00B92945">
            <w:pPr>
              <w:pStyle w:val="TableText"/>
            </w:pPr>
            <w:r>
              <w:t>(continuous)</w:t>
            </w:r>
          </w:p>
        </w:tc>
        <w:tc>
          <w:tcPr>
            <w:tcW w:w="1182" w:type="pct"/>
            <w:tcBorders>
              <w:top w:val="single" w:sz="4" w:space="0" w:color="auto"/>
              <w:bottom w:val="single" w:sz="4" w:space="0" w:color="auto"/>
            </w:tcBorders>
          </w:tcPr>
          <w:p w14:paraId="501F54B2" w14:textId="11AC3F26" w:rsidR="00B92945" w:rsidRPr="00BE205E" w:rsidRDefault="00B92945" w:rsidP="00B92945">
            <w:pPr>
              <w:pStyle w:val="TableText"/>
            </w:pPr>
            <w:r w:rsidRPr="00736D8A">
              <w:t>Per 15 minutes</w:t>
            </w:r>
            <w:r>
              <w:t xml:space="preserve"> for each person</w:t>
            </w:r>
          </w:p>
        </w:tc>
        <w:tc>
          <w:tcPr>
            <w:tcW w:w="688" w:type="pct"/>
            <w:tcBorders>
              <w:top w:val="single" w:sz="4" w:space="0" w:color="auto"/>
              <w:bottom w:val="single" w:sz="4" w:space="0" w:color="auto"/>
            </w:tcBorders>
          </w:tcPr>
          <w:p w14:paraId="4C3B9F3B" w14:textId="36C70C5D" w:rsidR="00B92945" w:rsidRPr="00736D8A" w:rsidRDefault="00B92945" w:rsidP="00B92945">
            <w:pPr>
              <w:pStyle w:val="TableText"/>
              <w:jc w:val="right"/>
            </w:pPr>
            <w:r>
              <w:t>58</w:t>
            </w:r>
          </w:p>
        </w:tc>
        <w:tc>
          <w:tcPr>
            <w:tcW w:w="688" w:type="pct"/>
            <w:tcBorders>
              <w:top w:val="single" w:sz="4" w:space="0" w:color="auto"/>
              <w:bottom w:val="single" w:sz="4" w:space="0" w:color="auto"/>
            </w:tcBorders>
          </w:tcPr>
          <w:p w14:paraId="5D0120AE" w14:textId="584D379F" w:rsidR="00B92945" w:rsidRPr="00BE480D" w:rsidRDefault="009731D4" w:rsidP="00B92945">
            <w:pPr>
              <w:pStyle w:val="TableText"/>
              <w:jc w:val="right"/>
            </w:pPr>
            <w:r>
              <w:t>60</w:t>
            </w:r>
          </w:p>
        </w:tc>
      </w:tr>
      <w:tr w:rsidR="00B92945" w14:paraId="465FDD92" w14:textId="3BD85D52" w:rsidTr="00B92945">
        <w:tc>
          <w:tcPr>
            <w:tcW w:w="858" w:type="pct"/>
            <w:vMerge/>
            <w:tcBorders>
              <w:top w:val="single" w:sz="4" w:space="0" w:color="auto"/>
            </w:tcBorders>
          </w:tcPr>
          <w:p w14:paraId="33021C68" w14:textId="4C597FD6" w:rsidR="00B92945" w:rsidRPr="008E563A" w:rsidRDefault="00B92945" w:rsidP="00B92945">
            <w:pPr>
              <w:pStyle w:val="TableText"/>
            </w:pPr>
          </w:p>
        </w:tc>
        <w:tc>
          <w:tcPr>
            <w:tcW w:w="1584" w:type="pct"/>
            <w:tcBorders>
              <w:top w:val="single" w:sz="4" w:space="0" w:color="auto"/>
              <w:bottom w:val="single" w:sz="4" w:space="0" w:color="auto"/>
            </w:tcBorders>
          </w:tcPr>
          <w:p w14:paraId="52CF974D" w14:textId="73F6FFBC" w:rsidR="00B92945" w:rsidRDefault="00B92945" w:rsidP="00B92945">
            <w:pPr>
              <w:pStyle w:val="TableText"/>
              <w:rPr>
                <w:rFonts w:cstheme="minorHAnsi"/>
              </w:rPr>
            </w:pPr>
            <w:r w:rsidRPr="00736D8A">
              <w:t xml:space="preserve">In-office fee outside ordinary hours on weekdays </w:t>
            </w:r>
            <w:r>
              <w:t xml:space="preserve">– </w:t>
            </w:r>
            <w:r>
              <w:rPr>
                <w:rFonts w:cstheme="minorHAnsi"/>
              </w:rPr>
              <w:t>w</w:t>
            </w:r>
            <w:r w:rsidRPr="003A58F8">
              <w:rPr>
                <w:rFonts w:cstheme="minorHAnsi"/>
              </w:rPr>
              <w:t xml:space="preserve">hen activity is </w:t>
            </w:r>
            <w:r>
              <w:rPr>
                <w:rFonts w:cstheme="minorHAnsi"/>
              </w:rPr>
              <w:t xml:space="preserve">not </w:t>
            </w:r>
            <w:r w:rsidRPr="003A58F8">
              <w:rPr>
                <w:rFonts w:cstheme="minorHAnsi"/>
              </w:rPr>
              <w:t>provided immediately before or after ordinary hours</w:t>
            </w:r>
            <w:r>
              <w:rPr>
                <w:rFonts w:cstheme="minorHAnsi"/>
              </w:rPr>
              <w:t>, initial 30–minute rate applies followed by the 15–minute rate</w:t>
            </w:r>
          </w:p>
          <w:p w14:paraId="73088211" w14:textId="3DA5F50F" w:rsidR="00B92945" w:rsidRPr="00736D8A" w:rsidRDefault="00B92945" w:rsidP="00B92945">
            <w:pPr>
              <w:pStyle w:val="TableText"/>
            </w:pPr>
            <w:r>
              <w:rPr>
                <w:rFonts w:cstheme="minorHAnsi"/>
              </w:rPr>
              <w:t xml:space="preserve">(non-continuous) </w:t>
            </w:r>
          </w:p>
        </w:tc>
        <w:tc>
          <w:tcPr>
            <w:tcW w:w="1182" w:type="pct"/>
            <w:tcBorders>
              <w:top w:val="single" w:sz="4" w:space="0" w:color="auto"/>
              <w:bottom w:val="single" w:sz="4" w:space="0" w:color="auto"/>
            </w:tcBorders>
          </w:tcPr>
          <w:p w14:paraId="2872C089" w14:textId="6547BF3C" w:rsidR="00B92945" w:rsidRPr="00736D8A" w:rsidRDefault="00B92945" w:rsidP="00B92945">
            <w:pPr>
              <w:pStyle w:val="TableText"/>
            </w:pPr>
            <w:r w:rsidRPr="00736D8A">
              <w:t>Per 30 minutes</w:t>
            </w:r>
            <w:r>
              <w:t xml:space="preserve"> for each person</w:t>
            </w:r>
          </w:p>
        </w:tc>
        <w:tc>
          <w:tcPr>
            <w:tcW w:w="688" w:type="pct"/>
            <w:tcBorders>
              <w:top w:val="single" w:sz="4" w:space="0" w:color="auto"/>
              <w:bottom w:val="single" w:sz="4" w:space="0" w:color="auto"/>
            </w:tcBorders>
          </w:tcPr>
          <w:p w14:paraId="2D2913CE" w14:textId="2EB80C7E" w:rsidR="00B92945" w:rsidRPr="00736D8A" w:rsidRDefault="00B92945" w:rsidP="00B92945">
            <w:pPr>
              <w:pStyle w:val="TableText"/>
              <w:jc w:val="right"/>
            </w:pPr>
            <w:r w:rsidRPr="00B94923">
              <w:t>116</w:t>
            </w:r>
          </w:p>
        </w:tc>
        <w:tc>
          <w:tcPr>
            <w:tcW w:w="688" w:type="pct"/>
            <w:tcBorders>
              <w:top w:val="single" w:sz="4" w:space="0" w:color="auto"/>
              <w:bottom w:val="single" w:sz="4" w:space="0" w:color="auto"/>
            </w:tcBorders>
          </w:tcPr>
          <w:p w14:paraId="55511312" w14:textId="2AF95FAE" w:rsidR="00B92945" w:rsidRPr="00736D8A" w:rsidRDefault="009731D4" w:rsidP="00B92945">
            <w:pPr>
              <w:pStyle w:val="TableText"/>
              <w:jc w:val="right"/>
            </w:pPr>
            <w:r>
              <w:t>120</w:t>
            </w:r>
          </w:p>
        </w:tc>
      </w:tr>
      <w:tr w:rsidR="00B92945" w14:paraId="4779CADD" w14:textId="46875E27" w:rsidTr="00B92945">
        <w:tc>
          <w:tcPr>
            <w:tcW w:w="858" w:type="pct"/>
            <w:vMerge/>
          </w:tcPr>
          <w:p w14:paraId="788F2496" w14:textId="7680D4B9" w:rsidR="00B92945" w:rsidRDefault="00B92945" w:rsidP="00B92945">
            <w:pPr>
              <w:pStyle w:val="TableText"/>
            </w:pPr>
          </w:p>
        </w:tc>
        <w:tc>
          <w:tcPr>
            <w:tcW w:w="1584" w:type="pct"/>
            <w:tcBorders>
              <w:top w:val="single" w:sz="4" w:space="0" w:color="auto"/>
              <w:bottom w:val="single" w:sz="4" w:space="0" w:color="auto"/>
            </w:tcBorders>
          </w:tcPr>
          <w:p w14:paraId="267B9943" w14:textId="67445051" w:rsidR="00B92945" w:rsidRPr="00BE205E" w:rsidRDefault="00B92945" w:rsidP="00B92945">
            <w:pPr>
              <w:pStyle w:val="TableText"/>
            </w:pPr>
            <w:r w:rsidRPr="00736D8A">
              <w:t>In-office fee outside ordinary hours after the first 30</w:t>
            </w:r>
            <w:r>
              <w:t>–</w:t>
            </w:r>
            <w:r w:rsidRPr="00736D8A">
              <w:t xml:space="preserve">minutes on weekdays </w:t>
            </w:r>
          </w:p>
        </w:tc>
        <w:tc>
          <w:tcPr>
            <w:tcW w:w="1182" w:type="pct"/>
            <w:tcBorders>
              <w:top w:val="single" w:sz="4" w:space="0" w:color="auto"/>
              <w:bottom w:val="single" w:sz="4" w:space="0" w:color="auto"/>
            </w:tcBorders>
          </w:tcPr>
          <w:p w14:paraId="6EB36219" w14:textId="34E70E0D" w:rsidR="00B92945" w:rsidRPr="00BE205E" w:rsidRDefault="00B92945" w:rsidP="00B92945">
            <w:pPr>
              <w:pStyle w:val="TableText"/>
            </w:pPr>
            <w:r w:rsidRPr="00736D8A">
              <w:t>Per 15 minutes</w:t>
            </w:r>
            <w:r>
              <w:t xml:space="preserve"> for each person</w:t>
            </w:r>
          </w:p>
        </w:tc>
        <w:tc>
          <w:tcPr>
            <w:tcW w:w="688" w:type="pct"/>
            <w:tcBorders>
              <w:top w:val="single" w:sz="4" w:space="0" w:color="auto"/>
              <w:bottom w:val="single" w:sz="4" w:space="0" w:color="auto"/>
            </w:tcBorders>
          </w:tcPr>
          <w:p w14:paraId="6C940209" w14:textId="3068588F" w:rsidR="00B92945" w:rsidRPr="00736D8A" w:rsidRDefault="00B92945" w:rsidP="00B92945">
            <w:pPr>
              <w:pStyle w:val="TableText"/>
              <w:jc w:val="right"/>
            </w:pPr>
            <w:r w:rsidRPr="00B94923">
              <w:t>58</w:t>
            </w:r>
          </w:p>
        </w:tc>
        <w:tc>
          <w:tcPr>
            <w:tcW w:w="688" w:type="pct"/>
            <w:tcBorders>
              <w:top w:val="single" w:sz="4" w:space="0" w:color="auto"/>
              <w:bottom w:val="single" w:sz="4" w:space="0" w:color="auto"/>
            </w:tcBorders>
          </w:tcPr>
          <w:p w14:paraId="188E866F" w14:textId="3C98A1E3" w:rsidR="00B92945" w:rsidRPr="00D24B07" w:rsidRDefault="009731D4" w:rsidP="00B92945">
            <w:pPr>
              <w:pStyle w:val="TableText"/>
              <w:jc w:val="right"/>
            </w:pPr>
            <w:r>
              <w:t>60</w:t>
            </w:r>
          </w:p>
        </w:tc>
      </w:tr>
      <w:tr w:rsidR="00B92945" w14:paraId="0DEFE7B7" w14:textId="68E35A70" w:rsidTr="00B92945">
        <w:tc>
          <w:tcPr>
            <w:tcW w:w="858" w:type="pct"/>
            <w:vMerge/>
          </w:tcPr>
          <w:p w14:paraId="26685541" w14:textId="5233CC18" w:rsidR="00B92945" w:rsidRDefault="00B92945" w:rsidP="00B92945">
            <w:pPr>
              <w:pStyle w:val="TableText"/>
            </w:pPr>
          </w:p>
        </w:tc>
        <w:tc>
          <w:tcPr>
            <w:tcW w:w="1584" w:type="pct"/>
            <w:tcBorders>
              <w:top w:val="single" w:sz="4" w:space="0" w:color="auto"/>
              <w:bottom w:val="single" w:sz="4" w:space="0" w:color="auto"/>
            </w:tcBorders>
          </w:tcPr>
          <w:p w14:paraId="0B9B77B5" w14:textId="4C1D1CCC" w:rsidR="00B92945" w:rsidRPr="00BE205E" w:rsidRDefault="00B92945" w:rsidP="00B92945">
            <w:pPr>
              <w:pStyle w:val="TableText"/>
            </w:pPr>
            <w:r w:rsidRPr="00736D8A">
              <w:t>In-office fee on a weekend or departmental holiday</w:t>
            </w:r>
            <w:r>
              <w:t>, m</w:t>
            </w:r>
            <w:r w:rsidRPr="00736D8A">
              <w:t xml:space="preserve">inimum </w:t>
            </w:r>
            <w:r>
              <w:t xml:space="preserve">30–minute </w:t>
            </w:r>
            <w:r w:rsidRPr="00736D8A">
              <w:t xml:space="preserve">charge </w:t>
            </w:r>
            <w:r>
              <w:rPr>
                <w:rFonts w:cstheme="minorHAnsi"/>
              </w:rPr>
              <w:t>followed by the 15–minute rate</w:t>
            </w:r>
          </w:p>
        </w:tc>
        <w:tc>
          <w:tcPr>
            <w:tcW w:w="1182" w:type="pct"/>
            <w:tcBorders>
              <w:top w:val="single" w:sz="4" w:space="0" w:color="auto"/>
              <w:bottom w:val="single" w:sz="4" w:space="0" w:color="auto"/>
            </w:tcBorders>
          </w:tcPr>
          <w:p w14:paraId="664C0D1B" w14:textId="203C81AF" w:rsidR="00B92945" w:rsidRPr="00BE205E" w:rsidRDefault="00B92945" w:rsidP="00B92945">
            <w:pPr>
              <w:pStyle w:val="TableText"/>
            </w:pPr>
            <w:r w:rsidRPr="00736D8A">
              <w:t>Per 30 minutes</w:t>
            </w:r>
            <w:r>
              <w:t xml:space="preserve"> for each person</w:t>
            </w:r>
          </w:p>
        </w:tc>
        <w:tc>
          <w:tcPr>
            <w:tcW w:w="688" w:type="pct"/>
            <w:tcBorders>
              <w:top w:val="single" w:sz="4" w:space="0" w:color="auto"/>
              <w:bottom w:val="single" w:sz="4" w:space="0" w:color="auto"/>
            </w:tcBorders>
          </w:tcPr>
          <w:p w14:paraId="10E2413F" w14:textId="7A0ADBC9" w:rsidR="00B92945" w:rsidRPr="00736D8A" w:rsidRDefault="00B92945" w:rsidP="00B92945">
            <w:pPr>
              <w:pStyle w:val="TableText"/>
              <w:jc w:val="right"/>
            </w:pPr>
            <w:r w:rsidRPr="00B94923">
              <w:t>126</w:t>
            </w:r>
          </w:p>
        </w:tc>
        <w:tc>
          <w:tcPr>
            <w:tcW w:w="688" w:type="pct"/>
            <w:tcBorders>
              <w:top w:val="single" w:sz="4" w:space="0" w:color="auto"/>
              <w:bottom w:val="single" w:sz="4" w:space="0" w:color="auto"/>
            </w:tcBorders>
          </w:tcPr>
          <w:p w14:paraId="4E8DE6E0" w14:textId="1C97068F" w:rsidR="00B92945" w:rsidRPr="00D24B07" w:rsidRDefault="009731D4" w:rsidP="00B92945">
            <w:pPr>
              <w:pStyle w:val="TableText"/>
              <w:jc w:val="right"/>
            </w:pPr>
            <w:r>
              <w:t>130</w:t>
            </w:r>
          </w:p>
        </w:tc>
      </w:tr>
      <w:tr w:rsidR="00B92945" w14:paraId="1B9C545B" w14:textId="4371870D" w:rsidTr="00B92945">
        <w:tc>
          <w:tcPr>
            <w:tcW w:w="858" w:type="pct"/>
            <w:vMerge/>
          </w:tcPr>
          <w:p w14:paraId="47990B55" w14:textId="75116741" w:rsidR="00B92945" w:rsidRDefault="00B92945" w:rsidP="00B92945">
            <w:pPr>
              <w:pStyle w:val="TableText"/>
            </w:pPr>
          </w:p>
        </w:tc>
        <w:tc>
          <w:tcPr>
            <w:tcW w:w="1584" w:type="pct"/>
            <w:tcBorders>
              <w:top w:val="single" w:sz="4" w:space="0" w:color="auto"/>
              <w:bottom w:val="single" w:sz="4" w:space="0" w:color="auto"/>
            </w:tcBorders>
          </w:tcPr>
          <w:p w14:paraId="55548A07" w14:textId="7053FE88" w:rsidR="00B92945" w:rsidRPr="00736D8A" w:rsidRDefault="00B92945" w:rsidP="00B92945">
            <w:pPr>
              <w:pStyle w:val="TableText"/>
            </w:pPr>
            <w:r w:rsidRPr="00736D8A">
              <w:t>In-office fee after the first 30 minutes on a weekend or departmental holiday</w:t>
            </w:r>
          </w:p>
        </w:tc>
        <w:tc>
          <w:tcPr>
            <w:tcW w:w="1182" w:type="pct"/>
            <w:tcBorders>
              <w:top w:val="single" w:sz="4" w:space="0" w:color="auto"/>
              <w:bottom w:val="single" w:sz="4" w:space="0" w:color="auto"/>
            </w:tcBorders>
          </w:tcPr>
          <w:p w14:paraId="274019B1" w14:textId="671F7056" w:rsidR="00B92945" w:rsidRPr="00736D8A" w:rsidRDefault="00B92945" w:rsidP="00B92945">
            <w:pPr>
              <w:pStyle w:val="TableText"/>
            </w:pPr>
            <w:r w:rsidRPr="00736D8A">
              <w:t>Per 15 minutes</w:t>
            </w:r>
            <w:r>
              <w:t xml:space="preserve"> for each person</w:t>
            </w:r>
          </w:p>
        </w:tc>
        <w:tc>
          <w:tcPr>
            <w:tcW w:w="688" w:type="pct"/>
            <w:tcBorders>
              <w:top w:val="single" w:sz="4" w:space="0" w:color="auto"/>
              <w:bottom w:val="single" w:sz="4" w:space="0" w:color="auto"/>
            </w:tcBorders>
          </w:tcPr>
          <w:p w14:paraId="072B326F" w14:textId="03D944AA" w:rsidR="00B92945" w:rsidRPr="00736D8A" w:rsidRDefault="00B92945" w:rsidP="00B92945">
            <w:pPr>
              <w:pStyle w:val="TableText"/>
              <w:jc w:val="right"/>
            </w:pPr>
            <w:r>
              <w:t>63</w:t>
            </w:r>
          </w:p>
        </w:tc>
        <w:tc>
          <w:tcPr>
            <w:tcW w:w="688" w:type="pct"/>
            <w:tcBorders>
              <w:top w:val="single" w:sz="4" w:space="0" w:color="auto"/>
              <w:bottom w:val="single" w:sz="4" w:space="0" w:color="auto"/>
            </w:tcBorders>
          </w:tcPr>
          <w:p w14:paraId="6808D04A" w14:textId="4D43F742" w:rsidR="00B92945" w:rsidRPr="00736D8A" w:rsidRDefault="009731D4" w:rsidP="00B92945">
            <w:pPr>
              <w:pStyle w:val="TableText"/>
              <w:jc w:val="right"/>
            </w:pPr>
            <w:r>
              <w:t>65</w:t>
            </w:r>
          </w:p>
        </w:tc>
      </w:tr>
      <w:tr w:rsidR="00B92945" w14:paraId="30681E80" w14:textId="5F6C7CA3" w:rsidTr="00B92945">
        <w:tc>
          <w:tcPr>
            <w:tcW w:w="858" w:type="pct"/>
            <w:vMerge/>
          </w:tcPr>
          <w:p w14:paraId="575CEAF1" w14:textId="7556E306" w:rsidR="00B92945" w:rsidRDefault="00B92945" w:rsidP="00B92945">
            <w:pPr>
              <w:pStyle w:val="TableText"/>
            </w:pPr>
          </w:p>
        </w:tc>
        <w:tc>
          <w:tcPr>
            <w:tcW w:w="1584" w:type="pct"/>
            <w:tcBorders>
              <w:top w:val="single" w:sz="4" w:space="0" w:color="auto"/>
              <w:bottom w:val="single" w:sz="4" w:space="0" w:color="auto"/>
            </w:tcBorders>
          </w:tcPr>
          <w:p w14:paraId="22AE0F1F" w14:textId="20AE6649" w:rsidR="00B92945" w:rsidRPr="00736D8A" w:rsidRDefault="00B92945" w:rsidP="00B92945">
            <w:pPr>
              <w:pStyle w:val="TableText"/>
            </w:pPr>
            <w:r w:rsidRPr="00D24B07">
              <w:t>Out-of-office fee during ordinary hours of duty</w:t>
            </w:r>
          </w:p>
        </w:tc>
        <w:tc>
          <w:tcPr>
            <w:tcW w:w="1182" w:type="pct"/>
            <w:tcBorders>
              <w:top w:val="single" w:sz="4" w:space="0" w:color="auto"/>
              <w:bottom w:val="single" w:sz="4" w:space="0" w:color="auto"/>
            </w:tcBorders>
          </w:tcPr>
          <w:p w14:paraId="0A86DD80" w14:textId="21599235" w:rsidR="00B92945" w:rsidRPr="00736D8A" w:rsidRDefault="00B92945" w:rsidP="00B92945">
            <w:pPr>
              <w:pStyle w:val="TableText"/>
            </w:pPr>
            <w:r w:rsidRPr="00D24B07">
              <w:t>Per 15 minutes</w:t>
            </w:r>
            <w:r>
              <w:t xml:space="preserve"> for each person </w:t>
            </w:r>
          </w:p>
        </w:tc>
        <w:tc>
          <w:tcPr>
            <w:tcW w:w="688" w:type="pct"/>
            <w:tcBorders>
              <w:top w:val="single" w:sz="4" w:space="0" w:color="auto"/>
              <w:bottom w:val="single" w:sz="4" w:space="0" w:color="auto"/>
            </w:tcBorders>
          </w:tcPr>
          <w:p w14:paraId="2242CD47" w14:textId="4359E85C" w:rsidR="00B92945" w:rsidRPr="00D24B07" w:rsidRDefault="00B92945" w:rsidP="00B92945">
            <w:pPr>
              <w:pStyle w:val="TableText"/>
              <w:jc w:val="right"/>
            </w:pPr>
            <w:r>
              <w:t>67</w:t>
            </w:r>
          </w:p>
        </w:tc>
        <w:tc>
          <w:tcPr>
            <w:tcW w:w="688" w:type="pct"/>
            <w:tcBorders>
              <w:top w:val="single" w:sz="4" w:space="0" w:color="auto"/>
              <w:bottom w:val="single" w:sz="4" w:space="0" w:color="auto"/>
            </w:tcBorders>
          </w:tcPr>
          <w:p w14:paraId="64BBDF6C" w14:textId="421FF7A6" w:rsidR="00B92945" w:rsidRPr="00736D8A" w:rsidRDefault="009731D4" w:rsidP="00B92945">
            <w:pPr>
              <w:pStyle w:val="TableText"/>
              <w:jc w:val="right"/>
            </w:pPr>
            <w:r>
              <w:t>70</w:t>
            </w:r>
          </w:p>
        </w:tc>
      </w:tr>
      <w:tr w:rsidR="00B92945" w14:paraId="276CD518" w14:textId="0C23E533" w:rsidTr="00B92945">
        <w:tc>
          <w:tcPr>
            <w:tcW w:w="858" w:type="pct"/>
            <w:vMerge/>
          </w:tcPr>
          <w:p w14:paraId="2566D132" w14:textId="5FF6512E" w:rsidR="00B92945" w:rsidRDefault="00B92945" w:rsidP="00B92945">
            <w:pPr>
              <w:pStyle w:val="TableText"/>
            </w:pPr>
          </w:p>
        </w:tc>
        <w:tc>
          <w:tcPr>
            <w:tcW w:w="1584" w:type="pct"/>
            <w:tcBorders>
              <w:top w:val="single" w:sz="4" w:space="0" w:color="auto"/>
              <w:bottom w:val="single" w:sz="4" w:space="0" w:color="auto"/>
            </w:tcBorders>
          </w:tcPr>
          <w:p w14:paraId="74742395" w14:textId="70F5F5CD" w:rsidR="00B92945" w:rsidRPr="00736D8A" w:rsidRDefault="00B92945" w:rsidP="00B92945">
            <w:pPr>
              <w:pStyle w:val="TableText"/>
            </w:pPr>
            <w:r w:rsidRPr="00D24B07">
              <w:t>Out-of-office fee during ordinary hours of duty</w:t>
            </w:r>
            <w:r>
              <w:t xml:space="preserve"> </w:t>
            </w:r>
          </w:p>
        </w:tc>
        <w:tc>
          <w:tcPr>
            <w:tcW w:w="1182" w:type="pct"/>
            <w:tcBorders>
              <w:top w:val="single" w:sz="4" w:space="0" w:color="auto"/>
              <w:bottom w:val="single" w:sz="4" w:space="0" w:color="auto"/>
            </w:tcBorders>
          </w:tcPr>
          <w:p w14:paraId="268602B7" w14:textId="7B1118EA" w:rsidR="00B92945" w:rsidRPr="00736D8A" w:rsidRDefault="00B92945" w:rsidP="00B92945">
            <w:pPr>
              <w:pStyle w:val="TableText"/>
            </w:pPr>
            <w:r w:rsidRPr="00D24B07">
              <w:t>Daily</w:t>
            </w:r>
            <w:r>
              <w:t xml:space="preserve"> for each person</w:t>
            </w:r>
          </w:p>
        </w:tc>
        <w:tc>
          <w:tcPr>
            <w:tcW w:w="688" w:type="pct"/>
            <w:tcBorders>
              <w:top w:val="single" w:sz="4" w:space="0" w:color="auto"/>
              <w:bottom w:val="single" w:sz="4" w:space="0" w:color="auto"/>
            </w:tcBorders>
          </w:tcPr>
          <w:p w14:paraId="14D49267" w14:textId="46A4DDCF" w:rsidR="00B92945" w:rsidRPr="00D24B07" w:rsidRDefault="00B92945" w:rsidP="00B92945">
            <w:pPr>
              <w:pStyle w:val="TableText"/>
              <w:jc w:val="right"/>
            </w:pPr>
            <w:r>
              <w:t>1,302</w:t>
            </w:r>
          </w:p>
        </w:tc>
        <w:tc>
          <w:tcPr>
            <w:tcW w:w="688" w:type="pct"/>
            <w:tcBorders>
              <w:top w:val="single" w:sz="4" w:space="0" w:color="auto"/>
              <w:bottom w:val="single" w:sz="4" w:space="0" w:color="auto"/>
            </w:tcBorders>
          </w:tcPr>
          <w:p w14:paraId="753B8B57" w14:textId="58212F64" w:rsidR="00B92945" w:rsidRPr="00736D8A" w:rsidRDefault="009731D4" w:rsidP="00B92945">
            <w:pPr>
              <w:pStyle w:val="TableText"/>
              <w:jc w:val="right"/>
            </w:pPr>
            <w:r>
              <w:t>1</w:t>
            </w:r>
            <w:r w:rsidR="0047330B">
              <w:t>,</w:t>
            </w:r>
            <w:r>
              <w:t>351</w:t>
            </w:r>
          </w:p>
        </w:tc>
      </w:tr>
      <w:tr w:rsidR="00B92945" w14:paraId="581FFAF7" w14:textId="10CAF908" w:rsidTr="00B92945">
        <w:tc>
          <w:tcPr>
            <w:tcW w:w="858" w:type="pct"/>
            <w:vMerge/>
          </w:tcPr>
          <w:p w14:paraId="1537C267" w14:textId="581C8F25" w:rsidR="00B92945" w:rsidRDefault="00B92945" w:rsidP="00B92945">
            <w:pPr>
              <w:pStyle w:val="TableText"/>
            </w:pPr>
          </w:p>
        </w:tc>
        <w:tc>
          <w:tcPr>
            <w:tcW w:w="1584" w:type="pct"/>
            <w:tcBorders>
              <w:top w:val="single" w:sz="4" w:space="0" w:color="auto"/>
              <w:bottom w:val="single" w:sz="4" w:space="0" w:color="auto"/>
            </w:tcBorders>
          </w:tcPr>
          <w:p w14:paraId="1729A43D" w14:textId="6CDEBB09" w:rsidR="00B92945" w:rsidRPr="00736D8A" w:rsidRDefault="00B92945" w:rsidP="00B92945">
            <w:pPr>
              <w:pStyle w:val="TableText"/>
            </w:pPr>
            <w:r w:rsidRPr="002B4B8C">
              <w:t xml:space="preserve">Out-of-office fee outside ordinary hours </w:t>
            </w:r>
            <w:r>
              <w:t xml:space="preserve">on </w:t>
            </w:r>
            <w:r w:rsidRPr="002B4B8C">
              <w:t>weekdays</w:t>
            </w:r>
            <w:r>
              <w:t xml:space="preserve"> </w:t>
            </w:r>
            <w:r>
              <w:rPr>
                <w:rFonts w:cstheme="minorHAnsi"/>
              </w:rPr>
              <w:t>w</w:t>
            </w:r>
            <w:r w:rsidRPr="003A58F8">
              <w:rPr>
                <w:rFonts w:cstheme="minorHAnsi"/>
              </w:rPr>
              <w:t>hen activity is provided immediately before or after ordinary hours only</w:t>
            </w:r>
            <w:r>
              <w:rPr>
                <w:rFonts w:cstheme="minorHAnsi"/>
              </w:rPr>
              <w:br/>
            </w:r>
            <w:r>
              <w:t>(continuous)</w:t>
            </w:r>
          </w:p>
        </w:tc>
        <w:tc>
          <w:tcPr>
            <w:tcW w:w="1182" w:type="pct"/>
            <w:tcBorders>
              <w:top w:val="single" w:sz="4" w:space="0" w:color="auto"/>
              <w:bottom w:val="single" w:sz="4" w:space="0" w:color="auto"/>
            </w:tcBorders>
          </w:tcPr>
          <w:p w14:paraId="338E8231" w14:textId="023B1628" w:rsidR="00B92945" w:rsidRPr="00736D8A" w:rsidRDefault="00B92945" w:rsidP="00B92945">
            <w:pPr>
              <w:pStyle w:val="TableText"/>
            </w:pPr>
            <w:r w:rsidRPr="00CC577E">
              <w:t>Per 15 minutes</w:t>
            </w:r>
            <w:r>
              <w:t xml:space="preserve"> for each person</w:t>
            </w:r>
          </w:p>
        </w:tc>
        <w:tc>
          <w:tcPr>
            <w:tcW w:w="688" w:type="pct"/>
            <w:tcBorders>
              <w:top w:val="single" w:sz="4" w:space="0" w:color="auto"/>
              <w:bottom w:val="single" w:sz="4" w:space="0" w:color="auto"/>
            </w:tcBorders>
          </w:tcPr>
          <w:p w14:paraId="5E516EC1" w14:textId="718E5D71" w:rsidR="00B92945" w:rsidRPr="00CC577E" w:rsidRDefault="00B92945" w:rsidP="00B92945">
            <w:pPr>
              <w:pStyle w:val="TableText"/>
              <w:jc w:val="right"/>
            </w:pPr>
            <w:r w:rsidRPr="00CC577E">
              <w:t>8</w:t>
            </w:r>
            <w:r>
              <w:t>5</w:t>
            </w:r>
          </w:p>
        </w:tc>
        <w:tc>
          <w:tcPr>
            <w:tcW w:w="688" w:type="pct"/>
            <w:tcBorders>
              <w:top w:val="single" w:sz="4" w:space="0" w:color="auto"/>
              <w:bottom w:val="single" w:sz="4" w:space="0" w:color="auto"/>
            </w:tcBorders>
          </w:tcPr>
          <w:p w14:paraId="061FCCEB" w14:textId="08571B9D" w:rsidR="00B92945" w:rsidRPr="00736D8A" w:rsidRDefault="009731D4" w:rsidP="00B92945">
            <w:pPr>
              <w:pStyle w:val="TableText"/>
              <w:jc w:val="right"/>
            </w:pPr>
            <w:r>
              <w:t>88</w:t>
            </w:r>
          </w:p>
        </w:tc>
      </w:tr>
      <w:tr w:rsidR="00B92945" w14:paraId="2F6E768C" w14:textId="6C9FA595" w:rsidTr="00B92945">
        <w:tc>
          <w:tcPr>
            <w:tcW w:w="858" w:type="pct"/>
            <w:vMerge/>
          </w:tcPr>
          <w:p w14:paraId="5DEBBD94" w14:textId="55C054B6" w:rsidR="00B92945" w:rsidRDefault="00B92945" w:rsidP="00B92945">
            <w:pPr>
              <w:pStyle w:val="TableText"/>
            </w:pPr>
          </w:p>
        </w:tc>
        <w:tc>
          <w:tcPr>
            <w:tcW w:w="1584" w:type="pct"/>
            <w:tcBorders>
              <w:top w:val="single" w:sz="4" w:space="0" w:color="auto"/>
              <w:bottom w:val="single" w:sz="4" w:space="0" w:color="auto"/>
            </w:tcBorders>
          </w:tcPr>
          <w:p w14:paraId="61CA18ED" w14:textId="5CFF501F" w:rsidR="00B92945" w:rsidRDefault="00B92945" w:rsidP="00B92945">
            <w:pPr>
              <w:pStyle w:val="TableText"/>
            </w:pPr>
            <w:r w:rsidRPr="00503DCB">
              <w:t xml:space="preserve">Out-of-office fee outside ordinary hours </w:t>
            </w:r>
            <w:r>
              <w:t xml:space="preserve">on </w:t>
            </w:r>
            <w:r w:rsidRPr="00503DCB">
              <w:t>weekdays</w:t>
            </w:r>
            <w:r>
              <w:t xml:space="preserve"> - m</w:t>
            </w:r>
            <w:r w:rsidRPr="00736D8A">
              <w:t xml:space="preserve">inimum </w:t>
            </w:r>
            <w:r>
              <w:t xml:space="preserve">30– minute </w:t>
            </w:r>
            <w:r w:rsidRPr="00736D8A">
              <w:t>charge when activity is not provided immediately before or after ordinary hours</w:t>
            </w:r>
            <w:r>
              <w:t>, followed by the 15–minute rate</w:t>
            </w:r>
          </w:p>
          <w:p w14:paraId="37D4CD87" w14:textId="3D865634" w:rsidR="00B92945" w:rsidRPr="00BE205E" w:rsidRDefault="00B92945" w:rsidP="00B92945">
            <w:pPr>
              <w:pStyle w:val="TableText"/>
            </w:pPr>
            <w:r>
              <w:rPr>
                <w:rFonts w:cstheme="minorHAnsi"/>
              </w:rPr>
              <w:t>(non-continuous)</w:t>
            </w:r>
          </w:p>
        </w:tc>
        <w:tc>
          <w:tcPr>
            <w:tcW w:w="1182" w:type="pct"/>
            <w:tcBorders>
              <w:top w:val="single" w:sz="4" w:space="0" w:color="auto"/>
              <w:bottom w:val="single" w:sz="4" w:space="0" w:color="auto"/>
            </w:tcBorders>
          </w:tcPr>
          <w:p w14:paraId="79DD8A0F" w14:textId="17DF27C1" w:rsidR="00B92945" w:rsidRPr="00BE205E" w:rsidRDefault="00B92945" w:rsidP="00B92945">
            <w:pPr>
              <w:pStyle w:val="TableText"/>
            </w:pPr>
            <w:r w:rsidRPr="00C051B5">
              <w:t>Per 30 minutes</w:t>
            </w:r>
            <w:r>
              <w:t xml:space="preserve"> for each person</w:t>
            </w:r>
          </w:p>
        </w:tc>
        <w:tc>
          <w:tcPr>
            <w:tcW w:w="688" w:type="pct"/>
            <w:tcBorders>
              <w:top w:val="single" w:sz="4" w:space="0" w:color="auto"/>
              <w:bottom w:val="single" w:sz="4" w:space="0" w:color="auto"/>
            </w:tcBorders>
          </w:tcPr>
          <w:p w14:paraId="6AE98F80" w14:textId="3D6CB992" w:rsidR="00B92945" w:rsidRPr="00C051B5" w:rsidRDefault="00B92945" w:rsidP="00B92945">
            <w:pPr>
              <w:pStyle w:val="TableText"/>
              <w:jc w:val="right"/>
            </w:pPr>
            <w:r w:rsidRPr="00B94923">
              <w:t>170</w:t>
            </w:r>
          </w:p>
        </w:tc>
        <w:tc>
          <w:tcPr>
            <w:tcW w:w="688" w:type="pct"/>
            <w:tcBorders>
              <w:top w:val="single" w:sz="4" w:space="0" w:color="auto"/>
              <w:bottom w:val="single" w:sz="4" w:space="0" w:color="auto"/>
            </w:tcBorders>
          </w:tcPr>
          <w:p w14:paraId="139433A3" w14:textId="255FF0A5" w:rsidR="00B92945" w:rsidRPr="00CC577E" w:rsidRDefault="009731D4" w:rsidP="00B92945">
            <w:pPr>
              <w:pStyle w:val="TableText"/>
              <w:jc w:val="right"/>
            </w:pPr>
            <w:r>
              <w:t>176</w:t>
            </w:r>
          </w:p>
        </w:tc>
      </w:tr>
      <w:tr w:rsidR="00B92945" w14:paraId="3606BCB5" w14:textId="2A315330" w:rsidTr="00B92945">
        <w:tc>
          <w:tcPr>
            <w:tcW w:w="858" w:type="pct"/>
            <w:vMerge/>
          </w:tcPr>
          <w:p w14:paraId="3BC69447" w14:textId="43A03572" w:rsidR="00B92945" w:rsidRDefault="00B92945" w:rsidP="00B92945">
            <w:pPr>
              <w:pStyle w:val="TableText"/>
            </w:pPr>
          </w:p>
        </w:tc>
        <w:tc>
          <w:tcPr>
            <w:tcW w:w="1584" w:type="pct"/>
            <w:tcBorders>
              <w:top w:val="single" w:sz="4" w:space="0" w:color="auto"/>
              <w:bottom w:val="single" w:sz="4" w:space="0" w:color="auto"/>
            </w:tcBorders>
          </w:tcPr>
          <w:p w14:paraId="4C334334" w14:textId="44D0FC7A" w:rsidR="00B92945" w:rsidRPr="00BE205E" w:rsidRDefault="00B92945" w:rsidP="00B92945">
            <w:pPr>
              <w:pStyle w:val="TableText"/>
            </w:pPr>
            <w:r w:rsidRPr="00503DCB">
              <w:t xml:space="preserve">Out-of-office fee outside ordinary hours </w:t>
            </w:r>
            <w:r>
              <w:t xml:space="preserve">on </w:t>
            </w:r>
            <w:r w:rsidRPr="00503DCB">
              <w:t>weekdays</w:t>
            </w:r>
            <w:r>
              <w:t xml:space="preserve"> </w:t>
            </w:r>
            <w:r w:rsidRPr="00736D8A">
              <w:t>after the first 30</w:t>
            </w:r>
            <w:r>
              <w:t>–</w:t>
            </w:r>
            <w:r w:rsidRPr="00736D8A">
              <w:t>minutes</w:t>
            </w:r>
          </w:p>
        </w:tc>
        <w:tc>
          <w:tcPr>
            <w:tcW w:w="1182" w:type="pct"/>
            <w:tcBorders>
              <w:top w:val="single" w:sz="4" w:space="0" w:color="auto"/>
              <w:bottom w:val="single" w:sz="4" w:space="0" w:color="auto"/>
            </w:tcBorders>
          </w:tcPr>
          <w:p w14:paraId="65A612CE" w14:textId="2D721D46" w:rsidR="00B92945" w:rsidRPr="00BE205E" w:rsidRDefault="00B92945" w:rsidP="00B92945">
            <w:pPr>
              <w:pStyle w:val="TableText"/>
            </w:pPr>
            <w:r w:rsidRPr="00CC577E">
              <w:t>Per 15 minutes</w:t>
            </w:r>
            <w:r>
              <w:t xml:space="preserve"> for each person</w:t>
            </w:r>
          </w:p>
        </w:tc>
        <w:tc>
          <w:tcPr>
            <w:tcW w:w="688" w:type="pct"/>
            <w:tcBorders>
              <w:top w:val="single" w:sz="4" w:space="0" w:color="auto"/>
              <w:bottom w:val="single" w:sz="4" w:space="0" w:color="auto"/>
            </w:tcBorders>
          </w:tcPr>
          <w:p w14:paraId="4AA9EA47" w14:textId="7AE50414" w:rsidR="00B92945" w:rsidRPr="00CC577E" w:rsidRDefault="00B92945" w:rsidP="00B92945">
            <w:pPr>
              <w:pStyle w:val="TableText"/>
              <w:jc w:val="right"/>
            </w:pPr>
            <w:r w:rsidRPr="00B94923">
              <w:t>85</w:t>
            </w:r>
          </w:p>
        </w:tc>
        <w:tc>
          <w:tcPr>
            <w:tcW w:w="688" w:type="pct"/>
            <w:tcBorders>
              <w:top w:val="single" w:sz="4" w:space="0" w:color="auto"/>
              <w:bottom w:val="single" w:sz="4" w:space="0" w:color="auto"/>
            </w:tcBorders>
          </w:tcPr>
          <w:p w14:paraId="539A3E1D" w14:textId="5E3ECC52" w:rsidR="00B92945" w:rsidRPr="00C051B5" w:rsidRDefault="009731D4" w:rsidP="00B92945">
            <w:pPr>
              <w:pStyle w:val="TableText"/>
              <w:jc w:val="right"/>
            </w:pPr>
            <w:r>
              <w:t>88</w:t>
            </w:r>
          </w:p>
        </w:tc>
      </w:tr>
      <w:tr w:rsidR="00B92945" w14:paraId="425C4969" w14:textId="20AB159F" w:rsidTr="00B92945">
        <w:tc>
          <w:tcPr>
            <w:tcW w:w="858" w:type="pct"/>
            <w:vMerge/>
          </w:tcPr>
          <w:p w14:paraId="3B822D04" w14:textId="41511368" w:rsidR="00B92945" w:rsidRDefault="00B92945" w:rsidP="00B92945">
            <w:pPr>
              <w:pStyle w:val="TableText"/>
            </w:pPr>
          </w:p>
        </w:tc>
        <w:tc>
          <w:tcPr>
            <w:tcW w:w="1584" w:type="pct"/>
            <w:tcBorders>
              <w:top w:val="single" w:sz="4" w:space="0" w:color="auto"/>
              <w:bottom w:val="single" w:sz="4" w:space="0" w:color="auto"/>
            </w:tcBorders>
          </w:tcPr>
          <w:p w14:paraId="0C05D450" w14:textId="7D5A06AA" w:rsidR="00B92945" w:rsidRPr="00BE205E" w:rsidRDefault="00B92945" w:rsidP="00B92945">
            <w:pPr>
              <w:pStyle w:val="TableText"/>
            </w:pPr>
            <w:r>
              <w:t xml:space="preserve">Out-of-office fee on a weekend or departmental holiday - minimum of 30 minutes followed by the per 15-minute rate </w:t>
            </w:r>
          </w:p>
        </w:tc>
        <w:tc>
          <w:tcPr>
            <w:tcW w:w="1182" w:type="pct"/>
            <w:tcBorders>
              <w:top w:val="single" w:sz="4" w:space="0" w:color="auto"/>
              <w:bottom w:val="single" w:sz="4" w:space="0" w:color="auto"/>
            </w:tcBorders>
          </w:tcPr>
          <w:p w14:paraId="56AEBD14" w14:textId="2521F749" w:rsidR="00B92945" w:rsidRPr="00BE205E" w:rsidRDefault="00B92945" w:rsidP="00B92945">
            <w:pPr>
              <w:pStyle w:val="TableText"/>
            </w:pPr>
            <w:r w:rsidRPr="00C74B86">
              <w:t>Per 30 minutes</w:t>
            </w:r>
            <w:r>
              <w:t xml:space="preserve"> for each person</w:t>
            </w:r>
          </w:p>
        </w:tc>
        <w:tc>
          <w:tcPr>
            <w:tcW w:w="688" w:type="pct"/>
            <w:tcBorders>
              <w:top w:val="single" w:sz="4" w:space="0" w:color="auto"/>
              <w:bottom w:val="single" w:sz="4" w:space="0" w:color="auto"/>
            </w:tcBorders>
          </w:tcPr>
          <w:p w14:paraId="1971387B" w14:textId="7CD5063B" w:rsidR="00B92945" w:rsidRPr="00C74B86" w:rsidRDefault="00B92945" w:rsidP="00B92945">
            <w:pPr>
              <w:pStyle w:val="TableText"/>
              <w:jc w:val="right"/>
            </w:pPr>
            <w:r w:rsidRPr="00B94923">
              <w:t>180</w:t>
            </w:r>
          </w:p>
        </w:tc>
        <w:tc>
          <w:tcPr>
            <w:tcW w:w="688" w:type="pct"/>
            <w:tcBorders>
              <w:top w:val="single" w:sz="4" w:space="0" w:color="auto"/>
              <w:bottom w:val="single" w:sz="4" w:space="0" w:color="auto"/>
            </w:tcBorders>
          </w:tcPr>
          <w:p w14:paraId="45CC13D8" w14:textId="7211670B" w:rsidR="00B92945" w:rsidRPr="008F6C3A" w:rsidRDefault="009731D4" w:rsidP="00B92945">
            <w:pPr>
              <w:pStyle w:val="TableText"/>
              <w:jc w:val="right"/>
            </w:pPr>
            <w:r>
              <w:t>186</w:t>
            </w:r>
          </w:p>
        </w:tc>
      </w:tr>
      <w:tr w:rsidR="00B92945" w14:paraId="17ED7A42" w14:textId="1201996A" w:rsidTr="00B92945">
        <w:tc>
          <w:tcPr>
            <w:tcW w:w="858" w:type="pct"/>
            <w:vMerge/>
          </w:tcPr>
          <w:p w14:paraId="6979216D" w14:textId="5E693BB8" w:rsidR="00B92945" w:rsidRDefault="00B92945" w:rsidP="00B92945">
            <w:pPr>
              <w:pStyle w:val="TableText"/>
            </w:pPr>
          </w:p>
        </w:tc>
        <w:tc>
          <w:tcPr>
            <w:tcW w:w="1584" w:type="pct"/>
            <w:tcBorders>
              <w:top w:val="single" w:sz="4" w:space="0" w:color="auto"/>
              <w:bottom w:val="single" w:sz="4" w:space="0" w:color="auto"/>
            </w:tcBorders>
          </w:tcPr>
          <w:p w14:paraId="67043C18" w14:textId="5C94F527" w:rsidR="00B92945" w:rsidRPr="00BE205E" w:rsidRDefault="00B92945" w:rsidP="00B92945">
            <w:pPr>
              <w:pStyle w:val="TableText"/>
            </w:pPr>
            <w:r w:rsidRPr="008F6C3A">
              <w:t>Out-of-office fee on</w:t>
            </w:r>
            <w:r>
              <w:t xml:space="preserve"> a </w:t>
            </w:r>
            <w:r w:rsidRPr="008F6C3A">
              <w:t>weekend or departmental holiday</w:t>
            </w:r>
            <w:r>
              <w:t xml:space="preserve"> after the initial 30-minutes</w:t>
            </w:r>
          </w:p>
        </w:tc>
        <w:tc>
          <w:tcPr>
            <w:tcW w:w="1182" w:type="pct"/>
            <w:tcBorders>
              <w:top w:val="single" w:sz="4" w:space="0" w:color="auto"/>
              <w:bottom w:val="single" w:sz="4" w:space="0" w:color="auto"/>
            </w:tcBorders>
          </w:tcPr>
          <w:p w14:paraId="28825B55" w14:textId="26AEEE3A" w:rsidR="00B92945" w:rsidRPr="00BE205E" w:rsidRDefault="00B92945" w:rsidP="00B92945">
            <w:pPr>
              <w:pStyle w:val="TableText"/>
            </w:pPr>
            <w:r w:rsidRPr="008F6C3A">
              <w:t>Per 15 minutes</w:t>
            </w:r>
            <w:r>
              <w:t xml:space="preserve"> for each person</w:t>
            </w:r>
          </w:p>
        </w:tc>
        <w:tc>
          <w:tcPr>
            <w:tcW w:w="688" w:type="pct"/>
            <w:tcBorders>
              <w:top w:val="single" w:sz="4" w:space="0" w:color="auto"/>
              <w:bottom w:val="single" w:sz="4" w:space="0" w:color="auto"/>
            </w:tcBorders>
          </w:tcPr>
          <w:p w14:paraId="6BF91095" w14:textId="36551874" w:rsidR="00B92945" w:rsidRPr="008F6C3A" w:rsidRDefault="00B92945" w:rsidP="00B92945">
            <w:pPr>
              <w:pStyle w:val="TableText"/>
              <w:jc w:val="right"/>
            </w:pPr>
            <w:r>
              <w:t>90</w:t>
            </w:r>
          </w:p>
        </w:tc>
        <w:tc>
          <w:tcPr>
            <w:tcW w:w="688" w:type="pct"/>
            <w:tcBorders>
              <w:top w:val="single" w:sz="4" w:space="0" w:color="auto"/>
              <w:bottom w:val="single" w:sz="4" w:space="0" w:color="auto"/>
            </w:tcBorders>
          </w:tcPr>
          <w:p w14:paraId="57CCAC34" w14:textId="551E99DD" w:rsidR="00B92945" w:rsidRPr="00C74B86" w:rsidRDefault="009731D4" w:rsidP="00B92945">
            <w:pPr>
              <w:pStyle w:val="TableText"/>
              <w:jc w:val="right"/>
            </w:pPr>
            <w:r>
              <w:t>93</w:t>
            </w:r>
          </w:p>
        </w:tc>
      </w:tr>
    </w:tbl>
    <w:p w14:paraId="30E967F1" w14:textId="77777777" w:rsidR="00B43E79" w:rsidRPr="00B43E79" w:rsidRDefault="00B43E79" w:rsidP="00B43E79">
      <w:pPr>
        <w:keepNext/>
        <w:spacing w:before="120" w:line="240" w:lineRule="auto"/>
        <w:ind w:left="720" w:hanging="720"/>
        <w:outlineLvl w:val="1"/>
        <w:rPr>
          <w:rFonts w:ascii="Calibri" w:eastAsiaTheme="minorEastAsia" w:hAnsi="Calibri"/>
          <w:b/>
          <w:bCs/>
          <w:sz w:val="28"/>
          <w:szCs w:val="28"/>
          <w:lang w:eastAsia="ja-JP"/>
        </w:rPr>
      </w:pPr>
      <w:r w:rsidRPr="00B43E79">
        <w:rPr>
          <w:rFonts w:ascii="Calibri" w:eastAsiaTheme="minorEastAsia" w:hAnsi="Calibri"/>
          <w:b/>
          <w:bCs/>
          <w:sz w:val="28"/>
          <w:szCs w:val="28"/>
          <w:lang w:eastAsia="ja-JP"/>
        </w:rPr>
        <w:lastRenderedPageBreak/>
        <w:t>Legislation</w:t>
      </w:r>
    </w:p>
    <w:p w14:paraId="42D0B5BE" w14:textId="77777777" w:rsidR="00FD1BDD" w:rsidRPr="00FD1BDD" w:rsidRDefault="00FD1BDD" w:rsidP="00FD1BDD">
      <w:r w:rsidRPr="00FD1BDD">
        <w:t>New prices for regulatory charges have been calculated using methodology prescribed in legislation:</w:t>
      </w:r>
    </w:p>
    <w:p w14:paraId="5BD90925" w14:textId="77777777" w:rsidR="00FD1BDD" w:rsidRPr="00FD1BDD" w:rsidRDefault="00FD1BDD" w:rsidP="00FD1BDD">
      <w:pPr>
        <w:pStyle w:val="ListBullet"/>
      </w:pPr>
      <w:r w:rsidRPr="00FD1BDD">
        <w:t>Biosecurity Regulation 2016 - Chapter 9, Part 2, Division 1, Section 107A Indexation of fees.</w:t>
      </w:r>
    </w:p>
    <w:p w14:paraId="3040C974" w14:textId="77777777" w:rsidR="00FD1BDD" w:rsidRPr="00FD1BDD" w:rsidRDefault="00FD1BDD" w:rsidP="00FD1BDD">
      <w:pPr>
        <w:pStyle w:val="ListBullet"/>
      </w:pPr>
      <w:r w:rsidRPr="00FD1BDD">
        <w:t>Biosecurity Charges Imposition (Customs) Regulation 2016, and Biosecurity Charges Imposition (General) Regulation 2016 - Part 2, Section 9A Indexation of Charges.</w:t>
      </w:r>
    </w:p>
    <w:p w14:paraId="407D2807" w14:textId="77777777" w:rsidR="00FD1BDD" w:rsidRPr="00FD1BDD" w:rsidRDefault="00FD1BDD" w:rsidP="00FD1BDD">
      <w:pPr>
        <w:pStyle w:val="ListBullet"/>
      </w:pPr>
      <w:r w:rsidRPr="00FD1BDD">
        <w:t xml:space="preserve">Imported Food Control Regulations 2019 - Part 4, Section 30A Indexation of charges. </w:t>
      </w:r>
    </w:p>
    <w:p w14:paraId="1C7579EC" w14:textId="77777777" w:rsidR="00FD1BDD" w:rsidRPr="00FD1BDD" w:rsidRDefault="00FD1BDD" w:rsidP="00FD1BDD">
      <w:pPr>
        <w:pStyle w:val="ListBullet"/>
        <w:rPr>
          <w:shd w:val="clear" w:color="auto" w:fill="FFFFFF"/>
        </w:rPr>
      </w:pPr>
      <w:r w:rsidRPr="00FD1BDD">
        <w:t>Imported Food Charges (Imposition – Customs) Regulation 2015 and the Imported Food Charges (Imposition - General) Regulation 2015 - Part 2, Section 6A – Indexation of charges.</w:t>
      </w:r>
    </w:p>
    <w:p w14:paraId="79B0F1C2" w14:textId="20B0E9EA" w:rsidR="00F76852" w:rsidRDefault="00F76852" w:rsidP="00F76852">
      <w:pPr>
        <w:pStyle w:val="Heading2"/>
      </w:pPr>
      <w:r w:rsidRPr="00F76852">
        <w:t>Price calculation methodology</w:t>
      </w:r>
    </w:p>
    <w:p w14:paraId="41EDCDE8" w14:textId="4BC0F399" w:rsidR="00F76852" w:rsidRDefault="00D22887" w:rsidP="00F76852">
      <w:bookmarkStart w:id="4" w:name="_Hlk168308822"/>
      <w:r w:rsidRPr="00D22887">
        <w:t>Indexation provisions in legislation provide the methodology for determining if indexation will increase the dollar amounts imposed for specified fees or charges. This is a 2-step process, where the indexation factor is calculated and if greater than 1, is used to calculate the indexed fee or charge</w:t>
      </w:r>
      <w:r>
        <w:t xml:space="preserve">. </w:t>
      </w:r>
    </w:p>
    <w:p w14:paraId="11BC523D" w14:textId="633D82BA" w:rsidR="000A08B5" w:rsidRPr="00D22887" w:rsidRDefault="000A08B5" w:rsidP="00D22887">
      <w:pPr>
        <w:pStyle w:val="Heading3"/>
      </w:pPr>
      <w:bookmarkStart w:id="5" w:name="Box_1"/>
      <w:bookmarkStart w:id="6" w:name="_Hlk167957406"/>
      <w:bookmarkEnd w:id="4"/>
      <w:bookmarkEnd w:id="5"/>
      <w:r w:rsidRPr="00D22887">
        <w:t xml:space="preserve">Step 1 </w:t>
      </w:r>
      <w:r w:rsidR="00A227E8" w:rsidRPr="00D22887">
        <w:t>C</w:t>
      </w:r>
      <w:r w:rsidRPr="00D22887">
        <w:t xml:space="preserve">alculate the ‘indexation factor’ for 1 July </w:t>
      </w:r>
      <w:r w:rsidR="00B92945" w:rsidRPr="00D22887">
        <w:t>202</w:t>
      </w:r>
      <w:r w:rsidR="00B92945">
        <w:t>6</w:t>
      </w:r>
    </w:p>
    <w:p w14:paraId="54604887" w14:textId="32E11813" w:rsidR="00B3190C" w:rsidRPr="00485201" w:rsidRDefault="000A08B5" w:rsidP="00D22887">
      <w:r w:rsidRPr="00485201">
        <w:t xml:space="preserve">The indexation factor for 1 July </w:t>
      </w:r>
      <w:r w:rsidR="00B92945" w:rsidRPr="00485201">
        <w:t>202</w:t>
      </w:r>
      <w:r w:rsidR="00B92945">
        <w:t>6</w:t>
      </w:r>
      <w:r w:rsidR="00B92945" w:rsidRPr="00485201">
        <w:t xml:space="preserve"> </w:t>
      </w:r>
      <w:r w:rsidRPr="00485201">
        <w:t xml:space="preserve">is </w:t>
      </w:r>
      <w:r w:rsidR="00B3190C" w:rsidRPr="00485201">
        <w:t>calculated</w:t>
      </w:r>
      <w:r w:rsidRPr="00485201">
        <w:t xml:space="preserve"> using the</w:t>
      </w:r>
      <w:r w:rsidR="00F76852" w:rsidRPr="00485201">
        <w:t xml:space="preserve"> </w:t>
      </w:r>
      <w:hyperlink r:id="rId11" w:history="1">
        <w:r w:rsidR="00B3190C" w:rsidRPr="00485201">
          <w:rPr>
            <w:rStyle w:val="Hyperlink"/>
          </w:rPr>
          <w:t>All-Groups Consumer Price Index (CPI) number</w:t>
        </w:r>
      </w:hyperlink>
      <w:r w:rsidR="00F76852" w:rsidRPr="00485201">
        <w:t xml:space="preserve"> </w:t>
      </w:r>
      <w:r w:rsidR="00E622F7">
        <w:t xml:space="preserve">(being the weighted average of the 8 capital cities) </w:t>
      </w:r>
      <w:r w:rsidR="00F76852" w:rsidRPr="00485201">
        <w:t xml:space="preserve">for the </w:t>
      </w:r>
      <w:r w:rsidR="00B92945" w:rsidRPr="00485201">
        <w:t>202</w:t>
      </w:r>
      <w:r w:rsidR="00B92945">
        <w:t>5</w:t>
      </w:r>
      <w:r w:rsidR="00B92945" w:rsidRPr="00485201">
        <w:t xml:space="preserve"> </w:t>
      </w:r>
      <w:r w:rsidR="00F76852" w:rsidRPr="00485201">
        <w:t xml:space="preserve">December quarter </w:t>
      </w:r>
      <w:r w:rsidR="00A227E8" w:rsidRPr="00485201">
        <w:t>and</w:t>
      </w:r>
      <w:r w:rsidR="00F76852" w:rsidRPr="00485201">
        <w:t xml:space="preserve"> the CPI for the </w:t>
      </w:r>
      <w:r w:rsidR="00D53FE2" w:rsidRPr="00485201">
        <w:t>202</w:t>
      </w:r>
      <w:r w:rsidR="004F1351">
        <w:t>4</w:t>
      </w:r>
      <w:r w:rsidR="00D53FE2" w:rsidRPr="00485201">
        <w:t xml:space="preserve"> </w:t>
      </w:r>
      <w:r w:rsidR="00F76852" w:rsidRPr="00485201">
        <w:t>December quarter.</w:t>
      </w:r>
    </w:p>
    <w:p w14:paraId="25745666" w14:textId="1892458F" w:rsidR="00F76852" w:rsidRPr="00485201" w:rsidRDefault="00A227E8" w:rsidP="00D22887">
      <w:r w:rsidRPr="00485201">
        <w:t>The formula is:</w:t>
      </w:r>
    </w:p>
    <w:p w14:paraId="2E05274C" w14:textId="61AB82F8" w:rsidR="00F76852" w:rsidRPr="009D42CA" w:rsidRDefault="00F76852" w:rsidP="00D22887">
      <w:pPr>
        <w:pStyle w:val="Quote"/>
        <w:rPr>
          <w:color w:val="auto"/>
        </w:rPr>
      </w:pPr>
      <w:bookmarkStart w:id="7" w:name="_Hlk168051739"/>
      <w:r w:rsidRPr="00485201">
        <w:t xml:space="preserve">CPI for the </w:t>
      </w:r>
      <w:r w:rsidR="00D53FE2" w:rsidRPr="00485201">
        <w:t>202</w:t>
      </w:r>
      <w:r w:rsidR="004F1351">
        <w:t>5</w:t>
      </w:r>
      <w:r w:rsidR="00D53FE2" w:rsidRPr="00485201">
        <w:t xml:space="preserve"> </w:t>
      </w:r>
      <w:r w:rsidRPr="00485201">
        <w:t>December quarter (reference quarter)</w:t>
      </w:r>
      <w:r w:rsidR="00A227E8" w:rsidRPr="00485201">
        <w:t xml:space="preserve"> ÷ CPI for the </w:t>
      </w:r>
      <w:r w:rsidR="00D53FE2" w:rsidRPr="00485201">
        <w:t>202</w:t>
      </w:r>
      <w:r w:rsidR="004F1351">
        <w:t>4</w:t>
      </w:r>
      <w:r w:rsidR="00D53FE2" w:rsidRPr="00485201">
        <w:t xml:space="preserve"> </w:t>
      </w:r>
      <w:r w:rsidR="00A227E8" w:rsidRPr="00485201">
        <w:t xml:space="preserve">December </w:t>
      </w:r>
      <w:r w:rsidR="00A227E8" w:rsidRPr="009D42CA">
        <w:rPr>
          <w:color w:val="auto"/>
        </w:rPr>
        <w:t>quarter (base quarter) = Indexation factor</w:t>
      </w:r>
      <w:r w:rsidR="00B3190C" w:rsidRPr="009D42CA">
        <w:rPr>
          <w:color w:val="auto"/>
        </w:rPr>
        <w:t xml:space="preserve"> (</w:t>
      </w:r>
      <w:r w:rsidR="00D53FE2" w:rsidRPr="009D42CA">
        <w:rPr>
          <w:color w:val="auto"/>
        </w:rPr>
        <w:t>1</w:t>
      </w:r>
      <w:r w:rsidR="000F43F4">
        <w:rPr>
          <w:color w:val="auto"/>
        </w:rPr>
        <w:t>00.97</w:t>
      </w:r>
      <w:r w:rsidR="00D53FE2" w:rsidRPr="009D42CA">
        <w:rPr>
          <w:color w:val="auto"/>
        </w:rPr>
        <w:t xml:space="preserve"> </w:t>
      </w:r>
      <w:r w:rsidR="00A227E8" w:rsidRPr="009D42CA">
        <w:rPr>
          <w:color w:val="auto"/>
        </w:rPr>
        <w:t xml:space="preserve">÷ </w:t>
      </w:r>
      <w:r w:rsidR="000F43F4">
        <w:rPr>
          <w:color w:val="auto"/>
        </w:rPr>
        <w:t>97.31</w:t>
      </w:r>
      <w:r w:rsidR="00D53FE2" w:rsidRPr="009D42CA">
        <w:rPr>
          <w:color w:val="auto"/>
        </w:rPr>
        <w:t xml:space="preserve"> </w:t>
      </w:r>
      <w:r w:rsidR="00A227E8" w:rsidRPr="009D42CA">
        <w:rPr>
          <w:color w:val="auto"/>
        </w:rPr>
        <w:t>=</w:t>
      </w:r>
      <w:r w:rsidR="00B3190C" w:rsidRPr="009D42CA">
        <w:rPr>
          <w:color w:val="auto"/>
        </w:rPr>
        <w:t xml:space="preserve"> </w:t>
      </w:r>
      <w:r w:rsidR="00A227E8" w:rsidRPr="009D42CA">
        <w:rPr>
          <w:color w:val="auto"/>
        </w:rPr>
        <w:t>1.</w:t>
      </w:r>
      <w:r w:rsidR="00D53FE2" w:rsidRPr="009D42CA">
        <w:rPr>
          <w:color w:val="auto"/>
        </w:rPr>
        <w:t>0</w:t>
      </w:r>
      <w:r w:rsidR="000F43F4">
        <w:rPr>
          <w:color w:val="auto"/>
        </w:rPr>
        <w:t>3</w:t>
      </w:r>
      <w:r w:rsidR="00E27EAA">
        <w:rPr>
          <w:color w:val="auto"/>
        </w:rPr>
        <w:t>8</w:t>
      </w:r>
      <w:r w:rsidR="00B3190C" w:rsidRPr="009D42CA">
        <w:rPr>
          <w:color w:val="auto"/>
        </w:rPr>
        <w:t>)</w:t>
      </w:r>
      <w:bookmarkEnd w:id="7"/>
    </w:p>
    <w:p w14:paraId="246F25E7" w14:textId="426D9C89" w:rsidR="00B43E79" w:rsidRPr="00D53FE2" w:rsidRDefault="00B3190C" w:rsidP="00B43E79">
      <w:bookmarkStart w:id="8" w:name="_Hlk168051761"/>
      <w:r w:rsidRPr="00D53FE2">
        <w:t>Based on this formula, t</w:t>
      </w:r>
      <w:r w:rsidR="00F76852" w:rsidRPr="00D53FE2">
        <w:t xml:space="preserve">he indexation factor for July </w:t>
      </w:r>
      <w:r w:rsidR="00B92945" w:rsidRPr="00D53FE2">
        <w:t>202</w:t>
      </w:r>
      <w:r w:rsidR="00B92945">
        <w:t>6</w:t>
      </w:r>
      <w:r w:rsidR="00B92945" w:rsidRPr="00D53FE2">
        <w:t xml:space="preserve"> </w:t>
      </w:r>
      <w:r w:rsidR="00F76852" w:rsidRPr="00D53FE2">
        <w:t>is 1.</w:t>
      </w:r>
      <w:r w:rsidR="00D53FE2" w:rsidRPr="00D53FE2">
        <w:t>0</w:t>
      </w:r>
      <w:r w:rsidR="00E27EAA">
        <w:t>38</w:t>
      </w:r>
      <w:r w:rsidRPr="00D53FE2">
        <w:t>.</w:t>
      </w:r>
      <w:bookmarkStart w:id="9" w:name="Box_2"/>
      <w:bookmarkStart w:id="10" w:name="_Hlk167957697"/>
      <w:bookmarkEnd w:id="6"/>
      <w:bookmarkEnd w:id="8"/>
      <w:bookmarkEnd w:id="9"/>
    </w:p>
    <w:p w14:paraId="2CCDFFA0" w14:textId="62565105" w:rsidR="00D22A23" w:rsidRPr="00485201" w:rsidRDefault="00D22A23" w:rsidP="00B43E79">
      <w:pPr>
        <w:pStyle w:val="Heading3"/>
      </w:pPr>
      <w:r w:rsidRPr="00485201">
        <w:t xml:space="preserve">Step 2 </w:t>
      </w:r>
      <w:r w:rsidR="00B477F1" w:rsidRPr="00485201">
        <w:t>C</w:t>
      </w:r>
      <w:r w:rsidRPr="00485201">
        <w:t>alculate the ‘</w:t>
      </w:r>
      <w:r w:rsidRPr="00D22887">
        <w:t>indexed amount’</w:t>
      </w:r>
      <w:r w:rsidRPr="00485201">
        <w:t xml:space="preserve"> for the fee or charge in question</w:t>
      </w:r>
    </w:p>
    <w:p w14:paraId="484F27AB" w14:textId="43DC5542" w:rsidR="00485201" w:rsidRDefault="00D22A23" w:rsidP="00485201">
      <w:bookmarkStart w:id="11" w:name="_Hlk168051861"/>
      <w:r w:rsidRPr="00485201">
        <w:t xml:space="preserve">Because the indexation factor for 1 July </w:t>
      </w:r>
      <w:r w:rsidR="00B92945" w:rsidRPr="00485201">
        <w:t>202</w:t>
      </w:r>
      <w:r w:rsidR="00B92945">
        <w:t>6</w:t>
      </w:r>
      <w:r w:rsidR="00B92945" w:rsidRPr="00485201">
        <w:t xml:space="preserve"> </w:t>
      </w:r>
      <w:r w:rsidRPr="00485201">
        <w:t>is greater than</w:t>
      </w:r>
      <w:r w:rsidRPr="00D22887">
        <w:t xml:space="preserve"> 1</w:t>
      </w:r>
      <w:r w:rsidRPr="00485201">
        <w:t xml:space="preserve">, fees and charges covered by an indexation provision will be indexed </w:t>
      </w:r>
      <w:r w:rsidR="00B477F1" w:rsidRPr="00485201">
        <w:t>using</w:t>
      </w:r>
      <w:r w:rsidR="00485201">
        <w:t>:</w:t>
      </w:r>
    </w:p>
    <w:p w14:paraId="05DE8AD1" w14:textId="58B6BBE0" w:rsidR="00D22A23" w:rsidRPr="00485201" w:rsidRDefault="00B477F1" w:rsidP="00D22887">
      <w:pPr>
        <w:pStyle w:val="Quote"/>
      </w:pPr>
      <w:bookmarkStart w:id="12" w:name="_Hlk168051871"/>
      <w:bookmarkEnd w:id="11"/>
      <w:r w:rsidRPr="00485201">
        <w:t>t</w:t>
      </w:r>
      <w:r w:rsidR="00A735A0" w:rsidRPr="00485201">
        <w:t>he</w:t>
      </w:r>
      <w:r w:rsidRPr="00485201">
        <w:t xml:space="preserve"> dollar amount of the relevant fee or charge immediately before 1 July </w:t>
      </w:r>
      <w:r w:rsidR="00D53FE2" w:rsidRPr="00485201">
        <w:t>202</w:t>
      </w:r>
      <w:r w:rsidR="00E27EAA">
        <w:t>6</w:t>
      </w:r>
      <w:r w:rsidR="00D53FE2" w:rsidRPr="00485201">
        <w:t xml:space="preserve"> </w:t>
      </w:r>
      <w:r w:rsidRPr="00485201">
        <w:t xml:space="preserve">× </w:t>
      </w:r>
      <w:r w:rsidRPr="00D22887">
        <w:t>t</w:t>
      </w:r>
      <w:r w:rsidR="00D22A23" w:rsidRPr="00485201">
        <w:t xml:space="preserve">he indexation factor for 1 July </w:t>
      </w:r>
      <w:r w:rsidR="00B92945" w:rsidRPr="00485201">
        <w:t>202</w:t>
      </w:r>
      <w:r w:rsidR="00B92945">
        <w:t>6</w:t>
      </w:r>
      <w:r w:rsidR="00B92945" w:rsidRPr="00485201">
        <w:t xml:space="preserve"> </w:t>
      </w:r>
      <w:r w:rsidR="00D22A23" w:rsidRPr="00485201">
        <w:t>(1.</w:t>
      </w:r>
      <w:r w:rsidR="00D53FE2" w:rsidRPr="00485201">
        <w:t>0</w:t>
      </w:r>
      <w:r w:rsidR="000F43F4">
        <w:t>3</w:t>
      </w:r>
      <w:r w:rsidR="00E27EAA">
        <w:t>8</w:t>
      </w:r>
      <w:r w:rsidR="00D22A23" w:rsidRPr="00485201">
        <w:t>)</w:t>
      </w:r>
      <w:r w:rsidRPr="00D22887">
        <w:t>.</w:t>
      </w:r>
    </w:p>
    <w:p w14:paraId="439B91B3" w14:textId="27AA4884" w:rsidR="00754CA3" w:rsidRDefault="009B7461" w:rsidP="00485201">
      <w:bookmarkStart w:id="13" w:name="_Hlk168051886"/>
      <w:bookmarkEnd w:id="12"/>
      <w:r w:rsidRPr="00485201">
        <w:t>The indexed amount of the fee is to the nearest whole dollar</w:t>
      </w:r>
      <w:r w:rsidR="002A22D6">
        <w:t>.</w:t>
      </w:r>
      <w:r w:rsidR="00E622F7">
        <w:t xml:space="preserve"> The indexed amount for a charge is rounded to:</w:t>
      </w:r>
    </w:p>
    <w:p w14:paraId="6D4686AE" w14:textId="143E1C1F" w:rsidR="00E622F7" w:rsidRDefault="00E622F7" w:rsidP="00E622F7">
      <w:pPr>
        <w:pStyle w:val="ListParagraph"/>
        <w:numPr>
          <w:ilvl w:val="0"/>
          <w:numId w:val="14"/>
        </w:numPr>
      </w:pPr>
      <w:r>
        <w:t>If the amount is below $1, the nearest cent (rounding 0.5 cents upwards) or</w:t>
      </w:r>
    </w:p>
    <w:p w14:paraId="75A412FF" w14:textId="729A26B2" w:rsidR="00E622F7" w:rsidRPr="00485201" w:rsidRDefault="00E622F7" w:rsidP="00E622F7">
      <w:pPr>
        <w:pStyle w:val="ListParagraph"/>
        <w:numPr>
          <w:ilvl w:val="0"/>
          <w:numId w:val="14"/>
        </w:numPr>
      </w:pPr>
      <w:r>
        <w:t xml:space="preserve">In any other case, the nearest whole dollar (rounding 50 cents upwards). </w:t>
      </w:r>
    </w:p>
    <w:bookmarkEnd w:id="10"/>
    <w:bookmarkEnd w:id="13"/>
    <w:p w14:paraId="0D0B0BE6" w14:textId="78859080" w:rsidR="00943779" w:rsidRDefault="009B7461" w:rsidP="000C67CF">
      <w:pPr>
        <w:pStyle w:val="Heading2"/>
      </w:pPr>
      <w:r>
        <w:t xml:space="preserve">Example </w:t>
      </w:r>
      <w:r w:rsidR="009A5D19">
        <w:t>p</w:t>
      </w:r>
      <w:r>
        <w:t>rice calculations for fees and charges subject to indexation</w:t>
      </w:r>
    </w:p>
    <w:p w14:paraId="7BD42648" w14:textId="778770C8" w:rsidR="000C4558" w:rsidRDefault="009C6CEF">
      <w:r>
        <w:t xml:space="preserve">Scenarios 1, 2 and 3 </w:t>
      </w:r>
      <w:r w:rsidR="009B7461">
        <w:t xml:space="preserve">set out </w:t>
      </w:r>
      <w:r w:rsidR="009B7461" w:rsidRPr="009B7461">
        <w:t>examples of how new prices are calculated where a dollar value is prescribed in legislation.</w:t>
      </w:r>
    </w:p>
    <w:p w14:paraId="0D9B7827" w14:textId="468A3828" w:rsidR="00315F42" w:rsidRDefault="00315F42" w:rsidP="00315F42">
      <w:pPr>
        <w:pStyle w:val="Caption"/>
      </w:pPr>
      <w:bookmarkStart w:id="14" w:name="_Ref163641031"/>
      <w:r>
        <w:t xml:space="preserve">Scenario </w:t>
      </w:r>
      <w:fldSimple w:instr=" SEQ Scenario \* ARABIC ">
        <w:r w:rsidR="00A07894">
          <w:rPr>
            <w:noProof/>
          </w:rPr>
          <w:t>1</w:t>
        </w:r>
      </w:fldSimple>
      <w:bookmarkEnd w:id="14"/>
      <w:r>
        <w:rPr>
          <w:noProof/>
        </w:rPr>
        <w:t xml:space="preserve"> </w:t>
      </w:r>
      <w:r w:rsidR="00EE125A">
        <w:rPr>
          <w:noProof/>
        </w:rPr>
        <w:t>p</w:t>
      </w:r>
      <w:r w:rsidRPr="00A42C72">
        <w:rPr>
          <w:noProof/>
        </w:rPr>
        <w:t>rice calculation of full Import declaration charge for air cargo</w:t>
      </w:r>
    </w:p>
    <w:tbl>
      <w:tblPr>
        <w:tblW w:w="9412" w:type="dxa"/>
        <w:tblBorders>
          <w:top w:val="single" w:sz="4" w:space="0" w:color="auto"/>
          <w:bottom w:val="single" w:sz="4" w:space="0" w:color="auto"/>
          <w:insideH w:val="single" w:sz="4" w:space="0" w:color="auto"/>
        </w:tblBorders>
        <w:tblLook w:val="04A0" w:firstRow="1" w:lastRow="0" w:firstColumn="1" w:lastColumn="0" w:noHBand="0" w:noVBand="1"/>
      </w:tblPr>
      <w:tblGrid>
        <w:gridCol w:w="7611"/>
        <w:gridCol w:w="1801"/>
      </w:tblGrid>
      <w:tr w:rsidR="009A5D19" w14:paraId="10C56868" w14:textId="77777777" w:rsidTr="00A735A0">
        <w:trPr>
          <w:cantSplit/>
          <w:tblHeader/>
        </w:trPr>
        <w:tc>
          <w:tcPr>
            <w:tcW w:w="7611" w:type="dxa"/>
          </w:tcPr>
          <w:p w14:paraId="766841EB" w14:textId="4C278F92" w:rsidR="009A5D19" w:rsidRPr="00916B0C" w:rsidRDefault="00A735A0" w:rsidP="00A735A0">
            <w:pPr>
              <w:pStyle w:val="TableHeading"/>
            </w:pPr>
            <w:bookmarkStart w:id="15" w:name="Title_1"/>
            <w:bookmarkStart w:id="16" w:name="_Hlk167801528"/>
            <w:bookmarkEnd w:id="15"/>
            <w:r w:rsidRPr="00D22887">
              <w:t>Price calculatio</w:t>
            </w:r>
            <w:r w:rsidRPr="00AC772A">
              <w:t>n</w:t>
            </w:r>
          </w:p>
        </w:tc>
        <w:tc>
          <w:tcPr>
            <w:tcW w:w="1801" w:type="dxa"/>
          </w:tcPr>
          <w:p w14:paraId="18B5C49E" w14:textId="27ED212C" w:rsidR="009A5D19" w:rsidRPr="00916B0C" w:rsidRDefault="009A5D19" w:rsidP="008F786B">
            <w:pPr>
              <w:pStyle w:val="TableHeading"/>
              <w:jc w:val="right"/>
            </w:pPr>
            <w:r>
              <w:t>Price</w:t>
            </w:r>
          </w:p>
        </w:tc>
      </w:tr>
      <w:bookmarkEnd w:id="16"/>
      <w:tr w:rsidR="009B7461" w14:paraId="10D20F2D" w14:textId="77777777" w:rsidTr="008F786B">
        <w:tc>
          <w:tcPr>
            <w:tcW w:w="7611" w:type="dxa"/>
          </w:tcPr>
          <w:p w14:paraId="5452F558" w14:textId="4A215C63" w:rsidR="009B7461" w:rsidRDefault="009B7461" w:rsidP="009B7461">
            <w:pPr>
              <w:pStyle w:val="TableText"/>
            </w:pPr>
            <w:r w:rsidRPr="00916B0C">
              <w:t>Pre-indexed price for full import declaration charge for air cargo</w:t>
            </w:r>
          </w:p>
        </w:tc>
        <w:tc>
          <w:tcPr>
            <w:tcW w:w="1801" w:type="dxa"/>
          </w:tcPr>
          <w:p w14:paraId="0D9B106E" w14:textId="571822E4" w:rsidR="009B7461" w:rsidRDefault="009B7461" w:rsidP="009B7461">
            <w:pPr>
              <w:pStyle w:val="TableText"/>
              <w:jc w:val="right"/>
            </w:pPr>
            <w:r w:rsidRPr="00916B0C">
              <w:t>$4</w:t>
            </w:r>
            <w:r w:rsidR="00222E55">
              <w:t>6</w:t>
            </w:r>
          </w:p>
        </w:tc>
      </w:tr>
      <w:tr w:rsidR="009B7461" w14:paraId="37C0835F" w14:textId="77777777" w:rsidTr="008F786B">
        <w:tc>
          <w:tcPr>
            <w:tcW w:w="7611" w:type="dxa"/>
          </w:tcPr>
          <w:p w14:paraId="659CE233" w14:textId="50B62527" w:rsidR="009B7461" w:rsidRDefault="009B7461" w:rsidP="009B7461">
            <w:pPr>
              <w:pStyle w:val="TableText"/>
            </w:pPr>
            <w:r w:rsidRPr="00916B0C">
              <w:t>Indexation factor</w:t>
            </w:r>
          </w:p>
        </w:tc>
        <w:tc>
          <w:tcPr>
            <w:tcW w:w="1801" w:type="dxa"/>
          </w:tcPr>
          <w:p w14:paraId="4E9EA8DA" w14:textId="70C8A815" w:rsidR="009B7461" w:rsidRDefault="009B7461" w:rsidP="009B7461">
            <w:pPr>
              <w:pStyle w:val="TableText"/>
              <w:jc w:val="right"/>
            </w:pPr>
            <w:r w:rsidRPr="00916B0C">
              <w:t>1.</w:t>
            </w:r>
            <w:r w:rsidR="00D53FE2" w:rsidRPr="00916B0C">
              <w:t>0</w:t>
            </w:r>
            <w:r w:rsidR="00222E55">
              <w:t>3</w:t>
            </w:r>
            <w:r w:rsidR="00E27EAA">
              <w:t>8</w:t>
            </w:r>
          </w:p>
        </w:tc>
      </w:tr>
      <w:tr w:rsidR="009B7461" w:rsidRPr="00ED6FF7" w14:paraId="5C159A9E" w14:textId="77777777" w:rsidTr="008F786B">
        <w:tc>
          <w:tcPr>
            <w:tcW w:w="7611" w:type="dxa"/>
          </w:tcPr>
          <w:p w14:paraId="6F7C949F" w14:textId="29AEFFE0" w:rsidR="009B7461" w:rsidRDefault="009B7461" w:rsidP="009B7461">
            <w:pPr>
              <w:pStyle w:val="TableText"/>
            </w:pPr>
            <w:r w:rsidRPr="00916B0C">
              <w:t>Calculation of new price</w:t>
            </w:r>
          </w:p>
        </w:tc>
        <w:tc>
          <w:tcPr>
            <w:tcW w:w="1801" w:type="dxa"/>
          </w:tcPr>
          <w:p w14:paraId="195E920C" w14:textId="7EAB99E7" w:rsidR="009B7461" w:rsidRPr="00ED6FF7" w:rsidRDefault="009B7461" w:rsidP="009B7461">
            <w:pPr>
              <w:pStyle w:val="TableText"/>
              <w:jc w:val="right"/>
              <w:rPr>
                <w:highlight w:val="yellow"/>
              </w:rPr>
            </w:pPr>
            <w:r w:rsidRPr="00B94923">
              <w:t>$</w:t>
            </w:r>
            <w:r w:rsidR="00D53FE2" w:rsidRPr="00B94923">
              <w:t>4</w:t>
            </w:r>
            <w:r w:rsidR="00222E55">
              <w:t>6</w:t>
            </w:r>
            <w:r w:rsidR="00D53FE2" w:rsidRPr="00B94923">
              <w:t xml:space="preserve"> </w:t>
            </w:r>
            <w:r w:rsidRPr="00B94923">
              <w:t>x 1.0</w:t>
            </w:r>
            <w:r w:rsidR="00222E55">
              <w:t>3</w:t>
            </w:r>
            <w:r w:rsidR="00E27EAA">
              <w:t>8</w:t>
            </w:r>
          </w:p>
        </w:tc>
      </w:tr>
      <w:tr w:rsidR="009B7461" w14:paraId="7C704A32" w14:textId="77777777" w:rsidTr="008F786B">
        <w:tc>
          <w:tcPr>
            <w:tcW w:w="7611" w:type="dxa"/>
          </w:tcPr>
          <w:p w14:paraId="43D98B72" w14:textId="7CE21641" w:rsidR="009B7461" w:rsidRDefault="009B7461" w:rsidP="009B7461">
            <w:pPr>
              <w:pStyle w:val="TableText"/>
            </w:pPr>
            <w:r w:rsidRPr="00916B0C">
              <w:lastRenderedPageBreak/>
              <w:t>Price after indexation</w:t>
            </w:r>
          </w:p>
        </w:tc>
        <w:tc>
          <w:tcPr>
            <w:tcW w:w="1801" w:type="dxa"/>
          </w:tcPr>
          <w:p w14:paraId="0BC76B69" w14:textId="70980956" w:rsidR="009B7461" w:rsidRDefault="009B7461" w:rsidP="009B7461">
            <w:pPr>
              <w:pStyle w:val="TableText"/>
              <w:jc w:val="right"/>
            </w:pPr>
            <w:r w:rsidRPr="00916B0C">
              <w:t>$</w:t>
            </w:r>
            <w:r w:rsidR="00D53FE2">
              <w:t>4</w:t>
            </w:r>
            <w:r w:rsidR="00222E55">
              <w:t>7.7</w:t>
            </w:r>
            <w:r w:rsidR="00E27EAA">
              <w:t>5</w:t>
            </w:r>
          </w:p>
        </w:tc>
      </w:tr>
      <w:tr w:rsidR="009B7461" w14:paraId="004460B1" w14:textId="77777777" w:rsidTr="008F786B">
        <w:tc>
          <w:tcPr>
            <w:tcW w:w="7611" w:type="dxa"/>
          </w:tcPr>
          <w:p w14:paraId="7ADB630F" w14:textId="5B8AFAA3" w:rsidR="009B7461" w:rsidRDefault="009B7461" w:rsidP="009B7461">
            <w:pPr>
              <w:pStyle w:val="TableText"/>
            </w:pPr>
            <w:r w:rsidRPr="00916B0C">
              <w:t>New price (rounded to the nearest whole dollar)</w:t>
            </w:r>
          </w:p>
        </w:tc>
        <w:tc>
          <w:tcPr>
            <w:tcW w:w="1801" w:type="dxa"/>
          </w:tcPr>
          <w:p w14:paraId="4D74433D" w14:textId="0F6323E7" w:rsidR="009B7461" w:rsidRDefault="009B7461" w:rsidP="009B7461">
            <w:pPr>
              <w:pStyle w:val="TableText"/>
              <w:jc w:val="right"/>
            </w:pPr>
            <w:r w:rsidRPr="00916B0C">
              <w:t>$</w:t>
            </w:r>
            <w:r w:rsidR="00D53FE2" w:rsidRPr="00916B0C">
              <w:t>4</w:t>
            </w:r>
            <w:r w:rsidR="00222E55">
              <w:t>8</w:t>
            </w:r>
          </w:p>
        </w:tc>
      </w:tr>
    </w:tbl>
    <w:p w14:paraId="505747CA" w14:textId="3AB56DE3" w:rsidR="009B7461" w:rsidRDefault="00315F42" w:rsidP="000C67CF">
      <w:pPr>
        <w:pStyle w:val="Caption"/>
        <w:spacing w:before="120"/>
      </w:pPr>
      <w:bookmarkStart w:id="17" w:name="_Ref163641156"/>
      <w:r>
        <w:t xml:space="preserve">Scenario </w:t>
      </w:r>
      <w:fldSimple w:instr=" SEQ Scenario \* ARABIC ">
        <w:r w:rsidR="00A07894">
          <w:rPr>
            <w:noProof/>
          </w:rPr>
          <w:t>2</w:t>
        </w:r>
      </w:fldSimple>
      <w:bookmarkEnd w:id="17"/>
      <w:r>
        <w:t xml:space="preserve"> </w:t>
      </w:r>
      <w:r w:rsidR="00EE125A">
        <w:t>p</w:t>
      </w:r>
      <w:r w:rsidRPr="004F46B6">
        <w:t>rice calculation of a category 3 permit assessment fee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7656"/>
        <w:gridCol w:w="1756"/>
      </w:tblGrid>
      <w:tr w:rsidR="009A5D19" w14:paraId="5BE91B7D" w14:textId="77777777" w:rsidTr="00A7016C">
        <w:trPr>
          <w:cantSplit/>
          <w:tblHeader/>
        </w:trPr>
        <w:tc>
          <w:tcPr>
            <w:tcW w:w="4067" w:type="pct"/>
          </w:tcPr>
          <w:p w14:paraId="195E07F7" w14:textId="545EA292" w:rsidR="009A5D19" w:rsidRPr="007A07C2" w:rsidRDefault="00A735A0" w:rsidP="008F786B">
            <w:pPr>
              <w:pStyle w:val="TableHeading"/>
            </w:pPr>
            <w:r w:rsidRPr="00A735A0">
              <w:t>Price calculation</w:t>
            </w:r>
          </w:p>
        </w:tc>
        <w:tc>
          <w:tcPr>
            <w:tcW w:w="933" w:type="pct"/>
          </w:tcPr>
          <w:p w14:paraId="47644534" w14:textId="2DFF0F95" w:rsidR="009A5D19" w:rsidRPr="007A07C2" w:rsidRDefault="009A5D19" w:rsidP="008F786B">
            <w:pPr>
              <w:pStyle w:val="TableHeading"/>
              <w:jc w:val="right"/>
            </w:pPr>
            <w:r w:rsidRPr="0057192A">
              <w:t>Price</w:t>
            </w:r>
          </w:p>
        </w:tc>
      </w:tr>
      <w:tr w:rsidR="00315F42" w14:paraId="7D08E083" w14:textId="77777777" w:rsidTr="00A7016C">
        <w:tc>
          <w:tcPr>
            <w:tcW w:w="4067" w:type="pct"/>
          </w:tcPr>
          <w:p w14:paraId="7AD4E1A3" w14:textId="5E06433F" w:rsidR="00315F42" w:rsidRDefault="00315F42" w:rsidP="00A005B3">
            <w:pPr>
              <w:pStyle w:val="TableText"/>
            </w:pPr>
            <w:bookmarkStart w:id="18" w:name="Title_3"/>
            <w:bookmarkEnd w:id="18"/>
            <w:r w:rsidRPr="007A07C2">
              <w:t xml:space="preserve">Pre-indexed price for category 3 permit assessment </w:t>
            </w:r>
            <w:r w:rsidR="002359E0">
              <w:t>fee</w:t>
            </w:r>
          </w:p>
        </w:tc>
        <w:tc>
          <w:tcPr>
            <w:tcW w:w="933" w:type="pct"/>
          </w:tcPr>
          <w:p w14:paraId="53E115A9" w14:textId="6A4A829B" w:rsidR="00315F42" w:rsidRDefault="00315F42" w:rsidP="00A005B3">
            <w:pPr>
              <w:pStyle w:val="TableText"/>
              <w:jc w:val="right"/>
            </w:pPr>
            <w:r w:rsidRPr="007A07C2">
              <w:t>$</w:t>
            </w:r>
            <w:r w:rsidR="00D53FE2" w:rsidRPr="007A07C2">
              <w:t>3</w:t>
            </w:r>
            <w:r w:rsidR="00222E55">
              <w:t>15</w:t>
            </w:r>
          </w:p>
        </w:tc>
      </w:tr>
      <w:tr w:rsidR="00315F42" w14:paraId="18AE53FE" w14:textId="77777777" w:rsidTr="00A7016C">
        <w:tc>
          <w:tcPr>
            <w:tcW w:w="4067" w:type="pct"/>
          </w:tcPr>
          <w:p w14:paraId="589A05E9" w14:textId="7353F170" w:rsidR="00315F42" w:rsidRDefault="00315F42" w:rsidP="00A005B3">
            <w:pPr>
              <w:pStyle w:val="TableText"/>
            </w:pPr>
            <w:r w:rsidRPr="007A07C2">
              <w:t>Indexation factor</w:t>
            </w:r>
          </w:p>
        </w:tc>
        <w:tc>
          <w:tcPr>
            <w:tcW w:w="933" w:type="pct"/>
          </w:tcPr>
          <w:p w14:paraId="27E1B375" w14:textId="591CBBAF" w:rsidR="00315F42" w:rsidRDefault="00315F42" w:rsidP="00A005B3">
            <w:pPr>
              <w:pStyle w:val="TableText"/>
              <w:jc w:val="right"/>
            </w:pPr>
            <w:r w:rsidRPr="007A07C2">
              <w:t>1.</w:t>
            </w:r>
            <w:r w:rsidR="00D53FE2" w:rsidRPr="007A07C2">
              <w:t>0</w:t>
            </w:r>
            <w:r w:rsidR="00222E55">
              <w:t>3</w:t>
            </w:r>
            <w:r w:rsidR="00E27EAA">
              <w:t>8</w:t>
            </w:r>
          </w:p>
        </w:tc>
      </w:tr>
      <w:tr w:rsidR="00315F42" w14:paraId="5B74C087" w14:textId="77777777" w:rsidTr="00A7016C">
        <w:tc>
          <w:tcPr>
            <w:tcW w:w="4067" w:type="pct"/>
          </w:tcPr>
          <w:p w14:paraId="72D8EB7F" w14:textId="4D8FA3A3" w:rsidR="00315F42" w:rsidRDefault="00315F42" w:rsidP="00A005B3">
            <w:pPr>
              <w:pStyle w:val="TableText"/>
            </w:pPr>
            <w:r w:rsidRPr="007A07C2">
              <w:t>Calculation of new price</w:t>
            </w:r>
          </w:p>
        </w:tc>
        <w:tc>
          <w:tcPr>
            <w:tcW w:w="933" w:type="pct"/>
          </w:tcPr>
          <w:p w14:paraId="06CF5822" w14:textId="20E97DA3" w:rsidR="00315F42" w:rsidRDefault="00315F42" w:rsidP="00A005B3">
            <w:pPr>
              <w:pStyle w:val="TableText"/>
              <w:jc w:val="right"/>
            </w:pPr>
            <w:r w:rsidRPr="007A07C2">
              <w:t>$</w:t>
            </w:r>
            <w:r w:rsidR="00D53FE2">
              <w:t>3</w:t>
            </w:r>
            <w:r w:rsidR="00222E55">
              <w:t>15</w:t>
            </w:r>
            <w:r w:rsidRPr="007A07C2">
              <w:t xml:space="preserve"> x 1.</w:t>
            </w:r>
            <w:r w:rsidR="00D53FE2">
              <w:t>0</w:t>
            </w:r>
            <w:r w:rsidR="00222E55">
              <w:t>3</w:t>
            </w:r>
            <w:r w:rsidR="00E27EAA">
              <w:t>8</w:t>
            </w:r>
          </w:p>
        </w:tc>
      </w:tr>
      <w:tr w:rsidR="00315F42" w14:paraId="1F10E5D2" w14:textId="77777777" w:rsidTr="00A7016C">
        <w:tc>
          <w:tcPr>
            <w:tcW w:w="4067" w:type="pct"/>
          </w:tcPr>
          <w:p w14:paraId="290AF361" w14:textId="1A8593EF" w:rsidR="00315F42" w:rsidRDefault="00315F42" w:rsidP="00A005B3">
            <w:pPr>
              <w:pStyle w:val="TableText"/>
            </w:pPr>
            <w:r w:rsidRPr="007A07C2">
              <w:t>Price after indexation</w:t>
            </w:r>
          </w:p>
        </w:tc>
        <w:tc>
          <w:tcPr>
            <w:tcW w:w="933" w:type="pct"/>
          </w:tcPr>
          <w:p w14:paraId="24279F24" w14:textId="5EB8A7F0" w:rsidR="00315F42" w:rsidRDefault="00315F42" w:rsidP="00A005B3">
            <w:pPr>
              <w:pStyle w:val="TableText"/>
              <w:jc w:val="right"/>
            </w:pPr>
            <w:r w:rsidRPr="007A07C2">
              <w:t>$</w:t>
            </w:r>
            <w:r w:rsidR="00D53FE2" w:rsidRPr="007A07C2">
              <w:t>3</w:t>
            </w:r>
            <w:r w:rsidR="00222E55">
              <w:t>26.</w:t>
            </w:r>
            <w:r w:rsidR="00E27EAA">
              <w:t>97</w:t>
            </w:r>
          </w:p>
        </w:tc>
      </w:tr>
      <w:tr w:rsidR="00315F42" w14:paraId="7EE96126" w14:textId="77777777" w:rsidTr="00A7016C">
        <w:tc>
          <w:tcPr>
            <w:tcW w:w="4067" w:type="pct"/>
          </w:tcPr>
          <w:p w14:paraId="664D768A" w14:textId="1931B72D" w:rsidR="00315F42" w:rsidRDefault="00315F42" w:rsidP="00A005B3">
            <w:pPr>
              <w:pStyle w:val="TableText"/>
            </w:pPr>
            <w:r w:rsidRPr="007A07C2">
              <w:t>New price (rounded to the nearest whole dollar)</w:t>
            </w:r>
          </w:p>
        </w:tc>
        <w:tc>
          <w:tcPr>
            <w:tcW w:w="933" w:type="pct"/>
          </w:tcPr>
          <w:p w14:paraId="44C97063" w14:textId="0189FFEB" w:rsidR="00315F42" w:rsidRDefault="00315F42" w:rsidP="00A005B3">
            <w:pPr>
              <w:pStyle w:val="TableText"/>
              <w:jc w:val="right"/>
            </w:pPr>
            <w:r w:rsidRPr="007A07C2">
              <w:t>$</w:t>
            </w:r>
            <w:r w:rsidR="00D53FE2" w:rsidRPr="007A07C2">
              <w:t>3</w:t>
            </w:r>
            <w:r w:rsidR="00222E55">
              <w:t>27</w:t>
            </w:r>
          </w:p>
        </w:tc>
      </w:tr>
    </w:tbl>
    <w:p w14:paraId="0BF98443" w14:textId="616A5EC5" w:rsidR="00315F42" w:rsidRDefault="000C67CF" w:rsidP="000C67CF">
      <w:pPr>
        <w:pStyle w:val="Caption"/>
        <w:spacing w:before="120"/>
      </w:pPr>
      <w:bookmarkStart w:id="19" w:name="_Ref163641185"/>
      <w:r>
        <w:t xml:space="preserve">Scenario </w:t>
      </w:r>
      <w:fldSimple w:instr=" SEQ Scenario \* ARABIC ">
        <w:r w:rsidR="00A07894">
          <w:rPr>
            <w:noProof/>
          </w:rPr>
          <w:t>3</w:t>
        </w:r>
      </w:fldSimple>
      <w:bookmarkEnd w:id="19"/>
      <w:r>
        <w:t xml:space="preserve"> </w:t>
      </w:r>
      <w:r w:rsidR="00EE125A">
        <w:t>p</w:t>
      </w:r>
      <w:r w:rsidRPr="009F1F9D">
        <w:t xml:space="preserve">rice calculation of application charge to </w:t>
      </w:r>
      <w:proofErr w:type="gramStart"/>
      <w:r w:rsidRPr="009F1F9D">
        <w:t>enter into</w:t>
      </w:r>
      <w:proofErr w:type="gramEnd"/>
      <w:r w:rsidRPr="009F1F9D">
        <w:t xml:space="preserve"> an approved arrangement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7289"/>
        <w:gridCol w:w="2123"/>
      </w:tblGrid>
      <w:tr w:rsidR="00813E69" w14:paraId="35493D91" w14:textId="77777777" w:rsidTr="00A7016C">
        <w:trPr>
          <w:cantSplit/>
          <w:tblHeader/>
        </w:trPr>
        <w:tc>
          <w:tcPr>
            <w:tcW w:w="7289" w:type="dxa"/>
          </w:tcPr>
          <w:p w14:paraId="7D371868" w14:textId="4894867E" w:rsidR="009A5D19" w:rsidRPr="00D35B81" w:rsidRDefault="00A735A0" w:rsidP="008F786B">
            <w:pPr>
              <w:pStyle w:val="TableHeading"/>
            </w:pPr>
            <w:r w:rsidRPr="00DC5E3D">
              <w:t>Price calculatio</w:t>
            </w:r>
            <w:r w:rsidRPr="00AC772A">
              <w:t>n</w:t>
            </w:r>
          </w:p>
        </w:tc>
        <w:tc>
          <w:tcPr>
            <w:tcW w:w="2123" w:type="dxa"/>
          </w:tcPr>
          <w:p w14:paraId="45B05447" w14:textId="4D49246A" w:rsidR="009A5D19" w:rsidRPr="00D35B81" w:rsidRDefault="009A5D19" w:rsidP="008F786B">
            <w:pPr>
              <w:pStyle w:val="TableHeading"/>
              <w:jc w:val="right"/>
            </w:pPr>
            <w:r w:rsidRPr="0057192A">
              <w:t>Price</w:t>
            </w:r>
          </w:p>
        </w:tc>
      </w:tr>
      <w:tr w:rsidR="009A5D19" w14:paraId="741CB94C" w14:textId="77777777" w:rsidTr="009A5D19">
        <w:tc>
          <w:tcPr>
            <w:tcW w:w="7289" w:type="dxa"/>
          </w:tcPr>
          <w:p w14:paraId="29F89C64" w14:textId="253D81E0" w:rsidR="00315F42" w:rsidRDefault="00315F42" w:rsidP="00A005B3">
            <w:pPr>
              <w:pStyle w:val="TableText"/>
            </w:pPr>
            <w:bookmarkStart w:id="20" w:name="Title_4"/>
            <w:bookmarkEnd w:id="20"/>
            <w:r w:rsidRPr="00D35B81">
              <w:t xml:space="preserve">Pre-indexed price for </w:t>
            </w:r>
            <w:r>
              <w:t>an approved arrangement application charge</w:t>
            </w:r>
          </w:p>
        </w:tc>
        <w:tc>
          <w:tcPr>
            <w:tcW w:w="2123" w:type="dxa"/>
          </w:tcPr>
          <w:p w14:paraId="41945F67" w14:textId="7CEC22F1" w:rsidR="00315F42" w:rsidRDefault="00315F42" w:rsidP="00A005B3">
            <w:pPr>
              <w:pStyle w:val="TableText"/>
              <w:jc w:val="right"/>
            </w:pPr>
            <w:r w:rsidRPr="00D35B81">
              <w:t>$</w:t>
            </w:r>
            <w:r w:rsidR="00D53FE2" w:rsidRPr="00D35B81">
              <w:t>20</w:t>
            </w:r>
            <w:r w:rsidR="00692AE0">
              <w:t>7</w:t>
            </w:r>
          </w:p>
        </w:tc>
      </w:tr>
      <w:tr w:rsidR="009A5D19" w14:paraId="4A4E6576" w14:textId="77777777" w:rsidTr="009A5D19">
        <w:tc>
          <w:tcPr>
            <w:tcW w:w="7289" w:type="dxa"/>
          </w:tcPr>
          <w:p w14:paraId="0CFD925F" w14:textId="2602C6F5" w:rsidR="00315F42" w:rsidRDefault="00315F42" w:rsidP="00A005B3">
            <w:pPr>
              <w:pStyle w:val="TableText"/>
            </w:pPr>
            <w:r w:rsidRPr="00D35B81">
              <w:t>Indexation factor</w:t>
            </w:r>
          </w:p>
        </w:tc>
        <w:tc>
          <w:tcPr>
            <w:tcW w:w="2123" w:type="dxa"/>
          </w:tcPr>
          <w:p w14:paraId="76E5006E" w14:textId="353A34CD" w:rsidR="00315F42" w:rsidRDefault="00315F42" w:rsidP="00A005B3">
            <w:pPr>
              <w:pStyle w:val="TableText"/>
              <w:jc w:val="right"/>
            </w:pPr>
            <w:r w:rsidRPr="00D35B81">
              <w:t>1.</w:t>
            </w:r>
            <w:r w:rsidR="00D53FE2" w:rsidRPr="00D35B81">
              <w:t>0</w:t>
            </w:r>
            <w:r w:rsidR="00692AE0">
              <w:t>3</w:t>
            </w:r>
            <w:r w:rsidR="00B92008">
              <w:t>8</w:t>
            </w:r>
          </w:p>
        </w:tc>
      </w:tr>
      <w:tr w:rsidR="009A5D19" w14:paraId="02018AFD" w14:textId="77777777" w:rsidTr="009A5D19">
        <w:tc>
          <w:tcPr>
            <w:tcW w:w="7289" w:type="dxa"/>
          </w:tcPr>
          <w:p w14:paraId="3C97301E" w14:textId="4F42F5EA" w:rsidR="00315F42" w:rsidRDefault="00315F42" w:rsidP="00A005B3">
            <w:pPr>
              <w:pStyle w:val="TableText"/>
            </w:pPr>
            <w:r w:rsidRPr="00D35B81">
              <w:t>Calculation of new price</w:t>
            </w:r>
          </w:p>
        </w:tc>
        <w:tc>
          <w:tcPr>
            <w:tcW w:w="2123" w:type="dxa"/>
          </w:tcPr>
          <w:p w14:paraId="0F1DB6FC" w14:textId="3F25ADE6" w:rsidR="00315F42" w:rsidRDefault="00315F42" w:rsidP="00A005B3">
            <w:pPr>
              <w:pStyle w:val="TableText"/>
              <w:jc w:val="right"/>
            </w:pPr>
            <w:r w:rsidRPr="00D35B81">
              <w:t>$</w:t>
            </w:r>
            <w:r w:rsidR="00D53FE2">
              <w:t>20</w:t>
            </w:r>
            <w:r w:rsidR="00692AE0">
              <w:t>7</w:t>
            </w:r>
            <w:r w:rsidR="00D53FE2" w:rsidRPr="00D35B81">
              <w:t xml:space="preserve"> </w:t>
            </w:r>
            <w:r w:rsidRPr="00D35B81">
              <w:t>x 1.</w:t>
            </w:r>
            <w:r w:rsidR="00D53FE2" w:rsidRPr="00D35B81">
              <w:t>0</w:t>
            </w:r>
            <w:r w:rsidR="00692AE0">
              <w:t>3</w:t>
            </w:r>
            <w:r w:rsidR="00B92008">
              <w:t>8</w:t>
            </w:r>
          </w:p>
        </w:tc>
      </w:tr>
      <w:tr w:rsidR="009A5D19" w14:paraId="7EA1F08C" w14:textId="77777777" w:rsidTr="009A5D19">
        <w:tc>
          <w:tcPr>
            <w:tcW w:w="7289" w:type="dxa"/>
          </w:tcPr>
          <w:p w14:paraId="103DAA2F" w14:textId="56E0E8B3" w:rsidR="00315F42" w:rsidRDefault="00315F42" w:rsidP="00A005B3">
            <w:pPr>
              <w:pStyle w:val="TableText"/>
            </w:pPr>
            <w:r w:rsidRPr="00D35B81">
              <w:t>Price after indexation</w:t>
            </w:r>
          </w:p>
        </w:tc>
        <w:tc>
          <w:tcPr>
            <w:tcW w:w="2123" w:type="dxa"/>
          </w:tcPr>
          <w:p w14:paraId="28B68F3D" w14:textId="67A7FFB9" w:rsidR="00315F42" w:rsidRDefault="00315F42" w:rsidP="00A005B3">
            <w:pPr>
              <w:pStyle w:val="TableText"/>
              <w:jc w:val="right"/>
            </w:pPr>
            <w:r w:rsidRPr="00D35B81">
              <w:t>$</w:t>
            </w:r>
            <w:r w:rsidR="00D53FE2">
              <w:t>2</w:t>
            </w:r>
            <w:r w:rsidR="00692AE0">
              <w:t>14.</w:t>
            </w:r>
            <w:r w:rsidR="00B92008">
              <w:t>87</w:t>
            </w:r>
          </w:p>
        </w:tc>
      </w:tr>
      <w:tr w:rsidR="009A5D19" w14:paraId="62D50F62" w14:textId="77777777" w:rsidTr="009A5D19">
        <w:tc>
          <w:tcPr>
            <w:tcW w:w="7289" w:type="dxa"/>
          </w:tcPr>
          <w:p w14:paraId="25961F73" w14:textId="4BB7F8D7" w:rsidR="00315F42" w:rsidRDefault="00315F42" w:rsidP="00A005B3">
            <w:pPr>
              <w:pStyle w:val="TableText"/>
            </w:pPr>
            <w:r w:rsidRPr="00D35B81">
              <w:t>New price (rounded to the nearest whole dollar)</w:t>
            </w:r>
          </w:p>
        </w:tc>
        <w:tc>
          <w:tcPr>
            <w:tcW w:w="2123" w:type="dxa"/>
          </w:tcPr>
          <w:p w14:paraId="0B414A89" w14:textId="45CDD4BF" w:rsidR="00315F42" w:rsidRDefault="00315F42" w:rsidP="00A005B3">
            <w:pPr>
              <w:pStyle w:val="TableText"/>
              <w:jc w:val="right"/>
            </w:pPr>
            <w:r w:rsidRPr="00D35B81">
              <w:t>$2</w:t>
            </w:r>
            <w:r w:rsidR="00692AE0">
              <w:t>15</w:t>
            </w:r>
          </w:p>
        </w:tc>
      </w:tr>
    </w:tbl>
    <w:p w14:paraId="0D5FE832" w14:textId="565BEBD0" w:rsidR="000C67CF" w:rsidRDefault="000C67CF" w:rsidP="000C67CF">
      <w:pPr>
        <w:pStyle w:val="Heading2"/>
      </w:pPr>
      <w:r w:rsidRPr="000C67CF">
        <w:t>Example calculation of prices where no dollar value is prescribed</w:t>
      </w:r>
    </w:p>
    <w:p w14:paraId="3BBE4164" w14:textId="004795FB" w:rsidR="00B43E79" w:rsidRDefault="000C67CF" w:rsidP="000C67CF">
      <w:pPr>
        <w:rPr>
          <w:lang w:eastAsia="ja-JP"/>
        </w:rPr>
      </w:pPr>
      <w:r w:rsidRPr="000C67CF">
        <w:rPr>
          <w:lang w:eastAsia="ja-JP"/>
        </w:rPr>
        <w:t>Where a provision in legislation does not specify a dollar value, and the amount payable is set by reference to a percentage</w:t>
      </w:r>
      <w:r w:rsidR="007B6397">
        <w:rPr>
          <w:lang w:eastAsia="ja-JP"/>
        </w:rPr>
        <w:t xml:space="preserve"> of another charge,</w:t>
      </w:r>
      <w:r w:rsidRPr="000C67CF">
        <w:rPr>
          <w:lang w:eastAsia="ja-JP"/>
        </w:rPr>
        <w:t xml:space="preserve"> the new price is calculated by working out the indexed price for the full amount</w:t>
      </w:r>
      <w:r w:rsidR="007B6397">
        <w:rPr>
          <w:lang w:eastAsia="ja-JP"/>
        </w:rPr>
        <w:t xml:space="preserve"> of the other charge</w:t>
      </w:r>
      <w:r w:rsidRPr="000C67CF">
        <w:rPr>
          <w:lang w:eastAsia="ja-JP"/>
        </w:rPr>
        <w:t xml:space="preserve"> and then applying the prescribed percentage</w:t>
      </w:r>
      <w:r>
        <w:rPr>
          <w:lang w:eastAsia="ja-JP"/>
        </w:rPr>
        <w:t xml:space="preserve">. An example is provided in </w:t>
      </w:r>
      <w:r w:rsidR="00ED4F75">
        <w:rPr>
          <w:lang w:eastAsia="ja-JP"/>
        </w:rPr>
        <w:fldChar w:fldCharType="begin"/>
      </w:r>
      <w:r w:rsidR="00ED4F75">
        <w:rPr>
          <w:lang w:eastAsia="ja-JP"/>
        </w:rPr>
        <w:instrText xml:space="preserve"> REF _Ref163641353 \h </w:instrText>
      </w:r>
      <w:r w:rsidR="00ED4F75">
        <w:rPr>
          <w:lang w:eastAsia="ja-JP"/>
        </w:rPr>
      </w:r>
      <w:r w:rsidR="00ED4F75">
        <w:rPr>
          <w:lang w:eastAsia="ja-JP"/>
        </w:rPr>
        <w:fldChar w:fldCharType="separate"/>
      </w:r>
      <w:r w:rsidR="00A07894">
        <w:t xml:space="preserve">Scenario </w:t>
      </w:r>
      <w:r w:rsidR="00A07894">
        <w:rPr>
          <w:noProof/>
        </w:rPr>
        <w:t>4</w:t>
      </w:r>
      <w:r w:rsidR="00ED4F75">
        <w:rPr>
          <w:lang w:eastAsia="ja-JP"/>
        </w:rPr>
        <w:fldChar w:fldCharType="end"/>
      </w:r>
      <w:r>
        <w:rPr>
          <w:lang w:eastAsia="ja-JP"/>
        </w:rPr>
        <w:t>.</w:t>
      </w:r>
    </w:p>
    <w:p w14:paraId="4A152D56" w14:textId="41DC0DF1" w:rsidR="000C67CF" w:rsidRDefault="000C67CF" w:rsidP="00B43E79">
      <w:pPr>
        <w:pStyle w:val="Caption"/>
        <w:rPr>
          <w:lang w:eastAsia="ja-JP"/>
        </w:rPr>
      </w:pPr>
      <w:bookmarkStart w:id="21" w:name="_Ref163641353"/>
      <w:r>
        <w:t xml:space="preserve">Scenario </w:t>
      </w:r>
      <w:fldSimple w:instr=" SEQ Scenario \* ARABIC ">
        <w:r w:rsidR="00A07894">
          <w:rPr>
            <w:noProof/>
          </w:rPr>
          <w:t>4</w:t>
        </w:r>
      </w:fldSimple>
      <w:bookmarkEnd w:id="21"/>
      <w:r>
        <w:t xml:space="preserve"> </w:t>
      </w:r>
      <w:r w:rsidR="00EE125A">
        <w:t>p</w:t>
      </w:r>
      <w:r>
        <w:t>art year charge for a single approved arrangement</w:t>
      </w:r>
    </w:p>
    <w:p w14:paraId="5A797F5A" w14:textId="611AA3BA" w:rsidR="000C67CF" w:rsidRDefault="000C67CF" w:rsidP="000C67CF">
      <w:pPr>
        <w:pStyle w:val="BoxText"/>
        <w:rPr>
          <w:lang w:eastAsia="ja-JP"/>
        </w:rPr>
      </w:pPr>
      <w:bookmarkStart w:id="22" w:name="Title_5"/>
      <w:bookmarkEnd w:id="22"/>
      <w:r>
        <w:rPr>
          <w:lang w:eastAsia="ja-JP"/>
        </w:rPr>
        <w:t xml:space="preserve">The annual charge that applies to </w:t>
      </w:r>
      <w:proofErr w:type="gramStart"/>
      <w:r>
        <w:rPr>
          <w:lang w:eastAsia="ja-JP"/>
        </w:rPr>
        <w:t>enter into</w:t>
      </w:r>
      <w:proofErr w:type="gramEnd"/>
      <w:r>
        <w:rPr>
          <w:lang w:eastAsia="ja-JP"/>
        </w:rPr>
        <w:t xml:space="preserve"> a single approved arrangement, where it has been applied for prior to 1 January in a financial year (full year) is currently $2</w:t>
      </w:r>
      <w:r w:rsidR="00B87465">
        <w:rPr>
          <w:lang w:eastAsia="ja-JP"/>
        </w:rPr>
        <w:t>,</w:t>
      </w:r>
      <w:r w:rsidR="00784807">
        <w:rPr>
          <w:lang w:eastAsia="ja-JP"/>
        </w:rPr>
        <w:t>857</w:t>
      </w:r>
      <w:r>
        <w:rPr>
          <w:lang w:eastAsia="ja-JP"/>
        </w:rPr>
        <w:t>.</w:t>
      </w:r>
    </w:p>
    <w:p w14:paraId="02178527" w14:textId="24F4E51A" w:rsidR="000C67CF" w:rsidRDefault="000C67CF" w:rsidP="000C67CF">
      <w:pPr>
        <w:pStyle w:val="BoxText"/>
        <w:rPr>
          <w:lang w:eastAsia="ja-JP"/>
        </w:rPr>
      </w:pPr>
      <w:r>
        <w:rPr>
          <w:lang w:eastAsia="ja-JP"/>
        </w:rPr>
        <w:t xml:space="preserve">If a person applies to </w:t>
      </w:r>
      <w:proofErr w:type="gramStart"/>
      <w:r>
        <w:rPr>
          <w:lang w:eastAsia="ja-JP"/>
        </w:rPr>
        <w:t>enter into</w:t>
      </w:r>
      <w:proofErr w:type="gramEnd"/>
      <w:r>
        <w:rPr>
          <w:lang w:eastAsia="ja-JP"/>
        </w:rPr>
        <w:t xml:space="preserve"> an arrangement after 1 January in a financial year (part year), the current charge is 50% of the full year charge, which is $1</w:t>
      </w:r>
      <w:r w:rsidR="00B87465">
        <w:rPr>
          <w:lang w:eastAsia="ja-JP"/>
        </w:rPr>
        <w:t>,</w:t>
      </w:r>
      <w:r w:rsidR="00784807">
        <w:rPr>
          <w:lang w:eastAsia="ja-JP"/>
        </w:rPr>
        <w:t>428</w:t>
      </w:r>
      <w:r>
        <w:rPr>
          <w:lang w:eastAsia="ja-JP"/>
        </w:rPr>
        <w:t>.</w:t>
      </w:r>
    </w:p>
    <w:p w14:paraId="5B5BDA65" w14:textId="77777777" w:rsidR="000C67CF" w:rsidRPr="000C67CF" w:rsidRDefault="000C67CF" w:rsidP="000C67CF">
      <w:pPr>
        <w:pStyle w:val="BoxText"/>
        <w:rPr>
          <w:rStyle w:val="Strong"/>
          <w:lang w:eastAsia="ja-JP"/>
        </w:rPr>
      </w:pPr>
      <w:bookmarkStart w:id="23" w:name="_Hlk168309270"/>
      <w:r w:rsidRPr="000C67CF">
        <w:rPr>
          <w:rStyle w:val="Strong"/>
          <w:lang w:eastAsia="ja-JP"/>
        </w:rPr>
        <w:t>The indexed rate for the annual charge for a full year is calculated as follows:</w:t>
      </w:r>
    </w:p>
    <w:p w14:paraId="6DD63B7E" w14:textId="7AD9D57B" w:rsidR="000C67CF" w:rsidRDefault="000C67CF" w:rsidP="00A735A0">
      <w:pPr>
        <w:pStyle w:val="BoxTextBullet"/>
        <w:rPr>
          <w:lang w:eastAsia="ja-JP"/>
        </w:rPr>
      </w:pPr>
      <w:r>
        <w:rPr>
          <w:lang w:eastAsia="ja-JP"/>
        </w:rPr>
        <w:t>Pre-indexed price multiplied by the indexation factor = $2</w:t>
      </w:r>
      <w:r w:rsidR="00B87465">
        <w:rPr>
          <w:lang w:eastAsia="ja-JP"/>
        </w:rPr>
        <w:t>,</w:t>
      </w:r>
      <w:r w:rsidR="00784807">
        <w:rPr>
          <w:lang w:eastAsia="ja-JP"/>
        </w:rPr>
        <w:t>857</w:t>
      </w:r>
      <w:r w:rsidR="00D53FE2">
        <w:rPr>
          <w:lang w:eastAsia="ja-JP"/>
        </w:rPr>
        <w:t xml:space="preserve"> </w:t>
      </w:r>
      <w:r>
        <w:rPr>
          <w:lang w:eastAsia="ja-JP"/>
        </w:rPr>
        <w:t>x 1.</w:t>
      </w:r>
      <w:r w:rsidR="00D53FE2">
        <w:rPr>
          <w:lang w:eastAsia="ja-JP"/>
        </w:rPr>
        <w:t>0</w:t>
      </w:r>
      <w:r w:rsidR="00784807">
        <w:rPr>
          <w:lang w:eastAsia="ja-JP"/>
        </w:rPr>
        <w:t>38</w:t>
      </w:r>
    </w:p>
    <w:p w14:paraId="4EB549B5" w14:textId="2A7B5D8A" w:rsidR="000C67CF" w:rsidRDefault="000C67CF" w:rsidP="00A735A0">
      <w:pPr>
        <w:pStyle w:val="BoxTextBullet"/>
        <w:rPr>
          <w:lang w:eastAsia="ja-JP"/>
        </w:rPr>
      </w:pPr>
      <w:r>
        <w:rPr>
          <w:lang w:eastAsia="ja-JP"/>
        </w:rPr>
        <w:t>Price after indexation = $2</w:t>
      </w:r>
      <w:r w:rsidR="00B87465">
        <w:rPr>
          <w:lang w:eastAsia="ja-JP"/>
        </w:rPr>
        <w:t>,</w:t>
      </w:r>
      <w:r w:rsidR="00784807">
        <w:rPr>
          <w:lang w:eastAsia="ja-JP"/>
        </w:rPr>
        <w:t>965.57</w:t>
      </w:r>
    </w:p>
    <w:p w14:paraId="1BD98530" w14:textId="0FB9C3CB" w:rsidR="000C67CF" w:rsidRDefault="000C67CF" w:rsidP="00A735A0">
      <w:pPr>
        <w:pStyle w:val="BoxTextBullet"/>
        <w:rPr>
          <w:lang w:eastAsia="ja-JP"/>
        </w:rPr>
      </w:pPr>
      <w:r>
        <w:rPr>
          <w:lang w:eastAsia="ja-JP"/>
        </w:rPr>
        <w:t>New price rounded to the nearest whole dollar = $2</w:t>
      </w:r>
      <w:r w:rsidR="00B87465">
        <w:rPr>
          <w:lang w:eastAsia="ja-JP"/>
        </w:rPr>
        <w:t>,</w:t>
      </w:r>
      <w:r w:rsidR="00784807">
        <w:rPr>
          <w:lang w:eastAsia="ja-JP"/>
        </w:rPr>
        <w:t>966</w:t>
      </w:r>
    </w:p>
    <w:bookmarkEnd w:id="23"/>
    <w:p w14:paraId="7146B09D" w14:textId="61ED0D16" w:rsidR="000C67CF" w:rsidRPr="000C67CF" w:rsidRDefault="000C67CF" w:rsidP="00A735A0">
      <w:pPr>
        <w:pStyle w:val="BoxTextBullet"/>
        <w:rPr>
          <w:lang w:eastAsia="ja-JP"/>
        </w:rPr>
      </w:pPr>
      <w:r>
        <w:rPr>
          <w:lang w:eastAsia="ja-JP"/>
        </w:rPr>
        <w:t xml:space="preserve">The new price to </w:t>
      </w:r>
      <w:proofErr w:type="gramStart"/>
      <w:r>
        <w:rPr>
          <w:lang w:eastAsia="ja-JP"/>
        </w:rPr>
        <w:t>enter into</w:t>
      </w:r>
      <w:proofErr w:type="gramEnd"/>
      <w:r>
        <w:rPr>
          <w:lang w:eastAsia="ja-JP"/>
        </w:rPr>
        <w:t xml:space="preserve"> a single approved arrangement for a part year is 50% of the annual charge for a full year = $1</w:t>
      </w:r>
      <w:r w:rsidR="00B87465">
        <w:rPr>
          <w:lang w:eastAsia="ja-JP"/>
        </w:rPr>
        <w:t>,</w:t>
      </w:r>
      <w:r w:rsidR="00D67BD3">
        <w:rPr>
          <w:lang w:eastAsia="ja-JP"/>
        </w:rPr>
        <w:t>4</w:t>
      </w:r>
      <w:r w:rsidR="00784807">
        <w:rPr>
          <w:lang w:eastAsia="ja-JP"/>
        </w:rPr>
        <w:t>83</w:t>
      </w:r>
      <w:r w:rsidR="00D67BD3">
        <w:rPr>
          <w:lang w:eastAsia="ja-JP"/>
        </w:rPr>
        <w:t>.</w:t>
      </w:r>
    </w:p>
    <w:p w14:paraId="391288A1" w14:textId="3D1A70E7" w:rsidR="00ED4F75" w:rsidRDefault="00ED4F75" w:rsidP="00ED4F75">
      <w:r w:rsidRPr="00ED4F75">
        <w:t xml:space="preserve">Where a provision in legislation does not specify a dollar value, and the amount payable is set by reference </w:t>
      </w:r>
      <w:r w:rsidRPr="00813E69">
        <w:t>to ‘</w:t>
      </w:r>
      <w:r w:rsidRPr="00A735A0">
        <w:t>twice the amount’</w:t>
      </w:r>
      <w:r w:rsidRPr="00813E69">
        <w:t xml:space="preserve"> for</w:t>
      </w:r>
      <w:r w:rsidRPr="00ED4F75">
        <w:t xml:space="preserve"> a quarter hour increment, the new price is calculated by working out the indexed price for the quarter hour and then multiplying it by 2</w:t>
      </w:r>
      <w:r w:rsidR="002760D8">
        <w:t>. A</w:t>
      </w:r>
      <w:r w:rsidR="00EB035E">
        <w:t xml:space="preserve">n example is provided in </w:t>
      </w:r>
      <w:r w:rsidR="00EB035E">
        <w:fldChar w:fldCharType="begin"/>
      </w:r>
      <w:r w:rsidR="00EB035E">
        <w:instrText xml:space="preserve"> REF _Ref163641998 \h </w:instrText>
      </w:r>
      <w:r w:rsidR="00EB035E">
        <w:fldChar w:fldCharType="separate"/>
      </w:r>
      <w:r w:rsidR="00A07894">
        <w:t xml:space="preserve">Scenario </w:t>
      </w:r>
      <w:r w:rsidR="00A07894">
        <w:rPr>
          <w:noProof/>
        </w:rPr>
        <w:t>5</w:t>
      </w:r>
      <w:r w:rsidR="00EB035E">
        <w:fldChar w:fldCharType="end"/>
      </w:r>
      <w:r w:rsidR="00EB035E">
        <w:t>.</w:t>
      </w:r>
    </w:p>
    <w:p w14:paraId="0E3E2575" w14:textId="2A866C84" w:rsidR="00EB035E" w:rsidRDefault="00EB035E" w:rsidP="00EB035E">
      <w:pPr>
        <w:pStyle w:val="Caption"/>
      </w:pPr>
      <w:bookmarkStart w:id="24" w:name="_Ref163641998"/>
      <w:r>
        <w:lastRenderedPageBreak/>
        <w:t xml:space="preserve">Scenario </w:t>
      </w:r>
      <w:fldSimple w:instr=" SEQ Scenario \* ARABIC ">
        <w:r w:rsidR="00A07894">
          <w:rPr>
            <w:noProof/>
          </w:rPr>
          <w:t>5</w:t>
        </w:r>
      </w:fldSimple>
      <w:bookmarkEnd w:id="24"/>
      <w:r>
        <w:t xml:space="preserve"> </w:t>
      </w:r>
      <w:r w:rsidR="00EE125A" w:rsidRPr="00A33C29">
        <w:t>non-continuous</w:t>
      </w:r>
      <w:r w:rsidRPr="00A33C29">
        <w:t xml:space="preserve"> inspection on a weekday outside ordinary hours of duty</w:t>
      </w:r>
    </w:p>
    <w:p w14:paraId="540D22FE" w14:textId="77777777" w:rsidR="00EB035E" w:rsidRDefault="00EB035E" w:rsidP="00EB035E">
      <w:pPr>
        <w:pStyle w:val="BoxText"/>
      </w:pPr>
      <w:bookmarkStart w:id="25" w:name="Title_6"/>
      <w:bookmarkEnd w:id="25"/>
      <w:r>
        <w:t>Where the department performs an inspection on a weekday outside ordinary hours of duty for each person carrying out the inspection the current rates that apply are:</w:t>
      </w:r>
    </w:p>
    <w:p w14:paraId="17044F34" w14:textId="577F1039" w:rsidR="00EB035E" w:rsidRDefault="00EB035E" w:rsidP="00A735A0">
      <w:pPr>
        <w:pStyle w:val="BoxTextBullet"/>
      </w:pPr>
      <w:r>
        <w:t>If the inspection is carried out immediately before or immediately after an in</w:t>
      </w:r>
      <w:r>
        <w:rPr>
          <w:rFonts w:ascii="Cambria Math" w:hAnsi="Cambria Math" w:cs="Cambria Math"/>
        </w:rPr>
        <w:t>‑</w:t>
      </w:r>
      <w:r>
        <w:t>office activity during ordinary hours of duty</w:t>
      </w:r>
      <w:r w:rsidR="00813E69">
        <w:t xml:space="preserve"> </w:t>
      </w:r>
      <w:r>
        <w:rPr>
          <w:rFonts w:ascii="Calibri" w:hAnsi="Calibri" w:cs="Calibri"/>
        </w:rPr>
        <w:t>—</w:t>
      </w:r>
      <w:r w:rsidR="00813E69">
        <w:rPr>
          <w:rFonts w:ascii="Calibri" w:hAnsi="Calibri" w:cs="Calibri"/>
        </w:rPr>
        <w:t xml:space="preserve"> </w:t>
      </w:r>
      <w:r>
        <w:t>$</w:t>
      </w:r>
      <w:r w:rsidR="00D67BD3">
        <w:t>5</w:t>
      </w:r>
      <w:r w:rsidR="000B71CD">
        <w:t>8</w:t>
      </w:r>
      <w:r w:rsidR="00D67BD3">
        <w:t xml:space="preserve"> </w:t>
      </w:r>
      <w:r>
        <w:t>for each quarter hour or part of a quarter hour.</w:t>
      </w:r>
    </w:p>
    <w:p w14:paraId="1B5F4B12" w14:textId="216CC048" w:rsidR="00EB035E" w:rsidRDefault="00EB035E" w:rsidP="00A735A0">
      <w:pPr>
        <w:pStyle w:val="BoxTextBullet"/>
      </w:pPr>
      <w:r>
        <w:t>If the inspection is not carried out immediately before or immediately after an in</w:t>
      </w:r>
      <w:r>
        <w:rPr>
          <w:rFonts w:ascii="Cambria Math" w:hAnsi="Cambria Math" w:cs="Cambria Math"/>
        </w:rPr>
        <w:t>‑</w:t>
      </w:r>
      <w:r>
        <w:t>office activity during ordinary hours of duty, a minimum fee for 30</w:t>
      </w:r>
      <w:r w:rsidR="00813E69">
        <w:t xml:space="preserve"> </w:t>
      </w:r>
      <w:r>
        <w:t xml:space="preserve">minutes applies, which is set at an amount that is </w:t>
      </w:r>
      <w:r>
        <w:rPr>
          <w:rFonts w:ascii="Calibri" w:hAnsi="Calibri" w:cs="Calibri"/>
        </w:rPr>
        <w:t>‘</w:t>
      </w:r>
      <w:r>
        <w:t>twice the dollar amount</w:t>
      </w:r>
      <w:r>
        <w:rPr>
          <w:rFonts w:ascii="Calibri" w:hAnsi="Calibri" w:cs="Calibri"/>
        </w:rPr>
        <w:t>’</w:t>
      </w:r>
      <w:r>
        <w:t xml:space="preserve"> specified for each quarter hour or part of a quarter hour.</w:t>
      </w:r>
    </w:p>
    <w:p w14:paraId="31CFA876" w14:textId="77777777" w:rsidR="00EB035E" w:rsidRPr="00314AE9" w:rsidRDefault="00EB035E" w:rsidP="00EB035E">
      <w:pPr>
        <w:pStyle w:val="BoxText"/>
      </w:pPr>
      <w:r w:rsidRPr="00314AE9">
        <w:rPr>
          <w:rStyle w:val="Strong"/>
        </w:rPr>
        <w:t>The indexed rate for the minimum 30 minutes where the activity is not continuous is calculated as follows</w:t>
      </w:r>
      <w:r w:rsidRPr="00314AE9">
        <w:t>:</w:t>
      </w:r>
    </w:p>
    <w:p w14:paraId="067E962E" w14:textId="59EA6441" w:rsidR="00EB035E" w:rsidRPr="00314AE9" w:rsidRDefault="00EB035E" w:rsidP="00A735A0">
      <w:pPr>
        <w:pStyle w:val="BoxTextBullet"/>
      </w:pPr>
      <w:r w:rsidRPr="00314AE9">
        <w:t>New price for each quarter hour or part of a quarter hour = $</w:t>
      </w:r>
      <w:r w:rsidR="00D67BD3" w:rsidRPr="00314AE9">
        <w:t>5</w:t>
      </w:r>
      <w:r w:rsidR="000B71CD">
        <w:t>8</w:t>
      </w:r>
      <w:r w:rsidR="00D67BD3" w:rsidRPr="00314AE9">
        <w:t xml:space="preserve"> </w:t>
      </w:r>
      <w:r w:rsidRPr="00314AE9">
        <w:t>x 1.0</w:t>
      </w:r>
      <w:r w:rsidR="000B71CD">
        <w:t>38</w:t>
      </w:r>
    </w:p>
    <w:p w14:paraId="415417FC" w14:textId="53E4B8EA" w:rsidR="00EB035E" w:rsidRPr="00314AE9" w:rsidRDefault="00EB035E" w:rsidP="00A735A0">
      <w:pPr>
        <w:pStyle w:val="BoxTextBullet"/>
      </w:pPr>
      <w:r w:rsidRPr="00314AE9">
        <w:t>New price for the quarter hour = $</w:t>
      </w:r>
      <w:r w:rsidR="000B71CD">
        <w:t>60.20</w:t>
      </w:r>
    </w:p>
    <w:p w14:paraId="5228FE01" w14:textId="496E1CB9" w:rsidR="00EB035E" w:rsidRPr="00314AE9" w:rsidRDefault="00EB035E" w:rsidP="00A735A0">
      <w:pPr>
        <w:pStyle w:val="BoxTextBullet"/>
      </w:pPr>
      <w:r w:rsidRPr="00314AE9">
        <w:t>New price rounded to the nearest whole dollar = $</w:t>
      </w:r>
      <w:r w:rsidR="000B71CD">
        <w:t>60</w:t>
      </w:r>
    </w:p>
    <w:p w14:paraId="09A555F1" w14:textId="64194D71" w:rsidR="00EB035E" w:rsidRPr="00314AE9" w:rsidRDefault="00EB035E" w:rsidP="00813E69">
      <w:pPr>
        <w:pStyle w:val="BoxText"/>
      </w:pPr>
      <w:r w:rsidRPr="00314AE9">
        <w:t>When an inspection is not carried out immediately before or immediately after an in</w:t>
      </w:r>
      <w:r w:rsidRPr="00314AE9">
        <w:rPr>
          <w:rFonts w:ascii="Cambria Math" w:hAnsi="Cambria Math" w:cs="Cambria Math"/>
        </w:rPr>
        <w:t>‑</w:t>
      </w:r>
      <w:r w:rsidRPr="00314AE9">
        <w:t>office activity during ordinary hours of duty the rate that applies is for a minimum of 30 minutes.</w:t>
      </w:r>
    </w:p>
    <w:p w14:paraId="26DEAF68" w14:textId="39BCC63D" w:rsidR="00EB035E" w:rsidRPr="00314AE9" w:rsidRDefault="00EB035E" w:rsidP="009E6E21">
      <w:pPr>
        <w:pStyle w:val="BoxTextBullet"/>
      </w:pPr>
      <w:r w:rsidRPr="00314AE9">
        <w:t>The rate that applies for the 30-minute period is ‘</w:t>
      </w:r>
      <w:r w:rsidRPr="00A735A0">
        <w:rPr>
          <w:rStyle w:val="Emphasis"/>
          <w:i w:val="0"/>
          <w:iCs w:val="0"/>
        </w:rPr>
        <w:t>twice the amount’</w:t>
      </w:r>
      <w:r w:rsidRPr="00314AE9">
        <w:t xml:space="preserve"> specified for each quarter hour.</w:t>
      </w:r>
    </w:p>
    <w:p w14:paraId="7BF851E9" w14:textId="45382D5F" w:rsidR="00ED4F75" w:rsidRPr="00813E69" w:rsidRDefault="00EB035E" w:rsidP="009E6E21">
      <w:pPr>
        <w:pStyle w:val="BoxTextBullet"/>
      </w:pPr>
      <w:r w:rsidRPr="00314AE9">
        <w:t>The new price for this 30-minute period = 2 x $</w:t>
      </w:r>
      <w:r w:rsidR="000B71CD">
        <w:t>60</w:t>
      </w:r>
      <w:r w:rsidR="00D67BD3" w:rsidRPr="00314AE9">
        <w:t xml:space="preserve"> </w:t>
      </w:r>
      <w:r w:rsidRPr="00314AE9">
        <w:t>= $</w:t>
      </w:r>
      <w:r w:rsidR="000B71CD">
        <w:t>120</w:t>
      </w:r>
      <w:r w:rsidRPr="00314AE9">
        <w:t>.</w:t>
      </w:r>
    </w:p>
    <w:p w14:paraId="451BAD17" w14:textId="77777777" w:rsidR="000A5BA0" w:rsidRDefault="000A5BA0" w:rsidP="00A735A0">
      <w:pPr>
        <w:pStyle w:val="Normalsmall"/>
      </w:pPr>
      <w:r>
        <w:rPr>
          <w:rStyle w:val="Strong"/>
        </w:rPr>
        <w:t>Acknowledgement of Country</w:t>
      </w:r>
    </w:p>
    <w:p w14:paraId="51CC1B4E" w14:textId="77777777" w:rsidR="000A5BA0" w:rsidRPr="000A5BA0" w:rsidRDefault="000A5BA0" w:rsidP="000A5BA0">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1E4051E9" w14:textId="5A9CB39D" w:rsidR="00E9781D" w:rsidRDefault="00E9781D" w:rsidP="00E9781D">
      <w:pPr>
        <w:pStyle w:val="Normalsmall"/>
        <w:spacing w:before="360"/>
      </w:pPr>
      <w:r>
        <w:t xml:space="preserve">© Commonwealth of Australia </w:t>
      </w:r>
      <w:r w:rsidR="001B4A4E">
        <w:t>202</w:t>
      </w:r>
      <w:r w:rsidR="00F660C7">
        <w:t>6</w:t>
      </w:r>
    </w:p>
    <w:p w14:paraId="24931191"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915AAD0" w14:textId="77777777" w:rsidR="00E9781D" w:rsidRDefault="00E9781D" w:rsidP="00E9781D">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0F46BDD0"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816A43">
      <w:headerReference w:type="even" r:id="rId13"/>
      <w:headerReference w:type="default" r:id="rId14"/>
      <w:footerReference w:type="even" r:id="rId15"/>
      <w:footerReference w:type="default" r:id="rId16"/>
      <w:headerReference w:type="first" r:id="rId17"/>
      <w:footerReference w:type="first" r:id="rId18"/>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B4E7" w14:textId="77777777" w:rsidR="00E940BC" w:rsidRDefault="00E940BC">
      <w:r>
        <w:separator/>
      </w:r>
    </w:p>
    <w:p w14:paraId="609008F0" w14:textId="77777777" w:rsidR="00E940BC" w:rsidRDefault="00E940BC"/>
    <w:p w14:paraId="10B3C551" w14:textId="77777777" w:rsidR="00E940BC" w:rsidRDefault="00E940BC"/>
  </w:endnote>
  <w:endnote w:type="continuationSeparator" w:id="0">
    <w:p w14:paraId="76DFD470" w14:textId="77777777" w:rsidR="00E940BC" w:rsidRDefault="00E940BC">
      <w:r>
        <w:continuationSeparator/>
      </w:r>
    </w:p>
    <w:p w14:paraId="03E5B1FF" w14:textId="77777777" w:rsidR="00E940BC" w:rsidRDefault="00E940BC"/>
    <w:p w14:paraId="1DEA26EE" w14:textId="77777777" w:rsidR="00E940BC" w:rsidRDefault="00E940BC"/>
  </w:endnote>
  <w:endnote w:type="continuationNotice" w:id="1">
    <w:p w14:paraId="61A3E342" w14:textId="77777777" w:rsidR="00E940BC" w:rsidRDefault="00E940BC">
      <w:pPr>
        <w:pStyle w:val="Footer"/>
      </w:pPr>
    </w:p>
    <w:p w14:paraId="67524B5E" w14:textId="77777777" w:rsidR="00E940BC" w:rsidRDefault="00E940BC"/>
    <w:p w14:paraId="5B2240AB" w14:textId="77777777" w:rsidR="00E940BC" w:rsidRDefault="00E94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B3D2" w14:textId="77777777" w:rsidR="00F637B6" w:rsidRDefault="00F637B6">
    <w:pPr>
      <w:pStyle w:val="Footer"/>
    </w:pPr>
    <w:r>
      <w:rPr>
        <w:noProof/>
      </w:rPr>
      <mc:AlternateContent>
        <mc:Choice Requires="wps">
          <w:drawing>
            <wp:anchor distT="0" distB="0" distL="0" distR="0" simplePos="0" relativeHeight="251664384" behindDoc="0" locked="0" layoutInCell="1" allowOverlap="1" wp14:anchorId="33BCB098" wp14:editId="68CF939A">
              <wp:simplePos x="635" y="635"/>
              <wp:positionH relativeFrom="page">
                <wp:align>center</wp:align>
              </wp:positionH>
              <wp:positionV relativeFrom="page">
                <wp:align>bottom</wp:align>
              </wp:positionV>
              <wp:extent cx="443865" cy="443865"/>
              <wp:effectExtent l="0" t="0" r="635" b="0"/>
              <wp:wrapNone/>
              <wp:docPr id="17429967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C3F978"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CB098"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5C3F978"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0A2D" w14:textId="6801D3BC" w:rsidR="00863E83" w:rsidRDefault="00863E83" w:rsidP="00863E83">
    <w:pPr>
      <w:pStyle w:val="Footer"/>
    </w:pPr>
    <w:r w:rsidRPr="007B1F92">
      <w:t>Department of Agriculture, Fisheries and Forestry</w:t>
    </w:r>
  </w:p>
  <w:p w14:paraId="32D6388A" w14:textId="77777777" w:rsidR="000542B4" w:rsidRDefault="00E940BC"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040093"/>
      <w:docPartObj>
        <w:docPartGallery w:val="Page Numbers (Bottom of Page)"/>
        <w:docPartUnique/>
      </w:docPartObj>
    </w:sdtPr>
    <w:sdtEndPr>
      <w:rPr>
        <w:noProof/>
      </w:rPr>
    </w:sdtEndPr>
    <w:sdtContent>
      <w:p w14:paraId="44415380"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67A7" w14:textId="77777777" w:rsidR="00E940BC" w:rsidRDefault="00E940BC">
      <w:r>
        <w:separator/>
      </w:r>
    </w:p>
    <w:p w14:paraId="1EEA3D0C" w14:textId="77777777" w:rsidR="00E940BC" w:rsidRDefault="00E940BC"/>
    <w:p w14:paraId="1B34C4DC" w14:textId="77777777" w:rsidR="00E940BC" w:rsidRDefault="00E940BC"/>
  </w:footnote>
  <w:footnote w:type="continuationSeparator" w:id="0">
    <w:p w14:paraId="535BCE01" w14:textId="77777777" w:rsidR="00E940BC" w:rsidRDefault="00E940BC">
      <w:r>
        <w:continuationSeparator/>
      </w:r>
    </w:p>
    <w:p w14:paraId="03FAE39E" w14:textId="77777777" w:rsidR="00E940BC" w:rsidRDefault="00E940BC"/>
    <w:p w14:paraId="4AFAE36A" w14:textId="77777777" w:rsidR="00E940BC" w:rsidRDefault="00E940BC"/>
  </w:footnote>
  <w:footnote w:type="continuationNotice" w:id="1">
    <w:p w14:paraId="2CA41EEA" w14:textId="77777777" w:rsidR="00E940BC" w:rsidRDefault="00E940BC">
      <w:pPr>
        <w:pStyle w:val="Footer"/>
      </w:pPr>
    </w:p>
    <w:p w14:paraId="2F42B234" w14:textId="77777777" w:rsidR="00E940BC" w:rsidRDefault="00E940BC"/>
    <w:p w14:paraId="2CBB3B66" w14:textId="77777777" w:rsidR="00E940BC" w:rsidRDefault="00E94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D882" w14:textId="77777777" w:rsidR="00F637B6" w:rsidRDefault="00F637B6">
    <w:pPr>
      <w:pStyle w:val="Header"/>
    </w:pPr>
    <w:r>
      <w:rPr>
        <w:noProof/>
      </w:rPr>
      <mc:AlternateContent>
        <mc:Choice Requires="wps">
          <w:drawing>
            <wp:anchor distT="0" distB="0" distL="0" distR="0" simplePos="0" relativeHeight="251661312" behindDoc="0" locked="0" layoutInCell="1" allowOverlap="1" wp14:anchorId="1A921D10" wp14:editId="7271ABBA">
              <wp:simplePos x="635" y="635"/>
              <wp:positionH relativeFrom="page">
                <wp:align>center</wp:align>
              </wp:positionH>
              <wp:positionV relativeFrom="page">
                <wp:align>top</wp:align>
              </wp:positionV>
              <wp:extent cx="443865" cy="443865"/>
              <wp:effectExtent l="0" t="0" r="635" b="14605"/>
              <wp:wrapNone/>
              <wp:docPr id="441879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19909A"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21D10"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719909A" w14:textId="77777777" w:rsidR="00F637B6" w:rsidRPr="00F637B6" w:rsidRDefault="00F637B6" w:rsidP="00F637B6">
                    <w:pPr>
                      <w:spacing w:after="0"/>
                      <w:rPr>
                        <w:rFonts w:ascii="Calibri" w:eastAsia="Calibri" w:hAnsi="Calibri" w:cs="Calibri"/>
                        <w:noProof/>
                        <w:color w:val="FF0000"/>
                        <w:sz w:val="24"/>
                        <w:szCs w:val="24"/>
                      </w:rPr>
                    </w:pPr>
                    <w:r w:rsidRPr="00F637B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0AB3" w14:textId="75792133" w:rsidR="000542B4" w:rsidRDefault="00736D8A">
    <w:pPr>
      <w:pStyle w:val="Header"/>
    </w:pPr>
    <w:r w:rsidRPr="00736D8A">
      <w:t xml:space="preserve">Fees and charges for biosecurity </w:t>
    </w:r>
    <w:r w:rsidR="00B43E79">
      <w:t xml:space="preserve">and imported food </w:t>
    </w:r>
    <w:r w:rsidRPr="00736D8A">
      <w:t xml:space="preserve">regulatory activity from 1 July </w:t>
    </w:r>
    <w:r w:rsidR="00B92945" w:rsidRPr="00736D8A">
      <w:t>202</w:t>
    </w:r>
    <w:r w:rsidR="00B92945">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92F7" w14:textId="77777777" w:rsidR="000E455C" w:rsidRDefault="00144601" w:rsidP="00A8157A">
    <w:pPr>
      <w:pStyle w:val="Footer"/>
      <w:spacing w:after="0"/>
      <w:jc w:val="left"/>
    </w:pPr>
    <w:r>
      <w:rPr>
        <w:noProof/>
      </w:rPr>
      <w:drawing>
        <wp:anchor distT="0" distB="0" distL="114300" distR="114300" simplePos="0" relativeHeight="251659264" behindDoc="1" locked="0" layoutInCell="1" allowOverlap="1" wp14:anchorId="3F0E6FDD" wp14:editId="27E63F5D">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50D3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40316"/>
    <w:multiLevelType w:val="hybridMultilevel"/>
    <w:tmpl w:val="0F408B70"/>
    <w:lvl w:ilvl="0" w:tplc="E4B23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5"/>
  </w:num>
  <w:num w:numId="2" w16cid:durableId="1209954464">
    <w:abstractNumId w:val="4"/>
  </w:num>
  <w:num w:numId="3" w16cid:durableId="211696695">
    <w:abstractNumId w:val="8"/>
  </w:num>
  <w:num w:numId="4" w16cid:durableId="1550148830">
    <w:abstractNumId w:val="9"/>
  </w:num>
  <w:num w:numId="5" w16cid:durableId="1460108156">
    <w:abstractNumId w:val="2"/>
  </w:num>
  <w:num w:numId="6" w16cid:durableId="1934704985">
    <w:abstractNumId w:val="6"/>
  </w:num>
  <w:num w:numId="7" w16cid:durableId="1013073201">
    <w:abstractNumId w:val="7"/>
  </w:num>
  <w:num w:numId="8" w16cid:durableId="524289160">
    <w:abstractNumId w:val="3"/>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780420459">
    <w:abstractNumId w:val="0"/>
  </w:num>
  <w:num w:numId="14" w16cid:durableId="11715328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43"/>
    <w:rsid w:val="0000059E"/>
    <w:rsid w:val="0000066F"/>
    <w:rsid w:val="00001B53"/>
    <w:rsid w:val="00017ACB"/>
    <w:rsid w:val="00021590"/>
    <w:rsid w:val="000253F4"/>
    <w:rsid w:val="00025D1B"/>
    <w:rsid w:val="000266C4"/>
    <w:rsid w:val="00027C6B"/>
    <w:rsid w:val="000353DB"/>
    <w:rsid w:val="00046705"/>
    <w:rsid w:val="000542B4"/>
    <w:rsid w:val="000618F3"/>
    <w:rsid w:val="00066D0B"/>
    <w:rsid w:val="000717D2"/>
    <w:rsid w:val="00072C29"/>
    <w:rsid w:val="00074A56"/>
    <w:rsid w:val="00080827"/>
    <w:rsid w:val="0008277A"/>
    <w:rsid w:val="00084523"/>
    <w:rsid w:val="000904C1"/>
    <w:rsid w:val="000913B5"/>
    <w:rsid w:val="000948EB"/>
    <w:rsid w:val="000A08B5"/>
    <w:rsid w:val="000A5BA0"/>
    <w:rsid w:val="000B3924"/>
    <w:rsid w:val="000B3C44"/>
    <w:rsid w:val="000B71CD"/>
    <w:rsid w:val="000C0412"/>
    <w:rsid w:val="000C194B"/>
    <w:rsid w:val="000C29E2"/>
    <w:rsid w:val="000C4558"/>
    <w:rsid w:val="000C67CF"/>
    <w:rsid w:val="000E455C"/>
    <w:rsid w:val="000E4D74"/>
    <w:rsid w:val="000E7803"/>
    <w:rsid w:val="000F0491"/>
    <w:rsid w:val="000F43F4"/>
    <w:rsid w:val="000F4F40"/>
    <w:rsid w:val="000F7DD2"/>
    <w:rsid w:val="001136FA"/>
    <w:rsid w:val="001233A8"/>
    <w:rsid w:val="0013173D"/>
    <w:rsid w:val="00136258"/>
    <w:rsid w:val="001414E9"/>
    <w:rsid w:val="00143A7B"/>
    <w:rsid w:val="00144601"/>
    <w:rsid w:val="00144B4C"/>
    <w:rsid w:val="00146CFA"/>
    <w:rsid w:val="00167477"/>
    <w:rsid w:val="00171C98"/>
    <w:rsid w:val="00180ADE"/>
    <w:rsid w:val="0018237B"/>
    <w:rsid w:val="00190D7E"/>
    <w:rsid w:val="001929D2"/>
    <w:rsid w:val="001A0900"/>
    <w:rsid w:val="001A6968"/>
    <w:rsid w:val="001B4A4E"/>
    <w:rsid w:val="001C4317"/>
    <w:rsid w:val="001D0EF3"/>
    <w:rsid w:val="001D6909"/>
    <w:rsid w:val="00201BFB"/>
    <w:rsid w:val="00203DE1"/>
    <w:rsid w:val="00210DDD"/>
    <w:rsid w:val="0021506A"/>
    <w:rsid w:val="00220618"/>
    <w:rsid w:val="00222E55"/>
    <w:rsid w:val="00223142"/>
    <w:rsid w:val="00226D54"/>
    <w:rsid w:val="002277C3"/>
    <w:rsid w:val="00231DC5"/>
    <w:rsid w:val="00232141"/>
    <w:rsid w:val="002359E0"/>
    <w:rsid w:val="00237A69"/>
    <w:rsid w:val="0025659A"/>
    <w:rsid w:val="002629AD"/>
    <w:rsid w:val="00267C26"/>
    <w:rsid w:val="00275B58"/>
    <w:rsid w:val="002760D8"/>
    <w:rsid w:val="00280F11"/>
    <w:rsid w:val="00284B53"/>
    <w:rsid w:val="00284CF9"/>
    <w:rsid w:val="00285F62"/>
    <w:rsid w:val="0029125B"/>
    <w:rsid w:val="002A22D6"/>
    <w:rsid w:val="002B1FAF"/>
    <w:rsid w:val="002B3CC5"/>
    <w:rsid w:val="002E04D3"/>
    <w:rsid w:val="002E3FD4"/>
    <w:rsid w:val="002F4595"/>
    <w:rsid w:val="00300AFD"/>
    <w:rsid w:val="003032C0"/>
    <w:rsid w:val="00310FBF"/>
    <w:rsid w:val="00313B5B"/>
    <w:rsid w:val="00314AE9"/>
    <w:rsid w:val="00315F42"/>
    <w:rsid w:val="00320517"/>
    <w:rsid w:val="00320E7F"/>
    <w:rsid w:val="00336B60"/>
    <w:rsid w:val="00340193"/>
    <w:rsid w:val="00342B80"/>
    <w:rsid w:val="0035108D"/>
    <w:rsid w:val="003569F9"/>
    <w:rsid w:val="00360ACC"/>
    <w:rsid w:val="0036477E"/>
    <w:rsid w:val="003649CC"/>
    <w:rsid w:val="00366721"/>
    <w:rsid w:val="003705D4"/>
    <w:rsid w:val="00370990"/>
    <w:rsid w:val="0037698A"/>
    <w:rsid w:val="00383EB0"/>
    <w:rsid w:val="00392124"/>
    <w:rsid w:val="003937B8"/>
    <w:rsid w:val="003B1FC1"/>
    <w:rsid w:val="003B4186"/>
    <w:rsid w:val="003D10B3"/>
    <w:rsid w:val="003D3070"/>
    <w:rsid w:val="003E554C"/>
    <w:rsid w:val="003E5E68"/>
    <w:rsid w:val="003F73D7"/>
    <w:rsid w:val="00411260"/>
    <w:rsid w:val="00435E3D"/>
    <w:rsid w:val="00437040"/>
    <w:rsid w:val="00442630"/>
    <w:rsid w:val="0044304D"/>
    <w:rsid w:val="00446CB3"/>
    <w:rsid w:val="0046683D"/>
    <w:rsid w:val="0047330B"/>
    <w:rsid w:val="00474BB1"/>
    <w:rsid w:val="00477888"/>
    <w:rsid w:val="00483FB5"/>
    <w:rsid w:val="00485201"/>
    <w:rsid w:val="00495068"/>
    <w:rsid w:val="004A6473"/>
    <w:rsid w:val="004C2DA2"/>
    <w:rsid w:val="004D0888"/>
    <w:rsid w:val="004D14FE"/>
    <w:rsid w:val="004D17CB"/>
    <w:rsid w:val="004D6942"/>
    <w:rsid w:val="004E2B4A"/>
    <w:rsid w:val="004E6316"/>
    <w:rsid w:val="004F1351"/>
    <w:rsid w:val="005019C1"/>
    <w:rsid w:val="005070C8"/>
    <w:rsid w:val="005120B6"/>
    <w:rsid w:val="005145EC"/>
    <w:rsid w:val="005149C8"/>
    <w:rsid w:val="00514CEE"/>
    <w:rsid w:val="00515287"/>
    <w:rsid w:val="005157CF"/>
    <w:rsid w:val="00530D2E"/>
    <w:rsid w:val="00531B5A"/>
    <w:rsid w:val="00553E9D"/>
    <w:rsid w:val="0055447F"/>
    <w:rsid w:val="00567DFC"/>
    <w:rsid w:val="00571888"/>
    <w:rsid w:val="00577C01"/>
    <w:rsid w:val="00577F29"/>
    <w:rsid w:val="005A2FA7"/>
    <w:rsid w:val="005A48A6"/>
    <w:rsid w:val="005B613F"/>
    <w:rsid w:val="005B656B"/>
    <w:rsid w:val="005C2BFD"/>
    <w:rsid w:val="005C798F"/>
    <w:rsid w:val="005C7E73"/>
    <w:rsid w:val="005F40C4"/>
    <w:rsid w:val="0060682D"/>
    <w:rsid w:val="00607A21"/>
    <w:rsid w:val="00607A36"/>
    <w:rsid w:val="00613137"/>
    <w:rsid w:val="006156DF"/>
    <w:rsid w:val="00616C5C"/>
    <w:rsid w:val="00624383"/>
    <w:rsid w:val="00625D8D"/>
    <w:rsid w:val="00632DAA"/>
    <w:rsid w:val="006360F9"/>
    <w:rsid w:val="00641804"/>
    <w:rsid w:val="00642F36"/>
    <w:rsid w:val="0064383A"/>
    <w:rsid w:val="00646917"/>
    <w:rsid w:val="00656587"/>
    <w:rsid w:val="006852C1"/>
    <w:rsid w:val="0069060B"/>
    <w:rsid w:val="00692AE0"/>
    <w:rsid w:val="00696682"/>
    <w:rsid w:val="006B0030"/>
    <w:rsid w:val="006B49DE"/>
    <w:rsid w:val="006B6800"/>
    <w:rsid w:val="006B6CAD"/>
    <w:rsid w:val="006B75F3"/>
    <w:rsid w:val="006C3E4D"/>
    <w:rsid w:val="006C6130"/>
    <w:rsid w:val="006C6AF2"/>
    <w:rsid w:val="006D413F"/>
    <w:rsid w:val="006E353E"/>
    <w:rsid w:val="006E4781"/>
    <w:rsid w:val="006F0605"/>
    <w:rsid w:val="006F6FE8"/>
    <w:rsid w:val="00700A80"/>
    <w:rsid w:val="0070464B"/>
    <w:rsid w:val="00704DF8"/>
    <w:rsid w:val="00705198"/>
    <w:rsid w:val="00713814"/>
    <w:rsid w:val="00721291"/>
    <w:rsid w:val="007258B1"/>
    <w:rsid w:val="00725C8B"/>
    <w:rsid w:val="00736D8A"/>
    <w:rsid w:val="00737D6C"/>
    <w:rsid w:val="0074306D"/>
    <w:rsid w:val="00750792"/>
    <w:rsid w:val="00751ED0"/>
    <w:rsid w:val="00754CA3"/>
    <w:rsid w:val="0076549B"/>
    <w:rsid w:val="00766E9C"/>
    <w:rsid w:val="00772578"/>
    <w:rsid w:val="00780288"/>
    <w:rsid w:val="007809D6"/>
    <w:rsid w:val="007811B3"/>
    <w:rsid w:val="00784807"/>
    <w:rsid w:val="00793E18"/>
    <w:rsid w:val="007B2217"/>
    <w:rsid w:val="007B4C63"/>
    <w:rsid w:val="007B6397"/>
    <w:rsid w:val="007C0010"/>
    <w:rsid w:val="007C10D8"/>
    <w:rsid w:val="007E69AF"/>
    <w:rsid w:val="007F3077"/>
    <w:rsid w:val="007F4986"/>
    <w:rsid w:val="00802FEF"/>
    <w:rsid w:val="008040B2"/>
    <w:rsid w:val="0080517C"/>
    <w:rsid w:val="00813E69"/>
    <w:rsid w:val="008144F1"/>
    <w:rsid w:val="00816A43"/>
    <w:rsid w:val="00832638"/>
    <w:rsid w:val="00837596"/>
    <w:rsid w:val="00852501"/>
    <w:rsid w:val="0085350D"/>
    <w:rsid w:val="00863E83"/>
    <w:rsid w:val="00865130"/>
    <w:rsid w:val="00871043"/>
    <w:rsid w:val="0087198D"/>
    <w:rsid w:val="008722E0"/>
    <w:rsid w:val="008733E9"/>
    <w:rsid w:val="00891946"/>
    <w:rsid w:val="00892F53"/>
    <w:rsid w:val="00895341"/>
    <w:rsid w:val="008A346F"/>
    <w:rsid w:val="008B4398"/>
    <w:rsid w:val="008D02E1"/>
    <w:rsid w:val="008E004C"/>
    <w:rsid w:val="008E0073"/>
    <w:rsid w:val="008E3B54"/>
    <w:rsid w:val="008F1712"/>
    <w:rsid w:val="008F1A09"/>
    <w:rsid w:val="008F1AFE"/>
    <w:rsid w:val="008F382A"/>
    <w:rsid w:val="008F786B"/>
    <w:rsid w:val="00902E92"/>
    <w:rsid w:val="0090743D"/>
    <w:rsid w:val="00911F4A"/>
    <w:rsid w:val="00916FC3"/>
    <w:rsid w:val="00920D2E"/>
    <w:rsid w:val="00931D69"/>
    <w:rsid w:val="00934C25"/>
    <w:rsid w:val="00935372"/>
    <w:rsid w:val="00935EFC"/>
    <w:rsid w:val="00941C76"/>
    <w:rsid w:val="00943779"/>
    <w:rsid w:val="009527E9"/>
    <w:rsid w:val="009537EA"/>
    <w:rsid w:val="00956BC1"/>
    <w:rsid w:val="00961F7F"/>
    <w:rsid w:val="009648BA"/>
    <w:rsid w:val="00964A77"/>
    <w:rsid w:val="009677E0"/>
    <w:rsid w:val="009731D4"/>
    <w:rsid w:val="00974CD6"/>
    <w:rsid w:val="009844EA"/>
    <w:rsid w:val="009A5D19"/>
    <w:rsid w:val="009B6EBB"/>
    <w:rsid w:val="009B7461"/>
    <w:rsid w:val="009B7C51"/>
    <w:rsid w:val="009C1267"/>
    <w:rsid w:val="009C206F"/>
    <w:rsid w:val="009C37F9"/>
    <w:rsid w:val="009C3FA3"/>
    <w:rsid w:val="009C5CE4"/>
    <w:rsid w:val="009C6145"/>
    <w:rsid w:val="009C6CEF"/>
    <w:rsid w:val="009C7A78"/>
    <w:rsid w:val="009D393F"/>
    <w:rsid w:val="009D42CA"/>
    <w:rsid w:val="009D7044"/>
    <w:rsid w:val="009E2B31"/>
    <w:rsid w:val="009E6E21"/>
    <w:rsid w:val="009E7262"/>
    <w:rsid w:val="009E7427"/>
    <w:rsid w:val="009F722C"/>
    <w:rsid w:val="00A0018B"/>
    <w:rsid w:val="00A005B3"/>
    <w:rsid w:val="00A0289A"/>
    <w:rsid w:val="00A035AF"/>
    <w:rsid w:val="00A04AFD"/>
    <w:rsid w:val="00A07894"/>
    <w:rsid w:val="00A10347"/>
    <w:rsid w:val="00A130F7"/>
    <w:rsid w:val="00A163B2"/>
    <w:rsid w:val="00A1643F"/>
    <w:rsid w:val="00A21C25"/>
    <w:rsid w:val="00A227E8"/>
    <w:rsid w:val="00A23868"/>
    <w:rsid w:val="00A32860"/>
    <w:rsid w:val="00A339CD"/>
    <w:rsid w:val="00A353EC"/>
    <w:rsid w:val="00A44A19"/>
    <w:rsid w:val="00A477A8"/>
    <w:rsid w:val="00A62CD6"/>
    <w:rsid w:val="00A62F99"/>
    <w:rsid w:val="00A65D84"/>
    <w:rsid w:val="00A661FD"/>
    <w:rsid w:val="00A7016C"/>
    <w:rsid w:val="00A708A1"/>
    <w:rsid w:val="00A735A0"/>
    <w:rsid w:val="00A742FE"/>
    <w:rsid w:val="00A74676"/>
    <w:rsid w:val="00A75D69"/>
    <w:rsid w:val="00A77E8E"/>
    <w:rsid w:val="00A8157A"/>
    <w:rsid w:val="00AA0319"/>
    <w:rsid w:val="00AA1D89"/>
    <w:rsid w:val="00AA213D"/>
    <w:rsid w:val="00AA2B03"/>
    <w:rsid w:val="00AB3430"/>
    <w:rsid w:val="00AC035E"/>
    <w:rsid w:val="00AC1B72"/>
    <w:rsid w:val="00AC401A"/>
    <w:rsid w:val="00AC772A"/>
    <w:rsid w:val="00AE1E6E"/>
    <w:rsid w:val="00AE40DE"/>
    <w:rsid w:val="00AE4763"/>
    <w:rsid w:val="00AE5230"/>
    <w:rsid w:val="00AE6B3E"/>
    <w:rsid w:val="00B0121B"/>
    <w:rsid w:val="00B012DE"/>
    <w:rsid w:val="00B0455B"/>
    <w:rsid w:val="00B106E2"/>
    <w:rsid w:val="00B11E02"/>
    <w:rsid w:val="00B145CC"/>
    <w:rsid w:val="00B3190C"/>
    <w:rsid w:val="00B333D8"/>
    <w:rsid w:val="00B3476F"/>
    <w:rsid w:val="00B357F2"/>
    <w:rsid w:val="00B37E04"/>
    <w:rsid w:val="00B404AB"/>
    <w:rsid w:val="00B43568"/>
    <w:rsid w:val="00B43E79"/>
    <w:rsid w:val="00B477F1"/>
    <w:rsid w:val="00B50AE4"/>
    <w:rsid w:val="00B578ED"/>
    <w:rsid w:val="00B6208D"/>
    <w:rsid w:val="00B7711C"/>
    <w:rsid w:val="00B82095"/>
    <w:rsid w:val="00B8353E"/>
    <w:rsid w:val="00B87465"/>
    <w:rsid w:val="00B90975"/>
    <w:rsid w:val="00B92008"/>
    <w:rsid w:val="00B92945"/>
    <w:rsid w:val="00B93571"/>
    <w:rsid w:val="00B94923"/>
    <w:rsid w:val="00B94CBD"/>
    <w:rsid w:val="00BA2806"/>
    <w:rsid w:val="00BB045F"/>
    <w:rsid w:val="00BC321A"/>
    <w:rsid w:val="00BD4F8E"/>
    <w:rsid w:val="00BE345B"/>
    <w:rsid w:val="00BE7C56"/>
    <w:rsid w:val="00BF298A"/>
    <w:rsid w:val="00C10509"/>
    <w:rsid w:val="00C15E5E"/>
    <w:rsid w:val="00C3109F"/>
    <w:rsid w:val="00C312B5"/>
    <w:rsid w:val="00C32DED"/>
    <w:rsid w:val="00C44DD8"/>
    <w:rsid w:val="00C53952"/>
    <w:rsid w:val="00C6128D"/>
    <w:rsid w:val="00C65429"/>
    <w:rsid w:val="00C67681"/>
    <w:rsid w:val="00C73278"/>
    <w:rsid w:val="00C73B66"/>
    <w:rsid w:val="00C765C8"/>
    <w:rsid w:val="00C8038E"/>
    <w:rsid w:val="00C82029"/>
    <w:rsid w:val="00C850D5"/>
    <w:rsid w:val="00C86A5B"/>
    <w:rsid w:val="00C9283A"/>
    <w:rsid w:val="00C93EA0"/>
    <w:rsid w:val="00C95039"/>
    <w:rsid w:val="00CA4615"/>
    <w:rsid w:val="00CA7C6F"/>
    <w:rsid w:val="00CC49C1"/>
    <w:rsid w:val="00CC6E4C"/>
    <w:rsid w:val="00CD3A6F"/>
    <w:rsid w:val="00CD6263"/>
    <w:rsid w:val="00CE260F"/>
    <w:rsid w:val="00CE7F36"/>
    <w:rsid w:val="00CF5AA0"/>
    <w:rsid w:val="00CF75A7"/>
    <w:rsid w:val="00CF7D08"/>
    <w:rsid w:val="00D01F6B"/>
    <w:rsid w:val="00D04A3C"/>
    <w:rsid w:val="00D06C32"/>
    <w:rsid w:val="00D1723D"/>
    <w:rsid w:val="00D20F1E"/>
    <w:rsid w:val="00D22097"/>
    <w:rsid w:val="00D22887"/>
    <w:rsid w:val="00D22A23"/>
    <w:rsid w:val="00D2429D"/>
    <w:rsid w:val="00D266A7"/>
    <w:rsid w:val="00D36C41"/>
    <w:rsid w:val="00D4039B"/>
    <w:rsid w:val="00D460B2"/>
    <w:rsid w:val="00D50496"/>
    <w:rsid w:val="00D533AE"/>
    <w:rsid w:val="00D53FE2"/>
    <w:rsid w:val="00D55A85"/>
    <w:rsid w:val="00D574D5"/>
    <w:rsid w:val="00D67BD3"/>
    <w:rsid w:val="00D750D0"/>
    <w:rsid w:val="00D87480"/>
    <w:rsid w:val="00D920D0"/>
    <w:rsid w:val="00D92293"/>
    <w:rsid w:val="00DB50CC"/>
    <w:rsid w:val="00DB71FD"/>
    <w:rsid w:val="00DC453F"/>
    <w:rsid w:val="00DC547C"/>
    <w:rsid w:val="00DC57F0"/>
    <w:rsid w:val="00DC5E3D"/>
    <w:rsid w:val="00DC79A9"/>
    <w:rsid w:val="00DD130D"/>
    <w:rsid w:val="00DE546F"/>
    <w:rsid w:val="00DF241E"/>
    <w:rsid w:val="00E21564"/>
    <w:rsid w:val="00E25A07"/>
    <w:rsid w:val="00E2733C"/>
    <w:rsid w:val="00E27EAA"/>
    <w:rsid w:val="00E333DF"/>
    <w:rsid w:val="00E44E91"/>
    <w:rsid w:val="00E564F7"/>
    <w:rsid w:val="00E6122D"/>
    <w:rsid w:val="00E622F7"/>
    <w:rsid w:val="00E826FF"/>
    <w:rsid w:val="00E83C41"/>
    <w:rsid w:val="00E87842"/>
    <w:rsid w:val="00E940BC"/>
    <w:rsid w:val="00E9781D"/>
    <w:rsid w:val="00EA1AC0"/>
    <w:rsid w:val="00EA5648"/>
    <w:rsid w:val="00EA5D76"/>
    <w:rsid w:val="00EB035E"/>
    <w:rsid w:val="00EB4ADB"/>
    <w:rsid w:val="00EB7960"/>
    <w:rsid w:val="00EB7A3F"/>
    <w:rsid w:val="00EC0A15"/>
    <w:rsid w:val="00EC2925"/>
    <w:rsid w:val="00EC5579"/>
    <w:rsid w:val="00EC59F6"/>
    <w:rsid w:val="00EC5C40"/>
    <w:rsid w:val="00ED009C"/>
    <w:rsid w:val="00ED4F75"/>
    <w:rsid w:val="00ED6FF7"/>
    <w:rsid w:val="00ED774B"/>
    <w:rsid w:val="00EE0118"/>
    <w:rsid w:val="00EE125A"/>
    <w:rsid w:val="00EE49CE"/>
    <w:rsid w:val="00EE5DFE"/>
    <w:rsid w:val="00EE7C8D"/>
    <w:rsid w:val="00EF24B1"/>
    <w:rsid w:val="00EF3918"/>
    <w:rsid w:val="00F007C1"/>
    <w:rsid w:val="00F01A62"/>
    <w:rsid w:val="00F17081"/>
    <w:rsid w:val="00F206F8"/>
    <w:rsid w:val="00F23AF2"/>
    <w:rsid w:val="00F30857"/>
    <w:rsid w:val="00F330C3"/>
    <w:rsid w:val="00F35230"/>
    <w:rsid w:val="00F3602D"/>
    <w:rsid w:val="00F46889"/>
    <w:rsid w:val="00F61DBE"/>
    <w:rsid w:val="00F637B6"/>
    <w:rsid w:val="00F660C7"/>
    <w:rsid w:val="00F72D44"/>
    <w:rsid w:val="00F75F33"/>
    <w:rsid w:val="00F76852"/>
    <w:rsid w:val="00F84236"/>
    <w:rsid w:val="00FA38A8"/>
    <w:rsid w:val="00FA789A"/>
    <w:rsid w:val="00FC2CE4"/>
    <w:rsid w:val="00FC379E"/>
    <w:rsid w:val="00FD1BDD"/>
    <w:rsid w:val="00FD337C"/>
    <w:rsid w:val="00FD3BAE"/>
    <w:rsid w:val="00FD5236"/>
    <w:rsid w:val="00FD7D5B"/>
    <w:rsid w:val="00FE0F23"/>
    <w:rsid w:val="00FE167A"/>
    <w:rsid w:val="00FF1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C7078"/>
  <w15:docId w15:val="{476C1B5F-259F-41C5-8212-78086C52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F637B6"/>
    <w:pPr>
      <w:numPr>
        <w:ilvl w:val="1"/>
        <w:numId w:val="4"/>
      </w:numPr>
      <w:tabs>
        <w:tab w:val="left" w:pos="567"/>
      </w:tabs>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numberedlist2">
    <w:name w:val="Table numbered list 2"/>
    <w:basedOn w:val="TableText"/>
    <w:qFormat/>
    <w:rsid w:val="00143A7B"/>
    <w:pPr>
      <w:numPr>
        <w:ilvl w:val="1"/>
        <w:numId w:val="12"/>
      </w:numPr>
    </w:pPr>
    <w:rPr>
      <w:rFonts w:eastAsiaTheme="minorHAnsi" w:cstheme="minorBidi"/>
      <w:color w:val="auto"/>
      <w:sz w:val="18"/>
      <w:lang w:val="en-AU" w:eastAsia="en-US"/>
    </w:rPr>
  </w:style>
  <w:style w:type="paragraph" w:customStyle="1" w:styleId="Tablenumberedlist3">
    <w:name w:val="Table numbered list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numbering" w:customStyle="1" w:styleId="List11">
    <w:name w:val="List11"/>
    <w:basedOn w:val="NoList"/>
    <w:uiPriority w:val="99"/>
    <w:rsid w:val="00FD1BDD"/>
  </w:style>
  <w:style w:type="numbering" w:customStyle="1" w:styleId="Numberlist1">
    <w:name w:val="Number list1"/>
    <w:uiPriority w:val="99"/>
    <w:rsid w:val="00FD1BDD"/>
  </w:style>
  <w:style w:type="paragraph" w:styleId="ListParagraph">
    <w:name w:val="List Paragraph"/>
    <w:basedOn w:val="Normal"/>
    <w:uiPriority w:val="99"/>
    <w:qFormat/>
    <w:rsid w:val="00E62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statistics/economy/price-indexes-and-inflation/consumer-price-index-australia/feb-2026/640101.xls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4.xml><?xml version="1.0" encoding="utf-8"?>
<ds:datastoreItem xmlns:ds="http://schemas.openxmlformats.org/officeDocument/2006/customXml" ds:itemID="{C2E2A9C8-CDEC-4442-B6D2-27888D72E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328</TotalTime>
  <Pages>11</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2026–27 fees and charges for biosecurity and imported food regulatory activity</vt:lpstr>
    </vt:vector>
  </TitlesOfParts>
  <Company/>
  <LinksUpToDate>false</LinksUpToDate>
  <CharactersWithSpaces>21939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fees and charges for biosecurity and imported food regulatory activity</dc:title>
  <dc:creator>Department of Agriculture, Fisheries and Forestry</dc:creator>
  <cp:revision>9</cp:revision>
  <cp:lastPrinted>2026-05-24T11:28:00Z</cp:lastPrinted>
  <dcterms:created xsi:type="dcterms:W3CDTF">2026-04-09T09:51:00Z</dcterms:created>
  <dcterms:modified xsi:type="dcterms:W3CDTF">2026-06-15T08:31:00Z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9b46975,1a568d03,2d9ecd7f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189b4681,67e404fa,44b48a58</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2024-02-26T21:50:56Z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3721af09-955a-4638-ac1c-9d231f6e033f</vt:lpwstr>
  </property>
  <property fmtid="{D5CDD505-2E9C-101B-9397-08002B2CF9AE}" pid="15" name="MSIP_Label_933d8be6-3c40-4052-87a2-9c2adcba8759_ContentBits">
    <vt:lpwstr>3</vt:lpwstr>
  </property>
  <property fmtid="{D5CDD505-2E9C-101B-9397-08002B2CF9AE}" pid="16" name="MediaServiceImageTags">
    <vt:lpwstr/>
  </property>
</Properties>
</file>