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B818" w14:textId="7D193E22" w:rsidR="00236901" w:rsidRDefault="00C35816" w:rsidP="00236901">
      <w:pPr>
        <w:spacing w:before="360"/>
        <w:ind w:right="95"/>
        <w:jc w:val="center"/>
      </w:pPr>
      <w:r>
        <w:rPr>
          <w:caps/>
          <w:noProof/>
          <w:lang w:eastAsia="en-AU"/>
        </w:rPr>
        <w:drawing>
          <wp:inline distT="0" distB="0" distL="0" distR="0" wp14:anchorId="55C7BE10" wp14:editId="6AD344C0">
            <wp:extent cx="2465705" cy="1371600"/>
            <wp:effectExtent l="0" t="0" r="0" b="0"/>
            <wp:docPr id="1"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62801" name="Picture 2" descr="Australian Government Crest"/>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65705" cy="1371600"/>
                    </a:xfrm>
                    <a:prstGeom prst="rect">
                      <a:avLst/>
                    </a:prstGeom>
                    <a:noFill/>
                    <a:ln>
                      <a:noFill/>
                    </a:ln>
                  </pic:spPr>
                </pic:pic>
              </a:graphicData>
            </a:graphic>
          </wp:inline>
        </w:drawing>
      </w:r>
    </w:p>
    <w:p w14:paraId="301BBF20" w14:textId="77777777" w:rsidR="003D4BA3" w:rsidRDefault="003D4BA3" w:rsidP="003D4BA3">
      <w:pPr>
        <w:pStyle w:val="Heading2"/>
        <w:numPr>
          <w:ilvl w:val="0"/>
          <w:numId w:val="0"/>
        </w:numPr>
        <w:ind w:left="720"/>
      </w:pPr>
    </w:p>
    <w:p w14:paraId="7912703E" w14:textId="4094D16C" w:rsidR="00236901" w:rsidRPr="003D4BA3" w:rsidRDefault="00C35816" w:rsidP="003D4BA3">
      <w:pPr>
        <w:pStyle w:val="Heading2"/>
        <w:numPr>
          <w:ilvl w:val="0"/>
          <w:numId w:val="0"/>
        </w:numPr>
        <w:ind w:left="720"/>
        <w:jc w:val="center"/>
        <w:rPr>
          <w:sz w:val="48"/>
          <w:szCs w:val="48"/>
        </w:rPr>
      </w:pPr>
      <w:r w:rsidRPr="006D25E1">
        <w:rPr>
          <w:sz w:val="48"/>
          <w:szCs w:val="48"/>
        </w:rPr>
        <w:t xml:space="preserve">Australian Government response to the </w:t>
      </w:r>
      <w:r w:rsidR="00F92EA9" w:rsidRPr="006D25E1">
        <w:rPr>
          <w:sz w:val="48"/>
          <w:szCs w:val="48"/>
        </w:rPr>
        <w:t xml:space="preserve">second </w:t>
      </w:r>
      <w:r w:rsidR="00971E3B" w:rsidRPr="006D25E1">
        <w:rPr>
          <w:sz w:val="48"/>
          <w:szCs w:val="48"/>
        </w:rPr>
        <w:t xml:space="preserve">review </w:t>
      </w:r>
      <w:r w:rsidR="00D912ED" w:rsidRPr="006D25E1">
        <w:rPr>
          <w:sz w:val="48"/>
          <w:szCs w:val="48"/>
        </w:rPr>
        <w:t>of</w:t>
      </w:r>
      <w:r w:rsidR="00971E3B" w:rsidRPr="006D25E1">
        <w:rPr>
          <w:sz w:val="48"/>
          <w:szCs w:val="48"/>
        </w:rPr>
        <w:t xml:space="preserve"> the </w:t>
      </w:r>
      <w:r w:rsidR="00F92EA9" w:rsidRPr="006D25E1">
        <w:rPr>
          <w:sz w:val="48"/>
          <w:szCs w:val="48"/>
        </w:rPr>
        <w:t>Wheat Port</w:t>
      </w:r>
      <w:r w:rsidR="003D4BA3" w:rsidRPr="006D25E1">
        <w:rPr>
          <w:sz w:val="48"/>
          <w:szCs w:val="48"/>
        </w:rPr>
        <w:t xml:space="preserve"> </w:t>
      </w:r>
      <w:r w:rsidR="00971E3B" w:rsidRPr="006D25E1">
        <w:rPr>
          <w:sz w:val="48"/>
          <w:szCs w:val="48"/>
        </w:rPr>
        <w:t>Code</w:t>
      </w:r>
    </w:p>
    <w:p w14:paraId="1F31E4C8" w14:textId="77777777" w:rsidR="00E86A38" w:rsidRDefault="00E86A38" w:rsidP="00BE77DB">
      <w:pPr>
        <w:pStyle w:val="Normalsmall"/>
      </w:pPr>
    </w:p>
    <w:p w14:paraId="3E10703B" w14:textId="77777777" w:rsidR="00E86A38" w:rsidRDefault="00E86A38" w:rsidP="00BE77DB">
      <w:pPr>
        <w:pStyle w:val="Normalsmall"/>
      </w:pPr>
    </w:p>
    <w:p w14:paraId="18AB4289" w14:textId="77777777" w:rsidR="00E86A38" w:rsidRDefault="00E86A38" w:rsidP="00BE77DB">
      <w:pPr>
        <w:pStyle w:val="Normalsmall"/>
      </w:pPr>
    </w:p>
    <w:p w14:paraId="715500F8" w14:textId="77777777" w:rsidR="00E86A38" w:rsidRDefault="00E86A38" w:rsidP="00BE77DB">
      <w:pPr>
        <w:pStyle w:val="Normalsmall"/>
      </w:pPr>
    </w:p>
    <w:p w14:paraId="2A6481B4" w14:textId="77777777" w:rsidR="00E86A38" w:rsidRDefault="00E86A38" w:rsidP="00BE77DB">
      <w:pPr>
        <w:pStyle w:val="Normalsmall"/>
      </w:pPr>
    </w:p>
    <w:p w14:paraId="1BA9C8C2" w14:textId="77777777" w:rsidR="00E86A38" w:rsidRDefault="00E86A38" w:rsidP="00BE77DB">
      <w:pPr>
        <w:pStyle w:val="Normalsmall"/>
      </w:pPr>
    </w:p>
    <w:p w14:paraId="7580BC16" w14:textId="77777777" w:rsidR="00E86A38" w:rsidRDefault="00E86A38" w:rsidP="00BE77DB">
      <w:pPr>
        <w:pStyle w:val="Normalsmall"/>
      </w:pPr>
    </w:p>
    <w:p w14:paraId="6A0B2039" w14:textId="77777777" w:rsidR="00E86A38" w:rsidRDefault="00E86A38" w:rsidP="00BE77DB">
      <w:pPr>
        <w:pStyle w:val="Normalsmall"/>
      </w:pPr>
    </w:p>
    <w:p w14:paraId="7A34C858" w14:textId="77777777" w:rsidR="00E86A38" w:rsidRDefault="00E86A38" w:rsidP="00BE77DB">
      <w:pPr>
        <w:pStyle w:val="Normalsmall"/>
      </w:pPr>
    </w:p>
    <w:p w14:paraId="793D4840" w14:textId="77777777" w:rsidR="00E86A38" w:rsidRDefault="00E86A38" w:rsidP="00BE77DB">
      <w:pPr>
        <w:pStyle w:val="Normalsmall"/>
      </w:pPr>
    </w:p>
    <w:p w14:paraId="70F1DA44" w14:textId="77777777" w:rsidR="00E86A38" w:rsidRDefault="00E86A38" w:rsidP="00BE77DB">
      <w:pPr>
        <w:pStyle w:val="Normalsmall"/>
      </w:pPr>
    </w:p>
    <w:p w14:paraId="43B7E571" w14:textId="77777777" w:rsidR="00E86A38" w:rsidRDefault="00E86A38" w:rsidP="00BE77DB">
      <w:pPr>
        <w:pStyle w:val="Normalsmall"/>
      </w:pPr>
    </w:p>
    <w:p w14:paraId="2B948C75" w14:textId="77777777" w:rsidR="00E86A38" w:rsidRDefault="00E86A38" w:rsidP="00BE77DB">
      <w:pPr>
        <w:pStyle w:val="Normalsmall"/>
      </w:pPr>
    </w:p>
    <w:p w14:paraId="4D858076" w14:textId="77777777" w:rsidR="00E86A38" w:rsidRDefault="00E86A38" w:rsidP="00BE77DB">
      <w:pPr>
        <w:pStyle w:val="Normalsmall"/>
      </w:pPr>
    </w:p>
    <w:p w14:paraId="6D44BC74" w14:textId="77777777" w:rsidR="00E86A38" w:rsidRDefault="00E86A38" w:rsidP="00BE77DB">
      <w:pPr>
        <w:pStyle w:val="Normalsmall"/>
      </w:pPr>
    </w:p>
    <w:p w14:paraId="4505FCA1" w14:textId="77777777" w:rsidR="00E86A38" w:rsidRDefault="00E86A38" w:rsidP="00BE77DB">
      <w:pPr>
        <w:pStyle w:val="Normalsmall"/>
      </w:pPr>
    </w:p>
    <w:p w14:paraId="16D5F0F9" w14:textId="77777777" w:rsidR="00E86A38" w:rsidRDefault="00E86A38" w:rsidP="00BE77DB">
      <w:pPr>
        <w:pStyle w:val="Normalsmall"/>
      </w:pPr>
    </w:p>
    <w:p w14:paraId="58842EAB" w14:textId="77777777" w:rsidR="00E86A38" w:rsidRDefault="00E86A38" w:rsidP="00BE77DB">
      <w:pPr>
        <w:pStyle w:val="Normalsmall"/>
      </w:pPr>
    </w:p>
    <w:p w14:paraId="17836F29" w14:textId="77777777" w:rsidR="00E86A38" w:rsidRDefault="00E86A38" w:rsidP="00BE77DB">
      <w:pPr>
        <w:pStyle w:val="Normalsmall"/>
      </w:pPr>
    </w:p>
    <w:p w14:paraId="0EE91903" w14:textId="77777777" w:rsidR="00E86A38" w:rsidRDefault="00E86A38" w:rsidP="00BE77DB">
      <w:pPr>
        <w:pStyle w:val="Normalsmall"/>
      </w:pPr>
    </w:p>
    <w:p w14:paraId="575A2C16" w14:textId="77777777" w:rsidR="00E86A38" w:rsidRDefault="00E86A38" w:rsidP="00BE77DB">
      <w:pPr>
        <w:pStyle w:val="Normalsmall"/>
      </w:pPr>
    </w:p>
    <w:p w14:paraId="539CA55C" w14:textId="77777777" w:rsidR="00E86A38" w:rsidRDefault="00E86A38" w:rsidP="00BE77DB">
      <w:pPr>
        <w:pStyle w:val="Normalsmall"/>
      </w:pPr>
    </w:p>
    <w:p w14:paraId="4D9F6D34" w14:textId="77777777" w:rsidR="00E86A38" w:rsidRDefault="00E86A38" w:rsidP="00BE77DB">
      <w:pPr>
        <w:pStyle w:val="Normalsmall"/>
      </w:pPr>
    </w:p>
    <w:p w14:paraId="7A558439" w14:textId="77777777" w:rsidR="00E86A38" w:rsidRDefault="00E86A38" w:rsidP="00BE77DB">
      <w:pPr>
        <w:pStyle w:val="Normalsmall"/>
      </w:pPr>
    </w:p>
    <w:p w14:paraId="50178264" w14:textId="77777777" w:rsidR="00E86A38" w:rsidRDefault="00E86A38" w:rsidP="00BE77DB">
      <w:pPr>
        <w:pStyle w:val="Normalsmall"/>
      </w:pPr>
    </w:p>
    <w:p w14:paraId="0C76CE11" w14:textId="3DBE7EE9" w:rsidR="00BE77DB" w:rsidRDefault="00BE77DB" w:rsidP="00BE77DB">
      <w:pPr>
        <w:pStyle w:val="Normalsmall"/>
      </w:pPr>
      <w:r>
        <w:lastRenderedPageBreak/>
        <w:t>© Commonwealth of Australia 2026</w:t>
      </w:r>
    </w:p>
    <w:p w14:paraId="44CC1EE8" w14:textId="77777777" w:rsidR="00BE77DB" w:rsidRDefault="00BE77DB" w:rsidP="00BE77DB">
      <w:pPr>
        <w:pStyle w:val="Normalsmall"/>
        <w:spacing w:after="0"/>
        <w:rPr>
          <w:rStyle w:val="Strong"/>
        </w:rPr>
      </w:pPr>
      <w:r>
        <w:rPr>
          <w:rStyle w:val="Strong"/>
        </w:rPr>
        <w:t>Ownership of intellectual property rights</w:t>
      </w:r>
    </w:p>
    <w:p w14:paraId="65CA795E" w14:textId="77777777" w:rsidR="00BE77DB" w:rsidRDefault="00BE77DB" w:rsidP="00BE77DB">
      <w:pPr>
        <w:pStyle w:val="Normalsmall"/>
      </w:pPr>
      <w:r>
        <w:t>Unless otherwise noted, copyright (and any other intellectual property rights) in this publication is owned by the Commonwealth of Australia (referred to as the Commonwealth).</w:t>
      </w:r>
    </w:p>
    <w:p w14:paraId="239EED75" w14:textId="77777777" w:rsidR="00BE77DB" w:rsidRDefault="00BE77DB" w:rsidP="00BE77DB">
      <w:pPr>
        <w:pStyle w:val="Normalsmall"/>
        <w:spacing w:after="0"/>
        <w:rPr>
          <w:rStyle w:val="Strong"/>
        </w:rPr>
      </w:pPr>
      <w:r>
        <w:rPr>
          <w:rStyle w:val="Strong"/>
        </w:rPr>
        <w:t>Creative Commons licence</w:t>
      </w:r>
    </w:p>
    <w:p w14:paraId="230860F8" w14:textId="77777777" w:rsidR="00BE77DB" w:rsidRDefault="00BE77DB" w:rsidP="00BE77DB">
      <w:pPr>
        <w:pStyle w:val="Normalsmall"/>
      </w:pPr>
      <w:r>
        <w:t xml:space="preserve">All material in this publication is licensed under a </w:t>
      </w:r>
      <w:hyperlink r:id="rId9" w:history="1">
        <w:r>
          <w:rPr>
            <w:rStyle w:val="Hyperlink"/>
          </w:rPr>
          <w:t>Creative Commons Attribution 4.0 International Licence</w:t>
        </w:r>
      </w:hyperlink>
      <w:r>
        <w:t xml:space="preserve"> except content supplied by third parties, logos and the Commonwealth Coat of Arms.</w:t>
      </w:r>
    </w:p>
    <w:p w14:paraId="137CDE2B" w14:textId="77777777" w:rsidR="00BE77DB" w:rsidRPr="00364A4A" w:rsidRDefault="00BE77DB" w:rsidP="00BE77DB">
      <w:pPr>
        <w:pStyle w:val="Normalsmall"/>
      </w:pPr>
      <w:r w:rsidRPr="00364A4A">
        <w:rPr>
          <w:noProof/>
          <w:lang w:eastAsia="en-AU"/>
        </w:rPr>
        <w:drawing>
          <wp:inline distT="0" distB="0" distL="0" distR="0" wp14:anchorId="43B6B1E1" wp14:editId="52D2EEB0">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3863C374" w14:textId="77777777" w:rsidR="00BE77DB" w:rsidRPr="00364A4A" w:rsidRDefault="00BE77DB" w:rsidP="00BE77DB">
      <w:pPr>
        <w:pStyle w:val="Normalsmall"/>
        <w:spacing w:after="0"/>
        <w:rPr>
          <w:rStyle w:val="Strong"/>
        </w:rPr>
      </w:pPr>
      <w:r w:rsidRPr="00364A4A">
        <w:rPr>
          <w:rStyle w:val="Strong"/>
        </w:rPr>
        <w:t>Cataloguing data</w:t>
      </w:r>
    </w:p>
    <w:p w14:paraId="664E1CF1" w14:textId="77777777" w:rsidR="00BE77DB" w:rsidRDefault="00BE77DB" w:rsidP="00BE77DB">
      <w:pPr>
        <w:pStyle w:val="Normalsmall"/>
      </w:pPr>
      <w:r w:rsidRPr="00364A4A">
        <w:t>This publication (and any material sourced from it) should be attributed as</w:t>
      </w:r>
      <w:r w:rsidRPr="00FA7D7C">
        <w:t xml:space="preserve">: DAFF 2026, </w:t>
      </w:r>
      <w:r w:rsidRPr="00FA7D7C">
        <w:rPr>
          <w:i/>
        </w:rPr>
        <w:t>Australian Government response to the second review of the Wheat Port Code</w:t>
      </w:r>
      <w:r>
        <w:t xml:space="preserve">, </w:t>
      </w:r>
      <w:r w:rsidRPr="00DE0AAE">
        <w:t>Department of Agriculture, Fisheries and Forestry</w:t>
      </w:r>
      <w:r>
        <w:t>, Canberra. CC BY 4.0.</w:t>
      </w:r>
    </w:p>
    <w:p w14:paraId="5DB947A7" w14:textId="77777777" w:rsidR="00BE77DB" w:rsidRDefault="00BE77DB" w:rsidP="00BE77DB">
      <w:pPr>
        <w:pStyle w:val="Normalsmall"/>
      </w:pPr>
      <w:r>
        <w:t xml:space="preserve">This </w:t>
      </w:r>
      <w:r w:rsidRPr="00364A4A">
        <w:t xml:space="preserve">publication is available at </w:t>
      </w:r>
      <w:hyperlink r:id="rId11" w:history="1">
        <w:r w:rsidRPr="00647494">
          <w:rPr>
            <w:rStyle w:val="Hyperlink"/>
          </w:rPr>
          <w:t>agriculture.gov.au/publications</w:t>
        </w:r>
      </w:hyperlink>
      <w:r w:rsidRPr="00364A4A">
        <w:t>.</w:t>
      </w:r>
    </w:p>
    <w:p w14:paraId="27FEC668" w14:textId="77777777" w:rsidR="00BE77DB" w:rsidRDefault="00BE77DB" w:rsidP="00BE77DB">
      <w:pPr>
        <w:pStyle w:val="Normalsmall"/>
        <w:spacing w:after="0"/>
      </w:pPr>
      <w:r w:rsidRPr="00DE0AAE">
        <w:t>Department of Agriculture, Fisheries and Forestry</w:t>
      </w:r>
    </w:p>
    <w:p w14:paraId="740E5D78" w14:textId="77777777" w:rsidR="00BE77DB" w:rsidRPr="00364A4A" w:rsidRDefault="00BE77DB" w:rsidP="00BE77DB">
      <w:pPr>
        <w:pStyle w:val="Normalsmall"/>
        <w:spacing w:after="0"/>
      </w:pPr>
      <w:r w:rsidRPr="00364A4A">
        <w:t>GPO Box 858 Canberra ACT 2601</w:t>
      </w:r>
    </w:p>
    <w:p w14:paraId="6624AEB1" w14:textId="77777777" w:rsidR="00BE77DB" w:rsidRPr="00364A4A" w:rsidRDefault="00BE77DB" w:rsidP="00BE77DB">
      <w:pPr>
        <w:pStyle w:val="Normalsmall"/>
        <w:spacing w:after="0"/>
      </w:pPr>
      <w:r w:rsidRPr="00364A4A">
        <w:t>Telephone 1800 900 090</w:t>
      </w:r>
    </w:p>
    <w:p w14:paraId="284E9DEF" w14:textId="77777777" w:rsidR="00BE77DB" w:rsidRPr="00364A4A" w:rsidRDefault="00BE77DB" w:rsidP="00BE77DB">
      <w:pPr>
        <w:pStyle w:val="Normalsmall"/>
      </w:pPr>
      <w:r w:rsidRPr="00364A4A">
        <w:t xml:space="preserve">Web </w:t>
      </w:r>
      <w:hyperlink r:id="rId12" w:history="1">
        <w:r w:rsidRPr="00364A4A">
          <w:rPr>
            <w:rStyle w:val="Hyperlink"/>
          </w:rPr>
          <w:t>agriculture.gov.au</w:t>
        </w:r>
      </w:hyperlink>
    </w:p>
    <w:p w14:paraId="6B0DA74C" w14:textId="77777777" w:rsidR="00BE77DB" w:rsidRDefault="00BE77DB" w:rsidP="00BE77DB">
      <w:pPr>
        <w:pStyle w:val="Normalsmall"/>
        <w:spacing w:after="0"/>
      </w:pPr>
      <w:r w:rsidRPr="00364A4A">
        <w:rPr>
          <w:rStyle w:val="Strong"/>
        </w:rPr>
        <w:t>Disclaimer</w:t>
      </w:r>
    </w:p>
    <w:p w14:paraId="05D807C6" w14:textId="77777777" w:rsidR="00BE77DB" w:rsidRDefault="00BE77DB" w:rsidP="00BE77DB">
      <w:pPr>
        <w:pStyle w:val="Normalsmall"/>
      </w:pPr>
      <w:r>
        <w:t xml:space="preserve">The Australian Government acting through the </w:t>
      </w:r>
      <w:r w:rsidRPr="00DE0AAE">
        <w:t>Department of Agriculture, Fisheries and Forestry</w:t>
      </w:r>
      <w:r>
        <w:t xml:space="preserve"> has exercised due care and skill in preparing and compiling the information and data in this publication. Notwithstanding, the </w:t>
      </w:r>
      <w:r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6CA8FC7E" w14:textId="77777777" w:rsidR="00BE77DB" w:rsidRDefault="00BE77DB" w:rsidP="00BE77DB">
      <w:pPr>
        <w:pStyle w:val="Normalsmall"/>
        <w:spacing w:after="0"/>
      </w:pPr>
      <w:r>
        <w:rPr>
          <w:rStyle w:val="Strong"/>
        </w:rPr>
        <w:t>Acknowledgement of Country</w:t>
      </w:r>
    </w:p>
    <w:p w14:paraId="29EB5207" w14:textId="77777777" w:rsidR="00BE77DB" w:rsidRDefault="00BE77DB" w:rsidP="00BE77DB">
      <w:pPr>
        <w:pStyle w:val="Normalsmall"/>
      </w:pPr>
      <w:r w:rsidRPr="00DE21ED">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53690092" w14:textId="421A93CB" w:rsidR="00236901" w:rsidRPr="00E86A38" w:rsidRDefault="00D06814" w:rsidP="00D06814">
      <w:pPr>
        <w:tabs>
          <w:tab w:val="left" w:pos="6648"/>
          <w:tab w:val="right" w:pos="9638"/>
        </w:tabs>
        <w:spacing w:before="8880" w:after="240"/>
        <w:rPr>
          <w:rFonts w:asciiTheme="minorHAnsi" w:hAnsiTheme="minorHAnsi" w:cstheme="minorHAnsi"/>
          <w:caps/>
          <w:sz w:val="28"/>
          <w:szCs w:val="28"/>
        </w:rPr>
      </w:pPr>
      <w:r w:rsidRPr="00E86A38">
        <w:rPr>
          <w:rFonts w:asciiTheme="minorHAnsi" w:hAnsiTheme="minorHAnsi" w:cstheme="minorHAnsi"/>
          <w:caps/>
          <w:sz w:val="28"/>
          <w:szCs w:val="28"/>
        </w:rPr>
        <w:lastRenderedPageBreak/>
        <w:tab/>
      </w:r>
      <w:r w:rsidRPr="00E86A38">
        <w:rPr>
          <w:rFonts w:asciiTheme="minorHAnsi" w:hAnsiTheme="minorHAnsi" w:cstheme="minorHAnsi"/>
          <w:caps/>
          <w:sz w:val="28"/>
          <w:szCs w:val="28"/>
        </w:rPr>
        <w:tab/>
      </w:r>
      <w:r w:rsidR="001F51DD">
        <w:rPr>
          <w:rFonts w:asciiTheme="minorHAnsi" w:hAnsiTheme="minorHAnsi" w:cstheme="minorHAnsi"/>
          <w:caps/>
          <w:sz w:val="28"/>
          <w:szCs w:val="28"/>
        </w:rPr>
        <w:t>June</w:t>
      </w:r>
      <w:r w:rsidR="001B57BF" w:rsidRPr="00E86A38">
        <w:rPr>
          <w:rFonts w:asciiTheme="minorHAnsi" w:hAnsiTheme="minorHAnsi" w:cstheme="minorHAnsi"/>
          <w:caps/>
          <w:sz w:val="28"/>
          <w:szCs w:val="28"/>
        </w:rPr>
        <w:t xml:space="preserve"> 2026</w:t>
      </w:r>
    </w:p>
    <w:p w14:paraId="2099DE42" w14:textId="77777777" w:rsidR="0019063B" w:rsidRPr="004D2214" w:rsidRDefault="00C35816" w:rsidP="00E86A38">
      <w:pPr>
        <w:pStyle w:val="Heading3"/>
        <w:numPr>
          <w:ilvl w:val="0"/>
          <w:numId w:val="0"/>
        </w:numPr>
        <w:spacing w:after="120"/>
        <w:rPr>
          <w:rFonts w:asciiTheme="minorHAnsi" w:hAnsiTheme="minorHAnsi" w:cstheme="minorHAnsi"/>
        </w:rPr>
      </w:pPr>
      <w:r w:rsidRPr="004D2214">
        <w:rPr>
          <w:rFonts w:asciiTheme="minorHAnsi" w:hAnsiTheme="minorHAnsi" w:cstheme="minorHAnsi"/>
          <w:color w:val="000000"/>
        </w:rPr>
        <w:t xml:space="preserve">Introduction </w:t>
      </w:r>
    </w:p>
    <w:p w14:paraId="50109052" w14:textId="6C52DBF9" w:rsidR="000A657D" w:rsidRDefault="000A657D" w:rsidP="000A657D">
      <w:pPr>
        <w:spacing w:after="120" w:line="276" w:lineRule="auto"/>
        <w:rPr>
          <w:rFonts w:asciiTheme="minorHAnsi" w:hAnsiTheme="minorHAnsi" w:cstheme="minorHAnsi"/>
          <w:sz w:val="22"/>
          <w:szCs w:val="22"/>
        </w:rPr>
      </w:pPr>
      <w:r w:rsidRPr="0084616B">
        <w:rPr>
          <w:rFonts w:asciiTheme="minorHAnsi" w:hAnsiTheme="minorHAnsi" w:cstheme="minorHAnsi"/>
          <w:sz w:val="22"/>
          <w:szCs w:val="22"/>
        </w:rPr>
        <w:t xml:space="preserve">The Australian Government </w:t>
      </w:r>
      <w:r w:rsidR="008772C7">
        <w:rPr>
          <w:rFonts w:asciiTheme="minorHAnsi" w:hAnsiTheme="minorHAnsi" w:cstheme="minorHAnsi"/>
          <w:sz w:val="22"/>
          <w:szCs w:val="22"/>
        </w:rPr>
        <w:t>welcomes</w:t>
      </w:r>
      <w:r w:rsidRPr="0084616B">
        <w:rPr>
          <w:rFonts w:asciiTheme="minorHAnsi" w:hAnsiTheme="minorHAnsi" w:cstheme="minorHAnsi"/>
          <w:sz w:val="22"/>
          <w:szCs w:val="22"/>
        </w:rPr>
        <w:t xml:space="preserve"> the release of the </w:t>
      </w:r>
      <w:r w:rsidRPr="0084616B">
        <w:rPr>
          <w:rFonts w:asciiTheme="minorHAnsi" w:hAnsiTheme="minorHAnsi" w:cstheme="minorHAnsi"/>
          <w:i/>
          <w:iCs/>
          <w:sz w:val="22"/>
          <w:szCs w:val="22"/>
        </w:rPr>
        <w:t>Report on the second review of the Wheat Port Code</w:t>
      </w:r>
      <w:r w:rsidRPr="0084616B">
        <w:rPr>
          <w:rFonts w:asciiTheme="minorHAnsi" w:hAnsiTheme="minorHAnsi" w:cstheme="minorHAnsi"/>
          <w:sz w:val="22"/>
          <w:szCs w:val="22"/>
        </w:rPr>
        <w:t xml:space="preserve"> </w:t>
      </w:r>
      <w:r w:rsidR="0060174E">
        <w:rPr>
          <w:rFonts w:asciiTheme="minorHAnsi" w:hAnsiTheme="minorHAnsi" w:cstheme="minorHAnsi"/>
          <w:sz w:val="22"/>
          <w:szCs w:val="22"/>
        </w:rPr>
        <w:t xml:space="preserve">(the Report) </w:t>
      </w:r>
      <w:r w:rsidRPr="0084616B">
        <w:rPr>
          <w:rFonts w:asciiTheme="minorHAnsi" w:hAnsiTheme="minorHAnsi" w:cstheme="minorHAnsi"/>
          <w:sz w:val="22"/>
          <w:szCs w:val="22"/>
        </w:rPr>
        <w:t xml:space="preserve">and thanks the members of the Wheat Port Code Review Reference Group </w:t>
      </w:r>
      <w:r>
        <w:rPr>
          <w:rFonts w:asciiTheme="minorHAnsi" w:hAnsiTheme="minorHAnsi" w:cstheme="minorHAnsi"/>
          <w:sz w:val="22"/>
          <w:szCs w:val="22"/>
        </w:rPr>
        <w:t xml:space="preserve">– </w:t>
      </w:r>
      <w:r w:rsidRPr="003E482E">
        <w:rPr>
          <w:rFonts w:asciiTheme="minorHAnsi" w:hAnsiTheme="minorHAnsi" w:cstheme="minorHAnsi"/>
          <w:sz w:val="22"/>
          <w:szCs w:val="22"/>
        </w:rPr>
        <w:t>Grain Producers Australia</w:t>
      </w:r>
      <w:r>
        <w:rPr>
          <w:rFonts w:asciiTheme="minorHAnsi" w:hAnsiTheme="minorHAnsi" w:cstheme="minorHAnsi"/>
          <w:sz w:val="22"/>
          <w:szCs w:val="22"/>
        </w:rPr>
        <w:t xml:space="preserve">, </w:t>
      </w:r>
      <w:r w:rsidRPr="003E482E">
        <w:rPr>
          <w:rFonts w:asciiTheme="minorHAnsi" w:hAnsiTheme="minorHAnsi" w:cstheme="minorHAnsi"/>
          <w:sz w:val="22"/>
          <w:szCs w:val="22"/>
        </w:rPr>
        <w:t>GrainGrowers Limited</w:t>
      </w:r>
      <w:r>
        <w:rPr>
          <w:rFonts w:asciiTheme="minorHAnsi" w:hAnsiTheme="minorHAnsi" w:cstheme="minorHAnsi"/>
          <w:sz w:val="22"/>
          <w:szCs w:val="22"/>
        </w:rPr>
        <w:t xml:space="preserve"> and </w:t>
      </w:r>
      <w:r w:rsidRPr="003E482E">
        <w:rPr>
          <w:rFonts w:asciiTheme="minorHAnsi" w:hAnsiTheme="minorHAnsi" w:cstheme="minorHAnsi"/>
          <w:sz w:val="22"/>
          <w:szCs w:val="22"/>
        </w:rPr>
        <w:t>Grain Trade Australia</w:t>
      </w:r>
      <w:r>
        <w:rPr>
          <w:rFonts w:asciiTheme="minorHAnsi" w:hAnsiTheme="minorHAnsi" w:cstheme="minorHAnsi"/>
          <w:sz w:val="22"/>
          <w:szCs w:val="22"/>
        </w:rPr>
        <w:t xml:space="preserve"> – </w:t>
      </w:r>
      <w:r w:rsidRPr="0084616B">
        <w:rPr>
          <w:rFonts w:asciiTheme="minorHAnsi" w:hAnsiTheme="minorHAnsi" w:cstheme="minorHAnsi"/>
          <w:sz w:val="22"/>
          <w:szCs w:val="22"/>
        </w:rPr>
        <w:t>for the support and input they provided to the review.</w:t>
      </w:r>
      <w:r>
        <w:rPr>
          <w:rFonts w:asciiTheme="minorHAnsi" w:hAnsiTheme="minorHAnsi" w:cstheme="minorHAnsi"/>
          <w:sz w:val="22"/>
          <w:szCs w:val="22"/>
        </w:rPr>
        <w:t xml:space="preserve"> The Government also thanks the stakeholders along the wheat export supply chain who engaged with the review. </w:t>
      </w:r>
    </w:p>
    <w:p w14:paraId="38C50961" w14:textId="77777777" w:rsidR="00594DA0" w:rsidRDefault="00594DA0" w:rsidP="00594DA0">
      <w:pPr>
        <w:spacing w:after="120" w:line="276" w:lineRule="auto"/>
        <w:rPr>
          <w:rFonts w:asciiTheme="minorHAnsi" w:hAnsiTheme="minorHAnsi" w:cstheme="minorHAnsi"/>
          <w:sz w:val="22"/>
          <w:szCs w:val="22"/>
        </w:rPr>
      </w:pPr>
      <w:r w:rsidRPr="00594DA0">
        <w:rPr>
          <w:rFonts w:asciiTheme="minorHAnsi" w:hAnsiTheme="minorHAnsi" w:cstheme="minorHAnsi"/>
          <w:sz w:val="22"/>
          <w:szCs w:val="22"/>
        </w:rPr>
        <w:t xml:space="preserve">Australia’s grains industry makes a significant contribution to agriculture and the broader Australian economy and has a well-earned reputation as a supplier of high-quality wheat and a reliable trading partner. With ever increasing competition in international markets for wheat, it is critical the Australian Government sets in place the right regulatory settings to support a productive, profitable and sustainable wheat export industry. </w:t>
      </w:r>
    </w:p>
    <w:p w14:paraId="71944C10" w14:textId="40A28848" w:rsidR="00014982" w:rsidRDefault="00014982" w:rsidP="00594DA0">
      <w:pPr>
        <w:spacing w:after="120" w:line="276" w:lineRule="auto"/>
        <w:rPr>
          <w:rFonts w:asciiTheme="minorHAnsi" w:hAnsiTheme="minorHAnsi" w:cstheme="minorHAnsi"/>
          <w:sz w:val="22"/>
          <w:szCs w:val="22"/>
        </w:rPr>
      </w:pPr>
      <w:r w:rsidRPr="025A5E17">
        <w:rPr>
          <w:rFonts w:asciiTheme="minorHAnsi" w:hAnsiTheme="minorHAnsi" w:cstheme="minorBidi"/>
          <w:sz w:val="22"/>
          <w:szCs w:val="22"/>
        </w:rPr>
        <w:t>The Government</w:t>
      </w:r>
      <w:r>
        <w:rPr>
          <w:rFonts w:asciiTheme="minorHAnsi" w:hAnsiTheme="minorHAnsi" w:cstheme="minorBidi"/>
          <w:sz w:val="22"/>
          <w:szCs w:val="22"/>
        </w:rPr>
        <w:t>’s</w:t>
      </w:r>
      <w:r w:rsidRPr="025A5E17">
        <w:rPr>
          <w:rFonts w:asciiTheme="minorHAnsi" w:hAnsiTheme="minorHAnsi" w:cstheme="minorBidi"/>
          <w:sz w:val="22"/>
          <w:szCs w:val="22"/>
        </w:rPr>
        <w:t xml:space="preserve"> responses to the review’s recommendations are set out </w:t>
      </w:r>
      <w:r w:rsidR="005B51AA">
        <w:rPr>
          <w:rFonts w:asciiTheme="minorHAnsi" w:hAnsiTheme="minorHAnsi" w:cstheme="minorBidi"/>
          <w:sz w:val="22"/>
          <w:szCs w:val="22"/>
        </w:rPr>
        <w:t xml:space="preserve">under </w:t>
      </w:r>
      <w:r w:rsidR="001A62C7" w:rsidRPr="001A62C7">
        <w:rPr>
          <w:rFonts w:asciiTheme="minorHAnsi" w:hAnsiTheme="minorHAnsi" w:cstheme="minorBidi"/>
          <w:i/>
          <w:iCs/>
          <w:sz w:val="22"/>
          <w:szCs w:val="22"/>
        </w:rPr>
        <w:t xml:space="preserve">Response to Review’s </w:t>
      </w:r>
      <w:r w:rsidR="009A0DF3">
        <w:rPr>
          <w:rFonts w:asciiTheme="minorHAnsi" w:hAnsiTheme="minorHAnsi" w:cstheme="minorBidi"/>
          <w:i/>
          <w:iCs/>
          <w:sz w:val="22"/>
          <w:szCs w:val="22"/>
        </w:rPr>
        <w:t>f</w:t>
      </w:r>
      <w:r w:rsidR="001A62C7" w:rsidRPr="001A62C7">
        <w:rPr>
          <w:rFonts w:asciiTheme="minorHAnsi" w:hAnsiTheme="minorHAnsi" w:cstheme="minorBidi"/>
          <w:i/>
          <w:iCs/>
          <w:sz w:val="22"/>
          <w:szCs w:val="22"/>
        </w:rPr>
        <w:t>indings.</w:t>
      </w:r>
    </w:p>
    <w:p w14:paraId="736F610A" w14:textId="5CB4FAF2" w:rsidR="00480846" w:rsidRPr="0093480A" w:rsidRDefault="00480846" w:rsidP="00480846">
      <w:pPr>
        <w:pStyle w:val="Heading3"/>
        <w:numPr>
          <w:ilvl w:val="0"/>
          <w:numId w:val="0"/>
        </w:numPr>
        <w:spacing w:after="120"/>
        <w:ind w:left="964" w:hanging="964"/>
        <w:rPr>
          <w:rFonts w:asciiTheme="minorHAnsi" w:hAnsiTheme="minorHAnsi" w:cstheme="minorHAnsi"/>
          <w:color w:val="000000"/>
        </w:rPr>
      </w:pPr>
      <w:r w:rsidRPr="0093480A">
        <w:rPr>
          <w:rFonts w:asciiTheme="minorHAnsi" w:hAnsiTheme="minorHAnsi" w:cstheme="minorHAnsi"/>
          <w:color w:val="000000"/>
        </w:rPr>
        <w:t>Background</w:t>
      </w:r>
    </w:p>
    <w:p w14:paraId="26646381" w14:textId="6D9897E9" w:rsidR="00434E1A" w:rsidRDefault="00480846" w:rsidP="00480846">
      <w:pPr>
        <w:spacing w:after="120" w:line="276" w:lineRule="auto"/>
        <w:rPr>
          <w:rFonts w:asciiTheme="minorHAnsi" w:hAnsiTheme="minorHAnsi" w:cstheme="minorBidi"/>
          <w:sz w:val="22"/>
          <w:szCs w:val="22"/>
        </w:rPr>
      </w:pPr>
      <w:r>
        <w:rPr>
          <w:rFonts w:asciiTheme="minorHAnsi" w:hAnsiTheme="minorHAnsi" w:cstheme="minorHAnsi"/>
          <w:sz w:val="22"/>
          <w:szCs w:val="22"/>
        </w:rPr>
        <w:t xml:space="preserve">The </w:t>
      </w:r>
      <w:r w:rsidR="00D415A2" w:rsidRPr="008772C7">
        <w:rPr>
          <w:rFonts w:asciiTheme="minorHAnsi" w:hAnsiTheme="minorHAnsi" w:cstheme="minorHAnsi"/>
          <w:i/>
          <w:sz w:val="22"/>
          <w:szCs w:val="22"/>
        </w:rPr>
        <w:t xml:space="preserve">Competition and Consumer (Industry Code—Port Terminal Access (Bulk Wheat)) Regulation </w:t>
      </w:r>
      <w:r w:rsidR="00D415A2" w:rsidRPr="00FF2A08">
        <w:rPr>
          <w:rFonts w:asciiTheme="minorHAnsi" w:hAnsiTheme="minorHAnsi" w:cstheme="minorHAnsi"/>
          <w:i/>
          <w:iCs/>
          <w:sz w:val="22"/>
          <w:szCs w:val="22"/>
        </w:rPr>
        <w:t>2014</w:t>
      </w:r>
      <w:r w:rsidR="00123772" w:rsidRPr="00123772">
        <w:rPr>
          <w:rFonts w:asciiTheme="minorHAnsi" w:hAnsiTheme="minorHAnsi" w:cstheme="minorHAnsi"/>
          <w:i/>
          <w:sz w:val="22"/>
          <w:szCs w:val="22"/>
        </w:rPr>
        <w:t xml:space="preserve"> </w:t>
      </w:r>
      <w:r w:rsidR="00123772" w:rsidRPr="008772C7">
        <w:rPr>
          <w:rFonts w:asciiTheme="minorHAnsi" w:hAnsiTheme="minorHAnsi" w:cstheme="minorHAnsi"/>
          <w:sz w:val="22"/>
          <w:szCs w:val="22"/>
        </w:rPr>
        <w:t>prescribes</w:t>
      </w:r>
      <w:r w:rsidR="00123772">
        <w:rPr>
          <w:rFonts w:asciiTheme="minorHAnsi" w:hAnsiTheme="minorHAnsi" w:cstheme="minorHAnsi"/>
          <w:sz w:val="22"/>
          <w:szCs w:val="22"/>
        </w:rPr>
        <w:t>,</w:t>
      </w:r>
      <w:r w:rsidR="00123772" w:rsidRPr="008772C7">
        <w:rPr>
          <w:rFonts w:asciiTheme="minorHAnsi" w:hAnsiTheme="minorHAnsi" w:cstheme="minorHAnsi"/>
          <w:sz w:val="22"/>
          <w:szCs w:val="22"/>
        </w:rPr>
        <w:t xml:space="preserve"> in Schedule 1</w:t>
      </w:r>
      <w:r w:rsidR="008227B1">
        <w:rPr>
          <w:rFonts w:asciiTheme="minorHAnsi" w:hAnsiTheme="minorHAnsi" w:cstheme="minorHAnsi"/>
          <w:sz w:val="22"/>
          <w:szCs w:val="22"/>
        </w:rPr>
        <w:t>,</w:t>
      </w:r>
      <w:r w:rsidR="00123772" w:rsidRPr="008772C7">
        <w:rPr>
          <w:rFonts w:asciiTheme="minorHAnsi" w:hAnsiTheme="minorHAnsi" w:cstheme="minorHAnsi"/>
          <w:sz w:val="22"/>
          <w:szCs w:val="22"/>
        </w:rPr>
        <w:t xml:space="preserve"> the</w:t>
      </w:r>
      <w:r w:rsidR="00123772" w:rsidRPr="008772C7">
        <w:rPr>
          <w:rFonts w:asciiTheme="minorHAnsi" w:hAnsiTheme="minorHAnsi" w:cstheme="minorHAnsi"/>
          <w:color w:val="000000" w:themeColor="text1"/>
          <w:sz w:val="22"/>
          <w:szCs w:val="22"/>
        </w:rPr>
        <w:t xml:space="preserve"> </w:t>
      </w:r>
      <w:r w:rsidR="00123772" w:rsidRPr="008772C7">
        <w:rPr>
          <w:rFonts w:asciiTheme="minorHAnsi" w:hAnsiTheme="minorHAnsi" w:cstheme="minorHAnsi"/>
          <w:sz w:val="22"/>
          <w:szCs w:val="22"/>
        </w:rPr>
        <w:t>Port Terminal Access (Bulk Wheat) Code of Conduct</w:t>
      </w:r>
      <w:r w:rsidR="00123772" w:rsidRPr="008772C7">
        <w:rPr>
          <w:rFonts w:asciiTheme="minorHAnsi" w:hAnsiTheme="minorHAnsi" w:cstheme="minorHAnsi"/>
          <w:i/>
          <w:iCs/>
          <w:sz w:val="22"/>
          <w:szCs w:val="22"/>
        </w:rPr>
        <w:t xml:space="preserve"> </w:t>
      </w:r>
      <w:r w:rsidR="00123772" w:rsidRPr="008772C7">
        <w:rPr>
          <w:rFonts w:asciiTheme="minorHAnsi" w:hAnsiTheme="minorHAnsi" w:cstheme="minorHAnsi"/>
          <w:sz w:val="22"/>
          <w:szCs w:val="22"/>
        </w:rPr>
        <w:t xml:space="preserve">(the </w:t>
      </w:r>
      <w:r w:rsidR="00994FE6">
        <w:rPr>
          <w:rFonts w:asciiTheme="minorHAnsi" w:hAnsiTheme="minorHAnsi" w:cstheme="minorHAnsi"/>
          <w:sz w:val="22"/>
          <w:szCs w:val="22"/>
        </w:rPr>
        <w:t>c</w:t>
      </w:r>
      <w:r w:rsidR="00123772" w:rsidRPr="008772C7">
        <w:rPr>
          <w:rFonts w:asciiTheme="minorHAnsi" w:hAnsiTheme="minorHAnsi" w:cstheme="minorHAnsi"/>
          <w:sz w:val="22"/>
          <w:szCs w:val="22"/>
        </w:rPr>
        <w:t>ode)</w:t>
      </w:r>
      <w:r w:rsidR="00CA2F7D">
        <w:rPr>
          <w:rFonts w:asciiTheme="minorHAnsi" w:hAnsiTheme="minorHAnsi" w:cstheme="minorHAnsi"/>
          <w:sz w:val="22"/>
          <w:szCs w:val="22"/>
        </w:rPr>
        <w:t>,</w:t>
      </w:r>
      <w:r w:rsidR="00123772" w:rsidRPr="008772C7">
        <w:rPr>
          <w:rFonts w:asciiTheme="minorHAnsi" w:hAnsiTheme="minorHAnsi" w:cstheme="minorHAnsi"/>
          <w:sz w:val="22"/>
          <w:szCs w:val="22"/>
        </w:rPr>
        <w:t xml:space="preserve"> </w:t>
      </w:r>
      <w:r w:rsidR="00A21A2F">
        <w:rPr>
          <w:rFonts w:asciiTheme="minorHAnsi" w:hAnsiTheme="minorHAnsi" w:cstheme="minorHAnsi"/>
          <w:sz w:val="22"/>
          <w:szCs w:val="22"/>
        </w:rPr>
        <w:t>for the purposes of</w:t>
      </w:r>
      <w:r w:rsidR="00123772" w:rsidRPr="008772C7">
        <w:rPr>
          <w:rFonts w:asciiTheme="minorHAnsi" w:hAnsiTheme="minorHAnsi" w:cstheme="minorHAnsi"/>
          <w:sz w:val="22"/>
          <w:szCs w:val="22"/>
        </w:rPr>
        <w:t xml:space="preserve"> section 51AE of the </w:t>
      </w:r>
      <w:r w:rsidR="00123772" w:rsidRPr="008772C7">
        <w:rPr>
          <w:rFonts w:asciiTheme="minorHAnsi" w:hAnsiTheme="minorHAnsi" w:cstheme="minorHAnsi"/>
          <w:i/>
          <w:iCs/>
          <w:sz w:val="22"/>
          <w:szCs w:val="22"/>
        </w:rPr>
        <w:t xml:space="preserve">Competition and Consumer Act </w:t>
      </w:r>
      <w:r w:rsidR="00123772" w:rsidRPr="008772C7">
        <w:rPr>
          <w:rFonts w:asciiTheme="minorHAnsi" w:hAnsiTheme="minorHAnsi" w:cstheme="minorHAnsi"/>
          <w:i/>
          <w:iCs/>
          <w:color w:val="000000" w:themeColor="text1"/>
          <w:sz w:val="22"/>
          <w:szCs w:val="22"/>
        </w:rPr>
        <w:t xml:space="preserve">2010 </w:t>
      </w:r>
      <w:r w:rsidR="00123772" w:rsidRPr="008772C7">
        <w:rPr>
          <w:rStyle w:val="Advisorytext"/>
          <w:rFonts w:asciiTheme="minorHAnsi" w:hAnsiTheme="minorHAnsi" w:cstheme="minorHAnsi"/>
          <w:color w:val="000000" w:themeColor="text1"/>
          <w:sz w:val="22"/>
          <w:szCs w:val="22"/>
        </w:rPr>
        <w:t>(the Act)</w:t>
      </w:r>
      <w:r w:rsidR="00616475" w:rsidRPr="008772C7">
        <w:rPr>
          <w:rStyle w:val="Advisorytext"/>
          <w:rFonts w:asciiTheme="minorHAnsi" w:hAnsiTheme="minorHAnsi" w:cstheme="minorHAnsi"/>
          <w:color w:val="000000" w:themeColor="text1"/>
          <w:sz w:val="22"/>
          <w:szCs w:val="22"/>
        </w:rPr>
        <w:t xml:space="preserve">. The </w:t>
      </w:r>
      <w:r w:rsidR="00994FE6">
        <w:rPr>
          <w:rStyle w:val="Advisorytext"/>
          <w:rFonts w:asciiTheme="minorHAnsi" w:hAnsiTheme="minorHAnsi" w:cstheme="minorHAnsi"/>
          <w:color w:val="000000" w:themeColor="text1"/>
          <w:sz w:val="22"/>
          <w:szCs w:val="22"/>
        </w:rPr>
        <w:t>c</w:t>
      </w:r>
      <w:r w:rsidR="00616475" w:rsidRPr="008772C7">
        <w:rPr>
          <w:rStyle w:val="Advisorytext"/>
          <w:rFonts w:asciiTheme="minorHAnsi" w:hAnsiTheme="minorHAnsi" w:cstheme="minorHAnsi"/>
          <w:color w:val="000000" w:themeColor="text1"/>
          <w:sz w:val="22"/>
          <w:szCs w:val="22"/>
        </w:rPr>
        <w:t>ode</w:t>
      </w:r>
      <w:r w:rsidR="00F86162" w:rsidRPr="00F86162">
        <w:rPr>
          <w:rFonts w:asciiTheme="minorHAnsi" w:hAnsiTheme="minorHAnsi" w:cstheme="minorHAnsi"/>
          <w:color w:val="000000" w:themeColor="text1"/>
          <w:sz w:val="22"/>
          <w:szCs w:val="22"/>
        </w:rPr>
        <w:t xml:space="preserve"> </w:t>
      </w:r>
      <w:r w:rsidR="2ACF64FD" w:rsidRPr="008772C7">
        <w:rPr>
          <w:rFonts w:asciiTheme="minorHAnsi" w:hAnsiTheme="minorHAnsi" w:cstheme="minorHAnsi"/>
          <w:color w:val="000000" w:themeColor="text1"/>
          <w:sz w:val="22"/>
          <w:szCs w:val="22"/>
        </w:rPr>
        <w:t>is</w:t>
      </w:r>
      <w:r w:rsidR="007249DA" w:rsidRPr="008772C7">
        <w:rPr>
          <w:rFonts w:asciiTheme="minorHAnsi" w:hAnsiTheme="minorHAnsi" w:cstheme="minorHAnsi"/>
          <w:color w:val="000000" w:themeColor="text1"/>
          <w:sz w:val="22"/>
          <w:szCs w:val="22"/>
        </w:rPr>
        <w:t xml:space="preserve"> </w:t>
      </w:r>
      <w:r w:rsidR="00AF7FAB" w:rsidRPr="008772C7">
        <w:rPr>
          <w:rFonts w:asciiTheme="minorHAnsi" w:hAnsiTheme="minorHAnsi" w:cstheme="minorHAnsi"/>
          <w:color w:val="000000" w:themeColor="text1"/>
          <w:sz w:val="22"/>
          <w:szCs w:val="22"/>
        </w:rPr>
        <w:t xml:space="preserve">an </w:t>
      </w:r>
      <w:r w:rsidR="00AF7FAB" w:rsidRPr="00123772">
        <w:rPr>
          <w:rFonts w:asciiTheme="minorHAnsi" w:hAnsiTheme="minorHAnsi" w:cstheme="minorHAnsi"/>
          <w:sz w:val="22"/>
          <w:szCs w:val="22"/>
        </w:rPr>
        <w:t xml:space="preserve">industry code </w:t>
      </w:r>
      <w:r w:rsidR="00277CE2" w:rsidRPr="00123772">
        <w:rPr>
          <w:rFonts w:asciiTheme="minorHAnsi" w:hAnsiTheme="minorHAnsi" w:cstheme="minorHAnsi"/>
          <w:sz w:val="22"/>
          <w:szCs w:val="22"/>
        </w:rPr>
        <w:t>that</w:t>
      </w:r>
      <w:r w:rsidR="00535361" w:rsidRPr="00123772">
        <w:rPr>
          <w:rFonts w:asciiTheme="minorHAnsi" w:hAnsiTheme="minorHAnsi" w:cstheme="minorHAnsi"/>
          <w:sz w:val="22"/>
          <w:szCs w:val="22"/>
        </w:rPr>
        <w:t xml:space="preserve"> is intended to ensure that exporters of bulk wheat have fair and transparent access to port terminal services</w:t>
      </w:r>
      <w:r w:rsidR="00F92E73" w:rsidRPr="00123772">
        <w:rPr>
          <w:rFonts w:asciiTheme="minorHAnsi" w:hAnsiTheme="minorHAnsi" w:cstheme="minorHAnsi"/>
          <w:sz w:val="22"/>
          <w:szCs w:val="22"/>
        </w:rPr>
        <w:t>.</w:t>
      </w:r>
      <w:r w:rsidR="00277CE2" w:rsidRPr="00123772">
        <w:rPr>
          <w:rFonts w:asciiTheme="minorHAnsi" w:hAnsiTheme="minorHAnsi" w:cstheme="minorHAnsi"/>
          <w:sz w:val="22"/>
          <w:szCs w:val="22"/>
        </w:rPr>
        <w:t xml:space="preserve"> The</w:t>
      </w:r>
      <w:r w:rsidR="00D415A2" w:rsidRPr="689FF284">
        <w:rPr>
          <w:rFonts w:asciiTheme="minorHAnsi" w:hAnsiTheme="minorHAnsi" w:cstheme="minorBidi"/>
          <w:sz w:val="22"/>
          <w:szCs w:val="22"/>
        </w:rPr>
        <w:t xml:space="preserve"> </w:t>
      </w:r>
      <w:r w:rsidR="00994FE6">
        <w:rPr>
          <w:rFonts w:asciiTheme="minorHAnsi" w:hAnsiTheme="minorHAnsi" w:cstheme="minorBidi"/>
          <w:sz w:val="22"/>
          <w:szCs w:val="22"/>
        </w:rPr>
        <w:t>c</w:t>
      </w:r>
      <w:r w:rsidR="00D415A2" w:rsidRPr="689FF284">
        <w:rPr>
          <w:rFonts w:asciiTheme="minorHAnsi" w:hAnsiTheme="minorHAnsi" w:cstheme="minorBidi"/>
          <w:sz w:val="22"/>
          <w:szCs w:val="22"/>
        </w:rPr>
        <w:t>ode</w:t>
      </w:r>
      <w:r w:rsidRPr="689FF284">
        <w:rPr>
          <w:rFonts w:asciiTheme="minorHAnsi" w:hAnsiTheme="minorHAnsi" w:cstheme="minorBidi"/>
          <w:sz w:val="22"/>
          <w:szCs w:val="22"/>
        </w:rPr>
        <w:t xml:space="preserve"> was introduced in 2014 to regulate the </w:t>
      </w:r>
      <w:r w:rsidR="00434E1A" w:rsidRPr="689FF284">
        <w:rPr>
          <w:rFonts w:asciiTheme="minorHAnsi" w:hAnsiTheme="minorHAnsi" w:cstheme="minorBidi"/>
          <w:sz w:val="22"/>
          <w:szCs w:val="22"/>
        </w:rPr>
        <w:t xml:space="preserve">conduct of </w:t>
      </w:r>
      <w:r w:rsidR="00D415A2" w:rsidRPr="689FF284">
        <w:rPr>
          <w:rFonts w:asciiTheme="minorHAnsi" w:hAnsiTheme="minorHAnsi" w:cstheme="minorBidi"/>
          <w:sz w:val="22"/>
          <w:szCs w:val="22"/>
        </w:rPr>
        <w:t>port terminal service providers (</w:t>
      </w:r>
      <w:r w:rsidR="00434E1A" w:rsidRPr="689FF284">
        <w:rPr>
          <w:rFonts w:asciiTheme="minorHAnsi" w:hAnsiTheme="minorHAnsi" w:cstheme="minorBidi"/>
          <w:sz w:val="22"/>
          <w:szCs w:val="22"/>
        </w:rPr>
        <w:t>PTSP</w:t>
      </w:r>
      <w:r w:rsidR="00063778" w:rsidRPr="689FF284">
        <w:rPr>
          <w:rFonts w:asciiTheme="minorHAnsi" w:hAnsiTheme="minorHAnsi" w:cstheme="minorBidi"/>
          <w:sz w:val="22"/>
          <w:szCs w:val="22"/>
        </w:rPr>
        <w:t>s</w:t>
      </w:r>
      <w:r w:rsidR="00D415A2" w:rsidRPr="689FF284">
        <w:rPr>
          <w:rFonts w:asciiTheme="minorHAnsi" w:hAnsiTheme="minorHAnsi" w:cstheme="minorBidi"/>
          <w:sz w:val="22"/>
          <w:szCs w:val="22"/>
        </w:rPr>
        <w:t>)</w:t>
      </w:r>
      <w:r w:rsidR="00C72EBD" w:rsidRPr="689FF284">
        <w:rPr>
          <w:rFonts w:asciiTheme="minorHAnsi" w:hAnsiTheme="minorHAnsi" w:cstheme="minorBidi"/>
          <w:sz w:val="22"/>
          <w:szCs w:val="22"/>
        </w:rPr>
        <w:t xml:space="preserve"> to </w:t>
      </w:r>
      <w:r w:rsidR="00434E1A" w:rsidRPr="689FF284">
        <w:rPr>
          <w:rFonts w:asciiTheme="minorHAnsi" w:hAnsiTheme="minorHAnsi" w:cstheme="minorBidi"/>
          <w:sz w:val="22"/>
          <w:szCs w:val="22"/>
        </w:rPr>
        <w:t xml:space="preserve">ensure that exporters of bulk wheat </w:t>
      </w:r>
      <w:r w:rsidR="00F542B4" w:rsidRPr="689FF284">
        <w:rPr>
          <w:rFonts w:asciiTheme="minorHAnsi" w:hAnsiTheme="minorHAnsi" w:cstheme="minorBidi"/>
          <w:sz w:val="22"/>
          <w:szCs w:val="22"/>
        </w:rPr>
        <w:t>ha</w:t>
      </w:r>
      <w:r w:rsidR="00DE5CB4" w:rsidRPr="689FF284">
        <w:rPr>
          <w:rFonts w:asciiTheme="minorHAnsi" w:hAnsiTheme="minorHAnsi" w:cstheme="minorBidi"/>
          <w:sz w:val="22"/>
          <w:szCs w:val="22"/>
        </w:rPr>
        <w:t>d</w:t>
      </w:r>
      <w:r w:rsidR="00F542B4" w:rsidRPr="689FF284">
        <w:rPr>
          <w:rFonts w:asciiTheme="minorHAnsi" w:hAnsiTheme="minorHAnsi" w:cstheme="minorBidi"/>
          <w:sz w:val="22"/>
          <w:szCs w:val="22"/>
        </w:rPr>
        <w:t xml:space="preserve"> </w:t>
      </w:r>
      <w:r w:rsidR="00434E1A" w:rsidRPr="689FF284">
        <w:rPr>
          <w:rFonts w:asciiTheme="minorHAnsi" w:hAnsiTheme="minorHAnsi" w:cstheme="minorBidi"/>
          <w:sz w:val="22"/>
          <w:szCs w:val="22"/>
        </w:rPr>
        <w:t>fair and transparent access to port terminal services.</w:t>
      </w:r>
    </w:p>
    <w:p w14:paraId="526F4EA8" w14:textId="2B26A694" w:rsidR="00480846" w:rsidRPr="001A1F55" w:rsidRDefault="00480846" w:rsidP="025A5E17">
      <w:pPr>
        <w:spacing w:after="120" w:line="276" w:lineRule="auto"/>
        <w:rPr>
          <w:rFonts w:asciiTheme="minorHAnsi" w:hAnsiTheme="minorHAnsi" w:cstheme="minorBidi"/>
          <w:sz w:val="22"/>
          <w:szCs w:val="22"/>
        </w:rPr>
      </w:pPr>
      <w:r w:rsidRPr="025A5E17">
        <w:rPr>
          <w:rFonts w:asciiTheme="minorHAnsi" w:hAnsiTheme="minorHAnsi" w:cstheme="minorBidi"/>
          <w:sz w:val="22"/>
          <w:szCs w:val="22"/>
        </w:rPr>
        <w:t>In</w:t>
      </w:r>
      <w:r w:rsidR="009C26C4" w:rsidRPr="025A5E17">
        <w:rPr>
          <w:rFonts w:asciiTheme="minorHAnsi" w:hAnsiTheme="minorHAnsi" w:cstheme="minorBidi"/>
          <w:sz w:val="22"/>
          <w:szCs w:val="22"/>
        </w:rPr>
        <w:t xml:space="preserve"> November</w:t>
      </w:r>
      <w:r w:rsidRPr="025A5E17">
        <w:rPr>
          <w:rFonts w:asciiTheme="minorHAnsi" w:hAnsiTheme="minorHAnsi" w:cstheme="minorBidi"/>
          <w:sz w:val="22"/>
          <w:szCs w:val="22"/>
        </w:rPr>
        <w:t xml:space="preserve"> 2023</w:t>
      </w:r>
      <w:r w:rsidR="1C11D36D" w:rsidRPr="025A5E17">
        <w:rPr>
          <w:rFonts w:asciiTheme="minorHAnsi" w:hAnsiTheme="minorHAnsi" w:cstheme="minorBidi"/>
          <w:sz w:val="22"/>
          <w:szCs w:val="22"/>
        </w:rPr>
        <w:t>,</w:t>
      </w:r>
      <w:r w:rsidRPr="025A5E17">
        <w:rPr>
          <w:rFonts w:asciiTheme="minorHAnsi" w:hAnsiTheme="minorHAnsi" w:cstheme="minorBidi"/>
          <w:sz w:val="22"/>
          <w:szCs w:val="22"/>
        </w:rPr>
        <w:t xml:space="preserve"> the Department of Agriculture, Fisheries and Forestry commenced the second review of the </w:t>
      </w:r>
      <w:r w:rsidR="00994FE6">
        <w:rPr>
          <w:rFonts w:asciiTheme="minorHAnsi" w:hAnsiTheme="minorHAnsi" w:cstheme="minorBidi"/>
          <w:sz w:val="22"/>
          <w:szCs w:val="22"/>
        </w:rPr>
        <w:t>c</w:t>
      </w:r>
      <w:r w:rsidRPr="025A5E17">
        <w:rPr>
          <w:rFonts w:asciiTheme="minorHAnsi" w:hAnsiTheme="minorHAnsi" w:cstheme="minorBidi"/>
          <w:sz w:val="22"/>
          <w:szCs w:val="22"/>
        </w:rPr>
        <w:t xml:space="preserve">ode. With the </w:t>
      </w:r>
      <w:r w:rsidR="00994FE6">
        <w:rPr>
          <w:rFonts w:asciiTheme="minorHAnsi" w:hAnsiTheme="minorHAnsi" w:cstheme="minorBidi"/>
          <w:sz w:val="22"/>
          <w:szCs w:val="22"/>
        </w:rPr>
        <w:t>c</w:t>
      </w:r>
      <w:r w:rsidRPr="025A5E17">
        <w:rPr>
          <w:rFonts w:asciiTheme="minorHAnsi" w:hAnsiTheme="minorHAnsi" w:cstheme="minorBidi"/>
          <w:sz w:val="22"/>
          <w:szCs w:val="22"/>
        </w:rPr>
        <w:t>ode sunset</w:t>
      </w:r>
      <w:r w:rsidR="00DE5CB4">
        <w:rPr>
          <w:rFonts w:asciiTheme="minorHAnsi" w:hAnsiTheme="minorHAnsi" w:cstheme="minorBidi"/>
          <w:sz w:val="22"/>
          <w:szCs w:val="22"/>
        </w:rPr>
        <w:t>ting</w:t>
      </w:r>
      <w:r w:rsidRPr="025A5E17">
        <w:rPr>
          <w:rFonts w:asciiTheme="minorHAnsi" w:hAnsiTheme="minorHAnsi" w:cstheme="minorBidi"/>
          <w:sz w:val="22"/>
          <w:szCs w:val="22"/>
        </w:rPr>
        <w:t xml:space="preserve"> on 1 October 2026, th</w:t>
      </w:r>
      <w:r w:rsidR="00941F24">
        <w:rPr>
          <w:rFonts w:asciiTheme="minorHAnsi" w:hAnsiTheme="minorHAnsi" w:cstheme="minorBidi"/>
          <w:sz w:val="22"/>
          <w:szCs w:val="22"/>
        </w:rPr>
        <w:t xml:space="preserve">e second </w:t>
      </w:r>
      <w:r w:rsidRPr="025A5E17">
        <w:rPr>
          <w:rFonts w:asciiTheme="minorHAnsi" w:hAnsiTheme="minorHAnsi" w:cstheme="minorBidi"/>
          <w:sz w:val="22"/>
          <w:szCs w:val="22"/>
        </w:rPr>
        <w:t xml:space="preserve">review was </w:t>
      </w:r>
      <w:r w:rsidR="0A51A94C" w:rsidRPr="46D10107">
        <w:rPr>
          <w:rFonts w:asciiTheme="minorHAnsi" w:hAnsiTheme="minorHAnsi" w:cstheme="minorBidi"/>
          <w:sz w:val="22"/>
          <w:szCs w:val="22"/>
        </w:rPr>
        <w:t>also</w:t>
      </w:r>
      <w:r w:rsidRPr="46D10107">
        <w:rPr>
          <w:rFonts w:asciiTheme="minorHAnsi" w:hAnsiTheme="minorHAnsi" w:cstheme="minorBidi"/>
          <w:sz w:val="22"/>
          <w:szCs w:val="22"/>
        </w:rPr>
        <w:t xml:space="preserve"> </w:t>
      </w:r>
      <w:r w:rsidRPr="025A5E17">
        <w:rPr>
          <w:rFonts w:asciiTheme="minorHAnsi" w:hAnsiTheme="minorHAnsi" w:cstheme="minorBidi"/>
          <w:sz w:val="22"/>
          <w:szCs w:val="22"/>
        </w:rPr>
        <w:t>designed to</w:t>
      </w:r>
      <w:r w:rsidR="650D0377" w:rsidRPr="025A5E17">
        <w:rPr>
          <w:rFonts w:asciiTheme="minorHAnsi" w:hAnsiTheme="minorHAnsi" w:cstheme="minorBidi"/>
          <w:sz w:val="22"/>
          <w:szCs w:val="22"/>
        </w:rPr>
        <w:t xml:space="preserve"> both</w:t>
      </w:r>
      <w:r w:rsidRPr="025A5E17">
        <w:rPr>
          <w:rFonts w:asciiTheme="minorHAnsi" w:hAnsiTheme="minorHAnsi" w:cstheme="minorBidi"/>
          <w:sz w:val="22"/>
          <w:szCs w:val="22"/>
        </w:rPr>
        <w:t xml:space="preserve"> inform the Government’s decision </w:t>
      </w:r>
      <w:r w:rsidR="01D75BF7" w:rsidRPr="025A5E17">
        <w:rPr>
          <w:rFonts w:asciiTheme="minorHAnsi" w:hAnsiTheme="minorHAnsi" w:cstheme="minorBidi"/>
          <w:sz w:val="22"/>
          <w:szCs w:val="22"/>
        </w:rPr>
        <w:t xml:space="preserve">on the </w:t>
      </w:r>
      <w:r w:rsidR="00994FE6">
        <w:rPr>
          <w:rFonts w:asciiTheme="minorHAnsi" w:hAnsiTheme="minorHAnsi" w:cstheme="minorBidi"/>
          <w:sz w:val="22"/>
          <w:szCs w:val="22"/>
        </w:rPr>
        <w:t>c</w:t>
      </w:r>
      <w:r w:rsidR="01D75BF7" w:rsidRPr="025A5E17">
        <w:rPr>
          <w:rFonts w:asciiTheme="minorHAnsi" w:hAnsiTheme="minorHAnsi" w:cstheme="minorBidi"/>
          <w:sz w:val="22"/>
          <w:szCs w:val="22"/>
        </w:rPr>
        <w:t xml:space="preserve">ode’s fitness for purpose </w:t>
      </w:r>
      <w:r w:rsidRPr="025A5E17">
        <w:rPr>
          <w:rFonts w:asciiTheme="minorHAnsi" w:hAnsiTheme="minorHAnsi" w:cstheme="minorBidi"/>
          <w:sz w:val="22"/>
          <w:szCs w:val="22"/>
        </w:rPr>
        <w:t xml:space="preserve">and to satisfy the requirement that the </w:t>
      </w:r>
      <w:r w:rsidR="00994FE6">
        <w:rPr>
          <w:rFonts w:asciiTheme="minorHAnsi" w:hAnsiTheme="minorHAnsi" w:cstheme="minorBidi"/>
          <w:sz w:val="22"/>
          <w:szCs w:val="22"/>
        </w:rPr>
        <w:t>c</w:t>
      </w:r>
      <w:r w:rsidRPr="025A5E17">
        <w:rPr>
          <w:rFonts w:asciiTheme="minorHAnsi" w:hAnsiTheme="minorHAnsi" w:cstheme="minorBidi"/>
          <w:sz w:val="22"/>
          <w:szCs w:val="22"/>
        </w:rPr>
        <w:t>ode be periodically reviewed. The purpose of the review was to broadly determine:</w:t>
      </w:r>
    </w:p>
    <w:p w14:paraId="132973E0" w14:textId="6DAB6E88" w:rsidR="00480846" w:rsidRPr="001A1F55" w:rsidRDefault="00480846" w:rsidP="00A54BED">
      <w:pPr>
        <w:pStyle w:val="ListBullet"/>
        <w:rPr>
          <w:rFonts w:cstheme="minorHAnsi"/>
        </w:rPr>
      </w:pPr>
      <w:r w:rsidRPr="025A5E17">
        <w:t xml:space="preserve">What effect has the </w:t>
      </w:r>
      <w:r w:rsidR="00994FE6">
        <w:t>c</w:t>
      </w:r>
      <w:r w:rsidRPr="025A5E17">
        <w:t>ode had?</w:t>
      </w:r>
    </w:p>
    <w:p w14:paraId="384F20FB" w14:textId="24523D45" w:rsidR="00480846" w:rsidRPr="001A1F55" w:rsidRDefault="00480846" w:rsidP="00A54BED">
      <w:pPr>
        <w:pStyle w:val="ListBullet"/>
        <w:rPr>
          <w:rFonts w:cstheme="minorHAnsi"/>
        </w:rPr>
      </w:pPr>
      <w:r w:rsidRPr="001A1F55">
        <w:rPr>
          <w:rFonts w:cstheme="minorHAnsi"/>
        </w:rPr>
        <w:t>I</w:t>
      </w:r>
      <w:r w:rsidR="003E7127">
        <w:rPr>
          <w:rFonts w:cstheme="minorHAnsi"/>
        </w:rPr>
        <w:t>f</w:t>
      </w:r>
      <w:r w:rsidRPr="001A1F55">
        <w:rPr>
          <w:rFonts w:cstheme="minorHAnsi"/>
        </w:rPr>
        <w:t xml:space="preserve"> the </w:t>
      </w:r>
      <w:r w:rsidR="00994FE6">
        <w:rPr>
          <w:rFonts w:cstheme="minorHAnsi"/>
        </w:rPr>
        <w:t>c</w:t>
      </w:r>
      <w:r w:rsidRPr="001A1F55">
        <w:rPr>
          <w:rFonts w:cstheme="minorHAnsi"/>
        </w:rPr>
        <w:t xml:space="preserve">ode </w:t>
      </w:r>
      <w:r w:rsidR="00E21FF4">
        <w:rPr>
          <w:rFonts w:cstheme="minorHAnsi"/>
        </w:rPr>
        <w:t>is</w:t>
      </w:r>
      <w:r w:rsidRPr="001A1F55">
        <w:rPr>
          <w:rFonts w:cstheme="minorHAnsi"/>
        </w:rPr>
        <w:t xml:space="preserve"> still necessary?</w:t>
      </w:r>
    </w:p>
    <w:p w14:paraId="4EB11766" w14:textId="21DB5084" w:rsidR="00480846" w:rsidRPr="001A1F55" w:rsidRDefault="00480846" w:rsidP="00A54BED">
      <w:pPr>
        <w:pStyle w:val="ListBullet"/>
        <w:rPr>
          <w:rFonts w:cstheme="minorHAnsi"/>
        </w:rPr>
      </w:pPr>
      <w:r w:rsidRPr="025A5E17">
        <w:t xml:space="preserve">If it is still necessary, could the </w:t>
      </w:r>
      <w:r w:rsidR="00994FE6">
        <w:t>c</w:t>
      </w:r>
      <w:r w:rsidRPr="025A5E17">
        <w:t>ode be improved?</w:t>
      </w:r>
    </w:p>
    <w:p w14:paraId="550A8EE5" w14:textId="77777777" w:rsidR="00BB14FD" w:rsidRDefault="00BB14FD">
      <w:pPr>
        <w:spacing w:after="160" w:line="259" w:lineRule="auto"/>
        <w:rPr>
          <w:rFonts w:asciiTheme="minorHAnsi" w:hAnsiTheme="minorHAnsi" w:cstheme="minorBidi"/>
          <w:sz w:val="22"/>
          <w:szCs w:val="22"/>
        </w:rPr>
      </w:pPr>
      <w:bookmarkStart w:id="0" w:name="_Hlk205374006"/>
      <w:r>
        <w:rPr>
          <w:rFonts w:asciiTheme="minorHAnsi" w:hAnsiTheme="minorHAnsi" w:cstheme="minorBidi"/>
          <w:sz w:val="22"/>
          <w:szCs w:val="22"/>
        </w:rPr>
        <w:br w:type="page"/>
      </w:r>
    </w:p>
    <w:p w14:paraId="7C3B782B" w14:textId="3FF3563D" w:rsidR="00BB14FD" w:rsidRPr="001D0563" w:rsidRDefault="00E82108" w:rsidP="001D0563">
      <w:pPr>
        <w:pStyle w:val="Heading3"/>
        <w:numPr>
          <w:ilvl w:val="0"/>
          <w:numId w:val="0"/>
        </w:numPr>
        <w:spacing w:after="120"/>
        <w:ind w:left="964" w:hanging="964"/>
        <w:rPr>
          <w:rFonts w:asciiTheme="minorHAnsi" w:hAnsiTheme="minorHAnsi" w:cstheme="minorHAnsi"/>
          <w:color w:val="000000"/>
        </w:rPr>
      </w:pPr>
      <w:r>
        <w:rPr>
          <w:rFonts w:asciiTheme="minorHAnsi" w:hAnsiTheme="minorHAnsi" w:cstheme="minorHAnsi"/>
          <w:color w:val="000000"/>
        </w:rPr>
        <w:lastRenderedPageBreak/>
        <w:t xml:space="preserve">Response to </w:t>
      </w:r>
      <w:r w:rsidR="00BB14FD" w:rsidRPr="001D0563">
        <w:rPr>
          <w:rFonts w:asciiTheme="minorHAnsi" w:hAnsiTheme="minorHAnsi" w:cstheme="minorHAnsi"/>
          <w:color w:val="000000"/>
        </w:rPr>
        <w:t>Review’s finding</w:t>
      </w:r>
      <w:r w:rsidR="002A05A4">
        <w:rPr>
          <w:rFonts w:asciiTheme="minorHAnsi" w:hAnsiTheme="minorHAnsi" w:cstheme="minorHAnsi"/>
          <w:color w:val="000000"/>
        </w:rPr>
        <w:t>s</w:t>
      </w:r>
    </w:p>
    <w:p w14:paraId="610B5EDF" w14:textId="7AEBDB6A" w:rsidR="00BB14FD" w:rsidRDefault="00480846" w:rsidP="62E3C75B">
      <w:pPr>
        <w:spacing w:after="120" w:line="276" w:lineRule="auto"/>
        <w:rPr>
          <w:rFonts w:asciiTheme="minorHAnsi" w:hAnsiTheme="minorHAnsi" w:cstheme="minorBidi"/>
          <w:sz w:val="22"/>
          <w:szCs w:val="22"/>
        </w:rPr>
      </w:pPr>
      <w:r w:rsidRPr="025A5E17">
        <w:rPr>
          <w:rFonts w:asciiTheme="minorHAnsi" w:hAnsiTheme="minorHAnsi" w:cstheme="minorBidi"/>
          <w:sz w:val="22"/>
          <w:szCs w:val="22"/>
        </w:rPr>
        <w:t xml:space="preserve">The overall finding of the </w:t>
      </w:r>
      <w:r w:rsidR="00E72459">
        <w:rPr>
          <w:rFonts w:asciiTheme="minorHAnsi" w:hAnsiTheme="minorHAnsi" w:cstheme="minorBidi"/>
          <w:sz w:val="22"/>
          <w:szCs w:val="22"/>
        </w:rPr>
        <w:t xml:space="preserve">second </w:t>
      </w:r>
      <w:r w:rsidRPr="025A5E17">
        <w:rPr>
          <w:rFonts w:asciiTheme="minorHAnsi" w:hAnsiTheme="minorHAnsi" w:cstheme="minorBidi"/>
          <w:sz w:val="22"/>
          <w:szCs w:val="22"/>
        </w:rPr>
        <w:t>review was that the</w:t>
      </w:r>
      <w:r w:rsidR="003E1220">
        <w:rPr>
          <w:rFonts w:asciiTheme="minorHAnsi" w:hAnsiTheme="minorHAnsi" w:cstheme="minorBidi"/>
          <w:sz w:val="22"/>
          <w:szCs w:val="22"/>
        </w:rPr>
        <w:t xml:space="preserve"> </w:t>
      </w:r>
      <w:r w:rsidR="00994FE6">
        <w:rPr>
          <w:rFonts w:asciiTheme="minorHAnsi" w:hAnsiTheme="minorHAnsi" w:cstheme="minorBidi"/>
          <w:sz w:val="22"/>
          <w:szCs w:val="22"/>
        </w:rPr>
        <w:t>c</w:t>
      </w:r>
      <w:r w:rsidRPr="025A5E17">
        <w:rPr>
          <w:rFonts w:asciiTheme="minorHAnsi" w:hAnsiTheme="minorHAnsi" w:cstheme="minorBidi"/>
          <w:sz w:val="22"/>
          <w:szCs w:val="22"/>
        </w:rPr>
        <w:t xml:space="preserve">ode </w:t>
      </w:r>
      <w:r w:rsidR="008323B7">
        <w:rPr>
          <w:rFonts w:asciiTheme="minorHAnsi" w:hAnsiTheme="minorHAnsi" w:cstheme="minorBidi"/>
          <w:sz w:val="22"/>
          <w:szCs w:val="22"/>
        </w:rPr>
        <w:t>in its current form</w:t>
      </w:r>
      <w:r w:rsidRPr="025A5E17">
        <w:rPr>
          <w:rFonts w:asciiTheme="minorHAnsi" w:hAnsiTheme="minorHAnsi" w:cstheme="minorBidi"/>
          <w:sz w:val="22"/>
          <w:szCs w:val="22"/>
        </w:rPr>
        <w:t xml:space="preserve"> is no longer fit for purpose. The review </w:t>
      </w:r>
      <w:r w:rsidR="00BB14FD">
        <w:rPr>
          <w:rFonts w:asciiTheme="minorHAnsi" w:hAnsiTheme="minorHAnsi" w:cstheme="minorBidi"/>
          <w:sz w:val="22"/>
          <w:szCs w:val="22"/>
        </w:rPr>
        <w:t>further found that</w:t>
      </w:r>
      <w:r w:rsidR="001D73BD">
        <w:rPr>
          <w:rFonts w:asciiTheme="minorHAnsi" w:hAnsiTheme="minorHAnsi" w:cstheme="minorBidi"/>
          <w:sz w:val="22"/>
          <w:szCs w:val="22"/>
        </w:rPr>
        <w:t>:</w:t>
      </w:r>
    </w:p>
    <w:p w14:paraId="2B241DF2" w14:textId="130FBEE2" w:rsidR="00BB14FD" w:rsidRPr="00BB14FD" w:rsidRDefault="00BB14FD" w:rsidP="002048A7">
      <w:pPr>
        <w:pStyle w:val="ListParagraph"/>
        <w:numPr>
          <w:ilvl w:val="0"/>
          <w:numId w:val="39"/>
        </w:numPr>
        <w:spacing w:after="120" w:line="276" w:lineRule="auto"/>
        <w:ind w:left="714" w:hanging="357"/>
        <w:contextualSpacing w:val="0"/>
        <w:rPr>
          <w:rFonts w:asciiTheme="minorHAnsi" w:hAnsiTheme="minorHAnsi" w:cstheme="minorBidi"/>
          <w:sz w:val="22"/>
          <w:szCs w:val="22"/>
        </w:rPr>
      </w:pPr>
      <w:r>
        <w:rPr>
          <w:rFonts w:asciiTheme="minorHAnsi" w:hAnsiTheme="minorHAnsi" w:cstheme="minorBidi"/>
          <w:sz w:val="22"/>
          <w:szCs w:val="22"/>
        </w:rPr>
        <w:t>T</w:t>
      </w:r>
      <w:r w:rsidRPr="00BB14FD">
        <w:rPr>
          <w:rFonts w:asciiTheme="minorHAnsi" w:hAnsiTheme="minorHAnsi" w:cstheme="minorBidi"/>
          <w:sz w:val="22"/>
          <w:szCs w:val="22"/>
        </w:rPr>
        <w:t>he national market for port terminal services has changed significantly since 2014, which has resulted in an overall increase in competition between PTSPs.</w:t>
      </w:r>
    </w:p>
    <w:p w14:paraId="239D8556" w14:textId="66E37553" w:rsidR="00BB14FD" w:rsidRPr="00BB14FD" w:rsidRDefault="00BB14FD" w:rsidP="002048A7">
      <w:pPr>
        <w:pStyle w:val="ListParagraph"/>
        <w:numPr>
          <w:ilvl w:val="0"/>
          <w:numId w:val="39"/>
        </w:numPr>
        <w:spacing w:after="120" w:line="276" w:lineRule="auto"/>
        <w:ind w:left="714" w:hanging="357"/>
        <w:contextualSpacing w:val="0"/>
        <w:rPr>
          <w:rFonts w:asciiTheme="minorHAnsi" w:hAnsiTheme="minorHAnsi" w:cstheme="minorBidi"/>
          <w:sz w:val="22"/>
          <w:szCs w:val="22"/>
        </w:rPr>
      </w:pPr>
      <w:r w:rsidRPr="00BB14FD">
        <w:rPr>
          <w:rFonts w:asciiTheme="minorHAnsi" w:hAnsiTheme="minorHAnsi" w:cstheme="minorBidi"/>
          <w:sz w:val="22"/>
          <w:szCs w:val="22"/>
        </w:rPr>
        <w:t xml:space="preserve">Parts 3 to 6 of the </w:t>
      </w:r>
      <w:r w:rsidR="00994FE6">
        <w:rPr>
          <w:rFonts w:asciiTheme="minorHAnsi" w:hAnsiTheme="minorHAnsi" w:cstheme="minorBidi"/>
          <w:sz w:val="22"/>
          <w:szCs w:val="22"/>
        </w:rPr>
        <w:t>c</w:t>
      </w:r>
      <w:r w:rsidRPr="00BB14FD">
        <w:rPr>
          <w:rFonts w:asciiTheme="minorHAnsi" w:hAnsiTheme="minorHAnsi" w:cstheme="minorBidi"/>
          <w:sz w:val="22"/>
          <w:szCs w:val="22"/>
        </w:rPr>
        <w:t xml:space="preserve">ode are the least fit for purpose. </w:t>
      </w:r>
      <w:r w:rsidR="00C81504">
        <w:rPr>
          <w:rFonts w:asciiTheme="minorHAnsi" w:hAnsiTheme="minorHAnsi" w:cstheme="minorBidi"/>
          <w:sz w:val="22"/>
          <w:szCs w:val="22"/>
        </w:rPr>
        <w:t>T</w:t>
      </w:r>
      <w:r w:rsidRPr="00BB14FD">
        <w:rPr>
          <w:rFonts w:asciiTheme="minorHAnsi" w:hAnsiTheme="minorHAnsi" w:cstheme="minorBidi"/>
          <w:sz w:val="22"/>
          <w:szCs w:val="22"/>
        </w:rPr>
        <w:t xml:space="preserve">his part of the </w:t>
      </w:r>
      <w:r w:rsidR="00994FE6">
        <w:rPr>
          <w:rFonts w:asciiTheme="minorHAnsi" w:hAnsiTheme="minorHAnsi" w:cstheme="minorBidi"/>
          <w:sz w:val="22"/>
          <w:szCs w:val="22"/>
        </w:rPr>
        <w:t>c</w:t>
      </w:r>
      <w:r w:rsidRPr="00BB14FD">
        <w:rPr>
          <w:rFonts w:asciiTheme="minorHAnsi" w:hAnsiTheme="minorHAnsi" w:cstheme="minorBidi"/>
          <w:sz w:val="22"/>
          <w:szCs w:val="22"/>
        </w:rPr>
        <w:t xml:space="preserve">ode may be acting as a barrier to new PTSPs entering the market, and this perverse outcome outweighs any benefits to exporters and growers in </w:t>
      </w:r>
      <w:r w:rsidR="004419FB">
        <w:rPr>
          <w:rFonts w:asciiTheme="minorHAnsi" w:hAnsiTheme="minorHAnsi" w:cstheme="minorBidi"/>
          <w:sz w:val="22"/>
          <w:szCs w:val="22"/>
        </w:rPr>
        <w:t>retaining</w:t>
      </w:r>
      <w:r w:rsidRPr="00BB14FD">
        <w:rPr>
          <w:rFonts w:asciiTheme="minorHAnsi" w:hAnsiTheme="minorHAnsi" w:cstheme="minorBidi"/>
          <w:sz w:val="22"/>
          <w:szCs w:val="22"/>
        </w:rPr>
        <w:t xml:space="preserve"> Parts 3 to 6 of the </w:t>
      </w:r>
      <w:r w:rsidR="00994FE6">
        <w:rPr>
          <w:rFonts w:asciiTheme="minorHAnsi" w:hAnsiTheme="minorHAnsi" w:cstheme="minorBidi"/>
          <w:sz w:val="22"/>
          <w:szCs w:val="22"/>
        </w:rPr>
        <w:t>c</w:t>
      </w:r>
      <w:r w:rsidRPr="00BB14FD">
        <w:rPr>
          <w:rFonts w:asciiTheme="minorHAnsi" w:hAnsiTheme="minorHAnsi" w:cstheme="minorBidi"/>
          <w:sz w:val="22"/>
          <w:szCs w:val="22"/>
        </w:rPr>
        <w:t xml:space="preserve">ode. </w:t>
      </w:r>
      <w:r w:rsidR="00010F98">
        <w:rPr>
          <w:rFonts w:asciiTheme="minorHAnsi" w:hAnsiTheme="minorHAnsi" w:cstheme="minorBidi"/>
          <w:sz w:val="22"/>
          <w:szCs w:val="22"/>
        </w:rPr>
        <w:t>L</w:t>
      </w:r>
      <w:r w:rsidRPr="00BB14FD">
        <w:rPr>
          <w:rFonts w:asciiTheme="minorHAnsi" w:hAnsiTheme="minorHAnsi" w:cstheme="minorBidi"/>
          <w:sz w:val="22"/>
          <w:szCs w:val="22"/>
        </w:rPr>
        <w:t xml:space="preserve">ittle evidence has been provided to demonstrate there is a market failure in the wheat export supply chain that would require the retention of these provisions. </w:t>
      </w:r>
    </w:p>
    <w:p w14:paraId="6D110576" w14:textId="39A5709B" w:rsidR="00BB14FD" w:rsidRPr="00BB14FD" w:rsidRDefault="00BB14FD" w:rsidP="002048A7">
      <w:pPr>
        <w:pStyle w:val="ListParagraph"/>
        <w:numPr>
          <w:ilvl w:val="0"/>
          <w:numId w:val="39"/>
        </w:numPr>
        <w:spacing w:after="120" w:line="276" w:lineRule="auto"/>
        <w:ind w:left="714" w:hanging="357"/>
        <w:contextualSpacing w:val="0"/>
        <w:rPr>
          <w:rFonts w:asciiTheme="minorHAnsi" w:hAnsiTheme="minorHAnsi" w:cstheme="minorBidi"/>
          <w:sz w:val="22"/>
          <w:szCs w:val="22"/>
        </w:rPr>
      </w:pPr>
      <w:r>
        <w:rPr>
          <w:rFonts w:asciiTheme="minorHAnsi" w:hAnsiTheme="minorHAnsi" w:cstheme="minorBidi"/>
          <w:sz w:val="22"/>
          <w:szCs w:val="22"/>
        </w:rPr>
        <w:t>T</w:t>
      </w:r>
      <w:r w:rsidRPr="00BB14FD">
        <w:rPr>
          <w:rFonts w:asciiTheme="minorHAnsi" w:hAnsiTheme="minorHAnsi" w:cstheme="minorBidi"/>
          <w:sz w:val="22"/>
          <w:szCs w:val="22"/>
        </w:rPr>
        <w:t xml:space="preserve">he outcomes achieved by Part 2 of the </w:t>
      </w:r>
      <w:r w:rsidR="00994FE6">
        <w:rPr>
          <w:rFonts w:asciiTheme="minorHAnsi" w:hAnsiTheme="minorHAnsi" w:cstheme="minorBidi"/>
          <w:sz w:val="22"/>
          <w:szCs w:val="22"/>
        </w:rPr>
        <w:t>c</w:t>
      </w:r>
      <w:r w:rsidRPr="00BB14FD">
        <w:rPr>
          <w:rFonts w:asciiTheme="minorHAnsi" w:hAnsiTheme="minorHAnsi" w:cstheme="minorBidi"/>
          <w:sz w:val="22"/>
          <w:szCs w:val="22"/>
        </w:rPr>
        <w:t>ode</w:t>
      </w:r>
      <w:r w:rsidR="008E6216">
        <w:rPr>
          <w:rFonts w:asciiTheme="minorHAnsi" w:hAnsiTheme="minorHAnsi" w:cstheme="minorBidi"/>
          <w:sz w:val="22"/>
          <w:szCs w:val="22"/>
        </w:rPr>
        <w:t>,</w:t>
      </w:r>
      <w:r w:rsidRPr="00BB14FD">
        <w:rPr>
          <w:rFonts w:asciiTheme="minorHAnsi" w:hAnsiTheme="minorHAnsi" w:cstheme="minorBidi"/>
          <w:sz w:val="22"/>
          <w:szCs w:val="22"/>
        </w:rPr>
        <w:t xml:space="preserve"> including </w:t>
      </w:r>
      <w:r w:rsidR="008538AF">
        <w:rPr>
          <w:rFonts w:asciiTheme="minorHAnsi" w:hAnsiTheme="minorHAnsi" w:cstheme="minorBidi"/>
          <w:sz w:val="22"/>
          <w:szCs w:val="22"/>
        </w:rPr>
        <w:t>g</w:t>
      </w:r>
      <w:r w:rsidRPr="00BB14FD">
        <w:rPr>
          <w:rFonts w:asciiTheme="minorHAnsi" w:hAnsiTheme="minorHAnsi" w:cstheme="minorBidi"/>
          <w:sz w:val="22"/>
          <w:szCs w:val="22"/>
        </w:rPr>
        <w:t xml:space="preserve">ood </w:t>
      </w:r>
      <w:r w:rsidR="008538AF">
        <w:rPr>
          <w:rFonts w:asciiTheme="minorHAnsi" w:hAnsiTheme="minorHAnsi" w:cstheme="minorBidi"/>
          <w:sz w:val="22"/>
          <w:szCs w:val="22"/>
        </w:rPr>
        <w:t>f</w:t>
      </w:r>
      <w:r w:rsidRPr="00BB14FD">
        <w:rPr>
          <w:rFonts w:asciiTheme="minorHAnsi" w:hAnsiTheme="minorHAnsi" w:cstheme="minorBidi"/>
          <w:sz w:val="22"/>
          <w:szCs w:val="22"/>
        </w:rPr>
        <w:t xml:space="preserve">aith and the provision of information through port loading statements, port loading protocols, and standard terms and reference prices, provide a </w:t>
      </w:r>
      <w:bookmarkStart w:id="1" w:name="_Hlk216442894"/>
      <w:r w:rsidRPr="00BB14FD">
        <w:rPr>
          <w:rFonts w:asciiTheme="minorHAnsi" w:hAnsiTheme="minorHAnsi" w:cstheme="minorBidi"/>
          <w:sz w:val="22"/>
          <w:szCs w:val="22"/>
        </w:rPr>
        <w:t>positive benefit to the wheat export industry.</w:t>
      </w:r>
      <w:bookmarkEnd w:id="1"/>
    </w:p>
    <w:p w14:paraId="71B05BBF" w14:textId="44F2030F" w:rsidR="00BB14FD" w:rsidRPr="002048A7" w:rsidRDefault="00BB14FD" w:rsidP="002048A7">
      <w:pPr>
        <w:pStyle w:val="ListParagraph"/>
        <w:numPr>
          <w:ilvl w:val="0"/>
          <w:numId w:val="39"/>
        </w:numPr>
        <w:spacing w:after="120" w:line="276" w:lineRule="auto"/>
        <w:ind w:left="714" w:hanging="357"/>
        <w:contextualSpacing w:val="0"/>
        <w:rPr>
          <w:rFonts w:asciiTheme="minorHAnsi" w:hAnsiTheme="minorHAnsi" w:cstheme="minorBidi"/>
          <w:sz w:val="22"/>
          <w:szCs w:val="22"/>
        </w:rPr>
      </w:pPr>
      <w:r w:rsidRPr="00BB14FD">
        <w:rPr>
          <w:rFonts w:asciiTheme="minorHAnsi" w:hAnsiTheme="minorHAnsi" w:cstheme="minorBidi"/>
          <w:sz w:val="22"/>
          <w:szCs w:val="22"/>
        </w:rPr>
        <w:t xml:space="preserve">There is some evidence </w:t>
      </w:r>
      <w:r w:rsidR="00B768E7">
        <w:rPr>
          <w:rFonts w:asciiTheme="minorHAnsi" w:hAnsiTheme="minorHAnsi" w:cstheme="minorBidi"/>
          <w:sz w:val="22"/>
          <w:szCs w:val="22"/>
        </w:rPr>
        <w:t xml:space="preserve">that </w:t>
      </w:r>
      <w:r w:rsidRPr="00BB14FD">
        <w:rPr>
          <w:rFonts w:asciiTheme="minorHAnsi" w:hAnsiTheme="minorHAnsi" w:cstheme="minorBidi"/>
          <w:sz w:val="22"/>
          <w:szCs w:val="22"/>
        </w:rPr>
        <w:t xml:space="preserve">a mechanism is required to ensure PTSPs continue to undertake practices such as publishing port loading statements. </w:t>
      </w:r>
      <w:r w:rsidR="04BB45EC" w:rsidRPr="58FDA573">
        <w:rPr>
          <w:rFonts w:asciiTheme="minorHAnsi" w:hAnsiTheme="minorHAnsi" w:cstheme="minorBidi"/>
          <w:sz w:val="22"/>
          <w:szCs w:val="22"/>
        </w:rPr>
        <w:t xml:space="preserve">The </w:t>
      </w:r>
      <w:r w:rsidR="00E14AFF">
        <w:rPr>
          <w:rFonts w:asciiTheme="minorHAnsi" w:hAnsiTheme="minorHAnsi" w:cstheme="minorBidi"/>
          <w:sz w:val="22"/>
          <w:szCs w:val="22"/>
        </w:rPr>
        <w:t>r</w:t>
      </w:r>
      <w:r w:rsidR="0027015F">
        <w:rPr>
          <w:rFonts w:asciiTheme="minorHAnsi" w:hAnsiTheme="minorHAnsi" w:cstheme="minorBidi"/>
          <w:sz w:val="22"/>
          <w:szCs w:val="22"/>
        </w:rPr>
        <w:t>eview</w:t>
      </w:r>
      <w:r w:rsidRPr="00BB14FD">
        <w:rPr>
          <w:rFonts w:asciiTheme="minorHAnsi" w:hAnsiTheme="minorHAnsi" w:cstheme="minorBidi"/>
          <w:sz w:val="22"/>
          <w:szCs w:val="22"/>
        </w:rPr>
        <w:t xml:space="preserve"> did not however find sufficient evidence to establish this can only be done by continuation of the </w:t>
      </w:r>
      <w:r w:rsidR="00994FE6">
        <w:rPr>
          <w:rFonts w:asciiTheme="minorHAnsi" w:hAnsiTheme="minorHAnsi" w:cstheme="minorBidi"/>
          <w:sz w:val="22"/>
          <w:szCs w:val="22"/>
        </w:rPr>
        <w:t>c</w:t>
      </w:r>
      <w:r w:rsidRPr="00BB14FD">
        <w:rPr>
          <w:rFonts w:asciiTheme="minorHAnsi" w:hAnsiTheme="minorHAnsi" w:cstheme="minorBidi"/>
          <w:sz w:val="22"/>
          <w:szCs w:val="22"/>
        </w:rPr>
        <w:t>ode, rather than through industry self</w:t>
      </w:r>
      <w:r w:rsidR="00F537FC">
        <w:rPr>
          <w:rFonts w:asciiTheme="minorHAnsi" w:hAnsiTheme="minorHAnsi" w:cstheme="minorBidi"/>
          <w:sz w:val="22"/>
          <w:szCs w:val="22"/>
        </w:rPr>
        <w:t>-</w:t>
      </w:r>
      <w:r w:rsidRPr="00BB14FD">
        <w:rPr>
          <w:rFonts w:asciiTheme="minorHAnsi" w:hAnsiTheme="minorHAnsi" w:cstheme="minorBidi"/>
          <w:sz w:val="22"/>
          <w:szCs w:val="22"/>
        </w:rPr>
        <w:t>regulation.</w:t>
      </w:r>
    </w:p>
    <w:p w14:paraId="27683893" w14:textId="44A77F04" w:rsidR="006544EC" w:rsidRDefault="00BB14FD" w:rsidP="62E3C75B">
      <w:pPr>
        <w:spacing w:after="120" w:line="276" w:lineRule="auto"/>
        <w:rPr>
          <w:rFonts w:asciiTheme="minorHAnsi" w:eastAsia="Calibri" w:hAnsiTheme="minorHAnsi" w:cstheme="minorBidi"/>
          <w:sz w:val="22"/>
          <w:szCs w:val="22"/>
        </w:rPr>
      </w:pPr>
      <w:r>
        <w:rPr>
          <w:rFonts w:asciiTheme="minorHAnsi" w:hAnsiTheme="minorHAnsi" w:cstheme="minorBidi"/>
          <w:sz w:val="22"/>
          <w:szCs w:val="22"/>
        </w:rPr>
        <w:t xml:space="preserve">The </w:t>
      </w:r>
      <w:r w:rsidR="1AD0A7F5" w:rsidRPr="58FDA573">
        <w:rPr>
          <w:rFonts w:asciiTheme="minorHAnsi" w:hAnsiTheme="minorHAnsi" w:cstheme="minorBidi"/>
          <w:sz w:val="22"/>
          <w:szCs w:val="22"/>
        </w:rPr>
        <w:t xml:space="preserve">Australian </w:t>
      </w:r>
      <w:r w:rsidR="00F718AB">
        <w:rPr>
          <w:rFonts w:asciiTheme="minorHAnsi" w:hAnsiTheme="minorHAnsi" w:cstheme="minorBidi"/>
          <w:sz w:val="22"/>
          <w:szCs w:val="22"/>
        </w:rPr>
        <w:t>G</w:t>
      </w:r>
      <w:r>
        <w:rPr>
          <w:rFonts w:asciiTheme="minorHAnsi" w:hAnsiTheme="minorHAnsi" w:cstheme="minorBidi"/>
          <w:sz w:val="22"/>
          <w:szCs w:val="22"/>
        </w:rPr>
        <w:t xml:space="preserve">overnment </w:t>
      </w:r>
      <w:r w:rsidR="00121B2D">
        <w:rPr>
          <w:rFonts w:asciiTheme="minorHAnsi" w:hAnsiTheme="minorHAnsi" w:cstheme="minorBidi"/>
          <w:sz w:val="22"/>
          <w:szCs w:val="22"/>
        </w:rPr>
        <w:t>accepts</w:t>
      </w:r>
      <w:r>
        <w:rPr>
          <w:rFonts w:asciiTheme="minorHAnsi" w:hAnsiTheme="minorHAnsi" w:cstheme="minorBidi"/>
          <w:sz w:val="22"/>
          <w:szCs w:val="22"/>
        </w:rPr>
        <w:t xml:space="preserve"> the findings of the review</w:t>
      </w:r>
      <w:r w:rsidR="00F86162">
        <w:rPr>
          <w:rFonts w:asciiTheme="minorHAnsi" w:hAnsiTheme="minorHAnsi" w:cstheme="minorBidi"/>
          <w:sz w:val="22"/>
          <w:szCs w:val="22"/>
        </w:rPr>
        <w:t xml:space="preserve"> and agrees</w:t>
      </w:r>
      <w:r w:rsidR="00C663DA">
        <w:rPr>
          <w:rFonts w:asciiTheme="minorHAnsi" w:hAnsiTheme="minorHAnsi" w:cstheme="minorBidi"/>
          <w:sz w:val="22"/>
          <w:szCs w:val="22"/>
        </w:rPr>
        <w:t xml:space="preserve"> </w:t>
      </w:r>
      <w:r w:rsidR="00F86162">
        <w:rPr>
          <w:rFonts w:asciiTheme="minorHAnsi" w:hAnsiTheme="minorHAnsi" w:cstheme="minorBidi"/>
          <w:sz w:val="22"/>
          <w:szCs w:val="22"/>
        </w:rPr>
        <w:t xml:space="preserve">industry should transition to self-regulation. </w:t>
      </w:r>
      <w:r w:rsidR="005D17A3">
        <w:rPr>
          <w:rFonts w:asciiTheme="minorHAnsi" w:hAnsiTheme="minorHAnsi" w:cstheme="minorBidi"/>
          <w:sz w:val="22"/>
          <w:szCs w:val="22"/>
        </w:rPr>
        <w:t xml:space="preserve">The </w:t>
      </w:r>
      <w:r w:rsidR="00E14AFF">
        <w:rPr>
          <w:rFonts w:asciiTheme="minorHAnsi" w:hAnsiTheme="minorHAnsi" w:cstheme="minorBidi"/>
          <w:sz w:val="22"/>
          <w:szCs w:val="22"/>
        </w:rPr>
        <w:t>g</w:t>
      </w:r>
      <w:r w:rsidR="005D17A3">
        <w:rPr>
          <w:rFonts w:asciiTheme="minorHAnsi" w:hAnsiTheme="minorHAnsi" w:cstheme="minorBidi"/>
          <w:sz w:val="22"/>
          <w:szCs w:val="22"/>
        </w:rPr>
        <w:t xml:space="preserve">overnment notes the review’s recommendation that the </w:t>
      </w:r>
      <w:r w:rsidR="00994FE6">
        <w:rPr>
          <w:rFonts w:asciiTheme="minorHAnsi" w:hAnsiTheme="minorHAnsi" w:cstheme="minorBidi"/>
          <w:sz w:val="22"/>
          <w:szCs w:val="22"/>
        </w:rPr>
        <w:t>c</w:t>
      </w:r>
      <w:r w:rsidR="005D17A3">
        <w:rPr>
          <w:rFonts w:asciiTheme="minorHAnsi" w:hAnsiTheme="minorHAnsi" w:cstheme="minorBidi"/>
          <w:sz w:val="22"/>
          <w:szCs w:val="22"/>
        </w:rPr>
        <w:t>ode remain in place until industry has developed self-regulation. To</w:t>
      </w:r>
      <w:r w:rsidR="006544EC">
        <w:rPr>
          <w:rFonts w:asciiTheme="minorHAnsi" w:hAnsiTheme="minorHAnsi" w:cstheme="minorBidi"/>
          <w:sz w:val="22"/>
          <w:szCs w:val="22"/>
        </w:rPr>
        <w:t xml:space="preserve"> provide regulatory certainty and </w:t>
      </w:r>
      <w:r w:rsidR="005D17A3">
        <w:rPr>
          <w:rFonts w:asciiTheme="minorHAnsi" w:hAnsiTheme="minorHAnsi" w:cstheme="minorBidi"/>
          <w:sz w:val="22"/>
          <w:szCs w:val="22"/>
        </w:rPr>
        <w:t xml:space="preserve">support </w:t>
      </w:r>
      <w:r w:rsidR="004D2F6B">
        <w:rPr>
          <w:rFonts w:asciiTheme="minorHAnsi" w:hAnsiTheme="minorHAnsi" w:cstheme="minorBidi"/>
          <w:sz w:val="22"/>
          <w:szCs w:val="22"/>
        </w:rPr>
        <w:t>a</w:t>
      </w:r>
      <w:r w:rsidR="005D17A3">
        <w:rPr>
          <w:rFonts w:asciiTheme="minorHAnsi" w:hAnsiTheme="minorHAnsi" w:cstheme="minorBidi"/>
          <w:sz w:val="22"/>
          <w:szCs w:val="22"/>
        </w:rPr>
        <w:t xml:space="preserve"> transition to self-regulation, the government will remake the </w:t>
      </w:r>
      <w:r w:rsidR="00994FE6">
        <w:rPr>
          <w:rFonts w:asciiTheme="minorHAnsi" w:hAnsiTheme="minorHAnsi" w:cstheme="minorBidi"/>
          <w:sz w:val="22"/>
          <w:szCs w:val="22"/>
        </w:rPr>
        <w:t>c</w:t>
      </w:r>
      <w:r w:rsidR="005D17A3">
        <w:rPr>
          <w:rFonts w:asciiTheme="minorHAnsi" w:hAnsiTheme="minorHAnsi" w:cstheme="minorBidi"/>
          <w:sz w:val="22"/>
          <w:szCs w:val="22"/>
        </w:rPr>
        <w:t>ode in a streamlined format</w:t>
      </w:r>
      <w:r w:rsidR="00C663DA">
        <w:rPr>
          <w:rFonts w:asciiTheme="minorHAnsi" w:hAnsiTheme="minorHAnsi" w:cstheme="minorBidi"/>
          <w:sz w:val="22"/>
          <w:szCs w:val="22"/>
        </w:rPr>
        <w:t xml:space="preserve">, with the </w:t>
      </w:r>
      <w:r w:rsidR="00994FE6">
        <w:rPr>
          <w:rFonts w:asciiTheme="minorHAnsi" w:hAnsiTheme="minorHAnsi" w:cstheme="minorBidi"/>
          <w:sz w:val="22"/>
          <w:szCs w:val="22"/>
        </w:rPr>
        <w:t>c</w:t>
      </w:r>
      <w:r w:rsidR="00C663DA">
        <w:rPr>
          <w:rFonts w:asciiTheme="minorHAnsi" w:hAnsiTheme="minorHAnsi" w:cstheme="minorBidi"/>
          <w:sz w:val="22"/>
          <w:szCs w:val="22"/>
        </w:rPr>
        <w:t xml:space="preserve">ode to </w:t>
      </w:r>
      <w:r w:rsidR="005D17A3">
        <w:rPr>
          <w:rFonts w:asciiTheme="minorHAnsi" w:eastAsia="Calibri" w:hAnsiTheme="minorHAnsi" w:cstheme="minorBidi"/>
          <w:sz w:val="22"/>
          <w:szCs w:val="22"/>
        </w:rPr>
        <w:t xml:space="preserve">remain in place for </w:t>
      </w:r>
      <w:r w:rsidR="006544EC">
        <w:rPr>
          <w:rFonts w:asciiTheme="minorHAnsi" w:eastAsia="Calibri" w:hAnsiTheme="minorHAnsi" w:cstheme="minorBidi"/>
          <w:sz w:val="22"/>
          <w:szCs w:val="22"/>
        </w:rPr>
        <w:t xml:space="preserve">3 years. At the end of this period, the </w:t>
      </w:r>
      <w:r w:rsidR="00994FE6">
        <w:rPr>
          <w:rFonts w:asciiTheme="minorHAnsi" w:eastAsia="Calibri" w:hAnsiTheme="minorHAnsi" w:cstheme="minorBidi"/>
          <w:sz w:val="22"/>
          <w:szCs w:val="22"/>
        </w:rPr>
        <w:t>c</w:t>
      </w:r>
      <w:r w:rsidR="00EE4B68">
        <w:rPr>
          <w:rFonts w:asciiTheme="minorHAnsi" w:eastAsia="Calibri" w:hAnsiTheme="minorHAnsi" w:cstheme="minorBidi"/>
          <w:sz w:val="22"/>
          <w:szCs w:val="22"/>
        </w:rPr>
        <w:t>ode will cease to operate</w:t>
      </w:r>
      <w:r w:rsidR="006544EC">
        <w:rPr>
          <w:rFonts w:asciiTheme="minorHAnsi" w:eastAsia="Calibri" w:hAnsiTheme="minorHAnsi" w:cstheme="minorBidi"/>
          <w:sz w:val="22"/>
          <w:szCs w:val="22"/>
        </w:rPr>
        <w:t>.</w:t>
      </w:r>
    </w:p>
    <w:p w14:paraId="3DDCA0F3" w14:textId="5216BBD2" w:rsidR="008C41AD" w:rsidRDefault="00F86162" w:rsidP="00F86162">
      <w:pPr>
        <w:spacing w:after="120" w:line="276" w:lineRule="auto"/>
        <w:rPr>
          <w:rFonts w:asciiTheme="minorHAnsi" w:eastAsia="Calibri" w:hAnsiTheme="minorHAnsi"/>
          <w:sz w:val="22"/>
        </w:rPr>
      </w:pPr>
      <w:r w:rsidRPr="025A5E17">
        <w:rPr>
          <w:rFonts w:asciiTheme="minorHAnsi" w:eastAsia="Calibri" w:hAnsiTheme="minorHAnsi" w:cstheme="minorBidi"/>
          <w:sz w:val="22"/>
          <w:szCs w:val="22"/>
        </w:rPr>
        <w:t xml:space="preserve">Chapter 3 of the </w:t>
      </w:r>
      <w:r>
        <w:rPr>
          <w:rFonts w:asciiTheme="minorHAnsi" w:eastAsia="Calibri" w:hAnsiTheme="minorHAnsi" w:cstheme="minorBidi"/>
          <w:sz w:val="22"/>
          <w:szCs w:val="22"/>
        </w:rPr>
        <w:t>Report</w:t>
      </w:r>
      <w:r w:rsidRPr="025A5E17">
        <w:rPr>
          <w:rFonts w:asciiTheme="minorHAnsi" w:eastAsia="Calibri" w:hAnsiTheme="minorHAnsi" w:cstheme="minorBidi"/>
          <w:sz w:val="22"/>
          <w:szCs w:val="22"/>
        </w:rPr>
        <w:t xml:space="preserve"> outlined </w:t>
      </w:r>
      <w:r>
        <w:rPr>
          <w:rFonts w:asciiTheme="minorHAnsi" w:eastAsia="Calibri" w:hAnsiTheme="minorHAnsi" w:cstheme="minorBidi"/>
          <w:sz w:val="22"/>
          <w:szCs w:val="22"/>
        </w:rPr>
        <w:t>several</w:t>
      </w:r>
      <w:r w:rsidRPr="025A5E17">
        <w:rPr>
          <w:rFonts w:asciiTheme="minorHAnsi" w:eastAsia="Calibri" w:hAnsiTheme="minorHAnsi" w:cstheme="minorBidi"/>
          <w:sz w:val="22"/>
          <w:szCs w:val="22"/>
        </w:rPr>
        <w:t xml:space="preserve"> amendments that could be made to the </w:t>
      </w:r>
      <w:r w:rsidR="00994FE6">
        <w:rPr>
          <w:rFonts w:asciiTheme="minorHAnsi" w:eastAsia="Calibri" w:hAnsiTheme="minorHAnsi" w:cstheme="minorBidi"/>
          <w:sz w:val="22"/>
          <w:szCs w:val="22"/>
        </w:rPr>
        <w:t>c</w:t>
      </w:r>
      <w:r w:rsidRPr="025A5E17">
        <w:rPr>
          <w:rFonts w:asciiTheme="minorHAnsi" w:eastAsia="Calibri" w:hAnsiTheme="minorHAnsi" w:cstheme="minorBidi"/>
          <w:sz w:val="22"/>
          <w:szCs w:val="22"/>
        </w:rPr>
        <w:t>ode to improve its operation</w:t>
      </w:r>
      <w:r>
        <w:rPr>
          <w:rFonts w:asciiTheme="minorHAnsi" w:eastAsia="Calibri" w:hAnsiTheme="minorHAnsi" w:cstheme="minorBidi"/>
          <w:sz w:val="22"/>
          <w:szCs w:val="22"/>
        </w:rPr>
        <w:t>. The review suggested removing</w:t>
      </w:r>
      <w:r w:rsidRPr="025A5E17">
        <w:rPr>
          <w:rFonts w:asciiTheme="minorHAnsi" w:eastAsia="Calibri" w:hAnsiTheme="minorHAnsi" w:cstheme="minorBidi"/>
          <w:sz w:val="22"/>
          <w:szCs w:val="22"/>
        </w:rPr>
        <w:t xml:space="preserve"> </w:t>
      </w:r>
      <w:r w:rsidR="008C41AD" w:rsidRPr="0027015F">
        <w:rPr>
          <w:rFonts w:asciiTheme="minorHAnsi" w:eastAsia="Calibri" w:hAnsiTheme="minorHAnsi"/>
          <w:sz w:val="22"/>
        </w:rPr>
        <w:t xml:space="preserve">the access provisions in </w:t>
      </w:r>
      <w:r w:rsidRPr="025A5E17">
        <w:rPr>
          <w:rFonts w:asciiTheme="minorHAnsi" w:eastAsia="Calibri" w:hAnsiTheme="minorHAnsi" w:cstheme="minorBidi"/>
          <w:sz w:val="22"/>
          <w:szCs w:val="22"/>
        </w:rPr>
        <w:t xml:space="preserve">Parts 3 to 6 of the </w:t>
      </w:r>
      <w:r w:rsidR="00994FE6">
        <w:rPr>
          <w:rFonts w:asciiTheme="minorHAnsi" w:eastAsia="Calibri" w:hAnsiTheme="minorHAnsi" w:cstheme="minorBidi"/>
          <w:sz w:val="22"/>
          <w:szCs w:val="22"/>
        </w:rPr>
        <w:t>c</w:t>
      </w:r>
      <w:r w:rsidRPr="025A5E17">
        <w:rPr>
          <w:rFonts w:asciiTheme="minorHAnsi" w:eastAsia="Calibri" w:hAnsiTheme="minorHAnsi" w:cstheme="minorBidi"/>
          <w:sz w:val="22"/>
          <w:szCs w:val="22"/>
        </w:rPr>
        <w:t>ode</w:t>
      </w:r>
      <w:r>
        <w:rPr>
          <w:rFonts w:asciiTheme="minorHAnsi" w:eastAsia="Calibri" w:hAnsiTheme="minorHAnsi" w:cstheme="minorBidi"/>
          <w:sz w:val="22"/>
          <w:szCs w:val="22"/>
        </w:rPr>
        <w:t xml:space="preserve"> to reduce regulatory burden</w:t>
      </w:r>
      <w:r>
        <w:rPr>
          <w:rFonts w:asciiTheme="minorHAnsi" w:hAnsiTheme="minorHAnsi" w:cstheme="minorBidi"/>
          <w:sz w:val="22"/>
          <w:szCs w:val="22"/>
        </w:rPr>
        <w:t>.</w:t>
      </w:r>
      <w:r>
        <w:rPr>
          <w:rFonts w:asciiTheme="minorHAnsi" w:eastAsia="Calibri" w:hAnsiTheme="minorHAnsi" w:cstheme="minorBidi"/>
          <w:sz w:val="22"/>
          <w:szCs w:val="22"/>
        </w:rPr>
        <w:t xml:space="preserve"> </w:t>
      </w:r>
      <w:r w:rsidRPr="0027015F">
        <w:rPr>
          <w:rFonts w:asciiTheme="minorHAnsi" w:eastAsia="Calibri" w:hAnsiTheme="minorHAnsi"/>
          <w:sz w:val="22"/>
        </w:rPr>
        <w:t>The Government is supportive of this approach</w:t>
      </w:r>
      <w:r w:rsidR="008C41AD">
        <w:rPr>
          <w:rFonts w:asciiTheme="minorHAnsi" w:eastAsia="Calibri" w:hAnsiTheme="minorHAnsi"/>
          <w:sz w:val="22"/>
        </w:rPr>
        <w:t xml:space="preserve">. </w:t>
      </w:r>
    </w:p>
    <w:p w14:paraId="6981A200" w14:textId="504D9481" w:rsidR="00F86162" w:rsidRDefault="00F86162" w:rsidP="00F86162">
      <w:pPr>
        <w:spacing w:after="120" w:line="276" w:lineRule="auto"/>
        <w:rPr>
          <w:rFonts w:asciiTheme="minorHAnsi" w:eastAsia="Calibri" w:hAnsiTheme="minorHAnsi" w:cstheme="minorBidi"/>
          <w:sz w:val="22"/>
          <w:szCs w:val="22"/>
        </w:rPr>
      </w:pPr>
      <w:r>
        <w:rPr>
          <w:rFonts w:asciiTheme="minorHAnsi" w:eastAsia="Calibri" w:hAnsiTheme="minorHAnsi" w:cstheme="minorBidi"/>
          <w:sz w:val="22"/>
          <w:szCs w:val="22"/>
        </w:rPr>
        <w:t xml:space="preserve">The removal of these Parts would shift the focus of the </w:t>
      </w:r>
      <w:r w:rsidR="00994FE6">
        <w:rPr>
          <w:rFonts w:asciiTheme="minorHAnsi" w:eastAsia="Calibri" w:hAnsiTheme="minorHAnsi" w:cstheme="minorBidi"/>
          <w:sz w:val="22"/>
          <w:szCs w:val="22"/>
        </w:rPr>
        <w:t>c</w:t>
      </w:r>
      <w:r>
        <w:rPr>
          <w:rFonts w:asciiTheme="minorHAnsi" w:eastAsia="Calibri" w:hAnsiTheme="minorHAnsi" w:cstheme="minorBidi"/>
          <w:sz w:val="22"/>
          <w:szCs w:val="22"/>
        </w:rPr>
        <w:t>ode</w:t>
      </w:r>
      <w:r w:rsidR="00C663DA">
        <w:rPr>
          <w:rFonts w:asciiTheme="minorHAnsi" w:eastAsia="Calibri" w:hAnsiTheme="minorHAnsi" w:cstheme="minorBidi"/>
          <w:sz w:val="22"/>
          <w:szCs w:val="22"/>
        </w:rPr>
        <w:t xml:space="preserve"> during </w:t>
      </w:r>
      <w:r w:rsidR="00223511">
        <w:rPr>
          <w:rFonts w:asciiTheme="minorHAnsi" w:eastAsia="Calibri" w:hAnsiTheme="minorHAnsi" w:cstheme="minorBidi"/>
          <w:sz w:val="22"/>
          <w:szCs w:val="22"/>
        </w:rPr>
        <w:t>the</w:t>
      </w:r>
      <w:r w:rsidR="00C663DA">
        <w:rPr>
          <w:rFonts w:asciiTheme="minorHAnsi" w:eastAsia="Calibri" w:hAnsiTheme="minorHAnsi" w:cstheme="minorBidi"/>
          <w:sz w:val="22"/>
          <w:szCs w:val="22"/>
        </w:rPr>
        <w:t xml:space="preserve"> transition period </w:t>
      </w:r>
      <w:r>
        <w:rPr>
          <w:rFonts w:asciiTheme="minorHAnsi" w:eastAsia="Calibri" w:hAnsiTheme="minorHAnsi" w:cstheme="minorBidi"/>
          <w:sz w:val="22"/>
          <w:szCs w:val="22"/>
        </w:rPr>
        <w:t>to good faith and transparency obligations relating to the operation of port terminal facilities through timely publication of port loading statements, p</w:t>
      </w:r>
      <w:r w:rsidRPr="00886EA7">
        <w:rPr>
          <w:rFonts w:asciiTheme="minorHAnsi" w:eastAsia="Calibri" w:hAnsiTheme="minorHAnsi" w:cstheme="minorBidi"/>
          <w:sz w:val="22"/>
          <w:szCs w:val="22"/>
        </w:rPr>
        <w:t>ort loading protocols</w:t>
      </w:r>
      <w:r>
        <w:rPr>
          <w:rFonts w:asciiTheme="minorHAnsi" w:eastAsia="Calibri" w:hAnsiTheme="minorHAnsi" w:cstheme="minorBidi"/>
          <w:sz w:val="22"/>
          <w:szCs w:val="22"/>
        </w:rPr>
        <w:t>,</w:t>
      </w:r>
      <w:r w:rsidRPr="00886EA7">
        <w:rPr>
          <w:rFonts w:asciiTheme="minorHAnsi" w:eastAsia="Calibri" w:hAnsiTheme="minorHAnsi" w:cstheme="minorBidi"/>
          <w:sz w:val="22"/>
          <w:szCs w:val="22"/>
        </w:rPr>
        <w:t xml:space="preserve"> and standard terms and reference prices</w:t>
      </w:r>
      <w:r>
        <w:rPr>
          <w:rFonts w:asciiTheme="minorHAnsi" w:eastAsia="Calibri" w:hAnsiTheme="minorHAnsi" w:cstheme="minorBidi"/>
          <w:sz w:val="22"/>
          <w:szCs w:val="22"/>
        </w:rPr>
        <w:t xml:space="preserve">. The government accepts the </w:t>
      </w:r>
      <w:r w:rsidR="00E14AFF">
        <w:rPr>
          <w:rFonts w:asciiTheme="minorHAnsi" w:eastAsia="Calibri" w:hAnsiTheme="minorHAnsi" w:cstheme="minorBidi"/>
          <w:sz w:val="22"/>
          <w:szCs w:val="22"/>
        </w:rPr>
        <w:t>r</w:t>
      </w:r>
      <w:r>
        <w:rPr>
          <w:rFonts w:asciiTheme="minorHAnsi" w:eastAsia="Calibri" w:hAnsiTheme="minorHAnsi" w:cstheme="minorBidi"/>
          <w:sz w:val="22"/>
          <w:szCs w:val="22"/>
        </w:rPr>
        <w:t xml:space="preserve">eview’s finding that these provisions </w:t>
      </w:r>
      <w:r w:rsidRPr="002D13AD" w:rsidDel="00AE43D5">
        <w:rPr>
          <w:rFonts w:asciiTheme="minorHAnsi" w:eastAsia="Calibri" w:hAnsiTheme="minorHAnsi" w:cstheme="minorBidi"/>
          <w:sz w:val="22"/>
          <w:szCs w:val="22"/>
        </w:rPr>
        <w:t>provid</w:t>
      </w:r>
      <w:r>
        <w:rPr>
          <w:rFonts w:asciiTheme="minorHAnsi" w:eastAsia="Calibri" w:hAnsiTheme="minorHAnsi" w:cstheme="minorBidi"/>
          <w:sz w:val="22"/>
          <w:szCs w:val="22"/>
        </w:rPr>
        <w:t>ed</w:t>
      </w:r>
      <w:r w:rsidRPr="002D13AD" w:rsidDel="00AE43D5">
        <w:rPr>
          <w:rFonts w:asciiTheme="minorHAnsi" w:eastAsia="Calibri" w:hAnsiTheme="minorHAnsi" w:cstheme="minorBidi"/>
          <w:sz w:val="22"/>
          <w:szCs w:val="22"/>
        </w:rPr>
        <w:t xml:space="preserve"> a benefit to industry with minimal cost.</w:t>
      </w:r>
    </w:p>
    <w:p w14:paraId="250ABD71" w14:textId="6A869CC6" w:rsidR="008C41AD" w:rsidRDefault="00F86162" w:rsidP="00E14AFF">
      <w:pPr>
        <w:spacing w:after="120" w:line="276" w:lineRule="auto"/>
        <w:rPr>
          <w:rFonts w:asciiTheme="minorHAnsi" w:eastAsia="Calibri" w:hAnsiTheme="minorHAnsi" w:cstheme="minorBidi"/>
          <w:sz w:val="22"/>
          <w:szCs w:val="22"/>
        </w:rPr>
      </w:pPr>
      <w:r>
        <w:rPr>
          <w:rFonts w:asciiTheme="minorHAnsi" w:eastAsia="Calibri" w:hAnsiTheme="minorHAnsi" w:cstheme="minorBidi"/>
          <w:sz w:val="22"/>
          <w:szCs w:val="22"/>
        </w:rPr>
        <w:t xml:space="preserve">The review also suggested </w:t>
      </w:r>
      <w:r w:rsidRPr="00312273">
        <w:rPr>
          <w:rFonts w:asciiTheme="minorHAnsi" w:eastAsia="Calibri" w:hAnsiTheme="minorHAnsi" w:cstheme="minorBidi"/>
          <w:sz w:val="22"/>
          <w:szCs w:val="22"/>
        </w:rPr>
        <w:t>technical amendments</w:t>
      </w:r>
      <w:r>
        <w:rPr>
          <w:rFonts w:asciiTheme="minorHAnsi" w:eastAsia="Calibri" w:hAnsiTheme="minorHAnsi" w:cstheme="minorBidi"/>
          <w:sz w:val="22"/>
          <w:szCs w:val="22"/>
        </w:rPr>
        <w:t xml:space="preserve"> to the remaining </w:t>
      </w:r>
      <w:r w:rsidRPr="58FDA573">
        <w:rPr>
          <w:rFonts w:asciiTheme="minorHAnsi" w:eastAsia="Calibri" w:hAnsiTheme="minorHAnsi" w:cstheme="minorBidi"/>
          <w:sz w:val="22"/>
          <w:szCs w:val="22"/>
        </w:rPr>
        <w:t xml:space="preserve">parts </w:t>
      </w:r>
      <w:r>
        <w:rPr>
          <w:rFonts w:asciiTheme="minorHAnsi" w:eastAsia="Calibri" w:hAnsiTheme="minorHAnsi" w:cstheme="minorBidi"/>
          <w:sz w:val="22"/>
          <w:szCs w:val="22"/>
        </w:rPr>
        <w:t xml:space="preserve">of the </w:t>
      </w:r>
      <w:r w:rsidR="00994FE6">
        <w:rPr>
          <w:rFonts w:asciiTheme="minorHAnsi" w:eastAsia="Calibri" w:hAnsiTheme="minorHAnsi" w:cstheme="minorBidi"/>
          <w:sz w:val="22"/>
          <w:szCs w:val="22"/>
        </w:rPr>
        <w:t>c</w:t>
      </w:r>
      <w:r>
        <w:rPr>
          <w:rFonts w:asciiTheme="minorHAnsi" w:eastAsia="Calibri" w:hAnsiTheme="minorHAnsi" w:cstheme="minorBidi"/>
          <w:sz w:val="22"/>
          <w:szCs w:val="22"/>
        </w:rPr>
        <w:t xml:space="preserve">ode that provide for good faith and transparency obligations to </w:t>
      </w:r>
      <w:r w:rsidRPr="00312273">
        <w:rPr>
          <w:rFonts w:asciiTheme="minorHAnsi" w:eastAsia="Calibri" w:hAnsiTheme="minorHAnsi" w:cstheme="minorBidi"/>
          <w:sz w:val="22"/>
          <w:szCs w:val="22"/>
        </w:rPr>
        <w:t xml:space="preserve">provide greater clarity to participants about </w:t>
      </w:r>
      <w:r>
        <w:rPr>
          <w:rFonts w:asciiTheme="minorHAnsi" w:eastAsia="Calibri" w:hAnsiTheme="minorHAnsi" w:cstheme="minorBidi"/>
          <w:sz w:val="22"/>
          <w:szCs w:val="22"/>
        </w:rPr>
        <w:t>its</w:t>
      </w:r>
      <w:r w:rsidRPr="00312273">
        <w:rPr>
          <w:rFonts w:asciiTheme="minorHAnsi" w:eastAsia="Calibri" w:hAnsiTheme="minorHAnsi" w:cstheme="minorBidi"/>
          <w:sz w:val="22"/>
          <w:szCs w:val="22"/>
        </w:rPr>
        <w:t xml:space="preserve"> operation and </w:t>
      </w:r>
      <w:r>
        <w:rPr>
          <w:rFonts w:asciiTheme="minorHAnsi" w:eastAsia="Calibri" w:hAnsiTheme="minorHAnsi" w:cstheme="minorBidi"/>
          <w:sz w:val="22"/>
          <w:szCs w:val="22"/>
        </w:rPr>
        <w:t xml:space="preserve">to </w:t>
      </w:r>
      <w:r w:rsidRPr="00312273">
        <w:rPr>
          <w:rFonts w:asciiTheme="minorHAnsi" w:eastAsia="Calibri" w:hAnsiTheme="minorHAnsi" w:cstheme="minorBidi"/>
          <w:sz w:val="22"/>
          <w:szCs w:val="22"/>
        </w:rPr>
        <w:t>reduce regulatory burden by removing components no longer required for its effective operation.</w:t>
      </w:r>
      <w:r>
        <w:rPr>
          <w:rFonts w:asciiTheme="minorHAnsi" w:eastAsia="Calibri" w:hAnsiTheme="minorHAnsi" w:cstheme="minorBidi"/>
          <w:sz w:val="22"/>
          <w:szCs w:val="22"/>
        </w:rPr>
        <w:t xml:space="preserve"> The Government is broadly supportive of these changes.</w:t>
      </w:r>
      <w:r w:rsidR="008C41AD">
        <w:rPr>
          <w:rFonts w:asciiTheme="minorHAnsi" w:eastAsia="Calibri" w:hAnsiTheme="minorHAnsi" w:cstheme="minorBidi"/>
          <w:sz w:val="22"/>
          <w:szCs w:val="22"/>
        </w:rPr>
        <w:t xml:space="preserve"> The Government does not however support the review’s suggestion that the </w:t>
      </w:r>
      <w:r w:rsidR="00994FE6">
        <w:rPr>
          <w:rFonts w:asciiTheme="minorHAnsi" w:eastAsia="Calibri" w:hAnsiTheme="minorHAnsi" w:cstheme="minorBidi"/>
          <w:sz w:val="22"/>
          <w:szCs w:val="22"/>
        </w:rPr>
        <w:t>c</w:t>
      </w:r>
      <w:r w:rsidR="008C41AD">
        <w:rPr>
          <w:rFonts w:asciiTheme="minorHAnsi" w:eastAsia="Calibri" w:hAnsiTheme="minorHAnsi" w:cstheme="minorBidi"/>
          <w:sz w:val="22"/>
          <w:szCs w:val="22"/>
        </w:rPr>
        <w:t xml:space="preserve">ode include civil penalty provisions. This is because </w:t>
      </w:r>
      <w:r w:rsidR="008C41AD" w:rsidRPr="00312273">
        <w:rPr>
          <w:rFonts w:asciiTheme="minorHAnsi" w:eastAsia="Calibri" w:hAnsiTheme="minorHAnsi" w:cstheme="minorBidi"/>
          <w:sz w:val="22"/>
          <w:szCs w:val="22"/>
        </w:rPr>
        <w:t>there is</w:t>
      </w:r>
      <w:r w:rsidR="008C41AD">
        <w:rPr>
          <w:rFonts w:asciiTheme="minorHAnsi" w:eastAsia="Calibri" w:hAnsiTheme="minorHAnsi" w:cstheme="minorBidi"/>
          <w:sz w:val="22"/>
          <w:szCs w:val="22"/>
        </w:rPr>
        <w:t xml:space="preserve"> a lack of</w:t>
      </w:r>
      <w:r w:rsidR="008C41AD" w:rsidRPr="00312273">
        <w:rPr>
          <w:rFonts w:asciiTheme="minorHAnsi" w:eastAsia="Calibri" w:hAnsiTheme="minorHAnsi" w:cstheme="minorBidi"/>
          <w:sz w:val="22"/>
          <w:szCs w:val="22"/>
        </w:rPr>
        <w:t xml:space="preserve"> sufficient evidence these provisions are required for the remade </w:t>
      </w:r>
      <w:r w:rsidR="00994FE6">
        <w:rPr>
          <w:rFonts w:asciiTheme="minorHAnsi" w:eastAsia="Calibri" w:hAnsiTheme="minorHAnsi" w:cstheme="minorBidi"/>
          <w:sz w:val="22"/>
          <w:szCs w:val="22"/>
        </w:rPr>
        <w:t>c</w:t>
      </w:r>
      <w:r w:rsidR="008C41AD" w:rsidRPr="00312273">
        <w:rPr>
          <w:rFonts w:asciiTheme="minorHAnsi" w:eastAsia="Calibri" w:hAnsiTheme="minorHAnsi" w:cstheme="minorBidi"/>
          <w:sz w:val="22"/>
          <w:szCs w:val="22"/>
        </w:rPr>
        <w:t xml:space="preserve">ode to operate </w:t>
      </w:r>
      <w:r w:rsidR="008C41AD" w:rsidRPr="00860D00">
        <w:rPr>
          <w:rFonts w:asciiTheme="minorHAnsi" w:eastAsia="Calibri" w:hAnsiTheme="minorHAnsi" w:cstheme="minorBidi"/>
          <w:sz w:val="22"/>
          <w:szCs w:val="22"/>
        </w:rPr>
        <w:t>effectively</w:t>
      </w:r>
      <w:r w:rsidR="00312273" w:rsidRPr="00860D00">
        <w:rPr>
          <w:rFonts w:asciiTheme="minorHAnsi" w:eastAsia="Calibri" w:hAnsiTheme="minorHAnsi" w:cstheme="minorBidi"/>
          <w:sz w:val="22"/>
          <w:szCs w:val="22"/>
        </w:rPr>
        <w:t>.</w:t>
      </w:r>
    </w:p>
    <w:p w14:paraId="6FDEEA19" w14:textId="4308E6EE" w:rsidR="006D16B9" w:rsidRPr="00870867" w:rsidRDefault="005D17A3" w:rsidP="00870867">
      <w:pPr>
        <w:spacing w:after="120" w:line="276" w:lineRule="auto"/>
        <w:rPr>
          <w:rFonts w:asciiTheme="minorHAnsi" w:eastAsia="Calibri" w:hAnsiTheme="minorHAnsi" w:cstheme="minorBidi"/>
          <w:sz w:val="22"/>
          <w:szCs w:val="22"/>
        </w:rPr>
      </w:pPr>
      <w:r w:rsidRPr="00E14AFF">
        <w:rPr>
          <w:rFonts w:asciiTheme="minorHAnsi" w:eastAsia="Calibri" w:hAnsiTheme="minorHAnsi" w:cstheme="minorBidi"/>
          <w:sz w:val="22"/>
          <w:szCs w:val="22"/>
        </w:rPr>
        <w:t>Transitioning to self-regulation</w:t>
      </w:r>
      <w:r w:rsidR="00490065" w:rsidRPr="00E14AFF">
        <w:rPr>
          <w:rFonts w:asciiTheme="minorHAnsi" w:eastAsia="Calibri" w:hAnsiTheme="minorHAnsi" w:cstheme="minorBidi"/>
          <w:sz w:val="22"/>
          <w:szCs w:val="22"/>
        </w:rPr>
        <w:t xml:space="preserve"> </w:t>
      </w:r>
      <w:r w:rsidR="00BB14FD" w:rsidRPr="00E14AFF">
        <w:rPr>
          <w:rFonts w:asciiTheme="minorHAnsi" w:eastAsia="Calibri" w:hAnsiTheme="minorHAnsi" w:cstheme="minorBidi"/>
          <w:sz w:val="22"/>
          <w:szCs w:val="22"/>
        </w:rPr>
        <w:t xml:space="preserve">represents a further step in the journey that began in 2008 with the abolition of the single desk arrangements for wheat exports, followed by the removal of the mandatory access test in 2014. </w:t>
      </w:r>
      <w:r w:rsidRPr="00E14AFF">
        <w:rPr>
          <w:rFonts w:asciiTheme="minorHAnsi" w:eastAsia="Calibri" w:hAnsiTheme="minorHAnsi" w:cstheme="minorBidi"/>
          <w:sz w:val="22"/>
          <w:szCs w:val="22"/>
        </w:rPr>
        <w:t>This</w:t>
      </w:r>
      <w:r w:rsidR="00BB14FD" w:rsidRPr="00E14AFF">
        <w:rPr>
          <w:rFonts w:asciiTheme="minorHAnsi" w:eastAsia="Calibri" w:hAnsiTheme="minorHAnsi" w:cstheme="minorBidi"/>
          <w:sz w:val="22"/>
          <w:szCs w:val="22"/>
        </w:rPr>
        <w:t xml:space="preserve"> presents an opportunity for further growth of the wheat export industry by reducing regulatory barriers that otherwise could potentially limit competition, while still ensuring essential information transparency is provided to supply chain participants</w:t>
      </w:r>
      <w:r w:rsidR="006207A0" w:rsidRPr="00E14AFF">
        <w:rPr>
          <w:rFonts w:asciiTheme="minorHAnsi" w:eastAsia="Calibri" w:hAnsiTheme="minorHAnsi" w:cstheme="minorBidi"/>
          <w:sz w:val="22"/>
          <w:szCs w:val="22"/>
        </w:rPr>
        <w:t>.</w:t>
      </w:r>
      <w:bookmarkEnd w:id="0"/>
    </w:p>
    <w:sectPr w:rsidR="006D16B9" w:rsidRPr="00870867" w:rsidSect="003D4BA3">
      <w:headerReference w:type="even" r:id="rId13"/>
      <w:footerReference w:type="even" r:id="rId14"/>
      <w:footerReference w:type="default" r:id="rId15"/>
      <w:headerReference w:type="first" r:id="rId16"/>
      <w:footerReference w:type="first" r:id="rId17"/>
      <w:pgSz w:w="11906" w:h="16838"/>
      <w:pgMar w:top="1276"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4F792" w14:textId="77777777" w:rsidR="0021493F" w:rsidRDefault="0021493F">
      <w:r>
        <w:separator/>
      </w:r>
    </w:p>
  </w:endnote>
  <w:endnote w:type="continuationSeparator" w:id="0">
    <w:p w14:paraId="0345D386" w14:textId="77777777" w:rsidR="0021493F" w:rsidRDefault="00214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780B" w14:textId="6CED8293" w:rsidR="00517F8C" w:rsidRDefault="00517F8C">
    <w:pPr>
      <w:pStyle w:val="Footer"/>
    </w:pPr>
    <w:r>
      <w:rPr>
        <w:noProof/>
      </w:rPr>
      <mc:AlternateContent>
        <mc:Choice Requires="wps">
          <w:drawing>
            <wp:anchor distT="0" distB="0" distL="0" distR="0" simplePos="0" relativeHeight="251658243" behindDoc="0" locked="0" layoutInCell="1" allowOverlap="1" wp14:anchorId="6EB743B3" wp14:editId="7FF1C2DA">
              <wp:simplePos x="635" y="635"/>
              <wp:positionH relativeFrom="page">
                <wp:align>center</wp:align>
              </wp:positionH>
              <wp:positionV relativeFrom="page">
                <wp:align>bottom</wp:align>
              </wp:positionV>
              <wp:extent cx="551815" cy="376555"/>
              <wp:effectExtent l="0" t="0" r="635" b="0"/>
              <wp:wrapNone/>
              <wp:docPr id="109571351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C65AB11" w14:textId="736083AA"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B743B3"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4C65AB11" w14:textId="736083AA"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0C86" w14:textId="5B9C21C2" w:rsidR="00E25A97" w:rsidRDefault="00000000">
    <w:pPr>
      <w:pStyle w:val="Footer"/>
      <w:jc w:val="center"/>
    </w:pPr>
    <w:sdt>
      <w:sdtPr>
        <w:id w:val="-1161776430"/>
        <w:docPartObj>
          <w:docPartGallery w:val="Page Numbers (Bottom of Page)"/>
          <w:docPartUnique/>
        </w:docPartObj>
      </w:sdtPr>
      <w:sdtEndPr>
        <w:rPr>
          <w:noProof/>
        </w:rPr>
      </w:sdtEndPr>
      <w:sdtContent>
        <w:r w:rsidR="00C35816">
          <w:fldChar w:fldCharType="begin"/>
        </w:r>
        <w:r w:rsidR="00C35816">
          <w:instrText xml:space="preserve"> PAGE   \* MERGEFORMAT </w:instrText>
        </w:r>
        <w:r w:rsidR="00C35816">
          <w:fldChar w:fldCharType="separate"/>
        </w:r>
        <w:r w:rsidR="00C35816">
          <w:rPr>
            <w:noProof/>
          </w:rPr>
          <w:t>2</w:t>
        </w:r>
        <w:r w:rsidR="00C35816">
          <w:rPr>
            <w:noProof/>
          </w:rPr>
          <w:fldChar w:fldCharType="end"/>
        </w:r>
      </w:sdtContent>
    </w:sdt>
  </w:p>
  <w:p w14:paraId="0D833910" w14:textId="77777777" w:rsidR="00917D91" w:rsidRDefault="00917D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7782" w14:textId="44C96819" w:rsidR="00517F8C" w:rsidRDefault="00517F8C">
    <w:pPr>
      <w:pStyle w:val="Footer"/>
    </w:pPr>
    <w:r>
      <w:rPr>
        <w:noProof/>
      </w:rPr>
      <mc:AlternateContent>
        <mc:Choice Requires="wps">
          <w:drawing>
            <wp:anchor distT="0" distB="0" distL="0" distR="0" simplePos="0" relativeHeight="251658242" behindDoc="0" locked="0" layoutInCell="1" allowOverlap="1" wp14:anchorId="7DAB70BA" wp14:editId="3CC03199">
              <wp:simplePos x="635" y="635"/>
              <wp:positionH relativeFrom="page">
                <wp:align>center</wp:align>
              </wp:positionH>
              <wp:positionV relativeFrom="page">
                <wp:align>bottom</wp:align>
              </wp:positionV>
              <wp:extent cx="551815" cy="376555"/>
              <wp:effectExtent l="0" t="0" r="635" b="0"/>
              <wp:wrapNone/>
              <wp:docPr id="45686899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8AB7ADD" w14:textId="4595501E"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AB70BA"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8AB7ADD" w14:textId="4595501E"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33A17" w14:textId="77777777" w:rsidR="0021493F" w:rsidRDefault="0021493F">
      <w:r>
        <w:separator/>
      </w:r>
    </w:p>
  </w:footnote>
  <w:footnote w:type="continuationSeparator" w:id="0">
    <w:p w14:paraId="220DFB79" w14:textId="77777777" w:rsidR="0021493F" w:rsidRDefault="00214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34D5" w14:textId="512DA916" w:rsidR="00517F8C" w:rsidRDefault="00517F8C">
    <w:pPr>
      <w:pStyle w:val="Header"/>
    </w:pPr>
    <w:r>
      <w:rPr>
        <w:noProof/>
      </w:rPr>
      <mc:AlternateContent>
        <mc:Choice Requires="wps">
          <w:drawing>
            <wp:anchor distT="0" distB="0" distL="0" distR="0" simplePos="0" relativeHeight="251658241" behindDoc="0" locked="0" layoutInCell="1" allowOverlap="1" wp14:anchorId="5FBC855C" wp14:editId="66B2C40D">
              <wp:simplePos x="635" y="635"/>
              <wp:positionH relativeFrom="page">
                <wp:align>center</wp:align>
              </wp:positionH>
              <wp:positionV relativeFrom="page">
                <wp:align>top</wp:align>
              </wp:positionV>
              <wp:extent cx="551815" cy="376555"/>
              <wp:effectExtent l="0" t="0" r="635" b="4445"/>
              <wp:wrapNone/>
              <wp:docPr id="85396327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A1E7AF5" w14:textId="7E5FEFBA"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BC855C"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7A1E7AF5" w14:textId="7E5FEFBA"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1565" w14:textId="17CCBF65" w:rsidR="00517F8C" w:rsidRDefault="00517F8C">
    <w:pPr>
      <w:pStyle w:val="Header"/>
    </w:pPr>
    <w:r>
      <w:rPr>
        <w:noProof/>
      </w:rPr>
      <mc:AlternateContent>
        <mc:Choice Requires="wps">
          <w:drawing>
            <wp:anchor distT="0" distB="0" distL="0" distR="0" simplePos="0" relativeHeight="251658240" behindDoc="0" locked="0" layoutInCell="1" allowOverlap="1" wp14:anchorId="24D74EAC" wp14:editId="6F337ECE">
              <wp:simplePos x="635" y="635"/>
              <wp:positionH relativeFrom="page">
                <wp:align>center</wp:align>
              </wp:positionH>
              <wp:positionV relativeFrom="page">
                <wp:align>top</wp:align>
              </wp:positionV>
              <wp:extent cx="551815" cy="376555"/>
              <wp:effectExtent l="0" t="0" r="635" b="4445"/>
              <wp:wrapNone/>
              <wp:docPr id="9256480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809DBA3" w14:textId="7D3BBAB4"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D74EAC"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809DBA3" w14:textId="7D3BBAB4" w:rsidR="00517F8C" w:rsidRPr="00517F8C" w:rsidRDefault="00517F8C" w:rsidP="00517F8C">
                    <w:pPr>
                      <w:rPr>
                        <w:rFonts w:ascii="Calibri" w:eastAsia="Calibri" w:hAnsi="Calibri" w:cs="Calibri"/>
                        <w:noProof/>
                        <w:color w:val="FF0000"/>
                      </w:rPr>
                    </w:pPr>
                    <w:r w:rsidRPr="00517F8C">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01D32116"/>
    <w:multiLevelType w:val="hybridMultilevel"/>
    <w:tmpl w:val="F16A2AE8"/>
    <w:lvl w:ilvl="0" w:tplc="67A47498">
      <w:start w:val="1"/>
      <w:numFmt w:val="decimal"/>
      <w:lvlText w:val="%1."/>
      <w:lvlJc w:val="left"/>
      <w:pPr>
        <w:ind w:left="1020" w:hanging="360"/>
      </w:pPr>
    </w:lvl>
    <w:lvl w:ilvl="1" w:tplc="880A48A6">
      <w:start w:val="1"/>
      <w:numFmt w:val="decimal"/>
      <w:lvlText w:val="%2."/>
      <w:lvlJc w:val="left"/>
      <w:pPr>
        <w:ind w:left="1020" w:hanging="360"/>
      </w:pPr>
    </w:lvl>
    <w:lvl w:ilvl="2" w:tplc="8BF6FA18">
      <w:start w:val="1"/>
      <w:numFmt w:val="decimal"/>
      <w:lvlText w:val="%3."/>
      <w:lvlJc w:val="left"/>
      <w:pPr>
        <w:ind w:left="1020" w:hanging="360"/>
      </w:pPr>
    </w:lvl>
    <w:lvl w:ilvl="3" w:tplc="2CEA8EA2">
      <w:start w:val="1"/>
      <w:numFmt w:val="decimal"/>
      <w:lvlText w:val="%4."/>
      <w:lvlJc w:val="left"/>
      <w:pPr>
        <w:ind w:left="1020" w:hanging="360"/>
      </w:pPr>
    </w:lvl>
    <w:lvl w:ilvl="4" w:tplc="4238E90A">
      <w:start w:val="1"/>
      <w:numFmt w:val="decimal"/>
      <w:lvlText w:val="%5."/>
      <w:lvlJc w:val="left"/>
      <w:pPr>
        <w:ind w:left="1020" w:hanging="360"/>
      </w:pPr>
    </w:lvl>
    <w:lvl w:ilvl="5" w:tplc="E5D471AA">
      <w:start w:val="1"/>
      <w:numFmt w:val="decimal"/>
      <w:lvlText w:val="%6."/>
      <w:lvlJc w:val="left"/>
      <w:pPr>
        <w:ind w:left="1020" w:hanging="360"/>
      </w:pPr>
    </w:lvl>
    <w:lvl w:ilvl="6" w:tplc="E74C127E">
      <w:start w:val="1"/>
      <w:numFmt w:val="decimal"/>
      <w:lvlText w:val="%7."/>
      <w:lvlJc w:val="left"/>
      <w:pPr>
        <w:ind w:left="1020" w:hanging="360"/>
      </w:pPr>
    </w:lvl>
    <w:lvl w:ilvl="7" w:tplc="BA2EEC60">
      <w:start w:val="1"/>
      <w:numFmt w:val="decimal"/>
      <w:lvlText w:val="%8."/>
      <w:lvlJc w:val="left"/>
      <w:pPr>
        <w:ind w:left="1020" w:hanging="360"/>
      </w:pPr>
    </w:lvl>
    <w:lvl w:ilvl="8" w:tplc="D0981444">
      <w:start w:val="1"/>
      <w:numFmt w:val="decimal"/>
      <w:lvlText w:val="%9."/>
      <w:lvlJc w:val="left"/>
      <w:pPr>
        <w:ind w:left="1020" w:hanging="360"/>
      </w:pPr>
    </w:lvl>
  </w:abstractNum>
  <w:abstractNum w:abstractNumId="2" w15:restartNumberingAfterBreak="0">
    <w:nsid w:val="062318D1"/>
    <w:multiLevelType w:val="hybridMultilevel"/>
    <w:tmpl w:val="8FB44E8A"/>
    <w:lvl w:ilvl="0" w:tplc="8B9C5890">
      <w:start w:val="1"/>
      <w:numFmt w:val="decimal"/>
      <w:lvlText w:val="%1."/>
      <w:lvlJc w:val="left"/>
      <w:pPr>
        <w:ind w:left="1020" w:hanging="360"/>
      </w:pPr>
    </w:lvl>
    <w:lvl w:ilvl="1" w:tplc="10863376">
      <w:start w:val="1"/>
      <w:numFmt w:val="decimal"/>
      <w:lvlText w:val="%2."/>
      <w:lvlJc w:val="left"/>
      <w:pPr>
        <w:ind w:left="1020" w:hanging="360"/>
      </w:pPr>
    </w:lvl>
    <w:lvl w:ilvl="2" w:tplc="C69A7D74">
      <w:start w:val="1"/>
      <w:numFmt w:val="decimal"/>
      <w:lvlText w:val="%3."/>
      <w:lvlJc w:val="left"/>
      <w:pPr>
        <w:ind w:left="1020" w:hanging="360"/>
      </w:pPr>
    </w:lvl>
    <w:lvl w:ilvl="3" w:tplc="59D6B9CC">
      <w:start w:val="1"/>
      <w:numFmt w:val="decimal"/>
      <w:lvlText w:val="%4."/>
      <w:lvlJc w:val="left"/>
      <w:pPr>
        <w:ind w:left="1020" w:hanging="360"/>
      </w:pPr>
    </w:lvl>
    <w:lvl w:ilvl="4" w:tplc="60E82D5A">
      <w:start w:val="1"/>
      <w:numFmt w:val="decimal"/>
      <w:lvlText w:val="%5."/>
      <w:lvlJc w:val="left"/>
      <w:pPr>
        <w:ind w:left="1020" w:hanging="360"/>
      </w:pPr>
    </w:lvl>
    <w:lvl w:ilvl="5" w:tplc="1AC663CE">
      <w:start w:val="1"/>
      <w:numFmt w:val="decimal"/>
      <w:lvlText w:val="%6."/>
      <w:lvlJc w:val="left"/>
      <w:pPr>
        <w:ind w:left="1020" w:hanging="360"/>
      </w:pPr>
    </w:lvl>
    <w:lvl w:ilvl="6" w:tplc="6428B62E">
      <w:start w:val="1"/>
      <w:numFmt w:val="decimal"/>
      <w:lvlText w:val="%7."/>
      <w:lvlJc w:val="left"/>
      <w:pPr>
        <w:ind w:left="1020" w:hanging="360"/>
      </w:pPr>
    </w:lvl>
    <w:lvl w:ilvl="7" w:tplc="8760E0CA">
      <w:start w:val="1"/>
      <w:numFmt w:val="decimal"/>
      <w:lvlText w:val="%8."/>
      <w:lvlJc w:val="left"/>
      <w:pPr>
        <w:ind w:left="1020" w:hanging="360"/>
      </w:pPr>
    </w:lvl>
    <w:lvl w:ilvl="8" w:tplc="6292E508">
      <w:start w:val="1"/>
      <w:numFmt w:val="decimal"/>
      <w:lvlText w:val="%9."/>
      <w:lvlJc w:val="left"/>
      <w:pPr>
        <w:ind w:left="1020" w:hanging="360"/>
      </w:pPr>
    </w:lvl>
  </w:abstractNum>
  <w:abstractNum w:abstractNumId="3" w15:restartNumberingAfterBreak="0">
    <w:nsid w:val="06B02F0E"/>
    <w:multiLevelType w:val="hybridMultilevel"/>
    <w:tmpl w:val="CAAE0DC2"/>
    <w:lvl w:ilvl="0" w:tplc="0B5C1B5A">
      <w:start w:val="1"/>
      <w:numFmt w:val="decimal"/>
      <w:lvlText w:val="%1)"/>
      <w:lvlJc w:val="left"/>
      <w:pPr>
        <w:ind w:left="1020" w:hanging="360"/>
      </w:pPr>
    </w:lvl>
    <w:lvl w:ilvl="1" w:tplc="C650794A">
      <w:start w:val="1"/>
      <w:numFmt w:val="decimal"/>
      <w:lvlText w:val="%2)"/>
      <w:lvlJc w:val="left"/>
      <w:pPr>
        <w:ind w:left="1020" w:hanging="360"/>
      </w:pPr>
    </w:lvl>
    <w:lvl w:ilvl="2" w:tplc="A3E878F2">
      <w:start w:val="1"/>
      <w:numFmt w:val="decimal"/>
      <w:lvlText w:val="%3)"/>
      <w:lvlJc w:val="left"/>
      <w:pPr>
        <w:ind w:left="1020" w:hanging="360"/>
      </w:pPr>
    </w:lvl>
    <w:lvl w:ilvl="3" w:tplc="4BC2BD06">
      <w:start w:val="1"/>
      <w:numFmt w:val="decimal"/>
      <w:lvlText w:val="%4)"/>
      <w:lvlJc w:val="left"/>
      <w:pPr>
        <w:ind w:left="1020" w:hanging="360"/>
      </w:pPr>
    </w:lvl>
    <w:lvl w:ilvl="4" w:tplc="48041550">
      <w:start w:val="1"/>
      <w:numFmt w:val="decimal"/>
      <w:lvlText w:val="%5)"/>
      <w:lvlJc w:val="left"/>
      <w:pPr>
        <w:ind w:left="1020" w:hanging="360"/>
      </w:pPr>
    </w:lvl>
    <w:lvl w:ilvl="5" w:tplc="21DC5520">
      <w:start w:val="1"/>
      <w:numFmt w:val="decimal"/>
      <w:lvlText w:val="%6)"/>
      <w:lvlJc w:val="left"/>
      <w:pPr>
        <w:ind w:left="1020" w:hanging="360"/>
      </w:pPr>
    </w:lvl>
    <w:lvl w:ilvl="6" w:tplc="43F20D66">
      <w:start w:val="1"/>
      <w:numFmt w:val="decimal"/>
      <w:lvlText w:val="%7)"/>
      <w:lvlJc w:val="left"/>
      <w:pPr>
        <w:ind w:left="1020" w:hanging="360"/>
      </w:pPr>
    </w:lvl>
    <w:lvl w:ilvl="7" w:tplc="528678A6">
      <w:start w:val="1"/>
      <w:numFmt w:val="decimal"/>
      <w:lvlText w:val="%8)"/>
      <w:lvlJc w:val="left"/>
      <w:pPr>
        <w:ind w:left="1020" w:hanging="360"/>
      </w:pPr>
    </w:lvl>
    <w:lvl w:ilvl="8" w:tplc="0ED8C138">
      <w:start w:val="1"/>
      <w:numFmt w:val="decimal"/>
      <w:lvlText w:val="%9)"/>
      <w:lvlJc w:val="left"/>
      <w:pPr>
        <w:ind w:left="1020" w:hanging="360"/>
      </w:pPr>
    </w:lvl>
  </w:abstractNum>
  <w:abstractNum w:abstractNumId="4" w15:restartNumberingAfterBreak="0">
    <w:nsid w:val="08D91D95"/>
    <w:multiLevelType w:val="hybridMultilevel"/>
    <w:tmpl w:val="3A0E7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29192D"/>
    <w:multiLevelType w:val="hybridMultilevel"/>
    <w:tmpl w:val="ECAAD3B8"/>
    <w:lvl w:ilvl="0" w:tplc="AFD634FC">
      <w:start w:val="1"/>
      <w:numFmt w:val="bullet"/>
      <w:lvlText w:val=""/>
      <w:lvlJc w:val="left"/>
      <w:pPr>
        <w:ind w:left="720" w:hanging="360"/>
      </w:pPr>
      <w:rPr>
        <w:rFonts w:ascii="Symbol" w:hAnsi="Symbol" w:hint="default"/>
      </w:rPr>
    </w:lvl>
    <w:lvl w:ilvl="1" w:tplc="0BF891F8">
      <w:start w:val="1"/>
      <w:numFmt w:val="bullet"/>
      <w:lvlText w:val="o"/>
      <w:lvlJc w:val="left"/>
      <w:pPr>
        <w:ind w:left="1440" w:hanging="360"/>
      </w:pPr>
      <w:rPr>
        <w:rFonts w:ascii="Courier New" w:hAnsi="Courier New" w:cs="Courier New" w:hint="default"/>
      </w:rPr>
    </w:lvl>
    <w:lvl w:ilvl="2" w:tplc="4A2499D0" w:tentative="1">
      <w:start w:val="1"/>
      <w:numFmt w:val="bullet"/>
      <w:lvlText w:val=""/>
      <w:lvlJc w:val="left"/>
      <w:pPr>
        <w:ind w:left="2160" w:hanging="360"/>
      </w:pPr>
      <w:rPr>
        <w:rFonts w:ascii="Wingdings" w:hAnsi="Wingdings" w:hint="default"/>
      </w:rPr>
    </w:lvl>
    <w:lvl w:ilvl="3" w:tplc="41CA2D96" w:tentative="1">
      <w:start w:val="1"/>
      <w:numFmt w:val="bullet"/>
      <w:lvlText w:val=""/>
      <w:lvlJc w:val="left"/>
      <w:pPr>
        <w:ind w:left="2880" w:hanging="360"/>
      </w:pPr>
      <w:rPr>
        <w:rFonts w:ascii="Symbol" w:hAnsi="Symbol" w:hint="default"/>
      </w:rPr>
    </w:lvl>
    <w:lvl w:ilvl="4" w:tplc="1A429B64" w:tentative="1">
      <w:start w:val="1"/>
      <w:numFmt w:val="bullet"/>
      <w:lvlText w:val="o"/>
      <w:lvlJc w:val="left"/>
      <w:pPr>
        <w:ind w:left="3600" w:hanging="360"/>
      </w:pPr>
      <w:rPr>
        <w:rFonts w:ascii="Courier New" w:hAnsi="Courier New" w:cs="Courier New" w:hint="default"/>
      </w:rPr>
    </w:lvl>
    <w:lvl w:ilvl="5" w:tplc="B8B0BE1E" w:tentative="1">
      <w:start w:val="1"/>
      <w:numFmt w:val="bullet"/>
      <w:lvlText w:val=""/>
      <w:lvlJc w:val="left"/>
      <w:pPr>
        <w:ind w:left="4320" w:hanging="360"/>
      </w:pPr>
      <w:rPr>
        <w:rFonts w:ascii="Wingdings" w:hAnsi="Wingdings" w:hint="default"/>
      </w:rPr>
    </w:lvl>
    <w:lvl w:ilvl="6" w:tplc="357AFB4E" w:tentative="1">
      <w:start w:val="1"/>
      <w:numFmt w:val="bullet"/>
      <w:lvlText w:val=""/>
      <w:lvlJc w:val="left"/>
      <w:pPr>
        <w:ind w:left="5040" w:hanging="360"/>
      </w:pPr>
      <w:rPr>
        <w:rFonts w:ascii="Symbol" w:hAnsi="Symbol" w:hint="default"/>
      </w:rPr>
    </w:lvl>
    <w:lvl w:ilvl="7" w:tplc="7C040F6E" w:tentative="1">
      <w:start w:val="1"/>
      <w:numFmt w:val="bullet"/>
      <w:lvlText w:val="o"/>
      <w:lvlJc w:val="left"/>
      <w:pPr>
        <w:ind w:left="5760" w:hanging="360"/>
      </w:pPr>
      <w:rPr>
        <w:rFonts w:ascii="Courier New" w:hAnsi="Courier New" w:cs="Courier New" w:hint="default"/>
      </w:rPr>
    </w:lvl>
    <w:lvl w:ilvl="8" w:tplc="4208B790" w:tentative="1">
      <w:start w:val="1"/>
      <w:numFmt w:val="bullet"/>
      <w:lvlText w:val=""/>
      <w:lvlJc w:val="left"/>
      <w:pPr>
        <w:ind w:left="6480" w:hanging="360"/>
      </w:pPr>
      <w:rPr>
        <w:rFonts w:ascii="Wingdings" w:hAnsi="Wingdings" w:hint="default"/>
      </w:rPr>
    </w:lvl>
  </w:abstractNum>
  <w:abstractNum w:abstractNumId="6" w15:restartNumberingAfterBreak="0">
    <w:nsid w:val="12ED4578"/>
    <w:multiLevelType w:val="hybridMultilevel"/>
    <w:tmpl w:val="2E0629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FC1663"/>
    <w:multiLevelType w:val="hybridMultilevel"/>
    <w:tmpl w:val="A7A01F34"/>
    <w:lvl w:ilvl="0" w:tplc="10C24886">
      <w:start w:val="1"/>
      <w:numFmt w:val="bullet"/>
      <w:lvlText w:val=""/>
      <w:lvlJc w:val="left"/>
      <w:pPr>
        <w:ind w:left="720" w:hanging="360"/>
      </w:pPr>
      <w:rPr>
        <w:rFonts w:ascii="Symbol" w:hAnsi="Symbol" w:hint="default"/>
      </w:rPr>
    </w:lvl>
    <w:lvl w:ilvl="1" w:tplc="D41CB83A">
      <w:start w:val="1"/>
      <w:numFmt w:val="bullet"/>
      <w:lvlText w:val="-"/>
      <w:lvlJc w:val="left"/>
      <w:pPr>
        <w:ind w:left="1440" w:hanging="360"/>
      </w:pPr>
      <w:rPr>
        <w:rFonts w:ascii="Courier New" w:hAnsi="Courier New" w:hint="default"/>
      </w:rPr>
    </w:lvl>
    <w:lvl w:ilvl="2" w:tplc="11FE9002" w:tentative="1">
      <w:start w:val="1"/>
      <w:numFmt w:val="bullet"/>
      <w:lvlText w:val=""/>
      <w:lvlJc w:val="left"/>
      <w:pPr>
        <w:ind w:left="2160" w:hanging="360"/>
      </w:pPr>
      <w:rPr>
        <w:rFonts w:ascii="Wingdings" w:hAnsi="Wingdings" w:hint="default"/>
      </w:rPr>
    </w:lvl>
    <w:lvl w:ilvl="3" w:tplc="24B6B66C" w:tentative="1">
      <w:start w:val="1"/>
      <w:numFmt w:val="bullet"/>
      <w:lvlText w:val=""/>
      <w:lvlJc w:val="left"/>
      <w:pPr>
        <w:ind w:left="2880" w:hanging="360"/>
      </w:pPr>
      <w:rPr>
        <w:rFonts w:ascii="Symbol" w:hAnsi="Symbol" w:hint="default"/>
      </w:rPr>
    </w:lvl>
    <w:lvl w:ilvl="4" w:tplc="BAAE4E70" w:tentative="1">
      <w:start w:val="1"/>
      <w:numFmt w:val="bullet"/>
      <w:lvlText w:val="o"/>
      <w:lvlJc w:val="left"/>
      <w:pPr>
        <w:ind w:left="3600" w:hanging="360"/>
      </w:pPr>
      <w:rPr>
        <w:rFonts w:ascii="Courier New" w:hAnsi="Courier New" w:cs="Courier New" w:hint="default"/>
      </w:rPr>
    </w:lvl>
    <w:lvl w:ilvl="5" w:tplc="9D74D7CC" w:tentative="1">
      <w:start w:val="1"/>
      <w:numFmt w:val="bullet"/>
      <w:lvlText w:val=""/>
      <w:lvlJc w:val="left"/>
      <w:pPr>
        <w:ind w:left="4320" w:hanging="360"/>
      </w:pPr>
      <w:rPr>
        <w:rFonts w:ascii="Wingdings" w:hAnsi="Wingdings" w:hint="default"/>
      </w:rPr>
    </w:lvl>
    <w:lvl w:ilvl="6" w:tplc="58704B36" w:tentative="1">
      <w:start w:val="1"/>
      <w:numFmt w:val="bullet"/>
      <w:lvlText w:val=""/>
      <w:lvlJc w:val="left"/>
      <w:pPr>
        <w:ind w:left="5040" w:hanging="360"/>
      </w:pPr>
      <w:rPr>
        <w:rFonts w:ascii="Symbol" w:hAnsi="Symbol" w:hint="default"/>
      </w:rPr>
    </w:lvl>
    <w:lvl w:ilvl="7" w:tplc="B54CAEAE" w:tentative="1">
      <w:start w:val="1"/>
      <w:numFmt w:val="bullet"/>
      <w:lvlText w:val="o"/>
      <w:lvlJc w:val="left"/>
      <w:pPr>
        <w:ind w:left="5760" w:hanging="360"/>
      </w:pPr>
      <w:rPr>
        <w:rFonts w:ascii="Courier New" w:hAnsi="Courier New" w:cs="Courier New" w:hint="default"/>
      </w:rPr>
    </w:lvl>
    <w:lvl w:ilvl="8" w:tplc="CE44905A" w:tentative="1">
      <w:start w:val="1"/>
      <w:numFmt w:val="bullet"/>
      <w:lvlText w:val=""/>
      <w:lvlJc w:val="left"/>
      <w:pPr>
        <w:ind w:left="6480" w:hanging="360"/>
      </w:pPr>
      <w:rPr>
        <w:rFonts w:ascii="Wingdings" w:hAnsi="Wingdings" w:hint="default"/>
      </w:rPr>
    </w:lvl>
  </w:abstractNum>
  <w:abstractNum w:abstractNumId="8" w15:restartNumberingAfterBreak="0">
    <w:nsid w:val="1B4B429C"/>
    <w:multiLevelType w:val="hybridMultilevel"/>
    <w:tmpl w:val="44D86A84"/>
    <w:lvl w:ilvl="0" w:tplc="938E1B68">
      <w:start w:val="1"/>
      <w:numFmt w:val="bullet"/>
      <w:lvlText w:val=""/>
      <w:lvlJc w:val="left"/>
      <w:pPr>
        <w:ind w:left="720" w:hanging="360"/>
      </w:pPr>
      <w:rPr>
        <w:rFonts w:ascii="Symbol" w:hAnsi="Symbol" w:hint="default"/>
      </w:rPr>
    </w:lvl>
    <w:lvl w:ilvl="1" w:tplc="DB3C06B4" w:tentative="1">
      <w:start w:val="1"/>
      <w:numFmt w:val="bullet"/>
      <w:lvlText w:val="o"/>
      <w:lvlJc w:val="left"/>
      <w:pPr>
        <w:ind w:left="1440" w:hanging="360"/>
      </w:pPr>
      <w:rPr>
        <w:rFonts w:ascii="Courier New" w:hAnsi="Courier New" w:cs="Courier New" w:hint="default"/>
      </w:rPr>
    </w:lvl>
    <w:lvl w:ilvl="2" w:tplc="9BF2FC60" w:tentative="1">
      <w:start w:val="1"/>
      <w:numFmt w:val="bullet"/>
      <w:lvlText w:val=""/>
      <w:lvlJc w:val="left"/>
      <w:pPr>
        <w:ind w:left="2160" w:hanging="360"/>
      </w:pPr>
      <w:rPr>
        <w:rFonts w:ascii="Wingdings" w:hAnsi="Wingdings" w:hint="default"/>
      </w:rPr>
    </w:lvl>
    <w:lvl w:ilvl="3" w:tplc="8C9CA97E" w:tentative="1">
      <w:start w:val="1"/>
      <w:numFmt w:val="bullet"/>
      <w:lvlText w:val=""/>
      <w:lvlJc w:val="left"/>
      <w:pPr>
        <w:ind w:left="2880" w:hanging="360"/>
      </w:pPr>
      <w:rPr>
        <w:rFonts w:ascii="Symbol" w:hAnsi="Symbol" w:hint="default"/>
      </w:rPr>
    </w:lvl>
    <w:lvl w:ilvl="4" w:tplc="E0EE9FC0" w:tentative="1">
      <w:start w:val="1"/>
      <w:numFmt w:val="bullet"/>
      <w:lvlText w:val="o"/>
      <w:lvlJc w:val="left"/>
      <w:pPr>
        <w:ind w:left="3600" w:hanging="360"/>
      </w:pPr>
      <w:rPr>
        <w:rFonts w:ascii="Courier New" w:hAnsi="Courier New" w:cs="Courier New" w:hint="default"/>
      </w:rPr>
    </w:lvl>
    <w:lvl w:ilvl="5" w:tplc="0D724348" w:tentative="1">
      <w:start w:val="1"/>
      <w:numFmt w:val="bullet"/>
      <w:lvlText w:val=""/>
      <w:lvlJc w:val="left"/>
      <w:pPr>
        <w:ind w:left="4320" w:hanging="360"/>
      </w:pPr>
      <w:rPr>
        <w:rFonts w:ascii="Wingdings" w:hAnsi="Wingdings" w:hint="default"/>
      </w:rPr>
    </w:lvl>
    <w:lvl w:ilvl="6" w:tplc="8C08B0BC" w:tentative="1">
      <w:start w:val="1"/>
      <w:numFmt w:val="bullet"/>
      <w:lvlText w:val=""/>
      <w:lvlJc w:val="left"/>
      <w:pPr>
        <w:ind w:left="5040" w:hanging="360"/>
      </w:pPr>
      <w:rPr>
        <w:rFonts w:ascii="Symbol" w:hAnsi="Symbol" w:hint="default"/>
      </w:rPr>
    </w:lvl>
    <w:lvl w:ilvl="7" w:tplc="92ECDA32" w:tentative="1">
      <w:start w:val="1"/>
      <w:numFmt w:val="bullet"/>
      <w:lvlText w:val="o"/>
      <w:lvlJc w:val="left"/>
      <w:pPr>
        <w:ind w:left="5760" w:hanging="360"/>
      </w:pPr>
      <w:rPr>
        <w:rFonts w:ascii="Courier New" w:hAnsi="Courier New" w:cs="Courier New" w:hint="default"/>
      </w:rPr>
    </w:lvl>
    <w:lvl w:ilvl="8" w:tplc="6D42E5CE" w:tentative="1">
      <w:start w:val="1"/>
      <w:numFmt w:val="bullet"/>
      <w:lvlText w:val=""/>
      <w:lvlJc w:val="left"/>
      <w:pPr>
        <w:ind w:left="6480" w:hanging="360"/>
      </w:pPr>
      <w:rPr>
        <w:rFonts w:ascii="Wingdings" w:hAnsi="Wingdings" w:hint="default"/>
      </w:rPr>
    </w:lvl>
  </w:abstractNum>
  <w:abstractNum w:abstractNumId="9" w15:restartNumberingAfterBreak="0">
    <w:nsid w:val="21A328D5"/>
    <w:multiLevelType w:val="multilevel"/>
    <w:tmpl w:val="BE78A4F8"/>
    <w:numStyleLink w:val="Numberlist"/>
  </w:abstractNum>
  <w:abstractNum w:abstractNumId="10"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313401D"/>
    <w:multiLevelType w:val="hybridMultilevel"/>
    <w:tmpl w:val="AA52AC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2E4834"/>
    <w:multiLevelType w:val="hybridMultilevel"/>
    <w:tmpl w:val="54B2A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550FA5"/>
    <w:multiLevelType w:val="hybridMultilevel"/>
    <w:tmpl w:val="176AA6DE"/>
    <w:lvl w:ilvl="0" w:tplc="02C6D14C">
      <w:start w:val="1"/>
      <w:numFmt w:val="decimal"/>
      <w:lvlText w:val="%1)"/>
      <w:lvlJc w:val="left"/>
      <w:pPr>
        <w:ind w:left="720" w:hanging="360"/>
      </w:pPr>
      <w:rPr>
        <w:rFonts w:hint="default"/>
      </w:rPr>
    </w:lvl>
    <w:lvl w:ilvl="1" w:tplc="105600CE" w:tentative="1">
      <w:start w:val="1"/>
      <w:numFmt w:val="lowerLetter"/>
      <w:lvlText w:val="%2."/>
      <w:lvlJc w:val="left"/>
      <w:pPr>
        <w:ind w:left="1440" w:hanging="360"/>
      </w:pPr>
    </w:lvl>
    <w:lvl w:ilvl="2" w:tplc="4E3229C8" w:tentative="1">
      <w:start w:val="1"/>
      <w:numFmt w:val="lowerRoman"/>
      <w:lvlText w:val="%3."/>
      <w:lvlJc w:val="right"/>
      <w:pPr>
        <w:ind w:left="2160" w:hanging="180"/>
      </w:pPr>
    </w:lvl>
    <w:lvl w:ilvl="3" w:tplc="5D5649D0" w:tentative="1">
      <w:start w:val="1"/>
      <w:numFmt w:val="decimal"/>
      <w:lvlText w:val="%4."/>
      <w:lvlJc w:val="left"/>
      <w:pPr>
        <w:ind w:left="2880" w:hanging="360"/>
      </w:pPr>
    </w:lvl>
    <w:lvl w:ilvl="4" w:tplc="0BFACDCA" w:tentative="1">
      <w:start w:val="1"/>
      <w:numFmt w:val="lowerLetter"/>
      <w:lvlText w:val="%5."/>
      <w:lvlJc w:val="left"/>
      <w:pPr>
        <w:ind w:left="3600" w:hanging="360"/>
      </w:pPr>
    </w:lvl>
    <w:lvl w:ilvl="5" w:tplc="3768E6EC" w:tentative="1">
      <w:start w:val="1"/>
      <w:numFmt w:val="lowerRoman"/>
      <w:lvlText w:val="%6."/>
      <w:lvlJc w:val="right"/>
      <w:pPr>
        <w:ind w:left="4320" w:hanging="180"/>
      </w:pPr>
    </w:lvl>
    <w:lvl w:ilvl="6" w:tplc="796207B4" w:tentative="1">
      <w:start w:val="1"/>
      <w:numFmt w:val="decimal"/>
      <w:lvlText w:val="%7."/>
      <w:lvlJc w:val="left"/>
      <w:pPr>
        <w:ind w:left="5040" w:hanging="360"/>
      </w:pPr>
    </w:lvl>
    <w:lvl w:ilvl="7" w:tplc="05107C6E" w:tentative="1">
      <w:start w:val="1"/>
      <w:numFmt w:val="lowerLetter"/>
      <w:lvlText w:val="%8."/>
      <w:lvlJc w:val="left"/>
      <w:pPr>
        <w:ind w:left="5760" w:hanging="360"/>
      </w:pPr>
    </w:lvl>
    <w:lvl w:ilvl="8" w:tplc="1EFE47A8" w:tentative="1">
      <w:start w:val="1"/>
      <w:numFmt w:val="lowerRoman"/>
      <w:lvlText w:val="%9."/>
      <w:lvlJc w:val="right"/>
      <w:pPr>
        <w:ind w:left="6480" w:hanging="180"/>
      </w:pPr>
    </w:lvl>
  </w:abstractNum>
  <w:abstractNum w:abstractNumId="14" w15:restartNumberingAfterBreak="0">
    <w:nsid w:val="329C3EDD"/>
    <w:multiLevelType w:val="multilevel"/>
    <w:tmpl w:val="C9AA1F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5CF0DDD"/>
    <w:multiLevelType w:val="hybridMultilevel"/>
    <w:tmpl w:val="ADB22242"/>
    <w:lvl w:ilvl="0" w:tplc="AECAEEA0">
      <w:start w:val="1"/>
      <w:numFmt w:val="bullet"/>
      <w:lvlText w:val=""/>
      <w:lvlJc w:val="left"/>
      <w:pPr>
        <w:ind w:left="720" w:hanging="360"/>
      </w:pPr>
      <w:rPr>
        <w:rFonts w:ascii="Symbol" w:hAnsi="Symbol" w:hint="default"/>
      </w:rPr>
    </w:lvl>
    <w:lvl w:ilvl="1" w:tplc="FA983E9A">
      <w:start w:val="1"/>
      <w:numFmt w:val="bullet"/>
      <w:lvlText w:val="o"/>
      <w:lvlJc w:val="left"/>
      <w:pPr>
        <w:ind w:left="1440" w:hanging="360"/>
      </w:pPr>
      <w:rPr>
        <w:rFonts w:ascii="Courier New" w:hAnsi="Courier New" w:cs="Courier New" w:hint="default"/>
      </w:rPr>
    </w:lvl>
    <w:lvl w:ilvl="2" w:tplc="FD067A32">
      <w:start w:val="1"/>
      <w:numFmt w:val="bullet"/>
      <w:lvlText w:val=""/>
      <w:lvlJc w:val="left"/>
      <w:pPr>
        <w:ind w:left="2160" w:hanging="360"/>
      </w:pPr>
      <w:rPr>
        <w:rFonts w:ascii="Wingdings" w:hAnsi="Wingdings" w:hint="default"/>
      </w:rPr>
    </w:lvl>
    <w:lvl w:ilvl="3" w:tplc="4D702728">
      <w:start w:val="1"/>
      <w:numFmt w:val="bullet"/>
      <w:lvlText w:val=""/>
      <w:lvlJc w:val="left"/>
      <w:pPr>
        <w:ind w:left="2880" w:hanging="360"/>
      </w:pPr>
      <w:rPr>
        <w:rFonts w:ascii="Symbol" w:hAnsi="Symbol" w:hint="default"/>
      </w:rPr>
    </w:lvl>
    <w:lvl w:ilvl="4" w:tplc="97A06C8C">
      <w:start w:val="1"/>
      <w:numFmt w:val="bullet"/>
      <w:lvlText w:val="o"/>
      <w:lvlJc w:val="left"/>
      <w:pPr>
        <w:ind w:left="3600" w:hanging="360"/>
      </w:pPr>
      <w:rPr>
        <w:rFonts w:ascii="Courier New" w:hAnsi="Courier New" w:cs="Courier New" w:hint="default"/>
      </w:rPr>
    </w:lvl>
    <w:lvl w:ilvl="5" w:tplc="B6FEDF04" w:tentative="1">
      <w:start w:val="1"/>
      <w:numFmt w:val="bullet"/>
      <w:lvlText w:val=""/>
      <w:lvlJc w:val="left"/>
      <w:pPr>
        <w:ind w:left="4320" w:hanging="360"/>
      </w:pPr>
      <w:rPr>
        <w:rFonts w:ascii="Wingdings" w:hAnsi="Wingdings" w:hint="default"/>
      </w:rPr>
    </w:lvl>
    <w:lvl w:ilvl="6" w:tplc="5E5A1F44" w:tentative="1">
      <w:start w:val="1"/>
      <w:numFmt w:val="bullet"/>
      <w:lvlText w:val=""/>
      <w:lvlJc w:val="left"/>
      <w:pPr>
        <w:ind w:left="5040" w:hanging="360"/>
      </w:pPr>
      <w:rPr>
        <w:rFonts w:ascii="Symbol" w:hAnsi="Symbol" w:hint="default"/>
      </w:rPr>
    </w:lvl>
    <w:lvl w:ilvl="7" w:tplc="C22CAEA4" w:tentative="1">
      <w:start w:val="1"/>
      <w:numFmt w:val="bullet"/>
      <w:lvlText w:val="o"/>
      <w:lvlJc w:val="left"/>
      <w:pPr>
        <w:ind w:left="5760" w:hanging="360"/>
      </w:pPr>
      <w:rPr>
        <w:rFonts w:ascii="Courier New" w:hAnsi="Courier New" w:cs="Courier New" w:hint="default"/>
      </w:rPr>
    </w:lvl>
    <w:lvl w:ilvl="8" w:tplc="63842CC8" w:tentative="1">
      <w:start w:val="1"/>
      <w:numFmt w:val="bullet"/>
      <w:lvlText w:val=""/>
      <w:lvlJc w:val="left"/>
      <w:pPr>
        <w:ind w:left="6480" w:hanging="360"/>
      </w:pPr>
      <w:rPr>
        <w:rFonts w:ascii="Wingdings" w:hAnsi="Wingdings" w:hint="default"/>
      </w:rPr>
    </w:lvl>
  </w:abstractNum>
  <w:abstractNum w:abstractNumId="16" w15:restartNumberingAfterBreak="0">
    <w:nsid w:val="394A15FE"/>
    <w:multiLevelType w:val="multilevel"/>
    <w:tmpl w:val="F36C17E8"/>
    <w:numStyleLink w:val="Headinglist"/>
  </w:abstractNum>
  <w:abstractNum w:abstractNumId="17" w15:restartNumberingAfterBreak="0">
    <w:nsid w:val="3DB053CB"/>
    <w:multiLevelType w:val="multilevel"/>
    <w:tmpl w:val="6CCE765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E64CE"/>
    <w:multiLevelType w:val="hybridMultilevel"/>
    <w:tmpl w:val="E3C8FBCE"/>
    <w:lvl w:ilvl="0" w:tplc="CE46E0E2">
      <w:start w:val="1"/>
      <w:numFmt w:val="decimal"/>
      <w:lvlText w:val="%1)"/>
      <w:lvlJc w:val="left"/>
      <w:pPr>
        <w:ind w:left="1020" w:hanging="360"/>
      </w:pPr>
    </w:lvl>
    <w:lvl w:ilvl="1" w:tplc="F68A94DE">
      <w:start w:val="1"/>
      <w:numFmt w:val="decimal"/>
      <w:lvlText w:val="%2)"/>
      <w:lvlJc w:val="left"/>
      <w:pPr>
        <w:ind w:left="1020" w:hanging="360"/>
      </w:pPr>
    </w:lvl>
    <w:lvl w:ilvl="2" w:tplc="A63E162A">
      <w:start w:val="1"/>
      <w:numFmt w:val="decimal"/>
      <w:lvlText w:val="%3)"/>
      <w:lvlJc w:val="left"/>
      <w:pPr>
        <w:ind w:left="1020" w:hanging="360"/>
      </w:pPr>
    </w:lvl>
    <w:lvl w:ilvl="3" w:tplc="B866A510">
      <w:start w:val="1"/>
      <w:numFmt w:val="decimal"/>
      <w:lvlText w:val="%4)"/>
      <w:lvlJc w:val="left"/>
      <w:pPr>
        <w:ind w:left="1020" w:hanging="360"/>
      </w:pPr>
    </w:lvl>
    <w:lvl w:ilvl="4" w:tplc="E2B6041C">
      <w:start w:val="1"/>
      <w:numFmt w:val="decimal"/>
      <w:lvlText w:val="%5)"/>
      <w:lvlJc w:val="left"/>
      <w:pPr>
        <w:ind w:left="1020" w:hanging="360"/>
      </w:pPr>
    </w:lvl>
    <w:lvl w:ilvl="5" w:tplc="16982788">
      <w:start w:val="1"/>
      <w:numFmt w:val="decimal"/>
      <w:lvlText w:val="%6)"/>
      <w:lvlJc w:val="left"/>
      <w:pPr>
        <w:ind w:left="1020" w:hanging="360"/>
      </w:pPr>
    </w:lvl>
    <w:lvl w:ilvl="6" w:tplc="14147FE6">
      <w:start w:val="1"/>
      <w:numFmt w:val="decimal"/>
      <w:lvlText w:val="%7)"/>
      <w:lvlJc w:val="left"/>
      <w:pPr>
        <w:ind w:left="1020" w:hanging="360"/>
      </w:pPr>
    </w:lvl>
    <w:lvl w:ilvl="7" w:tplc="3954BC30">
      <w:start w:val="1"/>
      <w:numFmt w:val="decimal"/>
      <w:lvlText w:val="%8)"/>
      <w:lvlJc w:val="left"/>
      <w:pPr>
        <w:ind w:left="1020" w:hanging="360"/>
      </w:pPr>
    </w:lvl>
    <w:lvl w:ilvl="8" w:tplc="37B0DC14">
      <w:start w:val="1"/>
      <w:numFmt w:val="decimal"/>
      <w:lvlText w:val="%9)"/>
      <w:lvlJc w:val="left"/>
      <w:pPr>
        <w:ind w:left="1020" w:hanging="360"/>
      </w:pPr>
    </w:lvl>
  </w:abstractNum>
  <w:abstractNum w:abstractNumId="19" w15:restartNumberingAfterBreak="0">
    <w:nsid w:val="4B1479D5"/>
    <w:multiLevelType w:val="hybridMultilevel"/>
    <w:tmpl w:val="70A00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6D6065"/>
    <w:multiLevelType w:val="hybridMultilevel"/>
    <w:tmpl w:val="BE4E2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5E2DC6"/>
    <w:multiLevelType w:val="hybridMultilevel"/>
    <w:tmpl w:val="A07E7C2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8A462C7"/>
    <w:multiLevelType w:val="multilevel"/>
    <w:tmpl w:val="6794076E"/>
    <w:lvl w:ilvl="0">
      <w:start w:val="1"/>
      <w:numFmt w:val="bullet"/>
      <w:lvlText w:val=""/>
      <w:lvlJc w:val="left"/>
      <w:pPr>
        <w:ind w:left="369" w:hanging="369"/>
      </w:pPr>
      <w:rPr>
        <w:rFonts w:ascii="Symbol" w:hAnsi="Symbol" w:hint="default"/>
      </w:rPr>
    </w:lvl>
    <w:lvl w:ilvl="1">
      <w:start w:val="1"/>
      <w:numFmt w:val="bullet"/>
      <w:lvlText w:val=""/>
      <w:lvlJc w:val="left"/>
      <w:pPr>
        <w:ind w:left="737" w:hanging="368"/>
      </w:pPr>
      <w:rPr>
        <w:rFonts w:ascii="Symbol" w:hAnsi="Symbol"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3" w15:restartNumberingAfterBreak="0">
    <w:nsid w:val="5AA12966"/>
    <w:multiLevelType w:val="multilevel"/>
    <w:tmpl w:val="A0241B28"/>
    <w:styleLink w:val="List1"/>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4"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5" w15:restartNumberingAfterBreak="0">
    <w:nsid w:val="633A7C55"/>
    <w:multiLevelType w:val="hybridMultilevel"/>
    <w:tmpl w:val="2E20D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ED28DF"/>
    <w:multiLevelType w:val="hybridMultilevel"/>
    <w:tmpl w:val="37CE4902"/>
    <w:lvl w:ilvl="0" w:tplc="B84A65B0">
      <w:start w:val="1"/>
      <w:numFmt w:val="bullet"/>
      <w:lvlText w:val=""/>
      <w:lvlJc w:val="left"/>
      <w:pPr>
        <w:ind w:left="720" w:hanging="360"/>
      </w:pPr>
      <w:rPr>
        <w:rFonts w:ascii="Symbol" w:hAnsi="Symbol" w:hint="default"/>
      </w:rPr>
    </w:lvl>
    <w:lvl w:ilvl="1" w:tplc="697E94AE" w:tentative="1">
      <w:start w:val="1"/>
      <w:numFmt w:val="bullet"/>
      <w:lvlText w:val="o"/>
      <w:lvlJc w:val="left"/>
      <w:pPr>
        <w:ind w:left="1440" w:hanging="360"/>
      </w:pPr>
      <w:rPr>
        <w:rFonts w:ascii="Courier New" w:hAnsi="Courier New" w:cs="Courier New" w:hint="default"/>
      </w:rPr>
    </w:lvl>
    <w:lvl w:ilvl="2" w:tplc="3D206A16" w:tentative="1">
      <w:start w:val="1"/>
      <w:numFmt w:val="bullet"/>
      <w:lvlText w:val=""/>
      <w:lvlJc w:val="left"/>
      <w:pPr>
        <w:ind w:left="2160" w:hanging="360"/>
      </w:pPr>
      <w:rPr>
        <w:rFonts w:ascii="Wingdings" w:hAnsi="Wingdings" w:hint="default"/>
      </w:rPr>
    </w:lvl>
    <w:lvl w:ilvl="3" w:tplc="283E2D44" w:tentative="1">
      <w:start w:val="1"/>
      <w:numFmt w:val="bullet"/>
      <w:lvlText w:val=""/>
      <w:lvlJc w:val="left"/>
      <w:pPr>
        <w:ind w:left="2880" w:hanging="360"/>
      </w:pPr>
      <w:rPr>
        <w:rFonts w:ascii="Symbol" w:hAnsi="Symbol" w:hint="default"/>
      </w:rPr>
    </w:lvl>
    <w:lvl w:ilvl="4" w:tplc="F80C9B4E" w:tentative="1">
      <w:start w:val="1"/>
      <w:numFmt w:val="bullet"/>
      <w:lvlText w:val="o"/>
      <w:lvlJc w:val="left"/>
      <w:pPr>
        <w:ind w:left="3600" w:hanging="360"/>
      </w:pPr>
      <w:rPr>
        <w:rFonts w:ascii="Courier New" w:hAnsi="Courier New" w:cs="Courier New" w:hint="default"/>
      </w:rPr>
    </w:lvl>
    <w:lvl w:ilvl="5" w:tplc="8D965DD8" w:tentative="1">
      <w:start w:val="1"/>
      <w:numFmt w:val="bullet"/>
      <w:lvlText w:val=""/>
      <w:lvlJc w:val="left"/>
      <w:pPr>
        <w:ind w:left="4320" w:hanging="360"/>
      </w:pPr>
      <w:rPr>
        <w:rFonts w:ascii="Wingdings" w:hAnsi="Wingdings" w:hint="default"/>
      </w:rPr>
    </w:lvl>
    <w:lvl w:ilvl="6" w:tplc="B16282A6" w:tentative="1">
      <w:start w:val="1"/>
      <w:numFmt w:val="bullet"/>
      <w:lvlText w:val=""/>
      <w:lvlJc w:val="left"/>
      <w:pPr>
        <w:ind w:left="5040" w:hanging="360"/>
      </w:pPr>
      <w:rPr>
        <w:rFonts w:ascii="Symbol" w:hAnsi="Symbol" w:hint="default"/>
      </w:rPr>
    </w:lvl>
    <w:lvl w:ilvl="7" w:tplc="7D689DA0" w:tentative="1">
      <w:start w:val="1"/>
      <w:numFmt w:val="bullet"/>
      <w:lvlText w:val="o"/>
      <w:lvlJc w:val="left"/>
      <w:pPr>
        <w:ind w:left="5760" w:hanging="360"/>
      </w:pPr>
      <w:rPr>
        <w:rFonts w:ascii="Courier New" w:hAnsi="Courier New" w:cs="Courier New" w:hint="default"/>
      </w:rPr>
    </w:lvl>
    <w:lvl w:ilvl="8" w:tplc="AE1AACCA" w:tentative="1">
      <w:start w:val="1"/>
      <w:numFmt w:val="bullet"/>
      <w:lvlText w:val=""/>
      <w:lvlJc w:val="left"/>
      <w:pPr>
        <w:ind w:left="6480" w:hanging="360"/>
      </w:pPr>
      <w:rPr>
        <w:rFonts w:ascii="Wingdings" w:hAnsi="Wingdings" w:hint="default"/>
      </w:rPr>
    </w:lvl>
  </w:abstractNum>
  <w:abstractNum w:abstractNumId="27" w15:restartNumberingAfterBreak="0">
    <w:nsid w:val="69CD215A"/>
    <w:multiLevelType w:val="hybridMultilevel"/>
    <w:tmpl w:val="6A5CC886"/>
    <w:lvl w:ilvl="0" w:tplc="455E8642">
      <w:start w:val="1"/>
      <w:numFmt w:val="bullet"/>
      <w:lvlText w:val=""/>
      <w:lvlJc w:val="left"/>
      <w:pPr>
        <w:ind w:left="1440" w:hanging="360"/>
      </w:pPr>
      <w:rPr>
        <w:rFonts w:ascii="Symbol" w:hAnsi="Symbol"/>
      </w:rPr>
    </w:lvl>
    <w:lvl w:ilvl="1" w:tplc="107CC9E8">
      <w:start w:val="1"/>
      <w:numFmt w:val="bullet"/>
      <w:lvlText w:val=""/>
      <w:lvlJc w:val="left"/>
      <w:pPr>
        <w:ind w:left="1440" w:hanging="360"/>
      </w:pPr>
      <w:rPr>
        <w:rFonts w:ascii="Symbol" w:hAnsi="Symbol"/>
      </w:rPr>
    </w:lvl>
    <w:lvl w:ilvl="2" w:tplc="753E4EB0">
      <w:start w:val="1"/>
      <w:numFmt w:val="bullet"/>
      <w:lvlText w:val=""/>
      <w:lvlJc w:val="left"/>
      <w:pPr>
        <w:ind w:left="1440" w:hanging="360"/>
      </w:pPr>
      <w:rPr>
        <w:rFonts w:ascii="Symbol" w:hAnsi="Symbol"/>
      </w:rPr>
    </w:lvl>
    <w:lvl w:ilvl="3" w:tplc="26A4E0B0">
      <w:start w:val="1"/>
      <w:numFmt w:val="bullet"/>
      <w:lvlText w:val=""/>
      <w:lvlJc w:val="left"/>
      <w:pPr>
        <w:ind w:left="1440" w:hanging="360"/>
      </w:pPr>
      <w:rPr>
        <w:rFonts w:ascii="Symbol" w:hAnsi="Symbol"/>
      </w:rPr>
    </w:lvl>
    <w:lvl w:ilvl="4" w:tplc="58342748">
      <w:start w:val="1"/>
      <w:numFmt w:val="bullet"/>
      <w:lvlText w:val=""/>
      <w:lvlJc w:val="left"/>
      <w:pPr>
        <w:ind w:left="1440" w:hanging="360"/>
      </w:pPr>
      <w:rPr>
        <w:rFonts w:ascii="Symbol" w:hAnsi="Symbol"/>
      </w:rPr>
    </w:lvl>
    <w:lvl w:ilvl="5" w:tplc="39E216CE">
      <w:start w:val="1"/>
      <w:numFmt w:val="bullet"/>
      <w:lvlText w:val=""/>
      <w:lvlJc w:val="left"/>
      <w:pPr>
        <w:ind w:left="1440" w:hanging="360"/>
      </w:pPr>
      <w:rPr>
        <w:rFonts w:ascii="Symbol" w:hAnsi="Symbol"/>
      </w:rPr>
    </w:lvl>
    <w:lvl w:ilvl="6" w:tplc="4704F138">
      <w:start w:val="1"/>
      <w:numFmt w:val="bullet"/>
      <w:lvlText w:val=""/>
      <w:lvlJc w:val="left"/>
      <w:pPr>
        <w:ind w:left="1440" w:hanging="360"/>
      </w:pPr>
      <w:rPr>
        <w:rFonts w:ascii="Symbol" w:hAnsi="Symbol"/>
      </w:rPr>
    </w:lvl>
    <w:lvl w:ilvl="7" w:tplc="B1CC5164">
      <w:start w:val="1"/>
      <w:numFmt w:val="bullet"/>
      <w:lvlText w:val=""/>
      <w:lvlJc w:val="left"/>
      <w:pPr>
        <w:ind w:left="1440" w:hanging="360"/>
      </w:pPr>
      <w:rPr>
        <w:rFonts w:ascii="Symbol" w:hAnsi="Symbol"/>
      </w:rPr>
    </w:lvl>
    <w:lvl w:ilvl="8" w:tplc="EAD69C46">
      <w:start w:val="1"/>
      <w:numFmt w:val="bullet"/>
      <w:lvlText w:val=""/>
      <w:lvlJc w:val="left"/>
      <w:pPr>
        <w:ind w:left="1440" w:hanging="360"/>
      </w:pPr>
      <w:rPr>
        <w:rFonts w:ascii="Symbol" w:hAnsi="Symbol"/>
      </w:rPr>
    </w:lvl>
  </w:abstractNum>
  <w:abstractNum w:abstractNumId="28" w15:restartNumberingAfterBreak="0">
    <w:nsid w:val="70900FAC"/>
    <w:multiLevelType w:val="hybridMultilevel"/>
    <w:tmpl w:val="C100D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5C025D4"/>
    <w:multiLevelType w:val="hybridMultilevel"/>
    <w:tmpl w:val="BEC045D6"/>
    <w:lvl w:ilvl="0" w:tplc="9358319C">
      <w:start w:val="1"/>
      <w:numFmt w:val="bullet"/>
      <w:lvlText w:val=""/>
      <w:lvlJc w:val="left"/>
      <w:pPr>
        <w:ind w:left="1160" w:hanging="360"/>
      </w:pPr>
      <w:rPr>
        <w:rFonts w:ascii="Symbol" w:hAnsi="Symbol"/>
      </w:rPr>
    </w:lvl>
    <w:lvl w:ilvl="1" w:tplc="A4D85D86">
      <w:start w:val="1"/>
      <w:numFmt w:val="bullet"/>
      <w:lvlText w:val=""/>
      <w:lvlJc w:val="left"/>
      <w:pPr>
        <w:ind w:left="1160" w:hanging="360"/>
      </w:pPr>
      <w:rPr>
        <w:rFonts w:ascii="Symbol" w:hAnsi="Symbol"/>
      </w:rPr>
    </w:lvl>
    <w:lvl w:ilvl="2" w:tplc="68AC13C0">
      <w:start w:val="1"/>
      <w:numFmt w:val="bullet"/>
      <w:lvlText w:val=""/>
      <w:lvlJc w:val="left"/>
      <w:pPr>
        <w:ind w:left="1160" w:hanging="360"/>
      </w:pPr>
      <w:rPr>
        <w:rFonts w:ascii="Symbol" w:hAnsi="Symbol"/>
      </w:rPr>
    </w:lvl>
    <w:lvl w:ilvl="3" w:tplc="02D6159E">
      <w:start w:val="1"/>
      <w:numFmt w:val="bullet"/>
      <w:lvlText w:val=""/>
      <w:lvlJc w:val="left"/>
      <w:pPr>
        <w:ind w:left="1160" w:hanging="360"/>
      </w:pPr>
      <w:rPr>
        <w:rFonts w:ascii="Symbol" w:hAnsi="Symbol"/>
      </w:rPr>
    </w:lvl>
    <w:lvl w:ilvl="4" w:tplc="CCDA52EA">
      <w:start w:val="1"/>
      <w:numFmt w:val="bullet"/>
      <w:lvlText w:val=""/>
      <w:lvlJc w:val="left"/>
      <w:pPr>
        <w:ind w:left="1160" w:hanging="360"/>
      </w:pPr>
      <w:rPr>
        <w:rFonts w:ascii="Symbol" w:hAnsi="Symbol"/>
      </w:rPr>
    </w:lvl>
    <w:lvl w:ilvl="5" w:tplc="60D2F3FC">
      <w:start w:val="1"/>
      <w:numFmt w:val="bullet"/>
      <w:lvlText w:val=""/>
      <w:lvlJc w:val="left"/>
      <w:pPr>
        <w:ind w:left="1160" w:hanging="360"/>
      </w:pPr>
      <w:rPr>
        <w:rFonts w:ascii="Symbol" w:hAnsi="Symbol"/>
      </w:rPr>
    </w:lvl>
    <w:lvl w:ilvl="6" w:tplc="96BC337E">
      <w:start w:val="1"/>
      <w:numFmt w:val="bullet"/>
      <w:lvlText w:val=""/>
      <w:lvlJc w:val="left"/>
      <w:pPr>
        <w:ind w:left="1160" w:hanging="360"/>
      </w:pPr>
      <w:rPr>
        <w:rFonts w:ascii="Symbol" w:hAnsi="Symbol"/>
      </w:rPr>
    </w:lvl>
    <w:lvl w:ilvl="7" w:tplc="E21608A0">
      <w:start w:val="1"/>
      <w:numFmt w:val="bullet"/>
      <w:lvlText w:val=""/>
      <w:lvlJc w:val="left"/>
      <w:pPr>
        <w:ind w:left="1160" w:hanging="360"/>
      </w:pPr>
      <w:rPr>
        <w:rFonts w:ascii="Symbol" w:hAnsi="Symbol"/>
      </w:rPr>
    </w:lvl>
    <w:lvl w:ilvl="8" w:tplc="1CBA7A0C">
      <w:start w:val="1"/>
      <w:numFmt w:val="bullet"/>
      <w:lvlText w:val=""/>
      <w:lvlJc w:val="left"/>
      <w:pPr>
        <w:ind w:left="1160" w:hanging="360"/>
      </w:pPr>
      <w:rPr>
        <w:rFonts w:ascii="Symbol" w:hAnsi="Symbol"/>
      </w:rPr>
    </w:lvl>
  </w:abstractNum>
  <w:num w:numId="1" w16cid:durableId="1880777987">
    <w:abstractNumId w:val="0"/>
  </w:num>
  <w:num w:numId="2" w16cid:durableId="528877389">
    <w:abstractNumId w:val="14"/>
  </w:num>
  <w:num w:numId="3" w16cid:durableId="2122992223">
    <w:abstractNumId w:val="7"/>
  </w:num>
  <w:num w:numId="4" w16cid:durableId="604967106">
    <w:abstractNumId w:val="5"/>
  </w:num>
  <w:num w:numId="5" w16cid:durableId="1237281184">
    <w:abstractNumId w:val="26"/>
  </w:num>
  <w:num w:numId="6" w16cid:durableId="1613249140">
    <w:abstractNumId w:val="8"/>
  </w:num>
  <w:num w:numId="7" w16cid:durableId="1061900864">
    <w:abstractNumId w:val="24"/>
  </w:num>
  <w:num w:numId="8" w16cid:durableId="766661683">
    <w:abstractNumId w:val="9"/>
    <w:lvlOverride w:ilvl="0">
      <w:lvl w:ilvl="0">
        <w:numFmt w:val="decimal"/>
        <w:pStyle w:val="ListNumber"/>
        <w:lvlText w:val=""/>
        <w:lvlJc w:val="left"/>
      </w:lvl>
    </w:lvlOverride>
    <w:lvlOverride w:ilvl="1">
      <w:lvl w:ilvl="1">
        <w:start w:val="1"/>
        <w:numFmt w:val="lowerLetter"/>
        <w:pStyle w:val="ListNumber2"/>
        <w:lvlText w:val="%2)"/>
        <w:lvlJc w:val="left"/>
        <w:pPr>
          <w:ind w:left="851" w:hanging="426"/>
        </w:pPr>
        <w:rPr>
          <w:rFonts w:hint="default"/>
          <w:b w:val="0"/>
          <w:bCs w:val="0"/>
        </w:rPr>
      </w:lvl>
    </w:lvlOverride>
  </w:num>
  <w:num w:numId="9" w16cid:durableId="175656950">
    <w:abstractNumId w:val="9"/>
  </w:num>
  <w:num w:numId="10" w16cid:durableId="634457390">
    <w:abstractNumId w:val="10"/>
  </w:num>
  <w:num w:numId="11" w16cid:durableId="112949007">
    <w:abstractNumId w:val="16"/>
  </w:num>
  <w:num w:numId="12" w16cid:durableId="11087701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45912547">
    <w:abstractNumId w:val="9"/>
  </w:num>
  <w:num w:numId="14" w16cid:durableId="1609897555">
    <w:abstractNumId w:val="9"/>
    <w:lvlOverride w:ilvl="0">
      <w:startOverride w:val="1"/>
      <w:lvl w:ilvl="0">
        <w:start w:val="1"/>
        <w:numFmt w:val="decimal"/>
        <w:pStyle w:val="ListNumber"/>
        <w:lvlText w:val=""/>
        <w:lvlJc w:val="left"/>
      </w:lvl>
    </w:lvlOverride>
    <w:lvlOverride w:ilvl="1">
      <w:startOverride w:val="1"/>
      <w:lvl w:ilvl="1">
        <w:start w:val="1"/>
        <w:numFmt w:val="lowerLetter"/>
        <w:pStyle w:val="ListNumber2"/>
        <w:lvlText w:val="%2)"/>
        <w:lvlJc w:val="left"/>
        <w:pPr>
          <w:ind w:left="851" w:hanging="426"/>
        </w:pPr>
        <w:rPr>
          <w:rFonts w:hint="default"/>
          <w:b w:val="0"/>
          <w:bCs w:val="0"/>
        </w:rPr>
      </w:lvl>
    </w:lvlOverride>
    <w:lvlOverride w:ilvl="2">
      <w:startOverride w:val="1"/>
      <w:lvl w:ilvl="2">
        <w:start w:val="1"/>
        <w:numFmt w:val="decimal"/>
        <w:pStyle w:val="ListNumber3"/>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5" w16cid:durableId="726301139">
    <w:abstractNumId w:val="9"/>
    <w:lvlOverride w:ilvl="0">
      <w:startOverride w:val="1"/>
      <w:lvl w:ilvl="0">
        <w:start w:val="1"/>
        <w:numFmt w:val="decimal"/>
        <w:pStyle w:val="ListNumber"/>
        <w:lvlText w:val=""/>
        <w:lvlJc w:val="left"/>
      </w:lvl>
    </w:lvlOverride>
    <w:lvlOverride w:ilvl="1">
      <w:startOverride w:val="1"/>
      <w:lvl w:ilvl="1">
        <w:start w:val="1"/>
        <w:numFmt w:val="lowerLetter"/>
        <w:pStyle w:val="ListNumber2"/>
        <w:lvlText w:val="%2)"/>
        <w:lvlJc w:val="left"/>
        <w:pPr>
          <w:ind w:left="851" w:hanging="426"/>
        </w:pPr>
        <w:rPr>
          <w:rFonts w:hint="default"/>
          <w:sz w:val="22"/>
          <w:szCs w:val="22"/>
        </w:rPr>
      </w:lvl>
    </w:lvlOverride>
    <w:lvlOverride w:ilvl="2">
      <w:startOverride w:val="1"/>
      <w:lvl w:ilvl="2">
        <w:start w:val="1"/>
        <w:numFmt w:val="decimal"/>
        <w:pStyle w:val="ListNumber3"/>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num>
  <w:num w:numId="16" w16cid:durableId="263153917">
    <w:abstractNumId w:val="15"/>
  </w:num>
  <w:num w:numId="17" w16cid:durableId="946498782">
    <w:abstractNumId w:val="22"/>
  </w:num>
  <w:num w:numId="18" w16cid:durableId="1143504652">
    <w:abstractNumId w:val="13"/>
  </w:num>
  <w:num w:numId="19" w16cid:durableId="1627202883">
    <w:abstractNumId w:val="9"/>
    <w:lvlOverride w:ilvl="0">
      <w:lvl w:ilvl="0">
        <w:numFmt w:val="decimal"/>
        <w:pStyle w:val="ListNumber"/>
        <w:lvlText w:val=""/>
        <w:lvlJc w:val="left"/>
      </w:lvl>
    </w:lvlOverride>
    <w:lvlOverride w:ilvl="1">
      <w:lvl w:ilvl="1">
        <w:start w:val="1"/>
        <w:numFmt w:val="lowerLetter"/>
        <w:pStyle w:val="ListNumber2"/>
        <w:lvlText w:val="%2)"/>
        <w:lvlJc w:val="left"/>
        <w:pPr>
          <w:ind w:left="851" w:hanging="426"/>
        </w:pPr>
        <w:rPr>
          <w:rFonts w:hint="default"/>
          <w:b w:val="0"/>
          <w:bCs w:val="0"/>
        </w:rPr>
      </w:lvl>
    </w:lvlOverride>
  </w:num>
  <w:num w:numId="20" w16cid:durableId="1274164853">
    <w:abstractNumId w:val="6"/>
  </w:num>
  <w:num w:numId="21" w16cid:durableId="750540989">
    <w:abstractNumId w:val="11"/>
  </w:num>
  <w:num w:numId="22" w16cid:durableId="1515533029">
    <w:abstractNumId w:val="19"/>
  </w:num>
  <w:num w:numId="23" w16cid:durableId="1980113466">
    <w:abstractNumId w:val="20"/>
  </w:num>
  <w:num w:numId="24" w16cid:durableId="144706690">
    <w:abstractNumId w:val="4"/>
  </w:num>
  <w:num w:numId="25" w16cid:durableId="940600860">
    <w:abstractNumId w:val="28"/>
  </w:num>
  <w:num w:numId="26" w16cid:durableId="900286454">
    <w:abstractNumId w:val="18"/>
  </w:num>
  <w:num w:numId="27" w16cid:durableId="1816022600">
    <w:abstractNumId w:val="27"/>
  </w:num>
  <w:num w:numId="28" w16cid:durableId="2173998">
    <w:abstractNumId w:val="12"/>
  </w:num>
  <w:num w:numId="29" w16cid:durableId="222912584">
    <w:abstractNumId w:val="3"/>
  </w:num>
  <w:num w:numId="30" w16cid:durableId="1693337639">
    <w:abstractNumId w:val="16"/>
  </w:num>
  <w:num w:numId="31" w16cid:durableId="626425788">
    <w:abstractNumId w:val="16"/>
  </w:num>
  <w:num w:numId="32" w16cid:durableId="299187339">
    <w:abstractNumId w:val="16"/>
  </w:num>
  <w:num w:numId="33" w16cid:durableId="1446343198">
    <w:abstractNumId w:val="17"/>
  </w:num>
  <w:num w:numId="34" w16cid:durableId="94862634">
    <w:abstractNumId w:val="25"/>
  </w:num>
  <w:num w:numId="35" w16cid:durableId="1623149182">
    <w:abstractNumId w:val="29"/>
  </w:num>
  <w:num w:numId="36" w16cid:durableId="2014257155">
    <w:abstractNumId w:val="1"/>
  </w:num>
  <w:num w:numId="37" w16cid:durableId="2022586296">
    <w:abstractNumId w:val="2"/>
  </w:num>
  <w:num w:numId="38" w16cid:durableId="1205406264">
    <w:abstractNumId w:val="16"/>
  </w:num>
  <w:num w:numId="39" w16cid:durableId="452479032">
    <w:abstractNumId w:val="21"/>
  </w:num>
  <w:num w:numId="40" w16cid:durableId="3810571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01"/>
    <w:rsid w:val="00006009"/>
    <w:rsid w:val="000066E4"/>
    <w:rsid w:val="00007BB2"/>
    <w:rsid w:val="0001008A"/>
    <w:rsid w:val="00010F98"/>
    <w:rsid w:val="00010FB5"/>
    <w:rsid w:val="00012939"/>
    <w:rsid w:val="00013A55"/>
    <w:rsid w:val="00014982"/>
    <w:rsid w:val="000156EF"/>
    <w:rsid w:val="000158BC"/>
    <w:rsid w:val="00017A7F"/>
    <w:rsid w:val="000224BD"/>
    <w:rsid w:val="0002361A"/>
    <w:rsid w:val="00023A7C"/>
    <w:rsid w:val="00024C5D"/>
    <w:rsid w:val="0002500A"/>
    <w:rsid w:val="0002614D"/>
    <w:rsid w:val="00035AB9"/>
    <w:rsid w:val="0004072B"/>
    <w:rsid w:val="000425C2"/>
    <w:rsid w:val="000454E9"/>
    <w:rsid w:val="00046A8A"/>
    <w:rsid w:val="00047C6D"/>
    <w:rsid w:val="00060E4B"/>
    <w:rsid w:val="000627FE"/>
    <w:rsid w:val="00062B7C"/>
    <w:rsid w:val="00062E80"/>
    <w:rsid w:val="00063778"/>
    <w:rsid w:val="000645C7"/>
    <w:rsid w:val="000709B2"/>
    <w:rsid w:val="000734B4"/>
    <w:rsid w:val="00075BF4"/>
    <w:rsid w:val="000768DD"/>
    <w:rsid w:val="00077D97"/>
    <w:rsid w:val="00077EFD"/>
    <w:rsid w:val="00081056"/>
    <w:rsid w:val="00083400"/>
    <w:rsid w:val="00084625"/>
    <w:rsid w:val="00085A04"/>
    <w:rsid w:val="00090979"/>
    <w:rsid w:val="00090A6C"/>
    <w:rsid w:val="0009246B"/>
    <w:rsid w:val="00092D63"/>
    <w:rsid w:val="00094E79"/>
    <w:rsid w:val="00096D86"/>
    <w:rsid w:val="000A07FE"/>
    <w:rsid w:val="000A1656"/>
    <w:rsid w:val="000A39D6"/>
    <w:rsid w:val="000A3FC4"/>
    <w:rsid w:val="000A52A2"/>
    <w:rsid w:val="000A59F9"/>
    <w:rsid w:val="000A6102"/>
    <w:rsid w:val="000A614B"/>
    <w:rsid w:val="000A657D"/>
    <w:rsid w:val="000A7426"/>
    <w:rsid w:val="000A77CB"/>
    <w:rsid w:val="000A77F0"/>
    <w:rsid w:val="000B2A12"/>
    <w:rsid w:val="000B42B0"/>
    <w:rsid w:val="000B4994"/>
    <w:rsid w:val="000B590D"/>
    <w:rsid w:val="000B612B"/>
    <w:rsid w:val="000B7567"/>
    <w:rsid w:val="000C5C4A"/>
    <w:rsid w:val="000C67FA"/>
    <w:rsid w:val="000D1969"/>
    <w:rsid w:val="000D613A"/>
    <w:rsid w:val="000E14D5"/>
    <w:rsid w:val="000E2D81"/>
    <w:rsid w:val="000E3AA9"/>
    <w:rsid w:val="000E4797"/>
    <w:rsid w:val="000E7442"/>
    <w:rsid w:val="000F01BC"/>
    <w:rsid w:val="000F03D4"/>
    <w:rsid w:val="000F0B06"/>
    <w:rsid w:val="000F0B2F"/>
    <w:rsid w:val="000F38F2"/>
    <w:rsid w:val="000F4146"/>
    <w:rsid w:val="000F477D"/>
    <w:rsid w:val="0010013C"/>
    <w:rsid w:val="001003F2"/>
    <w:rsid w:val="00101CB9"/>
    <w:rsid w:val="00103FEE"/>
    <w:rsid w:val="001047D6"/>
    <w:rsid w:val="00104B28"/>
    <w:rsid w:val="0010733A"/>
    <w:rsid w:val="0011491D"/>
    <w:rsid w:val="001157C6"/>
    <w:rsid w:val="001167E8"/>
    <w:rsid w:val="00116964"/>
    <w:rsid w:val="00117395"/>
    <w:rsid w:val="00121B2D"/>
    <w:rsid w:val="0012328F"/>
    <w:rsid w:val="00123772"/>
    <w:rsid w:val="00130375"/>
    <w:rsid w:val="00131E9D"/>
    <w:rsid w:val="00135E1D"/>
    <w:rsid w:val="00140F59"/>
    <w:rsid w:val="00144D9F"/>
    <w:rsid w:val="001464C8"/>
    <w:rsid w:val="00146FE0"/>
    <w:rsid w:val="00150663"/>
    <w:rsid w:val="00152837"/>
    <w:rsid w:val="00157A79"/>
    <w:rsid w:val="00157D27"/>
    <w:rsid w:val="0016072E"/>
    <w:rsid w:val="001632B5"/>
    <w:rsid w:val="00164810"/>
    <w:rsid w:val="00166324"/>
    <w:rsid w:val="00173072"/>
    <w:rsid w:val="00176E63"/>
    <w:rsid w:val="001771D4"/>
    <w:rsid w:val="001800F4"/>
    <w:rsid w:val="001804F4"/>
    <w:rsid w:val="001826EC"/>
    <w:rsid w:val="00182EE6"/>
    <w:rsid w:val="00185B9C"/>
    <w:rsid w:val="001871E2"/>
    <w:rsid w:val="001872E8"/>
    <w:rsid w:val="001901AC"/>
    <w:rsid w:val="0019063B"/>
    <w:rsid w:val="00194036"/>
    <w:rsid w:val="00194CD7"/>
    <w:rsid w:val="00195847"/>
    <w:rsid w:val="001A1B32"/>
    <w:rsid w:val="001A1F55"/>
    <w:rsid w:val="001A24A0"/>
    <w:rsid w:val="001A26CA"/>
    <w:rsid w:val="001A328C"/>
    <w:rsid w:val="001A37DA"/>
    <w:rsid w:val="001A62C7"/>
    <w:rsid w:val="001A75E5"/>
    <w:rsid w:val="001B3931"/>
    <w:rsid w:val="001B3BCA"/>
    <w:rsid w:val="001B4BE7"/>
    <w:rsid w:val="001B57BF"/>
    <w:rsid w:val="001B6578"/>
    <w:rsid w:val="001B7C15"/>
    <w:rsid w:val="001C05E3"/>
    <w:rsid w:val="001C2501"/>
    <w:rsid w:val="001C2A08"/>
    <w:rsid w:val="001C5AC7"/>
    <w:rsid w:val="001C78DD"/>
    <w:rsid w:val="001C7C4D"/>
    <w:rsid w:val="001D0563"/>
    <w:rsid w:val="001D11F8"/>
    <w:rsid w:val="001D1AD8"/>
    <w:rsid w:val="001D2584"/>
    <w:rsid w:val="001D3032"/>
    <w:rsid w:val="001D3C22"/>
    <w:rsid w:val="001D7143"/>
    <w:rsid w:val="001D73BD"/>
    <w:rsid w:val="001E0DAF"/>
    <w:rsid w:val="001E0DC3"/>
    <w:rsid w:val="001E228A"/>
    <w:rsid w:val="001E541B"/>
    <w:rsid w:val="001F05FC"/>
    <w:rsid w:val="001F0F97"/>
    <w:rsid w:val="001F41B1"/>
    <w:rsid w:val="001F47A4"/>
    <w:rsid w:val="001F51DD"/>
    <w:rsid w:val="001F5E4D"/>
    <w:rsid w:val="00202A61"/>
    <w:rsid w:val="00204577"/>
    <w:rsid w:val="0020481A"/>
    <w:rsid w:val="002048A7"/>
    <w:rsid w:val="002077D7"/>
    <w:rsid w:val="0021277F"/>
    <w:rsid w:val="0021493F"/>
    <w:rsid w:val="00222D33"/>
    <w:rsid w:val="0022347B"/>
    <w:rsid w:val="00223511"/>
    <w:rsid w:val="00223E0A"/>
    <w:rsid w:val="00223EF2"/>
    <w:rsid w:val="0022795D"/>
    <w:rsid w:val="00233A67"/>
    <w:rsid w:val="00234102"/>
    <w:rsid w:val="00234A26"/>
    <w:rsid w:val="00234C1F"/>
    <w:rsid w:val="00235852"/>
    <w:rsid w:val="00236901"/>
    <w:rsid w:val="00251540"/>
    <w:rsid w:val="002516FA"/>
    <w:rsid w:val="00251862"/>
    <w:rsid w:val="00254123"/>
    <w:rsid w:val="002557C6"/>
    <w:rsid w:val="0025645B"/>
    <w:rsid w:val="00260713"/>
    <w:rsid w:val="00260B8F"/>
    <w:rsid w:val="00260E51"/>
    <w:rsid w:val="0026183B"/>
    <w:rsid w:val="00261850"/>
    <w:rsid w:val="00262071"/>
    <w:rsid w:val="0026732B"/>
    <w:rsid w:val="002679ED"/>
    <w:rsid w:val="0027015F"/>
    <w:rsid w:val="00273030"/>
    <w:rsid w:val="00273B2D"/>
    <w:rsid w:val="00274064"/>
    <w:rsid w:val="0027760A"/>
    <w:rsid w:val="00277CE2"/>
    <w:rsid w:val="00281216"/>
    <w:rsid w:val="00282985"/>
    <w:rsid w:val="00285EBC"/>
    <w:rsid w:val="0028798C"/>
    <w:rsid w:val="00291EA4"/>
    <w:rsid w:val="002935A1"/>
    <w:rsid w:val="00293CC2"/>
    <w:rsid w:val="00294964"/>
    <w:rsid w:val="00295ED0"/>
    <w:rsid w:val="00297791"/>
    <w:rsid w:val="002A05A4"/>
    <w:rsid w:val="002A0BED"/>
    <w:rsid w:val="002A1568"/>
    <w:rsid w:val="002A61E9"/>
    <w:rsid w:val="002A6CFB"/>
    <w:rsid w:val="002A7662"/>
    <w:rsid w:val="002A7E21"/>
    <w:rsid w:val="002B074D"/>
    <w:rsid w:val="002B234A"/>
    <w:rsid w:val="002B4915"/>
    <w:rsid w:val="002B7200"/>
    <w:rsid w:val="002C07C8"/>
    <w:rsid w:val="002C1022"/>
    <w:rsid w:val="002C2F7E"/>
    <w:rsid w:val="002C33B3"/>
    <w:rsid w:val="002C367C"/>
    <w:rsid w:val="002C4770"/>
    <w:rsid w:val="002C4958"/>
    <w:rsid w:val="002C5CC0"/>
    <w:rsid w:val="002C5DF0"/>
    <w:rsid w:val="002D13AD"/>
    <w:rsid w:val="002D3DCB"/>
    <w:rsid w:val="002D7904"/>
    <w:rsid w:val="002E3DAC"/>
    <w:rsid w:val="002E45FC"/>
    <w:rsid w:val="002E61B0"/>
    <w:rsid w:val="002E6D03"/>
    <w:rsid w:val="002E7679"/>
    <w:rsid w:val="002E7DCB"/>
    <w:rsid w:val="002F469E"/>
    <w:rsid w:val="002F6F1D"/>
    <w:rsid w:val="00301C54"/>
    <w:rsid w:val="003040DD"/>
    <w:rsid w:val="00306DBC"/>
    <w:rsid w:val="00307B1D"/>
    <w:rsid w:val="00312273"/>
    <w:rsid w:val="00314065"/>
    <w:rsid w:val="0031426D"/>
    <w:rsid w:val="00314C2A"/>
    <w:rsid w:val="00315DF0"/>
    <w:rsid w:val="0031748A"/>
    <w:rsid w:val="003209A8"/>
    <w:rsid w:val="00320B4F"/>
    <w:rsid w:val="003235EC"/>
    <w:rsid w:val="003237CB"/>
    <w:rsid w:val="00323B2F"/>
    <w:rsid w:val="0032453B"/>
    <w:rsid w:val="0032480F"/>
    <w:rsid w:val="00326B2D"/>
    <w:rsid w:val="00327906"/>
    <w:rsid w:val="00331904"/>
    <w:rsid w:val="003319AD"/>
    <w:rsid w:val="003343A5"/>
    <w:rsid w:val="00335CF1"/>
    <w:rsid w:val="00336B97"/>
    <w:rsid w:val="00340419"/>
    <w:rsid w:val="00340E7A"/>
    <w:rsid w:val="00340F54"/>
    <w:rsid w:val="00340FD0"/>
    <w:rsid w:val="0034162A"/>
    <w:rsid w:val="0034377F"/>
    <w:rsid w:val="00344290"/>
    <w:rsid w:val="00346A1A"/>
    <w:rsid w:val="00350C71"/>
    <w:rsid w:val="00353FD7"/>
    <w:rsid w:val="00355286"/>
    <w:rsid w:val="00355951"/>
    <w:rsid w:val="003559D8"/>
    <w:rsid w:val="00355C8C"/>
    <w:rsid w:val="00355DDD"/>
    <w:rsid w:val="003604C7"/>
    <w:rsid w:val="00370CCC"/>
    <w:rsid w:val="003712F7"/>
    <w:rsid w:val="0037263D"/>
    <w:rsid w:val="003767CF"/>
    <w:rsid w:val="00376EFC"/>
    <w:rsid w:val="00377845"/>
    <w:rsid w:val="003778C4"/>
    <w:rsid w:val="00377CF0"/>
    <w:rsid w:val="003807D8"/>
    <w:rsid w:val="00381449"/>
    <w:rsid w:val="00381FFB"/>
    <w:rsid w:val="0038382B"/>
    <w:rsid w:val="00387436"/>
    <w:rsid w:val="00390919"/>
    <w:rsid w:val="003924E2"/>
    <w:rsid w:val="0039390D"/>
    <w:rsid w:val="00394B58"/>
    <w:rsid w:val="00396230"/>
    <w:rsid w:val="00396403"/>
    <w:rsid w:val="00396834"/>
    <w:rsid w:val="00396BAB"/>
    <w:rsid w:val="003A0D16"/>
    <w:rsid w:val="003A2FF8"/>
    <w:rsid w:val="003A515F"/>
    <w:rsid w:val="003A7EC1"/>
    <w:rsid w:val="003B0DCC"/>
    <w:rsid w:val="003B1A6A"/>
    <w:rsid w:val="003B1EFE"/>
    <w:rsid w:val="003B218B"/>
    <w:rsid w:val="003B4735"/>
    <w:rsid w:val="003B61C5"/>
    <w:rsid w:val="003C6407"/>
    <w:rsid w:val="003D154F"/>
    <w:rsid w:val="003D196C"/>
    <w:rsid w:val="003D1C5B"/>
    <w:rsid w:val="003D4B8C"/>
    <w:rsid w:val="003D4BA3"/>
    <w:rsid w:val="003D7796"/>
    <w:rsid w:val="003E1220"/>
    <w:rsid w:val="003E3952"/>
    <w:rsid w:val="003E4389"/>
    <w:rsid w:val="003E5AEF"/>
    <w:rsid w:val="003E5DAD"/>
    <w:rsid w:val="003E6445"/>
    <w:rsid w:val="003E7127"/>
    <w:rsid w:val="003F02C6"/>
    <w:rsid w:val="003F134C"/>
    <w:rsid w:val="003F34EE"/>
    <w:rsid w:val="003F7202"/>
    <w:rsid w:val="00400904"/>
    <w:rsid w:val="004017FC"/>
    <w:rsid w:val="004063DC"/>
    <w:rsid w:val="00406488"/>
    <w:rsid w:val="0040725A"/>
    <w:rsid w:val="00412A79"/>
    <w:rsid w:val="00412C9F"/>
    <w:rsid w:val="0041470C"/>
    <w:rsid w:val="00414FC9"/>
    <w:rsid w:val="004154C1"/>
    <w:rsid w:val="0041732E"/>
    <w:rsid w:val="00420439"/>
    <w:rsid w:val="00420F96"/>
    <w:rsid w:val="0042344C"/>
    <w:rsid w:val="0042352A"/>
    <w:rsid w:val="004255D7"/>
    <w:rsid w:val="00426320"/>
    <w:rsid w:val="00427BEE"/>
    <w:rsid w:val="00430B19"/>
    <w:rsid w:val="00434378"/>
    <w:rsid w:val="00434E1A"/>
    <w:rsid w:val="00434EFF"/>
    <w:rsid w:val="00435E52"/>
    <w:rsid w:val="004365D8"/>
    <w:rsid w:val="00437520"/>
    <w:rsid w:val="004412FC"/>
    <w:rsid w:val="004419FB"/>
    <w:rsid w:val="00446740"/>
    <w:rsid w:val="0044718B"/>
    <w:rsid w:val="004512AE"/>
    <w:rsid w:val="00454B50"/>
    <w:rsid w:val="00455F20"/>
    <w:rsid w:val="0045601A"/>
    <w:rsid w:val="00472DCA"/>
    <w:rsid w:val="00474683"/>
    <w:rsid w:val="004801EF"/>
    <w:rsid w:val="00480846"/>
    <w:rsid w:val="00481235"/>
    <w:rsid w:val="00482907"/>
    <w:rsid w:val="00482ADE"/>
    <w:rsid w:val="00483248"/>
    <w:rsid w:val="00484752"/>
    <w:rsid w:val="0048715D"/>
    <w:rsid w:val="0048750E"/>
    <w:rsid w:val="00490065"/>
    <w:rsid w:val="004913EA"/>
    <w:rsid w:val="00492874"/>
    <w:rsid w:val="00493C77"/>
    <w:rsid w:val="00494D0C"/>
    <w:rsid w:val="0049648D"/>
    <w:rsid w:val="00496F08"/>
    <w:rsid w:val="00496FB3"/>
    <w:rsid w:val="004A3494"/>
    <w:rsid w:val="004A4997"/>
    <w:rsid w:val="004A6977"/>
    <w:rsid w:val="004A7196"/>
    <w:rsid w:val="004A7FE0"/>
    <w:rsid w:val="004B12F0"/>
    <w:rsid w:val="004B1D5A"/>
    <w:rsid w:val="004B3261"/>
    <w:rsid w:val="004B35E0"/>
    <w:rsid w:val="004B44C6"/>
    <w:rsid w:val="004B4594"/>
    <w:rsid w:val="004B5AAB"/>
    <w:rsid w:val="004C022F"/>
    <w:rsid w:val="004C02DF"/>
    <w:rsid w:val="004C0B28"/>
    <w:rsid w:val="004C1830"/>
    <w:rsid w:val="004C2899"/>
    <w:rsid w:val="004C3522"/>
    <w:rsid w:val="004C47A4"/>
    <w:rsid w:val="004C5F7B"/>
    <w:rsid w:val="004C5F98"/>
    <w:rsid w:val="004C69F3"/>
    <w:rsid w:val="004C7632"/>
    <w:rsid w:val="004C7A69"/>
    <w:rsid w:val="004D165B"/>
    <w:rsid w:val="004D2214"/>
    <w:rsid w:val="004D2F6B"/>
    <w:rsid w:val="004D7091"/>
    <w:rsid w:val="004E0BE6"/>
    <w:rsid w:val="004E29DC"/>
    <w:rsid w:val="004E2CC4"/>
    <w:rsid w:val="004E4935"/>
    <w:rsid w:val="004E583B"/>
    <w:rsid w:val="004F0277"/>
    <w:rsid w:val="004F1453"/>
    <w:rsid w:val="004F191E"/>
    <w:rsid w:val="004F1A82"/>
    <w:rsid w:val="004F7282"/>
    <w:rsid w:val="005012AD"/>
    <w:rsid w:val="00503C69"/>
    <w:rsid w:val="00505696"/>
    <w:rsid w:val="00505E54"/>
    <w:rsid w:val="00505F4D"/>
    <w:rsid w:val="0051099B"/>
    <w:rsid w:val="00510BCE"/>
    <w:rsid w:val="0051469E"/>
    <w:rsid w:val="005150C2"/>
    <w:rsid w:val="005158C5"/>
    <w:rsid w:val="0051695E"/>
    <w:rsid w:val="005178FE"/>
    <w:rsid w:val="00517E69"/>
    <w:rsid w:val="00517F8C"/>
    <w:rsid w:val="00523B31"/>
    <w:rsid w:val="005263BA"/>
    <w:rsid w:val="005269AB"/>
    <w:rsid w:val="00527B70"/>
    <w:rsid w:val="00527B8E"/>
    <w:rsid w:val="00535361"/>
    <w:rsid w:val="00541076"/>
    <w:rsid w:val="00541913"/>
    <w:rsid w:val="00542EFB"/>
    <w:rsid w:val="00543158"/>
    <w:rsid w:val="005447BA"/>
    <w:rsid w:val="00550DC3"/>
    <w:rsid w:val="00553032"/>
    <w:rsid w:val="00553BE4"/>
    <w:rsid w:val="00556A52"/>
    <w:rsid w:val="0055713E"/>
    <w:rsid w:val="00557B4D"/>
    <w:rsid w:val="00562397"/>
    <w:rsid w:val="005628A5"/>
    <w:rsid w:val="00562EAA"/>
    <w:rsid w:val="00564422"/>
    <w:rsid w:val="00565245"/>
    <w:rsid w:val="00571439"/>
    <w:rsid w:val="005726BA"/>
    <w:rsid w:val="00573EAA"/>
    <w:rsid w:val="00577618"/>
    <w:rsid w:val="0057765B"/>
    <w:rsid w:val="00581638"/>
    <w:rsid w:val="005821B3"/>
    <w:rsid w:val="00583668"/>
    <w:rsid w:val="0059056E"/>
    <w:rsid w:val="005912B3"/>
    <w:rsid w:val="005922F8"/>
    <w:rsid w:val="00592364"/>
    <w:rsid w:val="00592A6F"/>
    <w:rsid w:val="005930B4"/>
    <w:rsid w:val="00594DA0"/>
    <w:rsid w:val="005959F6"/>
    <w:rsid w:val="005A52BA"/>
    <w:rsid w:val="005A6371"/>
    <w:rsid w:val="005A7B7C"/>
    <w:rsid w:val="005B00BF"/>
    <w:rsid w:val="005B25EF"/>
    <w:rsid w:val="005B4DE2"/>
    <w:rsid w:val="005B51AA"/>
    <w:rsid w:val="005B605D"/>
    <w:rsid w:val="005B7F70"/>
    <w:rsid w:val="005C33DA"/>
    <w:rsid w:val="005C3739"/>
    <w:rsid w:val="005D0C26"/>
    <w:rsid w:val="005D17A3"/>
    <w:rsid w:val="005D57AF"/>
    <w:rsid w:val="005D5C5C"/>
    <w:rsid w:val="005D7028"/>
    <w:rsid w:val="005D78D8"/>
    <w:rsid w:val="005D7B75"/>
    <w:rsid w:val="005E0973"/>
    <w:rsid w:val="005E432E"/>
    <w:rsid w:val="005E5C22"/>
    <w:rsid w:val="005E77D5"/>
    <w:rsid w:val="005F0AF0"/>
    <w:rsid w:val="0060174E"/>
    <w:rsid w:val="006020C2"/>
    <w:rsid w:val="00602D7D"/>
    <w:rsid w:val="00603BE4"/>
    <w:rsid w:val="0060662C"/>
    <w:rsid w:val="006110C8"/>
    <w:rsid w:val="00611ACB"/>
    <w:rsid w:val="00613F23"/>
    <w:rsid w:val="006143E8"/>
    <w:rsid w:val="00614600"/>
    <w:rsid w:val="006162FA"/>
    <w:rsid w:val="00616475"/>
    <w:rsid w:val="00616B66"/>
    <w:rsid w:val="006207A0"/>
    <w:rsid w:val="006223E3"/>
    <w:rsid w:val="006233AB"/>
    <w:rsid w:val="006259E1"/>
    <w:rsid w:val="0063121C"/>
    <w:rsid w:val="006411D3"/>
    <w:rsid w:val="00641E82"/>
    <w:rsid w:val="0064402A"/>
    <w:rsid w:val="00645422"/>
    <w:rsid w:val="00645D32"/>
    <w:rsid w:val="00646016"/>
    <w:rsid w:val="00646B54"/>
    <w:rsid w:val="00647494"/>
    <w:rsid w:val="006509FB"/>
    <w:rsid w:val="00652B7C"/>
    <w:rsid w:val="00654294"/>
    <w:rsid w:val="006544EC"/>
    <w:rsid w:val="00656C42"/>
    <w:rsid w:val="006636AC"/>
    <w:rsid w:val="00663CAB"/>
    <w:rsid w:val="00665402"/>
    <w:rsid w:val="006705DD"/>
    <w:rsid w:val="00671E68"/>
    <w:rsid w:val="006743B3"/>
    <w:rsid w:val="006810E2"/>
    <w:rsid w:val="006815A4"/>
    <w:rsid w:val="006847E1"/>
    <w:rsid w:val="00684F38"/>
    <w:rsid w:val="006856A7"/>
    <w:rsid w:val="00685BE5"/>
    <w:rsid w:val="00690CA7"/>
    <w:rsid w:val="00694D23"/>
    <w:rsid w:val="00697CEF"/>
    <w:rsid w:val="006A260F"/>
    <w:rsid w:val="006A42E7"/>
    <w:rsid w:val="006A5880"/>
    <w:rsid w:val="006A70AB"/>
    <w:rsid w:val="006B0725"/>
    <w:rsid w:val="006B0EFD"/>
    <w:rsid w:val="006B2A47"/>
    <w:rsid w:val="006B492A"/>
    <w:rsid w:val="006B5F3F"/>
    <w:rsid w:val="006B7129"/>
    <w:rsid w:val="006C123B"/>
    <w:rsid w:val="006C1B86"/>
    <w:rsid w:val="006C3144"/>
    <w:rsid w:val="006C3BA7"/>
    <w:rsid w:val="006C5403"/>
    <w:rsid w:val="006D0759"/>
    <w:rsid w:val="006D16B9"/>
    <w:rsid w:val="006D25E1"/>
    <w:rsid w:val="006D55E0"/>
    <w:rsid w:val="006D5BF4"/>
    <w:rsid w:val="006D5F85"/>
    <w:rsid w:val="006D710B"/>
    <w:rsid w:val="006D7123"/>
    <w:rsid w:val="006D7943"/>
    <w:rsid w:val="006E1384"/>
    <w:rsid w:val="006E192D"/>
    <w:rsid w:val="006E651D"/>
    <w:rsid w:val="006F2DE7"/>
    <w:rsid w:val="006F5828"/>
    <w:rsid w:val="007009C3"/>
    <w:rsid w:val="00700CC9"/>
    <w:rsid w:val="00702073"/>
    <w:rsid w:val="00702573"/>
    <w:rsid w:val="007066C9"/>
    <w:rsid w:val="00717D67"/>
    <w:rsid w:val="007210E8"/>
    <w:rsid w:val="00722750"/>
    <w:rsid w:val="007249DA"/>
    <w:rsid w:val="007260C9"/>
    <w:rsid w:val="007273DF"/>
    <w:rsid w:val="007354A5"/>
    <w:rsid w:val="00736BBF"/>
    <w:rsid w:val="0073700C"/>
    <w:rsid w:val="00737150"/>
    <w:rsid w:val="0074087D"/>
    <w:rsid w:val="0074155C"/>
    <w:rsid w:val="00742192"/>
    <w:rsid w:val="00744C6A"/>
    <w:rsid w:val="00745DF5"/>
    <w:rsid w:val="00746580"/>
    <w:rsid w:val="00747B13"/>
    <w:rsid w:val="00751374"/>
    <w:rsid w:val="00751552"/>
    <w:rsid w:val="00752B58"/>
    <w:rsid w:val="007543D9"/>
    <w:rsid w:val="00754DE7"/>
    <w:rsid w:val="00755F58"/>
    <w:rsid w:val="0075685B"/>
    <w:rsid w:val="00756D82"/>
    <w:rsid w:val="00757A05"/>
    <w:rsid w:val="00770714"/>
    <w:rsid w:val="00770B6B"/>
    <w:rsid w:val="00772386"/>
    <w:rsid w:val="00777926"/>
    <w:rsid w:val="007801E2"/>
    <w:rsid w:val="0078031A"/>
    <w:rsid w:val="00780F93"/>
    <w:rsid w:val="0078194C"/>
    <w:rsid w:val="007820EC"/>
    <w:rsid w:val="0078421F"/>
    <w:rsid w:val="00784FAD"/>
    <w:rsid w:val="00790A01"/>
    <w:rsid w:val="00790F41"/>
    <w:rsid w:val="007929C4"/>
    <w:rsid w:val="00793F14"/>
    <w:rsid w:val="007A2B6E"/>
    <w:rsid w:val="007A3912"/>
    <w:rsid w:val="007A4D55"/>
    <w:rsid w:val="007A5B50"/>
    <w:rsid w:val="007A6904"/>
    <w:rsid w:val="007A695B"/>
    <w:rsid w:val="007B0D35"/>
    <w:rsid w:val="007B591D"/>
    <w:rsid w:val="007B5A52"/>
    <w:rsid w:val="007B5B67"/>
    <w:rsid w:val="007B60F4"/>
    <w:rsid w:val="007B7F39"/>
    <w:rsid w:val="007C0199"/>
    <w:rsid w:val="007C0F78"/>
    <w:rsid w:val="007C2D62"/>
    <w:rsid w:val="007C5FAA"/>
    <w:rsid w:val="007D6E36"/>
    <w:rsid w:val="007E09E3"/>
    <w:rsid w:val="007E0DC0"/>
    <w:rsid w:val="007E21BD"/>
    <w:rsid w:val="007E4064"/>
    <w:rsid w:val="007E4F53"/>
    <w:rsid w:val="007E510D"/>
    <w:rsid w:val="007F3849"/>
    <w:rsid w:val="007F6325"/>
    <w:rsid w:val="007F6729"/>
    <w:rsid w:val="00800F08"/>
    <w:rsid w:val="00802F7A"/>
    <w:rsid w:val="00803882"/>
    <w:rsid w:val="00804767"/>
    <w:rsid w:val="00804D10"/>
    <w:rsid w:val="00807CEA"/>
    <w:rsid w:val="00810DE5"/>
    <w:rsid w:val="00811D7B"/>
    <w:rsid w:val="00812DB8"/>
    <w:rsid w:val="0081343F"/>
    <w:rsid w:val="00815360"/>
    <w:rsid w:val="0081618B"/>
    <w:rsid w:val="0081712F"/>
    <w:rsid w:val="00821CE4"/>
    <w:rsid w:val="00821EC2"/>
    <w:rsid w:val="008226B2"/>
    <w:rsid w:val="008227B1"/>
    <w:rsid w:val="00825074"/>
    <w:rsid w:val="00826239"/>
    <w:rsid w:val="00826589"/>
    <w:rsid w:val="00826B23"/>
    <w:rsid w:val="008323B7"/>
    <w:rsid w:val="008332DF"/>
    <w:rsid w:val="008337A2"/>
    <w:rsid w:val="00833BF3"/>
    <w:rsid w:val="00840DFA"/>
    <w:rsid w:val="00841FFD"/>
    <w:rsid w:val="00842D2B"/>
    <w:rsid w:val="008456D6"/>
    <w:rsid w:val="0084616B"/>
    <w:rsid w:val="00850E7D"/>
    <w:rsid w:val="008531F3"/>
    <w:rsid w:val="008538AF"/>
    <w:rsid w:val="008539D5"/>
    <w:rsid w:val="0085453A"/>
    <w:rsid w:val="00854626"/>
    <w:rsid w:val="0085629C"/>
    <w:rsid w:val="00857A0C"/>
    <w:rsid w:val="00860D00"/>
    <w:rsid w:val="00861614"/>
    <w:rsid w:val="008620CB"/>
    <w:rsid w:val="00866063"/>
    <w:rsid w:val="0087013B"/>
    <w:rsid w:val="00870867"/>
    <w:rsid w:val="00870CAB"/>
    <w:rsid w:val="00873503"/>
    <w:rsid w:val="00875195"/>
    <w:rsid w:val="008772C7"/>
    <w:rsid w:val="00877E14"/>
    <w:rsid w:val="008803ED"/>
    <w:rsid w:val="008814B9"/>
    <w:rsid w:val="008818C9"/>
    <w:rsid w:val="008819DC"/>
    <w:rsid w:val="00882C56"/>
    <w:rsid w:val="008843B5"/>
    <w:rsid w:val="00886EA7"/>
    <w:rsid w:val="008909D0"/>
    <w:rsid w:val="008930E5"/>
    <w:rsid w:val="00896FE6"/>
    <w:rsid w:val="008A1EBD"/>
    <w:rsid w:val="008A2C62"/>
    <w:rsid w:val="008A4030"/>
    <w:rsid w:val="008A7D65"/>
    <w:rsid w:val="008B0163"/>
    <w:rsid w:val="008B19BD"/>
    <w:rsid w:val="008B36AC"/>
    <w:rsid w:val="008C2E25"/>
    <w:rsid w:val="008C32E3"/>
    <w:rsid w:val="008C41AD"/>
    <w:rsid w:val="008D2BE0"/>
    <w:rsid w:val="008D2C8D"/>
    <w:rsid w:val="008D2C9D"/>
    <w:rsid w:val="008D505B"/>
    <w:rsid w:val="008D5969"/>
    <w:rsid w:val="008D5DE7"/>
    <w:rsid w:val="008D7C7C"/>
    <w:rsid w:val="008E0D62"/>
    <w:rsid w:val="008E15EC"/>
    <w:rsid w:val="008E21DD"/>
    <w:rsid w:val="008E6216"/>
    <w:rsid w:val="008E6991"/>
    <w:rsid w:val="008F1D80"/>
    <w:rsid w:val="008F1E8D"/>
    <w:rsid w:val="008F1EB5"/>
    <w:rsid w:val="008F3FBC"/>
    <w:rsid w:val="008F548C"/>
    <w:rsid w:val="00901557"/>
    <w:rsid w:val="00905579"/>
    <w:rsid w:val="00907BA2"/>
    <w:rsid w:val="009123F1"/>
    <w:rsid w:val="00913122"/>
    <w:rsid w:val="00914A40"/>
    <w:rsid w:val="00915B48"/>
    <w:rsid w:val="009166C4"/>
    <w:rsid w:val="009177F9"/>
    <w:rsid w:val="00917BE5"/>
    <w:rsid w:val="00917D91"/>
    <w:rsid w:val="00920B89"/>
    <w:rsid w:val="009214CA"/>
    <w:rsid w:val="00924602"/>
    <w:rsid w:val="00926E8B"/>
    <w:rsid w:val="00927ABF"/>
    <w:rsid w:val="00927DE8"/>
    <w:rsid w:val="00927EB2"/>
    <w:rsid w:val="009312F0"/>
    <w:rsid w:val="0093149B"/>
    <w:rsid w:val="00931B4A"/>
    <w:rsid w:val="00935F8D"/>
    <w:rsid w:val="00937749"/>
    <w:rsid w:val="0093781C"/>
    <w:rsid w:val="00941F24"/>
    <w:rsid w:val="00941FB4"/>
    <w:rsid w:val="00946981"/>
    <w:rsid w:val="009516D4"/>
    <w:rsid w:val="00954200"/>
    <w:rsid w:val="00954870"/>
    <w:rsid w:val="009576DB"/>
    <w:rsid w:val="00960A0F"/>
    <w:rsid w:val="0096184C"/>
    <w:rsid w:val="0096467B"/>
    <w:rsid w:val="00965E1D"/>
    <w:rsid w:val="00965E2C"/>
    <w:rsid w:val="00967BFC"/>
    <w:rsid w:val="0097054B"/>
    <w:rsid w:val="00971A75"/>
    <w:rsid w:val="00971E3B"/>
    <w:rsid w:val="00974DCF"/>
    <w:rsid w:val="009764B4"/>
    <w:rsid w:val="0097742A"/>
    <w:rsid w:val="009803C3"/>
    <w:rsid w:val="009808AF"/>
    <w:rsid w:val="00983471"/>
    <w:rsid w:val="00983C00"/>
    <w:rsid w:val="009855E1"/>
    <w:rsid w:val="009903A5"/>
    <w:rsid w:val="00990B46"/>
    <w:rsid w:val="009910F9"/>
    <w:rsid w:val="00994FE6"/>
    <w:rsid w:val="009962A9"/>
    <w:rsid w:val="009A0DF3"/>
    <w:rsid w:val="009A1C6E"/>
    <w:rsid w:val="009A52F7"/>
    <w:rsid w:val="009A6090"/>
    <w:rsid w:val="009A6FA6"/>
    <w:rsid w:val="009A7005"/>
    <w:rsid w:val="009B38EA"/>
    <w:rsid w:val="009B43E0"/>
    <w:rsid w:val="009B4E07"/>
    <w:rsid w:val="009B65C6"/>
    <w:rsid w:val="009C1869"/>
    <w:rsid w:val="009C26C4"/>
    <w:rsid w:val="009C2AF9"/>
    <w:rsid w:val="009C5560"/>
    <w:rsid w:val="009D0230"/>
    <w:rsid w:val="009D6299"/>
    <w:rsid w:val="009D6378"/>
    <w:rsid w:val="009E0FBB"/>
    <w:rsid w:val="009F04CE"/>
    <w:rsid w:val="009F19D7"/>
    <w:rsid w:val="009F4022"/>
    <w:rsid w:val="009F4C3E"/>
    <w:rsid w:val="009F5843"/>
    <w:rsid w:val="009F6071"/>
    <w:rsid w:val="00A00005"/>
    <w:rsid w:val="00A028E1"/>
    <w:rsid w:val="00A07813"/>
    <w:rsid w:val="00A11CCF"/>
    <w:rsid w:val="00A11E04"/>
    <w:rsid w:val="00A127F9"/>
    <w:rsid w:val="00A15CC3"/>
    <w:rsid w:val="00A16FAC"/>
    <w:rsid w:val="00A17126"/>
    <w:rsid w:val="00A20D51"/>
    <w:rsid w:val="00A21A2F"/>
    <w:rsid w:val="00A22246"/>
    <w:rsid w:val="00A24658"/>
    <w:rsid w:val="00A268BE"/>
    <w:rsid w:val="00A316CC"/>
    <w:rsid w:val="00A31781"/>
    <w:rsid w:val="00A32F89"/>
    <w:rsid w:val="00A34D4A"/>
    <w:rsid w:val="00A36038"/>
    <w:rsid w:val="00A4018D"/>
    <w:rsid w:val="00A47AF5"/>
    <w:rsid w:val="00A508F2"/>
    <w:rsid w:val="00A54BED"/>
    <w:rsid w:val="00A54FFA"/>
    <w:rsid w:val="00A55059"/>
    <w:rsid w:val="00A57EE8"/>
    <w:rsid w:val="00A60C31"/>
    <w:rsid w:val="00A60D30"/>
    <w:rsid w:val="00A625B7"/>
    <w:rsid w:val="00A64A3E"/>
    <w:rsid w:val="00A67A23"/>
    <w:rsid w:val="00A67CFB"/>
    <w:rsid w:val="00A70884"/>
    <w:rsid w:val="00A71DE2"/>
    <w:rsid w:val="00A7212C"/>
    <w:rsid w:val="00A72C66"/>
    <w:rsid w:val="00A73CBE"/>
    <w:rsid w:val="00A7447B"/>
    <w:rsid w:val="00A823C3"/>
    <w:rsid w:val="00A84EA6"/>
    <w:rsid w:val="00A85572"/>
    <w:rsid w:val="00A87564"/>
    <w:rsid w:val="00A87FD6"/>
    <w:rsid w:val="00A902B0"/>
    <w:rsid w:val="00A9124C"/>
    <w:rsid w:val="00A91469"/>
    <w:rsid w:val="00A91A56"/>
    <w:rsid w:val="00A95C41"/>
    <w:rsid w:val="00A96B8F"/>
    <w:rsid w:val="00A97BE1"/>
    <w:rsid w:val="00A97C93"/>
    <w:rsid w:val="00AA1E04"/>
    <w:rsid w:val="00AA4CD9"/>
    <w:rsid w:val="00AA524A"/>
    <w:rsid w:val="00AB0504"/>
    <w:rsid w:val="00AB1177"/>
    <w:rsid w:val="00AB1D75"/>
    <w:rsid w:val="00AB2F63"/>
    <w:rsid w:val="00AB3A7E"/>
    <w:rsid w:val="00AB56D4"/>
    <w:rsid w:val="00AB5FDF"/>
    <w:rsid w:val="00AB739E"/>
    <w:rsid w:val="00AC20BF"/>
    <w:rsid w:val="00AC392F"/>
    <w:rsid w:val="00AC3985"/>
    <w:rsid w:val="00AC63C7"/>
    <w:rsid w:val="00AC7913"/>
    <w:rsid w:val="00AD0345"/>
    <w:rsid w:val="00AD0980"/>
    <w:rsid w:val="00AD5A2B"/>
    <w:rsid w:val="00AD6BA9"/>
    <w:rsid w:val="00AD7673"/>
    <w:rsid w:val="00AD7D47"/>
    <w:rsid w:val="00AE2A22"/>
    <w:rsid w:val="00AE43D5"/>
    <w:rsid w:val="00AE49E5"/>
    <w:rsid w:val="00AE653E"/>
    <w:rsid w:val="00AE769E"/>
    <w:rsid w:val="00AF0AC3"/>
    <w:rsid w:val="00AF0CCA"/>
    <w:rsid w:val="00AF1CC7"/>
    <w:rsid w:val="00AF1D43"/>
    <w:rsid w:val="00AF331E"/>
    <w:rsid w:val="00AF36F5"/>
    <w:rsid w:val="00AF400F"/>
    <w:rsid w:val="00AF5226"/>
    <w:rsid w:val="00AF7FAB"/>
    <w:rsid w:val="00B00072"/>
    <w:rsid w:val="00B01B0E"/>
    <w:rsid w:val="00B01E62"/>
    <w:rsid w:val="00B06E86"/>
    <w:rsid w:val="00B071EE"/>
    <w:rsid w:val="00B07CCA"/>
    <w:rsid w:val="00B07FE2"/>
    <w:rsid w:val="00B12ACF"/>
    <w:rsid w:val="00B15FE0"/>
    <w:rsid w:val="00B1624D"/>
    <w:rsid w:val="00B17212"/>
    <w:rsid w:val="00B2221D"/>
    <w:rsid w:val="00B26073"/>
    <w:rsid w:val="00B2724A"/>
    <w:rsid w:val="00B31298"/>
    <w:rsid w:val="00B3478E"/>
    <w:rsid w:val="00B348F6"/>
    <w:rsid w:val="00B36CC2"/>
    <w:rsid w:val="00B3787E"/>
    <w:rsid w:val="00B42956"/>
    <w:rsid w:val="00B43163"/>
    <w:rsid w:val="00B470B2"/>
    <w:rsid w:val="00B50799"/>
    <w:rsid w:val="00B54B68"/>
    <w:rsid w:val="00B638DE"/>
    <w:rsid w:val="00B6516F"/>
    <w:rsid w:val="00B669DA"/>
    <w:rsid w:val="00B72E3B"/>
    <w:rsid w:val="00B731B3"/>
    <w:rsid w:val="00B73D0B"/>
    <w:rsid w:val="00B768E7"/>
    <w:rsid w:val="00B76E23"/>
    <w:rsid w:val="00B82A93"/>
    <w:rsid w:val="00B83997"/>
    <w:rsid w:val="00B84226"/>
    <w:rsid w:val="00B84FA2"/>
    <w:rsid w:val="00B8745E"/>
    <w:rsid w:val="00B87E47"/>
    <w:rsid w:val="00B906A5"/>
    <w:rsid w:val="00B91360"/>
    <w:rsid w:val="00BA02E5"/>
    <w:rsid w:val="00BA120B"/>
    <w:rsid w:val="00BA1462"/>
    <w:rsid w:val="00BA1801"/>
    <w:rsid w:val="00BA46F4"/>
    <w:rsid w:val="00BA60DF"/>
    <w:rsid w:val="00BA77E4"/>
    <w:rsid w:val="00BB14FD"/>
    <w:rsid w:val="00BB252E"/>
    <w:rsid w:val="00BB59EC"/>
    <w:rsid w:val="00BB7004"/>
    <w:rsid w:val="00BC0A71"/>
    <w:rsid w:val="00BC0AAB"/>
    <w:rsid w:val="00BC23ED"/>
    <w:rsid w:val="00BC5C83"/>
    <w:rsid w:val="00BC6331"/>
    <w:rsid w:val="00BC7B15"/>
    <w:rsid w:val="00BD2F28"/>
    <w:rsid w:val="00BD33F9"/>
    <w:rsid w:val="00BD3EA4"/>
    <w:rsid w:val="00BD4FF7"/>
    <w:rsid w:val="00BD688D"/>
    <w:rsid w:val="00BD6895"/>
    <w:rsid w:val="00BE2E88"/>
    <w:rsid w:val="00BE4579"/>
    <w:rsid w:val="00BE5CAA"/>
    <w:rsid w:val="00BE77DB"/>
    <w:rsid w:val="00BF2D7E"/>
    <w:rsid w:val="00C01630"/>
    <w:rsid w:val="00C02417"/>
    <w:rsid w:val="00C05D14"/>
    <w:rsid w:val="00C06097"/>
    <w:rsid w:val="00C13E5C"/>
    <w:rsid w:val="00C145C4"/>
    <w:rsid w:val="00C15051"/>
    <w:rsid w:val="00C1565D"/>
    <w:rsid w:val="00C17B1A"/>
    <w:rsid w:val="00C17F4C"/>
    <w:rsid w:val="00C21366"/>
    <w:rsid w:val="00C215CA"/>
    <w:rsid w:val="00C21E55"/>
    <w:rsid w:val="00C21FD8"/>
    <w:rsid w:val="00C221E1"/>
    <w:rsid w:val="00C26B4C"/>
    <w:rsid w:val="00C305EA"/>
    <w:rsid w:val="00C3570D"/>
    <w:rsid w:val="00C35816"/>
    <w:rsid w:val="00C35F2D"/>
    <w:rsid w:val="00C36C62"/>
    <w:rsid w:val="00C36D29"/>
    <w:rsid w:val="00C41F9B"/>
    <w:rsid w:val="00C4235A"/>
    <w:rsid w:val="00C44B92"/>
    <w:rsid w:val="00C44E21"/>
    <w:rsid w:val="00C44FE1"/>
    <w:rsid w:val="00C45BA7"/>
    <w:rsid w:val="00C45CD4"/>
    <w:rsid w:val="00C46402"/>
    <w:rsid w:val="00C531D0"/>
    <w:rsid w:val="00C5376A"/>
    <w:rsid w:val="00C53C22"/>
    <w:rsid w:val="00C60B58"/>
    <w:rsid w:val="00C60CF6"/>
    <w:rsid w:val="00C61EFC"/>
    <w:rsid w:val="00C64AB0"/>
    <w:rsid w:val="00C663DA"/>
    <w:rsid w:val="00C66404"/>
    <w:rsid w:val="00C668FD"/>
    <w:rsid w:val="00C72EBD"/>
    <w:rsid w:val="00C74AC7"/>
    <w:rsid w:val="00C752B1"/>
    <w:rsid w:val="00C776F2"/>
    <w:rsid w:val="00C81504"/>
    <w:rsid w:val="00C84796"/>
    <w:rsid w:val="00C863AA"/>
    <w:rsid w:val="00C915AD"/>
    <w:rsid w:val="00C928E7"/>
    <w:rsid w:val="00C960E7"/>
    <w:rsid w:val="00C96964"/>
    <w:rsid w:val="00C96A99"/>
    <w:rsid w:val="00CA05E8"/>
    <w:rsid w:val="00CA2F7D"/>
    <w:rsid w:val="00CA32C0"/>
    <w:rsid w:val="00CB2359"/>
    <w:rsid w:val="00CB4822"/>
    <w:rsid w:val="00CC1710"/>
    <w:rsid w:val="00CC1C1A"/>
    <w:rsid w:val="00CC64D8"/>
    <w:rsid w:val="00CD1A72"/>
    <w:rsid w:val="00CD2DC3"/>
    <w:rsid w:val="00CE11D1"/>
    <w:rsid w:val="00CE1672"/>
    <w:rsid w:val="00CE1CE7"/>
    <w:rsid w:val="00CE5096"/>
    <w:rsid w:val="00CE59BF"/>
    <w:rsid w:val="00CF1964"/>
    <w:rsid w:val="00CF7E05"/>
    <w:rsid w:val="00D02682"/>
    <w:rsid w:val="00D02C08"/>
    <w:rsid w:val="00D043CC"/>
    <w:rsid w:val="00D04818"/>
    <w:rsid w:val="00D06814"/>
    <w:rsid w:val="00D06E5D"/>
    <w:rsid w:val="00D072F9"/>
    <w:rsid w:val="00D1449D"/>
    <w:rsid w:val="00D17AD2"/>
    <w:rsid w:val="00D21AFA"/>
    <w:rsid w:val="00D23F5A"/>
    <w:rsid w:val="00D26E6B"/>
    <w:rsid w:val="00D27B85"/>
    <w:rsid w:val="00D3059D"/>
    <w:rsid w:val="00D307EB"/>
    <w:rsid w:val="00D314E5"/>
    <w:rsid w:val="00D31640"/>
    <w:rsid w:val="00D31A49"/>
    <w:rsid w:val="00D33269"/>
    <w:rsid w:val="00D333C3"/>
    <w:rsid w:val="00D3429D"/>
    <w:rsid w:val="00D35034"/>
    <w:rsid w:val="00D369AF"/>
    <w:rsid w:val="00D415A2"/>
    <w:rsid w:val="00D41B77"/>
    <w:rsid w:val="00D431F6"/>
    <w:rsid w:val="00D445DE"/>
    <w:rsid w:val="00D451CC"/>
    <w:rsid w:val="00D458C1"/>
    <w:rsid w:val="00D45CD2"/>
    <w:rsid w:val="00D46082"/>
    <w:rsid w:val="00D47476"/>
    <w:rsid w:val="00D50256"/>
    <w:rsid w:val="00D510CB"/>
    <w:rsid w:val="00D5254E"/>
    <w:rsid w:val="00D54D99"/>
    <w:rsid w:val="00D601C4"/>
    <w:rsid w:val="00D6171F"/>
    <w:rsid w:val="00D70748"/>
    <w:rsid w:val="00D7377C"/>
    <w:rsid w:val="00D7529C"/>
    <w:rsid w:val="00D75DDA"/>
    <w:rsid w:val="00D765C1"/>
    <w:rsid w:val="00D76698"/>
    <w:rsid w:val="00D76A80"/>
    <w:rsid w:val="00D830E6"/>
    <w:rsid w:val="00D84ACE"/>
    <w:rsid w:val="00D863AA"/>
    <w:rsid w:val="00D908BF"/>
    <w:rsid w:val="00D90A68"/>
    <w:rsid w:val="00D912ED"/>
    <w:rsid w:val="00D91E33"/>
    <w:rsid w:val="00D95660"/>
    <w:rsid w:val="00D95EBE"/>
    <w:rsid w:val="00DA0CDC"/>
    <w:rsid w:val="00DA50B6"/>
    <w:rsid w:val="00DA6668"/>
    <w:rsid w:val="00DA6C35"/>
    <w:rsid w:val="00DB07DC"/>
    <w:rsid w:val="00DB2D95"/>
    <w:rsid w:val="00DB3467"/>
    <w:rsid w:val="00DB4F5C"/>
    <w:rsid w:val="00DB6D6C"/>
    <w:rsid w:val="00DC0BBB"/>
    <w:rsid w:val="00DC0D10"/>
    <w:rsid w:val="00DC3E50"/>
    <w:rsid w:val="00DC6414"/>
    <w:rsid w:val="00DC7AEF"/>
    <w:rsid w:val="00DD08BA"/>
    <w:rsid w:val="00DE0940"/>
    <w:rsid w:val="00DE162F"/>
    <w:rsid w:val="00DE188E"/>
    <w:rsid w:val="00DE22E4"/>
    <w:rsid w:val="00DE30F1"/>
    <w:rsid w:val="00DE4500"/>
    <w:rsid w:val="00DE473F"/>
    <w:rsid w:val="00DE5586"/>
    <w:rsid w:val="00DE5CB4"/>
    <w:rsid w:val="00DF08D1"/>
    <w:rsid w:val="00DF2818"/>
    <w:rsid w:val="00DF69EE"/>
    <w:rsid w:val="00DF7E55"/>
    <w:rsid w:val="00E01707"/>
    <w:rsid w:val="00E02287"/>
    <w:rsid w:val="00E02887"/>
    <w:rsid w:val="00E05EDD"/>
    <w:rsid w:val="00E1052E"/>
    <w:rsid w:val="00E10928"/>
    <w:rsid w:val="00E1277E"/>
    <w:rsid w:val="00E14AFF"/>
    <w:rsid w:val="00E17934"/>
    <w:rsid w:val="00E20EF7"/>
    <w:rsid w:val="00E21BC4"/>
    <w:rsid w:val="00E21FF4"/>
    <w:rsid w:val="00E22250"/>
    <w:rsid w:val="00E228FA"/>
    <w:rsid w:val="00E238B4"/>
    <w:rsid w:val="00E2584A"/>
    <w:rsid w:val="00E25A97"/>
    <w:rsid w:val="00E26712"/>
    <w:rsid w:val="00E279C2"/>
    <w:rsid w:val="00E27F5D"/>
    <w:rsid w:val="00E35942"/>
    <w:rsid w:val="00E371D1"/>
    <w:rsid w:val="00E4069B"/>
    <w:rsid w:val="00E42699"/>
    <w:rsid w:val="00E43E25"/>
    <w:rsid w:val="00E46422"/>
    <w:rsid w:val="00E46F2D"/>
    <w:rsid w:val="00E471A9"/>
    <w:rsid w:val="00E50AF8"/>
    <w:rsid w:val="00E52239"/>
    <w:rsid w:val="00E632D6"/>
    <w:rsid w:val="00E66A65"/>
    <w:rsid w:val="00E72459"/>
    <w:rsid w:val="00E82108"/>
    <w:rsid w:val="00E835B4"/>
    <w:rsid w:val="00E86707"/>
    <w:rsid w:val="00E86A38"/>
    <w:rsid w:val="00E87C71"/>
    <w:rsid w:val="00E919C8"/>
    <w:rsid w:val="00E9202B"/>
    <w:rsid w:val="00E95F7A"/>
    <w:rsid w:val="00EA3F8F"/>
    <w:rsid w:val="00EA424E"/>
    <w:rsid w:val="00EB0BB2"/>
    <w:rsid w:val="00EB249C"/>
    <w:rsid w:val="00EB3988"/>
    <w:rsid w:val="00EB47EF"/>
    <w:rsid w:val="00EB633F"/>
    <w:rsid w:val="00EC12DF"/>
    <w:rsid w:val="00EC4FDE"/>
    <w:rsid w:val="00EC5084"/>
    <w:rsid w:val="00EC71D5"/>
    <w:rsid w:val="00EC7701"/>
    <w:rsid w:val="00EC7B84"/>
    <w:rsid w:val="00ED13C2"/>
    <w:rsid w:val="00ED41E7"/>
    <w:rsid w:val="00ED6512"/>
    <w:rsid w:val="00ED6A02"/>
    <w:rsid w:val="00ED6E28"/>
    <w:rsid w:val="00EE033E"/>
    <w:rsid w:val="00EE2015"/>
    <w:rsid w:val="00EE4B68"/>
    <w:rsid w:val="00EE6792"/>
    <w:rsid w:val="00EE737E"/>
    <w:rsid w:val="00EF4C8D"/>
    <w:rsid w:val="00EF4EF5"/>
    <w:rsid w:val="00EF5014"/>
    <w:rsid w:val="00EF554A"/>
    <w:rsid w:val="00EF55A4"/>
    <w:rsid w:val="00EF5FEF"/>
    <w:rsid w:val="00EF6581"/>
    <w:rsid w:val="00EF67EB"/>
    <w:rsid w:val="00F026FA"/>
    <w:rsid w:val="00F02D2D"/>
    <w:rsid w:val="00F06CAB"/>
    <w:rsid w:val="00F07CFD"/>
    <w:rsid w:val="00F125CA"/>
    <w:rsid w:val="00F13CC7"/>
    <w:rsid w:val="00F14753"/>
    <w:rsid w:val="00F1548E"/>
    <w:rsid w:val="00F17896"/>
    <w:rsid w:val="00F204AD"/>
    <w:rsid w:val="00F27A38"/>
    <w:rsid w:val="00F32777"/>
    <w:rsid w:val="00F32C94"/>
    <w:rsid w:val="00F35B15"/>
    <w:rsid w:val="00F3675D"/>
    <w:rsid w:val="00F37730"/>
    <w:rsid w:val="00F4241E"/>
    <w:rsid w:val="00F4505E"/>
    <w:rsid w:val="00F53754"/>
    <w:rsid w:val="00F537FC"/>
    <w:rsid w:val="00F542B4"/>
    <w:rsid w:val="00F55D9B"/>
    <w:rsid w:val="00F55DCB"/>
    <w:rsid w:val="00F5719F"/>
    <w:rsid w:val="00F57D93"/>
    <w:rsid w:val="00F61F4D"/>
    <w:rsid w:val="00F62145"/>
    <w:rsid w:val="00F640F1"/>
    <w:rsid w:val="00F678A7"/>
    <w:rsid w:val="00F704A6"/>
    <w:rsid w:val="00F713AA"/>
    <w:rsid w:val="00F718AB"/>
    <w:rsid w:val="00F73ADA"/>
    <w:rsid w:val="00F754EE"/>
    <w:rsid w:val="00F76BA2"/>
    <w:rsid w:val="00F8142E"/>
    <w:rsid w:val="00F8224F"/>
    <w:rsid w:val="00F86162"/>
    <w:rsid w:val="00F90010"/>
    <w:rsid w:val="00F92257"/>
    <w:rsid w:val="00F92E73"/>
    <w:rsid w:val="00F92EA9"/>
    <w:rsid w:val="00F96405"/>
    <w:rsid w:val="00FA2129"/>
    <w:rsid w:val="00FA2290"/>
    <w:rsid w:val="00FA5C44"/>
    <w:rsid w:val="00FA6C1F"/>
    <w:rsid w:val="00FB0083"/>
    <w:rsid w:val="00FB1759"/>
    <w:rsid w:val="00FB3F06"/>
    <w:rsid w:val="00FB60B3"/>
    <w:rsid w:val="00FC12CC"/>
    <w:rsid w:val="00FC1841"/>
    <w:rsid w:val="00FC244B"/>
    <w:rsid w:val="00FC2481"/>
    <w:rsid w:val="00FC4238"/>
    <w:rsid w:val="00FC4680"/>
    <w:rsid w:val="00FC4709"/>
    <w:rsid w:val="00FC4D0E"/>
    <w:rsid w:val="00FC56B3"/>
    <w:rsid w:val="00FC5D8F"/>
    <w:rsid w:val="00FD3D87"/>
    <w:rsid w:val="00FD3DA4"/>
    <w:rsid w:val="00FD456D"/>
    <w:rsid w:val="00FD584D"/>
    <w:rsid w:val="00FD6662"/>
    <w:rsid w:val="00FD70BE"/>
    <w:rsid w:val="00FD7193"/>
    <w:rsid w:val="00FE045B"/>
    <w:rsid w:val="00FE10C4"/>
    <w:rsid w:val="00FE19EF"/>
    <w:rsid w:val="00FE4436"/>
    <w:rsid w:val="00FE48BE"/>
    <w:rsid w:val="00FE5D0D"/>
    <w:rsid w:val="00FE67F4"/>
    <w:rsid w:val="00FE6A61"/>
    <w:rsid w:val="00FE75D8"/>
    <w:rsid w:val="00FF1E8F"/>
    <w:rsid w:val="00FF1ECF"/>
    <w:rsid w:val="00FF2A08"/>
    <w:rsid w:val="00FF2F9D"/>
    <w:rsid w:val="00FF30FC"/>
    <w:rsid w:val="00FF39D0"/>
    <w:rsid w:val="00FF3A9D"/>
    <w:rsid w:val="00FF3E60"/>
    <w:rsid w:val="00FF47E8"/>
    <w:rsid w:val="00FF4DB0"/>
    <w:rsid w:val="00FF59A8"/>
    <w:rsid w:val="00FF6E83"/>
    <w:rsid w:val="00FF7A3B"/>
    <w:rsid w:val="01D75BF7"/>
    <w:rsid w:val="025A5E17"/>
    <w:rsid w:val="0472782C"/>
    <w:rsid w:val="04BB45EC"/>
    <w:rsid w:val="053839BE"/>
    <w:rsid w:val="068AEA37"/>
    <w:rsid w:val="0A51A94C"/>
    <w:rsid w:val="0AA9FF19"/>
    <w:rsid w:val="0C53A619"/>
    <w:rsid w:val="0C68EABE"/>
    <w:rsid w:val="0D0E2CC3"/>
    <w:rsid w:val="114B7FFD"/>
    <w:rsid w:val="13985DFC"/>
    <w:rsid w:val="13B9811E"/>
    <w:rsid w:val="1532BC00"/>
    <w:rsid w:val="162A66F7"/>
    <w:rsid w:val="19828449"/>
    <w:rsid w:val="19F92160"/>
    <w:rsid w:val="1A50E002"/>
    <w:rsid w:val="1AD0A7F5"/>
    <w:rsid w:val="1C11D36D"/>
    <w:rsid w:val="1D923C17"/>
    <w:rsid w:val="1DD14562"/>
    <w:rsid w:val="2271821F"/>
    <w:rsid w:val="22A9C4CA"/>
    <w:rsid w:val="26126185"/>
    <w:rsid w:val="28C1525F"/>
    <w:rsid w:val="28E4C780"/>
    <w:rsid w:val="29257A07"/>
    <w:rsid w:val="2A0BFAA2"/>
    <w:rsid w:val="2ACF64FD"/>
    <w:rsid w:val="2EA4AF84"/>
    <w:rsid w:val="317ACFFE"/>
    <w:rsid w:val="33659E2D"/>
    <w:rsid w:val="33B4CD5F"/>
    <w:rsid w:val="36B1508F"/>
    <w:rsid w:val="3838D548"/>
    <w:rsid w:val="39A0B67A"/>
    <w:rsid w:val="3D347974"/>
    <w:rsid w:val="3E53AB46"/>
    <w:rsid w:val="3EB87E6D"/>
    <w:rsid w:val="3EB8A192"/>
    <w:rsid w:val="410FC214"/>
    <w:rsid w:val="42DD1C05"/>
    <w:rsid w:val="42E87F68"/>
    <w:rsid w:val="438B99D0"/>
    <w:rsid w:val="45B9E163"/>
    <w:rsid w:val="46D10107"/>
    <w:rsid w:val="479A529D"/>
    <w:rsid w:val="4953DC51"/>
    <w:rsid w:val="496F0DB3"/>
    <w:rsid w:val="4A3F6740"/>
    <w:rsid w:val="4C217C0B"/>
    <w:rsid w:val="4EDD548E"/>
    <w:rsid w:val="58AFA3D7"/>
    <w:rsid w:val="58FDA573"/>
    <w:rsid w:val="5B67B6CC"/>
    <w:rsid w:val="5E16A62B"/>
    <w:rsid w:val="61394E14"/>
    <w:rsid w:val="62929726"/>
    <w:rsid w:val="62E3C75B"/>
    <w:rsid w:val="638C3B93"/>
    <w:rsid w:val="650D0377"/>
    <w:rsid w:val="673A02A6"/>
    <w:rsid w:val="676A59C2"/>
    <w:rsid w:val="689FF284"/>
    <w:rsid w:val="69B46EAB"/>
    <w:rsid w:val="6A98BC01"/>
    <w:rsid w:val="6AF77376"/>
    <w:rsid w:val="6B90DE65"/>
    <w:rsid w:val="6E1A9FB0"/>
    <w:rsid w:val="70C249B9"/>
    <w:rsid w:val="72475F0A"/>
    <w:rsid w:val="73661D62"/>
    <w:rsid w:val="73D624EE"/>
    <w:rsid w:val="749ED259"/>
    <w:rsid w:val="7586BF9B"/>
    <w:rsid w:val="763486D2"/>
    <w:rsid w:val="76436E61"/>
    <w:rsid w:val="76A67E2C"/>
    <w:rsid w:val="76EED2D0"/>
    <w:rsid w:val="797523C7"/>
    <w:rsid w:val="79E42E7C"/>
    <w:rsid w:val="7A6AB0FF"/>
    <w:rsid w:val="7CCE2BF0"/>
    <w:rsid w:val="7EC32458"/>
    <w:rsid w:val="7F591AD3"/>
    <w:rsid w:val="7F5CB189"/>
    <w:rsid w:val="7F7C54D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4B8EF"/>
  <w15:docId w15:val="{E8C342F4-B145-4DAB-B37F-82CE809D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1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D4B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3"/>
    <w:rsid w:val="003D4BA3"/>
    <w:pPr>
      <w:numPr>
        <w:numId w:val="11"/>
      </w:numPr>
      <w:spacing w:after="240"/>
      <w:outlineLvl w:val="1"/>
    </w:pPr>
    <w:rPr>
      <w:rFonts w:ascii="Calibri" w:eastAsiaTheme="minorEastAsia" w:hAnsi="Calibri" w:cstheme="minorBidi"/>
      <w:bCs/>
      <w:color w:val="000000"/>
      <w:sz w:val="56"/>
      <w:szCs w:val="28"/>
      <w:lang w:eastAsia="ja-JP"/>
    </w:rPr>
  </w:style>
  <w:style w:type="paragraph" w:styleId="Heading3">
    <w:name w:val="heading 3"/>
    <w:next w:val="Normal"/>
    <w:link w:val="Heading3Char"/>
    <w:uiPriority w:val="4"/>
    <w:qFormat/>
    <w:rsid w:val="00A64A3E"/>
    <w:pPr>
      <w:keepNext/>
      <w:keepLines/>
      <w:numPr>
        <w:ilvl w:val="1"/>
        <w:numId w:val="11"/>
      </w:numPr>
      <w:spacing w:after="0" w:line="240" w:lineRule="auto"/>
      <w:outlineLvl w:val="2"/>
    </w:pPr>
    <w:rPr>
      <w:rFonts w:ascii="Calibri" w:eastAsia="Times New Roman" w:hAnsi="Calibri" w:cs="Times New Roman"/>
      <w:b/>
      <w:bCs/>
      <w:sz w:val="36"/>
      <w:szCs w:val="24"/>
    </w:rPr>
  </w:style>
  <w:style w:type="paragraph" w:styleId="Heading4">
    <w:name w:val="heading 4"/>
    <w:next w:val="Normal"/>
    <w:link w:val="Heading4Char"/>
    <w:uiPriority w:val="5"/>
    <w:qFormat/>
    <w:rsid w:val="00A64A3E"/>
    <w:pPr>
      <w:keepNext/>
      <w:numPr>
        <w:ilvl w:val="2"/>
        <w:numId w:val="11"/>
      </w:numPr>
      <w:spacing w:after="0" w:line="240" w:lineRule="auto"/>
      <w:outlineLvl w:val="3"/>
    </w:pPr>
    <w:rPr>
      <w:rFonts w:ascii="Calibri" w:eastAsia="Times New Roman" w:hAnsi="Calibri" w:cs="Times New Roman"/>
      <w:b/>
      <w:bCs/>
      <w:sz w:val="28"/>
      <w:szCs w:val="24"/>
    </w:rPr>
  </w:style>
  <w:style w:type="paragraph" w:styleId="Heading5">
    <w:name w:val="heading 5"/>
    <w:basedOn w:val="Normal"/>
    <w:next w:val="Normal"/>
    <w:link w:val="Heading5Char"/>
    <w:uiPriority w:val="9"/>
    <w:unhideWhenUsed/>
    <w:qFormat/>
    <w:rsid w:val="003D4BA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List">
    <w:name w:val="Bullet List"/>
    <w:rsid w:val="0019063B"/>
    <w:pPr>
      <w:numPr>
        <w:numId w:val="1"/>
      </w:numPr>
    </w:pPr>
  </w:style>
  <w:style w:type="paragraph" w:styleId="ListBullet">
    <w:name w:val="List Bullet"/>
    <w:basedOn w:val="Normal"/>
    <w:uiPriority w:val="99"/>
    <w:unhideWhenUsed/>
    <w:qFormat/>
    <w:rsid w:val="0019063B"/>
    <w:pPr>
      <w:numPr>
        <w:numId w:val="1"/>
      </w:numPr>
      <w:spacing w:after="120"/>
    </w:pPr>
    <w:rPr>
      <w:rFonts w:asciiTheme="minorHAnsi" w:eastAsiaTheme="minorHAnsi" w:hAnsiTheme="minorHAnsi" w:cstheme="minorBidi"/>
      <w:sz w:val="22"/>
      <w:szCs w:val="22"/>
    </w:rPr>
  </w:style>
  <w:style w:type="paragraph" w:styleId="ListBullet2">
    <w:name w:val="List Bullet 2"/>
    <w:basedOn w:val="Normal"/>
    <w:uiPriority w:val="99"/>
    <w:unhideWhenUsed/>
    <w:qFormat/>
    <w:rsid w:val="0019063B"/>
    <w:pPr>
      <w:numPr>
        <w:ilvl w:val="1"/>
        <w:numId w:val="1"/>
      </w:numPr>
      <w:spacing w:after="120"/>
    </w:pPr>
    <w:rPr>
      <w:rFonts w:asciiTheme="minorHAnsi" w:eastAsiaTheme="minorHAnsi" w:hAnsiTheme="minorHAnsi" w:cstheme="minorBidi"/>
      <w:sz w:val="22"/>
      <w:szCs w:val="22"/>
    </w:rPr>
  </w:style>
  <w:style w:type="paragraph" w:styleId="ListBullet3">
    <w:name w:val="List Bullet 3"/>
    <w:basedOn w:val="Normal"/>
    <w:uiPriority w:val="99"/>
    <w:unhideWhenUsed/>
    <w:rsid w:val="0019063B"/>
    <w:pPr>
      <w:numPr>
        <w:ilvl w:val="2"/>
        <w:numId w:val="1"/>
      </w:numPr>
      <w:spacing w:after="120"/>
    </w:pPr>
    <w:rPr>
      <w:rFonts w:asciiTheme="minorHAnsi" w:eastAsiaTheme="minorHAnsi" w:hAnsiTheme="minorHAnsi" w:cstheme="minorBidi"/>
      <w:sz w:val="22"/>
      <w:szCs w:val="22"/>
    </w:rPr>
  </w:style>
  <w:style w:type="paragraph" w:styleId="ListBullet4">
    <w:name w:val="List Bullet 4"/>
    <w:basedOn w:val="Normal"/>
    <w:uiPriority w:val="99"/>
    <w:unhideWhenUsed/>
    <w:rsid w:val="0019063B"/>
    <w:pPr>
      <w:numPr>
        <w:ilvl w:val="3"/>
        <w:numId w:val="1"/>
      </w:numPr>
      <w:spacing w:after="120"/>
    </w:pPr>
    <w:rPr>
      <w:rFonts w:asciiTheme="minorHAnsi" w:eastAsiaTheme="minorHAnsi" w:hAnsiTheme="minorHAnsi" w:cstheme="minorBidi"/>
      <w:sz w:val="22"/>
      <w:szCs w:val="22"/>
    </w:rPr>
  </w:style>
  <w:style w:type="paragraph" w:styleId="ListBullet5">
    <w:name w:val="List Bullet 5"/>
    <w:basedOn w:val="Normal"/>
    <w:uiPriority w:val="99"/>
    <w:unhideWhenUsed/>
    <w:rsid w:val="0019063B"/>
    <w:pPr>
      <w:numPr>
        <w:ilvl w:val="4"/>
        <w:numId w:val="1"/>
      </w:numPr>
      <w:spacing w:after="120"/>
    </w:pPr>
    <w:rPr>
      <w:rFonts w:asciiTheme="minorHAnsi" w:eastAsiaTheme="minorHAnsi" w:hAnsiTheme="minorHAnsi" w:cstheme="minorBidi"/>
      <w:sz w:val="22"/>
      <w:szCs w:val="22"/>
    </w:rPr>
  </w:style>
  <w:style w:type="table" w:styleId="TableGrid">
    <w:name w:val="Table Grid"/>
    <w:basedOn w:val="TableNormal"/>
    <w:uiPriority w:val="59"/>
    <w:rsid w:val="0019063B"/>
    <w:pPr>
      <w:spacing w:after="0" w:line="240" w:lineRule="auto"/>
    </w:pPr>
    <w:rPr>
      <w:rFonts w:ascii="Arial" w:eastAsia="Calibri" w:hAnsi="Arial" w:cs="Times New Roman"/>
      <w:sz w:val="20"/>
      <w:szCs w:val="20"/>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styleId="NormalWeb">
    <w:name w:val="Normal (Web)"/>
    <w:basedOn w:val="Normal"/>
    <w:uiPriority w:val="99"/>
    <w:unhideWhenUsed/>
    <w:rsid w:val="0019063B"/>
    <w:pPr>
      <w:spacing w:before="100" w:beforeAutospacing="1" w:after="100" w:afterAutospacing="1"/>
    </w:pPr>
    <w:rPr>
      <w:rFonts w:eastAsiaTheme="minorHAnsi"/>
      <w:lang w:eastAsia="en-AU"/>
    </w:rPr>
  </w:style>
  <w:style w:type="character" w:styleId="Strong">
    <w:name w:val="Strong"/>
    <w:basedOn w:val="DefaultParagraphFont"/>
    <w:uiPriority w:val="22"/>
    <w:qFormat/>
    <w:rsid w:val="0019063B"/>
    <w:rPr>
      <w:b/>
      <w:bCs/>
    </w:rPr>
  </w:style>
  <w:style w:type="character" w:styleId="Hyperlink">
    <w:name w:val="Hyperlink"/>
    <w:basedOn w:val="DefaultParagraphFont"/>
    <w:uiPriority w:val="99"/>
    <w:unhideWhenUsed/>
    <w:rsid w:val="00752B58"/>
    <w:rPr>
      <w:color w:val="0563C1" w:themeColor="hyperlink"/>
      <w:u w:val="single"/>
    </w:rPr>
  </w:style>
  <w:style w:type="paragraph" w:styleId="ListParagraph">
    <w:name w:val="List Paragraph"/>
    <w:aliases w:val="List Paragraph1,List Paragraph11,NFP GP Bulleted List,Recommendation"/>
    <w:basedOn w:val="Normal"/>
    <w:link w:val="ListParagraphChar"/>
    <w:uiPriority w:val="34"/>
    <w:qFormat/>
    <w:rsid w:val="00D6171F"/>
    <w:pPr>
      <w:ind w:left="720"/>
      <w:contextualSpacing/>
    </w:pPr>
  </w:style>
  <w:style w:type="paragraph" w:styleId="Header">
    <w:name w:val="header"/>
    <w:basedOn w:val="Normal"/>
    <w:link w:val="HeaderChar"/>
    <w:uiPriority w:val="99"/>
    <w:unhideWhenUsed/>
    <w:rsid w:val="00DA50B6"/>
    <w:pPr>
      <w:tabs>
        <w:tab w:val="center" w:pos="4513"/>
        <w:tab w:val="right" w:pos="9026"/>
      </w:tabs>
    </w:pPr>
  </w:style>
  <w:style w:type="character" w:customStyle="1" w:styleId="HeaderChar">
    <w:name w:val="Header Char"/>
    <w:basedOn w:val="DefaultParagraphFont"/>
    <w:link w:val="Header"/>
    <w:uiPriority w:val="99"/>
    <w:rsid w:val="00DA50B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50B6"/>
    <w:pPr>
      <w:tabs>
        <w:tab w:val="center" w:pos="4513"/>
        <w:tab w:val="right" w:pos="9026"/>
      </w:tabs>
    </w:pPr>
  </w:style>
  <w:style w:type="character" w:customStyle="1" w:styleId="FooterChar">
    <w:name w:val="Footer Char"/>
    <w:basedOn w:val="DefaultParagraphFont"/>
    <w:link w:val="Footer"/>
    <w:uiPriority w:val="99"/>
    <w:rsid w:val="00DA50B6"/>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96405"/>
    <w:rPr>
      <w:sz w:val="16"/>
      <w:szCs w:val="16"/>
    </w:rPr>
  </w:style>
  <w:style w:type="paragraph" w:styleId="CommentText">
    <w:name w:val="annotation text"/>
    <w:basedOn w:val="Normal"/>
    <w:link w:val="CommentTextChar"/>
    <w:uiPriority w:val="99"/>
    <w:unhideWhenUsed/>
    <w:rsid w:val="00F96405"/>
    <w:rPr>
      <w:sz w:val="20"/>
      <w:szCs w:val="20"/>
    </w:rPr>
  </w:style>
  <w:style w:type="character" w:customStyle="1" w:styleId="CommentTextChar">
    <w:name w:val="Comment Text Char"/>
    <w:basedOn w:val="DefaultParagraphFont"/>
    <w:link w:val="CommentText"/>
    <w:uiPriority w:val="99"/>
    <w:rsid w:val="00F9640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6405"/>
    <w:rPr>
      <w:b/>
      <w:bCs/>
    </w:rPr>
  </w:style>
  <w:style w:type="character" w:customStyle="1" w:styleId="CommentSubjectChar">
    <w:name w:val="Comment Subject Char"/>
    <w:basedOn w:val="CommentTextChar"/>
    <w:link w:val="CommentSubject"/>
    <w:uiPriority w:val="99"/>
    <w:semiHidden/>
    <w:rsid w:val="00F9640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964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405"/>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01707"/>
    <w:rPr>
      <w:color w:val="605E5C"/>
      <w:shd w:val="clear" w:color="auto" w:fill="E1DFDD"/>
    </w:rPr>
  </w:style>
  <w:style w:type="character" w:customStyle="1" w:styleId="ListParagraphChar">
    <w:name w:val="List Paragraph Char"/>
    <w:aliases w:val="List Paragraph1 Char,List Paragraph11 Char,NFP GP Bulleted List Char,Recommendation Char"/>
    <w:basedOn w:val="DefaultParagraphFont"/>
    <w:link w:val="ListParagraph"/>
    <w:uiPriority w:val="34"/>
    <w:rsid w:val="00131E9D"/>
    <w:rPr>
      <w:rFonts w:ascii="Times New Roman" w:eastAsia="Times New Roman" w:hAnsi="Times New Roman" w:cs="Times New Roman"/>
      <w:sz w:val="24"/>
      <w:szCs w:val="24"/>
    </w:rPr>
  </w:style>
  <w:style w:type="paragraph" w:styleId="ListNumber">
    <w:name w:val="List Number"/>
    <w:basedOn w:val="Normal"/>
    <w:uiPriority w:val="9"/>
    <w:qFormat/>
    <w:rsid w:val="00A64A3E"/>
    <w:pPr>
      <w:numPr>
        <w:numId w:val="8"/>
      </w:numPr>
      <w:tabs>
        <w:tab w:val="left" w:pos="142"/>
      </w:tabs>
      <w:spacing w:before="120" w:after="120" w:line="276" w:lineRule="auto"/>
    </w:pPr>
    <w:rPr>
      <w:rFonts w:ascii="Cambria" w:eastAsiaTheme="minorHAnsi" w:hAnsi="Cambria" w:cstheme="minorBidi"/>
      <w:sz w:val="22"/>
      <w:szCs w:val="22"/>
    </w:rPr>
  </w:style>
  <w:style w:type="paragraph" w:styleId="ListNumber2">
    <w:name w:val="List Number 2"/>
    <w:uiPriority w:val="10"/>
    <w:qFormat/>
    <w:rsid w:val="00A64A3E"/>
    <w:pPr>
      <w:numPr>
        <w:ilvl w:val="1"/>
        <w:numId w:val="8"/>
      </w:numPr>
      <w:tabs>
        <w:tab w:val="left" w:pos="567"/>
      </w:tabs>
      <w:spacing w:before="120" w:after="120" w:line="264" w:lineRule="auto"/>
    </w:pPr>
    <w:rPr>
      <w:rFonts w:ascii="Cambria" w:eastAsia="Times New Roman" w:hAnsi="Cambria" w:cs="Times New Roman"/>
      <w:szCs w:val="24"/>
    </w:rPr>
  </w:style>
  <w:style w:type="paragraph" w:styleId="ListNumber3">
    <w:name w:val="List Number 3"/>
    <w:uiPriority w:val="11"/>
    <w:qFormat/>
    <w:rsid w:val="00A64A3E"/>
    <w:pPr>
      <w:numPr>
        <w:ilvl w:val="2"/>
        <w:numId w:val="8"/>
      </w:numPr>
      <w:spacing w:before="120" w:after="120" w:line="264" w:lineRule="auto"/>
    </w:pPr>
    <w:rPr>
      <w:rFonts w:ascii="Cambria" w:eastAsia="Times New Roman" w:hAnsi="Cambria" w:cs="Times New Roman"/>
      <w:szCs w:val="24"/>
    </w:rPr>
  </w:style>
  <w:style w:type="numbering" w:customStyle="1" w:styleId="Numberlist">
    <w:name w:val="Number list"/>
    <w:uiPriority w:val="99"/>
    <w:rsid w:val="00A64A3E"/>
    <w:pPr>
      <w:numPr>
        <w:numId w:val="7"/>
      </w:numPr>
    </w:pPr>
  </w:style>
  <w:style w:type="character" w:customStyle="1" w:styleId="Heading2Char">
    <w:name w:val="Heading 2 Char"/>
    <w:basedOn w:val="DefaultParagraphFont"/>
    <w:link w:val="Heading2"/>
    <w:uiPriority w:val="3"/>
    <w:rsid w:val="003D4BA3"/>
    <w:rPr>
      <w:rFonts w:ascii="Calibri" w:eastAsiaTheme="minorEastAsia" w:hAnsi="Calibri"/>
      <w:bCs/>
      <w:color w:val="000000"/>
      <w:sz w:val="56"/>
      <w:szCs w:val="28"/>
      <w:lang w:eastAsia="ja-JP"/>
    </w:rPr>
  </w:style>
  <w:style w:type="character" w:customStyle="1" w:styleId="Heading3Char">
    <w:name w:val="Heading 3 Char"/>
    <w:basedOn w:val="DefaultParagraphFont"/>
    <w:link w:val="Heading3"/>
    <w:uiPriority w:val="4"/>
    <w:rsid w:val="00A64A3E"/>
    <w:rPr>
      <w:rFonts w:ascii="Calibri" w:eastAsia="Times New Roman" w:hAnsi="Calibri" w:cs="Times New Roman"/>
      <w:b/>
      <w:bCs/>
      <w:sz w:val="36"/>
      <w:szCs w:val="24"/>
    </w:rPr>
  </w:style>
  <w:style w:type="character" w:customStyle="1" w:styleId="Heading4Char">
    <w:name w:val="Heading 4 Char"/>
    <w:basedOn w:val="DefaultParagraphFont"/>
    <w:link w:val="Heading4"/>
    <w:uiPriority w:val="5"/>
    <w:rsid w:val="00A64A3E"/>
    <w:rPr>
      <w:rFonts w:ascii="Calibri" w:eastAsia="Times New Roman" w:hAnsi="Calibri" w:cs="Times New Roman"/>
      <w:b/>
      <w:bCs/>
      <w:sz w:val="28"/>
      <w:szCs w:val="24"/>
    </w:rPr>
  </w:style>
  <w:style w:type="numbering" w:customStyle="1" w:styleId="Headinglist">
    <w:name w:val="Heading list"/>
    <w:uiPriority w:val="99"/>
    <w:rsid w:val="00A64A3E"/>
    <w:pPr>
      <w:numPr>
        <w:numId w:val="10"/>
      </w:numPr>
    </w:pPr>
  </w:style>
  <w:style w:type="paragraph" w:styleId="FootnoteText">
    <w:name w:val="footnote text"/>
    <w:basedOn w:val="Normal"/>
    <w:link w:val="FootnoteTextChar"/>
    <w:uiPriority w:val="99"/>
    <w:semiHidden/>
    <w:unhideWhenUsed/>
    <w:rsid w:val="00550DC3"/>
    <w:rPr>
      <w:sz w:val="20"/>
      <w:szCs w:val="20"/>
    </w:rPr>
  </w:style>
  <w:style w:type="character" w:customStyle="1" w:styleId="FootnoteTextChar">
    <w:name w:val="Footnote Text Char"/>
    <w:basedOn w:val="DefaultParagraphFont"/>
    <w:link w:val="FootnoteText"/>
    <w:uiPriority w:val="99"/>
    <w:semiHidden/>
    <w:rsid w:val="00550DC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50DC3"/>
    <w:rPr>
      <w:vertAlign w:val="superscript"/>
    </w:rPr>
  </w:style>
  <w:style w:type="character" w:customStyle="1" w:styleId="UnresolvedMention2">
    <w:name w:val="Unresolved Mention2"/>
    <w:basedOn w:val="DefaultParagraphFont"/>
    <w:uiPriority w:val="99"/>
    <w:rsid w:val="003E4389"/>
    <w:rPr>
      <w:color w:val="605E5C"/>
      <w:shd w:val="clear" w:color="auto" w:fill="E1DFDD"/>
    </w:rPr>
  </w:style>
  <w:style w:type="character" w:styleId="FollowedHyperlink">
    <w:name w:val="FollowedHyperlink"/>
    <w:basedOn w:val="DefaultParagraphFont"/>
    <w:uiPriority w:val="99"/>
    <w:semiHidden/>
    <w:unhideWhenUsed/>
    <w:rsid w:val="00261850"/>
    <w:rPr>
      <w:color w:val="954F72" w:themeColor="followedHyperlink"/>
      <w:u w:val="single"/>
    </w:rPr>
  </w:style>
  <w:style w:type="paragraph" w:styleId="Revision">
    <w:name w:val="Revision"/>
    <w:hidden/>
    <w:uiPriority w:val="99"/>
    <w:semiHidden/>
    <w:rsid w:val="0039390D"/>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5B25EF"/>
    <w:rPr>
      <w:color w:val="605E5C"/>
      <w:shd w:val="clear" w:color="auto" w:fill="E1DFDD"/>
    </w:rPr>
  </w:style>
  <w:style w:type="character" w:customStyle="1" w:styleId="Heading1Char">
    <w:name w:val="Heading 1 Char"/>
    <w:basedOn w:val="DefaultParagraphFont"/>
    <w:link w:val="Heading1"/>
    <w:uiPriority w:val="9"/>
    <w:rsid w:val="003D4BA3"/>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rsid w:val="003D4BA3"/>
    <w:rPr>
      <w:rFonts w:asciiTheme="majorHAnsi" w:eastAsiaTheme="majorEastAsia" w:hAnsiTheme="majorHAnsi" w:cstheme="majorBidi"/>
      <w:color w:val="2E74B5" w:themeColor="accent1" w:themeShade="BF"/>
      <w:sz w:val="24"/>
      <w:szCs w:val="24"/>
    </w:rPr>
  </w:style>
  <w:style w:type="character" w:customStyle="1" w:styleId="cf01">
    <w:name w:val="cf01"/>
    <w:basedOn w:val="DefaultParagraphFont"/>
    <w:rsid w:val="00293CC2"/>
    <w:rPr>
      <w:rFonts w:ascii="Segoe UI" w:hAnsi="Segoe UI" w:cs="Segoe UI" w:hint="default"/>
      <w:sz w:val="18"/>
      <w:szCs w:val="18"/>
    </w:rPr>
  </w:style>
  <w:style w:type="character" w:customStyle="1" w:styleId="Advisorytext">
    <w:name w:val="Advisory text"/>
    <w:basedOn w:val="DefaultParagraphFont"/>
    <w:uiPriority w:val="99"/>
    <w:rsid w:val="00293CC2"/>
    <w:rPr>
      <w:color w:val="FF0000"/>
    </w:rPr>
  </w:style>
  <w:style w:type="numbering" w:customStyle="1" w:styleId="List1">
    <w:name w:val="List1"/>
    <w:basedOn w:val="NoList"/>
    <w:uiPriority w:val="99"/>
    <w:rsid w:val="00BE77DB"/>
    <w:pPr>
      <w:numPr>
        <w:numId w:val="40"/>
      </w:numPr>
    </w:pPr>
  </w:style>
  <w:style w:type="paragraph" w:customStyle="1" w:styleId="Normalsmall">
    <w:name w:val="Normal small"/>
    <w:qFormat/>
    <w:rsid w:val="00BE77DB"/>
    <w:pPr>
      <w:spacing w:after="120" w:line="276" w:lineRule="auto"/>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28200">
      <w:bodyDiv w:val="1"/>
      <w:marLeft w:val="0"/>
      <w:marRight w:val="0"/>
      <w:marTop w:val="0"/>
      <w:marBottom w:val="0"/>
      <w:divBdr>
        <w:top w:val="none" w:sz="0" w:space="0" w:color="auto"/>
        <w:left w:val="none" w:sz="0" w:space="0" w:color="auto"/>
        <w:bottom w:val="none" w:sz="0" w:space="0" w:color="auto"/>
        <w:right w:val="none" w:sz="0" w:space="0" w:color="auto"/>
      </w:divBdr>
    </w:div>
    <w:div w:id="1809739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griculture.gov.a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riculture.gov.au/publication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legalcod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1D993-4736-422A-B18B-6AC9F6BAD68A}">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2026 Government response to second review of the Wheat Port Code</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Government response to second review of the Wheat Port Code</dc:title>
  <dc:subject/>
  <dc:creator/>
  <cp:keywords/>
  <cp:revision>3</cp:revision>
  <cp:lastPrinted>2026-09-28T07:54:00Z</cp:lastPrinted>
  <dcterms:created xsi:type="dcterms:W3CDTF">2026-08-03T04:20:00Z</dcterms:created>
  <dcterms:modified xsi:type="dcterms:W3CDTF">2026-09-28T07:57:00Z</dcterms:modified>
</cp:coreProperties>
</file>