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6512" w14:textId="49403A49" w:rsidR="00916B5C" w:rsidRDefault="00682EA5" w:rsidP="00916B5C">
      <w:pPr>
        <w:pStyle w:val="Heading1"/>
        <w:spacing w:before="360" w:after="360"/>
      </w:pPr>
      <w:bookmarkStart w:id="0" w:name="_Hlk155598929"/>
      <w:r>
        <w:t xml:space="preserve">Neogen® </w:t>
      </w:r>
      <w:bookmarkEnd w:id="0"/>
      <w:r w:rsidR="00916B5C">
        <w:t xml:space="preserve">Petrifilm </w:t>
      </w:r>
      <w:r w:rsidR="00916B5C" w:rsidRPr="00B15B9C">
        <w:rPr>
          <w:i/>
        </w:rPr>
        <w:t>Salmonella</w:t>
      </w:r>
      <w:r w:rsidR="00916B5C">
        <w:t xml:space="preserve"> Express System – AOAC 2014.01</w:t>
      </w:r>
    </w:p>
    <w:p w14:paraId="5216234D" w14:textId="77777777" w:rsidR="00916B5C" w:rsidRDefault="00916B5C" w:rsidP="00916B5C">
      <w:pPr>
        <w:pStyle w:val="Heading2"/>
      </w:pPr>
      <w:r>
        <w:t>SCOPE</w:t>
      </w:r>
    </w:p>
    <w:p w14:paraId="365530EB" w14:textId="77777777" w:rsidR="00916B5C" w:rsidRDefault="00916B5C" w:rsidP="00916B5C">
      <w:r>
        <w:t>This method is applicable to:</w:t>
      </w:r>
    </w:p>
    <w:p w14:paraId="7D42748B" w14:textId="77777777" w:rsidR="00916B5C" w:rsidRDefault="00916B5C" w:rsidP="00916B5C">
      <w:pPr>
        <w:pStyle w:val="ListParagraph"/>
        <w:spacing w:after="120" w:line="240" w:lineRule="auto"/>
      </w:pPr>
      <w:r>
        <w:t>raw meats, meat products and carcass swabs</w:t>
      </w:r>
      <w:r>
        <w:rPr>
          <w:rStyle w:val="FootnoteReference"/>
        </w:rPr>
        <w:footnoteReference w:id="1"/>
      </w:r>
    </w:p>
    <w:p w14:paraId="797DFC24" w14:textId="77777777" w:rsidR="00916B5C" w:rsidRDefault="00916B5C" w:rsidP="00916B5C">
      <w:pPr>
        <w:pStyle w:val="Heading2"/>
      </w:pPr>
      <w:r>
        <w:t>PRINCIPLES</w:t>
      </w:r>
    </w:p>
    <w:p w14:paraId="713EF6D3" w14:textId="226C85C9" w:rsidR="00916B5C" w:rsidRDefault="00916B5C" w:rsidP="00916B5C">
      <w:r>
        <w:t xml:space="preserve">The </w:t>
      </w:r>
      <w:r w:rsidR="00682EA5" w:rsidRPr="00682EA5">
        <w:t xml:space="preserve">Neogen® </w:t>
      </w:r>
      <w:r>
        <w:t xml:space="preserve">Petrifilm </w:t>
      </w:r>
      <w:r w:rsidRPr="00B15B9C">
        <w:rPr>
          <w:i/>
        </w:rPr>
        <w:t>Salmonella</w:t>
      </w:r>
      <w:r>
        <w:t xml:space="preserve"> Express (SALX) System provides a qualitative detection and biochemical confirmation of </w:t>
      </w:r>
      <w:r w:rsidRPr="00B15B9C">
        <w:rPr>
          <w:i/>
        </w:rPr>
        <w:t>Salmonella</w:t>
      </w:r>
      <w:r>
        <w:t xml:space="preserve">. The chromogenic culture media is selective and differential for </w:t>
      </w:r>
      <w:r w:rsidRPr="00B15B9C">
        <w:rPr>
          <w:i/>
        </w:rPr>
        <w:t>Salmonella</w:t>
      </w:r>
      <w:r>
        <w:t xml:space="preserve"> and the </w:t>
      </w:r>
      <w:r w:rsidR="00682EA5" w:rsidRPr="00682EA5">
        <w:t xml:space="preserve">Neogen </w:t>
      </w:r>
      <w:r>
        <w:t xml:space="preserve">Petrifilm </w:t>
      </w:r>
      <w:r w:rsidRPr="00B15B9C">
        <w:rPr>
          <w:i/>
        </w:rPr>
        <w:t>Salmonella</w:t>
      </w:r>
      <w:r>
        <w:t xml:space="preserve"> Confirmation Disk facilitates the biochemical confirmation of </w:t>
      </w:r>
      <w:r w:rsidRPr="00B15B9C">
        <w:rPr>
          <w:i/>
        </w:rPr>
        <w:t>Salmonella</w:t>
      </w:r>
      <w:r>
        <w:t xml:space="preserve"> species.</w:t>
      </w:r>
    </w:p>
    <w:p w14:paraId="178FDF56" w14:textId="77777777" w:rsidR="00916B5C" w:rsidRDefault="00916B5C" w:rsidP="00916B5C">
      <w:pPr>
        <w:pStyle w:val="Heading3"/>
      </w:pPr>
      <w:r>
        <w:t>Primary enrichment</w:t>
      </w:r>
    </w:p>
    <w:p w14:paraId="0577A243" w14:textId="474AF144" w:rsidR="00916B5C" w:rsidRDefault="00916B5C" w:rsidP="00916B5C">
      <w:pPr>
        <w:pStyle w:val="Normal-para"/>
      </w:pPr>
      <w:r>
        <w:t xml:space="preserve">Raw meat sample (25 g) is enriched in 225 mL pre-warmed </w:t>
      </w:r>
      <w:r w:rsidR="00682EA5" w:rsidRPr="00682EA5">
        <w:t>Neogen</w:t>
      </w:r>
      <w:r w:rsidR="00682EA5">
        <w:t xml:space="preserve"> </w:t>
      </w:r>
      <w:r w:rsidRPr="00B15B9C">
        <w:rPr>
          <w:i/>
        </w:rPr>
        <w:t>Salmonella</w:t>
      </w:r>
      <w:r>
        <w:t xml:space="preserve"> Enrichment Base containing </w:t>
      </w:r>
      <w:r w:rsidR="00682EA5" w:rsidRPr="00682EA5">
        <w:t>Neogen</w:t>
      </w:r>
      <w:r w:rsidR="00682EA5">
        <w:t xml:space="preserve"> </w:t>
      </w:r>
      <w:r w:rsidRPr="00B15B9C">
        <w:rPr>
          <w:i/>
        </w:rPr>
        <w:t>Salmonella</w:t>
      </w:r>
      <w:r>
        <w:t xml:space="preserve"> Enrichment Supplement.</w:t>
      </w:r>
    </w:p>
    <w:p w14:paraId="5998AAC5" w14:textId="588068AA" w:rsidR="00916B5C" w:rsidRDefault="00916B5C" w:rsidP="00916B5C">
      <w:pPr>
        <w:pStyle w:val="Normal-para"/>
      </w:pPr>
      <w:r>
        <w:t xml:space="preserve">For analysis of processed meat products, 325 g is enriched in 2925 mL of </w:t>
      </w:r>
      <w:r w:rsidR="00682EA5" w:rsidRPr="00682EA5">
        <w:t>Neogen</w:t>
      </w:r>
      <w:r w:rsidR="00682EA5">
        <w:t xml:space="preserve"> </w:t>
      </w:r>
      <w:r w:rsidRPr="00B15B9C">
        <w:rPr>
          <w:i/>
        </w:rPr>
        <w:t>Salmonella</w:t>
      </w:r>
      <w:r>
        <w:t xml:space="preserve"> Enrichment Base containing </w:t>
      </w:r>
      <w:r w:rsidR="00682EA5" w:rsidRPr="00682EA5">
        <w:t>Neogen</w:t>
      </w:r>
      <w:r w:rsidR="00682EA5">
        <w:t xml:space="preserve"> </w:t>
      </w:r>
      <w:r w:rsidRPr="00B15B9C">
        <w:rPr>
          <w:i/>
        </w:rPr>
        <w:t>Salmonella</w:t>
      </w:r>
      <w:r>
        <w:t xml:space="preserve"> Enrichment Supplement.</w:t>
      </w:r>
    </w:p>
    <w:p w14:paraId="50DC3DE1" w14:textId="2CF54FC0" w:rsidR="00916B5C" w:rsidRDefault="00916B5C" w:rsidP="00916B5C">
      <w:pPr>
        <w:pStyle w:val="Normal-para"/>
      </w:pPr>
      <w:r>
        <w:t xml:space="preserve">For carcass sponges, </w:t>
      </w:r>
      <w:r w:rsidR="00682EA5" w:rsidRPr="00682EA5">
        <w:t>Neogen</w:t>
      </w:r>
      <w:r w:rsidR="00682EA5">
        <w:t xml:space="preserve"> </w:t>
      </w:r>
      <w:r w:rsidRPr="00B15B9C">
        <w:rPr>
          <w:i/>
        </w:rPr>
        <w:t>Salmonella</w:t>
      </w:r>
      <w:r>
        <w:t xml:space="preserve"> Enrichment Base containing </w:t>
      </w:r>
      <w:r w:rsidR="00682EA5" w:rsidRPr="00682EA5">
        <w:t>Neogen</w:t>
      </w:r>
      <w:r w:rsidR="00682EA5">
        <w:t xml:space="preserve"> </w:t>
      </w:r>
      <w:r w:rsidRPr="00B15B9C">
        <w:rPr>
          <w:i/>
        </w:rPr>
        <w:t>Salmonella</w:t>
      </w:r>
      <w:r>
        <w:t xml:space="preserve"> Enrichment Supplement is added to the moistened sponge to bring the total volume to 225 </w:t>
      </w:r>
      <w:proofErr w:type="spellStart"/>
      <w:r>
        <w:t>mL.</w:t>
      </w:r>
      <w:proofErr w:type="spellEnd"/>
    </w:p>
    <w:p w14:paraId="2C3EB350" w14:textId="77777777" w:rsidR="00916B5C" w:rsidRDefault="00916B5C" w:rsidP="00916B5C">
      <w:pPr>
        <w:pStyle w:val="Normal-para"/>
      </w:pPr>
      <w:r>
        <w:t>Homogenized matrices for 2 minutes and incubated at 41.5 ± 1</w:t>
      </w:r>
      <w:r>
        <w:sym w:font="Symbol" w:char="F0B0"/>
      </w:r>
      <w:r>
        <w:t>C for 18 - 24 h. A positive control culture must be run through all procedures daily or when testing is carried out.</w:t>
      </w:r>
    </w:p>
    <w:p w14:paraId="7C71BDFB" w14:textId="77777777" w:rsidR="00916B5C" w:rsidRDefault="00916B5C" w:rsidP="00916B5C">
      <w:pPr>
        <w:pStyle w:val="Heading3"/>
      </w:pPr>
      <w:r>
        <w:t xml:space="preserve">Selective </w:t>
      </w:r>
      <w:r w:rsidRPr="00B32EA5">
        <w:t>e</w:t>
      </w:r>
      <w:r>
        <w:t>nrichment</w:t>
      </w:r>
    </w:p>
    <w:p w14:paraId="32922FAF" w14:textId="77777777" w:rsidR="00916B5C" w:rsidRDefault="00916B5C" w:rsidP="00916B5C">
      <w:pPr>
        <w:pStyle w:val="Normal-para"/>
      </w:pPr>
      <w:r>
        <w:t>For samples with high microbial load (</w:t>
      </w:r>
      <w:proofErr w:type="gramStart"/>
      <w:r>
        <w:t>e.g.</w:t>
      </w:r>
      <w:proofErr w:type="gramEnd"/>
      <w:r>
        <w:t xml:space="preserve"> raw meat and carcass swab or sample that gives a total aerobic colony count of &gt;10</w:t>
      </w:r>
      <w:r w:rsidRPr="002E1679">
        <w:rPr>
          <w:vertAlign w:val="superscript"/>
        </w:rPr>
        <w:t>4</w:t>
      </w:r>
      <w:r>
        <w:t xml:space="preserve"> </w:t>
      </w:r>
      <w:proofErr w:type="spellStart"/>
      <w:r>
        <w:t>cfu</w:t>
      </w:r>
      <w:proofErr w:type="spellEnd"/>
      <w:r>
        <w:t>), a 0.1 mL aliquot of the primary enrichment is added to 10 mL of Rappaport-Vassiliadis R10 (R-V R10) broth and incubated 41.5 ±1</w:t>
      </w:r>
      <w:r>
        <w:sym w:font="Symbol" w:char="F0B0"/>
      </w:r>
      <w:r>
        <w:t xml:space="preserve">C for 8 -24 hours. </w:t>
      </w:r>
    </w:p>
    <w:p w14:paraId="2D3C1CD3" w14:textId="77777777" w:rsidR="00916B5C" w:rsidRDefault="00916B5C" w:rsidP="00916B5C">
      <w:pPr>
        <w:pStyle w:val="Heading3"/>
      </w:pPr>
      <w:r>
        <w:t>Plating out and identification</w:t>
      </w:r>
    </w:p>
    <w:p w14:paraId="762A92BB" w14:textId="77777777" w:rsidR="00916B5C" w:rsidRDefault="00916B5C" w:rsidP="00916B5C">
      <w:pPr>
        <w:pStyle w:val="Normal-para"/>
      </w:pPr>
      <w:r>
        <w:t>Cultures obtained from the selective enrichment or primary enrichment (low microbial load) are streaked in duplicate onto SALX plates and incubated at 41.5 ± 1</w:t>
      </w:r>
      <w:r>
        <w:sym w:font="Symbol" w:char="F0B0"/>
      </w:r>
      <w:r>
        <w:t xml:space="preserve">C for 24 ±2 hours. </w:t>
      </w:r>
      <w:r w:rsidRPr="00B15B9C">
        <w:rPr>
          <w:i/>
        </w:rPr>
        <w:t>Salmonella</w:t>
      </w:r>
      <w:r>
        <w:t xml:space="preserve"> colonies are red to brown with discrete yellow zones and /or gas bubbles.</w:t>
      </w:r>
    </w:p>
    <w:p w14:paraId="5A4C0618" w14:textId="77777777" w:rsidR="00916B5C" w:rsidRDefault="00916B5C" w:rsidP="00916B5C">
      <w:pPr>
        <w:pStyle w:val="Heading3"/>
      </w:pPr>
      <w:r>
        <w:t>Biochemical confirmation</w:t>
      </w:r>
    </w:p>
    <w:p w14:paraId="2E492E56" w14:textId="77777777" w:rsidR="00DE6357" w:rsidRDefault="00916B5C" w:rsidP="00DE6357">
      <w:pPr>
        <w:pStyle w:val="Normal-para"/>
      </w:pPr>
      <w:r>
        <w:t xml:space="preserve">Colonies of presumptive </w:t>
      </w:r>
      <w:r w:rsidRPr="00B15B9C">
        <w:rPr>
          <w:i/>
        </w:rPr>
        <w:t>Salmonella</w:t>
      </w:r>
      <w:r>
        <w:t xml:space="preserve"> are confirmed by </w:t>
      </w:r>
      <w:r w:rsidR="00682EA5" w:rsidRPr="00682EA5">
        <w:t>Neogen</w:t>
      </w:r>
      <w:r w:rsidR="00682EA5">
        <w:t xml:space="preserve"> </w:t>
      </w:r>
      <w:r>
        <w:t xml:space="preserve">Petrifilm </w:t>
      </w:r>
      <w:r w:rsidRPr="00B15B9C">
        <w:rPr>
          <w:i/>
        </w:rPr>
        <w:t>Salmonella</w:t>
      </w:r>
      <w:r>
        <w:t xml:space="preserve"> Express (SALX) Confirmation Disk. Circle the presumptive colonies on the plate top film then lift the top film of the SALX plate and insert the disk onto the gel and incubated 41.5 ± 1</w:t>
      </w:r>
      <w:r>
        <w:sym w:font="Symbol" w:char="F0B0"/>
      </w:r>
      <w:r>
        <w:t xml:space="preserve">C for 4 to 5 hours. Change in the marked colony’s colour from red/brown to green blue, blue, dark blue or black or the presence of a blue precipitate is positive for </w:t>
      </w:r>
      <w:r w:rsidRPr="00B15B9C">
        <w:rPr>
          <w:i/>
        </w:rPr>
        <w:t>Salmonella</w:t>
      </w:r>
      <w:r>
        <w:t>. No colour change is negative.</w:t>
      </w:r>
      <w:r w:rsidR="00DE6357">
        <w:t xml:space="preserve"> </w:t>
      </w:r>
    </w:p>
    <w:p w14:paraId="74012E4F" w14:textId="77777777" w:rsidR="00DE6357" w:rsidRDefault="00DE6357" w:rsidP="00DE6357">
      <w:pPr>
        <w:pStyle w:val="Heading3"/>
      </w:pPr>
      <w:r>
        <w:t>Confirmation</w:t>
      </w:r>
    </w:p>
    <w:p w14:paraId="3192B1CB" w14:textId="1EE28B28" w:rsidR="00DE6357" w:rsidRDefault="00DE6357" w:rsidP="00DE6357">
      <w:pPr>
        <w:pStyle w:val="Normal-para"/>
        <w:sectPr w:rsidR="00DE6357" w:rsidSect="002D24D9">
          <w:headerReference w:type="default" r:id="rId11"/>
          <w:footerReference w:type="default" r:id="rId12"/>
          <w:pgSz w:w="11906" w:h="16838" w:code="9"/>
          <w:pgMar w:top="1134" w:right="1418" w:bottom="737" w:left="1701" w:header="680" w:footer="567" w:gutter="0"/>
          <w:cols w:space="708"/>
          <w:docGrid w:linePitch="360"/>
        </w:sectPr>
      </w:pPr>
      <w:r>
        <w:t xml:space="preserve">Positive colonies must be definitively confirmed using AS 5013.10.  Confirmation must be carried out at a </w:t>
      </w:r>
      <w:proofErr w:type="gramStart"/>
      <w:r>
        <w:t>Department</w:t>
      </w:r>
      <w:proofErr w:type="gramEnd"/>
      <w:r>
        <w:t xml:space="preserve"> approved laboratory. Salmonella isolates must be sent to a reference laboratory for serotyping.</w:t>
      </w:r>
    </w:p>
    <w:p w14:paraId="6CAD5BC1" w14:textId="77777777" w:rsidR="00B57373" w:rsidRDefault="00B57373" w:rsidP="00B57373">
      <w:pPr>
        <w:pStyle w:val="Heading2"/>
      </w:pPr>
      <w:r>
        <w:lastRenderedPageBreak/>
        <w:t>CHECKLIST</w:t>
      </w:r>
    </w:p>
    <w:tbl>
      <w:tblPr>
        <w:tblW w:w="9265" w:type="dxa"/>
        <w:tblInd w:w="57" w:type="dxa"/>
        <w:tblBorders>
          <w:top w:val="single" w:sz="4" w:space="0" w:color="auto"/>
          <w:bottom w:val="single" w:sz="4" w:space="0" w:color="auto"/>
        </w:tblBorders>
        <w:tblLook w:val="04A0" w:firstRow="1" w:lastRow="0" w:firstColumn="1" w:lastColumn="0" w:noHBand="0" w:noVBand="1"/>
      </w:tblPr>
      <w:tblGrid>
        <w:gridCol w:w="1877"/>
        <w:gridCol w:w="5120"/>
        <w:gridCol w:w="2268"/>
      </w:tblGrid>
      <w:tr w:rsidR="000811A0" w14:paraId="7F5A8985" w14:textId="77777777" w:rsidTr="00A00A19">
        <w:tc>
          <w:tcPr>
            <w:tcW w:w="1877" w:type="dxa"/>
          </w:tcPr>
          <w:p w14:paraId="1CEE6F13" w14:textId="77777777" w:rsidR="000811A0" w:rsidRDefault="000811A0" w:rsidP="00A00A19">
            <w:pPr>
              <w:pStyle w:val="TableHeading"/>
            </w:pPr>
            <w:r>
              <w:t>Pre-enrichment</w:t>
            </w:r>
          </w:p>
        </w:tc>
        <w:tc>
          <w:tcPr>
            <w:tcW w:w="5120" w:type="dxa"/>
          </w:tcPr>
          <w:p w14:paraId="0227E5E7" w14:textId="77777777" w:rsidR="000811A0" w:rsidRDefault="000811A0" w:rsidP="00A00A19">
            <w:pPr>
              <w:pStyle w:val="TableBody"/>
            </w:pPr>
            <w:r>
              <w:t xml:space="preserve">Is the 3M </w:t>
            </w:r>
            <w:r w:rsidRPr="00B15B9C">
              <w:rPr>
                <w:i/>
              </w:rPr>
              <w:t>Salmonella</w:t>
            </w:r>
            <w:r>
              <w:t xml:space="preserve"> Enrichment Base pre warmed to </w:t>
            </w:r>
            <w:r w:rsidRPr="00367E78">
              <w:t>41</w:t>
            </w:r>
            <w:r>
              <w:t>.5 ± 1</w:t>
            </w:r>
            <w:r w:rsidRPr="009F2FC4">
              <w:sym w:font="Symbol" w:char="F0B0"/>
            </w:r>
            <w:r>
              <w:t>C?</w:t>
            </w:r>
          </w:p>
        </w:tc>
        <w:tc>
          <w:tcPr>
            <w:tcW w:w="2268" w:type="dxa"/>
            <w:vAlign w:val="bottom"/>
          </w:tcPr>
          <w:p w14:paraId="4FAB72A8"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45B9F830" w14:textId="77777777" w:rsidTr="00A00A19">
        <w:tc>
          <w:tcPr>
            <w:tcW w:w="1877" w:type="dxa"/>
          </w:tcPr>
          <w:p w14:paraId="4F5AB923" w14:textId="77777777" w:rsidR="000811A0" w:rsidRDefault="000811A0" w:rsidP="00A00A19">
            <w:pPr>
              <w:pStyle w:val="TableHeading"/>
            </w:pPr>
          </w:p>
        </w:tc>
        <w:tc>
          <w:tcPr>
            <w:tcW w:w="5120" w:type="dxa"/>
          </w:tcPr>
          <w:p w14:paraId="667D5D70" w14:textId="77777777" w:rsidR="000811A0" w:rsidRPr="006A0E1A" w:rsidRDefault="000811A0" w:rsidP="00A00A19">
            <w:pPr>
              <w:pStyle w:val="TableBody"/>
              <w:rPr>
                <w:rStyle w:val="Strong"/>
              </w:rPr>
            </w:pPr>
            <w:r>
              <w:t>Is the correct amount of enrichment broth and supplement used for the weight of sample analysed?</w:t>
            </w:r>
          </w:p>
        </w:tc>
        <w:tc>
          <w:tcPr>
            <w:tcW w:w="2268" w:type="dxa"/>
            <w:vAlign w:val="bottom"/>
          </w:tcPr>
          <w:p w14:paraId="727676D7"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60546C22" w14:textId="77777777" w:rsidTr="00A00A19">
        <w:tc>
          <w:tcPr>
            <w:tcW w:w="1877" w:type="dxa"/>
          </w:tcPr>
          <w:p w14:paraId="0A731A70" w14:textId="77777777" w:rsidR="000811A0" w:rsidRDefault="000811A0" w:rsidP="00A00A19">
            <w:pPr>
              <w:pStyle w:val="TableHeading"/>
            </w:pPr>
          </w:p>
        </w:tc>
        <w:tc>
          <w:tcPr>
            <w:tcW w:w="5120" w:type="dxa"/>
          </w:tcPr>
          <w:p w14:paraId="7CC9FBB9" w14:textId="77777777" w:rsidR="000811A0" w:rsidRDefault="000811A0" w:rsidP="00A00A19">
            <w:pPr>
              <w:pStyle w:val="TableBody"/>
            </w:pPr>
            <w:r>
              <w:t>Is primary enrichment at 41.4 ± 1</w:t>
            </w:r>
            <w:r w:rsidRPr="009F2FC4">
              <w:sym w:font="Symbol" w:char="F0B0"/>
            </w:r>
            <w:r>
              <w:t>C for 18-24 h?</w:t>
            </w:r>
          </w:p>
        </w:tc>
        <w:tc>
          <w:tcPr>
            <w:tcW w:w="2268" w:type="dxa"/>
            <w:vAlign w:val="bottom"/>
          </w:tcPr>
          <w:p w14:paraId="6BCADB85"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30786DE0" w14:textId="77777777" w:rsidTr="00A00A19">
        <w:tc>
          <w:tcPr>
            <w:tcW w:w="1877" w:type="dxa"/>
          </w:tcPr>
          <w:p w14:paraId="21C54712" w14:textId="77777777" w:rsidR="000811A0" w:rsidRDefault="000811A0" w:rsidP="00A00A19">
            <w:pPr>
              <w:pStyle w:val="TableHeading"/>
            </w:pPr>
          </w:p>
        </w:tc>
        <w:tc>
          <w:tcPr>
            <w:tcW w:w="5120" w:type="dxa"/>
          </w:tcPr>
          <w:p w14:paraId="2844348A" w14:textId="77777777" w:rsidR="000811A0" w:rsidRDefault="000811A0" w:rsidP="00A00A19">
            <w:pPr>
              <w:pStyle w:val="TableBody"/>
            </w:pPr>
            <w:r>
              <w:t>Is a positive control run with each batch of samples analysed?</w:t>
            </w:r>
          </w:p>
        </w:tc>
        <w:tc>
          <w:tcPr>
            <w:tcW w:w="2268" w:type="dxa"/>
            <w:vAlign w:val="bottom"/>
          </w:tcPr>
          <w:p w14:paraId="5BA0520C"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423258E5" w14:textId="77777777" w:rsidTr="00A00A19">
        <w:tc>
          <w:tcPr>
            <w:tcW w:w="1877" w:type="dxa"/>
          </w:tcPr>
          <w:p w14:paraId="171C0A36" w14:textId="77777777" w:rsidR="000811A0" w:rsidRDefault="000811A0" w:rsidP="00A00A19">
            <w:pPr>
              <w:pStyle w:val="TableHeading"/>
            </w:pPr>
          </w:p>
        </w:tc>
        <w:tc>
          <w:tcPr>
            <w:tcW w:w="5120" w:type="dxa"/>
          </w:tcPr>
          <w:p w14:paraId="29C0794F" w14:textId="77777777" w:rsidR="000811A0" w:rsidRDefault="000811A0" w:rsidP="00A00A19">
            <w:pPr>
              <w:pStyle w:val="TableBody"/>
            </w:pPr>
            <w:r>
              <w:t>Are reference cultures inoculated into primary enrichment broth at a level of 10 to 100 cells?</w:t>
            </w:r>
          </w:p>
        </w:tc>
        <w:tc>
          <w:tcPr>
            <w:tcW w:w="2268" w:type="dxa"/>
            <w:vAlign w:val="bottom"/>
          </w:tcPr>
          <w:p w14:paraId="57FA8E4F"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43EF88C4" w14:textId="77777777" w:rsidTr="00A00A19">
        <w:tc>
          <w:tcPr>
            <w:tcW w:w="1877" w:type="dxa"/>
          </w:tcPr>
          <w:p w14:paraId="20892E1F" w14:textId="77777777" w:rsidR="000811A0" w:rsidRDefault="000811A0" w:rsidP="00A00A19">
            <w:pPr>
              <w:pStyle w:val="TableHeading"/>
            </w:pPr>
            <w:proofErr w:type="gramStart"/>
            <w:r>
              <w:t>Selective-enrichment</w:t>
            </w:r>
            <w:proofErr w:type="gramEnd"/>
          </w:p>
        </w:tc>
        <w:tc>
          <w:tcPr>
            <w:tcW w:w="5120" w:type="dxa"/>
          </w:tcPr>
          <w:p w14:paraId="49BB2870" w14:textId="77777777" w:rsidR="000811A0" w:rsidRDefault="000811A0" w:rsidP="00A00A19">
            <w:pPr>
              <w:pStyle w:val="TableBody"/>
            </w:pPr>
            <w:r>
              <w:t xml:space="preserve">Is a selective enrichment carried out using R-V R10 broth for high microbial load samples? </w:t>
            </w:r>
          </w:p>
        </w:tc>
        <w:tc>
          <w:tcPr>
            <w:tcW w:w="2268" w:type="dxa"/>
            <w:vAlign w:val="bottom"/>
          </w:tcPr>
          <w:p w14:paraId="2C0B2DFA"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080F7DAF" w14:textId="77777777" w:rsidTr="00A00A19">
        <w:tc>
          <w:tcPr>
            <w:tcW w:w="1877" w:type="dxa"/>
          </w:tcPr>
          <w:p w14:paraId="575EA2D7" w14:textId="77777777" w:rsidR="000811A0" w:rsidRDefault="000811A0" w:rsidP="00A00A19">
            <w:pPr>
              <w:pStyle w:val="TableHeading"/>
            </w:pPr>
          </w:p>
        </w:tc>
        <w:tc>
          <w:tcPr>
            <w:tcW w:w="5120" w:type="dxa"/>
          </w:tcPr>
          <w:p w14:paraId="6499F190" w14:textId="77777777" w:rsidR="000811A0" w:rsidRDefault="000811A0" w:rsidP="00A00A19">
            <w:pPr>
              <w:pStyle w:val="TableBody"/>
            </w:pPr>
            <w:r>
              <w:t>Is R-V R10 broth incubated at 41.5 ±1</w:t>
            </w:r>
            <w:r w:rsidRPr="009F2FC4">
              <w:sym w:font="Symbol" w:char="F0B0"/>
            </w:r>
            <w:r>
              <w:t>C for 8-24 h?</w:t>
            </w:r>
          </w:p>
        </w:tc>
        <w:tc>
          <w:tcPr>
            <w:tcW w:w="2268" w:type="dxa"/>
            <w:vAlign w:val="bottom"/>
          </w:tcPr>
          <w:p w14:paraId="00D50AE4"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29950CBF" w14:textId="77777777" w:rsidTr="00A00A19">
        <w:tc>
          <w:tcPr>
            <w:tcW w:w="1877" w:type="dxa"/>
          </w:tcPr>
          <w:p w14:paraId="55556689" w14:textId="77777777" w:rsidR="000811A0" w:rsidRDefault="000811A0" w:rsidP="00A00A19">
            <w:pPr>
              <w:pStyle w:val="TableHeading"/>
            </w:pPr>
            <w:r>
              <w:t>Plating &amp; confirmation</w:t>
            </w:r>
          </w:p>
        </w:tc>
        <w:tc>
          <w:tcPr>
            <w:tcW w:w="5120" w:type="dxa"/>
          </w:tcPr>
          <w:p w14:paraId="484B7172" w14:textId="77777777" w:rsidR="000811A0" w:rsidRDefault="000811A0" w:rsidP="00A00A19">
            <w:pPr>
              <w:pStyle w:val="TableBody"/>
            </w:pPr>
            <w:r>
              <w:t>Is SALX plate hydrated with 2 mL of sterile diluent and placed at room temp for at least 2 h in dark before use?</w:t>
            </w:r>
          </w:p>
        </w:tc>
        <w:tc>
          <w:tcPr>
            <w:tcW w:w="2268" w:type="dxa"/>
            <w:vAlign w:val="bottom"/>
          </w:tcPr>
          <w:p w14:paraId="114BF224"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7534F0CF" w14:textId="77777777" w:rsidTr="00A00A19">
        <w:tc>
          <w:tcPr>
            <w:tcW w:w="1877" w:type="dxa"/>
          </w:tcPr>
          <w:p w14:paraId="5616C1AB" w14:textId="77777777" w:rsidR="000811A0" w:rsidRDefault="000811A0" w:rsidP="00A00A19">
            <w:pPr>
              <w:pStyle w:val="TableHeading"/>
            </w:pPr>
          </w:p>
        </w:tc>
        <w:tc>
          <w:tcPr>
            <w:tcW w:w="5120" w:type="dxa"/>
          </w:tcPr>
          <w:p w14:paraId="4210A57F" w14:textId="77777777" w:rsidR="000811A0" w:rsidRDefault="000811A0" w:rsidP="00A00A19">
            <w:pPr>
              <w:pStyle w:val="TableBody"/>
            </w:pPr>
            <w:r>
              <w:t>Are SALX plates incubated in stacks of &lt;20?</w:t>
            </w:r>
          </w:p>
        </w:tc>
        <w:tc>
          <w:tcPr>
            <w:tcW w:w="2268" w:type="dxa"/>
            <w:vAlign w:val="bottom"/>
          </w:tcPr>
          <w:p w14:paraId="13A9D3F4"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322E1804" w14:textId="77777777" w:rsidTr="00A00A19">
        <w:tc>
          <w:tcPr>
            <w:tcW w:w="1877" w:type="dxa"/>
          </w:tcPr>
          <w:p w14:paraId="0B0725BF" w14:textId="77777777" w:rsidR="000811A0" w:rsidRDefault="000811A0" w:rsidP="00A00A19">
            <w:pPr>
              <w:pStyle w:val="TableHeading"/>
            </w:pPr>
          </w:p>
        </w:tc>
        <w:tc>
          <w:tcPr>
            <w:tcW w:w="5120" w:type="dxa"/>
          </w:tcPr>
          <w:p w14:paraId="2C3FBD45" w14:textId="77777777" w:rsidR="000811A0" w:rsidRDefault="000811A0" w:rsidP="00A00A19">
            <w:pPr>
              <w:pStyle w:val="TableBody"/>
            </w:pPr>
            <w:r>
              <w:t xml:space="preserve">What colonies are identified as presumptive </w:t>
            </w:r>
            <w:r w:rsidRPr="00B15B9C">
              <w:rPr>
                <w:i/>
              </w:rPr>
              <w:t>Salmonella</w:t>
            </w:r>
            <w:r>
              <w:t>?</w:t>
            </w:r>
          </w:p>
        </w:tc>
        <w:tc>
          <w:tcPr>
            <w:tcW w:w="2268" w:type="dxa"/>
            <w:vAlign w:val="bottom"/>
          </w:tcPr>
          <w:p w14:paraId="244CD257"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5BDFAB3C" w14:textId="77777777" w:rsidTr="00A00A19">
        <w:tc>
          <w:tcPr>
            <w:tcW w:w="1877" w:type="dxa"/>
          </w:tcPr>
          <w:p w14:paraId="2D5C2513" w14:textId="77777777" w:rsidR="000811A0" w:rsidRDefault="000811A0" w:rsidP="00A00A19">
            <w:pPr>
              <w:pStyle w:val="TableHeading"/>
            </w:pPr>
          </w:p>
        </w:tc>
        <w:tc>
          <w:tcPr>
            <w:tcW w:w="5120" w:type="dxa"/>
          </w:tcPr>
          <w:p w14:paraId="430718A7" w14:textId="77777777" w:rsidR="000811A0" w:rsidRDefault="000811A0" w:rsidP="00A00A19">
            <w:pPr>
              <w:pStyle w:val="TableBody"/>
            </w:pPr>
            <w:r>
              <w:t>Are presumptive colonies marked with a fine marker on the top film?</w:t>
            </w:r>
          </w:p>
        </w:tc>
        <w:tc>
          <w:tcPr>
            <w:tcW w:w="2268" w:type="dxa"/>
            <w:vAlign w:val="bottom"/>
          </w:tcPr>
          <w:p w14:paraId="024994D7"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14B7CB61" w14:textId="77777777" w:rsidTr="00A00A19">
        <w:tc>
          <w:tcPr>
            <w:tcW w:w="1877" w:type="dxa"/>
          </w:tcPr>
          <w:p w14:paraId="2EB9004E" w14:textId="77777777" w:rsidR="000811A0" w:rsidRDefault="000811A0" w:rsidP="00A00A19">
            <w:pPr>
              <w:pStyle w:val="TableHeading"/>
            </w:pPr>
          </w:p>
        </w:tc>
        <w:tc>
          <w:tcPr>
            <w:tcW w:w="5120" w:type="dxa"/>
          </w:tcPr>
          <w:p w14:paraId="0A4D8336" w14:textId="77777777" w:rsidR="000811A0" w:rsidRDefault="000811A0" w:rsidP="00A00A19">
            <w:pPr>
              <w:pStyle w:val="TableBody"/>
            </w:pPr>
            <w:r>
              <w:t>Is the SALX Confirmation Disk pre warmed to room temperature before use?</w:t>
            </w:r>
          </w:p>
        </w:tc>
        <w:tc>
          <w:tcPr>
            <w:tcW w:w="2268" w:type="dxa"/>
            <w:vAlign w:val="bottom"/>
          </w:tcPr>
          <w:p w14:paraId="5AAF5E0C"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1C814847" w14:textId="77777777" w:rsidTr="00A00A19">
        <w:tc>
          <w:tcPr>
            <w:tcW w:w="1877" w:type="dxa"/>
          </w:tcPr>
          <w:p w14:paraId="6A01F39F" w14:textId="77777777" w:rsidR="000811A0" w:rsidRDefault="000811A0" w:rsidP="00A00A19">
            <w:pPr>
              <w:pStyle w:val="TableHeading"/>
            </w:pPr>
          </w:p>
        </w:tc>
        <w:tc>
          <w:tcPr>
            <w:tcW w:w="5120" w:type="dxa"/>
          </w:tcPr>
          <w:p w14:paraId="67EBFB1E" w14:textId="77777777" w:rsidR="000811A0" w:rsidRDefault="000811A0" w:rsidP="00A00A19">
            <w:pPr>
              <w:pStyle w:val="TableBody"/>
            </w:pPr>
            <w:r>
              <w:t>Is SALX System (plate and disk) incubated at 41.5 ± 1</w:t>
            </w:r>
            <w:r w:rsidRPr="009F2FC4">
              <w:sym w:font="Symbol" w:char="F0B0"/>
            </w:r>
            <w:r>
              <w:t>C for 4-5 h?</w:t>
            </w:r>
          </w:p>
        </w:tc>
        <w:tc>
          <w:tcPr>
            <w:tcW w:w="2268" w:type="dxa"/>
            <w:vAlign w:val="bottom"/>
          </w:tcPr>
          <w:p w14:paraId="630D9E5D"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28AA58CD" w14:textId="77777777" w:rsidTr="00A00A19">
        <w:tc>
          <w:tcPr>
            <w:tcW w:w="1877" w:type="dxa"/>
          </w:tcPr>
          <w:p w14:paraId="26BE9440" w14:textId="77777777" w:rsidR="000811A0" w:rsidRDefault="000811A0" w:rsidP="00A00A19">
            <w:pPr>
              <w:pStyle w:val="TableHeading"/>
            </w:pPr>
          </w:p>
        </w:tc>
        <w:tc>
          <w:tcPr>
            <w:tcW w:w="5120" w:type="dxa"/>
          </w:tcPr>
          <w:p w14:paraId="784A2786" w14:textId="77777777" w:rsidR="000811A0" w:rsidRDefault="000811A0" w:rsidP="00A00A19">
            <w:pPr>
              <w:pStyle w:val="TableBody"/>
            </w:pPr>
            <w:r>
              <w:t xml:space="preserve">What colonies are identified as confirmed </w:t>
            </w:r>
            <w:r w:rsidRPr="00B15B9C">
              <w:rPr>
                <w:i/>
              </w:rPr>
              <w:t>Salmonella</w:t>
            </w:r>
            <w:r>
              <w:t>?</w:t>
            </w:r>
          </w:p>
        </w:tc>
        <w:tc>
          <w:tcPr>
            <w:tcW w:w="2268" w:type="dxa"/>
            <w:vAlign w:val="bottom"/>
          </w:tcPr>
          <w:p w14:paraId="4FDB3C6F"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201CE2E8" w14:textId="77777777" w:rsidTr="00A00A19">
        <w:tc>
          <w:tcPr>
            <w:tcW w:w="1877" w:type="dxa"/>
          </w:tcPr>
          <w:p w14:paraId="2A1D6839" w14:textId="77777777" w:rsidR="000811A0" w:rsidRDefault="000811A0" w:rsidP="00A00A19">
            <w:pPr>
              <w:pStyle w:val="TableHeading"/>
            </w:pPr>
          </w:p>
        </w:tc>
        <w:tc>
          <w:tcPr>
            <w:tcW w:w="5120" w:type="dxa"/>
          </w:tcPr>
          <w:p w14:paraId="45340B94" w14:textId="77777777" w:rsidR="000811A0" w:rsidRDefault="000811A0" w:rsidP="00A00A19">
            <w:pPr>
              <w:pStyle w:val="TableBody"/>
            </w:pPr>
            <w:r>
              <w:t xml:space="preserve">Is media QC carried out on all new batches of 3M Petrifilm </w:t>
            </w:r>
            <w:r w:rsidRPr="00B15B9C">
              <w:rPr>
                <w:i/>
              </w:rPr>
              <w:t>Salmonella</w:t>
            </w:r>
            <w:r>
              <w:t xml:space="preserve"> Plates? (see Checklist of </w:t>
            </w:r>
            <w:r w:rsidRPr="00DB6B7B">
              <w:rPr>
                <w:i/>
              </w:rPr>
              <w:t>E. coli</w:t>
            </w:r>
            <w:r>
              <w:t xml:space="preserve"> Petrifilm for QC checks) </w:t>
            </w:r>
          </w:p>
        </w:tc>
        <w:tc>
          <w:tcPr>
            <w:tcW w:w="2268" w:type="dxa"/>
            <w:vAlign w:val="bottom"/>
          </w:tcPr>
          <w:p w14:paraId="78AD016E"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r w:rsidR="000811A0" w14:paraId="7E7B2E28" w14:textId="77777777" w:rsidTr="00A00A19">
        <w:tc>
          <w:tcPr>
            <w:tcW w:w="1877" w:type="dxa"/>
          </w:tcPr>
          <w:p w14:paraId="0F39A132" w14:textId="77777777" w:rsidR="000811A0" w:rsidRDefault="000811A0" w:rsidP="00A00A19">
            <w:pPr>
              <w:pStyle w:val="TableHeading"/>
            </w:pPr>
          </w:p>
        </w:tc>
        <w:tc>
          <w:tcPr>
            <w:tcW w:w="5120" w:type="dxa"/>
          </w:tcPr>
          <w:p w14:paraId="30E9B682" w14:textId="77777777" w:rsidR="000811A0" w:rsidRDefault="000811A0" w:rsidP="00A00A19">
            <w:pPr>
              <w:pStyle w:val="TableBody"/>
            </w:pPr>
            <w:r>
              <w:t xml:space="preserve">Is final confirmation carried out using AS 5013.10 at a </w:t>
            </w:r>
            <w:proofErr w:type="gramStart"/>
            <w:r>
              <w:t>Department</w:t>
            </w:r>
            <w:proofErr w:type="gramEnd"/>
            <w:r>
              <w:t xml:space="preserve"> approved laboratory?</w:t>
            </w:r>
          </w:p>
        </w:tc>
        <w:tc>
          <w:tcPr>
            <w:tcW w:w="2268" w:type="dxa"/>
            <w:vAlign w:val="bottom"/>
          </w:tcPr>
          <w:p w14:paraId="110B6DAD" w14:textId="77777777" w:rsidR="000811A0" w:rsidRPr="009F2FC4" w:rsidRDefault="000811A0" w:rsidP="00A00A19">
            <w:pPr>
              <w:pStyle w:val="Header"/>
              <w:tabs>
                <w:tab w:val="clear" w:pos="4153"/>
                <w:tab w:val="clear" w:pos="8306"/>
                <w:tab w:val="right" w:leader="underscore" w:pos="2018"/>
                <w:tab w:val="left" w:pos="3686"/>
                <w:tab w:val="right" w:leader="underscore" w:pos="6237"/>
              </w:tabs>
              <w:spacing w:before="80" w:after="80"/>
              <w:rPr>
                <w:rFonts w:ascii="Garamond" w:hAnsi="Garamond"/>
                <w:color w:val="333333"/>
                <w:sz w:val="22"/>
                <w:szCs w:val="22"/>
              </w:rPr>
            </w:pPr>
            <w:r w:rsidRPr="009F2FC4">
              <w:rPr>
                <w:rFonts w:ascii="Garamond" w:hAnsi="Garamond"/>
                <w:color w:val="333333"/>
                <w:sz w:val="22"/>
                <w:szCs w:val="22"/>
              </w:rPr>
              <w:tab/>
            </w:r>
          </w:p>
        </w:tc>
      </w:tr>
    </w:tbl>
    <w:p w14:paraId="407D90FD" w14:textId="5E6C3593" w:rsidR="00E00A76" w:rsidRPr="00E00A76" w:rsidRDefault="00E00A76" w:rsidP="00B57373">
      <w:pPr>
        <w:pStyle w:val="Heading2"/>
        <w:ind w:left="0"/>
      </w:pPr>
    </w:p>
    <w:sectPr w:rsidR="00E00A76" w:rsidRPr="00E00A76" w:rsidSect="00E93D26">
      <w:headerReference w:type="default" r:id="rId13"/>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AED" w14:textId="77777777" w:rsidR="00E2677A" w:rsidRDefault="00E2677A" w:rsidP="00E0322F">
      <w:pPr>
        <w:spacing w:before="0" w:after="0"/>
      </w:pPr>
      <w:r>
        <w:separator/>
      </w:r>
    </w:p>
  </w:endnote>
  <w:endnote w:type="continuationSeparator" w:id="0">
    <w:p w14:paraId="72922B2B" w14:textId="77777777" w:rsidR="00E2677A" w:rsidRDefault="00E2677A"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B9DF" w14:textId="6B70E819" w:rsidR="00916B5C" w:rsidRPr="007D4EF7" w:rsidRDefault="00916B5C" w:rsidP="00EC6E68">
    <w:pPr>
      <w:pStyle w:val="Footer"/>
      <w:tabs>
        <w:tab w:val="clear" w:pos="4513"/>
        <w:tab w:val="center" w:pos="8647"/>
      </w:tabs>
      <w:rPr>
        <w:color w:val="auto"/>
      </w:rPr>
    </w:pPr>
    <w:r w:rsidRPr="007D4EF7">
      <w:rPr>
        <w:color w:val="auto"/>
      </w:rPr>
      <w:t>Issue 2024 01 08 | Approved Methods Manual</w:t>
    </w:r>
  </w:p>
  <w:p w14:paraId="188889BD" w14:textId="0F608A19" w:rsidR="00916B5C" w:rsidRPr="007D4EF7" w:rsidRDefault="00916B5C" w:rsidP="00EC6E68">
    <w:pPr>
      <w:pStyle w:val="Footer"/>
      <w:tabs>
        <w:tab w:val="clear" w:pos="4513"/>
        <w:tab w:val="clear" w:pos="9026"/>
        <w:tab w:val="center" w:pos="8505"/>
        <w:tab w:val="right" w:pos="8789"/>
      </w:tabs>
      <w:ind w:right="-2"/>
      <w:rPr>
        <w:color w:val="auto"/>
      </w:rPr>
    </w:pPr>
    <w:r w:rsidRPr="007D4EF7">
      <w:rPr>
        <w:color w:val="auto"/>
      </w:rPr>
      <w:t>Export Standards Branch | Exports and Veterinary Services Division</w:t>
    </w:r>
    <w:r w:rsidRPr="007D4EF7">
      <w:rPr>
        <w:color w:val="auto"/>
      </w:rPr>
      <w:tab/>
      <w:t xml:space="preserve">Page </w:t>
    </w:r>
    <w:r w:rsidRPr="007D4EF7">
      <w:rPr>
        <w:color w:val="auto"/>
      </w:rPr>
      <w:fldChar w:fldCharType="begin"/>
    </w:r>
    <w:r w:rsidRPr="007D4EF7">
      <w:rPr>
        <w:color w:val="auto"/>
      </w:rPr>
      <w:instrText xml:space="preserve"> PAGE </w:instrText>
    </w:r>
    <w:r w:rsidRPr="007D4EF7">
      <w:rPr>
        <w:color w:val="auto"/>
      </w:rPr>
      <w:fldChar w:fldCharType="separate"/>
    </w:r>
    <w:r w:rsidRPr="007D4EF7">
      <w:rPr>
        <w:noProof/>
        <w:color w:val="auto"/>
      </w:rPr>
      <w:t>1</w:t>
    </w:r>
    <w:r w:rsidRPr="007D4EF7">
      <w:rPr>
        <w:color w:val="auto"/>
      </w:rPr>
      <w:fldChar w:fldCharType="end"/>
    </w:r>
    <w:r w:rsidRPr="007D4EF7">
      <w:rPr>
        <w:color w:val="auto"/>
      </w:rPr>
      <w:t xml:space="preserve"> of </w:t>
    </w:r>
    <w:r w:rsidRPr="007D4EF7">
      <w:rPr>
        <w:color w:val="auto"/>
      </w:rPr>
      <w:fldChar w:fldCharType="begin"/>
    </w:r>
    <w:r w:rsidRPr="007D4EF7">
      <w:rPr>
        <w:color w:val="auto"/>
      </w:rPr>
      <w:instrText xml:space="preserve"> NUMPAGES  </w:instrText>
    </w:r>
    <w:r w:rsidRPr="007D4EF7">
      <w:rPr>
        <w:color w:val="auto"/>
      </w:rPr>
      <w:fldChar w:fldCharType="separate"/>
    </w:r>
    <w:r w:rsidRPr="007D4EF7">
      <w:rPr>
        <w:noProof/>
        <w:color w:val="auto"/>
      </w:rPr>
      <w:t>2</w:t>
    </w:r>
    <w:r w:rsidRPr="007D4EF7">
      <w:rPr>
        <w:color w:val="auto"/>
      </w:rPr>
      <w:fldChar w:fldCharType="end"/>
    </w:r>
  </w:p>
  <w:p w14:paraId="4918D686" w14:textId="7A48040C" w:rsidR="00916B5C" w:rsidRPr="007D4EF7" w:rsidRDefault="00916B5C" w:rsidP="00EC6E68">
    <w:pPr>
      <w:pStyle w:val="Footer"/>
      <w:tabs>
        <w:tab w:val="clear" w:pos="4513"/>
        <w:tab w:val="clear" w:pos="9026"/>
        <w:tab w:val="center" w:pos="8505"/>
        <w:tab w:val="right" w:pos="8789"/>
      </w:tabs>
      <w:ind w:right="-2"/>
      <w:rPr>
        <w:color w:val="auto"/>
      </w:rPr>
    </w:pPr>
    <w:r w:rsidRPr="007D4EF7">
      <w:rPr>
        <w:color w:val="auto"/>
      </w:rPr>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A680" w14:textId="77777777" w:rsidR="00E2677A" w:rsidRDefault="00E2677A" w:rsidP="00E0322F">
      <w:pPr>
        <w:spacing w:before="0" w:after="0"/>
      </w:pPr>
      <w:r>
        <w:separator/>
      </w:r>
    </w:p>
  </w:footnote>
  <w:footnote w:type="continuationSeparator" w:id="0">
    <w:p w14:paraId="3FF6FD3B" w14:textId="77777777" w:rsidR="00E2677A" w:rsidRDefault="00E2677A" w:rsidP="00E0322F">
      <w:pPr>
        <w:spacing w:before="0" w:after="0"/>
      </w:pPr>
      <w:r>
        <w:continuationSeparator/>
      </w:r>
    </w:p>
  </w:footnote>
  <w:footnote w:id="1">
    <w:p w14:paraId="63BB81E0" w14:textId="77777777" w:rsidR="00916B5C" w:rsidRPr="00E0322F" w:rsidRDefault="00916B5C" w:rsidP="00916B5C">
      <w:pPr>
        <w:pStyle w:val="FootnoteText"/>
        <w:spacing w:after="240"/>
        <w:rPr>
          <w:szCs w:val="16"/>
        </w:rPr>
      </w:pPr>
      <w:r w:rsidRPr="00E0322F">
        <w:rPr>
          <w:rStyle w:val="FootnoteReference"/>
          <w:szCs w:val="16"/>
        </w:rPr>
        <w:footnoteRef/>
      </w:r>
      <w:r w:rsidRPr="00E0322F">
        <w:rPr>
          <w:szCs w:val="16"/>
        </w:rPr>
        <w:t xml:space="preserve"> For all other foods see AOAC 2014.01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507" w14:textId="3607B283" w:rsidR="00916B5C" w:rsidRDefault="00916B5C" w:rsidP="00916B5C">
    <w:pPr>
      <w:pStyle w:val="Header"/>
      <w:tabs>
        <w:tab w:val="center" w:pos="4393"/>
        <w:tab w:val="left" w:pos="7080"/>
      </w:tabs>
      <w:spacing w:after="360" w:line="240" w:lineRule="auto"/>
      <w:jc w:val="both"/>
    </w:pPr>
    <w:r>
      <w:rPr>
        <w:noProof/>
      </w:rPr>
      <w:drawing>
        <wp:inline distT="0" distB="0" distL="0" distR="0" wp14:anchorId="67C4218F" wp14:editId="1518B523">
          <wp:extent cx="3819525" cy="533400"/>
          <wp:effectExtent l="0" t="0" r="9525" b="0"/>
          <wp:docPr id="2121159517" name="Picture 2" descr="DA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59517" name="Picture 2" descr="DAF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2178" w14:textId="63CA033F" w:rsidR="00D42806" w:rsidRPr="007D4EF7" w:rsidRDefault="00D42806" w:rsidP="0045489F">
    <w:pPr>
      <w:pStyle w:val="Header"/>
      <w:rPr>
        <w:rFonts w:ascii="Garamond" w:hAnsi="Garamond"/>
        <w:color w:val="auto"/>
        <w:sz w:val="20"/>
        <w:szCs w:val="20"/>
      </w:rPr>
    </w:pPr>
    <w:r w:rsidRPr="007D4EF7">
      <w:rPr>
        <w:rFonts w:ascii="Garamond" w:hAnsi="Garamond"/>
        <w:color w:val="auto"/>
        <w:sz w:val="20"/>
        <w:szCs w:val="20"/>
      </w:rPr>
      <w:t>Neogen</w:t>
    </w:r>
    <w:r w:rsidRPr="007D4EF7">
      <w:rPr>
        <w:rFonts w:ascii="Garamond" w:hAnsi="Garamond"/>
        <w:color w:val="auto"/>
        <w:sz w:val="20"/>
        <w:szCs w:val="20"/>
        <w:vertAlign w:val="superscript"/>
      </w:rPr>
      <w:t xml:space="preserve"> </w:t>
    </w:r>
    <w:r w:rsidR="00682EA5" w:rsidRPr="007D4EF7">
      <w:rPr>
        <w:rFonts w:ascii="Garamond" w:hAnsi="Garamond"/>
        <w:color w:val="auto"/>
        <w:sz w:val="20"/>
        <w:szCs w:val="20"/>
      </w:rPr>
      <w:t xml:space="preserve">Petrifilm </w:t>
    </w:r>
    <w:r w:rsidR="00682EA5" w:rsidRPr="007D4EF7">
      <w:rPr>
        <w:rFonts w:ascii="Garamond" w:hAnsi="Garamond"/>
        <w:i/>
        <w:iCs/>
        <w:color w:val="auto"/>
        <w:sz w:val="20"/>
        <w:szCs w:val="20"/>
      </w:rPr>
      <w:t>Salmonella</w:t>
    </w:r>
    <w:r w:rsidR="00682EA5" w:rsidRPr="007D4EF7">
      <w:rPr>
        <w:rFonts w:ascii="Garamond" w:hAnsi="Garamond"/>
        <w:color w:val="auto"/>
        <w:sz w:val="20"/>
        <w:szCs w:val="20"/>
      </w:rPr>
      <w:t xml:space="preserve"> Express– AOAC 2014.01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604652492">
    <w:abstractNumId w:val="0"/>
  </w:num>
  <w:num w:numId="2" w16cid:durableId="41945576">
    <w:abstractNumId w:val="1"/>
  </w:num>
  <w:num w:numId="3" w16cid:durableId="838544813">
    <w:abstractNumId w:val="3"/>
  </w:num>
  <w:num w:numId="4" w16cid:durableId="20572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jU2NrEwM7Y0NzRW0lEKTi0uzszPAykwrAUAXSANaywAAAA="/>
    <w:docVar w:name="_AMO_ReportControlsVisible" w:val="Empty"/>
    <w:docVar w:name="_AMO_UniqueIdentifier" w:val="521000c5-b811-4c90-b801-52bbcae476fb"/>
  </w:docVars>
  <w:rsids>
    <w:rsidRoot w:val="0023008E"/>
    <w:rsid w:val="00013257"/>
    <w:rsid w:val="000222C8"/>
    <w:rsid w:val="000236E5"/>
    <w:rsid w:val="00026A40"/>
    <w:rsid w:val="000308D9"/>
    <w:rsid w:val="000339BD"/>
    <w:rsid w:val="00037D59"/>
    <w:rsid w:val="0007611A"/>
    <w:rsid w:val="000763DC"/>
    <w:rsid w:val="000811A0"/>
    <w:rsid w:val="00083F95"/>
    <w:rsid w:val="000A308F"/>
    <w:rsid w:val="000E1166"/>
    <w:rsid w:val="00104392"/>
    <w:rsid w:val="00112B4C"/>
    <w:rsid w:val="00123F6D"/>
    <w:rsid w:val="001346F9"/>
    <w:rsid w:val="0013634C"/>
    <w:rsid w:val="00163A3C"/>
    <w:rsid w:val="00187BE5"/>
    <w:rsid w:val="001A25B8"/>
    <w:rsid w:val="001B09CB"/>
    <w:rsid w:val="001B1761"/>
    <w:rsid w:val="001E48B7"/>
    <w:rsid w:val="00202FC9"/>
    <w:rsid w:val="002079F4"/>
    <w:rsid w:val="00221386"/>
    <w:rsid w:val="002228CD"/>
    <w:rsid w:val="0023008E"/>
    <w:rsid w:val="00234F1B"/>
    <w:rsid w:val="00255508"/>
    <w:rsid w:val="00272AAC"/>
    <w:rsid w:val="00281B05"/>
    <w:rsid w:val="00295503"/>
    <w:rsid w:val="002B6841"/>
    <w:rsid w:val="002C7146"/>
    <w:rsid w:val="002D24D9"/>
    <w:rsid w:val="002E1679"/>
    <w:rsid w:val="00342CD4"/>
    <w:rsid w:val="0035430D"/>
    <w:rsid w:val="00360055"/>
    <w:rsid w:val="00367E78"/>
    <w:rsid w:val="00371076"/>
    <w:rsid w:val="00372452"/>
    <w:rsid w:val="003E49B8"/>
    <w:rsid w:val="003E6B13"/>
    <w:rsid w:val="003F20A8"/>
    <w:rsid w:val="0042371A"/>
    <w:rsid w:val="00433514"/>
    <w:rsid w:val="0044653E"/>
    <w:rsid w:val="0045586B"/>
    <w:rsid w:val="00466F95"/>
    <w:rsid w:val="0049340F"/>
    <w:rsid w:val="00494036"/>
    <w:rsid w:val="00497E53"/>
    <w:rsid w:val="004A2E64"/>
    <w:rsid w:val="004A6BB9"/>
    <w:rsid w:val="004C644E"/>
    <w:rsid w:val="004E7111"/>
    <w:rsid w:val="004F03DD"/>
    <w:rsid w:val="005000E9"/>
    <w:rsid w:val="00520F3E"/>
    <w:rsid w:val="005276AA"/>
    <w:rsid w:val="00552335"/>
    <w:rsid w:val="00595BF4"/>
    <w:rsid w:val="00597206"/>
    <w:rsid w:val="005A1BA4"/>
    <w:rsid w:val="005C1A12"/>
    <w:rsid w:val="005C6271"/>
    <w:rsid w:val="00600380"/>
    <w:rsid w:val="0063002B"/>
    <w:rsid w:val="0063113D"/>
    <w:rsid w:val="0064020D"/>
    <w:rsid w:val="006417CC"/>
    <w:rsid w:val="00657D02"/>
    <w:rsid w:val="00664AF3"/>
    <w:rsid w:val="0066621A"/>
    <w:rsid w:val="00667F57"/>
    <w:rsid w:val="00670835"/>
    <w:rsid w:val="0068117F"/>
    <w:rsid w:val="00682EA5"/>
    <w:rsid w:val="006A0E1A"/>
    <w:rsid w:val="006D4EA3"/>
    <w:rsid w:val="0071140B"/>
    <w:rsid w:val="00740CA0"/>
    <w:rsid w:val="00793DA8"/>
    <w:rsid w:val="007B2C7D"/>
    <w:rsid w:val="007D4EF7"/>
    <w:rsid w:val="007E4068"/>
    <w:rsid w:val="007E538E"/>
    <w:rsid w:val="007E7C98"/>
    <w:rsid w:val="007F6754"/>
    <w:rsid w:val="007F69EF"/>
    <w:rsid w:val="00800DE2"/>
    <w:rsid w:val="00802E5D"/>
    <w:rsid w:val="00804C33"/>
    <w:rsid w:val="00852040"/>
    <w:rsid w:val="00855E0C"/>
    <w:rsid w:val="00883120"/>
    <w:rsid w:val="008C392A"/>
    <w:rsid w:val="008C509D"/>
    <w:rsid w:val="0090355C"/>
    <w:rsid w:val="00913577"/>
    <w:rsid w:val="00916B5C"/>
    <w:rsid w:val="0092202E"/>
    <w:rsid w:val="009264DB"/>
    <w:rsid w:val="00932FD0"/>
    <w:rsid w:val="00934C48"/>
    <w:rsid w:val="0094660E"/>
    <w:rsid w:val="00952047"/>
    <w:rsid w:val="009746CB"/>
    <w:rsid w:val="009B0083"/>
    <w:rsid w:val="009C34A1"/>
    <w:rsid w:val="009D40BE"/>
    <w:rsid w:val="009E0DA8"/>
    <w:rsid w:val="009E4708"/>
    <w:rsid w:val="009E60CA"/>
    <w:rsid w:val="009E6DCC"/>
    <w:rsid w:val="009F0551"/>
    <w:rsid w:val="009F2FC4"/>
    <w:rsid w:val="00A00E69"/>
    <w:rsid w:val="00A020BB"/>
    <w:rsid w:val="00A061D0"/>
    <w:rsid w:val="00A26D66"/>
    <w:rsid w:val="00A47881"/>
    <w:rsid w:val="00A61A7A"/>
    <w:rsid w:val="00A81F44"/>
    <w:rsid w:val="00A83672"/>
    <w:rsid w:val="00AA6BE4"/>
    <w:rsid w:val="00AC062A"/>
    <w:rsid w:val="00AD351B"/>
    <w:rsid w:val="00AD5F2B"/>
    <w:rsid w:val="00AD7EC2"/>
    <w:rsid w:val="00AF7BBF"/>
    <w:rsid w:val="00B0765D"/>
    <w:rsid w:val="00B15B9C"/>
    <w:rsid w:val="00B32BD2"/>
    <w:rsid w:val="00B32EA5"/>
    <w:rsid w:val="00B57373"/>
    <w:rsid w:val="00B629CE"/>
    <w:rsid w:val="00B63D41"/>
    <w:rsid w:val="00B64A88"/>
    <w:rsid w:val="00BA04E6"/>
    <w:rsid w:val="00BD4BA5"/>
    <w:rsid w:val="00BD596C"/>
    <w:rsid w:val="00BE6B56"/>
    <w:rsid w:val="00C117CA"/>
    <w:rsid w:val="00C22CAD"/>
    <w:rsid w:val="00C33522"/>
    <w:rsid w:val="00C42382"/>
    <w:rsid w:val="00C463CA"/>
    <w:rsid w:val="00C47ED6"/>
    <w:rsid w:val="00C5342E"/>
    <w:rsid w:val="00C56A77"/>
    <w:rsid w:val="00C56FE0"/>
    <w:rsid w:val="00C77C0C"/>
    <w:rsid w:val="00CC3456"/>
    <w:rsid w:val="00CF61A4"/>
    <w:rsid w:val="00D00A7F"/>
    <w:rsid w:val="00D04B8A"/>
    <w:rsid w:val="00D12615"/>
    <w:rsid w:val="00D12E07"/>
    <w:rsid w:val="00D1679C"/>
    <w:rsid w:val="00D21A08"/>
    <w:rsid w:val="00D2597D"/>
    <w:rsid w:val="00D42806"/>
    <w:rsid w:val="00D44B30"/>
    <w:rsid w:val="00D860BE"/>
    <w:rsid w:val="00DB0834"/>
    <w:rsid w:val="00DB0989"/>
    <w:rsid w:val="00DC5B91"/>
    <w:rsid w:val="00DE6357"/>
    <w:rsid w:val="00DF4CC6"/>
    <w:rsid w:val="00E00A76"/>
    <w:rsid w:val="00E0322F"/>
    <w:rsid w:val="00E06588"/>
    <w:rsid w:val="00E2677A"/>
    <w:rsid w:val="00E32350"/>
    <w:rsid w:val="00E66A1E"/>
    <w:rsid w:val="00E93DB2"/>
    <w:rsid w:val="00EA5006"/>
    <w:rsid w:val="00EA7D73"/>
    <w:rsid w:val="00EC20E1"/>
    <w:rsid w:val="00ED64A6"/>
    <w:rsid w:val="00EF3F21"/>
    <w:rsid w:val="00F01F9E"/>
    <w:rsid w:val="00F06103"/>
    <w:rsid w:val="00F55D31"/>
    <w:rsid w:val="00F66EF1"/>
    <w:rsid w:val="00F75E04"/>
    <w:rsid w:val="00F91501"/>
    <w:rsid w:val="00F93E9E"/>
    <w:rsid w:val="00FA2D1F"/>
    <w:rsid w:val="00FA2F64"/>
    <w:rsid w:val="00FA404F"/>
    <w:rsid w:val="00FA7866"/>
    <w:rsid w:val="00FD54DF"/>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9F442"/>
  <w15:chartTrackingRefBased/>
  <w15:docId w15:val="{8075CCD2-4A1F-43BA-B53D-099E18D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357"/>
    <w:pPr>
      <w:overflowPunct w:val="0"/>
      <w:autoSpaceDE w:val="0"/>
      <w:autoSpaceDN w:val="0"/>
      <w:adjustRightInd w:val="0"/>
      <w:spacing w:before="60" w:after="60" w:line="269" w:lineRule="auto"/>
      <w:ind w:left="57" w:right="57"/>
      <w:textAlignment w:val="baseline"/>
    </w:pPr>
    <w:rPr>
      <w:rFonts w:ascii="Cambria" w:hAnsi="Cambria"/>
    </w:rPr>
  </w:style>
  <w:style w:type="paragraph" w:styleId="Heading1">
    <w:name w:val="heading 1"/>
    <w:basedOn w:val="Normal"/>
    <w:next w:val="Normal"/>
    <w:link w:val="Heading1Char"/>
    <w:qFormat/>
    <w:rsid w:val="00BE6B56"/>
    <w:pPr>
      <w:keepNext/>
      <w:keepLines/>
      <w:spacing w:before="0" w:after="24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C47ED6"/>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E6B56"/>
    <w:pPr>
      <w:keepNext/>
      <w:keepLines/>
      <w:numPr>
        <w:numId w:val="1"/>
      </w:numPr>
      <w:spacing w:before="12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6B56"/>
    <w:rPr>
      <w:rFonts w:ascii="Calibri" w:hAnsi="Calibri"/>
      <w:b/>
      <w:bCs/>
      <w:sz w:val="28"/>
      <w:szCs w:val="28"/>
    </w:rPr>
  </w:style>
  <w:style w:type="character" w:customStyle="1" w:styleId="Heading2Char">
    <w:name w:val="Heading 2 Char"/>
    <w:link w:val="Heading2"/>
    <w:rsid w:val="00C47ED6"/>
    <w:rPr>
      <w:rFonts w:ascii="Calibri" w:hAnsi="Calibri"/>
      <w:b/>
      <w:bCs/>
      <w:spacing w:val="30"/>
      <w:sz w:val="24"/>
      <w:szCs w:val="26"/>
    </w:rPr>
  </w:style>
  <w:style w:type="character" w:customStyle="1" w:styleId="Heading3Char">
    <w:name w:val="Heading 3 Char"/>
    <w:link w:val="Heading3"/>
    <w:rsid w:val="00BE6B56"/>
    <w:rPr>
      <w:rFonts w:ascii="Cambria" w:hAnsi="Cambria"/>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0811A0"/>
    <w:pPr>
      <w:spacing w:before="40"/>
    </w:pPr>
    <w:rPr>
      <w:sz w:val="22"/>
    </w:rPr>
  </w:style>
  <w:style w:type="character" w:styleId="Strong">
    <w:name w:val="Strong"/>
    <w:rsid w:val="006A0E1A"/>
    <w:rPr>
      <w:b/>
      <w:bCs/>
    </w:rPr>
  </w:style>
  <w:style w:type="paragraph" w:styleId="Header">
    <w:name w:val="header"/>
    <w:basedOn w:val="Normal"/>
    <w:link w:val="HeaderChar"/>
    <w:qFormat/>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qFormat/>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913577"/>
    <w:pPr>
      <w:spacing w:before="0" w:after="0" w:line="240" w:lineRule="auto"/>
    </w:pPr>
    <w:rPr>
      <w:rFonts w:ascii="Segoe UI" w:hAnsi="Segoe UI" w:cs="Segoe UI"/>
      <w:sz w:val="18"/>
      <w:szCs w:val="18"/>
    </w:rPr>
  </w:style>
  <w:style w:type="character" w:customStyle="1" w:styleId="BalloonTextChar">
    <w:name w:val="Balloon Text Char"/>
    <w:link w:val="BalloonText"/>
    <w:rsid w:val="00913577"/>
    <w:rPr>
      <w:rFonts w:ascii="Segoe UI" w:hAnsi="Segoe UI" w:cs="Segoe UI"/>
      <w:sz w:val="18"/>
      <w:szCs w:val="18"/>
    </w:rPr>
  </w:style>
  <w:style w:type="character" w:styleId="CommentReference">
    <w:name w:val="annotation reference"/>
    <w:rsid w:val="008C392A"/>
    <w:rPr>
      <w:sz w:val="16"/>
      <w:szCs w:val="16"/>
    </w:rPr>
  </w:style>
  <w:style w:type="paragraph" w:styleId="CommentText">
    <w:name w:val="annotation text"/>
    <w:basedOn w:val="Normal"/>
    <w:link w:val="CommentTextChar"/>
    <w:rsid w:val="008C392A"/>
  </w:style>
  <w:style w:type="character" w:customStyle="1" w:styleId="CommentTextChar">
    <w:name w:val="Comment Text Char"/>
    <w:link w:val="CommentText"/>
    <w:rsid w:val="008C392A"/>
    <w:rPr>
      <w:rFonts w:ascii="Cambria" w:hAnsi="Cambria"/>
      <w:lang w:val="en-AU" w:eastAsia="en-AU"/>
    </w:rPr>
  </w:style>
  <w:style w:type="paragraph" w:styleId="CommentSubject">
    <w:name w:val="annotation subject"/>
    <w:basedOn w:val="CommentText"/>
    <w:next w:val="CommentText"/>
    <w:link w:val="CommentSubjectChar"/>
    <w:rsid w:val="008C392A"/>
    <w:rPr>
      <w:b/>
      <w:bCs/>
    </w:rPr>
  </w:style>
  <w:style w:type="character" w:customStyle="1" w:styleId="CommentSubjectChar">
    <w:name w:val="Comment Subject Char"/>
    <w:link w:val="CommentSubject"/>
    <w:rsid w:val="008C392A"/>
    <w:rPr>
      <w:rFonts w:ascii="Cambria" w:hAnsi="Cambria"/>
      <w:b/>
      <w:bCs/>
      <w:lang w:val="en-AU" w:eastAsia="en-AU"/>
    </w:rPr>
  </w:style>
  <w:style w:type="paragraph" w:styleId="Revision">
    <w:name w:val="Revision"/>
    <w:hidden/>
    <w:uiPriority w:val="99"/>
    <w:semiHidden/>
    <w:rsid w:val="00494036"/>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FD7C-2B1C-4865-B73C-1B21A5A2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BB113-A599-4348-BD1A-6DEE2B5C38D0}">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sharepoint/v3/fields"/>
    <ds:schemaRef ds:uri="http://schemas.microsoft.com/office/infopath/2007/PartnerControl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49356DC2-111F-4559-AE17-CB233970B3BF}">
  <ds:schemaRefs>
    <ds:schemaRef ds:uri="http://schemas.microsoft.com/sharepoint/v3/contenttype/forms"/>
  </ds:schemaRefs>
</ds:datastoreItem>
</file>

<file path=customXml/itemProps4.xml><?xml version="1.0" encoding="utf-8"?>
<ds:datastoreItem xmlns:ds="http://schemas.openxmlformats.org/officeDocument/2006/customXml" ds:itemID="{4BB3639B-67DB-470C-8764-C6B5AEE4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602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Neogen® Petrifilm Salmonella Express System – AOAC 2014.01</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Neogen® Petrifilm Salmonella Express System – AOAC 2014.01</dc:title>
  <dc:subject>Approved Method Manual</dc:subject>
  <dc:creator>Department of Agriculture, Fisheries and Forestry</dc:creator>
  <cp:keywords>Microbiological Testing, Meat testing, AOAC 2014.01</cp:keywords>
  <cp:lastModifiedBy>Chowdhury, Arefin</cp:lastModifiedBy>
  <cp:revision>17</cp:revision>
  <cp:lastPrinted>2024-01-09T23:11:00Z</cp:lastPrinted>
  <dcterms:created xsi:type="dcterms:W3CDTF">2024-01-04T23:18:00Z</dcterms:created>
  <dcterms:modified xsi:type="dcterms:W3CDTF">2024-01-09T23:12:00Z</dcterms:modified>
  <cp:category>Microbiological method</cp:category>
</cp:coreProperties>
</file>