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987B7" w14:textId="77777777" w:rsidR="00D20FD9" w:rsidRPr="00A1505E" w:rsidRDefault="00756151" w:rsidP="00A1505E">
      <w:r w:rsidRPr="00A1505E">
        <w:tab/>
      </w:r>
    </w:p>
    <w:p w14:paraId="1F7871B1" w14:textId="77777777" w:rsidR="00D20FD9" w:rsidRPr="00A1505E" w:rsidRDefault="009D2D3B" w:rsidP="00A1505E">
      <w:pPr>
        <w:sectPr w:rsidR="00D20FD9" w:rsidRPr="00A1505E" w:rsidSect="009C6EE8">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6" w:h="16838" w:code="9"/>
          <w:pgMar w:top="1440" w:right="1440" w:bottom="1440" w:left="1440" w:header="0" w:footer="0" w:gutter="0"/>
          <w:pgNumType w:fmt="lowerRoman"/>
          <w:cols w:space="720"/>
          <w:titlePg/>
          <w:docGrid w:linePitch="299"/>
        </w:sectPr>
      </w:pPr>
      <w:r w:rsidRPr="00A1505E">
        <w:rPr>
          <w:noProof/>
        </w:rPr>
        <mc:AlternateContent>
          <mc:Choice Requires="wps">
            <w:drawing>
              <wp:anchor distT="0" distB="0" distL="114300" distR="114300" simplePos="0" relativeHeight="251661312" behindDoc="0" locked="0" layoutInCell="1" allowOverlap="1" wp14:anchorId="0FC28494" wp14:editId="2948ED22">
                <wp:simplePos x="0" y="0"/>
                <wp:positionH relativeFrom="column">
                  <wp:posOffset>1012371</wp:posOffset>
                </wp:positionH>
                <wp:positionV relativeFrom="paragraph">
                  <wp:posOffset>5817054</wp:posOffset>
                </wp:positionV>
                <wp:extent cx="4898572" cy="2160905"/>
                <wp:effectExtent l="0" t="0" r="0" b="0"/>
                <wp:wrapNone/>
                <wp:docPr id="3" name="Text Box 3"/>
                <wp:cNvGraphicFramePr/>
                <a:graphic xmlns:a="http://schemas.openxmlformats.org/drawingml/2006/main">
                  <a:graphicData uri="http://schemas.microsoft.com/office/word/2010/wordprocessingShape">
                    <wps:wsp>
                      <wps:cNvSpPr txBox="1"/>
                      <wps:spPr>
                        <a:xfrm>
                          <a:off x="0" y="0"/>
                          <a:ext cx="4898572" cy="2160905"/>
                        </a:xfrm>
                        <a:prstGeom prst="rect">
                          <a:avLst/>
                        </a:prstGeom>
                        <a:noFill/>
                        <a:ln w="6350">
                          <a:noFill/>
                        </a:ln>
                      </wps:spPr>
                      <wps:txbx>
                        <w:txbxContent>
                          <w:p w14:paraId="2169C41E" w14:textId="0D497C75" w:rsidR="00F922AA" w:rsidRDefault="00F922AA" w:rsidP="00A1505E">
                            <w:pPr>
                              <w:pStyle w:val="ReportDate"/>
                              <w:rPr>
                                <w:rFonts w:ascii="Open Sans SemiBold" w:hAnsi="Open Sans SemiBold" w:cs="Open Sans SemiBold"/>
                                <w:bCs/>
                              </w:rPr>
                            </w:pPr>
                            <w:r w:rsidRPr="00EF135F">
                              <w:rPr>
                                <w:rFonts w:ascii="Open Sans SemiBold" w:hAnsi="Open Sans SemiBold" w:cs="Open Sans SemiBold"/>
                                <w:bCs/>
                              </w:rPr>
                              <w:t>Prepared for</w:t>
                            </w:r>
                            <w:r w:rsidR="00085904">
                              <w:rPr>
                                <w:rFonts w:ascii="Open Sans SemiBold" w:hAnsi="Open Sans SemiBold" w:cs="Open Sans SemiBold"/>
                                <w:bCs/>
                              </w:rPr>
                              <w:t xml:space="preserve"> the</w:t>
                            </w:r>
                            <w:r w:rsidRPr="00EF135F">
                              <w:rPr>
                                <w:rFonts w:ascii="Open Sans SemiBold" w:hAnsi="Open Sans SemiBold" w:cs="Open Sans SemiBold"/>
                                <w:bCs/>
                              </w:rPr>
                              <w:t xml:space="preserve"> </w:t>
                            </w:r>
                            <w:r w:rsidR="003E15C2" w:rsidRPr="00EF135F">
                              <w:rPr>
                                <w:rFonts w:ascii="Open Sans SemiBold" w:hAnsi="Open Sans SemiBold" w:cs="Open Sans SemiBold"/>
                                <w:bCs/>
                              </w:rPr>
                              <w:t>Department of Agriculture, Fisheries</w:t>
                            </w:r>
                            <w:r w:rsidR="009C014B">
                              <w:rPr>
                                <w:rFonts w:ascii="Open Sans SemiBold" w:hAnsi="Open Sans SemiBold" w:cs="Open Sans SemiBold"/>
                                <w:bCs/>
                              </w:rPr>
                              <w:t xml:space="preserve"> &amp; Forestry</w:t>
                            </w:r>
                          </w:p>
                          <w:p w14:paraId="57AA00B8" w14:textId="6B4A6CA4" w:rsidR="009D2D3B" w:rsidRPr="00EF135F" w:rsidRDefault="009D2D3B" w:rsidP="00A1505E">
                            <w:pPr>
                              <w:pStyle w:val="ReportDate"/>
                              <w:rPr>
                                <w:rFonts w:ascii="Open Sans SemiBold" w:hAnsi="Open Sans SemiBold" w:cs="Open Sans SemiBold"/>
                                <w:bCs/>
                              </w:rPr>
                            </w:pPr>
                            <w:r>
                              <w:rPr>
                                <w:rFonts w:ascii="Open Sans SemiBold" w:hAnsi="Open Sans SemiBold" w:cs="Open Sans SemiBold"/>
                                <w:bCs/>
                              </w:rPr>
                              <w:t>10</w:t>
                            </w:r>
                            <w:r w:rsidRPr="009D2D3B">
                              <w:rPr>
                                <w:rFonts w:ascii="Open Sans SemiBold" w:hAnsi="Open Sans SemiBold" w:cs="Open Sans SemiBold"/>
                                <w:bCs/>
                                <w:vertAlign w:val="superscript"/>
                              </w:rPr>
                              <w:t>th</w:t>
                            </w:r>
                            <w:r>
                              <w:rPr>
                                <w:rFonts w:ascii="Open Sans SemiBold" w:hAnsi="Open Sans SemiBold" w:cs="Open Sans SemiBold"/>
                                <w:bCs/>
                              </w:rPr>
                              <w:t xml:space="preserve"> April 2026</w:t>
                            </w:r>
                          </w:p>
                          <w:p w14:paraId="0FF1CF99" w14:textId="2CE2FC4A" w:rsidR="00F922AA" w:rsidRPr="00EF135F" w:rsidRDefault="00F922AA" w:rsidP="002E37C2">
                            <w:pPr>
                              <w:pStyle w:val="Author"/>
                              <w:rPr>
                                <w:rFonts w:ascii="Open Sans SemiBold" w:hAnsi="Open Sans SemiBold" w:cs="Open Sans SemiBold"/>
                                <w:bC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28494" id="_x0000_t202" coordsize="21600,21600" o:spt="202" path="m,l,21600r21600,l21600,xe">
                <v:stroke joinstyle="miter"/>
                <v:path gradientshapeok="t" o:connecttype="rect"/>
              </v:shapetype>
              <v:shape id="Text Box 3" o:spid="_x0000_s1026" type="#_x0000_t202" style="position:absolute;margin-left:79.7pt;margin-top:458.05pt;width:385.7pt;height:17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" filled="f" stroked="f" strokeweight=".5pt">
                <v:textbox>
                  <w:txbxContent>
                    <w:p w14:paraId="2169C41E" w14:textId="0D497C75" w:rsidR="00F922AA" w:rsidRDefault="00F922AA" w:rsidP="00A1505E">
                      <w:pPr>
                        <w:pStyle w:val="ReportDate"/>
                        <w:rPr>
                          <w:rFonts w:ascii="Open Sans SemiBold" w:hAnsi="Open Sans SemiBold" w:cs="Open Sans SemiBold"/>
                          <w:bCs/>
                        </w:rPr>
                      </w:pPr>
                      <w:r w:rsidRPr="00EF135F">
                        <w:rPr>
                          <w:rFonts w:ascii="Open Sans SemiBold" w:hAnsi="Open Sans SemiBold" w:cs="Open Sans SemiBold"/>
                          <w:bCs/>
                        </w:rPr>
                        <w:t>Prepared for</w:t>
                      </w:r>
                      <w:r w:rsidR="00085904">
                        <w:rPr>
                          <w:rFonts w:ascii="Open Sans SemiBold" w:hAnsi="Open Sans SemiBold" w:cs="Open Sans SemiBold"/>
                          <w:bCs/>
                        </w:rPr>
                        <w:t xml:space="preserve"> the</w:t>
                      </w:r>
                      <w:r w:rsidRPr="00EF135F">
                        <w:rPr>
                          <w:rFonts w:ascii="Open Sans SemiBold" w:hAnsi="Open Sans SemiBold" w:cs="Open Sans SemiBold"/>
                          <w:bCs/>
                        </w:rPr>
                        <w:t xml:space="preserve"> </w:t>
                      </w:r>
                      <w:r w:rsidR="003E15C2" w:rsidRPr="00EF135F">
                        <w:rPr>
                          <w:rFonts w:ascii="Open Sans SemiBold" w:hAnsi="Open Sans SemiBold" w:cs="Open Sans SemiBold"/>
                          <w:bCs/>
                        </w:rPr>
                        <w:t>Department of Agriculture, Fisheries</w:t>
                      </w:r>
                      <w:r w:rsidR="009C014B">
                        <w:rPr>
                          <w:rFonts w:ascii="Open Sans SemiBold" w:hAnsi="Open Sans SemiBold" w:cs="Open Sans SemiBold"/>
                          <w:bCs/>
                        </w:rPr>
                        <w:t xml:space="preserve"> &amp; Forestry</w:t>
                      </w:r>
                    </w:p>
                    <w:p w14:paraId="57AA00B8" w14:textId="6B4A6CA4" w:rsidR="009D2D3B" w:rsidRPr="00EF135F" w:rsidRDefault="009D2D3B" w:rsidP="00A1505E">
                      <w:pPr>
                        <w:pStyle w:val="ReportDate"/>
                        <w:rPr>
                          <w:rFonts w:ascii="Open Sans SemiBold" w:hAnsi="Open Sans SemiBold" w:cs="Open Sans SemiBold"/>
                          <w:bCs/>
                        </w:rPr>
                      </w:pPr>
                      <w:r>
                        <w:rPr>
                          <w:rFonts w:ascii="Open Sans SemiBold" w:hAnsi="Open Sans SemiBold" w:cs="Open Sans SemiBold"/>
                          <w:bCs/>
                        </w:rPr>
                        <w:t>10</w:t>
                      </w:r>
                      <w:r w:rsidRPr="009D2D3B">
                        <w:rPr>
                          <w:rFonts w:ascii="Open Sans SemiBold" w:hAnsi="Open Sans SemiBold" w:cs="Open Sans SemiBold"/>
                          <w:bCs/>
                          <w:vertAlign w:val="superscript"/>
                        </w:rPr>
                        <w:t>th</w:t>
                      </w:r>
                      <w:r>
                        <w:rPr>
                          <w:rFonts w:ascii="Open Sans SemiBold" w:hAnsi="Open Sans SemiBold" w:cs="Open Sans SemiBold"/>
                          <w:bCs/>
                        </w:rPr>
                        <w:t xml:space="preserve"> April 2026</w:t>
                      </w:r>
                    </w:p>
                    <w:p w14:paraId="0FF1CF99" w14:textId="2CE2FC4A" w:rsidR="00F922AA" w:rsidRPr="00EF135F" w:rsidRDefault="00F922AA" w:rsidP="002E37C2">
                      <w:pPr>
                        <w:pStyle w:val="Author"/>
                        <w:rPr>
                          <w:rFonts w:ascii="Open Sans SemiBold" w:hAnsi="Open Sans SemiBold" w:cs="Open Sans SemiBold"/>
                          <w:bCs/>
                        </w:rPr>
                      </w:pPr>
                    </w:p>
                  </w:txbxContent>
                </v:textbox>
              </v:shape>
            </w:pict>
          </mc:Fallback>
        </mc:AlternateContent>
      </w:r>
      <w:r w:rsidR="009C6EE8" w:rsidRPr="00A1505E">
        <w:rPr>
          <w:noProof/>
        </w:rPr>
        <mc:AlternateContent>
          <mc:Choice Requires="wps">
            <w:drawing>
              <wp:anchor distT="0" distB="0" distL="114300" distR="114300" simplePos="0" relativeHeight="251659264" behindDoc="0" locked="0" layoutInCell="1" allowOverlap="1" wp14:anchorId="352B2971" wp14:editId="63202AEE">
                <wp:simplePos x="0" y="0"/>
                <wp:positionH relativeFrom="column">
                  <wp:posOffset>1009650</wp:posOffset>
                </wp:positionH>
                <wp:positionV relativeFrom="paragraph">
                  <wp:posOffset>1933575</wp:posOffset>
                </wp:positionV>
                <wp:extent cx="4495800" cy="3794125"/>
                <wp:effectExtent l="0" t="0" r="0" b="0"/>
                <wp:wrapNone/>
                <wp:docPr id="1" name="Text Box 1"/>
                <wp:cNvGraphicFramePr/>
                <a:graphic xmlns:a="http://schemas.openxmlformats.org/drawingml/2006/main">
                  <a:graphicData uri="http://schemas.microsoft.com/office/word/2010/wordprocessingShape">
                    <wps:wsp>
                      <wps:cNvSpPr txBox="1"/>
                      <wps:spPr>
                        <a:xfrm>
                          <a:off x="0" y="0"/>
                          <a:ext cx="4495800" cy="3794125"/>
                        </a:xfrm>
                        <a:prstGeom prst="rect">
                          <a:avLst/>
                        </a:prstGeom>
                        <a:noFill/>
                        <a:ln w="6350">
                          <a:noFill/>
                        </a:ln>
                      </wps:spPr>
                      <wps:txbx>
                        <w:txbxContent>
                          <w:p w14:paraId="209F5F9C" w14:textId="010179CF" w:rsidR="00F83349" w:rsidRPr="00EF135F" w:rsidRDefault="00EB7879" w:rsidP="002E37C2">
                            <w:pPr>
                              <w:pStyle w:val="Title"/>
                              <w:rPr>
                                <w:rFonts w:ascii="Open Sans SemiBold" w:hAnsi="Open Sans SemiBold" w:cs="Open Sans SemiBold"/>
                                <w:bCs/>
                                <w:sz w:val="64"/>
                                <w:szCs w:val="64"/>
                              </w:rPr>
                            </w:pPr>
                            <w:r w:rsidRPr="00EF135F">
                              <w:rPr>
                                <w:rFonts w:ascii="Open Sans SemiBold" w:hAnsi="Open Sans SemiBold" w:cs="Open Sans SemiBold"/>
                                <w:bCs/>
                                <w:sz w:val="64"/>
                                <w:szCs w:val="64"/>
                              </w:rPr>
                              <w:fldChar w:fldCharType="begin"/>
                            </w:r>
                            <w:r w:rsidRPr="00EF135F">
                              <w:rPr>
                                <w:rFonts w:ascii="Open Sans SemiBold" w:hAnsi="Open Sans SemiBold" w:cs="Open Sans SemiBold"/>
                                <w:bCs/>
                                <w:sz w:val="64"/>
                                <w:szCs w:val="64"/>
                              </w:rPr>
                              <w:instrText xml:space="preserve"> TITLE  \* MERGEFORMAT </w:instrText>
                            </w:r>
                            <w:r w:rsidRPr="00EF135F">
                              <w:rPr>
                                <w:rFonts w:ascii="Open Sans SemiBold" w:hAnsi="Open Sans SemiBold" w:cs="Open Sans SemiBold"/>
                                <w:bCs/>
                                <w:sz w:val="64"/>
                                <w:szCs w:val="64"/>
                              </w:rPr>
                              <w:fldChar w:fldCharType="separate"/>
                            </w:r>
                            <w:r w:rsidR="00116770">
                              <w:rPr>
                                <w:rFonts w:ascii="Open Sans SemiBold" w:hAnsi="Open Sans SemiBold" w:cs="Open Sans SemiBold"/>
                                <w:bCs/>
                                <w:sz w:val="64"/>
                                <w:szCs w:val="64"/>
                              </w:rPr>
                              <w:t>Independent review of viability of night-time livestock vessel inspections</w:t>
                            </w:r>
                            <w:r w:rsidRPr="00EF135F">
                              <w:rPr>
                                <w:rFonts w:ascii="Open Sans SemiBold" w:hAnsi="Open Sans SemiBold" w:cs="Open Sans SemiBold"/>
                                <w:bCs/>
                                <w:sz w:val="64"/>
                                <w:szCs w:val="64"/>
                              </w:rPr>
                              <w:fldChar w:fldCharType="end"/>
                            </w:r>
                          </w:p>
                          <w:p w14:paraId="1D23B665" w14:textId="391CB3E5" w:rsidR="00756151" w:rsidRPr="00EF135F" w:rsidRDefault="00EB7879" w:rsidP="00F83349">
                            <w:pPr>
                              <w:pStyle w:val="Subtitle"/>
                              <w:rPr>
                                <w:rFonts w:ascii="Open Sans SemiBold" w:hAnsi="Open Sans SemiBold" w:cs="Open Sans SemiBold"/>
                                <w:bCs/>
                                <w:iCs w:val="0"/>
                                <w:sz w:val="48"/>
                                <w:szCs w:val="21"/>
                              </w:rPr>
                            </w:pPr>
                            <w:r w:rsidRPr="00EF135F">
                              <w:rPr>
                                <w:rFonts w:ascii="Open Sans SemiBold" w:hAnsi="Open Sans SemiBold" w:cs="Open Sans SemiBold"/>
                                <w:bCs/>
                                <w:iCs w:val="0"/>
                                <w:sz w:val="48"/>
                                <w:szCs w:val="21"/>
                              </w:rPr>
                              <w:fldChar w:fldCharType="begin"/>
                            </w:r>
                            <w:r w:rsidRPr="00EF135F">
                              <w:rPr>
                                <w:rFonts w:ascii="Open Sans SemiBold" w:hAnsi="Open Sans SemiBold" w:cs="Open Sans SemiBold"/>
                                <w:bCs/>
                                <w:iCs w:val="0"/>
                                <w:sz w:val="48"/>
                                <w:szCs w:val="21"/>
                              </w:rPr>
                              <w:instrText xml:space="preserve"> SUBJECT  \* MERGEFORMAT </w:instrText>
                            </w:r>
                            <w:r w:rsidRPr="00EF135F">
                              <w:rPr>
                                <w:rFonts w:ascii="Open Sans SemiBold" w:hAnsi="Open Sans SemiBold" w:cs="Open Sans SemiBold"/>
                                <w:bCs/>
                                <w:iCs w:val="0"/>
                                <w:sz w:val="48"/>
                                <w:szCs w:val="21"/>
                              </w:rPr>
                              <w:fldChar w:fldCharType="separate"/>
                            </w:r>
                            <w:r w:rsidR="003E15C2" w:rsidRPr="00EF135F">
                              <w:rPr>
                                <w:rFonts w:ascii="Open Sans SemiBold" w:hAnsi="Open Sans SemiBold" w:cs="Open Sans SemiBold"/>
                                <w:bCs/>
                                <w:iCs w:val="0"/>
                                <w:sz w:val="48"/>
                                <w:szCs w:val="21"/>
                              </w:rPr>
                              <w:t>Final report</w:t>
                            </w:r>
                            <w:r w:rsidRPr="00EF135F">
                              <w:rPr>
                                <w:rFonts w:ascii="Open Sans SemiBold" w:hAnsi="Open Sans SemiBold" w:cs="Open Sans SemiBold"/>
                                <w:bCs/>
                                <w:iCs w:val="0"/>
                                <w:sz w:val="48"/>
                                <w:szCs w:val="2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2971" id="Text Box 1" o:spid="_x0000_s1027" type="#_x0000_t202" style="position:absolute;margin-left:79.5pt;margin-top:152.25pt;width:354pt;height:2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" filled="f" stroked="f" strokeweight=".5pt">
                <v:textbox>
                  <w:txbxContent>
                    <w:p w14:paraId="209F5F9C" w14:textId="010179CF" w:rsidR="00F83349" w:rsidRPr="00EF135F" w:rsidRDefault="00EB7879" w:rsidP="002E37C2">
                      <w:pPr>
                        <w:pStyle w:val="Title"/>
                        <w:rPr>
                          <w:rFonts w:ascii="Open Sans SemiBold" w:hAnsi="Open Sans SemiBold" w:cs="Open Sans SemiBold"/>
                          <w:bCs/>
                          <w:sz w:val="64"/>
                          <w:szCs w:val="64"/>
                        </w:rPr>
                      </w:pPr>
                      <w:r w:rsidRPr="00EF135F">
                        <w:rPr>
                          <w:rFonts w:ascii="Open Sans SemiBold" w:hAnsi="Open Sans SemiBold" w:cs="Open Sans SemiBold"/>
                          <w:bCs/>
                          <w:sz w:val="64"/>
                          <w:szCs w:val="64"/>
                        </w:rPr>
                        <w:fldChar w:fldCharType="begin"/>
                      </w:r>
                      <w:r w:rsidRPr="00EF135F">
                        <w:rPr>
                          <w:rFonts w:ascii="Open Sans SemiBold" w:hAnsi="Open Sans SemiBold" w:cs="Open Sans SemiBold"/>
                          <w:bCs/>
                          <w:sz w:val="64"/>
                          <w:szCs w:val="64"/>
                        </w:rPr>
                        <w:instrText xml:space="preserve"> TITLE  \* MERGEFORMAT </w:instrText>
                      </w:r>
                      <w:r w:rsidRPr="00EF135F">
                        <w:rPr>
                          <w:rFonts w:ascii="Open Sans SemiBold" w:hAnsi="Open Sans SemiBold" w:cs="Open Sans SemiBold"/>
                          <w:bCs/>
                          <w:sz w:val="64"/>
                          <w:szCs w:val="64"/>
                        </w:rPr>
                        <w:fldChar w:fldCharType="separate"/>
                      </w:r>
                      <w:r w:rsidR="00116770">
                        <w:rPr>
                          <w:rFonts w:ascii="Open Sans SemiBold" w:hAnsi="Open Sans SemiBold" w:cs="Open Sans SemiBold"/>
                          <w:bCs/>
                          <w:sz w:val="64"/>
                          <w:szCs w:val="64"/>
                        </w:rPr>
                        <w:t>Independent review of viability of night-time livestock vessel inspections</w:t>
                      </w:r>
                      <w:r w:rsidRPr="00EF135F">
                        <w:rPr>
                          <w:rFonts w:ascii="Open Sans SemiBold" w:hAnsi="Open Sans SemiBold" w:cs="Open Sans SemiBold"/>
                          <w:bCs/>
                          <w:sz w:val="64"/>
                          <w:szCs w:val="64"/>
                        </w:rPr>
                        <w:fldChar w:fldCharType="end"/>
                      </w:r>
                    </w:p>
                    <w:p w14:paraId="1D23B665" w14:textId="391CB3E5" w:rsidR="00756151" w:rsidRPr="00EF135F" w:rsidRDefault="00EB7879" w:rsidP="00F83349">
                      <w:pPr>
                        <w:pStyle w:val="Subtitle"/>
                        <w:rPr>
                          <w:rFonts w:ascii="Open Sans SemiBold" w:hAnsi="Open Sans SemiBold" w:cs="Open Sans SemiBold"/>
                          <w:bCs/>
                          <w:iCs w:val="0"/>
                          <w:sz w:val="48"/>
                          <w:szCs w:val="21"/>
                        </w:rPr>
                      </w:pPr>
                      <w:r w:rsidRPr="00EF135F">
                        <w:rPr>
                          <w:rFonts w:ascii="Open Sans SemiBold" w:hAnsi="Open Sans SemiBold" w:cs="Open Sans SemiBold"/>
                          <w:bCs/>
                          <w:iCs w:val="0"/>
                          <w:sz w:val="48"/>
                          <w:szCs w:val="21"/>
                        </w:rPr>
                        <w:fldChar w:fldCharType="begin"/>
                      </w:r>
                      <w:r w:rsidRPr="00EF135F">
                        <w:rPr>
                          <w:rFonts w:ascii="Open Sans SemiBold" w:hAnsi="Open Sans SemiBold" w:cs="Open Sans SemiBold"/>
                          <w:bCs/>
                          <w:iCs w:val="0"/>
                          <w:sz w:val="48"/>
                          <w:szCs w:val="21"/>
                        </w:rPr>
                        <w:instrText xml:space="preserve"> SUBJECT  \* MERGEFORMAT </w:instrText>
                      </w:r>
                      <w:r w:rsidRPr="00EF135F">
                        <w:rPr>
                          <w:rFonts w:ascii="Open Sans SemiBold" w:hAnsi="Open Sans SemiBold" w:cs="Open Sans SemiBold"/>
                          <w:bCs/>
                          <w:iCs w:val="0"/>
                          <w:sz w:val="48"/>
                          <w:szCs w:val="21"/>
                        </w:rPr>
                        <w:fldChar w:fldCharType="separate"/>
                      </w:r>
                      <w:r w:rsidR="003E15C2" w:rsidRPr="00EF135F">
                        <w:rPr>
                          <w:rFonts w:ascii="Open Sans SemiBold" w:hAnsi="Open Sans SemiBold" w:cs="Open Sans SemiBold"/>
                          <w:bCs/>
                          <w:iCs w:val="0"/>
                          <w:sz w:val="48"/>
                          <w:szCs w:val="21"/>
                        </w:rPr>
                        <w:t>Final report</w:t>
                      </w:r>
                      <w:r w:rsidRPr="00EF135F">
                        <w:rPr>
                          <w:rFonts w:ascii="Open Sans SemiBold" w:hAnsi="Open Sans SemiBold" w:cs="Open Sans SemiBold"/>
                          <w:bCs/>
                          <w:iCs w:val="0"/>
                          <w:sz w:val="48"/>
                          <w:szCs w:val="21"/>
                        </w:rPr>
                        <w:fldChar w:fldCharType="end"/>
                      </w:r>
                    </w:p>
                  </w:txbxContent>
                </v:textbox>
              </v:shape>
            </w:pict>
          </mc:Fallback>
        </mc:AlternateContent>
      </w:r>
      <w:r w:rsidR="00756151" w:rsidRPr="00A1505E">
        <w:tab/>
      </w:r>
    </w:p>
    <w:p w14:paraId="6AAE5097" w14:textId="77777777" w:rsidR="00527EBF" w:rsidRPr="00A1505E" w:rsidRDefault="00527EBF" w:rsidP="00A1505E">
      <w:pPr>
        <w:pStyle w:val="ImprintText"/>
      </w:pPr>
      <w:r w:rsidRPr="00A1505E">
        <w:lastRenderedPageBreak/>
        <w:t>Disclaimer</w:t>
      </w:r>
    </w:p>
    <w:p w14:paraId="3C56A106" w14:textId="28536417" w:rsidR="00527EBF" w:rsidRDefault="00527EBF" w:rsidP="00A1505E">
      <w:pPr>
        <w:pStyle w:val="ImprintText"/>
      </w:pPr>
      <w:r w:rsidRPr="00A1505E">
        <w:t xml:space="preserve">This report is for the use of the client only and is confidential information. If you have received a copy of this report in error, please delete it and notify the sender. Ausvet gives no warranty that the information contained in this report is correct or complete and shall not be liable for any loss howsoever caused, whether due to negligence or other circumstances, arising from use of or reliance on this information. </w:t>
      </w:r>
    </w:p>
    <w:p w14:paraId="4E07DCE4" w14:textId="6A8FA10D" w:rsidR="00821D0E" w:rsidRPr="00A1505E" w:rsidRDefault="00821D0E" w:rsidP="00A1505E">
      <w:pPr>
        <w:pStyle w:val="ImprintText"/>
      </w:pPr>
      <w:r>
        <w:t xml:space="preserve">Any mention of products or services </w:t>
      </w:r>
      <w:r w:rsidR="00561CB3">
        <w:t xml:space="preserve">is based on material presented to Ausvet, or illustrative, and </w:t>
      </w:r>
      <w:r>
        <w:t>should not be taken as endorsement of those products or services</w:t>
      </w:r>
      <w:r w:rsidR="00561CB3">
        <w:t>, or suggestion that they have been fully tested for any purpose.</w:t>
      </w:r>
    </w:p>
    <w:p w14:paraId="626C39CC" w14:textId="5649B904" w:rsidR="00527EBF" w:rsidRPr="00A1505E" w:rsidRDefault="00527EBF" w:rsidP="00A1505E">
      <w:pPr>
        <w:pStyle w:val="ImprintText"/>
      </w:pPr>
      <w:r w:rsidRPr="00A1505E">
        <w:t>© 20</w:t>
      </w:r>
      <w:r w:rsidR="003E15C2">
        <w:t>26</w:t>
      </w:r>
      <w:r w:rsidRPr="00A1505E">
        <w:t xml:space="preserve"> Ausvet</w:t>
      </w:r>
    </w:p>
    <w:p w14:paraId="6CF2200C" w14:textId="4ACE3881" w:rsidR="00527EBF" w:rsidRPr="00A1505E" w:rsidRDefault="00527EBF" w:rsidP="00A1505E">
      <w:pPr>
        <w:pStyle w:val="ImprintText"/>
      </w:pPr>
      <w:r w:rsidRPr="00A1505E">
        <w:t xml:space="preserve">This work is copyright and, apart from any fair use as permitted under the </w:t>
      </w:r>
      <w:r w:rsidRPr="00A1505E">
        <w:rPr>
          <w:i/>
        </w:rPr>
        <w:t>Copyright Act 1968</w:t>
      </w:r>
      <w:r w:rsidRPr="00A1505E">
        <w:t xml:space="preserve">, no part may be reproduced without written permission from the publishers, Ausvet. Requests and inquiries concerning reproduction and rights should be addressed to Ausvet </w:t>
      </w:r>
      <w:r w:rsidR="004B1F95" w:rsidRPr="00A1505E">
        <w:t>at</w:t>
      </w:r>
      <w:r w:rsidRPr="00A1505E">
        <w:t xml:space="preserve"> the address below. </w:t>
      </w:r>
    </w:p>
    <w:p w14:paraId="1FC45D81" w14:textId="6EF1D464" w:rsidR="00527EBF" w:rsidRPr="00A1505E" w:rsidRDefault="00527EBF" w:rsidP="00A1505E">
      <w:pPr>
        <w:pStyle w:val="ImprintText"/>
        <w:rPr>
          <w:rFonts w:eastAsia="Garamond"/>
        </w:rPr>
      </w:pPr>
      <w:r w:rsidRPr="00A1505E">
        <w:rPr>
          <w:rFonts w:eastAsiaTheme="majorEastAsia"/>
        </w:rPr>
        <w:t>Ausvet</w:t>
      </w:r>
      <w:r w:rsidRPr="00A1505E">
        <w:rPr>
          <w:rFonts w:eastAsiaTheme="majorEastAsia"/>
        </w:rPr>
        <w:br/>
      </w:r>
      <w:r w:rsidR="000D280C">
        <w:t>5 Shuffrey St, Fremantle, WA, 6160</w:t>
      </w:r>
      <w:r w:rsidRPr="00A1505E">
        <w:t xml:space="preserve"> Australia</w:t>
      </w:r>
      <w:r w:rsidRPr="00A1505E">
        <w:br/>
      </w:r>
      <w:hyperlink r:id="rId14">
        <w:r w:rsidR="004D0564" w:rsidRPr="00A1505E">
          <w:rPr>
            <w:rStyle w:val="Hyperlink"/>
            <w:rFonts w:eastAsia="Garamond"/>
          </w:rPr>
          <w:t>www.ausvet.com.au</w:t>
        </w:r>
      </w:hyperlink>
      <w:r w:rsidRPr="00A1505E">
        <w:rPr>
          <w:rFonts w:eastAsia="Garamond"/>
        </w:rPr>
        <w:br/>
        <w:t>ABN: 64 613 142 9</w:t>
      </w:r>
      <w:r w:rsidRPr="00A1505E">
        <w:rPr>
          <w:rFonts w:eastAsia="Garamond"/>
        </w:rPr>
        <w:br/>
      </w:r>
      <w:r w:rsidRPr="00A1505E">
        <w:rPr>
          <w:rFonts w:eastAsia="Garamond"/>
        </w:rPr>
        <w:br/>
      </w:r>
    </w:p>
    <w:p w14:paraId="4B43DBFA" w14:textId="77777777" w:rsidR="001A07C1" w:rsidRPr="00A1505E" w:rsidRDefault="001A07C1" w:rsidP="00A1505E">
      <w:pPr>
        <w:sectPr w:rsidR="001A07C1" w:rsidRPr="00A1505E" w:rsidSect="001A07C1">
          <w:footerReference w:type="default" r:id="rId15"/>
          <w:footerReference w:type="first" r:id="rId16"/>
          <w:footnotePr>
            <w:numRestart w:val="eachSect"/>
          </w:footnotePr>
          <w:type w:val="evenPage"/>
          <w:pgSz w:w="11906" w:h="16838" w:code="9"/>
          <w:pgMar w:top="1440" w:right="1440" w:bottom="1440" w:left="1440" w:header="576" w:footer="576" w:gutter="0"/>
          <w:pgNumType w:fmt="lowerRoman" w:start="3"/>
          <w:cols w:space="720"/>
          <w:docGrid w:linePitch="299"/>
        </w:sectPr>
      </w:pPr>
    </w:p>
    <w:p w14:paraId="3D70F2CD" w14:textId="77777777" w:rsidR="004F526D" w:rsidRDefault="004F526D" w:rsidP="009E1EA2">
      <w:pPr>
        <w:pStyle w:val="Heading1a"/>
      </w:pPr>
      <w:bookmarkStart w:id="0" w:name="_Toc219289988"/>
      <w:r>
        <w:lastRenderedPageBreak/>
        <w:t>Executive summary</w:t>
      </w:r>
      <w:bookmarkEnd w:id="0"/>
    </w:p>
    <w:p w14:paraId="311F830E" w14:textId="77777777" w:rsidR="004F526D" w:rsidRDefault="004F526D" w:rsidP="009E1EA2">
      <w:pPr>
        <w:pStyle w:val="Heading2a"/>
      </w:pPr>
      <w:r>
        <w:t>Background</w:t>
      </w:r>
    </w:p>
    <w:p w14:paraId="20F38F19" w14:textId="3CC1BCB8" w:rsidR="004F526D" w:rsidRDefault="004F526D" w:rsidP="004F526D">
      <w:pPr>
        <w:tabs>
          <w:tab w:val="right" w:pos="9000"/>
        </w:tabs>
        <w:spacing w:before="120"/>
        <w:rPr>
          <w:rFonts w:eastAsia="Garamond" w:cs="Garamond"/>
          <w:szCs w:val="22"/>
        </w:rPr>
      </w:pPr>
      <w:r>
        <w:rPr>
          <w:rFonts w:eastAsia="Garamond" w:cs="Garamond"/>
          <w:szCs w:val="22"/>
        </w:rPr>
        <w:t>In 2017, the Department of Agriculture,</w:t>
      </w:r>
      <w:r w:rsidR="009C014B">
        <w:rPr>
          <w:rFonts w:eastAsia="Garamond" w:cs="Garamond"/>
          <w:szCs w:val="22"/>
        </w:rPr>
        <w:t xml:space="preserve"> </w:t>
      </w:r>
      <w:r>
        <w:rPr>
          <w:rFonts w:eastAsia="Garamond" w:cs="Garamond"/>
          <w:szCs w:val="22"/>
        </w:rPr>
        <w:t>Fisheries</w:t>
      </w:r>
      <w:r w:rsidR="009C014B">
        <w:rPr>
          <w:rFonts w:eastAsia="Garamond" w:cs="Garamond"/>
          <w:szCs w:val="22"/>
        </w:rPr>
        <w:t xml:space="preserve"> &amp; Forestry</w:t>
      </w:r>
      <w:r>
        <w:rPr>
          <w:rFonts w:eastAsia="Garamond" w:cs="Garamond"/>
          <w:szCs w:val="22"/>
        </w:rPr>
        <w:t xml:space="preserve"> cease</w:t>
      </w:r>
      <w:r w:rsidR="00AD0E42">
        <w:rPr>
          <w:rFonts w:eastAsia="Garamond" w:cs="Garamond"/>
          <w:szCs w:val="22"/>
        </w:rPr>
        <w:t>d</w:t>
      </w:r>
      <w:r>
        <w:rPr>
          <w:rFonts w:eastAsia="Garamond" w:cs="Garamond"/>
          <w:szCs w:val="22"/>
        </w:rPr>
        <w:t xml:space="preserve"> all </w:t>
      </w:r>
      <w:r w:rsidR="006F0FD8">
        <w:rPr>
          <w:rFonts w:eastAsia="Garamond" w:cs="Garamond"/>
          <w:szCs w:val="22"/>
        </w:rPr>
        <w:t>night-time</w:t>
      </w:r>
      <w:r>
        <w:rPr>
          <w:rFonts w:eastAsia="Garamond" w:cs="Garamond"/>
          <w:szCs w:val="22"/>
        </w:rPr>
        <w:t xml:space="preserve"> vessel </w:t>
      </w:r>
      <w:r w:rsidR="000C5DB0">
        <w:rPr>
          <w:rFonts w:eastAsia="Garamond" w:cs="Garamond"/>
          <w:szCs w:val="22"/>
        </w:rPr>
        <w:t xml:space="preserve">biosecurity </w:t>
      </w:r>
      <w:r>
        <w:rPr>
          <w:rFonts w:eastAsia="Garamond" w:cs="Garamond"/>
          <w:szCs w:val="22"/>
        </w:rPr>
        <w:t>inspections</w:t>
      </w:r>
      <w:r w:rsidR="000D280C">
        <w:rPr>
          <w:rFonts w:eastAsia="Garamond" w:cs="Garamond"/>
          <w:szCs w:val="22"/>
        </w:rPr>
        <w:t xml:space="preserve"> for returning commercial and non-commercial vessels</w:t>
      </w:r>
      <w:r>
        <w:rPr>
          <w:rFonts w:eastAsia="Garamond" w:cs="Garamond"/>
          <w:szCs w:val="22"/>
        </w:rPr>
        <w:t xml:space="preserve">. </w:t>
      </w:r>
      <w:r w:rsidR="006F0FD8">
        <w:rPr>
          <w:rFonts w:eastAsia="Garamond" w:cs="Garamond"/>
          <w:szCs w:val="22"/>
        </w:rPr>
        <w:t>At the time, i</w:t>
      </w:r>
      <w:r>
        <w:rPr>
          <w:rFonts w:eastAsia="Garamond" w:cs="Garamond"/>
          <w:szCs w:val="22"/>
        </w:rPr>
        <w:t xml:space="preserve">t was deemed that </w:t>
      </w:r>
      <w:r w:rsidR="006F0FD8">
        <w:rPr>
          <w:rFonts w:eastAsia="Garamond" w:cs="Garamond"/>
          <w:szCs w:val="22"/>
        </w:rPr>
        <w:t xml:space="preserve">detection of Biosecurity Risk Material (BRM) </w:t>
      </w:r>
      <w:r>
        <w:rPr>
          <w:rFonts w:eastAsia="Garamond" w:cs="Garamond"/>
          <w:szCs w:val="22"/>
        </w:rPr>
        <w:t xml:space="preserve">could not be adequately managed during </w:t>
      </w:r>
      <w:r w:rsidR="006F0FD8">
        <w:rPr>
          <w:rFonts w:eastAsia="Garamond" w:cs="Garamond"/>
          <w:szCs w:val="22"/>
        </w:rPr>
        <w:t>night-time</w:t>
      </w:r>
      <w:r>
        <w:rPr>
          <w:rFonts w:eastAsia="Garamond" w:cs="Garamond"/>
          <w:szCs w:val="22"/>
        </w:rPr>
        <w:t xml:space="preserve"> inspections due to issues such as limited lighting and altered insect activity. This applied to all incoming vessels, regardless of the vessel type – commercial and non-commercial.</w:t>
      </w:r>
    </w:p>
    <w:p w14:paraId="3AC571D9" w14:textId="6F9F0868" w:rsidR="004F526D" w:rsidRDefault="006F0FD8" w:rsidP="004F526D">
      <w:pPr>
        <w:tabs>
          <w:tab w:val="right" w:pos="9000"/>
        </w:tabs>
        <w:spacing w:before="120"/>
        <w:rPr>
          <w:rFonts w:eastAsia="Garamond" w:cs="Garamond"/>
          <w:szCs w:val="22"/>
        </w:rPr>
      </w:pPr>
      <w:r>
        <w:rPr>
          <w:rFonts w:eastAsia="Garamond" w:cs="Garamond"/>
          <w:szCs w:val="22"/>
        </w:rPr>
        <w:t xml:space="preserve">Restricting biosecurity inspections to daylight hours may impede the operational efficiency and economic viability of livestock carrier vessels. </w:t>
      </w:r>
      <w:r w:rsidR="004F526D">
        <w:rPr>
          <w:rFonts w:eastAsia="Garamond" w:cs="Garamond"/>
          <w:szCs w:val="22"/>
        </w:rPr>
        <w:t xml:space="preserve">The livestock industry has requested an independent review of existing policy and scientific evidence to evaluate the </w:t>
      </w:r>
      <w:r w:rsidR="00AD0E42">
        <w:rPr>
          <w:rFonts w:eastAsia="Garamond" w:cs="Garamond"/>
          <w:szCs w:val="22"/>
        </w:rPr>
        <w:t xml:space="preserve">scientific </w:t>
      </w:r>
      <w:r w:rsidR="004F526D">
        <w:rPr>
          <w:rFonts w:eastAsia="Garamond" w:cs="Garamond"/>
          <w:szCs w:val="22"/>
        </w:rPr>
        <w:t xml:space="preserve">effectiveness and </w:t>
      </w:r>
      <w:r w:rsidR="00AD0E42">
        <w:rPr>
          <w:rFonts w:eastAsia="Garamond" w:cs="Garamond"/>
          <w:szCs w:val="22"/>
        </w:rPr>
        <w:t xml:space="preserve">operational </w:t>
      </w:r>
      <w:r w:rsidR="004F526D">
        <w:rPr>
          <w:rFonts w:eastAsia="Garamond" w:cs="Garamond"/>
          <w:szCs w:val="22"/>
        </w:rPr>
        <w:t xml:space="preserve">feasibility of </w:t>
      </w:r>
      <w:r>
        <w:rPr>
          <w:rFonts w:eastAsia="Garamond" w:cs="Garamond"/>
          <w:szCs w:val="22"/>
        </w:rPr>
        <w:t>night-time</w:t>
      </w:r>
      <w:r w:rsidR="004F526D">
        <w:rPr>
          <w:rFonts w:eastAsia="Garamond" w:cs="Garamond"/>
          <w:szCs w:val="22"/>
        </w:rPr>
        <w:t xml:space="preserve"> inspections.</w:t>
      </w:r>
      <w:r w:rsidR="004F526D" w:rsidRPr="00BD1384">
        <w:rPr>
          <w:rFonts w:eastAsia="Garamond" w:cs="Garamond"/>
          <w:szCs w:val="22"/>
        </w:rPr>
        <w:t xml:space="preserve"> </w:t>
      </w:r>
      <w:r w:rsidR="004F526D">
        <w:rPr>
          <w:rFonts w:eastAsia="Garamond" w:cs="Garamond"/>
          <w:szCs w:val="22"/>
        </w:rPr>
        <w:t xml:space="preserve">Contingent upon initial findings, the project aimed to evaluate potential mitigation measures that could be implemented to support the reintroduction of </w:t>
      </w:r>
      <w:r>
        <w:rPr>
          <w:rFonts w:eastAsia="Garamond" w:cs="Garamond"/>
          <w:szCs w:val="22"/>
        </w:rPr>
        <w:t>night-time</w:t>
      </w:r>
      <w:r w:rsidR="004F526D">
        <w:rPr>
          <w:rFonts w:eastAsia="Garamond" w:cs="Garamond"/>
          <w:szCs w:val="22"/>
        </w:rPr>
        <w:t xml:space="preserve"> inspections.</w:t>
      </w:r>
    </w:p>
    <w:p w14:paraId="7D9EF039" w14:textId="4593814D" w:rsidR="00BC3DBA" w:rsidRDefault="00BC3DBA" w:rsidP="004F526D">
      <w:pPr>
        <w:tabs>
          <w:tab w:val="right" w:pos="9000"/>
        </w:tabs>
        <w:spacing w:before="120"/>
        <w:rPr>
          <w:rFonts w:eastAsia="Garamond" w:cs="Garamond"/>
          <w:szCs w:val="22"/>
        </w:rPr>
      </w:pPr>
      <w:r>
        <w:rPr>
          <w:rFonts w:eastAsia="Garamond" w:cs="Garamond"/>
          <w:szCs w:val="22"/>
        </w:rPr>
        <w:t xml:space="preserve">The risks associated with fatigue and operator error are important for the conduct of effective inspections, and have been considered. Issues associated with </w:t>
      </w:r>
      <w:r w:rsidR="004357E4">
        <w:rPr>
          <w:rFonts w:eastAsia="Garamond" w:cs="Garamond"/>
          <w:szCs w:val="22"/>
        </w:rPr>
        <w:t xml:space="preserve">performance and </w:t>
      </w:r>
      <w:r>
        <w:rPr>
          <w:rFonts w:eastAsia="Garamond" w:cs="Garamond"/>
          <w:szCs w:val="22"/>
        </w:rPr>
        <w:t xml:space="preserve">human-resource management were not a part of this review. </w:t>
      </w:r>
    </w:p>
    <w:p w14:paraId="43AD5B69" w14:textId="77777777" w:rsidR="004F526D" w:rsidRDefault="004F526D" w:rsidP="00B53A89">
      <w:pPr>
        <w:pStyle w:val="Heading2a"/>
        <w:spacing w:before="240" w:after="240"/>
      </w:pPr>
      <w:r>
        <w:t>Methods</w:t>
      </w:r>
    </w:p>
    <w:p w14:paraId="6C98B338" w14:textId="46D443F5" w:rsidR="004F526D" w:rsidRDefault="004F526D" w:rsidP="004F526D">
      <w:pPr>
        <w:tabs>
          <w:tab w:val="right" w:pos="9000"/>
        </w:tabs>
        <w:spacing w:before="120"/>
        <w:rPr>
          <w:rFonts w:eastAsia="Garamond" w:cs="Garamond"/>
          <w:szCs w:val="22"/>
        </w:rPr>
      </w:pPr>
      <w:r>
        <w:rPr>
          <w:rFonts w:eastAsia="Garamond" w:cs="Garamond"/>
          <w:szCs w:val="22"/>
        </w:rPr>
        <w:t xml:space="preserve">The review consisted of four components, including: </w:t>
      </w:r>
    </w:p>
    <w:p w14:paraId="392050A6" w14:textId="67F2DDC6" w:rsidR="004F526D" w:rsidRPr="00035F43" w:rsidRDefault="004F526D" w:rsidP="004F526D">
      <w:pPr>
        <w:pStyle w:val="ListNumber"/>
      </w:pPr>
      <w:r w:rsidRPr="00035F43">
        <w:t xml:space="preserve">a literature review on relevant topics pertaining to livestock carrier vessel inspections being conducted at </w:t>
      </w:r>
      <w:r w:rsidR="006F0FD8">
        <w:t>night-time</w:t>
      </w:r>
    </w:p>
    <w:p w14:paraId="27C2B9F6" w14:textId="12813BEF" w:rsidR="004F526D" w:rsidRPr="00035F43" w:rsidRDefault="004F526D" w:rsidP="004F526D">
      <w:pPr>
        <w:pStyle w:val="ListNumber"/>
      </w:pPr>
      <w:r w:rsidRPr="00035F43">
        <w:t>a descriptive data analysis of inspection data from 2016–2025 (limited scope)</w:t>
      </w:r>
    </w:p>
    <w:p w14:paraId="7464DB0B" w14:textId="77777777" w:rsidR="004F526D" w:rsidRPr="00035F43" w:rsidRDefault="004F526D" w:rsidP="004F526D">
      <w:pPr>
        <w:pStyle w:val="ListNumber"/>
      </w:pPr>
      <w:r w:rsidRPr="00035F43">
        <w:t>vessel inspection observations of livestock carrier vessels arriving in Darwin and Fremantle ports</w:t>
      </w:r>
    </w:p>
    <w:p w14:paraId="5C343C8A" w14:textId="19A0114E" w:rsidR="004F526D" w:rsidRDefault="004F526D" w:rsidP="004F526D">
      <w:pPr>
        <w:pStyle w:val="ListNumber"/>
        <w:rPr>
          <w:rFonts w:eastAsia="Garamond"/>
        </w:rPr>
      </w:pPr>
      <w:r w:rsidRPr="00035F43">
        <w:t>the</w:t>
      </w:r>
      <w:r>
        <w:rPr>
          <w:rFonts w:eastAsia="Garamond"/>
        </w:rPr>
        <w:t xml:space="preserve"> development of a decision criteria support framework to assist the Department in deciding whether the </w:t>
      </w:r>
      <w:r w:rsidR="00BC3DBA">
        <w:rPr>
          <w:rFonts w:eastAsia="Garamond"/>
        </w:rPr>
        <w:t xml:space="preserve">biosecurity </w:t>
      </w:r>
      <w:r>
        <w:rPr>
          <w:rFonts w:eastAsia="Garamond"/>
        </w:rPr>
        <w:t xml:space="preserve">risks associated with a </w:t>
      </w:r>
      <w:r w:rsidR="006F0FD8">
        <w:rPr>
          <w:rFonts w:eastAsia="Garamond"/>
        </w:rPr>
        <w:t>night-time</w:t>
      </w:r>
      <w:r>
        <w:rPr>
          <w:rFonts w:eastAsia="Garamond"/>
        </w:rPr>
        <w:t xml:space="preserve"> inspection can be effectively mitigated. </w:t>
      </w:r>
    </w:p>
    <w:p w14:paraId="6D5D8D64" w14:textId="56A0EDEE" w:rsidR="00AD0E42" w:rsidRDefault="00AD0E42" w:rsidP="00AD0E42">
      <w:pPr>
        <w:rPr>
          <w:rFonts w:eastAsia="Garamond"/>
        </w:rPr>
      </w:pPr>
      <w:r>
        <w:rPr>
          <w:rFonts w:eastAsia="Garamond"/>
        </w:rPr>
        <w:t>Darwin and Fremantle were chosen for observations as they have the highest frequency of livestock carrier vessel visits (and Ausvet staff are present at each of these ports).</w:t>
      </w:r>
    </w:p>
    <w:p w14:paraId="5B036A99" w14:textId="77777777" w:rsidR="004F526D" w:rsidRDefault="004F526D" w:rsidP="00B53A89">
      <w:pPr>
        <w:pStyle w:val="Heading2a"/>
        <w:spacing w:before="240" w:after="240"/>
      </w:pPr>
      <w:r>
        <w:t>Key findings and knowledge gaps</w:t>
      </w:r>
    </w:p>
    <w:p w14:paraId="1A896EB8" w14:textId="7FC28CAD" w:rsidR="002E7894" w:rsidRPr="002E7894" w:rsidRDefault="002E7894" w:rsidP="002E7894">
      <w:pPr>
        <w:rPr>
          <w:lang w:eastAsia="en-US"/>
        </w:rPr>
      </w:pPr>
      <w:r w:rsidRPr="002E7894">
        <w:rPr>
          <w:lang w:eastAsia="en-US"/>
        </w:rPr>
        <w:t>The review identified that the biosecurity risk profile of a vessel is more closely linked to its design</w:t>
      </w:r>
      <w:r>
        <w:rPr>
          <w:lang w:eastAsia="en-US"/>
        </w:rPr>
        <w:t>, the experience of the crew</w:t>
      </w:r>
      <w:r w:rsidRPr="002E7894">
        <w:rPr>
          <w:lang w:eastAsia="en-US"/>
        </w:rPr>
        <w:t xml:space="preserve"> and </w:t>
      </w:r>
      <w:r>
        <w:rPr>
          <w:lang w:eastAsia="en-US"/>
        </w:rPr>
        <w:t xml:space="preserve">the origin </w:t>
      </w:r>
      <w:r w:rsidRPr="002E7894">
        <w:rPr>
          <w:lang w:eastAsia="en-US"/>
        </w:rPr>
        <w:t>than the time of day it is inspected.</w:t>
      </w:r>
    </w:p>
    <w:p w14:paraId="2D1D6213" w14:textId="77777777" w:rsidR="004F526D" w:rsidRDefault="004F526D" w:rsidP="003807D5">
      <w:pPr>
        <w:pStyle w:val="Heading3a"/>
        <w:rPr>
          <w:rFonts w:eastAsia="Garamond"/>
        </w:rPr>
      </w:pPr>
      <w:r>
        <w:rPr>
          <w:rFonts w:eastAsia="Garamond"/>
        </w:rPr>
        <w:lastRenderedPageBreak/>
        <w:t>Literature review</w:t>
      </w:r>
    </w:p>
    <w:p w14:paraId="5B483B5B" w14:textId="1FABB129" w:rsidR="004F526D" w:rsidRDefault="006F0FD8" w:rsidP="004F526D">
      <w:pPr>
        <w:spacing w:before="120"/>
        <w:rPr>
          <w:rFonts w:eastAsia="Garamond" w:cs="Garamond"/>
          <w:szCs w:val="22"/>
        </w:rPr>
      </w:pPr>
      <w:r>
        <w:rPr>
          <w:rFonts w:eastAsia="Garamond" w:cs="Garamond"/>
          <w:szCs w:val="22"/>
        </w:rPr>
        <w:t>The review notes that all</w:t>
      </w:r>
      <w:r w:rsidR="00E834BF">
        <w:rPr>
          <w:rFonts w:eastAsia="Garamond" w:cs="Garamond"/>
          <w:szCs w:val="22"/>
        </w:rPr>
        <w:t xml:space="preserve"> livestock carrier vessels</w:t>
      </w:r>
      <w:r w:rsidR="00A94FB6">
        <w:rPr>
          <w:rStyle w:val="FootnoteReference"/>
          <w:rFonts w:eastAsia="Garamond" w:cs="Garamond"/>
          <w:szCs w:val="22"/>
        </w:rPr>
        <w:footnoteReference w:id="1"/>
      </w:r>
      <w:r w:rsidR="00E834BF">
        <w:rPr>
          <w:rFonts w:eastAsia="Garamond" w:cs="Garamond"/>
          <w:szCs w:val="22"/>
        </w:rPr>
        <w:t xml:space="preserve"> </w:t>
      </w:r>
      <w:r>
        <w:rPr>
          <w:rFonts w:eastAsia="Garamond" w:cs="Garamond"/>
          <w:szCs w:val="22"/>
        </w:rPr>
        <w:t xml:space="preserve">currently </w:t>
      </w:r>
      <w:r w:rsidR="00E834BF">
        <w:rPr>
          <w:rFonts w:eastAsia="Garamond" w:cs="Garamond"/>
          <w:szCs w:val="22"/>
        </w:rPr>
        <w:t>undergo an in-person inspection</w:t>
      </w:r>
      <w:r w:rsidR="00E834BF" w:rsidRPr="00E834BF">
        <w:rPr>
          <w:rFonts w:eastAsia="Garamond" w:cs="Garamond"/>
          <w:szCs w:val="22"/>
        </w:rPr>
        <w:t xml:space="preserve"> </w:t>
      </w:r>
      <w:r w:rsidR="00E834BF">
        <w:rPr>
          <w:rFonts w:eastAsia="Garamond" w:cs="Garamond"/>
          <w:szCs w:val="22"/>
        </w:rPr>
        <w:t xml:space="preserve">on return to Australia, regardless of their compliance history. This is to align with Australia’s strict biosecurity standards to ensure that no </w:t>
      </w:r>
      <w:r w:rsidR="00636932">
        <w:rPr>
          <w:rFonts w:eastAsia="Garamond" w:cs="Garamond"/>
          <w:szCs w:val="22"/>
        </w:rPr>
        <w:t>BRM</w:t>
      </w:r>
      <w:r w:rsidR="00E834BF">
        <w:rPr>
          <w:rFonts w:eastAsia="Garamond" w:cs="Garamond"/>
          <w:szCs w:val="22"/>
        </w:rPr>
        <w:t xml:space="preserve"> is present. </w:t>
      </w:r>
      <w:r w:rsidR="004F526D">
        <w:rPr>
          <w:rFonts w:eastAsia="Garamond" w:cs="Garamond"/>
          <w:szCs w:val="22"/>
        </w:rPr>
        <w:t xml:space="preserve">Visual inspections require adequate conditions, such as </w:t>
      </w:r>
      <w:r w:rsidR="00E834BF">
        <w:rPr>
          <w:rFonts w:eastAsia="Garamond" w:cs="Garamond"/>
          <w:szCs w:val="22"/>
        </w:rPr>
        <w:t xml:space="preserve">sufficient </w:t>
      </w:r>
      <w:r w:rsidR="004F526D">
        <w:rPr>
          <w:rFonts w:eastAsia="Garamond" w:cs="Garamond"/>
          <w:szCs w:val="22"/>
        </w:rPr>
        <w:t xml:space="preserve">lighting, and mental bandwidth to be effective. However, there are currently no </w:t>
      </w:r>
      <w:r w:rsidR="004357E4">
        <w:rPr>
          <w:rFonts w:eastAsia="Garamond" w:cs="Garamond"/>
          <w:szCs w:val="22"/>
        </w:rPr>
        <w:t>illumination</w:t>
      </w:r>
      <w:r w:rsidR="004F526D">
        <w:rPr>
          <w:rFonts w:eastAsia="Garamond" w:cs="Garamond"/>
          <w:szCs w:val="22"/>
        </w:rPr>
        <w:t xml:space="preserve"> standards dictated for </w:t>
      </w:r>
      <w:r w:rsidR="004357E4">
        <w:rPr>
          <w:rFonts w:eastAsia="Garamond" w:cs="Garamond"/>
          <w:szCs w:val="22"/>
        </w:rPr>
        <w:t xml:space="preserve">biosecurity inspections in </w:t>
      </w:r>
      <w:r w:rsidR="004F526D">
        <w:rPr>
          <w:rFonts w:eastAsia="Garamond" w:cs="Garamond"/>
          <w:szCs w:val="22"/>
        </w:rPr>
        <w:t xml:space="preserve">enclosed spaces on vessels, and the outer decks of a vessel may present </w:t>
      </w:r>
      <w:r w:rsidR="00A94FB6">
        <w:rPr>
          <w:rFonts w:eastAsia="Garamond" w:cs="Garamond"/>
          <w:szCs w:val="22"/>
        </w:rPr>
        <w:t xml:space="preserve">a range </w:t>
      </w:r>
      <w:r w:rsidR="004357E4">
        <w:rPr>
          <w:rFonts w:eastAsia="Garamond" w:cs="Garamond"/>
          <w:szCs w:val="22"/>
        </w:rPr>
        <w:t xml:space="preserve">of </w:t>
      </w:r>
      <w:r w:rsidR="00A94FB6">
        <w:rPr>
          <w:rFonts w:eastAsia="Garamond" w:cs="Garamond"/>
          <w:szCs w:val="22"/>
        </w:rPr>
        <w:t>lighting issues, such as high levels of glare and high contrasting shadows</w:t>
      </w:r>
      <w:r w:rsidR="004F526D">
        <w:rPr>
          <w:rFonts w:eastAsia="Garamond" w:cs="Garamond"/>
          <w:szCs w:val="22"/>
        </w:rPr>
        <w:t>. Vessels that have closed decks rely on artificial lighting, regardless of the time of day</w:t>
      </w:r>
      <w:r w:rsidR="00E834BF">
        <w:rPr>
          <w:rFonts w:eastAsia="Garamond" w:cs="Garamond"/>
          <w:szCs w:val="22"/>
        </w:rPr>
        <w:t>.</w:t>
      </w:r>
      <w:r w:rsidR="004F526D">
        <w:rPr>
          <w:rFonts w:eastAsia="Garamond" w:cs="Garamond"/>
          <w:szCs w:val="22"/>
        </w:rPr>
        <w:t xml:space="preserve"> </w:t>
      </w:r>
      <w:r w:rsidR="00E834BF">
        <w:rPr>
          <w:rFonts w:eastAsia="Garamond" w:cs="Garamond"/>
          <w:szCs w:val="22"/>
        </w:rPr>
        <w:t>T</w:t>
      </w:r>
      <w:r w:rsidR="004F526D">
        <w:rPr>
          <w:rFonts w:eastAsia="Garamond" w:cs="Garamond"/>
          <w:szCs w:val="22"/>
        </w:rPr>
        <w:t xml:space="preserve">herefore, the </w:t>
      </w:r>
      <w:r w:rsidR="004357E4">
        <w:rPr>
          <w:rFonts w:eastAsia="Garamond" w:cs="Garamond"/>
          <w:szCs w:val="22"/>
        </w:rPr>
        <w:t>open</w:t>
      </w:r>
      <w:r w:rsidR="004F526D">
        <w:rPr>
          <w:rFonts w:eastAsia="Garamond" w:cs="Garamond"/>
          <w:szCs w:val="22"/>
        </w:rPr>
        <w:t xml:space="preserve"> decks are </w:t>
      </w:r>
      <w:r w:rsidR="004357E4">
        <w:rPr>
          <w:rFonts w:eastAsia="Garamond" w:cs="Garamond"/>
          <w:szCs w:val="22"/>
        </w:rPr>
        <w:t xml:space="preserve">more important in assessing risks associated with </w:t>
      </w:r>
      <w:r>
        <w:rPr>
          <w:rFonts w:eastAsia="Garamond" w:cs="Garamond"/>
          <w:szCs w:val="22"/>
        </w:rPr>
        <w:t>night-time</w:t>
      </w:r>
      <w:r w:rsidR="004F526D">
        <w:rPr>
          <w:rFonts w:eastAsia="Garamond" w:cs="Garamond"/>
          <w:szCs w:val="22"/>
        </w:rPr>
        <w:t xml:space="preserve"> inspection. </w:t>
      </w:r>
    </w:p>
    <w:p w14:paraId="4ADC5DDF" w14:textId="6DAC2618" w:rsidR="00831306" w:rsidRDefault="00831306" w:rsidP="004F526D">
      <w:pPr>
        <w:spacing w:before="120"/>
        <w:rPr>
          <w:rFonts w:eastAsia="Garamond" w:cs="Garamond"/>
          <w:szCs w:val="22"/>
        </w:rPr>
      </w:pPr>
      <w:r>
        <w:rPr>
          <w:rFonts w:eastAsia="Garamond" w:cs="Garamond"/>
          <w:szCs w:val="22"/>
        </w:rPr>
        <w:t xml:space="preserve">The key </w:t>
      </w:r>
      <w:r w:rsidR="00D958AE">
        <w:rPr>
          <w:rFonts w:eastAsia="Garamond" w:cs="Garamond"/>
          <w:szCs w:val="22"/>
        </w:rPr>
        <w:t>target</w:t>
      </w:r>
      <w:r>
        <w:rPr>
          <w:rFonts w:eastAsia="Garamond" w:cs="Garamond"/>
          <w:szCs w:val="22"/>
        </w:rPr>
        <w:t xml:space="preserve"> of inspections </w:t>
      </w:r>
      <w:r w:rsidR="00D958AE">
        <w:rPr>
          <w:rFonts w:eastAsia="Garamond" w:cs="Garamond"/>
          <w:szCs w:val="22"/>
        </w:rPr>
        <w:t xml:space="preserve">on livestock carriers is </w:t>
      </w:r>
      <w:r>
        <w:rPr>
          <w:rFonts w:eastAsia="Garamond" w:cs="Garamond"/>
          <w:szCs w:val="22"/>
        </w:rPr>
        <w:t xml:space="preserve">to assess risk due to </w:t>
      </w:r>
      <w:r w:rsidR="00BC3DBA">
        <w:rPr>
          <w:rFonts w:eastAsia="Garamond" w:cs="Garamond"/>
          <w:szCs w:val="22"/>
        </w:rPr>
        <w:t xml:space="preserve">BRM </w:t>
      </w:r>
      <w:r>
        <w:rPr>
          <w:rFonts w:eastAsia="Garamond" w:cs="Garamond"/>
          <w:szCs w:val="22"/>
        </w:rPr>
        <w:t>and hitchhiker pests (mostly invertebrate, but occasionally vertebrate)</w:t>
      </w:r>
      <w:r w:rsidR="00D958AE">
        <w:rPr>
          <w:rFonts w:eastAsia="Garamond" w:cs="Garamond"/>
          <w:szCs w:val="22"/>
        </w:rPr>
        <w:t xml:space="preserve">. In this context, and given the recent epidemic spread of lumpy skin disease </w:t>
      </w:r>
      <w:r w:rsidR="00BC3DBA">
        <w:rPr>
          <w:rFonts w:eastAsia="Garamond" w:cs="Garamond"/>
          <w:szCs w:val="22"/>
        </w:rPr>
        <w:t xml:space="preserve">(LSD) </w:t>
      </w:r>
      <w:r w:rsidR="00D958AE">
        <w:rPr>
          <w:rFonts w:eastAsia="Garamond" w:cs="Garamond"/>
          <w:szCs w:val="22"/>
        </w:rPr>
        <w:t xml:space="preserve">and foot and mouth disease </w:t>
      </w:r>
      <w:r w:rsidR="00BC3DBA">
        <w:rPr>
          <w:rFonts w:eastAsia="Garamond" w:cs="Garamond"/>
          <w:szCs w:val="22"/>
        </w:rPr>
        <w:t xml:space="preserve">(FMD) </w:t>
      </w:r>
      <w:r w:rsidR="00D958AE">
        <w:rPr>
          <w:rFonts w:eastAsia="Garamond" w:cs="Garamond"/>
          <w:szCs w:val="22"/>
        </w:rPr>
        <w:t>in target markets, cleaning of livestock vessels has never been more important. There are generally high quality resources available to guide cleaning and assessment based on these risks</w:t>
      </w:r>
      <w:r w:rsidR="00BC3DBA">
        <w:rPr>
          <w:rFonts w:eastAsia="Garamond" w:cs="Garamond"/>
          <w:szCs w:val="22"/>
        </w:rPr>
        <w:t>, although less is known about the survivability of FMD virus on fomites or organic material in maritime environments</w:t>
      </w:r>
      <w:r w:rsidR="00D958AE">
        <w:rPr>
          <w:rFonts w:eastAsia="Garamond" w:cs="Garamond"/>
          <w:szCs w:val="22"/>
        </w:rPr>
        <w:t>. The inspections conducted by maritime staff were thorough and it would be extremely unlikely to miss a significant failure of cleaning and disinfection.</w:t>
      </w:r>
    </w:p>
    <w:p w14:paraId="7D1A04B2" w14:textId="5843D506" w:rsidR="004F526D" w:rsidRDefault="00D958AE" w:rsidP="004F526D">
      <w:pPr>
        <w:spacing w:before="120"/>
        <w:rPr>
          <w:rFonts w:eastAsia="Garamond" w:cs="Garamond"/>
          <w:szCs w:val="22"/>
        </w:rPr>
      </w:pPr>
      <w:r>
        <w:rPr>
          <w:rFonts w:eastAsia="Garamond" w:cs="Garamond"/>
          <w:szCs w:val="22"/>
        </w:rPr>
        <w:t xml:space="preserve">The risks associated with hitchhiker pests are less well defined. </w:t>
      </w:r>
      <w:r w:rsidR="005D0672" w:rsidRPr="005D0672">
        <w:rPr>
          <w:rFonts w:eastAsia="Garamond" w:cs="Garamond"/>
          <w:szCs w:val="22"/>
        </w:rPr>
        <w:t xml:space="preserve">Strategic knowledge gaps regarding invertebrate detection at night </w:t>
      </w:r>
      <w:r w:rsidR="005D0672">
        <w:rPr>
          <w:rFonts w:eastAsia="Garamond" w:cs="Garamond"/>
          <w:szCs w:val="22"/>
        </w:rPr>
        <w:t xml:space="preserve">and in enclosed spaces with limited diurnal experience </w:t>
      </w:r>
      <w:r w:rsidR="005D0672" w:rsidRPr="005D0672">
        <w:rPr>
          <w:rFonts w:eastAsia="Garamond" w:cs="Garamond"/>
          <w:szCs w:val="22"/>
        </w:rPr>
        <w:t>must be closed to standardise risk management</w:t>
      </w:r>
      <w:r w:rsidR="009847F5">
        <w:rPr>
          <w:rFonts w:eastAsia="Garamond" w:cs="Garamond"/>
          <w:szCs w:val="22"/>
        </w:rPr>
        <w:t>. Moreover</w:t>
      </w:r>
      <w:r w:rsidR="004F526D">
        <w:rPr>
          <w:rFonts w:eastAsia="Garamond" w:cs="Garamond"/>
          <w:szCs w:val="22"/>
        </w:rPr>
        <w:t>,</w:t>
      </w:r>
      <w:r w:rsidR="009847F5">
        <w:rPr>
          <w:rFonts w:eastAsia="Garamond" w:cs="Garamond"/>
          <w:szCs w:val="22"/>
        </w:rPr>
        <w:t xml:space="preserve"> there is limited published research on</w:t>
      </w:r>
      <w:r w:rsidR="004F526D">
        <w:rPr>
          <w:rFonts w:eastAsia="Garamond" w:cs="Garamond"/>
          <w:szCs w:val="22"/>
        </w:rPr>
        <w:t xml:space="preserve"> the infective dose and survivability of </w:t>
      </w:r>
      <w:r w:rsidR="00BC3DBA">
        <w:rPr>
          <w:rFonts w:eastAsia="Garamond" w:cs="Garamond"/>
          <w:szCs w:val="22"/>
        </w:rPr>
        <w:t>LSD</w:t>
      </w:r>
      <w:r w:rsidR="004F526D">
        <w:rPr>
          <w:rFonts w:eastAsia="Garamond" w:cs="Garamond"/>
          <w:szCs w:val="22"/>
        </w:rPr>
        <w:t xml:space="preserve"> virus on </w:t>
      </w:r>
      <w:r w:rsidR="005D0672">
        <w:rPr>
          <w:rFonts w:eastAsia="Garamond" w:cs="Garamond"/>
          <w:szCs w:val="22"/>
        </w:rPr>
        <w:t xml:space="preserve">potential </w:t>
      </w:r>
      <w:r w:rsidR="004F526D">
        <w:rPr>
          <w:rFonts w:eastAsia="Garamond" w:cs="Garamond"/>
          <w:szCs w:val="22"/>
        </w:rPr>
        <w:t>hitchhiker insec</w:t>
      </w:r>
      <w:r w:rsidR="00BC3DBA">
        <w:rPr>
          <w:rFonts w:eastAsia="Garamond" w:cs="Garamond"/>
          <w:szCs w:val="22"/>
        </w:rPr>
        <w:t>t</w:t>
      </w:r>
      <w:r w:rsidR="005D0672">
        <w:rPr>
          <w:rFonts w:eastAsia="Garamond" w:cs="Garamond"/>
          <w:szCs w:val="22"/>
        </w:rPr>
        <w:t xml:space="preserve"> vectors</w:t>
      </w:r>
      <w:r w:rsidR="00BC3DBA">
        <w:rPr>
          <w:rFonts w:eastAsia="Garamond" w:cs="Garamond"/>
          <w:szCs w:val="22"/>
        </w:rPr>
        <w:t>.</w:t>
      </w:r>
    </w:p>
    <w:p w14:paraId="3931C797" w14:textId="653EBE6A" w:rsidR="00610C4A" w:rsidRDefault="00610C4A" w:rsidP="004F526D">
      <w:pPr>
        <w:spacing w:before="120"/>
        <w:rPr>
          <w:rFonts w:eastAsia="Garamond" w:cs="Garamond"/>
          <w:szCs w:val="22"/>
        </w:rPr>
      </w:pPr>
      <w:r>
        <w:rPr>
          <w:rFonts w:eastAsia="Garamond" w:cs="Garamond"/>
          <w:szCs w:val="22"/>
        </w:rPr>
        <w:t xml:space="preserve">Other factors such as operator fatigue and </w:t>
      </w:r>
      <w:r w:rsidR="00280C55">
        <w:rPr>
          <w:rFonts w:eastAsia="Garamond" w:cs="Garamond"/>
          <w:szCs w:val="22"/>
        </w:rPr>
        <w:t>w</w:t>
      </w:r>
      <w:r>
        <w:rPr>
          <w:rFonts w:eastAsia="Garamond" w:cs="Garamond"/>
          <w:szCs w:val="22"/>
        </w:rPr>
        <w:t>ork</w:t>
      </w:r>
      <w:r w:rsidR="00280C55">
        <w:rPr>
          <w:rFonts w:eastAsia="Garamond" w:cs="Garamond"/>
          <w:szCs w:val="22"/>
        </w:rPr>
        <w:t xml:space="preserve"> h</w:t>
      </w:r>
      <w:r>
        <w:rPr>
          <w:rFonts w:eastAsia="Garamond" w:cs="Garamond"/>
          <w:szCs w:val="22"/>
        </w:rPr>
        <w:t xml:space="preserve">ealth and </w:t>
      </w:r>
      <w:r w:rsidR="00280C55">
        <w:rPr>
          <w:rFonts w:eastAsia="Garamond" w:cs="Garamond"/>
          <w:szCs w:val="22"/>
        </w:rPr>
        <w:t>s</w:t>
      </w:r>
      <w:r>
        <w:rPr>
          <w:rFonts w:eastAsia="Garamond" w:cs="Garamond"/>
          <w:szCs w:val="22"/>
        </w:rPr>
        <w:t xml:space="preserve">afety will impact the ability to undertake effective inspections and must be appropriately managed, creating additional resourcing requirements. </w:t>
      </w:r>
    </w:p>
    <w:p w14:paraId="6A331D6B" w14:textId="2696F0D6" w:rsidR="004F526D" w:rsidRDefault="004F526D" w:rsidP="003807D5">
      <w:pPr>
        <w:pStyle w:val="Heading3a"/>
        <w:rPr>
          <w:rFonts w:eastAsia="Garamond"/>
        </w:rPr>
      </w:pPr>
      <w:r>
        <w:rPr>
          <w:rFonts w:eastAsia="Garamond"/>
        </w:rPr>
        <w:t xml:space="preserve">Vessel observations </w:t>
      </w:r>
    </w:p>
    <w:p w14:paraId="45FC7C58" w14:textId="0C0708EF" w:rsidR="004F526D" w:rsidRDefault="000D6B7B" w:rsidP="004F526D">
      <w:pPr>
        <w:spacing w:before="120"/>
        <w:rPr>
          <w:rFonts w:eastAsia="Garamond" w:cs="Garamond"/>
          <w:szCs w:val="22"/>
        </w:rPr>
      </w:pPr>
      <w:r w:rsidRPr="000D6B7B">
        <w:rPr>
          <w:rFonts w:eastAsia="Garamond" w:cs="Garamond"/>
          <w:szCs w:val="22"/>
        </w:rPr>
        <w:t xml:space="preserve">Field observations confirmed that purpose-built vessels </w:t>
      </w:r>
      <w:r>
        <w:rPr>
          <w:rFonts w:eastAsia="Garamond" w:cs="Garamond"/>
          <w:szCs w:val="22"/>
        </w:rPr>
        <w:t>can achieve</w:t>
      </w:r>
      <w:r w:rsidRPr="000D6B7B">
        <w:rPr>
          <w:rFonts w:eastAsia="Garamond" w:cs="Garamond"/>
          <w:szCs w:val="22"/>
        </w:rPr>
        <w:t xml:space="preserve"> exceptional hygiene standards</w:t>
      </w:r>
      <w:r w:rsidR="009847F5">
        <w:rPr>
          <w:rFonts w:eastAsia="Garamond" w:cs="Garamond"/>
          <w:szCs w:val="22"/>
        </w:rPr>
        <w:t>,</w:t>
      </w:r>
      <w:r w:rsidR="004F526D">
        <w:rPr>
          <w:rFonts w:eastAsia="Garamond" w:cs="Garamond"/>
          <w:szCs w:val="22"/>
        </w:rPr>
        <w:t xml:space="preserve"> with minor amounts of BRM detected upon inspection. </w:t>
      </w:r>
      <w:r w:rsidR="000C5DB0">
        <w:rPr>
          <w:rFonts w:eastAsia="Garamond" w:cs="Garamond"/>
          <w:szCs w:val="22"/>
        </w:rPr>
        <w:t xml:space="preserve">All the </w:t>
      </w:r>
      <w:r w:rsidR="004F526D">
        <w:rPr>
          <w:rFonts w:eastAsia="Garamond" w:cs="Garamond"/>
          <w:szCs w:val="22"/>
        </w:rPr>
        <w:t xml:space="preserve">vessels </w:t>
      </w:r>
      <w:r w:rsidR="000C5DB0">
        <w:rPr>
          <w:rFonts w:eastAsia="Garamond" w:cs="Garamond"/>
          <w:szCs w:val="22"/>
        </w:rPr>
        <w:t xml:space="preserve">observed in Darwin during this project </w:t>
      </w:r>
      <w:r w:rsidR="004F526D">
        <w:rPr>
          <w:rFonts w:eastAsia="Garamond" w:cs="Garamond"/>
          <w:szCs w:val="22"/>
        </w:rPr>
        <w:t>were purpose built for the carriage of livestock and had returned from carrying livestock to Indonesian ports</w:t>
      </w:r>
      <w:r w:rsidR="009847F5">
        <w:rPr>
          <w:rFonts w:eastAsia="Garamond" w:cs="Garamond"/>
          <w:szCs w:val="22"/>
        </w:rPr>
        <w:t>. The</w:t>
      </w:r>
      <w:r w:rsidR="004F526D">
        <w:rPr>
          <w:rFonts w:eastAsia="Garamond" w:cs="Garamond"/>
          <w:szCs w:val="22"/>
        </w:rPr>
        <w:t xml:space="preserve"> Master and crew were familiar with the biosecurity standards and expectations for entering Australian territory. It was observed that the visibility in enclosed decks would be the same, regardless of the time of day</w:t>
      </w:r>
      <w:r w:rsidR="009847F5">
        <w:rPr>
          <w:rFonts w:eastAsia="Garamond" w:cs="Garamond"/>
          <w:szCs w:val="22"/>
        </w:rPr>
        <w:t>,</w:t>
      </w:r>
      <w:r w:rsidR="004F526D">
        <w:rPr>
          <w:rFonts w:eastAsia="Garamond" w:cs="Garamond"/>
          <w:szCs w:val="22"/>
        </w:rPr>
        <w:t xml:space="preserve"> due to the need for artificial lighting at all times. Open livestock decks and </w:t>
      </w:r>
      <w:r w:rsidR="009847F5">
        <w:rPr>
          <w:rFonts w:eastAsia="Garamond" w:cs="Garamond"/>
          <w:szCs w:val="22"/>
        </w:rPr>
        <w:t xml:space="preserve">other </w:t>
      </w:r>
      <w:r w:rsidR="004F526D">
        <w:rPr>
          <w:rFonts w:eastAsia="Garamond" w:cs="Garamond"/>
          <w:szCs w:val="22"/>
        </w:rPr>
        <w:t xml:space="preserve">open decks of the vessel may potentially pose some challenges for </w:t>
      </w:r>
      <w:r w:rsidR="006F0FD8">
        <w:rPr>
          <w:rFonts w:eastAsia="Garamond" w:cs="Garamond"/>
          <w:szCs w:val="22"/>
        </w:rPr>
        <w:t>night-time</w:t>
      </w:r>
      <w:r w:rsidR="004F526D">
        <w:rPr>
          <w:rFonts w:eastAsia="Garamond" w:cs="Garamond"/>
          <w:szCs w:val="22"/>
        </w:rPr>
        <w:t xml:space="preserve"> inspections, due to the need for more lighting and the subsequent formation of shadows. However, the glare that can be present during daytime inspections also impacts the ability for inspect</w:t>
      </w:r>
      <w:r w:rsidR="009847F5">
        <w:rPr>
          <w:rFonts w:eastAsia="Garamond" w:cs="Garamond"/>
          <w:szCs w:val="22"/>
        </w:rPr>
        <w:t>or</w:t>
      </w:r>
      <w:r w:rsidR="004F526D">
        <w:rPr>
          <w:rFonts w:eastAsia="Garamond" w:cs="Garamond"/>
          <w:szCs w:val="22"/>
        </w:rPr>
        <w:t xml:space="preserve">s to effectively detect BRM. </w:t>
      </w:r>
    </w:p>
    <w:p w14:paraId="5A58F4B8" w14:textId="6346A96A" w:rsidR="00D958AE" w:rsidRDefault="00D958AE" w:rsidP="004F526D">
      <w:pPr>
        <w:spacing w:before="120"/>
        <w:rPr>
          <w:rFonts w:eastAsia="Garamond" w:cs="Garamond"/>
          <w:szCs w:val="22"/>
        </w:rPr>
      </w:pPr>
      <w:r>
        <w:rPr>
          <w:rFonts w:eastAsia="Garamond" w:cs="Garamond"/>
          <w:szCs w:val="22"/>
        </w:rPr>
        <w:t xml:space="preserve">Vessels entering Fremantle port during the project were more variable. Some matched the standards observed in Darwin, while others </w:t>
      </w:r>
      <w:r w:rsidR="000C5DB0">
        <w:rPr>
          <w:rFonts w:eastAsia="Garamond" w:cs="Garamond"/>
          <w:szCs w:val="22"/>
        </w:rPr>
        <w:t>fell short</w:t>
      </w:r>
      <w:r>
        <w:rPr>
          <w:rFonts w:eastAsia="Garamond" w:cs="Garamond"/>
          <w:szCs w:val="22"/>
        </w:rPr>
        <w:t>, and required repeated inspection and cleaning cycles before they were cleared. Familiarity with Australian processes (</w:t>
      </w:r>
      <w:r w:rsidR="000C5DB0">
        <w:rPr>
          <w:rFonts w:eastAsia="Garamond" w:cs="Garamond"/>
          <w:szCs w:val="22"/>
        </w:rPr>
        <w:t>assessed by</w:t>
      </w:r>
      <w:r>
        <w:rPr>
          <w:rFonts w:eastAsia="Garamond" w:cs="Garamond"/>
          <w:szCs w:val="22"/>
        </w:rPr>
        <w:t xml:space="preserve"> recent visit history)</w:t>
      </w:r>
      <w:r w:rsidR="000F1DB6">
        <w:rPr>
          <w:rFonts w:eastAsia="Garamond" w:cs="Garamond"/>
          <w:szCs w:val="22"/>
        </w:rPr>
        <w:t xml:space="preserve"> appeared very high, but expectations may not have matched those of the inspectors.</w:t>
      </w:r>
      <w:r>
        <w:rPr>
          <w:rFonts w:eastAsia="Garamond" w:cs="Garamond"/>
          <w:szCs w:val="22"/>
        </w:rPr>
        <w:t xml:space="preserve"> </w:t>
      </w:r>
      <w:r w:rsidR="000F1DB6">
        <w:rPr>
          <w:rFonts w:eastAsia="Garamond" w:cs="Garamond"/>
          <w:szCs w:val="22"/>
        </w:rPr>
        <w:t>T</w:t>
      </w:r>
      <w:r>
        <w:rPr>
          <w:rFonts w:eastAsia="Garamond" w:cs="Garamond"/>
          <w:szCs w:val="22"/>
        </w:rPr>
        <w:t xml:space="preserve">he short journey time from Indonesian ports to Australia </w:t>
      </w:r>
      <w:r w:rsidR="00BC3DBA">
        <w:rPr>
          <w:rFonts w:eastAsia="Garamond" w:cs="Garamond"/>
          <w:szCs w:val="22"/>
        </w:rPr>
        <w:t>would appear to be an issue for cleaning.</w:t>
      </w:r>
    </w:p>
    <w:p w14:paraId="7F50C989" w14:textId="422F42DF" w:rsidR="00E77C0A" w:rsidRDefault="00E77C0A" w:rsidP="00E77C0A">
      <w:pPr>
        <w:pStyle w:val="Heading2a"/>
        <w:spacing w:before="240" w:after="240"/>
      </w:pPr>
      <w:r>
        <w:lastRenderedPageBreak/>
        <w:t>Conclusions</w:t>
      </w:r>
    </w:p>
    <w:p w14:paraId="59509510" w14:textId="6FE1519E" w:rsidR="00E77C0A" w:rsidRPr="00300CF8" w:rsidRDefault="00E77C0A" w:rsidP="00E77C0A">
      <w:pPr>
        <w:rPr>
          <w:rFonts w:asciiTheme="minorHAnsi" w:hAnsiTheme="minorHAnsi"/>
          <w:szCs w:val="22"/>
        </w:rPr>
      </w:pPr>
      <w:r>
        <w:rPr>
          <w:rFonts w:asciiTheme="minorHAnsi" w:hAnsiTheme="minorHAnsi"/>
          <w:szCs w:val="22"/>
        </w:rPr>
        <w:t xml:space="preserve">Arrival of vessels in Australian ports has been shown to be a pathway for the introduction of pests and disease, and a high standard of inspection of these vessels is appropriate for the protection of Australia’s biosecurity status. </w:t>
      </w:r>
      <w:r w:rsidRPr="00300CF8">
        <w:rPr>
          <w:rFonts w:asciiTheme="minorHAnsi" w:hAnsiTheme="minorHAnsi"/>
          <w:szCs w:val="22"/>
        </w:rPr>
        <w:t>Based o</w:t>
      </w:r>
      <w:r>
        <w:rPr>
          <w:rFonts w:asciiTheme="minorHAnsi" w:hAnsiTheme="minorHAnsi"/>
          <w:szCs w:val="22"/>
        </w:rPr>
        <w:t xml:space="preserve">n the available literature, data and vessel observations, there is no definitive evidence confirming that livestock vessel inspections at </w:t>
      </w:r>
      <w:r w:rsidR="006F0FD8">
        <w:rPr>
          <w:rFonts w:asciiTheme="minorHAnsi" w:hAnsiTheme="minorHAnsi"/>
          <w:szCs w:val="22"/>
        </w:rPr>
        <w:t>night-time</w:t>
      </w:r>
      <w:r>
        <w:rPr>
          <w:rFonts w:asciiTheme="minorHAnsi" w:hAnsiTheme="minorHAnsi"/>
          <w:szCs w:val="22"/>
        </w:rPr>
        <w:t xml:space="preserve"> pose a higher risk of disease or invertebrate incursion than those conducted during daylight hours. These data are limited and the consequences that may accompany a failure of detection are high. Further research to address the knowledge gaps is warranted to support future decisions in this area, such as objective vessel performance metrics, lighting requirements, invertebrate biology and detection and virus viability on vessels, as well as the potential for increasing risk by delaying inspections. Incentives for higher performance should also be incorporated into the trial, as avoiding demerit points </w:t>
      </w:r>
      <w:r w:rsidR="00AD0E42">
        <w:rPr>
          <w:rFonts w:asciiTheme="minorHAnsi" w:hAnsiTheme="minorHAnsi"/>
          <w:szCs w:val="22"/>
        </w:rPr>
        <w:t>provides limited incentive</w:t>
      </w:r>
      <w:r>
        <w:rPr>
          <w:rFonts w:asciiTheme="minorHAnsi" w:hAnsiTheme="minorHAnsi"/>
          <w:szCs w:val="22"/>
        </w:rPr>
        <w:t xml:space="preserve"> given the requirement for 100% inspection of livestock vessels.</w:t>
      </w:r>
    </w:p>
    <w:p w14:paraId="780E72EE" w14:textId="68955F63" w:rsidR="00E77C0A" w:rsidRPr="000109A1" w:rsidRDefault="00E77C0A" w:rsidP="000109A1">
      <w:pPr>
        <w:rPr>
          <w:rFonts w:asciiTheme="minorHAnsi" w:hAnsiTheme="minorHAnsi"/>
          <w:szCs w:val="22"/>
        </w:rPr>
      </w:pPr>
      <w:r>
        <w:rPr>
          <w:rFonts w:asciiTheme="minorHAnsi" w:hAnsiTheme="minorHAnsi"/>
          <w:szCs w:val="22"/>
        </w:rPr>
        <w:t xml:space="preserve">Conducting a 12-month trial will enable adequate data to be collected for a comparative study between daytime and </w:t>
      </w:r>
      <w:r w:rsidR="006F0FD8">
        <w:rPr>
          <w:rFonts w:asciiTheme="minorHAnsi" w:hAnsiTheme="minorHAnsi"/>
          <w:szCs w:val="22"/>
        </w:rPr>
        <w:t>night-time</w:t>
      </w:r>
      <w:r>
        <w:rPr>
          <w:rFonts w:asciiTheme="minorHAnsi" w:hAnsiTheme="minorHAnsi"/>
          <w:szCs w:val="22"/>
        </w:rPr>
        <w:t xml:space="preserve"> inspection. This will allow better understanding of the benefits and risks of </w:t>
      </w:r>
      <w:r w:rsidR="006F0FD8">
        <w:rPr>
          <w:rFonts w:asciiTheme="minorHAnsi" w:hAnsiTheme="minorHAnsi"/>
          <w:szCs w:val="22"/>
        </w:rPr>
        <w:t>night-time</w:t>
      </w:r>
      <w:r>
        <w:rPr>
          <w:rFonts w:asciiTheme="minorHAnsi" w:hAnsiTheme="minorHAnsi"/>
          <w:szCs w:val="22"/>
        </w:rPr>
        <w:t xml:space="preserve"> inspections. A risk-based approach to implement the trial (i.e. using a decision support tool) will ensure only those vessels that meet strict eligibility criteria will be authorised for </w:t>
      </w:r>
      <w:r w:rsidR="006F0FD8">
        <w:rPr>
          <w:rFonts w:asciiTheme="minorHAnsi" w:hAnsiTheme="minorHAnsi"/>
          <w:szCs w:val="22"/>
        </w:rPr>
        <w:t>night-time</w:t>
      </w:r>
      <w:r>
        <w:rPr>
          <w:rFonts w:asciiTheme="minorHAnsi" w:hAnsiTheme="minorHAnsi"/>
          <w:szCs w:val="22"/>
        </w:rPr>
        <w:t xml:space="preserve"> inspection.  </w:t>
      </w:r>
    </w:p>
    <w:p w14:paraId="3CDE2294" w14:textId="0F923BD7" w:rsidR="001F3EE2" w:rsidRDefault="001F3EE2">
      <w:pPr>
        <w:pStyle w:val="Heading2a"/>
        <w:spacing w:before="240" w:after="240"/>
      </w:pPr>
      <w:r>
        <w:t>Recommendations</w:t>
      </w:r>
    </w:p>
    <w:p w14:paraId="66533062" w14:textId="587619CA" w:rsidR="001F3EE2" w:rsidRDefault="001F3EE2" w:rsidP="001F3EE2">
      <w:pPr>
        <w:rPr>
          <w:lang w:eastAsia="en-US"/>
        </w:rPr>
      </w:pPr>
      <w:r>
        <w:rPr>
          <w:lang w:eastAsia="en-US"/>
        </w:rPr>
        <w:t xml:space="preserve">The following recommendations aim to improve understanding around vessel risk to support a decision on the reintroduction of </w:t>
      </w:r>
      <w:r w:rsidR="006F0FD8">
        <w:rPr>
          <w:lang w:eastAsia="en-US"/>
        </w:rPr>
        <w:t>night-time</w:t>
      </w:r>
      <w:r>
        <w:rPr>
          <w:lang w:eastAsia="en-US"/>
        </w:rPr>
        <w:t xml:space="preserve"> biosecurity inspections. These include: </w:t>
      </w:r>
    </w:p>
    <w:p w14:paraId="4F6F05CD" w14:textId="791F0235" w:rsidR="001F3EE2" w:rsidRDefault="001F3EE2">
      <w:pPr>
        <w:pStyle w:val="Heading3a"/>
        <w:numPr>
          <w:ilvl w:val="0"/>
          <w:numId w:val="23"/>
        </w:numPr>
        <w:rPr>
          <w:lang w:eastAsia="en-US"/>
        </w:rPr>
      </w:pPr>
      <w:r>
        <w:rPr>
          <w:lang w:eastAsia="en-US"/>
        </w:rPr>
        <w:t>Comprehensive data capture and vessel risk profiling:</w:t>
      </w:r>
    </w:p>
    <w:p w14:paraId="3CAC6EAE" w14:textId="3B46BE69" w:rsidR="001F3EE2" w:rsidRDefault="001F3EE2" w:rsidP="00711766">
      <w:pPr>
        <w:rPr>
          <w:lang w:eastAsia="en-US"/>
        </w:rPr>
      </w:pPr>
      <w:r>
        <w:rPr>
          <w:lang w:eastAsia="en-US"/>
        </w:rPr>
        <w:t xml:space="preserve">Current inspection protocols can be improved </w:t>
      </w:r>
      <w:r w:rsidR="006F0FD8">
        <w:rPr>
          <w:lang w:eastAsia="en-US"/>
        </w:rPr>
        <w:t>by</w:t>
      </w:r>
      <w:r>
        <w:rPr>
          <w:lang w:eastAsia="en-US"/>
        </w:rPr>
        <w:t xml:space="preserve"> capturing more detailed historical and operational data to better understand the potential risk of each arriving vessel such as complete port and animal transport history, vessel Master changes and </w:t>
      </w:r>
      <w:r w:rsidR="00610C4A">
        <w:rPr>
          <w:lang w:eastAsia="en-US"/>
        </w:rPr>
        <w:t xml:space="preserve">more detail on </w:t>
      </w:r>
      <w:r>
        <w:rPr>
          <w:lang w:eastAsia="en-US"/>
        </w:rPr>
        <w:t xml:space="preserve">the location </w:t>
      </w:r>
      <w:r w:rsidR="00610C4A">
        <w:rPr>
          <w:lang w:eastAsia="en-US"/>
        </w:rPr>
        <w:t xml:space="preserve">and type </w:t>
      </w:r>
      <w:r>
        <w:rPr>
          <w:lang w:eastAsia="en-US"/>
        </w:rPr>
        <w:t>of detected BRM.</w:t>
      </w:r>
    </w:p>
    <w:p w14:paraId="1884BC53" w14:textId="003E4642" w:rsidR="001F3EE2" w:rsidRDefault="001F3EE2">
      <w:pPr>
        <w:pStyle w:val="Heading3a"/>
        <w:numPr>
          <w:ilvl w:val="0"/>
          <w:numId w:val="23"/>
        </w:numPr>
        <w:rPr>
          <w:lang w:eastAsia="en-US"/>
        </w:rPr>
      </w:pPr>
      <w:r>
        <w:rPr>
          <w:lang w:eastAsia="en-US"/>
        </w:rPr>
        <w:t>Implementation of a standardised demerit system:</w:t>
      </w:r>
    </w:p>
    <w:p w14:paraId="22AE20A5" w14:textId="763055DF" w:rsidR="001F3EE2" w:rsidRDefault="001F3EE2" w:rsidP="00711766">
      <w:pPr>
        <w:rPr>
          <w:lang w:eastAsia="en-US"/>
        </w:rPr>
      </w:pPr>
      <w:r>
        <w:rPr>
          <w:lang w:eastAsia="en-US"/>
        </w:rPr>
        <w:t>There are currently no formal procedures for vessels that consistently fail to meet biosecurity standards. To support better compliance, the allocation and management of demerit points could be improved by implementing compliance incentives and having a centralised system of demerit and vessel information that will allow for efficient risk profiling of vessels.</w:t>
      </w:r>
    </w:p>
    <w:p w14:paraId="11BFE1C6" w14:textId="2EE6065F" w:rsidR="001F3EE2" w:rsidRDefault="001F3EE2">
      <w:pPr>
        <w:pStyle w:val="Heading3a"/>
        <w:numPr>
          <w:ilvl w:val="0"/>
          <w:numId w:val="23"/>
        </w:numPr>
        <w:rPr>
          <w:lang w:eastAsia="en-US"/>
        </w:rPr>
      </w:pPr>
      <w:r>
        <w:rPr>
          <w:lang w:eastAsia="en-US"/>
        </w:rPr>
        <w:t>Lighting optimisation and managing inspector fatigue</w:t>
      </w:r>
      <w:r w:rsidR="00636932">
        <w:rPr>
          <w:lang w:eastAsia="en-US"/>
        </w:rPr>
        <w:t>:</w:t>
      </w:r>
    </w:p>
    <w:p w14:paraId="5B2B8AF0" w14:textId="6C98E08E" w:rsidR="001F3EE2" w:rsidRPr="00610C4A" w:rsidRDefault="001F3EE2" w:rsidP="00711766">
      <w:pPr>
        <w:rPr>
          <w:rFonts w:eastAsia="Garamond" w:cs="Garamond"/>
          <w:szCs w:val="22"/>
        </w:rPr>
      </w:pPr>
      <w:r>
        <w:rPr>
          <w:rFonts w:eastAsia="Garamond" w:cs="Garamond"/>
          <w:szCs w:val="22"/>
        </w:rPr>
        <w:t>E</w:t>
      </w:r>
      <w:r w:rsidRPr="00122DB1">
        <w:rPr>
          <w:rFonts w:eastAsia="Garamond" w:cs="Garamond"/>
          <w:szCs w:val="22"/>
        </w:rPr>
        <w:t xml:space="preserve">nsuring suitable </w:t>
      </w:r>
      <w:r w:rsidR="00610C4A">
        <w:rPr>
          <w:rFonts w:eastAsia="Garamond" w:cs="Garamond"/>
          <w:szCs w:val="22"/>
        </w:rPr>
        <w:t>illumination is</w:t>
      </w:r>
      <w:r w:rsidRPr="00122DB1">
        <w:rPr>
          <w:rFonts w:eastAsia="Garamond" w:cs="Garamond"/>
          <w:szCs w:val="22"/>
        </w:rPr>
        <w:t xml:space="preserve"> available </w:t>
      </w:r>
      <w:r w:rsidR="00610C4A">
        <w:rPr>
          <w:rFonts w:eastAsia="Garamond" w:cs="Garamond"/>
          <w:szCs w:val="22"/>
        </w:rPr>
        <w:t xml:space="preserve">during all parts of the inspection is </w:t>
      </w:r>
      <w:r w:rsidRPr="00122DB1">
        <w:rPr>
          <w:rFonts w:eastAsia="Garamond" w:cs="Garamond"/>
          <w:szCs w:val="22"/>
        </w:rPr>
        <w:t xml:space="preserve">important to </w:t>
      </w:r>
      <w:r w:rsidR="00610C4A">
        <w:rPr>
          <w:rFonts w:eastAsia="Garamond" w:cs="Garamond"/>
          <w:szCs w:val="22"/>
        </w:rPr>
        <w:t xml:space="preserve">ensure consistent, effective observation and detection of BRM. This includes managing low and high light levels, and managing the effects of continuously changing light. Team resource management (which includes noise, fatigue, provision of on-demand services and other </w:t>
      </w:r>
      <w:r w:rsidR="00280C55">
        <w:rPr>
          <w:rFonts w:eastAsia="Garamond" w:cs="Garamond"/>
          <w:szCs w:val="22"/>
        </w:rPr>
        <w:t>w</w:t>
      </w:r>
      <w:r w:rsidR="00610C4A">
        <w:rPr>
          <w:rFonts w:eastAsia="Garamond" w:cs="Garamond"/>
          <w:szCs w:val="22"/>
        </w:rPr>
        <w:t xml:space="preserve">ork </w:t>
      </w:r>
      <w:r w:rsidR="00280C55">
        <w:rPr>
          <w:rFonts w:eastAsia="Garamond" w:cs="Garamond"/>
          <w:szCs w:val="22"/>
        </w:rPr>
        <w:t>h</w:t>
      </w:r>
      <w:r w:rsidR="00610C4A">
        <w:rPr>
          <w:rFonts w:eastAsia="Garamond" w:cs="Garamond"/>
          <w:szCs w:val="22"/>
        </w:rPr>
        <w:t xml:space="preserve">ealth and </w:t>
      </w:r>
      <w:r w:rsidR="00280C55">
        <w:rPr>
          <w:rFonts w:eastAsia="Garamond" w:cs="Garamond"/>
          <w:szCs w:val="22"/>
        </w:rPr>
        <w:t>s</w:t>
      </w:r>
      <w:r w:rsidR="00610C4A">
        <w:rPr>
          <w:rFonts w:eastAsia="Garamond" w:cs="Garamond"/>
          <w:szCs w:val="22"/>
        </w:rPr>
        <w:t>afety issues) is critical to maintaining inspection performance.</w:t>
      </w:r>
    </w:p>
    <w:p w14:paraId="7E88288E" w14:textId="7810E986" w:rsidR="001F3EE2" w:rsidRDefault="001F3EE2">
      <w:pPr>
        <w:pStyle w:val="Heading3a"/>
        <w:numPr>
          <w:ilvl w:val="0"/>
          <w:numId w:val="23"/>
        </w:numPr>
        <w:rPr>
          <w:lang w:eastAsia="en-US"/>
        </w:rPr>
      </w:pPr>
      <w:r>
        <w:rPr>
          <w:lang w:eastAsia="en-US"/>
        </w:rPr>
        <w:t xml:space="preserve">Comparative trial of </w:t>
      </w:r>
      <w:r w:rsidR="006F0FD8">
        <w:rPr>
          <w:lang w:eastAsia="en-US"/>
        </w:rPr>
        <w:t>night-time</w:t>
      </w:r>
      <w:r>
        <w:rPr>
          <w:lang w:eastAsia="en-US"/>
        </w:rPr>
        <w:t xml:space="preserve"> and daytime inspections: </w:t>
      </w:r>
    </w:p>
    <w:p w14:paraId="41230598" w14:textId="2809878B" w:rsidR="001F3EE2" w:rsidRPr="00D74AC6" w:rsidRDefault="00F92762" w:rsidP="00711766">
      <w:r>
        <w:rPr>
          <w:lang w:eastAsia="en-US"/>
        </w:rPr>
        <w:t>C</w:t>
      </w:r>
      <w:r w:rsidR="001F3EE2">
        <w:rPr>
          <w:lang w:eastAsia="en-US"/>
        </w:rPr>
        <w:t xml:space="preserve">onducting a </w:t>
      </w:r>
      <w:r>
        <w:rPr>
          <w:lang w:eastAsia="en-US"/>
        </w:rPr>
        <w:t xml:space="preserve">well-designed and implemented </w:t>
      </w:r>
      <w:r w:rsidR="001F3EE2">
        <w:rPr>
          <w:lang w:eastAsia="en-US"/>
        </w:rPr>
        <w:t>trial</w:t>
      </w:r>
      <w:r w:rsidR="00610C4A">
        <w:rPr>
          <w:lang w:eastAsia="en-US"/>
        </w:rPr>
        <w:t xml:space="preserve"> (of at least 12-months duration)</w:t>
      </w:r>
      <w:r w:rsidR="001F3EE2">
        <w:rPr>
          <w:lang w:eastAsia="en-US"/>
        </w:rPr>
        <w:t xml:space="preserve"> to compare </w:t>
      </w:r>
      <w:r w:rsidR="006F0FD8">
        <w:rPr>
          <w:lang w:eastAsia="en-US"/>
        </w:rPr>
        <w:t>night-time</w:t>
      </w:r>
      <w:r w:rsidR="001F3EE2">
        <w:rPr>
          <w:lang w:eastAsia="en-US"/>
        </w:rPr>
        <w:t xml:space="preserve"> vs daytime inspections</w:t>
      </w:r>
      <w:r>
        <w:rPr>
          <w:lang w:eastAsia="en-US"/>
        </w:rPr>
        <w:t xml:space="preserve"> is the only way to test whether </w:t>
      </w:r>
      <w:r w:rsidR="006F0FD8">
        <w:rPr>
          <w:lang w:eastAsia="en-US"/>
        </w:rPr>
        <w:t>night-time</w:t>
      </w:r>
      <w:r>
        <w:rPr>
          <w:lang w:eastAsia="en-US"/>
        </w:rPr>
        <w:t xml:space="preserve"> inspections can be done with no higher risk of introduction of BRM. Such a trial </w:t>
      </w:r>
      <w:r w:rsidR="001F3EE2">
        <w:rPr>
          <w:lang w:eastAsia="en-US"/>
        </w:rPr>
        <w:t>will involve direct comparison between the same vessels, being observed during the day and night</w:t>
      </w:r>
      <w:r w:rsidR="00386278">
        <w:rPr>
          <w:lang w:eastAsia="en-US"/>
        </w:rPr>
        <w:t>.</w:t>
      </w:r>
      <w:r w:rsidR="001F3EE2">
        <w:rPr>
          <w:lang w:eastAsia="en-US"/>
        </w:rPr>
        <w:t xml:space="preserve"> </w:t>
      </w:r>
      <w:r w:rsidR="00386278">
        <w:rPr>
          <w:lang w:eastAsia="en-US"/>
        </w:rPr>
        <w:t>Identification and</w:t>
      </w:r>
      <w:r w:rsidR="001F3EE2">
        <w:rPr>
          <w:lang w:eastAsia="en-US"/>
        </w:rPr>
        <w:t xml:space="preserve"> collection of all appropriate data parameters</w:t>
      </w:r>
      <w:r w:rsidR="00386278">
        <w:rPr>
          <w:lang w:eastAsia="en-US"/>
        </w:rPr>
        <w:t xml:space="preserve"> will be </w:t>
      </w:r>
      <w:r w:rsidR="00386278">
        <w:rPr>
          <w:lang w:eastAsia="en-US"/>
        </w:rPr>
        <w:lastRenderedPageBreak/>
        <w:t>needed</w:t>
      </w:r>
      <w:r w:rsidR="001F3EE2">
        <w:rPr>
          <w:lang w:eastAsia="en-US"/>
        </w:rPr>
        <w:t xml:space="preserve"> to enable analysis with adequate power </w:t>
      </w:r>
      <w:r w:rsidR="00386278">
        <w:rPr>
          <w:lang w:eastAsia="en-US"/>
        </w:rPr>
        <w:t>to make an informed decision</w:t>
      </w:r>
      <w:r w:rsidR="001F3EE2">
        <w:rPr>
          <w:lang w:eastAsia="en-US"/>
        </w:rPr>
        <w:t>.</w:t>
      </w:r>
      <w:r w:rsidR="00386278">
        <w:rPr>
          <w:lang w:eastAsia="en-US"/>
        </w:rPr>
        <w:t xml:space="preserve"> To support this next step, Ausvet has developed a preliminary decision support tool to implement a risk-based approach for vessel eligibility for </w:t>
      </w:r>
      <w:r w:rsidR="006F0FD8">
        <w:rPr>
          <w:lang w:eastAsia="en-US"/>
        </w:rPr>
        <w:t>night-time</w:t>
      </w:r>
      <w:r w:rsidR="00386278">
        <w:rPr>
          <w:lang w:eastAsia="en-US"/>
        </w:rPr>
        <w:t xml:space="preserve"> inspection to minimise biosecurity risk.</w:t>
      </w:r>
    </w:p>
    <w:p w14:paraId="023B1A15" w14:textId="2EA64CD4" w:rsidR="004F526D" w:rsidRDefault="004F526D" w:rsidP="00711766">
      <w:pPr>
        <w:pStyle w:val="Heading2a"/>
        <w:spacing w:before="240" w:after="240"/>
      </w:pPr>
      <w:r>
        <w:t>Decision support tool</w:t>
      </w:r>
    </w:p>
    <w:p w14:paraId="30645080" w14:textId="509EC3C7" w:rsidR="004F526D" w:rsidRDefault="00386278" w:rsidP="004F526D">
      <w:pPr>
        <w:rPr>
          <w:rFonts w:asciiTheme="minorHAnsi" w:hAnsiTheme="minorHAnsi"/>
          <w:szCs w:val="22"/>
        </w:rPr>
      </w:pPr>
      <w:r>
        <w:rPr>
          <w:rFonts w:eastAsia="Garamond" w:cs="Garamond"/>
          <w:szCs w:val="22"/>
        </w:rPr>
        <w:t>Vessel inspections present a number of</w:t>
      </w:r>
      <w:r w:rsidR="00711766">
        <w:rPr>
          <w:rFonts w:eastAsia="Garamond" w:cs="Garamond"/>
          <w:szCs w:val="22"/>
        </w:rPr>
        <w:t xml:space="preserve"> </w:t>
      </w:r>
      <w:r>
        <w:rPr>
          <w:rFonts w:eastAsia="Garamond" w:cs="Garamond"/>
          <w:szCs w:val="22"/>
        </w:rPr>
        <w:t xml:space="preserve">risks for the introduction of BRM. </w:t>
      </w:r>
      <w:r w:rsidR="00711766">
        <w:rPr>
          <w:rFonts w:eastAsia="Garamond" w:cs="Garamond"/>
          <w:szCs w:val="22"/>
        </w:rPr>
        <w:t>Based</w:t>
      </w:r>
      <w:r>
        <w:rPr>
          <w:rFonts w:eastAsia="Garamond" w:cs="Garamond"/>
          <w:szCs w:val="22"/>
        </w:rPr>
        <w:t xml:space="preserve"> on the current findings, there is limited scientific evidence to support the exclusion of </w:t>
      </w:r>
      <w:r w:rsidR="006F0FD8">
        <w:rPr>
          <w:rFonts w:eastAsia="Garamond" w:cs="Garamond"/>
          <w:szCs w:val="22"/>
        </w:rPr>
        <w:t>night-time</w:t>
      </w:r>
      <w:r>
        <w:rPr>
          <w:rFonts w:eastAsia="Garamond" w:cs="Garamond"/>
          <w:szCs w:val="22"/>
        </w:rPr>
        <w:t xml:space="preserve"> inspections on livestock carrier vessels</w:t>
      </w:r>
      <w:r w:rsidR="003F0D42">
        <w:rPr>
          <w:rFonts w:eastAsia="Garamond" w:cs="Garamond"/>
          <w:szCs w:val="22"/>
        </w:rPr>
        <w:t>, but the consequences of an unintended release of a pathogen or pest could be extremely high</w:t>
      </w:r>
      <w:r>
        <w:rPr>
          <w:rFonts w:eastAsia="Garamond" w:cs="Garamond"/>
          <w:szCs w:val="22"/>
        </w:rPr>
        <w:t xml:space="preserve">. As a result, we have recommended a trial that will provide adequate information that will allow for an informed decision to be made. </w:t>
      </w:r>
      <w:r>
        <w:rPr>
          <w:rFonts w:asciiTheme="minorHAnsi" w:hAnsiTheme="minorHAnsi"/>
          <w:szCs w:val="22"/>
        </w:rPr>
        <w:t xml:space="preserve">To implement </w:t>
      </w:r>
      <w:r w:rsidR="006F0FD8">
        <w:rPr>
          <w:rFonts w:asciiTheme="minorHAnsi" w:hAnsiTheme="minorHAnsi"/>
          <w:szCs w:val="22"/>
        </w:rPr>
        <w:t>night-time</w:t>
      </w:r>
      <w:r>
        <w:rPr>
          <w:rFonts w:asciiTheme="minorHAnsi" w:hAnsiTheme="minorHAnsi"/>
          <w:szCs w:val="22"/>
        </w:rPr>
        <w:t xml:space="preserve"> inspections, </w:t>
      </w:r>
      <w:r w:rsidR="004F526D">
        <w:rPr>
          <w:rFonts w:asciiTheme="minorHAnsi" w:hAnsiTheme="minorHAnsi"/>
          <w:szCs w:val="22"/>
        </w:rPr>
        <w:t xml:space="preserve">there needs to be a strict decision support criteria to determine which vessels may be eligible for </w:t>
      </w:r>
      <w:r w:rsidR="006F0FD8">
        <w:rPr>
          <w:rFonts w:asciiTheme="minorHAnsi" w:hAnsiTheme="minorHAnsi"/>
          <w:szCs w:val="22"/>
        </w:rPr>
        <w:t>night-time</w:t>
      </w:r>
      <w:r w:rsidR="004F526D">
        <w:rPr>
          <w:rFonts w:asciiTheme="minorHAnsi" w:hAnsiTheme="minorHAnsi"/>
          <w:szCs w:val="22"/>
        </w:rPr>
        <w:t xml:space="preserve"> inspection</w:t>
      </w:r>
      <w:r w:rsidR="009847F5">
        <w:rPr>
          <w:rFonts w:asciiTheme="minorHAnsi" w:hAnsiTheme="minorHAnsi"/>
          <w:szCs w:val="22"/>
        </w:rPr>
        <w:t xml:space="preserve"> to mitigate any potential risks for BRM</w:t>
      </w:r>
      <w:r w:rsidR="004F526D">
        <w:rPr>
          <w:rFonts w:asciiTheme="minorHAnsi" w:hAnsiTheme="minorHAnsi"/>
          <w:szCs w:val="22"/>
        </w:rPr>
        <w:t xml:space="preserve">. </w:t>
      </w:r>
      <w:r w:rsidR="004357E4">
        <w:rPr>
          <w:rFonts w:asciiTheme="minorHAnsi" w:hAnsiTheme="minorHAnsi"/>
          <w:szCs w:val="22"/>
        </w:rPr>
        <w:t>Ensuring adequate surface illumination, reduction of inspector fatigue and other safety issues would require further investigation.</w:t>
      </w:r>
    </w:p>
    <w:p w14:paraId="1371132D" w14:textId="5204ED79" w:rsidR="004F526D" w:rsidRDefault="004F526D" w:rsidP="004F526D">
      <w:pPr>
        <w:rPr>
          <w:rFonts w:asciiTheme="minorHAnsi" w:hAnsiTheme="minorHAnsi"/>
          <w:szCs w:val="22"/>
        </w:rPr>
      </w:pPr>
      <w:r>
        <w:rPr>
          <w:rFonts w:asciiTheme="minorHAnsi" w:hAnsiTheme="minorHAnsi"/>
          <w:szCs w:val="22"/>
        </w:rPr>
        <w:t xml:space="preserve">A two-part decision support tool was developed. Vessels are </w:t>
      </w:r>
      <w:r w:rsidR="009847F5">
        <w:rPr>
          <w:rFonts w:asciiTheme="minorHAnsi" w:hAnsiTheme="minorHAnsi"/>
          <w:szCs w:val="22"/>
        </w:rPr>
        <w:t xml:space="preserve">initially </w:t>
      </w:r>
      <w:r>
        <w:rPr>
          <w:rFonts w:asciiTheme="minorHAnsi" w:hAnsiTheme="minorHAnsi"/>
          <w:szCs w:val="22"/>
        </w:rPr>
        <w:t xml:space="preserve">required to meet an eligibility criteria, based on port of origin, time since returning to Australia, origin of stock transported since visiting Australia, presence of feed, fodder and landed goods, and Master and crew status. </w:t>
      </w:r>
      <w:r w:rsidR="009847F5">
        <w:rPr>
          <w:rFonts w:asciiTheme="minorHAnsi" w:hAnsiTheme="minorHAnsi"/>
          <w:szCs w:val="22"/>
        </w:rPr>
        <w:t>Secondly, the Department has</w:t>
      </w:r>
      <w:r w:rsidR="00DF1474">
        <w:rPr>
          <w:rFonts w:asciiTheme="minorHAnsi" w:hAnsiTheme="minorHAnsi"/>
          <w:szCs w:val="22"/>
        </w:rPr>
        <w:t xml:space="preserve"> criteria</w:t>
      </w:r>
      <w:r w:rsidR="009847F5">
        <w:rPr>
          <w:rFonts w:asciiTheme="minorHAnsi" w:hAnsiTheme="minorHAnsi"/>
          <w:szCs w:val="22"/>
        </w:rPr>
        <w:t xml:space="preserve"> </w:t>
      </w:r>
      <w:r>
        <w:rPr>
          <w:rFonts w:asciiTheme="minorHAnsi" w:hAnsiTheme="minorHAnsi"/>
          <w:szCs w:val="22"/>
        </w:rPr>
        <w:t xml:space="preserve">associated with resources and facilities available at the berthing harbour, and may vary on a case-by-case basis. </w:t>
      </w:r>
    </w:p>
    <w:p w14:paraId="3BA641AC" w14:textId="246C3C97" w:rsidR="00386278" w:rsidRDefault="00375338" w:rsidP="00280C55">
      <w:r>
        <w:rPr>
          <w:rFonts w:asciiTheme="minorHAnsi" w:hAnsiTheme="minorHAnsi"/>
          <w:szCs w:val="22"/>
        </w:rPr>
        <w:t xml:space="preserve">To support the use </w:t>
      </w:r>
      <w:r w:rsidR="00E810DD">
        <w:rPr>
          <w:rFonts w:asciiTheme="minorHAnsi" w:hAnsiTheme="minorHAnsi"/>
          <w:szCs w:val="22"/>
        </w:rPr>
        <w:t>o</w:t>
      </w:r>
      <w:r>
        <w:rPr>
          <w:rFonts w:asciiTheme="minorHAnsi" w:hAnsiTheme="minorHAnsi"/>
          <w:szCs w:val="22"/>
        </w:rPr>
        <w:t xml:space="preserve">f the decision support tool, we also recommend the development of a target invertebrate species list. </w:t>
      </w:r>
    </w:p>
    <w:p w14:paraId="56646E37" w14:textId="77777777" w:rsidR="00386278" w:rsidRDefault="00386278" w:rsidP="00386278">
      <w:pPr>
        <w:rPr>
          <w:rFonts w:asciiTheme="minorHAnsi" w:hAnsiTheme="minorHAnsi"/>
          <w:szCs w:val="22"/>
        </w:rPr>
      </w:pPr>
    </w:p>
    <w:p w14:paraId="055AF5EB" w14:textId="133B0B2D" w:rsidR="00D20FD9" w:rsidRPr="00A1505E" w:rsidRDefault="001A07C1" w:rsidP="009E1EA2">
      <w:pPr>
        <w:pStyle w:val="Heading1a"/>
      </w:pPr>
      <w:r w:rsidRPr="00A1505E">
        <w:lastRenderedPageBreak/>
        <w:t>C</w:t>
      </w:r>
      <w:r w:rsidR="0048295D" w:rsidRPr="00A1505E">
        <w:t>ontents</w:t>
      </w:r>
    </w:p>
    <w:p w14:paraId="3A00320F" w14:textId="4DB0CFCC" w:rsidR="00527C5F" w:rsidRDefault="00BD346C">
      <w:pPr>
        <w:pStyle w:val="TOC1"/>
        <w:rPr>
          <w:rFonts w:asciiTheme="minorHAnsi" w:eastAsiaTheme="minorEastAsia" w:hAnsiTheme="minorHAnsi" w:cstheme="minorBidi"/>
          <w:b w:val="0"/>
          <w:bCs w:val="0"/>
          <w:kern w:val="2"/>
          <w:sz w:val="24"/>
          <w14:ligatures w14:val="standardContextual"/>
        </w:rPr>
      </w:pPr>
      <w:r w:rsidRPr="00A1505E">
        <w:fldChar w:fldCharType="begin"/>
      </w:r>
      <w:r w:rsidRPr="00A1505E">
        <w:instrText xml:space="preserve"> TOC \o "1-3" \t "SectionTitle,1" </w:instrText>
      </w:r>
      <w:r w:rsidRPr="00A1505E">
        <w:fldChar w:fldCharType="separate"/>
      </w:r>
      <w:r w:rsidR="00527C5F">
        <w:t>1</w:t>
      </w:r>
      <w:r w:rsidR="00527C5F">
        <w:rPr>
          <w:rFonts w:asciiTheme="minorHAnsi" w:eastAsiaTheme="minorEastAsia" w:hAnsiTheme="minorHAnsi" w:cstheme="minorBidi"/>
          <w:b w:val="0"/>
          <w:bCs w:val="0"/>
          <w:kern w:val="2"/>
          <w:sz w:val="24"/>
          <w14:ligatures w14:val="standardContextual"/>
        </w:rPr>
        <w:tab/>
      </w:r>
      <w:r w:rsidR="00527C5F">
        <w:t>Introduction</w:t>
      </w:r>
      <w:r w:rsidR="00527C5F">
        <w:tab/>
      </w:r>
      <w:r w:rsidR="00527C5F">
        <w:fldChar w:fldCharType="begin"/>
      </w:r>
      <w:r w:rsidR="00527C5F">
        <w:instrText xml:space="preserve"> PAGEREF _Toc226796935 \h </w:instrText>
      </w:r>
      <w:r w:rsidR="00527C5F">
        <w:fldChar w:fldCharType="separate"/>
      </w:r>
      <w:r w:rsidR="00651A0D">
        <w:t>2</w:t>
      </w:r>
      <w:r w:rsidR="00527C5F">
        <w:fldChar w:fldCharType="end"/>
      </w:r>
    </w:p>
    <w:p w14:paraId="348D3A99" w14:textId="67646C17" w:rsidR="00527C5F" w:rsidRDefault="00527C5F">
      <w:pPr>
        <w:pStyle w:val="TOC1"/>
        <w:rPr>
          <w:rFonts w:asciiTheme="minorHAnsi" w:eastAsiaTheme="minorEastAsia" w:hAnsiTheme="minorHAnsi" w:cstheme="minorBidi"/>
          <w:b w:val="0"/>
          <w:bCs w:val="0"/>
          <w:kern w:val="2"/>
          <w:sz w:val="24"/>
          <w14:ligatures w14:val="standardContextual"/>
        </w:rPr>
      </w:pPr>
      <w:r>
        <w:t>2</w:t>
      </w:r>
      <w:r>
        <w:rPr>
          <w:rFonts w:asciiTheme="minorHAnsi" w:eastAsiaTheme="minorEastAsia" w:hAnsiTheme="minorHAnsi" w:cstheme="minorBidi"/>
          <w:b w:val="0"/>
          <w:bCs w:val="0"/>
          <w:kern w:val="2"/>
          <w:sz w:val="24"/>
          <w14:ligatures w14:val="standardContextual"/>
        </w:rPr>
        <w:tab/>
      </w:r>
      <w:r>
        <w:t>Methods</w:t>
      </w:r>
      <w:r>
        <w:tab/>
      </w:r>
      <w:r>
        <w:fldChar w:fldCharType="begin"/>
      </w:r>
      <w:r>
        <w:instrText xml:space="preserve"> PAGEREF _Toc226796936 \h </w:instrText>
      </w:r>
      <w:r>
        <w:fldChar w:fldCharType="separate"/>
      </w:r>
      <w:r w:rsidR="00651A0D">
        <w:t>3</w:t>
      </w:r>
      <w:r>
        <w:fldChar w:fldCharType="end"/>
      </w:r>
    </w:p>
    <w:p w14:paraId="290DCE8F" w14:textId="45A8209D" w:rsidR="00527C5F" w:rsidRDefault="00527C5F">
      <w:pPr>
        <w:pStyle w:val="TOC2"/>
        <w:rPr>
          <w:rFonts w:asciiTheme="minorHAnsi" w:eastAsiaTheme="minorEastAsia" w:hAnsiTheme="minorHAnsi" w:cstheme="minorBidi"/>
          <w:noProof/>
          <w:kern w:val="2"/>
          <w:sz w:val="24"/>
          <w14:ligatures w14:val="standardContextual"/>
        </w:rPr>
      </w:pPr>
      <w:r>
        <w:rPr>
          <w:noProof/>
        </w:rPr>
        <w:t>2.1</w:t>
      </w:r>
      <w:r>
        <w:rPr>
          <w:rFonts w:asciiTheme="minorHAnsi" w:eastAsiaTheme="minorEastAsia" w:hAnsiTheme="minorHAnsi" w:cstheme="minorBidi"/>
          <w:noProof/>
          <w:kern w:val="2"/>
          <w:sz w:val="24"/>
          <w14:ligatures w14:val="standardContextual"/>
        </w:rPr>
        <w:tab/>
      </w:r>
      <w:r>
        <w:rPr>
          <w:noProof/>
        </w:rPr>
        <w:t>Literature review</w:t>
      </w:r>
      <w:r>
        <w:rPr>
          <w:noProof/>
        </w:rPr>
        <w:tab/>
      </w:r>
      <w:r>
        <w:rPr>
          <w:noProof/>
        </w:rPr>
        <w:fldChar w:fldCharType="begin"/>
      </w:r>
      <w:r>
        <w:rPr>
          <w:noProof/>
        </w:rPr>
        <w:instrText xml:space="preserve"> PAGEREF _Toc226796937 \h </w:instrText>
      </w:r>
      <w:r>
        <w:rPr>
          <w:noProof/>
        </w:rPr>
      </w:r>
      <w:r>
        <w:rPr>
          <w:noProof/>
        </w:rPr>
        <w:fldChar w:fldCharType="separate"/>
      </w:r>
      <w:r w:rsidR="00651A0D">
        <w:rPr>
          <w:noProof/>
        </w:rPr>
        <w:t>3</w:t>
      </w:r>
      <w:r>
        <w:rPr>
          <w:noProof/>
        </w:rPr>
        <w:fldChar w:fldCharType="end"/>
      </w:r>
    </w:p>
    <w:p w14:paraId="11BA08A9" w14:textId="0EF5BB29" w:rsidR="00527C5F" w:rsidRDefault="00527C5F">
      <w:pPr>
        <w:pStyle w:val="TOC2"/>
        <w:rPr>
          <w:rFonts w:asciiTheme="minorHAnsi" w:eastAsiaTheme="minorEastAsia" w:hAnsiTheme="minorHAnsi" w:cstheme="minorBidi"/>
          <w:noProof/>
          <w:kern w:val="2"/>
          <w:sz w:val="24"/>
          <w14:ligatures w14:val="standardContextual"/>
        </w:rPr>
      </w:pPr>
      <w:r>
        <w:rPr>
          <w:noProof/>
        </w:rPr>
        <w:t>2.2</w:t>
      </w:r>
      <w:r>
        <w:rPr>
          <w:rFonts w:asciiTheme="minorHAnsi" w:eastAsiaTheme="minorEastAsia" w:hAnsiTheme="minorHAnsi" w:cstheme="minorBidi"/>
          <w:noProof/>
          <w:kern w:val="2"/>
          <w:sz w:val="24"/>
          <w14:ligatures w14:val="standardContextual"/>
        </w:rPr>
        <w:tab/>
      </w:r>
      <w:r>
        <w:rPr>
          <w:noProof/>
        </w:rPr>
        <w:t>Data analysis</w:t>
      </w:r>
      <w:r>
        <w:rPr>
          <w:noProof/>
        </w:rPr>
        <w:tab/>
      </w:r>
      <w:r>
        <w:rPr>
          <w:noProof/>
        </w:rPr>
        <w:fldChar w:fldCharType="begin"/>
      </w:r>
      <w:r>
        <w:rPr>
          <w:noProof/>
        </w:rPr>
        <w:instrText xml:space="preserve"> PAGEREF _Toc226796938 \h </w:instrText>
      </w:r>
      <w:r>
        <w:rPr>
          <w:noProof/>
        </w:rPr>
      </w:r>
      <w:r>
        <w:rPr>
          <w:noProof/>
        </w:rPr>
        <w:fldChar w:fldCharType="separate"/>
      </w:r>
      <w:r w:rsidR="00651A0D">
        <w:rPr>
          <w:noProof/>
        </w:rPr>
        <w:t>3</w:t>
      </w:r>
      <w:r>
        <w:rPr>
          <w:noProof/>
        </w:rPr>
        <w:fldChar w:fldCharType="end"/>
      </w:r>
    </w:p>
    <w:p w14:paraId="28EB0487" w14:textId="6E835C57" w:rsidR="00527C5F" w:rsidRDefault="00527C5F">
      <w:pPr>
        <w:pStyle w:val="TOC2"/>
        <w:rPr>
          <w:rFonts w:asciiTheme="minorHAnsi" w:eastAsiaTheme="minorEastAsia" w:hAnsiTheme="minorHAnsi" w:cstheme="minorBidi"/>
          <w:noProof/>
          <w:kern w:val="2"/>
          <w:sz w:val="24"/>
          <w14:ligatures w14:val="standardContextual"/>
        </w:rPr>
      </w:pPr>
      <w:r>
        <w:rPr>
          <w:noProof/>
        </w:rPr>
        <w:t>2.3</w:t>
      </w:r>
      <w:r>
        <w:rPr>
          <w:rFonts w:asciiTheme="minorHAnsi" w:eastAsiaTheme="minorEastAsia" w:hAnsiTheme="minorHAnsi" w:cstheme="minorBidi"/>
          <w:noProof/>
          <w:kern w:val="2"/>
          <w:sz w:val="24"/>
          <w14:ligatures w14:val="standardContextual"/>
        </w:rPr>
        <w:tab/>
      </w:r>
      <w:r>
        <w:rPr>
          <w:noProof/>
        </w:rPr>
        <w:t>Vessel observations and data collection</w:t>
      </w:r>
      <w:r>
        <w:rPr>
          <w:noProof/>
        </w:rPr>
        <w:tab/>
      </w:r>
      <w:r>
        <w:rPr>
          <w:noProof/>
        </w:rPr>
        <w:fldChar w:fldCharType="begin"/>
      </w:r>
      <w:r>
        <w:rPr>
          <w:noProof/>
        </w:rPr>
        <w:instrText xml:space="preserve"> PAGEREF _Toc226796939 \h </w:instrText>
      </w:r>
      <w:r>
        <w:rPr>
          <w:noProof/>
        </w:rPr>
      </w:r>
      <w:r>
        <w:rPr>
          <w:noProof/>
        </w:rPr>
        <w:fldChar w:fldCharType="separate"/>
      </w:r>
      <w:r w:rsidR="00651A0D">
        <w:rPr>
          <w:noProof/>
        </w:rPr>
        <w:t>3</w:t>
      </w:r>
      <w:r>
        <w:rPr>
          <w:noProof/>
        </w:rPr>
        <w:fldChar w:fldCharType="end"/>
      </w:r>
    </w:p>
    <w:p w14:paraId="5B196D4F" w14:textId="353735AC" w:rsidR="00527C5F" w:rsidRDefault="00527C5F">
      <w:pPr>
        <w:pStyle w:val="TOC1"/>
        <w:rPr>
          <w:rFonts w:asciiTheme="minorHAnsi" w:eastAsiaTheme="minorEastAsia" w:hAnsiTheme="minorHAnsi" w:cstheme="minorBidi"/>
          <w:b w:val="0"/>
          <w:bCs w:val="0"/>
          <w:kern w:val="2"/>
          <w:sz w:val="24"/>
          <w14:ligatures w14:val="standardContextual"/>
        </w:rPr>
      </w:pPr>
      <w:r>
        <w:t>3</w:t>
      </w:r>
      <w:r>
        <w:rPr>
          <w:rFonts w:asciiTheme="minorHAnsi" w:eastAsiaTheme="minorEastAsia" w:hAnsiTheme="minorHAnsi" w:cstheme="minorBidi"/>
          <w:b w:val="0"/>
          <w:bCs w:val="0"/>
          <w:kern w:val="2"/>
          <w:sz w:val="24"/>
          <w14:ligatures w14:val="standardContextual"/>
        </w:rPr>
        <w:tab/>
      </w:r>
      <w:r>
        <w:t>Literature review</w:t>
      </w:r>
      <w:r>
        <w:tab/>
      </w:r>
      <w:r>
        <w:fldChar w:fldCharType="begin"/>
      </w:r>
      <w:r>
        <w:instrText xml:space="preserve"> PAGEREF _Toc226796940 \h </w:instrText>
      </w:r>
      <w:r>
        <w:fldChar w:fldCharType="separate"/>
      </w:r>
      <w:r w:rsidR="00651A0D">
        <w:t>5</w:t>
      </w:r>
      <w:r>
        <w:fldChar w:fldCharType="end"/>
      </w:r>
    </w:p>
    <w:p w14:paraId="7983475D" w14:textId="4A499417" w:rsidR="00527C5F" w:rsidRDefault="00527C5F">
      <w:pPr>
        <w:pStyle w:val="TOC2"/>
        <w:rPr>
          <w:rFonts w:asciiTheme="minorHAnsi" w:eastAsiaTheme="minorEastAsia" w:hAnsiTheme="minorHAnsi" w:cstheme="minorBidi"/>
          <w:noProof/>
          <w:kern w:val="2"/>
          <w:sz w:val="24"/>
          <w14:ligatures w14:val="standardContextual"/>
        </w:rPr>
      </w:pPr>
      <w:r>
        <w:rPr>
          <w:noProof/>
        </w:rPr>
        <w:t>3.1</w:t>
      </w:r>
      <w:r>
        <w:rPr>
          <w:rFonts w:asciiTheme="minorHAnsi" w:eastAsiaTheme="minorEastAsia" w:hAnsiTheme="minorHAnsi" w:cstheme="minorBidi"/>
          <w:noProof/>
          <w:kern w:val="2"/>
          <w:sz w:val="24"/>
          <w14:ligatures w14:val="standardContextual"/>
        </w:rPr>
        <w:tab/>
      </w:r>
      <w:r>
        <w:rPr>
          <w:noProof/>
        </w:rPr>
        <w:t>Legislative requirements</w:t>
      </w:r>
      <w:r>
        <w:rPr>
          <w:noProof/>
        </w:rPr>
        <w:tab/>
      </w:r>
      <w:r>
        <w:rPr>
          <w:noProof/>
        </w:rPr>
        <w:fldChar w:fldCharType="begin"/>
      </w:r>
      <w:r>
        <w:rPr>
          <w:noProof/>
        </w:rPr>
        <w:instrText xml:space="preserve"> PAGEREF _Toc226796941 \h </w:instrText>
      </w:r>
      <w:r>
        <w:rPr>
          <w:noProof/>
        </w:rPr>
      </w:r>
      <w:r>
        <w:rPr>
          <w:noProof/>
        </w:rPr>
        <w:fldChar w:fldCharType="separate"/>
      </w:r>
      <w:r w:rsidR="00651A0D">
        <w:rPr>
          <w:noProof/>
        </w:rPr>
        <w:t>5</w:t>
      </w:r>
      <w:r>
        <w:rPr>
          <w:noProof/>
        </w:rPr>
        <w:fldChar w:fldCharType="end"/>
      </w:r>
    </w:p>
    <w:p w14:paraId="3C55A88E" w14:textId="6DBB7B0C" w:rsidR="00527C5F" w:rsidRDefault="00527C5F">
      <w:pPr>
        <w:pStyle w:val="TOC3"/>
        <w:rPr>
          <w:rFonts w:asciiTheme="minorHAnsi" w:eastAsiaTheme="minorEastAsia" w:hAnsiTheme="minorHAnsi" w:cstheme="minorBidi"/>
          <w:noProof/>
          <w:kern w:val="2"/>
          <w:sz w:val="24"/>
          <w14:ligatures w14:val="standardContextual"/>
        </w:rPr>
      </w:pPr>
      <w:r>
        <w:rPr>
          <w:noProof/>
        </w:rPr>
        <w:t>3.1.1</w:t>
      </w:r>
      <w:r>
        <w:rPr>
          <w:rFonts w:asciiTheme="minorHAnsi" w:eastAsiaTheme="minorEastAsia" w:hAnsiTheme="minorHAnsi" w:cstheme="minorBidi"/>
          <w:noProof/>
          <w:kern w:val="2"/>
          <w:sz w:val="24"/>
          <w14:ligatures w14:val="standardContextual"/>
        </w:rPr>
        <w:tab/>
      </w:r>
      <w:r>
        <w:rPr>
          <w:noProof/>
        </w:rPr>
        <w:t>Emergency animal diseases and biosecurity</w:t>
      </w:r>
      <w:r>
        <w:rPr>
          <w:noProof/>
        </w:rPr>
        <w:tab/>
      </w:r>
      <w:r>
        <w:rPr>
          <w:noProof/>
        </w:rPr>
        <w:fldChar w:fldCharType="begin"/>
      </w:r>
      <w:r>
        <w:rPr>
          <w:noProof/>
        </w:rPr>
        <w:instrText xml:space="preserve"> PAGEREF _Toc226796942 \h </w:instrText>
      </w:r>
      <w:r>
        <w:rPr>
          <w:noProof/>
        </w:rPr>
      </w:r>
      <w:r>
        <w:rPr>
          <w:noProof/>
        </w:rPr>
        <w:fldChar w:fldCharType="separate"/>
      </w:r>
      <w:r w:rsidR="00651A0D">
        <w:rPr>
          <w:noProof/>
        </w:rPr>
        <w:t>5</w:t>
      </w:r>
      <w:r>
        <w:rPr>
          <w:noProof/>
        </w:rPr>
        <w:fldChar w:fldCharType="end"/>
      </w:r>
    </w:p>
    <w:p w14:paraId="3D302D79" w14:textId="78E13413" w:rsidR="00527C5F" w:rsidRDefault="00527C5F">
      <w:pPr>
        <w:pStyle w:val="TOC3"/>
        <w:rPr>
          <w:rFonts w:asciiTheme="minorHAnsi" w:eastAsiaTheme="minorEastAsia" w:hAnsiTheme="minorHAnsi" w:cstheme="minorBidi"/>
          <w:noProof/>
          <w:kern w:val="2"/>
          <w:sz w:val="24"/>
          <w14:ligatures w14:val="standardContextual"/>
        </w:rPr>
      </w:pPr>
      <w:r>
        <w:rPr>
          <w:noProof/>
        </w:rPr>
        <w:t>3.1.2</w:t>
      </w:r>
      <w:r>
        <w:rPr>
          <w:rFonts w:asciiTheme="minorHAnsi" w:eastAsiaTheme="minorEastAsia" w:hAnsiTheme="minorHAnsi" w:cstheme="minorBidi"/>
          <w:noProof/>
          <w:kern w:val="2"/>
          <w:sz w:val="24"/>
          <w14:ligatures w14:val="standardContextual"/>
        </w:rPr>
        <w:tab/>
      </w:r>
      <w:r>
        <w:rPr>
          <w:noProof/>
        </w:rPr>
        <w:t>Routine inspections</w:t>
      </w:r>
      <w:r>
        <w:rPr>
          <w:noProof/>
        </w:rPr>
        <w:tab/>
      </w:r>
      <w:r>
        <w:rPr>
          <w:noProof/>
        </w:rPr>
        <w:fldChar w:fldCharType="begin"/>
      </w:r>
      <w:r>
        <w:rPr>
          <w:noProof/>
        </w:rPr>
        <w:instrText xml:space="preserve"> PAGEREF _Toc226796943 \h </w:instrText>
      </w:r>
      <w:r>
        <w:rPr>
          <w:noProof/>
        </w:rPr>
      </w:r>
      <w:r>
        <w:rPr>
          <w:noProof/>
        </w:rPr>
        <w:fldChar w:fldCharType="separate"/>
      </w:r>
      <w:r w:rsidR="00651A0D">
        <w:rPr>
          <w:noProof/>
        </w:rPr>
        <w:t>5</w:t>
      </w:r>
      <w:r>
        <w:rPr>
          <w:noProof/>
        </w:rPr>
        <w:fldChar w:fldCharType="end"/>
      </w:r>
    </w:p>
    <w:p w14:paraId="7C4D4548" w14:textId="439A56D5" w:rsidR="00527C5F" w:rsidRDefault="00527C5F">
      <w:pPr>
        <w:pStyle w:val="TOC3"/>
        <w:rPr>
          <w:rFonts w:asciiTheme="minorHAnsi" w:eastAsiaTheme="minorEastAsia" w:hAnsiTheme="minorHAnsi" w:cstheme="minorBidi"/>
          <w:noProof/>
          <w:kern w:val="2"/>
          <w:sz w:val="24"/>
          <w14:ligatures w14:val="standardContextual"/>
        </w:rPr>
      </w:pPr>
      <w:r>
        <w:rPr>
          <w:noProof/>
        </w:rPr>
        <w:t>3.1.3</w:t>
      </w:r>
      <w:r>
        <w:rPr>
          <w:rFonts w:asciiTheme="minorHAnsi" w:eastAsiaTheme="minorEastAsia" w:hAnsiTheme="minorHAnsi" w:cstheme="minorBidi"/>
          <w:noProof/>
          <w:kern w:val="2"/>
          <w:sz w:val="24"/>
          <w14:ligatures w14:val="standardContextual"/>
        </w:rPr>
        <w:tab/>
      </w:r>
      <w:r>
        <w:rPr>
          <w:noProof/>
        </w:rPr>
        <w:t>Vessel lighting</w:t>
      </w:r>
      <w:r>
        <w:rPr>
          <w:noProof/>
        </w:rPr>
        <w:tab/>
      </w:r>
      <w:r>
        <w:rPr>
          <w:noProof/>
        </w:rPr>
        <w:fldChar w:fldCharType="begin"/>
      </w:r>
      <w:r>
        <w:rPr>
          <w:noProof/>
        </w:rPr>
        <w:instrText xml:space="preserve"> PAGEREF _Toc226796944 \h </w:instrText>
      </w:r>
      <w:r>
        <w:rPr>
          <w:noProof/>
        </w:rPr>
      </w:r>
      <w:r>
        <w:rPr>
          <w:noProof/>
        </w:rPr>
        <w:fldChar w:fldCharType="separate"/>
      </w:r>
      <w:r w:rsidR="00651A0D">
        <w:rPr>
          <w:noProof/>
        </w:rPr>
        <w:t>6</w:t>
      </w:r>
      <w:r>
        <w:rPr>
          <w:noProof/>
        </w:rPr>
        <w:fldChar w:fldCharType="end"/>
      </w:r>
    </w:p>
    <w:p w14:paraId="3B67E28D" w14:textId="4F36CD88" w:rsidR="00527C5F" w:rsidRDefault="00527C5F">
      <w:pPr>
        <w:pStyle w:val="TOC3"/>
        <w:rPr>
          <w:rFonts w:asciiTheme="minorHAnsi" w:eastAsiaTheme="minorEastAsia" w:hAnsiTheme="minorHAnsi" w:cstheme="minorBidi"/>
          <w:noProof/>
          <w:kern w:val="2"/>
          <w:sz w:val="24"/>
          <w14:ligatures w14:val="standardContextual"/>
        </w:rPr>
      </w:pPr>
      <w:r>
        <w:rPr>
          <w:noProof/>
        </w:rPr>
        <w:t>3.1.4</w:t>
      </w:r>
      <w:r>
        <w:rPr>
          <w:rFonts w:asciiTheme="minorHAnsi" w:eastAsiaTheme="minorEastAsia" w:hAnsiTheme="minorHAnsi" w:cstheme="minorBidi"/>
          <w:noProof/>
          <w:kern w:val="2"/>
          <w:sz w:val="24"/>
          <w14:ligatures w14:val="standardContextual"/>
        </w:rPr>
        <w:tab/>
      </w:r>
      <w:r>
        <w:rPr>
          <w:noProof/>
        </w:rPr>
        <w:t>Pratique</w:t>
      </w:r>
      <w:r>
        <w:rPr>
          <w:noProof/>
        </w:rPr>
        <w:tab/>
      </w:r>
      <w:r>
        <w:rPr>
          <w:noProof/>
        </w:rPr>
        <w:fldChar w:fldCharType="begin"/>
      </w:r>
      <w:r>
        <w:rPr>
          <w:noProof/>
        </w:rPr>
        <w:instrText xml:space="preserve"> PAGEREF _Toc226796945 \h </w:instrText>
      </w:r>
      <w:r>
        <w:rPr>
          <w:noProof/>
        </w:rPr>
      </w:r>
      <w:r>
        <w:rPr>
          <w:noProof/>
        </w:rPr>
        <w:fldChar w:fldCharType="separate"/>
      </w:r>
      <w:r w:rsidR="00651A0D">
        <w:rPr>
          <w:noProof/>
        </w:rPr>
        <w:t>7</w:t>
      </w:r>
      <w:r>
        <w:rPr>
          <w:noProof/>
        </w:rPr>
        <w:fldChar w:fldCharType="end"/>
      </w:r>
    </w:p>
    <w:p w14:paraId="1B6B1DC2" w14:textId="01B1CAE3" w:rsidR="00527C5F" w:rsidRDefault="00527C5F">
      <w:pPr>
        <w:pStyle w:val="TOC2"/>
        <w:rPr>
          <w:rFonts w:asciiTheme="minorHAnsi" w:eastAsiaTheme="minorEastAsia" w:hAnsiTheme="minorHAnsi" w:cstheme="minorBidi"/>
          <w:noProof/>
          <w:kern w:val="2"/>
          <w:sz w:val="24"/>
          <w14:ligatures w14:val="standardContextual"/>
        </w:rPr>
      </w:pPr>
      <w:r>
        <w:rPr>
          <w:noProof/>
        </w:rPr>
        <w:t>3.2</w:t>
      </w:r>
      <w:r>
        <w:rPr>
          <w:rFonts w:asciiTheme="minorHAnsi" w:eastAsiaTheme="minorEastAsia" w:hAnsiTheme="minorHAnsi" w:cstheme="minorBidi"/>
          <w:noProof/>
          <w:kern w:val="2"/>
          <w:sz w:val="24"/>
          <w14:ligatures w14:val="standardContextual"/>
        </w:rPr>
        <w:tab/>
      </w:r>
      <w:r>
        <w:rPr>
          <w:noProof/>
        </w:rPr>
        <w:t>Vision, cognition and environment</w:t>
      </w:r>
      <w:r>
        <w:rPr>
          <w:noProof/>
        </w:rPr>
        <w:tab/>
      </w:r>
      <w:r>
        <w:rPr>
          <w:noProof/>
        </w:rPr>
        <w:fldChar w:fldCharType="begin"/>
      </w:r>
      <w:r>
        <w:rPr>
          <w:noProof/>
        </w:rPr>
        <w:instrText xml:space="preserve"> PAGEREF _Toc226796946 \h </w:instrText>
      </w:r>
      <w:r>
        <w:rPr>
          <w:noProof/>
        </w:rPr>
      </w:r>
      <w:r>
        <w:rPr>
          <w:noProof/>
        </w:rPr>
        <w:fldChar w:fldCharType="separate"/>
      </w:r>
      <w:r w:rsidR="00651A0D">
        <w:rPr>
          <w:noProof/>
        </w:rPr>
        <w:t>8</w:t>
      </w:r>
      <w:r>
        <w:rPr>
          <w:noProof/>
        </w:rPr>
        <w:fldChar w:fldCharType="end"/>
      </w:r>
    </w:p>
    <w:p w14:paraId="7761497B" w14:textId="370D043A" w:rsidR="00527C5F" w:rsidRDefault="00527C5F">
      <w:pPr>
        <w:pStyle w:val="TOC3"/>
        <w:rPr>
          <w:rFonts w:asciiTheme="minorHAnsi" w:eastAsiaTheme="minorEastAsia" w:hAnsiTheme="minorHAnsi" w:cstheme="minorBidi"/>
          <w:noProof/>
          <w:kern w:val="2"/>
          <w:sz w:val="24"/>
          <w14:ligatures w14:val="standardContextual"/>
        </w:rPr>
      </w:pPr>
      <w:r>
        <w:rPr>
          <w:noProof/>
        </w:rPr>
        <w:t>3.2.1</w:t>
      </w:r>
      <w:r>
        <w:rPr>
          <w:rFonts w:asciiTheme="minorHAnsi" w:eastAsiaTheme="minorEastAsia" w:hAnsiTheme="minorHAnsi" w:cstheme="minorBidi"/>
          <w:noProof/>
          <w:kern w:val="2"/>
          <w:sz w:val="24"/>
          <w14:ligatures w14:val="standardContextual"/>
        </w:rPr>
        <w:tab/>
      </w:r>
      <w:r>
        <w:rPr>
          <w:noProof/>
        </w:rPr>
        <w:t>Human vision</w:t>
      </w:r>
      <w:r>
        <w:rPr>
          <w:noProof/>
        </w:rPr>
        <w:tab/>
      </w:r>
      <w:r>
        <w:rPr>
          <w:noProof/>
        </w:rPr>
        <w:fldChar w:fldCharType="begin"/>
      </w:r>
      <w:r>
        <w:rPr>
          <w:noProof/>
        </w:rPr>
        <w:instrText xml:space="preserve"> PAGEREF _Toc226796947 \h </w:instrText>
      </w:r>
      <w:r>
        <w:rPr>
          <w:noProof/>
        </w:rPr>
      </w:r>
      <w:r>
        <w:rPr>
          <w:noProof/>
        </w:rPr>
        <w:fldChar w:fldCharType="separate"/>
      </w:r>
      <w:r w:rsidR="00651A0D">
        <w:rPr>
          <w:noProof/>
        </w:rPr>
        <w:t>8</w:t>
      </w:r>
      <w:r>
        <w:rPr>
          <w:noProof/>
        </w:rPr>
        <w:fldChar w:fldCharType="end"/>
      </w:r>
    </w:p>
    <w:p w14:paraId="6A4CE1C0" w14:textId="734C7D9A" w:rsidR="00527C5F" w:rsidRDefault="00527C5F">
      <w:pPr>
        <w:pStyle w:val="TOC3"/>
        <w:rPr>
          <w:rFonts w:asciiTheme="minorHAnsi" w:eastAsiaTheme="minorEastAsia" w:hAnsiTheme="minorHAnsi" w:cstheme="minorBidi"/>
          <w:noProof/>
          <w:kern w:val="2"/>
          <w:sz w:val="24"/>
          <w14:ligatures w14:val="standardContextual"/>
        </w:rPr>
      </w:pPr>
      <w:r>
        <w:rPr>
          <w:noProof/>
        </w:rPr>
        <w:t>3.2.2</w:t>
      </w:r>
      <w:r>
        <w:rPr>
          <w:rFonts w:asciiTheme="minorHAnsi" w:eastAsiaTheme="minorEastAsia" w:hAnsiTheme="minorHAnsi" w:cstheme="minorBidi"/>
          <w:noProof/>
          <w:kern w:val="2"/>
          <w:sz w:val="24"/>
          <w14:ligatures w14:val="standardContextual"/>
        </w:rPr>
        <w:tab/>
      </w:r>
      <w:r>
        <w:rPr>
          <w:noProof/>
        </w:rPr>
        <w:t>Mechanisms of night vision</w:t>
      </w:r>
      <w:r>
        <w:rPr>
          <w:noProof/>
        </w:rPr>
        <w:tab/>
      </w:r>
      <w:r>
        <w:rPr>
          <w:noProof/>
        </w:rPr>
        <w:fldChar w:fldCharType="begin"/>
      </w:r>
      <w:r>
        <w:rPr>
          <w:noProof/>
        </w:rPr>
        <w:instrText xml:space="preserve"> PAGEREF _Toc226796948 \h </w:instrText>
      </w:r>
      <w:r>
        <w:rPr>
          <w:noProof/>
        </w:rPr>
      </w:r>
      <w:r>
        <w:rPr>
          <w:noProof/>
        </w:rPr>
        <w:fldChar w:fldCharType="separate"/>
      </w:r>
      <w:r w:rsidR="00651A0D">
        <w:rPr>
          <w:noProof/>
        </w:rPr>
        <w:t>8</w:t>
      </w:r>
      <w:r>
        <w:rPr>
          <w:noProof/>
        </w:rPr>
        <w:fldChar w:fldCharType="end"/>
      </w:r>
    </w:p>
    <w:p w14:paraId="227D7C83" w14:textId="1280235F" w:rsidR="00527C5F" w:rsidRDefault="00527C5F">
      <w:pPr>
        <w:pStyle w:val="TOC3"/>
        <w:rPr>
          <w:rFonts w:asciiTheme="minorHAnsi" w:eastAsiaTheme="minorEastAsia" w:hAnsiTheme="minorHAnsi" w:cstheme="minorBidi"/>
          <w:noProof/>
          <w:kern w:val="2"/>
          <w:sz w:val="24"/>
          <w14:ligatures w14:val="standardContextual"/>
        </w:rPr>
      </w:pPr>
      <w:r>
        <w:rPr>
          <w:noProof/>
        </w:rPr>
        <w:t>3.2.3</w:t>
      </w:r>
      <w:r>
        <w:rPr>
          <w:rFonts w:asciiTheme="minorHAnsi" w:eastAsiaTheme="minorEastAsia" w:hAnsiTheme="minorHAnsi" w:cstheme="minorBidi"/>
          <w:noProof/>
          <w:kern w:val="2"/>
          <w:sz w:val="24"/>
          <w14:ligatures w14:val="standardContextual"/>
        </w:rPr>
        <w:tab/>
      </w:r>
      <w:r>
        <w:rPr>
          <w:noProof/>
        </w:rPr>
        <w:t>Lighting and vision considerations for daytime and night-time inspections</w:t>
      </w:r>
      <w:r>
        <w:rPr>
          <w:noProof/>
        </w:rPr>
        <w:tab/>
      </w:r>
      <w:r>
        <w:rPr>
          <w:noProof/>
        </w:rPr>
        <w:fldChar w:fldCharType="begin"/>
      </w:r>
      <w:r>
        <w:rPr>
          <w:noProof/>
        </w:rPr>
        <w:instrText xml:space="preserve"> PAGEREF _Toc226796949 \h </w:instrText>
      </w:r>
      <w:r>
        <w:rPr>
          <w:noProof/>
        </w:rPr>
      </w:r>
      <w:r>
        <w:rPr>
          <w:noProof/>
        </w:rPr>
        <w:fldChar w:fldCharType="separate"/>
      </w:r>
      <w:r w:rsidR="00651A0D">
        <w:rPr>
          <w:noProof/>
        </w:rPr>
        <w:t>8</w:t>
      </w:r>
      <w:r>
        <w:rPr>
          <w:noProof/>
        </w:rPr>
        <w:fldChar w:fldCharType="end"/>
      </w:r>
    </w:p>
    <w:p w14:paraId="431E676F" w14:textId="30EAE974" w:rsidR="00527C5F" w:rsidRDefault="00527C5F">
      <w:pPr>
        <w:pStyle w:val="TOC3"/>
        <w:rPr>
          <w:rFonts w:asciiTheme="minorHAnsi" w:eastAsiaTheme="minorEastAsia" w:hAnsiTheme="minorHAnsi" w:cstheme="minorBidi"/>
          <w:noProof/>
          <w:kern w:val="2"/>
          <w:sz w:val="24"/>
          <w14:ligatures w14:val="standardContextual"/>
        </w:rPr>
      </w:pPr>
      <w:r w:rsidRPr="00E13DA8">
        <w:rPr>
          <w:rFonts w:eastAsia="Garamond"/>
          <w:noProof/>
        </w:rPr>
        <w:t>3.2.4</w:t>
      </w:r>
      <w:r>
        <w:rPr>
          <w:rFonts w:asciiTheme="minorHAnsi" w:eastAsiaTheme="minorEastAsia" w:hAnsiTheme="minorHAnsi" w:cstheme="minorBidi"/>
          <w:noProof/>
          <w:kern w:val="2"/>
          <w:sz w:val="24"/>
          <w14:ligatures w14:val="standardContextual"/>
        </w:rPr>
        <w:tab/>
      </w:r>
      <w:r w:rsidRPr="00E13DA8">
        <w:rPr>
          <w:rFonts w:eastAsia="Garamond"/>
          <w:noProof/>
        </w:rPr>
        <w:t>Cognition and executive function</w:t>
      </w:r>
      <w:r>
        <w:rPr>
          <w:noProof/>
        </w:rPr>
        <w:tab/>
      </w:r>
      <w:r>
        <w:rPr>
          <w:noProof/>
        </w:rPr>
        <w:fldChar w:fldCharType="begin"/>
      </w:r>
      <w:r>
        <w:rPr>
          <w:noProof/>
        </w:rPr>
        <w:instrText xml:space="preserve"> PAGEREF _Toc226796950 \h </w:instrText>
      </w:r>
      <w:r>
        <w:rPr>
          <w:noProof/>
        </w:rPr>
      </w:r>
      <w:r>
        <w:rPr>
          <w:noProof/>
        </w:rPr>
        <w:fldChar w:fldCharType="separate"/>
      </w:r>
      <w:r w:rsidR="00651A0D">
        <w:rPr>
          <w:noProof/>
        </w:rPr>
        <w:t>9</w:t>
      </w:r>
      <w:r>
        <w:rPr>
          <w:noProof/>
        </w:rPr>
        <w:fldChar w:fldCharType="end"/>
      </w:r>
    </w:p>
    <w:p w14:paraId="0072EFDC" w14:textId="1EB676BF" w:rsidR="00527C5F" w:rsidRDefault="00527C5F">
      <w:pPr>
        <w:pStyle w:val="TOC3"/>
        <w:rPr>
          <w:rFonts w:asciiTheme="minorHAnsi" w:eastAsiaTheme="minorEastAsia" w:hAnsiTheme="minorHAnsi" w:cstheme="minorBidi"/>
          <w:noProof/>
          <w:kern w:val="2"/>
          <w:sz w:val="24"/>
          <w14:ligatures w14:val="standardContextual"/>
        </w:rPr>
      </w:pPr>
      <w:r w:rsidRPr="00E13DA8">
        <w:rPr>
          <w:rFonts w:eastAsia="Garamond"/>
          <w:noProof/>
        </w:rPr>
        <w:t>3.2.5</w:t>
      </w:r>
      <w:r>
        <w:rPr>
          <w:rFonts w:asciiTheme="minorHAnsi" w:eastAsiaTheme="minorEastAsia" w:hAnsiTheme="minorHAnsi" w:cstheme="minorBidi"/>
          <w:noProof/>
          <w:kern w:val="2"/>
          <w:sz w:val="24"/>
          <w14:ligatures w14:val="standardContextual"/>
        </w:rPr>
        <w:tab/>
      </w:r>
      <w:r w:rsidRPr="00E13DA8">
        <w:rPr>
          <w:rFonts w:eastAsia="Garamond"/>
          <w:noProof/>
        </w:rPr>
        <w:t>Summary of vision and cognition issues</w:t>
      </w:r>
      <w:r>
        <w:rPr>
          <w:noProof/>
        </w:rPr>
        <w:tab/>
      </w:r>
      <w:r>
        <w:rPr>
          <w:noProof/>
        </w:rPr>
        <w:fldChar w:fldCharType="begin"/>
      </w:r>
      <w:r>
        <w:rPr>
          <w:noProof/>
        </w:rPr>
        <w:instrText xml:space="preserve"> PAGEREF _Toc226796951 \h </w:instrText>
      </w:r>
      <w:r>
        <w:rPr>
          <w:noProof/>
        </w:rPr>
      </w:r>
      <w:r>
        <w:rPr>
          <w:noProof/>
        </w:rPr>
        <w:fldChar w:fldCharType="separate"/>
      </w:r>
      <w:r w:rsidR="00651A0D">
        <w:rPr>
          <w:noProof/>
        </w:rPr>
        <w:t>10</w:t>
      </w:r>
      <w:r>
        <w:rPr>
          <w:noProof/>
        </w:rPr>
        <w:fldChar w:fldCharType="end"/>
      </w:r>
    </w:p>
    <w:p w14:paraId="546878ED" w14:textId="7AD99C21" w:rsidR="00527C5F" w:rsidRDefault="00527C5F">
      <w:pPr>
        <w:pStyle w:val="TOC2"/>
        <w:rPr>
          <w:rFonts w:asciiTheme="minorHAnsi" w:eastAsiaTheme="minorEastAsia" w:hAnsiTheme="minorHAnsi" w:cstheme="minorBidi"/>
          <w:noProof/>
          <w:kern w:val="2"/>
          <w:sz w:val="24"/>
          <w14:ligatures w14:val="standardContextual"/>
        </w:rPr>
      </w:pPr>
      <w:r>
        <w:rPr>
          <w:noProof/>
        </w:rPr>
        <w:t>3.3</w:t>
      </w:r>
      <w:r>
        <w:rPr>
          <w:rFonts w:asciiTheme="minorHAnsi" w:eastAsiaTheme="minorEastAsia" w:hAnsiTheme="minorHAnsi" w:cstheme="minorBidi"/>
          <w:noProof/>
          <w:kern w:val="2"/>
          <w:sz w:val="24"/>
          <w14:ligatures w14:val="standardContextual"/>
        </w:rPr>
        <w:tab/>
      </w:r>
      <w:r>
        <w:rPr>
          <w:noProof/>
        </w:rPr>
        <w:t>Livestock carrier vessels</w:t>
      </w:r>
      <w:r>
        <w:rPr>
          <w:noProof/>
        </w:rPr>
        <w:tab/>
      </w:r>
      <w:r>
        <w:rPr>
          <w:noProof/>
        </w:rPr>
        <w:fldChar w:fldCharType="begin"/>
      </w:r>
      <w:r>
        <w:rPr>
          <w:noProof/>
        </w:rPr>
        <w:instrText xml:space="preserve"> PAGEREF _Toc226796952 \h </w:instrText>
      </w:r>
      <w:r>
        <w:rPr>
          <w:noProof/>
        </w:rPr>
      </w:r>
      <w:r>
        <w:rPr>
          <w:noProof/>
        </w:rPr>
        <w:fldChar w:fldCharType="separate"/>
      </w:r>
      <w:r w:rsidR="00651A0D">
        <w:rPr>
          <w:noProof/>
        </w:rPr>
        <w:t>10</w:t>
      </w:r>
      <w:r>
        <w:rPr>
          <w:noProof/>
        </w:rPr>
        <w:fldChar w:fldCharType="end"/>
      </w:r>
    </w:p>
    <w:p w14:paraId="46F40A2B" w14:textId="1CE2A016" w:rsidR="00527C5F" w:rsidRDefault="00527C5F">
      <w:pPr>
        <w:pStyle w:val="TOC3"/>
        <w:rPr>
          <w:rFonts w:asciiTheme="minorHAnsi" w:eastAsiaTheme="minorEastAsia" w:hAnsiTheme="minorHAnsi" w:cstheme="minorBidi"/>
          <w:noProof/>
          <w:kern w:val="2"/>
          <w:sz w:val="24"/>
          <w14:ligatures w14:val="standardContextual"/>
        </w:rPr>
      </w:pPr>
      <w:r>
        <w:rPr>
          <w:noProof/>
        </w:rPr>
        <w:t>3.3.1</w:t>
      </w:r>
      <w:r>
        <w:rPr>
          <w:rFonts w:asciiTheme="minorHAnsi" w:eastAsiaTheme="minorEastAsia" w:hAnsiTheme="minorHAnsi" w:cstheme="minorBidi"/>
          <w:noProof/>
          <w:kern w:val="2"/>
          <w:sz w:val="24"/>
          <w14:ligatures w14:val="standardContextual"/>
        </w:rPr>
        <w:tab/>
      </w:r>
      <w:r>
        <w:rPr>
          <w:noProof/>
        </w:rPr>
        <w:t>Vessel layout and capacity</w:t>
      </w:r>
      <w:r>
        <w:rPr>
          <w:noProof/>
        </w:rPr>
        <w:tab/>
      </w:r>
      <w:r>
        <w:rPr>
          <w:noProof/>
        </w:rPr>
        <w:fldChar w:fldCharType="begin"/>
      </w:r>
      <w:r>
        <w:rPr>
          <w:noProof/>
        </w:rPr>
        <w:instrText xml:space="preserve"> PAGEREF _Toc226796953 \h </w:instrText>
      </w:r>
      <w:r>
        <w:rPr>
          <w:noProof/>
        </w:rPr>
      </w:r>
      <w:r>
        <w:rPr>
          <w:noProof/>
        </w:rPr>
        <w:fldChar w:fldCharType="separate"/>
      </w:r>
      <w:r w:rsidR="00651A0D">
        <w:rPr>
          <w:noProof/>
        </w:rPr>
        <w:t>11</w:t>
      </w:r>
      <w:r>
        <w:rPr>
          <w:noProof/>
        </w:rPr>
        <w:fldChar w:fldCharType="end"/>
      </w:r>
    </w:p>
    <w:p w14:paraId="1B36F268" w14:textId="2F05E2B0" w:rsidR="00527C5F" w:rsidRDefault="00527C5F">
      <w:pPr>
        <w:pStyle w:val="TOC3"/>
        <w:rPr>
          <w:rFonts w:asciiTheme="minorHAnsi" w:eastAsiaTheme="minorEastAsia" w:hAnsiTheme="minorHAnsi" w:cstheme="minorBidi"/>
          <w:noProof/>
          <w:kern w:val="2"/>
          <w:sz w:val="24"/>
          <w14:ligatures w14:val="standardContextual"/>
        </w:rPr>
      </w:pPr>
      <w:r>
        <w:rPr>
          <w:noProof/>
        </w:rPr>
        <w:t>3.3.2</w:t>
      </w:r>
      <w:r>
        <w:rPr>
          <w:rFonts w:asciiTheme="minorHAnsi" w:eastAsiaTheme="minorEastAsia" w:hAnsiTheme="minorHAnsi" w:cstheme="minorBidi"/>
          <w:noProof/>
          <w:kern w:val="2"/>
          <w:sz w:val="24"/>
          <w14:ligatures w14:val="standardContextual"/>
        </w:rPr>
        <w:tab/>
      </w:r>
      <w:r>
        <w:rPr>
          <w:noProof/>
        </w:rPr>
        <w:t>Feed and fodder</w:t>
      </w:r>
      <w:r>
        <w:rPr>
          <w:noProof/>
        </w:rPr>
        <w:tab/>
      </w:r>
      <w:r>
        <w:rPr>
          <w:noProof/>
        </w:rPr>
        <w:fldChar w:fldCharType="begin"/>
      </w:r>
      <w:r>
        <w:rPr>
          <w:noProof/>
        </w:rPr>
        <w:instrText xml:space="preserve"> PAGEREF _Toc226796954 \h </w:instrText>
      </w:r>
      <w:r>
        <w:rPr>
          <w:noProof/>
        </w:rPr>
      </w:r>
      <w:r>
        <w:rPr>
          <w:noProof/>
        </w:rPr>
        <w:fldChar w:fldCharType="separate"/>
      </w:r>
      <w:r w:rsidR="00651A0D">
        <w:rPr>
          <w:noProof/>
        </w:rPr>
        <w:t>12</w:t>
      </w:r>
      <w:r>
        <w:rPr>
          <w:noProof/>
        </w:rPr>
        <w:fldChar w:fldCharType="end"/>
      </w:r>
    </w:p>
    <w:p w14:paraId="25FE5101" w14:textId="2AAC7E3C" w:rsidR="00527C5F" w:rsidRDefault="00527C5F">
      <w:pPr>
        <w:pStyle w:val="TOC3"/>
        <w:rPr>
          <w:rFonts w:asciiTheme="minorHAnsi" w:eastAsiaTheme="minorEastAsia" w:hAnsiTheme="minorHAnsi" w:cstheme="minorBidi"/>
          <w:noProof/>
          <w:kern w:val="2"/>
          <w:sz w:val="24"/>
          <w14:ligatures w14:val="standardContextual"/>
        </w:rPr>
      </w:pPr>
      <w:r w:rsidRPr="00E13DA8">
        <w:rPr>
          <w:rFonts w:eastAsia="Garamond"/>
          <w:noProof/>
        </w:rPr>
        <w:t>3.3.3</w:t>
      </w:r>
      <w:r>
        <w:rPr>
          <w:rFonts w:asciiTheme="minorHAnsi" w:eastAsiaTheme="minorEastAsia" w:hAnsiTheme="minorHAnsi" w:cstheme="minorBidi"/>
          <w:noProof/>
          <w:kern w:val="2"/>
          <w:sz w:val="24"/>
          <w14:ligatures w14:val="standardContextual"/>
        </w:rPr>
        <w:tab/>
      </w:r>
      <w:r w:rsidRPr="00E13DA8">
        <w:rPr>
          <w:rFonts w:eastAsia="Garamond"/>
          <w:noProof/>
        </w:rPr>
        <w:t>Waste and cleaning of BRM</w:t>
      </w:r>
      <w:r>
        <w:rPr>
          <w:noProof/>
        </w:rPr>
        <w:tab/>
      </w:r>
      <w:r>
        <w:rPr>
          <w:noProof/>
        </w:rPr>
        <w:fldChar w:fldCharType="begin"/>
      </w:r>
      <w:r>
        <w:rPr>
          <w:noProof/>
        </w:rPr>
        <w:instrText xml:space="preserve"> PAGEREF _Toc226796955 \h </w:instrText>
      </w:r>
      <w:r>
        <w:rPr>
          <w:noProof/>
        </w:rPr>
      </w:r>
      <w:r>
        <w:rPr>
          <w:noProof/>
        </w:rPr>
        <w:fldChar w:fldCharType="separate"/>
      </w:r>
      <w:r w:rsidR="00651A0D">
        <w:rPr>
          <w:noProof/>
        </w:rPr>
        <w:t>12</w:t>
      </w:r>
      <w:r>
        <w:rPr>
          <w:noProof/>
        </w:rPr>
        <w:fldChar w:fldCharType="end"/>
      </w:r>
    </w:p>
    <w:p w14:paraId="2876694F" w14:textId="0C6AA847" w:rsidR="00527C5F" w:rsidRDefault="00527C5F">
      <w:pPr>
        <w:pStyle w:val="TOC3"/>
        <w:rPr>
          <w:rFonts w:asciiTheme="minorHAnsi" w:eastAsiaTheme="minorEastAsia" w:hAnsiTheme="minorHAnsi" w:cstheme="minorBidi"/>
          <w:noProof/>
          <w:kern w:val="2"/>
          <w:sz w:val="24"/>
          <w14:ligatures w14:val="standardContextual"/>
        </w:rPr>
      </w:pPr>
      <w:r>
        <w:rPr>
          <w:noProof/>
        </w:rPr>
        <w:t>3.3.4</w:t>
      </w:r>
      <w:r>
        <w:rPr>
          <w:rFonts w:asciiTheme="minorHAnsi" w:eastAsiaTheme="minorEastAsia" w:hAnsiTheme="minorHAnsi" w:cstheme="minorBidi"/>
          <w:noProof/>
          <w:kern w:val="2"/>
          <w:sz w:val="24"/>
          <w14:ligatures w14:val="standardContextual"/>
        </w:rPr>
        <w:tab/>
      </w:r>
      <w:r>
        <w:rPr>
          <w:noProof/>
        </w:rPr>
        <w:t>Matching risk to transit routes and visit history</w:t>
      </w:r>
      <w:r>
        <w:rPr>
          <w:noProof/>
        </w:rPr>
        <w:tab/>
      </w:r>
      <w:r>
        <w:rPr>
          <w:noProof/>
        </w:rPr>
        <w:fldChar w:fldCharType="begin"/>
      </w:r>
      <w:r>
        <w:rPr>
          <w:noProof/>
        </w:rPr>
        <w:instrText xml:space="preserve"> PAGEREF _Toc226796956 \h </w:instrText>
      </w:r>
      <w:r>
        <w:rPr>
          <w:noProof/>
        </w:rPr>
      </w:r>
      <w:r>
        <w:rPr>
          <w:noProof/>
        </w:rPr>
        <w:fldChar w:fldCharType="separate"/>
      </w:r>
      <w:r w:rsidR="00651A0D">
        <w:rPr>
          <w:noProof/>
        </w:rPr>
        <w:t>12</w:t>
      </w:r>
      <w:r>
        <w:rPr>
          <w:noProof/>
        </w:rPr>
        <w:fldChar w:fldCharType="end"/>
      </w:r>
    </w:p>
    <w:p w14:paraId="61B2BC49" w14:textId="410AB72D" w:rsidR="00527C5F" w:rsidRDefault="00527C5F">
      <w:pPr>
        <w:pStyle w:val="TOC2"/>
        <w:rPr>
          <w:rFonts w:asciiTheme="minorHAnsi" w:eastAsiaTheme="minorEastAsia" w:hAnsiTheme="minorHAnsi" w:cstheme="minorBidi"/>
          <w:noProof/>
          <w:kern w:val="2"/>
          <w:sz w:val="24"/>
          <w14:ligatures w14:val="standardContextual"/>
        </w:rPr>
      </w:pPr>
      <w:r>
        <w:rPr>
          <w:noProof/>
        </w:rPr>
        <w:t>3.4</w:t>
      </w:r>
      <w:r>
        <w:rPr>
          <w:rFonts w:asciiTheme="minorHAnsi" w:eastAsiaTheme="minorEastAsia" w:hAnsiTheme="minorHAnsi" w:cstheme="minorBidi"/>
          <w:noProof/>
          <w:kern w:val="2"/>
          <w:sz w:val="24"/>
          <w14:ligatures w14:val="standardContextual"/>
        </w:rPr>
        <w:tab/>
      </w:r>
      <w:r>
        <w:rPr>
          <w:noProof/>
        </w:rPr>
        <w:t>Biosecurity risk material</w:t>
      </w:r>
      <w:r>
        <w:rPr>
          <w:noProof/>
        </w:rPr>
        <w:tab/>
      </w:r>
      <w:r>
        <w:rPr>
          <w:noProof/>
        </w:rPr>
        <w:fldChar w:fldCharType="begin"/>
      </w:r>
      <w:r>
        <w:rPr>
          <w:noProof/>
        </w:rPr>
        <w:instrText xml:space="preserve"> PAGEREF _Toc226796957 \h </w:instrText>
      </w:r>
      <w:r>
        <w:rPr>
          <w:noProof/>
        </w:rPr>
      </w:r>
      <w:r>
        <w:rPr>
          <w:noProof/>
        </w:rPr>
        <w:fldChar w:fldCharType="separate"/>
      </w:r>
      <w:r w:rsidR="00651A0D">
        <w:rPr>
          <w:noProof/>
        </w:rPr>
        <w:t>13</w:t>
      </w:r>
      <w:r>
        <w:rPr>
          <w:noProof/>
        </w:rPr>
        <w:fldChar w:fldCharType="end"/>
      </w:r>
    </w:p>
    <w:p w14:paraId="20EE2C64" w14:textId="5CC2B00F" w:rsidR="00527C5F" w:rsidRDefault="00527C5F">
      <w:pPr>
        <w:pStyle w:val="TOC3"/>
        <w:rPr>
          <w:rFonts w:asciiTheme="minorHAnsi" w:eastAsiaTheme="minorEastAsia" w:hAnsiTheme="minorHAnsi" w:cstheme="minorBidi"/>
          <w:noProof/>
          <w:kern w:val="2"/>
          <w:sz w:val="24"/>
          <w14:ligatures w14:val="standardContextual"/>
        </w:rPr>
      </w:pPr>
      <w:r>
        <w:rPr>
          <w:noProof/>
        </w:rPr>
        <w:t>3.4.1</w:t>
      </w:r>
      <w:r>
        <w:rPr>
          <w:rFonts w:asciiTheme="minorHAnsi" w:eastAsiaTheme="minorEastAsia" w:hAnsiTheme="minorHAnsi" w:cstheme="minorBidi"/>
          <w:noProof/>
          <w:kern w:val="2"/>
          <w:sz w:val="24"/>
          <w14:ligatures w14:val="standardContextual"/>
        </w:rPr>
        <w:tab/>
      </w:r>
      <w:r>
        <w:rPr>
          <w:noProof/>
        </w:rPr>
        <w:t>Target invertebrate species</w:t>
      </w:r>
      <w:r>
        <w:rPr>
          <w:noProof/>
        </w:rPr>
        <w:tab/>
      </w:r>
      <w:r>
        <w:rPr>
          <w:noProof/>
        </w:rPr>
        <w:fldChar w:fldCharType="begin"/>
      </w:r>
      <w:r>
        <w:rPr>
          <w:noProof/>
        </w:rPr>
        <w:instrText xml:space="preserve"> PAGEREF _Toc226796958 \h </w:instrText>
      </w:r>
      <w:r>
        <w:rPr>
          <w:noProof/>
        </w:rPr>
      </w:r>
      <w:r>
        <w:rPr>
          <w:noProof/>
        </w:rPr>
        <w:fldChar w:fldCharType="separate"/>
      </w:r>
      <w:r w:rsidR="00651A0D">
        <w:rPr>
          <w:noProof/>
        </w:rPr>
        <w:t>14</w:t>
      </w:r>
      <w:r>
        <w:rPr>
          <w:noProof/>
        </w:rPr>
        <w:fldChar w:fldCharType="end"/>
      </w:r>
    </w:p>
    <w:p w14:paraId="6C29B312" w14:textId="0DAEB237" w:rsidR="00527C5F" w:rsidRDefault="00527C5F">
      <w:pPr>
        <w:pStyle w:val="TOC3"/>
        <w:rPr>
          <w:rFonts w:asciiTheme="minorHAnsi" w:eastAsiaTheme="minorEastAsia" w:hAnsiTheme="minorHAnsi" w:cstheme="minorBidi"/>
          <w:noProof/>
          <w:kern w:val="2"/>
          <w:sz w:val="24"/>
          <w14:ligatures w14:val="standardContextual"/>
        </w:rPr>
      </w:pPr>
      <w:r>
        <w:rPr>
          <w:noProof/>
        </w:rPr>
        <w:t>3.4.2</w:t>
      </w:r>
      <w:r>
        <w:rPr>
          <w:rFonts w:asciiTheme="minorHAnsi" w:eastAsiaTheme="minorEastAsia" w:hAnsiTheme="minorHAnsi" w:cstheme="minorBidi"/>
          <w:noProof/>
          <w:kern w:val="2"/>
          <w:sz w:val="24"/>
          <w14:ligatures w14:val="standardContextual"/>
        </w:rPr>
        <w:tab/>
      </w:r>
      <w:r>
        <w:rPr>
          <w:noProof/>
        </w:rPr>
        <w:t>Factors that can impact biosecurity inspections</w:t>
      </w:r>
      <w:r>
        <w:rPr>
          <w:noProof/>
        </w:rPr>
        <w:tab/>
      </w:r>
      <w:r>
        <w:rPr>
          <w:noProof/>
        </w:rPr>
        <w:fldChar w:fldCharType="begin"/>
      </w:r>
      <w:r>
        <w:rPr>
          <w:noProof/>
        </w:rPr>
        <w:instrText xml:space="preserve"> PAGEREF _Toc226796959 \h </w:instrText>
      </w:r>
      <w:r>
        <w:rPr>
          <w:noProof/>
        </w:rPr>
      </w:r>
      <w:r>
        <w:rPr>
          <w:noProof/>
        </w:rPr>
        <w:fldChar w:fldCharType="separate"/>
      </w:r>
      <w:r w:rsidR="00651A0D">
        <w:rPr>
          <w:noProof/>
        </w:rPr>
        <w:t>15</w:t>
      </w:r>
      <w:r>
        <w:rPr>
          <w:noProof/>
        </w:rPr>
        <w:fldChar w:fldCharType="end"/>
      </w:r>
    </w:p>
    <w:p w14:paraId="16C7A2F7" w14:textId="123EF2C0" w:rsidR="00527C5F" w:rsidRDefault="00527C5F">
      <w:pPr>
        <w:pStyle w:val="TOC3"/>
        <w:rPr>
          <w:rFonts w:asciiTheme="minorHAnsi" w:eastAsiaTheme="minorEastAsia" w:hAnsiTheme="minorHAnsi" w:cstheme="minorBidi"/>
          <w:noProof/>
          <w:kern w:val="2"/>
          <w:sz w:val="24"/>
          <w14:ligatures w14:val="standardContextual"/>
        </w:rPr>
      </w:pPr>
      <w:r>
        <w:rPr>
          <w:noProof/>
        </w:rPr>
        <w:t>3.4.3</w:t>
      </w:r>
      <w:r>
        <w:rPr>
          <w:rFonts w:asciiTheme="minorHAnsi" w:eastAsiaTheme="minorEastAsia" w:hAnsiTheme="minorHAnsi" w:cstheme="minorBidi"/>
          <w:noProof/>
          <w:kern w:val="2"/>
          <w:sz w:val="24"/>
          <w14:ligatures w14:val="standardContextual"/>
        </w:rPr>
        <w:tab/>
      </w:r>
      <w:r>
        <w:rPr>
          <w:noProof/>
        </w:rPr>
        <w:t>Foot and mouth disease</w:t>
      </w:r>
      <w:r>
        <w:rPr>
          <w:noProof/>
        </w:rPr>
        <w:tab/>
      </w:r>
      <w:r>
        <w:rPr>
          <w:noProof/>
        </w:rPr>
        <w:fldChar w:fldCharType="begin"/>
      </w:r>
      <w:r>
        <w:rPr>
          <w:noProof/>
        </w:rPr>
        <w:instrText xml:space="preserve"> PAGEREF _Toc226796960 \h </w:instrText>
      </w:r>
      <w:r>
        <w:rPr>
          <w:noProof/>
        </w:rPr>
      </w:r>
      <w:r>
        <w:rPr>
          <w:noProof/>
        </w:rPr>
        <w:fldChar w:fldCharType="separate"/>
      </w:r>
      <w:r w:rsidR="00651A0D">
        <w:rPr>
          <w:noProof/>
        </w:rPr>
        <w:t>16</w:t>
      </w:r>
      <w:r>
        <w:rPr>
          <w:noProof/>
        </w:rPr>
        <w:fldChar w:fldCharType="end"/>
      </w:r>
    </w:p>
    <w:p w14:paraId="03C3A717" w14:textId="7AD694E1" w:rsidR="00527C5F" w:rsidRDefault="00527C5F">
      <w:pPr>
        <w:pStyle w:val="TOC3"/>
        <w:rPr>
          <w:rFonts w:asciiTheme="minorHAnsi" w:eastAsiaTheme="minorEastAsia" w:hAnsiTheme="minorHAnsi" w:cstheme="minorBidi"/>
          <w:noProof/>
          <w:kern w:val="2"/>
          <w:sz w:val="24"/>
          <w14:ligatures w14:val="standardContextual"/>
        </w:rPr>
      </w:pPr>
      <w:r>
        <w:rPr>
          <w:noProof/>
        </w:rPr>
        <w:t>3.4.4</w:t>
      </w:r>
      <w:r>
        <w:rPr>
          <w:rFonts w:asciiTheme="minorHAnsi" w:eastAsiaTheme="minorEastAsia" w:hAnsiTheme="minorHAnsi" w:cstheme="minorBidi"/>
          <w:noProof/>
          <w:kern w:val="2"/>
          <w:sz w:val="24"/>
          <w14:ligatures w14:val="standardContextual"/>
        </w:rPr>
        <w:tab/>
      </w:r>
      <w:r>
        <w:rPr>
          <w:noProof/>
        </w:rPr>
        <w:t>Lumpy skin disease</w:t>
      </w:r>
      <w:r>
        <w:rPr>
          <w:noProof/>
        </w:rPr>
        <w:tab/>
      </w:r>
      <w:r>
        <w:rPr>
          <w:noProof/>
        </w:rPr>
        <w:fldChar w:fldCharType="begin"/>
      </w:r>
      <w:r>
        <w:rPr>
          <w:noProof/>
        </w:rPr>
        <w:instrText xml:space="preserve"> PAGEREF _Toc226796961 \h </w:instrText>
      </w:r>
      <w:r>
        <w:rPr>
          <w:noProof/>
        </w:rPr>
      </w:r>
      <w:r>
        <w:rPr>
          <w:noProof/>
        </w:rPr>
        <w:fldChar w:fldCharType="separate"/>
      </w:r>
      <w:r w:rsidR="00651A0D">
        <w:rPr>
          <w:noProof/>
        </w:rPr>
        <w:t>18</w:t>
      </w:r>
      <w:r>
        <w:rPr>
          <w:noProof/>
        </w:rPr>
        <w:fldChar w:fldCharType="end"/>
      </w:r>
    </w:p>
    <w:p w14:paraId="03EDCA2B" w14:textId="352871AE" w:rsidR="00527C5F" w:rsidRDefault="00527C5F">
      <w:pPr>
        <w:pStyle w:val="TOC1"/>
        <w:rPr>
          <w:rFonts w:asciiTheme="minorHAnsi" w:eastAsiaTheme="minorEastAsia" w:hAnsiTheme="minorHAnsi" w:cstheme="minorBidi"/>
          <w:b w:val="0"/>
          <w:bCs w:val="0"/>
          <w:kern w:val="2"/>
          <w:sz w:val="24"/>
          <w14:ligatures w14:val="standardContextual"/>
        </w:rPr>
      </w:pPr>
      <w:r>
        <w:t>4</w:t>
      </w:r>
      <w:r>
        <w:rPr>
          <w:rFonts w:asciiTheme="minorHAnsi" w:eastAsiaTheme="minorEastAsia" w:hAnsiTheme="minorHAnsi" w:cstheme="minorBidi"/>
          <w:b w:val="0"/>
          <w:bCs w:val="0"/>
          <w:kern w:val="2"/>
          <w:sz w:val="24"/>
          <w14:ligatures w14:val="standardContextual"/>
        </w:rPr>
        <w:tab/>
      </w:r>
      <w:r>
        <w:t>Descriptive analysis</w:t>
      </w:r>
      <w:r>
        <w:tab/>
      </w:r>
      <w:r>
        <w:fldChar w:fldCharType="begin"/>
      </w:r>
      <w:r>
        <w:instrText xml:space="preserve"> PAGEREF _Toc226796962 \h </w:instrText>
      </w:r>
      <w:r>
        <w:fldChar w:fldCharType="separate"/>
      </w:r>
      <w:r w:rsidR="00651A0D">
        <w:t>19</w:t>
      </w:r>
      <w:r>
        <w:fldChar w:fldCharType="end"/>
      </w:r>
    </w:p>
    <w:p w14:paraId="5471788F" w14:textId="241352FA" w:rsidR="00527C5F" w:rsidRDefault="00527C5F">
      <w:pPr>
        <w:pStyle w:val="TOC2"/>
        <w:rPr>
          <w:rFonts w:asciiTheme="minorHAnsi" w:eastAsiaTheme="minorEastAsia" w:hAnsiTheme="minorHAnsi" w:cstheme="minorBidi"/>
          <w:noProof/>
          <w:kern w:val="2"/>
          <w:sz w:val="24"/>
          <w14:ligatures w14:val="standardContextual"/>
        </w:rPr>
      </w:pPr>
      <w:r>
        <w:rPr>
          <w:noProof/>
        </w:rPr>
        <w:t>4.1</w:t>
      </w:r>
      <w:r>
        <w:rPr>
          <w:rFonts w:asciiTheme="minorHAnsi" w:eastAsiaTheme="minorEastAsia" w:hAnsiTheme="minorHAnsi" w:cstheme="minorBidi"/>
          <w:noProof/>
          <w:kern w:val="2"/>
          <w:sz w:val="24"/>
          <w14:ligatures w14:val="standardContextual"/>
        </w:rPr>
        <w:tab/>
      </w:r>
      <w:r>
        <w:rPr>
          <w:noProof/>
        </w:rPr>
        <w:t>Vessel and arrival port analysis</w:t>
      </w:r>
      <w:r>
        <w:rPr>
          <w:noProof/>
        </w:rPr>
        <w:tab/>
      </w:r>
      <w:r>
        <w:rPr>
          <w:noProof/>
        </w:rPr>
        <w:fldChar w:fldCharType="begin"/>
      </w:r>
      <w:r>
        <w:rPr>
          <w:noProof/>
        </w:rPr>
        <w:instrText xml:space="preserve"> PAGEREF _Toc226796963 \h </w:instrText>
      </w:r>
      <w:r>
        <w:rPr>
          <w:noProof/>
        </w:rPr>
      </w:r>
      <w:r>
        <w:rPr>
          <w:noProof/>
        </w:rPr>
        <w:fldChar w:fldCharType="separate"/>
      </w:r>
      <w:r w:rsidR="00651A0D">
        <w:rPr>
          <w:noProof/>
        </w:rPr>
        <w:t>19</w:t>
      </w:r>
      <w:r>
        <w:rPr>
          <w:noProof/>
        </w:rPr>
        <w:fldChar w:fldCharType="end"/>
      </w:r>
    </w:p>
    <w:p w14:paraId="202AF4D8" w14:textId="3775E8EA" w:rsidR="00527C5F" w:rsidRDefault="00527C5F">
      <w:pPr>
        <w:pStyle w:val="TOC2"/>
        <w:rPr>
          <w:rFonts w:asciiTheme="minorHAnsi" w:eastAsiaTheme="minorEastAsia" w:hAnsiTheme="minorHAnsi" w:cstheme="minorBidi"/>
          <w:noProof/>
          <w:kern w:val="2"/>
          <w:sz w:val="24"/>
          <w14:ligatures w14:val="standardContextual"/>
        </w:rPr>
      </w:pPr>
      <w:r>
        <w:rPr>
          <w:noProof/>
        </w:rPr>
        <w:t>4.2</w:t>
      </w:r>
      <w:r>
        <w:rPr>
          <w:rFonts w:asciiTheme="minorHAnsi" w:eastAsiaTheme="minorEastAsia" w:hAnsiTheme="minorHAnsi" w:cstheme="minorBidi"/>
          <w:noProof/>
          <w:kern w:val="2"/>
          <w:sz w:val="24"/>
          <w14:ligatures w14:val="standardContextual"/>
        </w:rPr>
        <w:tab/>
      </w:r>
      <w:r>
        <w:rPr>
          <w:noProof/>
        </w:rPr>
        <w:t>Inspection and demerit analysis</w:t>
      </w:r>
      <w:r>
        <w:rPr>
          <w:noProof/>
        </w:rPr>
        <w:tab/>
      </w:r>
      <w:r>
        <w:rPr>
          <w:noProof/>
        </w:rPr>
        <w:fldChar w:fldCharType="begin"/>
      </w:r>
      <w:r>
        <w:rPr>
          <w:noProof/>
        </w:rPr>
        <w:instrText xml:space="preserve"> PAGEREF _Toc226796964 \h </w:instrText>
      </w:r>
      <w:r>
        <w:rPr>
          <w:noProof/>
        </w:rPr>
      </w:r>
      <w:r>
        <w:rPr>
          <w:noProof/>
        </w:rPr>
        <w:fldChar w:fldCharType="separate"/>
      </w:r>
      <w:r w:rsidR="00651A0D">
        <w:rPr>
          <w:noProof/>
        </w:rPr>
        <w:t>20</w:t>
      </w:r>
      <w:r>
        <w:rPr>
          <w:noProof/>
        </w:rPr>
        <w:fldChar w:fldCharType="end"/>
      </w:r>
    </w:p>
    <w:p w14:paraId="2AFFD5B7" w14:textId="47188CEB" w:rsidR="00527C5F" w:rsidRDefault="00527C5F">
      <w:pPr>
        <w:pStyle w:val="TOC2"/>
        <w:rPr>
          <w:rFonts w:asciiTheme="minorHAnsi" w:eastAsiaTheme="minorEastAsia" w:hAnsiTheme="minorHAnsi" w:cstheme="minorBidi"/>
          <w:noProof/>
          <w:kern w:val="2"/>
          <w:sz w:val="24"/>
          <w14:ligatures w14:val="standardContextual"/>
        </w:rPr>
      </w:pPr>
      <w:r>
        <w:rPr>
          <w:noProof/>
        </w:rPr>
        <w:t>4.3</w:t>
      </w:r>
      <w:r>
        <w:rPr>
          <w:rFonts w:asciiTheme="minorHAnsi" w:eastAsiaTheme="minorEastAsia" w:hAnsiTheme="minorHAnsi" w:cstheme="minorBidi"/>
          <w:noProof/>
          <w:kern w:val="2"/>
          <w:sz w:val="24"/>
          <w14:ligatures w14:val="standardContextual"/>
        </w:rPr>
        <w:tab/>
      </w:r>
      <w:r>
        <w:rPr>
          <w:noProof/>
        </w:rPr>
        <w:t>Livestock carrier vessels</w:t>
      </w:r>
      <w:r>
        <w:rPr>
          <w:noProof/>
        </w:rPr>
        <w:tab/>
      </w:r>
      <w:r>
        <w:rPr>
          <w:noProof/>
        </w:rPr>
        <w:fldChar w:fldCharType="begin"/>
      </w:r>
      <w:r>
        <w:rPr>
          <w:noProof/>
        </w:rPr>
        <w:instrText xml:space="preserve"> PAGEREF _Toc226796965 \h </w:instrText>
      </w:r>
      <w:r>
        <w:rPr>
          <w:noProof/>
        </w:rPr>
      </w:r>
      <w:r>
        <w:rPr>
          <w:noProof/>
        </w:rPr>
        <w:fldChar w:fldCharType="separate"/>
      </w:r>
      <w:r w:rsidR="00651A0D">
        <w:rPr>
          <w:noProof/>
        </w:rPr>
        <w:t>22</w:t>
      </w:r>
      <w:r>
        <w:rPr>
          <w:noProof/>
        </w:rPr>
        <w:fldChar w:fldCharType="end"/>
      </w:r>
    </w:p>
    <w:p w14:paraId="33B69FC1" w14:textId="056DAE60" w:rsidR="00527C5F" w:rsidRDefault="00527C5F">
      <w:pPr>
        <w:pStyle w:val="TOC2"/>
        <w:rPr>
          <w:rFonts w:asciiTheme="minorHAnsi" w:eastAsiaTheme="minorEastAsia" w:hAnsiTheme="minorHAnsi" w:cstheme="minorBidi"/>
          <w:noProof/>
          <w:kern w:val="2"/>
          <w:sz w:val="24"/>
          <w14:ligatures w14:val="standardContextual"/>
        </w:rPr>
      </w:pPr>
      <w:r>
        <w:rPr>
          <w:noProof/>
        </w:rPr>
        <w:t>4.4</w:t>
      </w:r>
      <w:r>
        <w:rPr>
          <w:rFonts w:asciiTheme="minorHAnsi" w:eastAsiaTheme="minorEastAsia" w:hAnsiTheme="minorHAnsi" w:cstheme="minorBidi"/>
          <w:noProof/>
          <w:kern w:val="2"/>
          <w:sz w:val="24"/>
          <w14:ligatures w14:val="standardContextual"/>
        </w:rPr>
        <w:tab/>
      </w:r>
      <w:r>
        <w:rPr>
          <w:noProof/>
        </w:rPr>
        <w:t>Departure ports</w:t>
      </w:r>
      <w:r>
        <w:rPr>
          <w:noProof/>
        </w:rPr>
        <w:tab/>
      </w:r>
      <w:r>
        <w:rPr>
          <w:noProof/>
        </w:rPr>
        <w:fldChar w:fldCharType="begin"/>
      </w:r>
      <w:r>
        <w:rPr>
          <w:noProof/>
        </w:rPr>
        <w:instrText xml:space="preserve"> PAGEREF _Toc226796966 \h </w:instrText>
      </w:r>
      <w:r>
        <w:rPr>
          <w:noProof/>
        </w:rPr>
      </w:r>
      <w:r>
        <w:rPr>
          <w:noProof/>
        </w:rPr>
        <w:fldChar w:fldCharType="separate"/>
      </w:r>
      <w:r w:rsidR="00651A0D">
        <w:rPr>
          <w:noProof/>
        </w:rPr>
        <w:t>25</w:t>
      </w:r>
      <w:r>
        <w:rPr>
          <w:noProof/>
        </w:rPr>
        <w:fldChar w:fldCharType="end"/>
      </w:r>
    </w:p>
    <w:p w14:paraId="001B7387" w14:textId="0A584CE2" w:rsidR="00527C5F" w:rsidRDefault="00527C5F">
      <w:pPr>
        <w:pStyle w:val="TOC1"/>
        <w:rPr>
          <w:rFonts w:asciiTheme="minorHAnsi" w:eastAsiaTheme="minorEastAsia" w:hAnsiTheme="minorHAnsi" w:cstheme="minorBidi"/>
          <w:b w:val="0"/>
          <w:bCs w:val="0"/>
          <w:kern w:val="2"/>
          <w:sz w:val="24"/>
          <w14:ligatures w14:val="standardContextual"/>
        </w:rPr>
      </w:pPr>
      <w:r>
        <w:t>5</w:t>
      </w:r>
      <w:r>
        <w:rPr>
          <w:rFonts w:asciiTheme="minorHAnsi" w:eastAsiaTheme="minorEastAsia" w:hAnsiTheme="minorHAnsi" w:cstheme="minorBidi"/>
          <w:b w:val="0"/>
          <w:bCs w:val="0"/>
          <w:kern w:val="2"/>
          <w:sz w:val="24"/>
          <w14:ligatures w14:val="standardContextual"/>
        </w:rPr>
        <w:tab/>
      </w:r>
      <w:r>
        <w:t>Vessel observations and data collection</w:t>
      </w:r>
      <w:r>
        <w:tab/>
      </w:r>
      <w:r>
        <w:fldChar w:fldCharType="begin"/>
      </w:r>
      <w:r>
        <w:instrText xml:space="preserve"> PAGEREF _Toc226796967 \h </w:instrText>
      </w:r>
      <w:r>
        <w:fldChar w:fldCharType="separate"/>
      </w:r>
      <w:r w:rsidR="00651A0D">
        <w:t>27</w:t>
      </w:r>
      <w:r>
        <w:fldChar w:fldCharType="end"/>
      </w:r>
    </w:p>
    <w:p w14:paraId="382BAF4D" w14:textId="6ADD7796" w:rsidR="00527C5F" w:rsidRDefault="00527C5F">
      <w:pPr>
        <w:pStyle w:val="TOC2"/>
        <w:rPr>
          <w:rFonts w:asciiTheme="minorHAnsi" w:eastAsiaTheme="minorEastAsia" w:hAnsiTheme="minorHAnsi" w:cstheme="minorBidi"/>
          <w:noProof/>
          <w:kern w:val="2"/>
          <w:sz w:val="24"/>
          <w14:ligatures w14:val="standardContextual"/>
        </w:rPr>
      </w:pPr>
      <w:r>
        <w:rPr>
          <w:noProof/>
        </w:rPr>
        <w:t>5.1</w:t>
      </w:r>
      <w:r>
        <w:rPr>
          <w:rFonts w:asciiTheme="minorHAnsi" w:eastAsiaTheme="minorEastAsia" w:hAnsiTheme="minorHAnsi" w:cstheme="minorBidi"/>
          <w:noProof/>
          <w:kern w:val="2"/>
          <w:sz w:val="24"/>
          <w14:ligatures w14:val="standardContextual"/>
        </w:rPr>
        <w:tab/>
      </w:r>
      <w:r>
        <w:rPr>
          <w:noProof/>
        </w:rPr>
        <w:t>Overview</w:t>
      </w:r>
      <w:r>
        <w:rPr>
          <w:noProof/>
        </w:rPr>
        <w:tab/>
      </w:r>
      <w:r>
        <w:rPr>
          <w:noProof/>
        </w:rPr>
        <w:fldChar w:fldCharType="begin"/>
      </w:r>
      <w:r>
        <w:rPr>
          <w:noProof/>
        </w:rPr>
        <w:instrText xml:space="preserve"> PAGEREF _Toc226796968 \h </w:instrText>
      </w:r>
      <w:r>
        <w:rPr>
          <w:noProof/>
        </w:rPr>
      </w:r>
      <w:r>
        <w:rPr>
          <w:noProof/>
        </w:rPr>
        <w:fldChar w:fldCharType="separate"/>
      </w:r>
      <w:r w:rsidR="00651A0D">
        <w:rPr>
          <w:noProof/>
        </w:rPr>
        <w:t>27</w:t>
      </w:r>
      <w:r>
        <w:rPr>
          <w:noProof/>
        </w:rPr>
        <w:fldChar w:fldCharType="end"/>
      </w:r>
    </w:p>
    <w:p w14:paraId="7EF0EBB8" w14:textId="6B2F5311" w:rsidR="00527C5F" w:rsidRDefault="00527C5F">
      <w:pPr>
        <w:pStyle w:val="TOC2"/>
        <w:rPr>
          <w:rFonts w:asciiTheme="minorHAnsi" w:eastAsiaTheme="minorEastAsia" w:hAnsiTheme="minorHAnsi" w:cstheme="minorBidi"/>
          <w:noProof/>
          <w:kern w:val="2"/>
          <w:sz w:val="24"/>
          <w14:ligatures w14:val="standardContextual"/>
        </w:rPr>
      </w:pPr>
      <w:r>
        <w:rPr>
          <w:noProof/>
        </w:rPr>
        <w:t>5.2</w:t>
      </w:r>
      <w:r>
        <w:rPr>
          <w:rFonts w:asciiTheme="minorHAnsi" w:eastAsiaTheme="minorEastAsia" w:hAnsiTheme="minorHAnsi" w:cstheme="minorBidi"/>
          <w:noProof/>
          <w:kern w:val="2"/>
          <w:sz w:val="24"/>
          <w14:ligatures w14:val="standardContextual"/>
        </w:rPr>
        <w:tab/>
      </w:r>
      <w:r>
        <w:rPr>
          <w:noProof/>
        </w:rPr>
        <w:t>Darwin</w:t>
      </w:r>
      <w:r>
        <w:rPr>
          <w:noProof/>
        </w:rPr>
        <w:tab/>
      </w:r>
      <w:r>
        <w:rPr>
          <w:noProof/>
        </w:rPr>
        <w:fldChar w:fldCharType="begin"/>
      </w:r>
      <w:r>
        <w:rPr>
          <w:noProof/>
        </w:rPr>
        <w:instrText xml:space="preserve"> PAGEREF _Toc226796969 \h </w:instrText>
      </w:r>
      <w:r>
        <w:rPr>
          <w:noProof/>
        </w:rPr>
      </w:r>
      <w:r>
        <w:rPr>
          <w:noProof/>
        </w:rPr>
        <w:fldChar w:fldCharType="separate"/>
      </w:r>
      <w:r w:rsidR="00651A0D">
        <w:rPr>
          <w:noProof/>
        </w:rPr>
        <w:t>27</w:t>
      </w:r>
      <w:r>
        <w:rPr>
          <w:noProof/>
        </w:rPr>
        <w:fldChar w:fldCharType="end"/>
      </w:r>
    </w:p>
    <w:p w14:paraId="7B8FFCC2" w14:textId="4115A326" w:rsidR="00527C5F" w:rsidRDefault="00527C5F">
      <w:pPr>
        <w:pStyle w:val="TOC3"/>
        <w:rPr>
          <w:rFonts w:asciiTheme="minorHAnsi" w:eastAsiaTheme="minorEastAsia" w:hAnsiTheme="minorHAnsi" w:cstheme="minorBidi"/>
          <w:noProof/>
          <w:kern w:val="2"/>
          <w:sz w:val="24"/>
          <w14:ligatures w14:val="standardContextual"/>
        </w:rPr>
      </w:pPr>
      <w:r w:rsidRPr="00E13DA8">
        <w:rPr>
          <w:rFonts w:eastAsia="Garamond"/>
          <w:noProof/>
        </w:rPr>
        <w:t>5.2.1</w:t>
      </w:r>
      <w:r>
        <w:rPr>
          <w:rFonts w:asciiTheme="minorHAnsi" w:eastAsiaTheme="minorEastAsia" w:hAnsiTheme="minorHAnsi" w:cstheme="minorBidi"/>
          <w:noProof/>
          <w:kern w:val="2"/>
          <w:sz w:val="24"/>
          <w14:ligatures w14:val="standardContextual"/>
        </w:rPr>
        <w:tab/>
      </w:r>
      <w:r w:rsidRPr="00E13DA8">
        <w:rPr>
          <w:rFonts w:eastAsia="Garamond"/>
          <w:noProof/>
        </w:rPr>
        <w:t>Inspection processes and tools</w:t>
      </w:r>
      <w:r>
        <w:rPr>
          <w:noProof/>
        </w:rPr>
        <w:tab/>
      </w:r>
      <w:r>
        <w:rPr>
          <w:noProof/>
        </w:rPr>
        <w:fldChar w:fldCharType="begin"/>
      </w:r>
      <w:r>
        <w:rPr>
          <w:noProof/>
        </w:rPr>
        <w:instrText xml:space="preserve"> PAGEREF _Toc226796970 \h </w:instrText>
      </w:r>
      <w:r>
        <w:rPr>
          <w:noProof/>
        </w:rPr>
      </w:r>
      <w:r>
        <w:rPr>
          <w:noProof/>
        </w:rPr>
        <w:fldChar w:fldCharType="separate"/>
      </w:r>
      <w:r w:rsidR="00651A0D">
        <w:rPr>
          <w:noProof/>
        </w:rPr>
        <w:t>27</w:t>
      </w:r>
      <w:r>
        <w:rPr>
          <w:noProof/>
        </w:rPr>
        <w:fldChar w:fldCharType="end"/>
      </w:r>
    </w:p>
    <w:p w14:paraId="5DE09589" w14:textId="5F850062" w:rsidR="00527C5F" w:rsidRDefault="00527C5F">
      <w:pPr>
        <w:pStyle w:val="TOC3"/>
        <w:rPr>
          <w:rFonts w:asciiTheme="minorHAnsi" w:eastAsiaTheme="minorEastAsia" w:hAnsiTheme="minorHAnsi" w:cstheme="minorBidi"/>
          <w:noProof/>
          <w:kern w:val="2"/>
          <w:sz w:val="24"/>
          <w14:ligatures w14:val="standardContextual"/>
        </w:rPr>
      </w:pPr>
      <w:r w:rsidRPr="00E13DA8">
        <w:rPr>
          <w:rFonts w:eastAsia="Garamond"/>
          <w:noProof/>
        </w:rPr>
        <w:lastRenderedPageBreak/>
        <w:t>5.2.2</w:t>
      </w:r>
      <w:r>
        <w:rPr>
          <w:rFonts w:asciiTheme="minorHAnsi" w:eastAsiaTheme="minorEastAsia" w:hAnsiTheme="minorHAnsi" w:cstheme="minorBidi"/>
          <w:noProof/>
          <w:kern w:val="2"/>
          <w:sz w:val="24"/>
          <w14:ligatures w14:val="standardContextual"/>
        </w:rPr>
        <w:tab/>
      </w:r>
      <w:r w:rsidRPr="00E13DA8">
        <w:rPr>
          <w:rFonts w:eastAsia="Garamond"/>
          <w:noProof/>
        </w:rPr>
        <w:t>Impact of lighting on inspection rigour</w:t>
      </w:r>
      <w:r>
        <w:rPr>
          <w:noProof/>
        </w:rPr>
        <w:tab/>
      </w:r>
      <w:r>
        <w:rPr>
          <w:noProof/>
        </w:rPr>
        <w:fldChar w:fldCharType="begin"/>
      </w:r>
      <w:r>
        <w:rPr>
          <w:noProof/>
        </w:rPr>
        <w:instrText xml:space="preserve"> PAGEREF _Toc226796971 \h </w:instrText>
      </w:r>
      <w:r>
        <w:rPr>
          <w:noProof/>
        </w:rPr>
      </w:r>
      <w:r>
        <w:rPr>
          <w:noProof/>
        </w:rPr>
        <w:fldChar w:fldCharType="separate"/>
      </w:r>
      <w:r w:rsidR="00651A0D">
        <w:rPr>
          <w:noProof/>
        </w:rPr>
        <w:t>28</w:t>
      </w:r>
      <w:r>
        <w:rPr>
          <w:noProof/>
        </w:rPr>
        <w:fldChar w:fldCharType="end"/>
      </w:r>
    </w:p>
    <w:p w14:paraId="0BD59ABD" w14:textId="3C2EF6B9" w:rsidR="00527C5F" w:rsidRDefault="00527C5F">
      <w:pPr>
        <w:pStyle w:val="TOC3"/>
        <w:rPr>
          <w:rFonts w:asciiTheme="minorHAnsi" w:eastAsiaTheme="minorEastAsia" w:hAnsiTheme="minorHAnsi" w:cstheme="minorBidi"/>
          <w:noProof/>
          <w:kern w:val="2"/>
          <w:sz w:val="24"/>
          <w14:ligatures w14:val="standardContextual"/>
        </w:rPr>
      </w:pPr>
      <w:r w:rsidRPr="00E13DA8">
        <w:rPr>
          <w:rFonts w:eastAsia="Garamond"/>
          <w:noProof/>
        </w:rPr>
        <w:t>5.2.3</w:t>
      </w:r>
      <w:r>
        <w:rPr>
          <w:rFonts w:asciiTheme="minorHAnsi" w:eastAsiaTheme="minorEastAsia" w:hAnsiTheme="minorHAnsi" w:cstheme="minorBidi"/>
          <w:noProof/>
          <w:kern w:val="2"/>
          <w:sz w:val="24"/>
          <w14:ligatures w14:val="standardContextual"/>
        </w:rPr>
        <w:tab/>
      </w:r>
      <w:r w:rsidRPr="00E13DA8">
        <w:rPr>
          <w:rFonts w:eastAsia="Garamond"/>
          <w:noProof/>
        </w:rPr>
        <w:t>Biosecurity risks</w:t>
      </w:r>
      <w:r>
        <w:rPr>
          <w:noProof/>
        </w:rPr>
        <w:tab/>
      </w:r>
      <w:r>
        <w:rPr>
          <w:noProof/>
        </w:rPr>
        <w:fldChar w:fldCharType="begin"/>
      </w:r>
      <w:r>
        <w:rPr>
          <w:noProof/>
        </w:rPr>
        <w:instrText xml:space="preserve"> PAGEREF _Toc226796972 \h </w:instrText>
      </w:r>
      <w:r>
        <w:rPr>
          <w:noProof/>
        </w:rPr>
      </w:r>
      <w:r>
        <w:rPr>
          <w:noProof/>
        </w:rPr>
        <w:fldChar w:fldCharType="separate"/>
      </w:r>
      <w:r w:rsidR="00651A0D">
        <w:rPr>
          <w:noProof/>
        </w:rPr>
        <w:t>28</w:t>
      </w:r>
      <w:r>
        <w:rPr>
          <w:noProof/>
        </w:rPr>
        <w:fldChar w:fldCharType="end"/>
      </w:r>
    </w:p>
    <w:p w14:paraId="1C9E02B4" w14:textId="72638A53" w:rsidR="00527C5F" w:rsidRDefault="00527C5F">
      <w:pPr>
        <w:pStyle w:val="TOC2"/>
        <w:rPr>
          <w:rFonts w:asciiTheme="minorHAnsi" w:eastAsiaTheme="minorEastAsia" w:hAnsiTheme="minorHAnsi" w:cstheme="minorBidi"/>
          <w:noProof/>
          <w:kern w:val="2"/>
          <w:sz w:val="24"/>
          <w14:ligatures w14:val="standardContextual"/>
        </w:rPr>
      </w:pPr>
      <w:r>
        <w:rPr>
          <w:noProof/>
        </w:rPr>
        <w:t>5.3</w:t>
      </w:r>
      <w:r>
        <w:rPr>
          <w:rFonts w:asciiTheme="minorHAnsi" w:eastAsiaTheme="minorEastAsia" w:hAnsiTheme="minorHAnsi" w:cstheme="minorBidi"/>
          <w:noProof/>
          <w:kern w:val="2"/>
          <w:sz w:val="24"/>
          <w14:ligatures w14:val="standardContextual"/>
        </w:rPr>
        <w:tab/>
      </w:r>
      <w:r>
        <w:rPr>
          <w:noProof/>
        </w:rPr>
        <w:t>Fremantle</w:t>
      </w:r>
      <w:r>
        <w:rPr>
          <w:noProof/>
        </w:rPr>
        <w:tab/>
      </w:r>
      <w:r>
        <w:rPr>
          <w:noProof/>
        </w:rPr>
        <w:fldChar w:fldCharType="begin"/>
      </w:r>
      <w:r>
        <w:rPr>
          <w:noProof/>
        </w:rPr>
        <w:instrText xml:space="preserve"> PAGEREF _Toc226796973 \h </w:instrText>
      </w:r>
      <w:r>
        <w:rPr>
          <w:noProof/>
        </w:rPr>
      </w:r>
      <w:r>
        <w:rPr>
          <w:noProof/>
        </w:rPr>
        <w:fldChar w:fldCharType="separate"/>
      </w:r>
      <w:r w:rsidR="00651A0D">
        <w:rPr>
          <w:noProof/>
        </w:rPr>
        <w:t>28</w:t>
      </w:r>
      <w:r>
        <w:rPr>
          <w:noProof/>
        </w:rPr>
        <w:fldChar w:fldCharType="end"/>
      </w:r>
    </w:p>
    <w:p w14:paraId="74DA7626" w14:textId="7CEA7FD6" w:rsidR="00527C5F" w:rsidRDefault="00527C5F">
      <w:pPr>
        <w:pStyle w:val="TOC3"/>
        <w:rPr>
          <w:rFonts w:asciiTheme="minorHAnsi" w:eastAsiaTheme="minorEastAsia" w:hAnsiTheme="minorHAnsi" w:cstheme="minorBidi"/>
          <w:noProof/>
          <w:kern w:val="2"/>
          <w:sz w:val="24"/>
          <w14:ligatures w14:val="standardContextual"/>
        </w:rPr>
      </w:pPr>
      <w:r w:rsidRPr="00E13DA8">
        <w:rPr>
          <w:rFonts w:eastAsia="Garamond"/>
          <w:noProof/>
        </w:rPr>
        <w:t>5.3.1</w:t>
      </w:r>
      <w:r>
        <w:rPr>
          <w:rFonts w:asciiTheme="minorHAnsi" w:eastAsiaTheme="minorEastAsia" w:hAnsiTheme="minorHAnsi" w:cstheme="minorBidi"/>
          <w:noProof/>
          <w:kern w:val="2"/>
          <w:sz w:val="24"/>
          <w14:ligatures w14:val="standardContextual"/>
        </w:rPr>
        <w:tab/>
      </w:r>
      <w:r w:rsidRPr="00E13DA8">
        <w:rPr>
          <w:rFonts w:eastAsia="Garamond"/>
          <w:noProof/>
        </w:rPr>
        <w:t>Inspection processes and tools</w:t>
      </w:r>
      <w:r>
        <w:rPr>
          <w:noProof/>
        </w:rPr>
        <w:tab/>
      </w:r>
      <w:r>
        <w:rPr>
          <w:noProof/>
        </w:rPr>
        <w:fldChar w:fldCharType="begin"/>
      </w:r>
      <w:r>
        <w:rPr>
          <w:noProof/>
        </w:rPr>
        <w:instrText xml:space="preserve"> PAGEREF _Toc226796974 \h </w:instrText>
      </w:r>
      <w:r>
        <w:rPr>
          <w:noProof/>
        </w:rPr>
      </w:r>
      <w:r>
        <w:rPr>
          <w:noProof/>
        </w:rPr>
        <w:fldChar w:fldCharType="separate"/>
      </w:r>
      <w:r w:rsidR="00651A0D">
        <w:rPr>
          <w:noProof/>
        </w:rPr>
        <w:t>28</w:t>
      </w:r>
      <w:r>
        <w:rPr>
          <w:noProof/>
        </w:rPr>
        <w:fldChar w:fldCharType="end"/>
      </w:r>
    </w:p>
    <w:p w14:paraId="7BF389EF" w14:textId="2024F798" w:rsidR="00527C5F" w:rsidRDefault="00527C5F">
      <w:pPr>
        <w:pStyle w:val="TOC3"/>
        <w:rPr>
          <w:rFonts w:asciiTheme="minorHAnsi" w:eastAsiaTheme="minorEastAsia" w:hAnsiTheme="minorHAnsi" w:cstheme="minorBidi"/>
          <w:noProof/>
          <w:kern w:val="2"/>
          <w:sz w:val="24"/>
          <w14:ligatures w14:val="standardContextual"/>
        </w:rPr>
      </w:pPr>
      <w:r w:rsidRPr="00E13DA8">
        <w:rPr>
          <w:rFonts w:eastAsia="Garamond"/>
          <w:noProof/>
        </w:rPr>
        <w:t>5.3.2</w:t>
      </w:r>
      <w:r>
        <w:rPr>
          <w:rFonts w:asciiTheme="minorHAnsi" w:eastAsiaTheme="minorEastAsia" w:hAnsiTheme="minorHAnsi" w:cstheme="minorBidi"/>
          <w:noProof/>
          <w:kern w:val="2"/>
          <w:sz w:val="24"/>
          <w14:ligatures w14:val="standardContextual"/>
        </w:rPr>
        <w:tab/>
      </w:r>
      <w:r w:rsidRPr="00E13DA8">
        <w:rPr>
          <w:rFonts w:eastAsia="Garamond"/>
          <w:noProof/>
        </w:rPr>
        <w:t>Impact of lighting on inspection rigour</w:t>
      </w:r>
      <w:r>
        <w:rPr>
          <w:noProof/>
        </w:rPr>
        <w:tab/>
      </w:r>
      <w:r>
        <w:rPr>
          <w:noProof/>
        </w:rPr>
        <w:fldChar w:fldCharType="begin"/>
      </w:r>
      <w:r>
        <w:rPr>
          <w:noProof/>
        </w:rPr>
        <w:instrText xml:space="preserve"> PAGEREF _Toc226796975 \h </w:instrText>
      </w:r>
      <w:r>
        <w:rPr>
          <w:noProof/>
        </w:rPr>
      </w:r>
      <w:r>
        <w:rPr>
          <w:noProof/>
        </w:rPr>
        <w:fldChar w:fldCharType="separate"/>
      </w:r>
      <w:r w:rsidR="00651A0D">
        <w:rPr>
          <w:noProof/>
        </w:rPr>
        <w:t>29</w:t>
      </w:r>
      <w:r>
        <w:rPr>
          <w:noProof/>
        </w:rPr>
        <w:fldChar w:fldCharType="end"/>
      </w:r>
    </w:p>
    <w:p w14:paraId="48FF98E0" w14:textId="0E1FC177" w:rsidR="00527C5F" w:rsidRDefault="00527C5F">
      <w:pPr>
        <w:pStyle w:val="TOC3"/>
        <w:rPr>
          <w:rFonts w:asciiTheme="minorHAnsi" w:eastAsiaTheme="minorEastAsia" w:hAnsiTheme="minorHAnsi" w:cstheme="minorBidi"/>
          <w:noProof/>
          <w:kern w:val="2"/>
          <w:sz w:val="24"/>
          <w14:ligatures w14:val="standardContextual"/>
        </w:rPr>
      </w:pPr>
      <w:r w:rsidRPr="00E13DA8">
        <w:rPr>
          <w:rFonts w:eastAsia="Garamond"/>
          <w:noProof/>
        </w:rPr>
        <w:t>5.3.3</w:t>
      </w:r>
      <w:r>
        <w:rPr>
          <w:rFonts w:asciiTheme="minorHAnsi" w:eastAsiaTheme="minorEastAsia" w:hAnsiTheme="minorHAnsi" w:cstheme="minorBidi"/>
          <w:noProof/>
          <w:kern w:val="2"/>
          <w:sz w:val="24"/>
          <w14:ligatures w14:val="standardContextual"/>
        </w:rPr>
        <w:tab/>
      </w:r>
      <w:r w:rsidRPr="00E13DA8">
        <w:rPr>
          <w:rFonts w:eastAsia="Garamond"/>
          <w:noProof/>
        </w:rPr>
        <w:t>Biosecurity risks</w:t>
      </w:r>
      <w:r>
        <w:rPr>
          <w:noProof/>
        </w:rPr>
        <w:tab/>
      </w:r>
      <w:r>
        <w:rPr>
          <w:noProof/>
        </w:rPr>
        <w:fldChar w:fldCharType="begin"/>
      </w:r>
      <w:r>
        <w:rPr>
          <w:noProof/>
        </w:rPr>
        <w:instrText xml:space="preserve"> PAGEREF _Toc226796976 \h </w:instrText>
      </w:r>
      <w:r>
        <w:rPr>
          <w:noProof/>
        </w:rPr>
      </w:r>
      <w:r>
        <w:rPr>
          <w:noProof/>
        </w:rPr>
        <w:fldChar w:fldCharType="separate"/>
      </w:r>
      <w:r w:rsidR="00651A0D">
        <w:rPr>
          <w:noProof/>
        </w:rPr>
        <w:t>29</w:t>
      </w:r>
      <w:r>
        <w:rPr>
          <w:noProof/>
        </w:rPr>
        <w:fldChar w:fldCharType="end"/>
      </w:r>
    </w:p>
    <w:p w14:paraId="10989761" w14:textId="05DAB6EB" w:rsidR="00527C5F" w:rsidRDefault="00527C5F">
      <w:pPr>
        <w:pStyle w:val="TOC1"/>
        <w:rPr>
          <w:rFonts w:asciiTheme="minorHAnsi" w:eastAsiaTheme="minorEastAsia" w:hAnsiTheme="minorHAnsi" w:cstheme="minorBidi"/>
          <w:b w:val="0"/>
          <w:bCs w:val="0"/>
          <w:kern w:val="2"/>
          <w:sz w:val="24"/>
          <w14:ligatures w14:val="standardContextual"/>
        </w:rPr>
      </w:pPr>
      <w:r>
        <w:t>6</w:t>
      </w:r>
      <w:r>
        <w:rPr>
          <w:rFonts w:asciiTheme="minorHAnsi" w:eastAsiaTheme="minorEastAsia" w:hAnsiTheme="minorHAnsi" w:cstheme="minorBidi"/>
          <w:b w:val="0"/>
          <w:bCs w:val="0"/>
          <w:kern w:val="2"/>
          <w:sz w:val="24"/>
          <w14:ligatures w14:val="standardContextual"/>
        </w:rPr>
        <w:tab/>
      </w:r>
      <w:r>
        <w:t>Discussion</w:t>
      </w:r>
      <w:r>
        <w:tab/>
      </w:r>
      <w:r>
        <w:fldChar w:fldCharType="begin"/>
      </w:r>
      <w:r>
        <w:instrText xml:space="preserve"> PAGEREF _Toc226796977 \h </w:instrText>
      </w:r>
      <w:r>
        <w:fldChar w:fldCharType="separate"/>
      </w:r>
      <w:r w:rsidR="00651A0D">
        <w:t>33</w:t>
      </w:r>
      <w:r>
        <w:fldChar w:fldCharType="end"/>
      </w:r>
    </w:p>
    <w:p w14:paraId="48F41B16" w14:textId="75E0A20D" w:rsidR="00527C5F" w:rsidRDefault="00527C5F">
      <w:pPr>
        <w:pStyle w:val="TOC2"/>
        <w:rPr>
          <w:rFonts w:asciiTheme="minorHAnsi" w:eastAsiaTheme="minorEastAsia" w:hAnsiTheme="minorHAnsi" w:cstheme="minorBidi"/>
          <w:noProof/>
          <w:kern w:val="2"/>
          <w:sz w:val="24"/>
          <w14:ligatures w14:val="standardContextual"/>
        </w:rPr>
      </w:pPr>
      <w:r>
        <w:rPr>
          <w:noProof/>
        </w:rPr>
        <w:t>6.1</w:t>
      </w:r>
      <w:r>
        <w:rPr>
          <w:rFonts w:asciiTheme="minorHAnsi" w:eastAsiaTheme="minorEastAsia" w:hAnsiTheme="minorHAnsi" w:cstheme="minorBidi"/>
          <w:noProof/>
          <w:kern w:val="2"/>
          <w:sz w:val="24"/>
          <w14:ligatures w14:val="standardContextual"/>
        </w:rPr>
        <w:tab/>
      </w:r>
      <w:r>
        <w:rPr>
          <w:noProof/>
        </w:rPr>
        <w:t>Key findings</w:t>
      </w:r>
      <w:r>
        <w:rPr>
          <w:noProof/>
        </w:rPr>
        <w:tab/>
      </w:r>
      <w:r>
        <w:rPr>
          <w:noProof/>
        </w:rPr>
        <w:fldChar w:fldCharType="begin"/>
      </w:r>
      <w:r>
        <w:rPr>
          <w:noProof/>
        </w:rPr>
        <w:instrText xml:space="preserve"> PAGEREF _Toc226796978 \h </w:instrText>
      </w:r>
      <w:r>
        <w:rPr>
          <w:noProof/>
        </w:rPr>
      </w:r>
      <w:r>
        <w:rPr>
          <w:noProof/>
        </w:rPr>
        <w:fldChar w:fldCharType="separate"/>
      </w:r>
      <w:r w:rsidR="00651A0D">
        <w:rPr>
          <w:noProof/>
        </w:rPr>
        <w:t>33</w:t>
      </w:r>
      <w:r>
        <w:rPr>
          <w:noProof/>
        </w:rPr>
        <w:fldChar w:fldCharType="end"/>
      </w:r>
    </w:p>
    <w:p w14:paraId="57BFF355" w14:textId="66CEDC85" w:rsidR="00527C5F" w:rsidRDefault="00527C5F">
      <w:pPr>
        <w:pStyle w:val="TOC2"/>
        <w:rPr>
          <w:rFonts w:asciiTheme="minorHAnsi" w:eastAsiaTheme="minorEastAsia" w:hAnsiTheme="minorHAnsi" w:cstheme="minorBidi"/>
          <w:noProof/>
          <w:kern w:val="2"/>
          <w:sz w:val="24"/>
          <w14:ligatures w14:val="standardContextual"/>
        </w:rPr>
      </w:pPr>
      <w:r>
        <w:rPr>
          <w:noProof/>
        </w:rPr>
        <w:t>6.2</w:t>
      </w:r>
      <w:r>
        <w:rPr>
          <w:rFonts w:asciiTheme="minorHAnsi" w:eastAsiaTheme="minorEastAsia" w:hAnsiTheme="minorHAnsi" w:cstheme="minorBidi"/>
          <w:noProof/>
          <w:kern w:val="2"/>
          <w:sz w:val="24"/>
          <w14:ligatures w14:val="standardContextual"/>
        </w:rPr>
        <w:tab/>
      </w:r>
      <w:r>
        <w:rPr>
          <w:noProof/>
        </w:rPr>
        <w:t>Knowledge gaps</w:t>
      </w:r>
      <w:r>
        <w:rPr>
          <w:noProof/>
        </w:rPr>
        <w:tab/>
      </w:r>
      <w:r>
        <w:rPr>
          <w:noProof/>
        </w:rPr>
        <w:fldChar w:fldCharType="begin"/>
      </w:r>
      <w:r>
        <w:rPr>
          <w:noProof/>
        </w:rPr>
        <w:instrText xml:space="preserve"> PAGEREF _Toc226796979 \h </w:instrText>
      </w:r>
      <w:r>
        <w:rPr>
          <w:noProof/>
        </w:rPr>
      </w:r>
      <w:r>
        <w:rPr>
          <w:noProof/>
        </w:rPr>
        <w:fldChar w:fldCharType="separate"/>
      </w:r>
      <w:r w:rsidR="00651A0D">
        <w:rPr>
          <w:noProof/>
        </w:rPr>
        <w:t>34</w:t>
      </w:r>
      <w:r>
        <w:rPr>
          <w:noProof/>
        </w:rPr>
        <w:fldChar w:fldCharType="end"/>
      </w:r>
    </w:p>
    <w:p w14:paraId="79E6E3A2" w14:textId="6C116B34" w:rsidR="00527C5F" w:rsidRDefault="00527C5F">
      <w:pPr>
        <w:pStyle w:val="TOC3"/>
        <w:rPr>
          <w:rFonts w:asciiTheme="minorHAnsi" w:eastAsiaTheme="minorEastAsia" w:hAnsiTheme="minorHAnsi" w:cstheme="minorBidi"/>
          <w:noProof/>
          <w:kern w:val="2"/>
          <w:sz w:val="24"/>
          <w14:ligatures w14:val="standardContextual"/>
        </w:rPr>
      </w:pPr>
      <w:r>
        <w:rPr>
          <w:noProof/>
        </w:rPr>
        <w:t>6.2.1</w:t>
      </w:r>
      <w:r>
        <w:rPr>
          <w:rFonts w:asciiTheme="minorHAnsi" w:eastAsiaTheme="minorEastAsia" w:hAnsiTheme="minorHAnsi" w:cstheme="minorBidi"/>
          <w:noProof/>
          <w:kern w:val="2"/>
          <w:sz w:val="24"/>
          <w14:ligatures w14:val="standardContextual"/>
        </w:rPr>
        <w:tab/>
      </w:r>
      <w:r>
        <w:rPr>
          <w:noProof/>
        </w:rPr>
        <w:t>Lighting requirements</w:t>
      </w:r>
      <w:r>
        <w:rPr>
          <w:noProof/>
        </w:rPr>
        <w:tab/>
      </w:r>
      <w:r>
        <w:rPr>
          <w:noProof/>
        </w:rPr>
        <w:fldChar w:fldCharType="begin"/>
      </w:r>
      <w:r>
        <w:rPr>
          <w:noProof/>
        </w:rPr>
        <w:instrText xml:space="preserve"> PAGEREF _Toc226796980 \h </w:instrText>
      </w:r>
      <w:r>
        <w:rPr>
          <w:noProof/>
        </w:rPr>
      </w:r>
      <w:r>
        <w:rPr>
          <w:noProof/>
        </w:rPr>
        <w:fldChar w:fldCharType="separate"/>
      </w:r>
      <w:r w:rsidR="00651A0D">
        <w:rPr>
          <w:noProof/>
        </w:rPr>
        <w:t>34</w:t>
      </w:r>
      <w:r>
        <w:rPr>
          <w:noProof/>
        </w:rPr>
        <w:fldChar w:fldCharType="end"/>
      </w:r>
    </w:p>
    <w:p w14:paraId="29B7C34D" w14:textId="120D50A9" w:rsidR="00527C5F" w:rsidRDefault="00527C5F">
      <w:pPr>
        <w:pStyle w:val="TOC3"/>
        <w:rPr>
          <w:rFonts w:asciiTheme="minorHAnsi" w:eastAsiaTheme="minorEastAsia" w:hAnsiTheme="minorHAnsi" w:cstheme="minorBidi"/>
          <w:noProof/>
          <w:kern w:val="2"/>
          <w:sz w:val="24"/>
          <w14:ligatures w14:val="standardContextual"/>
        </w:rPr>
      </w:pPr>
      <w:r>
        <w:rPr>
          <w:noProof/>
        </w:rPr>
        <w:t>6.2.2</w:t>
      </w:r>
      <w:r>
        <w:rPr>
          <w:rFonts w:asciiTheme="minorHAnsi" w:eastAsiaTheme="minorEastAsia" w:hAnsiTheme="minorHAnsi" w:cstheme="minorBidi"/>
          <w:noProof/>
          <w:kern w:val="2"/>
          <w:sz w:val="24"/>
          <w14:ligatures w14:val="standardContextual"/>
        </w:rPr>
        <w:tab/>
      </w:r>
      <w:r>
        <w:rPr>
          <w:noProof/>
        </w:rPr>
        <w:t>Invertebrate biology and detection</w:t>
      </w:r>
      <w:r>
        <w:rPr>
          <w:noProof/>
        </w:rPr>
        <w:tab/>
      </w:r>
      <w:r>
        <w:rPr>
          <w:noProof/>
        </w:rPr>
        <w:fldChar w:fldCharType="begin"/>
      </w:r>
      <w:r>
        <w:rPr>
          <w:noProof/>
        </w:rPr>
        <w:instrText xml:space="preserve"> PAGEREF _Toc226796981 \h </w:instrText>
      </w:r>
      <w:r>
        <w:rPr>
          <w:noProof/>
        </w:rPr>
      </w:r>
      <w:r>
        <w:rPr>
          <w:noProof/>
        </w:rPr>
        <w:fldChar w:fldCharType="separate"/>
      </w:r>
      <w:r w:rsidR="00651A0D">
        <w:rPr>
          <w:noProof/>
        </w:rPr>
        <w:t>34</w:t>
      </w:r>
      <w:r>
        <w:rPr>
          <w:noProof/>
        </w:rPr>
        <w:fldChar w:fldCharType="end"/>
      </w:r>
    </w:p>
    <w:p w14:paraId="09CC27C9" w14:textId="5079D73F" w:rsidR="00527C5F" w:rsidRDefault="00527C5F">
      <w:pPr>
        <w:pStyle w:val="TOC3"/>
        <w:rPr>
          <w:rFonts w:asciiTheme="minorHAnsi" w:eastAsiaTheme="minorEastAsia" w:hAnsiTheme="minorHAnsi" w:cstheme="minorBidi"/>
          <w:noProof/>
          <w:kern w:val="2"/>
          <w:sz w:val="24"/>
          <w14:ligatures w14:val="standardContextual"/>
        </w:rPr>
      </w:pPr>
      <w:r>
        <w:rPr>
          <w:noProof/>
        </w:rPr>
        <w:t>6.2.3</w:t>
      </w:r>
      <w:r>
        <w:rPr>
          <w:rFonts w:asciiTheme="minorHAnsi" w:eastAsiaTheme="minorEastAsia" w:hAnsiTheme="minorHAnsi" w:cstheme="minorBidi"/>
          <w:noProof/>
          <w:kern w:val="2"/>
          <w:sz w:val="24"/>
          <w14:ligatures w14:val="standardContextual"/>
        </w:rPr>
        <w:tab/>
      </w:r>
      <w:r>
        <w:rPr>
          <w:noProof/>
        </w:rPr>
        <w:t>Foot and mouth disease virus viability in tropical/maritime climates</w:t>
      </w:r>
      <w:r>
        <w:rPr>
          <w:noProof/>
        </w:rPr>
        <w:tab/>
      </w:r>
      <w:r>
        <w:rPr>
          <w:noProof/>
        </w:rPr>
        <w:fldChar w:fldCharType="begin"/>
      </w:r>
      <w:r>
        <w:rPr>
          <w:noProof/>
        </w:rPr>
        <w:instrText xml:space="preserve"> PAGEREF _Toc226796982 \h </w:instrText>
      </w:r>
      <w:r>
        <w:rPr>
          <w:noProof/>
        </w:rPr>
      </w:r>
      <w:r>
        <w:rPr>
          <w:noProof/>
        </w:rPr>
        <w:fldChar w:fldCharType="separate"/>
      </w:r>
      <w:r w:rsidR="00651A0D">
        <w:rPr>
          <w:noProof/>
        </w:rPr>
        <w:t>34</w:t>
      </w:r>
      <w:r>
        <w:rPr>
          <w:noProof/>
        </w:rPr>
        <w:fldChar w:fldCharType="end"/>
      </w:r>
    </w:p>
    <w:p w14:paraId="781EF014" w14:textId="50D2BD83" w:rsidR="00527C5F" w:rsidRDefault="00527C5F">
      <w:pPr>
        <w:pStyle w:val="TOC3"/>
        <w:rPr>
          <w:rFonts w:asciiTheme="minorHAnsi" w:eastAsiaTheme="minorEastAsia" w:hAnsiTheme="minorHAnsi" w:cstheme="minorBidi"/>
          <w:noProof/>
          <w:kern w:val="2"/>
          <w:sz w:val="24"/>
          <w14:ligatures w14:val="standardContextual"/>
        </w:rPr>
      </w:pPr>
      <w:r>
        <w:rPr>
          <w:noProof/>
        </w:rPr>
        <w:t>6.2.4</w:t>
      </w:r>
      <w:r>
        <w:rPr>
          <w:rFonts w:asciiTheme="minorHAnsi" w:eastAsiaTheme="minorEastAsia" w:hAnsiTheme="minorHAnsi" w:cstheme="minorBidi"/>
          <w:noProof/>
          <w:kern w:val="2"/>
          <w:sz w:val="24"/>
          <w14:ligatures w14:val="standardContextual"/>
        </w:rPr>
        <w:tab/>
      </w:r>
      <w:r>
        <w:rPr>
          <w:noProof/>
        </w:rPr>
        <w:t>Vessel port history and other data parameters</w:t>
      </w:r>
      <w:r>
        <w:rPr>
          <w:noProof/>
        </w:rPr>
        <w:tab/>
      </w:r>
      <w:r>
        <w:rPr>
          <w:noProof/>
        </w:rPr>
        <w:fldChar w:fldCharType="begin"/>
      </w:r>
      <w:r>
        <w:rPr>
          <w:noProof/>
        </w:rPr>
        <w:instrText xml:space="preserve"> PAGEREF _Toc226796983 \h </w:instrText>
      </w:r>
      <w:r>
        <w:rPr>
          <w:noProof/>
        </w:rPr>
      </w:r>
      <w:r>
        <w:rPr>
          <w:noProof/>
        </w:rPr>
        <w:fldChar w:fldCharType="separate"/>
      </w:r>
      <w:r w:rsidR="00651A0D">
        <w:rPr>
          <w:noProof/>
        </w:rPr>
        <w:t>35</w:t>
      </w:r>
      <w:r>
        <w:rPr>
          <w:noProof/>
        </w:rPr>
        <w:fldChar w:fldCharType="end"/>
      </w:r>
    </w:p>
    <w:p w14:paraId="55ED39F5" w14:textId="58EE81D1" w:rsidR="00527C5F" w:rsidRDefault="00527C5F">
      <w:pPr>
        <w:pStyle w:val="TOC2"/>
        <w:rPr>
          <w:rFonts w:asciiTheme="minorHAnsi" w:eastAsiaTheme="minorEastAsia" w:hAnsiTheme="minorHAnsi" w:cstheme="minorBidi"/>
          <w:noProof/>
          <w:kern w:val="2"/>
          <w:sz w:val="24"/>
          <w14:ligatures w14:val="standardContextual"/>
        </w:rPr>
      </w:pPr>
      <w:r>
        <w:rPr>
          <w:noProof/>
        </w:rPr>
        <w:t>6.3</w:t>
      </w:r>
      <w:r>
        <w:rPr>
          <w:rFonts w:asciiTheme="minorHAnsi" w:eastAsiaTheme="minorEastAsia" w:hAnsiTheme="minorHAnsi" w:cstheme="minorBidi"/>
          <w:noProof/>
          <w:kern w:val="2"/>
          <w:sz w:val="24"/>
          <w14:ligatures w14:val="standardContextual"/>
        </w:rPr>
        <w:tab/>
      </w:r>
      <w:r>
        <w:rPr>
          <w:noProof/>
        </w:rPr>
        <w:t>Recommendations</w:t>
      </w:r>
      <w:r>
        <w:rPr>
          <w:noProof/>
        </w:rPr>
        <w:tab/>
      </w:r>
      <w:r>
        <w:rPr>
          <w:noProof/>
        </w:rPr>
        <w:fldChar w:fldCharType="begin"/>
      </w:r>
      <w:r>
        <w:rPr>
          <w:noProof/>
        </w:rPr>
        <w:instrText xml:space="preserve"> PAGEREF _Toc226796984 \h </w:instrText>
      </w:r>
      <w:r>
        <w:rPr>
          <w:noProof/>
        </w:rPr>
      </w:r>
      <w:r>
        <w:rPr>
          <w:noProof/>
        </w:rPr>
        <w:fldChar w:fldCharType="separate"/>
      </w:r>
      <w:r w:rsidR="00651A0D">
        <w:rPr>
          <w:noProof/>
        </w:rPr>
        <w:t>35</w:t>
      </w:r>
      <w:r>
        <w:rPr>
          <w:noProof/>
        </w:rPr>
        <w:fldChar w:fldCharType="end"/>
      </w:r>
    </w:p>
    <w:p w14:paraId="08D54E3D" w14:textId="3353F3A1" w:rsidR="00527C5F" w:rsidRDefault="00527C5F">
      <w:pPr>
        <w:pStyle w:val="TOC3"/>
        <w:rPr>
          <w:rFonts w:asciiTheme="minorHAnsi" w:eastAsiaTheme="minorEastAsia" w:hAnsiTheme="minorHAnsi" w:cstheme="minorBidi"/>
          <w:noProof/>
          <w:kern w:val="2"/>
          <w:sz w:val="24"/>
          <w14:ligatures w14:val="standardContextual"/>
        </w:rPr>
      </w:pPr>
      <w:r>
        <w:rPr>
          <w:noProof/>
          <w:lang w:eastAsia="en-US"/>
        </w:rPr>
        <w:t>6.3.1</w:t>
      </w:r>
      <w:r>
        <w:rPr>
          <w:rFonts w:asciiTheme="minorHAnsi" w:eastAsiaTheme="minorEastAsia" w:hAnsiTheme="minorHAnsi" w:cstheme="minorBidi"/>
          <w:noProof/>
          <w:kern w:val="2"/>
          <w:sz w:val="24"/>
          <w14:ligatures w14:val="standardContextual"/>
        </w:rPr>
        <w:tab/>
      </w:r>
      <w:r>
        <w:rPr>
          <w:noProof/>
          <w:lang w:eastAsia="en-US"/>
        </w:rPr>
        <w:t>Comprehensive data capture and vessel risk profiling</w:t>
      </w:r>
      <w:r>
        <w:rPr>
          <w:noProof/>
        </w:rPr>
        <w:tab/>
      </w:r>
      <w:r>
        <w:rPr>
          <w:noProof/>
        </w:rPr>
        <w:fldChar w:fldCharType="begin"/>
      </w:r>
      <w:r>
        <w:rPr>
          <w:noProof/>
        </w:rPr>
        <w:instrText xml:space="preserve"> PAGEREF _Toc226796985 \h </w:instrText>
      </w:r>
      <w:r>
        <w:rPr>
          <w:noProof/>
        </w:rPr>
      </w:r>
      <w:r>
        <w:rPr>
          <w:noProof/>
        </w:rPr>
        <w:fldChar w:fldCharType="separate"/>
      </w:r>
      <w:r w:rsidR="00651A0D">
        <w:rPr>
          <w:noProof/>
        </w:rPr>
        <w:t>35</w:t>
      </w:r>
      <w:r>
        <w:rPr>
          <w:noProof/>
        </w:rPr>
        <w:fldChar w:fldCharType="end"/>
      </w:r>
    </w:p>
    <w:p w14:paraId="7A2732A7" w14:textId="093FC1D4" w:rsidR="00527C5F" w:rsidRDefault="00527C5F">
      <w:pPr>
        <w:pStyle w:val="TOC3"/>
        <w:rPr>
          <w:rFonts w:asciiTheme="minorHAnsi" w:eastAsiaTheme="minorEastAsia" w:hAnsiTheme="minorHAnsi" w:cstheme="minorBidi"/>
          <w:noProof/>
          <w:kern w:val="2"/>
          <w:sz w:val="24"/>
          <w14:ligatures w14:val="standardContextual"/>
        </w:rPr>
      </w:pPr>
      <w:r>
        <w:rPr>
          <w:noProof/>
          <w:lang w:eastAsia="en-US"/>
        </w:rPr>
        <w:t>6.3.2</w:t>
      </w:r>
      <w:r>
        <w:rPr>
          <w:rFonts w:asciiTheme="minorHAnsi" w:eastAsiaTheme="minorEastAsia" w:hAnsiTheme="minorHAnsi" w:cstheme="minorBidi"/>
          <w:noProof/>
          <w:kern w:val="2"/>
          <w:sz w:val="24"/>
          <w14:ligatures w14:val="standardContextual"/>
        </w:rPr>
        <w:tab/>
      </w:r>
      <w:r>
        <w:rPr>
          <w:noProof/>
          <w:lang w:eastAsia="en-US"/>
        </w:rPr>
        <w:t>Implementation of a standardised demerit system</w:t>
      </w:r>
      <w:r>
        <w:rPr>
          <w:noProof/>
        </w:rPr>
        <w:tab/>
      </w:r>
      <w:r>
        <w:rPr>
          <w:noProof/>
        </w:rPr>
        <w:fldChar w:fldCharType="begin"/>
      </w:r>
      <w:r>
        <w:rPr>
          <w:noProof/>
        </w:rPr>
        <w:instrText xml:space="preserve"> PAGEREF _Toc226796986 \h </w:instrText>
      </w:r>
      <w:r>
        <w:rPr>
          <w:noProof/>
        </w:rPr>
      </w:r>
      <w:r>
        <w:rPr>
          <w:noProof/>
        </w:rPr>
        <w:fldChar w:fldCharType="separate"/>
      </w:r>
      <w:r w:rsidR="00651A0D">
        <w:rPr>
          <w:noProof/>
        </w:rPr>
        <w:t>35</w:t>
      </w:r>
      <w:r>
        <w:rPr>
          <w:noProof/>
        </w:rPr>
        <w:fldChar w:fldCharType="end"/>
      </w:r>
    </w:p>
    <w:p w14:paraId="4CCF2F39" w14:textId="68C24783" w:rsidR="00527C5F" w:rsidRDefault="00527C5F">
      <w:pPr>
        <w:pStyle w:val="TOC3"/>
        <w:rPr>
          <w:rFonts w:asciiTheme="minorHAnsi" w:eastAsiaTheme="minorEastAsia" w:hAnsiTheme="minorHAnsi" w:cstheme="minorBidi"/>
          <w:noProof/>
          <w:kern w:val="2"/>
          <w:sz w:val="24"/>
          <w14:ligatures w14:val="standardContextual"/>
        </w:rPr>
      </w:pPr>
      <w:r w:rsidRPr="00E13DA8">
        <w:rPr>
          <w:rFonts w:eastAsia="Garamond"/>
          <w:noProof/>
        </w:rPr>
        <w:t>6.3.3</w:t>
      </w:r>
      <w:r>
        <w:rPr>
          <w:rFonts w:asciiTheme="minorHAnsi" w:eastAsiaTheme="minorEastAsia" w:hAnsiTheme="minorHAnsi" w:cstheme="minorBidi"/>
          <w:noProof/>
          <w:kern w:val="2"/>
          <w:sz w:val="24"/>
          <w14:ligatures w14:val="standardContextual"/>
        </w:rPr>
        <w:tab/>
      </w:r>
      <w:r w:rsidRPr="00E13DA8">
        <w:rPr>
          <w:rFonts w:eastAsia="Garamond"/>
          <w:noProof/>
        </w:rPr>
        <w:t>Lighting optimisation and management of inspector fatigue</w:t>
      </w:r>
      <w:r>
        <w:rPr>
          <w:noProof/>
        </w:rPr>
        <w:tab/>
      </w:r>
      <w:r>
        <w:rPr>
          <w:noProof/>
        </w:rPr>
        <w:fldChar w:fldCharType="begin"/>
      </w:r>
      <w:r>
        <w:rPr>
          <w:noProof/>
        </w:rPr>
        <w:instrText xml:space="preserve"> PAGEREF _Toc226796987 \h </w:instrText>
      </w:r>
      <w:r>
        <w:rPr>
          <w:noProof/>
        </w:rPr>
      </w:r>
      <w:r>
        <w:rPr>
          <w:noProof/>
        </w:rPr>
        <w:fldChar w:fldCharType="separate"/>
      </w:r>
      <w:r w:rsidR="00651A0D">
        <w:rPr>
          <w:noProof/>
        </w:rPr>
        <w:t>36</w:t>
      </w:r>
      <w:r>
        <w:rPr>
          <w:noProof/>
        </w:rPr>
        <w:fldChar w:fldCharType="end"/>
      </w:r>
    </w:p>
    <w:p w14:paraId="43536F9B" w14:textId="718AEB56" w:rsidR="00527C5F" w:rsidRDefault="00527C5F">
      <w:pPr>
        <w:pStyle w:val="TOC3"/>
        <w:rPr>
          <w:rFonts w:asciiTheme="minorHAnsi" w:eastAsiaTheme="minorEastAsia" w:hAnsiTheme="minorHAnsi" w:cstheme="minorBidi"/>
          <w:noProof/>
          <w:kern w:val="2"/>
          <w:sz w:val="24"/>
          <w14:ligatures w14:val="standardContextual"/>
        </w:rPr>
      </w:pPr>
      <w:r>
        <w:rPr>
          <w:noProof/>
          <w:lang w:eastAsia="en-US"/>
        </w:rPr>
        <w:t>6.3.4</w:t>
      </w:r>
      <w:r>
        <w:rPr>
          <w:rFonts w:asciiTheme="minorHAnsi" w:eastAsiaTheme="minorEastAsia" w:hAnsiTheme="minorHAnsi" w:cstheme="minorBidi"/>
          <w:noProof/>
          <w:kern w:val="2"/>
          <w:sz w:val="24"/>
          <w14:ligatures w14:val="standardContextual"/>
        </w:rPr>
        <w:tab/>
      </w:r>
      <w:r>
        <w:rPr>
          <w:noProof/>
          <w:lang w:eastAsia="en-US"/>
        </w:rPr>
        <w:t>Comparative trial of daytime and night-time inspections</w:t>
      </w:r>
      <w:r>
        <w:rPr>
          <w:noProof/>
        </w:rPr>
        <w:tab/>
      </w:r>
      <w:r>
        <w:rPr>
          <w:noProof/>
        </w:rPr>
        <w:fldChar w:fldCharType="begin"/>
      </w:r>
      <w:r>
        <w:rPr>
          <w:noProof/>
        </w:rPr>
        <w:instrText xml:space="preserve"> PAGEREF _Toc226796988 \h </w:instrText>
      </w:r>
      <w:r>
        <w:rPr>
          <w:noProof/>
        </w:rPr>
      </w:r>
      <w:r>
        <w:rPr>
          <w:noProof/>
        </w:rPr>
        <w:fldChar w:fldCharType="separate"/>
      </w:r>
      <w:r w:rsidR="00651A0D">
        <w:rPr>
          <w:noProof/>
        </w:rPr>
        <w:t>36</w:t>
      </w:r>
      <w:r>
        <w:rPr>
          <w:noProof/>
        </w:rPr>
        <w:fldChar w:fldCharType="end"/>
      </w:r>
    </w:p>
    <w:p w14:paraId="72ED553D" w14:textId="52A4139C" w:rsidR="00527C5F" w:rsidRDefault="00527C5F">
      <w:pPr>
        <w:pStyle w:val="TOC1"/>
        <w:rPr>
          <w:rFonts w:asciiTheme="minorHAnsi" w:eastAsiaTheme="minorEastAsia" w:hAnsiTheme="minorHAnsi" w:cstheme="minorBidi"/>
          <w:b w:val="0"/>
          <w:bCs w:val="0"/>
          <w:kern w:val="2"/>
          <w:sz w:val="24"/>
          <w14:ligatures w14:val="standardContextual"/>
        </w:rPr>
      </w:pPr>
      <w:r>
        <w:t>7</w:t>
      </w:r>
      <w:r>
        <w:rPr>
          <w:rFonts w:asciiTheme="minorHAnsi" w:eastAsiaTheme="minorEastAsia" w:hAnsiTheme="minorHAnsi" w:cstheme="minorBidi"/>
          <w:b w:val="0"/>
          <w:bCs w:val="0"/>
          <w:kern w:val="2"/>
          <w:sz w:val="24"/>
          <w14:ligatures w14:val="standardContextual"/>
        </w:rPr>
        <w:tab/>
      </w:r>
      <w:r>
        <w:t>Decision support tool</w:t>
      </w:r>
      <w:r>
        <w:tab/>
      </w:r>
      <w:r>
        <w:fldChar w:fldCharType="begin"/>
      </w:r>
      <w:r>
        <w:instrText xml:space="preserve"> PAGEREF _Toc226796989 \h </w:instrText>
      </w:r>
      <w:r>
        <w:fldChar w:fldCharType="separate"/>
      </w:r>
      <w:r w:rsidR="00651A0D">
        <w:t>37</w:t>
      </w:r>
      <w:r>
        <w:fldChar w:fldCharType="end"/>
      </w:r>
    </w:p>
    <w:p w14:paraId="15EBED63" w14:textId="0860C00B" w:rsidR="00527C5F" w:rsidRDefault="00527C5F">
      <w:pPr>
        <w:pStyle w:val="TOC1"/>
        <w:rPr>
          <w:rFonts w:asciiTheme="minorHAnsi" w:eastAsiaTheme="minorEastAsia" w:hAnsiTheme="minorHAnsi" w:cstheme="minorBidi"/>
          <w:b w:val="0"/>
          <w:bCs w:val="0"/>
          <w:kern w:val="2"/>
          <w:sz w:val="24"/>
          <w14:ligatures w14:val="standardContextual"/>
        </w:rPr>
      </w:pPr>
      <w:r>
        <w:t>8</w:t>
      </w:r>
      <w:r>
        <w:rPr>
          <w:rFonts w:asciiTheme="minorHAnsi" w:eastAsiaTheme="minorEastAsia" w:hAnsiTheme="minorHAnsi" w:cstheme="minorBidi"/>
          <w:b w:val="0"/>
          <w:bCs w:val="0"/>
          <w:kern w:val="2"/>
          <w:sz w:val="24"/>
          <w14:ligatures w14:val="standardContextual"/>
        </w:rPr>
        <w:tab/>
      </w:r>
      <w:r>
        <w:t>Conclusion</w:t>
      </w:r>
      <w:r>
        <w:tab/>
      </w:r>
      <w:r>
        <w:fldChar w:fldCharType="begin"/>
      </w:r>
      <w:r>
        <w:instrText xml:space="preserve"> PAGEREF _Toc226796990 \h </w:instrText>
      </w:r>
      <w:r>
        <w:fldChar w:fldCharType="separate"/>
      </w:r>
      <w:r w:rsidR="00651A0D">
        <w:t>41</w:t>
      </w:r>
      <w:r>
        <w:fldChar w:fldCharType="end"/>
      </w:r>
    </w:p>
    <w:p w14:paraId="16FEBBEB" w14:textId="52CC026C" w:rsidR="00527C5F" w:rsidRDefault="00527C5F">
      <w:pPr>
        <w:pStyle w:val="TOC1"/>
        <w:rPr>
          <w:rFonts w:asciiTheme="minorHAnsi" w:eastAsiaTheme="minorEastAsia" w:hAnsiTheme="minorHAnsi" w:cstheme="minorBidi"/>
          <w:b w:val="0"/>
          <w:bCs w:val="0"/>
          <w:kern w:val="2"/>
          <w:sz w:val="24"/>
          <w14:ligatures w14:val="standardContextual"/>
        </w:rPr>
      </w:pPr>
      <w:r>
        <w:t xml:space="preserve">9 </w:t>
      </w:r>
      <w:r>
        <w:rPr>
          <w:rFonts w:asciiTheme="minorHAnsi" w:eastAsiaTheme="minorEastAsia" w:hAnsiTheme="minorHAnsi" w:cstheme="minorBidi"/>
          <w:b w:val="0"/>
          <w:bCs w:val="0"/>
          <w:kern w:val="2"/>
          <w:sz w:val="24"/>
          <w14:ligatures w14:val="standardContextual"/>
        </w:rPr>
        <w:tab/>
      </w:r>
      <w:r>
        <w:t>References</w:t>
      </w:r>
      <w:r>
        <w:tab/>
      </w:r>
      <w:r>
        <w:fldChar w:fldCharType="begin"/>
      </w:r>
      <w:r>
        <w:instrText xml:space="preserve"> PAGEREF _Toc226796991 \h </w:instrText>
      </w:r>
      <w:r>
        <w:fldChar w:fldCharType="separate"/>
      </w:r>
      <w:r w:rsidR="00651A0D">
        <w:t>42</w:t>
      </w:r>
      <w:r>
        <w:fldChar w:fldCharType="end"/>
      </w:r>
    </w:p>
    <w:p w14:paraId="6720B50D" w14:textId="457BEEC0" w:rsidR="00D20FD9" w:rsidRPr="00A1505E" w:rsidRDefault="00BD346C" w:rsidP="00A1505E">
      <w:r w:rsidRPr="00A1505E">
        <w:fldChar w:fldCharType="end"/>
      </w:r>
    </w:p>
    <w:p w14:paraId="6CCE98E0" w14:textId="77777777" w:rsidR="00D20FD9" w:rsidRPr="00A1505E" w:rsidRDefault="0048295D" w:rsidP="003807D5">
      <w:pPr>
        <w:pStyle w:val="Heading3a"/>
      </w:pPr>
      <w:r w:rsidRPr="00A1505E">
        <w:t>Tables</w:t>
      </w:r>
    </w:p>
    <w:p w14:paraId="0B7DD113" w14:textId="790CCEC1" w:rsidR="006D0AF7" w:rsidRDefault="00355810">
      <w:pPr>
        <w:pStyle w:val="TableofFigures"/>
        <w:ind w:left="990" w:hanging="990"/>
        <w:rPr>
          <w:rFonts w:asciiTheme="minorHAnsi" w:eastAsiaTheme="minorEastAsia" w:hAnsiTheme="minorHAnsi" w:cstheme="minorBidi"/>
          <w:noProof/>
          <w:kern w:val="2"/>
          <w:sz w:val="24"/>
          <w14:ligatures w14:val="standardContextual"/>
        </w:rPr>
      </w:pPr>
      <w:r w:rsidRPr="00A1505E">
        <w:fldChar w:fldCharType="begin"/>
      </w:r>
      <w:r w:rsidRPr="00A1505E">
        <w:instrText xml:space="preserve"> TOC \c "Table" </w:instrText>
      </w:r>
      <w:r w:rsidRPr="00A1505E">
        <w:fldChar w:fldCharType="separate"/>
      </w:r>
      <w:r w:rsidR="006D0AF7">
        <w:rPr>
          <w:noProof/>
        </w:rPr>
        <w:t>Table 1</w:t>
      </w:r>
      <w:r w:rsidR="006D0AF7">
        <w:rPr>
          <w:rFonts w:asciiTheme="minorHAnsi" w:eastAsiaTheme="minorEastAsia" w:hAnsiTheme="minorHAnsi" w:cstheme="minorBidi"/>
          <w:noProof/>
          <w:kern w:val="2"/>
          <w:sz w:val="24"/>
          <w14:ligatures w14:val="standardContextual"/>
        </w:rPr>
        <w:tab/>
      </w:r>
      <w:r w:rsidR="006D0AF7">
        <w:rPr>
          <w:noProof/>
        </w:rPr>
        <w:t>Livestock carrier vessels observed at Darwin and Fremantle ports.</w:t>
      </w:r>
      <w:r w:rsidR="006D0AF7">
        <w:rPr>
          <w:noProof/>
        </w:rPr>
        <w:tab/>
      </w:r>
      <w:r w:rsidR="006D0AF7">
        <w:rPr>
          <w:noProof/>
        </w:rPr>
        <w:fldChar w:fldCharType="begin"/>
      </w:r>
      <w:r w:rsidR="006D0AF7">
        <w:rPr>
          <w:noProof/>
        </w:rPr>
        <w:instrText xml:space="preserve"> PAGEREF _Toc226794704 \h </w:instrText>
      </w:r>
      <w:r w:rsidR="006D0AF7">
        <w:rPr>
          <w:noProof/>
        </w:rPr>
      </w:r>
      <w:r w:rsidR="006D0AF7">
        <w:rPr>
          <w:noProof/>
        </w:rPr>
        <w:fldChar w:fldCharType="separate"/>
      </w:r>
      <w:r w:rsidR="00651A0D">
        <w:rPr>
          <w:noProof/>
        </w:rPr>
        <w:t>4</w:t>
      </w:r>
      <w:r w:rsidR="006D0AF7">
        <w:rPr>
          <w:noProof/>
        </w:rPr>
        <w:fldChar w:fldCharType="end"/>
      </w:r>
    </w:p>
    <w:p w14:paraId="74CA8A16" w14:textId="61B383DD" w:rsidR="006D0AF7" w:rsidRDefault="006D0AF7">
      <w:pPr>
        <w:pStyle w:val="TableofFigures"/>
        <w:ind w:left="990" w:hanging="990"/>
        <w:rPr>
          <w:rFonts w:asciiTheme="minorHAnsi" w:eastAsiaTheme="minorEastAsia" w:hAnsiTheme="minorHAnsi" w:cstheme="minorBidi"/>
          <w:noProof/>
          <w:kern w:val="2"/>
          <w:sz w:val="24"/>
          <w14:ligatures w14:val="standardContextual"/>
        </w:rPr>
      </w:pPr>
      <w:r>
        <w:rPr>
          <w:noProof/>
        </w:rPr>
        <w:t>Table 2</w:t>
      </w:r>
      <w:r>
        <w:rPr>
          <w:rFonts w:asciiTheme="minorHAnsi" w:eastAsiaTheme="minorEastAsia" w:hAnsiTheme="minorHAnsi" w:cstheme="minorBidi"/>
          <w:noProof/>
          <w:kern w:val="2"/>
          <w:sz w:val="24"/>
          <w14:ligatures w14:val="standardContextual"/>
        </w:rPr>
        <w:tab/>
      </w:r>
      <w:r>
        <w:rPr>
          <w:noProof/>
        </w:rPr>
        <w:t>Survivability of FMDV on soil, straw and hay.</w:t>
      </w:r>
      <w:r>
        <w:rPr>
          <w:noProof/>
        </w:rPr>
        <w:tab/>
      </w:r>
      <w:r>
        <w:rPr>
          <w:noProof/>
        </w:rPr>
        <w:fldChar w:fldCharType="begin"/>
      </w:r>
      <w:r>
        <w:rPr>
          <w:noProof/>
        </w:rPr>
        <w:instrText xml:space="preserve"> PAGEREF _Toc226794705 \h </w:instrText>
      </w:r>
      <w:r>
        <w:rPr>
          <w:noProof/>
        </w:rPr>
      </w:r>
      <w:r>
        <w:rPr>
          <w:noProof/>
        </w:rPr>
        <w:fldChar w:fldCharType="separate"/>
      </w:r>
      <w:r w:rsidR="00651A0D">
        <w:rPr>
          <w:noProof/>
        </w:rPr>
        <w:t>17</w:t>
      </w:r>
      <w:r>
        <w:rPr>
          <w:noProof/>
        </w:rPr>
        <w:fldChar w:fldCharType="end"/>
      </w:r>
    </w:p>
    <w:p w14:paraId="19205313" w14:textId="4A4E7880" w:rsidR="006D0AF7" w:rsidRDefault="006D0AF7">
      <w:pPr>
        <w:pStyle w:val="TableofFigures"/>
        <w:ind w:left="990" w:hanging="990"/>
        <w:rPr>
          <w:rFonts w:asciiTheme="minorHAnsi" w:eastAsiaTheme="minorEastAsia" w:hAnsiTheme="minorHAnsi" w:cstheme="minorBidi"/>
          <w:noProof/>
          <w:kern w:val="2"/>
          <w:sz w:val="24"/>
          <w14:ligatures w14:val="standardContextual"/>
        </w:rPr>
      </w:pPr>
      <w:r>
        <w:rPr>
          <w:noProof/>
        </w:rPr>
        <w:t>Table 3</w:t>
      </w:r>
      <w:r>
        <w:rPr>
          <w:rFonts w:asciiTheme="minorHAnsi" w:eastAsiaTheme="minorEastAsia" w:hAnsiTheme="minorHAnsi" w:cstheme="minorBidi"/>
          <w:noProof/>
          <w:kern w:val="2"/>
          <w:sz w:val="24"/>
          <w14:ligatures w14:val="standardContextual"/>
        </w:rPr>
        <w:tab/>
      </w:r>
      <w:r>
        <w:rPr>
          <w:noProof/>
        </w:rPr>
        <w:t>Survivability of FMDV on fomites.</w:t>
      </w:r>
      <w:r>
        <w:rPr>
          <w:noProof/>
        </w:rPr>
        <w:tab/>
      </w:r>
      <w:r>
        <w:rPr>
          <w:noProof/>
        </w:rPr>
        <w:fldChar w:fldCharType="begin"/>
      </w:r>
      <w:r>
        <w:rPr>
          <w:noProof/>
        </w:rPr>
        <w:instrText xml:space="preserve"> PAGEREF _Toc226794706 \h </w:instrText>
      </w:r>
      <w:r>
        <w:rPr>
          <w:noProof/>
        </w:rPr>
      </w:r>
      <w:r>
        <w:rPr>
          <w:noProof/>
        </w:rPr>
        <w:fldChar w:fldCharType="separate"/>
      </w:r>
      <w:r w:rsidR="00651A0D">
        <w:rPr>
          <w:noProof/>
        </w:rPr>
        <w:t>18</w:t>
      </w:r>
      <w:r>
        <w:rPr>
          <w:noProof/>
        </w:rPr>
        <w:fldChar w:fldCharType="end"/>
      </w:r>
    </w:p>
    <w:p w14:paraId="081FB4BB" w14:textId="0668AC8A" w:rsidR="006D0AF7" w:rsidRDefault="006D0AF7">
      <w:pPr>
        <w:pStyle w:val="TableofFigures"/>
        <w:ind w:left="990" w:hanging="990"/>
        <w:rPr>
          <w:rFonts w:asciiTheme="minorHAnsi" w:eastAsiaTheme="minorEastAsia" w:hAnsiTheme="minorHAnsi" w:cstheme="minorBidi"/>
          <w:noProof/>
          <w:kern w:val="2"/>
          <w:sz w:val="24"/>
          <w14:ligatures w14:val="standardContextual"/>
        </w:rPr>
      </w:pPr>
      <w:r>
        <w:rPr>
          <w:noProof/>
        </w:rPr>
        <w:t>Table 4</w:t>
      </w:r>
      <w:r>
        <w:rPr>
          <w:rFonts w:asciiTheme="minorHAnsi" w:eastAsiaTheme="minorEastAsia" w:hAnsiTheme="minorHAnsi" w:cstheme="minorBidi"/>
          <w:noProof/>
          <w:kern w:val="2"/>
          <w:sz w:val="24"/>
          <w14:ligatures w14:val="standardContextual"/>
        </w:rPr>
        <w:tab/>
      </w:r>
      <w:r>
        <w:rPr>
          <w:noProof/>
        </w:rPr>
        <w:t>Total number of demerits due to ‘Livestock’ non-compliance (total number of demerits across all categories / total number of arrivals into Australia), categorised by vessel and year.</w:t>
      </w:r>
      <w:r>
        <w:rPr>
          <w:noProof/>
        </w:rPr>
        <w:tab/>
      </w:r>
      <w:r>
        <w:rPr>
          <w:noProof/>
        </w:rPr>
        <w:fldChar w:fldCharType="begin"/>
      </w:r>
      <w:r>
        <w:rPr>
          <w:noProof/>
        </w:rPr>
        <w:instrText xml:space="preserve"> PAGEREF _Toc226794707 \h </w:instrText>
      </w:r>
      <w:r>
        <w:rPr>
          <w:noProof/>
        </w:rPr>
      </w:r>
      <w:r>
        <w:rPr>
          <w:noProof/>
        </w:rPr>
        <w:fldChar w:fldCharType="separate"/>
      </w:r>
      <w:r w:rsidR="00651A0D">
        <w:rPr>
          <w:noProof/>
        </w:rPr>
        <w:t>24</w:t>
      </w:r>
      <w:r>
        <w:rPr>
          <w:noProof/>
        </w:rPr>
        <w:fldChar w:fldCharType="end"/>
      </w:r>
    </w:p>
    <w:p w14:paraId="43651F95" w14:textId="0C5A0C6B" w:rsidR="006D0AF7" w:rsidRDefault="006D0AF7">
      <w:pPr>
        <w:pStyle w:val="TableofFigures"/>
        <w:ind w:left="990" w:hanging="990"/>
        <w:rPr>
          <w:rFonts w:asciiTheme="minorHAnsi" w:eastAsiaTheme="minorEastAsia" w:hAnsiTheme="minorHAnsi" w:cstheme="minorBidi"/>
          <w:noProof/>
          <w:kern w:val="2"/>
          <w:sz w:val="24"/>
          <w14:ligatures w14:val="standardContextual"/>
        </w:rPr>
      </w:pPr>
      <w:r>
        <w:rPr>
          <w:noProof/>
        </w:rPr>
        <w:t>Table 5</w:t>
      </w:r>
      <w:r>
        <w:rPr>
          <w:rFonts w:asciiTheme="minorHAnsi" w:eastAsiaTheme="minorEastAsia" w:hAnsiTheme="minorHAnsi" w:cstheme="minorBidi"/>
          <w:noProof/>
          <w:kern w:val="2"/>
          <w:sz w:val="24"/>
          <w14:ligatures w14:val="standardContextual"/>
        </w:rPr>
        <w:tab/>
      </w:r>
      <w:r>
        <w:rPr>
          <w:noProof/>
        </w:rPr>
        <w:t>Light measurements (lux) taken on vessels berthed in Darwin during daylight and night-time.</w:t>
      </w:r>
      <w:r>
        <w:rPr>
          <w:noProof/>
        </w:rPr>
        <w:tab/>
      </w:r>
      <w:r>
        <w:rPr>
          <w:noProof/>
        </w:rPr>
        <w:fldChar w:fldCharType="begin"/>
      </w:r>
      <w:r>
        <w:rPr>
          <w:noProof/>
        </w:rPr>
        <w:instrText xml:space="preserve"> PAGEREF _Toc226794708 \h </w:instrText>
      </w:r>
      <w:r>
        <w:rPr>
          <w:noProof/>
        </w:rPr>
      </w:r>
      <w:r>
        <w:rPr>
          <w:noProof/>
        </w:rPr>
        <w:fldChar w:fldCharType="separate"/>
      </w:r>
      <w:r w:rsidR="00651A0D">
        <w:rPr>
          <w:noProof/>
        </w:rPr>
        <w:t>32</w:t>
      </w:r>
      <w:r>
        <w:rPr>
          <w:noProof/>
        </w:rPr>
        <w:fldChar w:fldCharType="end"/>
      </w:r>
    </w:p>
    <w:p w14:paraId="19797312" w14:textId="5AF914E1" w:rsidR="006D0AF7" w:rsidRDefault="006D0AF7">
      <w:pPr>
        <w:pStyle w:val="TableofFigures"/>
        <w:ind w:left="990" w:hanging="990"/>
        <w:rPr>
          <w:rFonts w:asciiTheme="minorHAnsi" w:eastAsiaTheme="minorEastAsia" w:hAnsiTheme="minorHAnsi" w:cstheme="minorBidi"/>
          <w:noProof/>
          <w:kern w:val="2"/>
          <w:sz w:val="24"/>
          <w14:ligatures w14:val="standardContextual"/>
        </w:rPr>
      </w:pPr>
      <w:r>
        <w:rPr>
          <w:noProof/>
        </w:rPr>
        <w:t>Table 6</w:t>
      </w:r>
      <w:r>
        <w:rPr>
          <w:rFonts w:asciiTheme="minorHAnsi" w:eastAsiaTheme="minorEastAsia" w:hAnsiTheme="minorHAnsi" w:cstheme="minorBidi"/>
          <w:noProof/>
          <w:kern w:val="2"/>
          <w:sz w:val="24"/>
          <w14:ligatures w14:val="standardContextual"/>
        </w:rPr>
        <w:tab/>
      </w:r>
      <w:r>
        <w:rPr>
          <w:noProof/>
        </w:rPr>
        <w:t>Potential incoming livestock carrier vessel risk factors.</w:t>
      </w:r>
      <w:r>
        <w:rPr>
          <w:noProof/>
        </w:rPr>
        <w:tab/>
      </w:r>
      <w:r>
        <w:rPr>
          <w:noProof/>
        </w:rPr>
        <w:fldChar w:fldCharType="begin"/>
      </w:r>
      <w:r>
        <w:rPr>
          <w:noProof/>
        </w:rPr>
        <w:instrText xml:space="preserve"> PAGEREF _Toc226794709 \h </w:instrText>
      </w:r>
      <w:r>
        <w:rPr>
          <w:noProof/>
        </w:rPr>
      </w:r>
      <w:r>
        <w:rPr>
          <w:noProof/>
        </w:rPr>
        <w:fldChar w:fldCharType="separate"/>
      </w:r>
      <w:r w:rsidR="00651A0D">
        <w:rPr>
          <w:noProof/>
        </w:rPr>
        <w:t>38</w:t>
      </w:r>
      <w:r>
        <w:rPr>
          <w:noProof/>
        </w:rPr>
        <w:fldChar w:fldCharType="end"/>
      </w:r>
    </w:p>
    <w:p w14:paraId="3C7D7880" w14:textId="63402825" w:rsidR="00355810" w:rsidRPr="00A1505E" w:rsidRDefault="00355810" w:rsidP="00A1505E">
      <w:r w:rsidRPr="00A1505E">
        <w:fldChar w:fldCharType="end"/>
      </w:r>
    </w:p>
    <w:p w14:paraId="3484ADE7" w14:textId="77777777" w:rsidR="00D20FD9" w:rsidRPr="00A1505E" w:rsidRDefault="0048295D" w:rsidP="003807D5">
      <w:pPr>
        <w:pStyle w:val="Heading3a"/>
      </w:pPr>
      <w:r w:rsidRPr="00A1505E">
        <w:t>Figures</w:t>
      </w:r>
    </w:p>
    <w:p w14:paraId="00A04DB2" w14:textId="26382EC7" w:rsidR="003857C6" w:rsidRDefault="00355810">
      <w:pPr>
        <w:pStyle w:val="TableofFigures"/>
        <w:ind w:left="990" w:hanging="990"/>
        <w:rPr>
          <w:rFonts w:asciiTheme="minorHAnsi" w:eastAsiaTheme="minorEastAsia" w:hAnsiTheme="minorHAnsi" w:cstheme="minorBidi"/>
          <w:noProof/>
          <w:kern w:val="2"/>
          <w:sz w:val="24"/>
          <w14:ligatures w14:val="standardContextual"/>
        </w:rPr>
      </w:pPr>
      <w:r w:rsidRPr="00A1505E">
        <w:fldChar w:fldCharType="begin"/>
      </w:r>
      <w:r w:rsidRPr="00A1505E">
        <w:instrText xml:space="preserve"> TOC \c "Figure" </w:instrText>
      </w:r>
      <w:r w:rsidRPr="00A1505E">
        <w:fldChar w:fldCharType="separate"/>
      </w:r>
      <w:r w:rsidR="003857C6">
        <w:rPr>
          <w:noProof/>
        </w:rPr>
        <w:t>Figure 1</w:t>
      </w:r>
      <w:r w:rsidR="003857C6">
        <w:rPr>
          <w:rFonts w:asciiTheme="minorHAnsi" w:eastAsiaTheme="minorEastAsia" w:hAnsiTheme="minorHAnsi" w:cstheme="minorBidi"/>
          <w:noProof/>
          <w:kern w:val="2"/>
          <w:sz w:val="24"/>
          <w14:ligatures w14:val="standardContextual"/>
        </w:rPr>
        <w:tab/>
      </w:r>
      <w:r w:rsidR="003857C6">
        <w:rPr>
          <w:noProof/>
        </w:rPr>
        <w:t>An example of an insectocutor found on the livestock decks</w:t>
      </w:r>
      <w:r w:rsidR="003857C6">
        <w:rPr>
          <w:noProof/>
        </w:rPr>
        <w:tab/>
      </w:r>
      <w:r w:rsidR="003857C6">
        <w:rPr>
          <w:noProof/>
        </w:rPr>
        <w:fldChar w:fldCharType="begin"/>
      </w:r>
      <w:r w:rsidR="003857C6">
        <w:rPr>
          <w:noProof/>
        </w:rPr>
        <w:instrText xml:space="preserve"> PAGEREF _Toc226730773 \h </w:instrText>
      </w:r>
      <w:r w:rsidR="003857C6">
        <w:rPr>
          <w:noProof/>
        </w:rPr>
      </w:r>
      <w:r w:rsidR="003857C6">
        <w:rPr>
          <w:noProof/>
        </w:rPr>
        <w:fldChar w:fldCharType="separate"/>
      </w:r>
      <w:r w:rsidR="00651A0D">
        <w:rPr>
          <w:noProof/>
        </w:rPr>
        <w:t>6</w:t>
      </w:r>
      <w:r w:rsidR="003857C6">
        <w:rPr>
          <w:noProof/>
        </w:rPr>
        <w:fldChar w:fldCharType="end"/>
      </w:r>
    </w:p>
    <w:p w14:paraId="20D14549" w14:textId="1BAB555B"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2</w:t>
      </w:r>
      <w:r>
        <w:rPr>
          <w:rFonts w:asciiTheme="minorHAnsi" w:eastAsiaTheme="minorEastAsia" w:hAnsiTheme="minorHAnsi" w:cstheme="minorBidi"/>
          <w:noProof/>
          <w:kern w:val="2"/>
          <w:sz w:val="24"/>
          <w14:ligatures w14:val="standardContextual"/>
        </w:rPr>
        <w:tab/>
      </w:r>
      <w:r>
        <w:rPr>
          <w:noProof/>
        </w:rPr>
        <w:t xml:space="preserve">Increased risk of missing Biosecurity Risk Material as cognition drops (the "Vigilance Decrement"). Even with a conservative decision threshold (moved to the left) the </w:t>
      </w:r>
      <w:r>
        <w:rPr>
          <w:noProof/>
        </w:rPr>
        <w:lastRenderedPageBreak/>
        <w:t>ratio of false negatives to true positives increases. (based on Broadbent &amp; Gregory, 1963).</w:t>
      </w:r>
      <w:r>
        <w:rPr>
          <w:noProof/>
        </w:rPr>
        <w:tab/>
      </w:r>
      <w:r>
        <w:rPr>
          <w:noProof/>
        </w:rPr>
        <w:fldChar w:fldCharType="begin"/>
      </w:r>
      <w:r>
        <w:rPr>
          <w:noProof/>
        </w:rPr>
        <w:instrText xml:space="preserve"> PAGEREF _Toc226730774 \h </w:instrText>
      </w:r>
      <w:r>
        <w:rPr>
          <w:noProof/>
        </w:rPr>
      </w:r>
      <w:r>
        <w:rPr>
          <w:noProof/>
        </w:rPr>
        <w:fldChar w:fldCharType="separate"/>
      </w:r>
      <w:r w:rsidR="00651A0D">
        <w:rPr>
          <w:noProof/>
        </w:rPr>
        <w:t>10</w:t>
      </w:r>
      <w:r>
        <w:rPr>
          <w:noProof/>
        </w:rPr>
        <w:fldChar w:fldCharType="end"/>
      </w:r>
    </w:p>
    <w:p w14:paraId="175BCE06" w14:textId="00F0BB19"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3</w:t>
      </w:r>
      <w:r>
        <w:rPr>
          <w:rFonts w:asciiTheme="minorHAnsi" w:eastAsiaTheme="minorEastAsia" w:hAnsiTheme="minorHAnsi" w:cstheme="minorBidi"/>
          <w:noProof/>
          <w:kern w:val="2"/>
          <w:sz w:val="24"/>
          <w14:ligatures w14:val="standardContextual"/>
        </w:rPr>
        <w:tab/>
      </w:r>
      <w:r>
        <w:rPr>
          <w:noProof/>
        </w:rPr>
        <w:t>A purpose built livestock carrier vessel with opened and closed decks.</w:t>
      </w:r>
      <w:r>
        <w:rPr>
          <w:noProof/>
        </w:rPr>
        <w:tab/>
      </w:r>
      <w:r>
        <w:rPr>
          <w:noProof/>
        </w:rPr>
        <w:fldChar w:fldCharType="begin"/>
      </w:r>
      <w:r>
        <w:rPr>
          <w:noProof/>
        </w:rPr>
        <w:instrText xml:space="preserve"> PAGEREF _Toc226730775 \h </w:instrText>
      </w:r>
      <w:r>
        <w:rPr>
          <w:noProof/>
        </w:rPr>
      </w:r>
      <w:r>
        <w:rPr>
          <w:noProof/>
        </w:rPr>
        <w:fldChar w:fldCharType="separate"/>
      </w:r>
      <w:r w:rsidR="00651A0D">
        <w:rPr>
          <w:noProof/>
        </w:rPr>
        <w:t>12</w:t>
      </w:r>
      <w:r>
        <w:rPr>
          <w:noProof/>
        </w:rPr>
        <w:fldChar w:fldCharType="end"/>
      </w:r>
    </w:p>
    <w:p w14:paraId="37FB8C9E" w14:textId="5CB7C105"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4</w:t>
      </w:r>
      <w:r>
        <w:rPr>
          <w:rFonts w:asciiTheme="minorHAnsi" w:eastAsiaTheme="minorEastAsia" w:hAnsiTheme="minorHAnsi" w:cstheme="minorBidi"/>
          <w:noProof/>
          <w:kern w:val="2"/>
          <w:sz w:val="24"/>
          <w14:ligatures w14:val="standardContextual"/>
        </w:rPr>
        <w:tab/>
      </w:r>
      <w:r>
        <w:rPr>
          <w:noProof/>
        </w:rPr>
        <w:t>Common livestock transport routes from Australia.</w:t>
      </w:r>
      <w:r>
        <w:rPr>
          <w:noProof/>
        </w:rPr>
        <w:tab/>
      </w:r>
      <w:r>
        <w:rPr>
          <w:noProof/>
        </w:rPr>
        <w:fldChar w:fldCharType="begin"/>
      </w:r>
      <w:r>
        <w:rPr>
          <w:noProof/>
        </w:rPr>
        <w:instrText xml:space="preserve"> PAGEREF _Toc226730776 \h </w:instrText>
      </w:r>
      <w:r>
        <w:rPr>
          <w:noProof/>
        </w:rPr>
      </w:r>
      <w:r>
        <w:rPr>
          <w:noProof/>
        </w:rPr>
        <w:fldChar w:fldCharType="separate"/>
      </w:r>
      <w:r w:rsidR="00651A0D">
        <w:rPr>
          <w:noProof/>
        </w:rPr>
        <w:t>13</w:t>
      </w:r>
      <w:r>
        <w:rPr>
          <w:noProof/>
        </w:rPr>
        <w:fldChar w:fldCharType="end"/>
      </w:r>
    </w:p>
    <w:p w14:paraId="484E4FB8" w14:textId="683870AF"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5</w:t>
      </w:r>
      <w:r>
        <w:rPr>
          <w:rFonts w:asciiTheme="minorHAnsi" w:eastAsiaTheme="minorEastAsia" w:hAnsiTheme="minorHAnsi" w:cstheme="minorBidi"/>
          <w:noProof/>
          <w:kern w:val="2"/>
          <w:sz w:val="24"/>
          <w14:ligatures w14:val="standardContextual"/>
        </w:rPr>
        <w:tab/>
      </w:r>
      <w:r>
        <w:rPr>
          <w:noProof/>
        </w:rPr>
        <w:t>Total number of vessel arrivals into Australian ports between November 2016 and November 2025.</w:t>
      </w:r>
      <w:r>
        <w:rPr>
          <w:noProof/>
        </w:rPr>
        <w:tab/>
      </w:r>
      <w:r>
        <w:rPr>
          <w:noProof/>
        </w:rPr>
        <w:fldChar w:fldCharType="begin"/>
      </w:r>
      <w:r>
        <w:rPr>
          <w:noProof/>
        </w:rPr>
        <w:instrText xml:space="preserve"> PAGEREF _Toc226730777 \h </w:instrText>
      </w:r>
      <w:r>
        <w:rPr>
          <w:noProof/>
        </w:rPr>
      </w:r>
      <w:r>
        <w:rPr>
          <w:noProof/>
        </w:rPr>
        <w:fldChar w:fldCharType="separate"/>
      </w:r>
      <w:r w:rsidR="00651A0D">
        <w:rPr>
          <w:noProof/>
        </w:rPr>
        <w:t>19</w:t>
      </w:r>
      <w:r>
        <w:rPr>
          <w:noProof/>
        </w:rPr>
        <w:fldChar w:fldCharType="end"/>
      </w:r>
    </w:p>
    <w:p w14:paraId="7F551E8E" w14:textId="562BB3A4"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6</w:t>
      </w:r>
      <w:r>
        <w:rPr>
          <w:rFonts w:asciiTheme="minorHAnsi" w:eastAsiaTheme="minorEastAsia" w:hAnsiTheme="minorHAnsi" w:cstheme="minorBidi"/>
          <w:noProof/>
          <w:kern w:val="2"/>
          <w:sz w:val="24"/>
          <w14:ligatures w14:val="standardContextual"/>
        </w:rPr>
        <w:tab/>
      </w:r>
      <w:r>
        <w:rPr>
          <w:noProof/>
        </w:rPr>
        <w:t>Total number of vessel arrivals into Australian ports categorised by month and port between November 2016 and November 2025.</w:t>
      </w:r>
      <w:r>
        <w:rPr>
          <w:noProof/>
        </w:rPr>
        <w:tab/>
      </w:r>
      <w:r>
        <w:rPr>
          <w:noProof/>
        </w:rPr>
        <w:fldChar w:fldCharType="begin"/>
      </w:r>
      <w:r>
        <w:rPr>
          <w:noProof/>
        </w:rPr>
        <w:instrText xml:space="preserve"> PAGEREF _Toc226730778 \h </w:instrText>
      </w:r>
      <w:r>
        <w:rPr>
          <w:noProof/>
        </w:rPr>
      </w:r>
      <w:r>
        <w:rPr>
          <w:noProof/>
        </w:rPr>
        <w:fldChar w:fldCharType="separate"/>
      </w:r>
      <w:r w:rsidR="00651A0D">
        <w:rPr>
          <w:noProof/>
        </w:rPr>
        <w:t>19</w:t>
      </w:r>
      <w:r>
        <w:rPr>
          <w:noProof/>
        </w:rPr>
        <w:fldChar w:fldCharType="end"/>
      </w:r>
    </w:p>
    <w:p w14:paraId="7F82302F" w14:textId="00DDE194"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7</w:t>
      </w:r>
      <w:r>
        <w:rPr>
          <w:rFonts w:asciiTheme="minorHAnsi" w:eastAsiaTheme="minorEastAsia" w:hAnsiTheme="minorHAnsi" w:cstheme="minorBidi"/>
          <w:noProof/>
          <w:kern w:val="2"/>
          <w:sz w:val="24"/>
          <w14:ligatures w14:val="standardContextual"/>
        </w:rPr>
        <w:tab/>
      </w:r>
      <w:r>
        <w:rPr>
          <w:noProof/>
        </w:rPr>
        <w:t xml:space="preserve">Total number of livestock carrier vessel arrivals into Australian ports categorised by vessel from November </w:t>
      </w:r>
      <w:r w:rsidRPr="00E31B91">
        <w:rPr>
          <w:noProof/>
          <w:color w:val="44546A"/>
        </w:rPr>
        <w:t>2016</w:t>
      </w:r>
      <w:r>
        <w:rPr>
          <w:noProof/>
        </w:rPr>
        <w:t xml:space="preserve"> and November 2025.</w:t>
      </w:r>
      <w:r>
        <w:rPr>
          <w:noProof/>
        </w:rPr>
        <w:tab/>
      </w:r>
      <w:r>
        <w:rPr>
          <w:noProof/>
        </w:rPr>
        <w:fldChar w:fldCharType="begin"/>
      </w:r>
      <w:r>
        <w:rPr>
          <w:noProof/>
        </w:rPr>
        <w:instrText xml:space="preserve"> PAGEREF _Toc226730779 \h </w:instrText>
      </w:r>
      <w:r>
        <w:rPr>
          <w:noProof/>
        </w:rPr>
      </w:r>
      <w:r>
        <w:rPr>
          <w:noProof/>
        </w:rPr>
        <w:fldChar w:fldCharType="separate"/>
      </w:r>
      <w:r w:rsidR="00651A0D">
        <w:rPr>
          <w:noProof/>
        </w:rPr>
        <w:t>20</w:t>
      </w:r>
      <w:r>
        <w:rPr>
          <w:noProof/>
        </w:rPr>
        <w:fldChar w:fldCharType="end"/>
      </w:r>
    </w:p>
    <w:p w14:paraId="407F6BFE" w14:textId="000D471D"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8</w:t>
      </w:r>
      <w:r>
        <w:rPr>
          <w:rFonts w:asciiTheme="minorHAnsi" w:eastAsiaTheme="minorEastAsia" w:hAnsiTheme="minorHAnsi" w:cstheme="minorBidi"/>
          <w:noProof/>
          <w:kern w:val="2"/>
          <w:sz w:val="24"/>
          <w14:ligatures w14:val="standardContextual"/>
        </w:rPr>
        <w:tab/>
      </w:r>
      <w:r>
        <w:rPr>
          <w:noProof/>
        </w:rPr>
        <w:t>Total number of inspections categorised by inspection type at Australian ports between November 2016 and November 2025 (demerit due to non-compliance).</w:t>
      </w:r>
      <w:r>
        <w:rPr>
          <w:noProof/>
        </w:rPr>
        <w:tab/>
      </w:r>
      <w:r>
        <w:rPr>
          <w:noProof/>
        </w:rPr>
        <w:fldChar w:fldCharType="begin"/>
      </w:r>
      <w:r>
        <w:rPr>
          <w:noProof/>
        </w:rPr>
        <w:instrText xml:space="preserve"> PAGEREF _Toc226730780 \h </w:instrText>
      </w:r>
      <w:r>
        <w:rPr>
          <w:noProof/>
        </w:rPr>
      </w:r>
      <w:r>
        <w:rPr>
          <w:noProof/>
        </w:rPr>
        <w:fldChar w:fldCharType="separate"/>
      </w:r>
      <w:r w:rsidR="00651A0D">
        <w:rPr>
          <w:noProof/>
        </w:rPr>
        <w:t>21</w:t>
      </w:r>
      <w:r>
        <w:rPr>
          <w:noProof/>
        </w:rPr>
        <w:fldChar w:fldCharType="end"/>
      </w:r>
    </w:p>
    <w:p w14:paraId="735EBEEB" w14:textId="4AFDA752"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9</w:t>
      </w:r>
      <w:r>
        <w:rPr>
          <w:rFonts w:asciiTheme="minorHAnsi" w:eastAsiaTheme="minorEastAsia" w:hAnsiTheme="minorHAnsi" w:cstheme="minorBidi"/>
          <w:noProof/>
          <w:kern w:val="2"/>
          <w:sz w:val="24"/>
          <w14:ligatures w14:val="standardContextual"/>
        </w:rPr>
        <w:tab/>
      </w:r>
      <w:r>
        <w:rPr>
          <w:noProof/>
        </w:rPr>
        <w:t>Total number of breaches by category for livestock carrier vessels between November 2016 and November 2025.</w:t>
      </w:r>
      <w:r>
        <w:rPr>
          <w:noProof/>
        </w:rPr>
        <w:tab/>
      </w:r>
      <w:r>
        <w:rPr>
          <w:noProof/>
        </w:rPr>
        <w:fldChar w:fldCharType="begin"/>
      </w:r>
      <w:r>
        <w:rPr>
          <w:noProof/>
        </w:rPr>
        <w:instrText xml:space="preserve"> PAGEREF _Toc226730781 \h </w:instrText>
      </w:r>
      <w:r>
        <w:rPr>
          <w:noProof/>
        </w:rPr>
      </w:r>
      <w:r>
        <w:rPr>
          <w:noProof/>
        </w:rPr>
        <w:fldChar w:fldCharType="separate"/>
      </w:r>
      <w:r w:rsidR="00651A0D">
        <w:rPr>
          <w:noProof/>
        </w:rPr>
        <w:t>22</w:t>
      </w:r>
      <w:r>
        <w:rPr>
          <w:noProof/>
        </w:rPr>
        <w:fldChar w:fldCharType="end"/>
      </w:r>
    </w:p>
    <w:p w14:paraId="14CF40CC" w14:textId="6D28DD64"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10</w:t>
      </w:r>
      <w:r>
        <w:rPr>
          <w:rFonts w:asciiTheme="minorHAnsi" w:eastAsiaTheme="minorEastAsia" w:hAnsiTheme="minorHAnsi" w:cstheme="minorBidi"/>
          <w:noProof/>
          <w:kern w:val="2"/>
          <w:sz w:val="24"/>
          <w14:ligatures w14:val="standardContextual"/>
        </w:rPr>
        <w:tab/>
      </w:r>
      <w:r>
        <w:rPr>
          <w:noProof/>
        </w:rPr>
        <w:t>Total number of livestock inspections by month at Australian ports between November 2016 and November 2025, categories by inspection result (demerit or no demerit due to non-compliance).</w:t>
      </w:r>
      <w:r>
        <w:rPr>
          <w:noProof/>
        </w:rPr>
        <w:tab/>
      </w:r>
      <w:r>
        <w:rPr>
          <w:noProof/>
        </w:rPr>
        <w:fldChar w:fldCharType="begin"/>
      </w:r>
      <w:r>
        <w:rPr>
          <w:noProof/>
        </w:rPr>
        <w:instrText xml:space="preserve"> PAGEREF _Toc226730782 \h </w:instrText>
      </w:r>
      <w:r>
        <w:rPr>
          <w:noProof/>
        </w:rPr>
      </w:r>
      <w:r>
        <w:rPr>
          <w:noProof/>
        </w:rPr>
        <w:fldChar w:fldCharType="separate"/>
      </w:r>
      <w:r w:rsidR="00651A0D">
        <w:rPr>
          <w:noProof/>
        </w:rPr>
        <w:t>22</w:t>
      </w:r>
      <w:r>
        <w:rPr>
          <w:noProof/>
        </w:rPr>
        <w:fldChar w:fldCharType="end"/>
      </w:r>
    </w:p>
    <w:p w14:paraId="6DF59C83" w14:textId="5CFE284B"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11</w:t>
      </w:r>
      <w:r>
        <w:rPr>
          <w:rFonts w:asciiTheme="minorHAnsi" w:eastAsiaTheme="minorEastAsia" w:hAnsiTheme="minorHAnsi" w:cstheme="minorBidi"/>
          <w:noProof/>
          <w:kern w:val="2"/>
          <w:sz w:val="24"/>
          <w14:ligatures w14:val="standardContextual"/>
        </w:rPr>
        <w:tab/>
      </w:r>
      <w:r>
        <w:rPr>
          <w:noProof/>
        </w:rPr>
        <w:t>Total number of livestock carrier vessel arrivals from different departure ports that have arrived into Australian between 2021 and 2025 (with 2 or more visits).</w:t>
      </w:r>
      <w:r>
        <w:rPr>
          <w:noProof/>
        </w:rPr>
        <w:tab/>
      </w:r>
      <w:r>
        <w:rPr>
          <w:noProof/>
        </w:rPr>
        <w:fldChar w:fldCharType="begin"/>
      </w:r>
      <w:r>
        <w:rPr>
          <w:noProof/>
        </w:rPr>
        <w:instrText xml:space="preserve"> PAGEREF _Toc226730783 \h </w:instrText>
      </w:r>
      <w:r>
        <w:rPr>
          <w:noProof/>
        </w:rPr>
      </w:r>
      <w:r>
        <w:rPr>
          <w:noProof/>
        </w:rPr>
        <w:fldChar w:fldCharType="separate"/>
      </w:r>
      <w:r w:rsidR="00651A0D">
        <w:rPr>
          <w:noProof/>
        </w:rPr>
        <w:t>25</w:t>
      </w:r>
      <w:r>
        <w:rPr>
          <w:noProof/>
        </w:rPr>
        <w:fldChar w:fldCharType="end"/>
      </w:r>
    </w:p>
    <w:p w14:paraId="02823598" w14:textId="04DA05F8"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12</w:t>
      </w:r>
      <w:r>
        <w:rPr>
          <w:rFonts w:asciiTheme="minorHAnsi" w:eastAsiaTheme="minorEastAsia" w:hAnsiTheme="minorHAnsi" w:cstheme="minorBidi"/>
          <w:noProof/>
          <w:kern w:val="2"/>
          <w:sz w:val="24"/>
          <w14:ligatures w14:val="standardContextual"/>
        </w:rPr>
        <w:tab/>
      </w:r>
      <w:r>
        <w:rPr>
          <w:noProof/>
        </w:rPr>
        <w:t>Livestock carrier vessel inspections conducted between November 2016 and November 2025, categorised by vessel.</w:t>
      </w:r>
      <w:r>
        <w:rPr>
          <w:noProof/>
        </w:rPr>
        <w:tab/>
      </w:r>
      <w:r>
        <w:rPr>
          <w:noProof/>
        </w:rPr>
        <w:fldChar w:fldCharType="begin"/>
      </w:r>
      <w:r>
        <w:rPr>
          <w:noProof/>
        </w:rPr>
        <w:instrText xml:space="preserve"> PAGEREF _Toc226730784 \h </w:instrText>
      </w:r>
      <w:r>
        <w:rPr>
          <w:noProof/>
        </w:rPr>
      </w:r>
      <w:r>
        <w:rPr>
          <w:noProof/>
        </w:rPr>
        <w:fldChar w:fldCharType="separate"/>
      </w:r>
      <w:r w:rsidR="00651A0D">
        <w:rPr>
          <w:noProof/>
        </w:rPr>
        <w:t>26</w:t>
      </w:r>
      <w:r>
        <w:rPr>
          <w:noProof/>
        </w:rPr>
        <w:fldChar w:fldCharType="end"/>
      </w:r>
    </w:p>
    <w:p w14:paraId="584EC030" w14:textId="652EAEB7"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13</w:t>
      </w:r>
      <w:r>
        <w:rPr>
          <w:rFonts w:asciiTheme="minorHAnsi" w:eastAsiaTheme="minorEastAsia" w:hAnsiTheme="minorHAnsi" w:cstheme="minorBidi"/>
          <w:noProof/>
          <w:kern w:val="2"/>
          <w:sz w:val="24"/>
          <w14:ligatures w14:val="standardContextual"/>
        </w:rPr>
        <w:tab/>
      </w:r>
      <w:r>
        <w:rPr>
          <w:noProof/>
        </w:rPr>
        <w:t>Time points of ‘Livestock’ inspections on livestock carrier vessels between 2021–2025, with inspections where demerit points were applied in red.</w:t>
      </w:r>
      <w:r>
        <w:rPr>
          <w:noProof/>
        </w:rPr>
        <w:tab/>
      </w:r>
      <w:r>
        <w:rPr>
          <w:noProof/>
        </w:rPr>
        <w:fldChar w:fldCharType="begin"/>
      </w:r>
      <w:r>
        <w:rPr>
          <w:noProof/>
        </w:rPr>
        <w:instrText xml:space="preserve"> PAGEREF _Toc226730785 \h </w:instrText>
      </w:r>
      <w:r>
        <w:rPr>
          <w:noProof/>
        </w:rPr>
      </w:r>
      <w:r>
        <w:rPr>
          <w:noProof/>
        </w:rPr>
        <w:fldChar w:fldCharType="separate"/>
      </w:r>
      <w:r w:rsidR="00651A0D">
        <w:rPr>
          <w:noProof/>
        </w:rPr>
        <w:t>26</w:t>
      </w:r>
      <w:r>
        <w:rPr>
          <w:noProof/>
        </w:rPr>
        <w:fldChar w:fldCharType="end"/>
      </w:r>
    </w:p>
    <w:p w14:paraId="602FE594" w14:textId="2F82AD36"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14</w:t>
      </w:r>
      <w:r>
        <w:rPr>
          <w:rFonts w:asciiTheme="minorHAnsi" w:eastAsiaTheme="minorEastAsia" w:hAnsiTheme="minorHAnsi" w:cstheme="minorBidi"/>
          <w:noProof/>
          <w:kern w:val="2"/>
          <w:sz w:val="24"/>
          <w14:ligatures w14:val="standardContextual"/>
        </w:rPr>
        <w:tab/>
      </w:r>
      <w:r>
        <w:rPr>
          <w:noProof/>
        </w:rPr>
        <w:t>An example of a mirror being used to observe the undersides or railings and gates</w:t>
      </w:r>
      <w:r>
        <w:rPr>
          <w:noProof/>
        </w:rPr>
        <w:tab/>
      </w:r>
      <w:r>
        <w:rPr>
          <w:noProof/>
        </w:rPr>
        <w:fldChar w:fldCharType="begin"/>
      </w:r>
      <w:r>
        <w:rPr>
          <w:noProof/>
        </w:rPr>
        <w:instrText xml:space="preserve"> PAGEREF _Toc226730786 \h </w:instrText>
      </w:r>
      <w:r>
        <w:rPr>
          <w:noProof/>
        </w:rPr>
      </w:r>
      <w:r>
        <w:rPr>
          <w:noProof/>
        </w:rPr>
        <w:fldChar w:fldCharType="separate"/>
      </w:r>
      <w:r w:rsidR="00651A0D">
        <w:rPr>
          <w:noProof/>
        </w:rPr>
        <w:t>30</w:t>
      </w:r>
      <w:r>
        <w:rPr>
          <w:noProof/>
        </w:rPr>
        <w:fldChar w:fldCharType="end"/>
      </w:r>
    </w:p>
    <w:p w14:paraId="28873E13" w14:textId="631E525D"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15</w:t>
      </w:r>
      <w:r>
        <w:rPr>
          <w:rFonts w:asciiTheme="minorHAnsi" w:eastAsiaTheme="minorEastAsia" w:hAnsiTheme="minorHAnsi" w:cstheme="minorBidi"/>
          <w:noProof/>
          <w:kern w:val="2"/>
          <w:sz w:val="24"/>
          <w14:ligatures w14:val="standardContextual"/>
        </w:rPr>
        <w:tab/>
      </w:r>
      <w:r>
        <w:rPr>
          <w:noProof/>
        </w:rPr>
        <w:t>A comparison of illumination at various locations on open decks of a livestock vessel during the day and repeated at night.</w:t>
      </w:r>
      <w:r>
        <w:rPr>
          <w:noProof/>
        </w:rPr>
        <w:tab/>
      </w:r>
      <w:r>
        <w:rPr>
          <w:noProof/>
        </w:rPr>
        <w:fldChar w:fldCharType="begin"/>
      </w:r>
      <w:r>
        <w:rPr>
          <w:noProof/>
        </w:rPr>
        <w:instrText xml:space="preserve"> PAGEREF _Toc226730787 \h </w:instrText>
      </w:r>
      <w:r>
        <w:rPr>
          <w:noProof/>
        </w:rPr>
      </w:r>
      <w:r>
        <w:rPr>
          <w:noProof/>
        </w:rPr>
        <w:fldChar w:fldCharType="separate"/>
      </w:r>
      <w:r w:rsidR="00651A0D">
        <w:rPr>
          <w:noProof/>
        </w:rPr>
        <w:t>30</w:t>
      </w:r>
      <w:r>
        <w:rPr>
          <w:noProof/>
        </w:rPr>
        <w:fldChar w:fldCharType="end"/>
      </w:r>
    </w:p>
    <w:p w14:paraId="67653A8A" w14:textId="510B52ED"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16</w:t>
      </w:r>
      <w:r>
        <w:rPr>
          <w:rFonts w:asciiTheme="minorHAnsi" w:eastAsiaTheme="minorEastAsia" w:hAnsiTheme="minorHAnsi" w:cstheme="minorBidi"/>
          <w:noProof/>
          <w:kern w:val="2"/>
          <w:sz w:val="24"/>
          <w14:ligatures w14:val="standardContextual"/>
        </w:rPr>
        <w:tab/>
      </w:r>
      <w:r>
        <w:rPr>
          <w:noProof/>
        </w:rPr>
        <w:t>Fodder troughs are hung on a raised railing to prevent damage during loading</w:t>
      </w:r>
      <w:r>
        <w:rPr>
          <w:noProof/>
        </w:rPr>
        <w:tab/>
      </w:r>
      <w:r>
        <w:rPr>
          <w:noProof/>
        </w:rPr>
        <w:fldChar w:fldCharType="begin"/>
      </w:r>
      <w:r>
        <w:rPr>
          <w:noProof/>
        </w:rPr>
        <w:instrText xml:space="preserve"> PAGEREF _Toc226730788 \h </w:instrText>
      </w:r>
      <w:r>
        <w:rPr>
          <w:noProof/>
        </w:rPr>
      </w:r>
      <w:r>
        <w:rPr>
          <w:noProof/>
        </w:rPr>
        <w:fldChar w:fldCharType="separate"/>
      </w:r>
      <w:r w:rsidR="00651A0D">
        <w:rPr>
          <w:noProof/>
        </w:rPr>
        <w:t>31</w:t>
      </w:r>
      <w:r>
        <w:rPr>
          <w:noProof/>
        </w:rPr>
        <w:fldChar w:fldCharType="end"/>
      </w:r>
    </w:p>
    <w:p w14:paraId="31839F98" w14:textId="558ACD85"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17</w:t>
      </w:r>
      <w:r>
        <w:rPr>
          <w:rFonts w:asciiTheme="minorHAnsi" w:eastAsiaTheme="minorEastAsia" w:hAnsiTheme="minorHAnsi" w:cstheme="minorBidi"/>
          <w:noProof/>
          <w:kern w:val="2"/>
          <w:sz w:val="24"/>
          <w14:ligatures w14:val="standardContextual"/>
        </w:rPr>
        <w:tab/>
      </w:r>
      <w:r>
        <w:rPr>
          <w:noProof/>
        </w:rPr>
        <w:t>Changes in light when a) a trough was obstructing direct lighting, b) the trough was not present, c) a LedLenser P7R torch was used to illuminate the space.</w:t>
      </w:r>
      <w:r>
        <w:rPr>
          <w:noProof/>
        </w:rPr>
        <w:tab/>
      </w:r>
      <w:r>
        <w:rPr>
          <w:noProof/>
        </w:rPr>
        <w:fldChar w:fldCharType="begin"/>
      </w:r>
      <w:r>
        <w:rPr>
          <w:noProof/>
        </w:rPr>
        <w:instrText xml:space="preserve"> PAGEREF _Toc226730789 \h </w:instrText>
      </w:r>
      <w:r>
        <w:rPr>
          <w:noProof/>
        </w:rPr>
      </w:r>
      <w:r>
        <w:rPr>
          <w:noProof/>
        </w:rPr>
        <w:fldChar w:fldCharType="separate"/>
      </w:r>
      <w:r w:rsidR="00651A0D">
        <w:rPr>
          <w:noProof/>
        </w:rPr>
        <w:t>31</w:t>
      </w:r>
      <w:r>
        <w:rPr>
          <w:noProof/>
        </w:rPr>
        <w:fldChar w:fldCharType="end"/>
      </w:r>
    </w:p>
    <w:p w14:paraId="218E4D6E" w14:textId="6E29DD38"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18</w:t>
      </w:r>
      <w:r>
        <w:rPr>
          <w:rFonts w:asciiTheme="minorHAnsi" w:eastAsiaTheme="minorEastAsia" w:hAnsiTheme="minorHAnsi" w:cstheme="minorBidi"/>
          <w:noProof/>
          <w:kern w:val="2"/>
          <w:sz w:val="24"/>
          <w14:ligatures w14:val="standardContextual"/>
        </w:rPr>
        <w:tab/>
      </w:r>
      <w:r>
        <w:rPr>
          <w:noProof/>
        </w:rPr>
        <w:t>Vessel eligibility criteria for consideration of night-time inspections.</w:t>
      </w:r>
      <w:r>
        <w:rPr>
          <w:noProof/>
        </w:rPr>
        <w:tab/>
      </w:r>
      <w:r>
        <w:rPr>
          <w:noProof/>
        </w:rPr>
        <w:fldChar w:fldCharType="begin"/>
      </w:r>
      <w:r>
        <w:rPr>
          <w:noProof/>
        </w:rPr>
        <w:instrText xml:space="preserve"> PAGEREF _Toc226730790 \h </w:instrText>
      </w:r>
      <w:r>
        <w:rPr>
          <w:noProof/>
        </w:rPr>
      </w:r>
      <w:r>
        <w:rPr>
          <w:noProof/>
        </w:rPr>
        <w:fldChar w:fldCharType="separate"/>
      </w:r>
      <w:r w:rsidR="00651A0D">
        <w:rPr>
          <w:noProof/>
        </w:rPr>
        <w:t>39</w:t>
      </w:r>
      <w:r>
        <w:rPr>
          <w:noProof/>
        </w:rPr>
        <w:fldChar w:fldCharType="end"/>
      </w:r>
    </w:p>
    <w:p w14:paraId="6B3D4C2D" w14:textId="698CFC9B" w:rsidR="003857C6" w:rsidRDefault="003857C6">
      <w:pPr>
        <w:pStyle w:val="TableofFigures"/>
        <w:ind w:left="990" w:hanging="990"/>
        <w:rPr>
          <w:rFonts w:asciiTheme="minorHAnsi" w:eastAsiaTheme="minorEastAsia" w:hAnsiTheme="minorHAnsi" w:cstheme="minorBidi"/>
          <w:noProof/>
          <w:kern w:val="2"/>
          <w:sz w:val="24"/>
          <w14:ligatures w14:val="standardContextual"/>
        </w:rPr>
      </w:pPr>
      <w:r>
        <w:rPr>
          <w:noProof/>
        </w:rPr>
        <w:t>Figure 19</w:t>
      </w:r>
      <w:r>
        <w:rPr>
          <w:rFonts w:asciiTheme="minorHAnsi" w:eastAsiaTheme="minorEastAsia" w:hAnsiTheme="minorHAnsi" w:cstheme="minorBidi"/>
          <w:noProof/>
          <w:kern w:val="2"/>
          <w:sz w:val="24"/>
          <w14:ligatures w14:val="standardContextual"/>
        </w:rPr>
        <w:tab/>
      </w:r>
      <w:r>
        <w:rPr>
          <w:noProof/>
        </w:rPr>
        <w:t>Department of Agriculture, Fisheries and Forestry decision criteria for night-time inspections (* refers to the risk posed by a vessel for the escape of non-indigenous insects due to an extended duration at anchorage or dock prior to inspection).</w:t>
      </w:r>
      <w:r>
        <w:rPr>
          <w:noProof/>
        </w:rPr>
        <w:tab/>
      </w:r>
      <w:r>
        <w:rPr>
          <w:noProof/>
        </w:rPr>
        <w:fldChar w:fldCharType="begin"/>
      </w:r>
      <w:r>
        <w:rPr>
          <w:noProof/>
        </w:rPr>
        <w:instrText xml:space="preserve"> PAGEREF _Toc226730791 \h </w:instrText>
      </w:r>
      <w:r>
        <w:rPr>
          <w:noProof/>
        </w:rPr>
      </w:r>
      <w:r>
        <w:rPr>
          <w:noProof/>
        </w:rPr>
        <w:fldChar w:fldCharType="separate"/>
      </w:r>
      <w:r w:rsidR="00651A0D">
        <w:rPr>
          <w:noProof/>
        </w:rPr>
        <w:t>40</w:t>
      </w:r>
      <w:r>
        <w:rPr>
          <w:noProof/>
        </w:rPr>
        <w:fldChar w:fldCharType="end"/>
      </w:r>
    </w:p>
    <w:p w14:paraId="464C5A46" w14:textId="29A044AC" w:rsidR="004D49C1" w:rsidRDefault="00355810" w:rsidP="00A1505E">
      <w:pPr>
        <w:sectPr w:rsidR="004D49C1" w:rsidSect="004D49C1">
          <w:footerReference w:type="default" r:id="rId17"/>
          <w:pgSz w:w="11906" w:h="16838"/>
          <w:pgMar w:top="1440" w:right="1440" w:bottom="1440" w:left="1440" w:header="576" w:footer="576" w:gutter="0"/>
          <w:pgNumType w:fmt="lowerRoman" w:start="1"/>
          <w:cols w:space="720"/>
        </w:sectPr>
      </w:pPr>
      <w:r w:rsidRPr="00A1505E">
        <w:fldChar w:fldCharType="end"/>
      </w:r>
    </w:p>
    <w:p w14:paraId="70F2D001" w14:textId="77777777" w:rsidR="003E15C2" w:rsidRDefault="003E15C2">
      <w:pPr>
        <w:keepNext/>
        <w:pageBreakBefore/>
        <w:pBdr>
          <w:top w:val="nil"/>
          <w:left w:val="nil"/>
          <w:bottom w:val="single" w:sz="4" w:space="1" w:color="004F83"/>
          <w:right w:val="nil"/>
          <w:between w:val="nil"/>
        </w:pBdr>
        <w:spacing w:after="480"/>
        <w:ind w:left="432" w:hanging="432"/>
        <w:rPr>
          <w:rFonts w:ascii="Corbel" w:eastAsia="Corbel" w:hAnsi="Corbel" w:cs="Corbel"/>
          <w:b/>
          <w:bCs/>
          <w:color w:val="004F83"/>
          <w:sz w:val="40"/>
          <w:szCs w:val="40"/>
        </w:rPr>
      </w:pPr>
      <w:r>
        <w:rPr>
          <w:rFonts w:ascii="Corbel" w:eastAsia="Corbel" w:hAnsi="Corbel" w:cs="Corbel"/>
          <w:b/>
          <w:bCs/>
          <w:color w:val="004F83"/>
          <w:sz w:val="40"/>
          <w:szCs w:val="40"/>
        </w:rPr>
        <w:lastRenderedPageBreak/>
        <w:t>Abbreviations and acronyms</w:t>
      </w:r>
    </w:p>
    <w:tbl>
      <w:tblPr>
        <w:tblStyle w:val="8"/>
        <w:tblW w:w="9016" w:type="dxa"/>
        <w:tblBorders>
          <w:top w:val="single" w:sz="4" w:space="0" w:color="004F83"/>
          <w:bottom w:val="single" w:sz="4" w:space="0" w:color="004F83"/>
          <w:insideH w:val="single" w:sz="4" w:space="0" w:color="004F83"/>
        </w:tblBorders>
        <w:tblLayout w:type="fixed"/>
        <w:tblLook w:val="0420" w:firstRow="1" w:lastRow="0" w:firstColumn="0" w:lastColumn="0" w:noHBand="0" w:noVBand="1"/>
      </w:tblPr>
      <w:tblGrid>
        <w:gridCol w:w="2159"/>
        <w:gridCol w:w="6857"/>
      </w:tblGrid>
      <w:tr w:rsidR="003E15C2" w14:paraId="37430977" w14:textId="77777777">
        <w:trPr>
          <w:cantSplit/>
          <w:tblHeader/>
        </w:trPr>
        <w:tc>
          <w:tcPr>
            <w:tcW w:w="2159" w:type="dxa"/>
          </w:tcPr>
          <w:p w14:paraId="2E22B12C" w14:textId="77777777" w:rsidR="003E15C2" w:rsidRDefault="003E15C2">
            <w:pPr>
              <w:keepNext/>
              <w:pBdr>
                <w:top w:val="nil"/>
                <w:left w:val="nil"/>
                <w:bottom w:val="nil"/>
                <w:right w:val="nil"/>
                <w:between w:val="nil"/>
              </w:pBdr>
              <w:spacing w:before="60" w:after="60"/>
              <w:rPr>
                <w:b/>
                <w:bCs/>
                <w:color w:val="004F83"/>
              </w:rPr>
            </w:pPr>
            <w:r>
              <w:rPr>
                <w:b/>
                <w:bCs/>
                <w:color w:val="004F83"/>
              </w:rPr>
              <w:t>Abbreviation</w:t>
            </w:r>
          </w:p>
        </w:tc>
        <w:tc>
          <w:tcPr>
            <w:tcW w:w="6857" w:type="dxa"/>
          </w:tcPr>
          <w:p w14:paraId="03F3B3BD" w14:textId="77777777" w:rsidR="003E15C2" w:rsidRDefault="003E15C2">
            <w:pPr>
              <w:keepNext/>
              <w:pBdr>
                <w:top w:val="nil"/>
                <w:left w:val="nil"/>
                <w:bottom w:val="nil"/>
                <w:right w:val="nil"/>
                <w:between w:val="nil"/>
              </w:pBdr>
              <w:spacing w:before="60" w:after="60"/>
              <w:rPr>
                <w:b/>
                <w:bCs/>
                <w:color w:val="004F83"/>
              </w:rPr>
            </w:pPr>
            <w:r>
              <w:rPr>
                <w:b/>
                <w:bCs/>
                <w:color w:val="004F83"/>
              </w:rPr>
              <w:t>Definition</w:t>
            </w:r>
          </w:p>
        </w:tc>
      </w:tr>
      <w:tr w:rsidR="003E15C2" w14:paraId="22FD7B5A" w14:textId="77777777">
        <w:trPr>
          <w:cantSplit/>
        </w:trPr>
        <w:tc>
          <w:tcPr>
            <w:tcW w:w="2159" w:type="dxa"/>
            <w:vAlign w:val="bottom"/>
          </w:tcPr>
          <w:p w14:paraId="21CEEFBA" w14:textId="77777777" w:rsidR="003E15C2" w:rsidRDefault="003E15C2">
            <w:pPr>
              <w:keepNext/>
              <w:pBdr>
                <w:top w:val="nil"/>
                <w:left w:val="nil"/>
                <w:bottom w:val="nil"/>
                <w:right w:val="nil"/>
                <w:between w:val="nil"/>
              </w:pBdr>
              <w:spacing w:before="60" w:after="60"/>
              <w:rPr>
                <w:color w:val="000000"/>
              </w:rPr>
            </w:pPr>
            <w:r>
              <w:rPr>
                <w:color w:val="000000"/>
              </w:rPr>
              <w:t>ACCL</w:t>
            </w:r>
          </w:p>
        </w:tc>
        <w:tc>
          <w:tcPr>
            <w:tcW w:w="6857" w:type="dxa"/>
            <w:vAlign w:val="bottom"/>
          </w:tcPr>
          <w:p w14:paraId="1ACF6FB7" w14:textId="77777777" w:rsidR="003E15C2" w:rsidRDefault="003E15C2">
            <w:pPr>
              <w:keepNext/>
              <w:pBdr>
                <w:top w:val="nil"/>
                <w:left w:val="nil"/>
                <w:bottom w:val="nil"/>
                <w:right w:val="nil"/>
                <w:between w:val="nil"/>
              </w:pBdr>
              <w:spacing w:before="60" w:after="60"/>
              <w:rPr>
                <w:color w:val="000000"/>
              </w:rPr>
            </w:pPr>
            <w:r>
              <w:rPr>
                <w:color w:val="000000"/>
              </w:rPr>
              <w:t>Australian certification for the carriage of livestock</w:t>
            </w:r>
          </w:p>
        </w:tc>
      </w:tr>
      <w:tr w:rsidR="00EE42CE" w14:paraId="2099928C" w14:textId="77777777">
        <w:trPr>
          <w:cantSplit/>
        </w:trPr>
        <w:tc>
          <w:tcPr>
            <w:tcW w:w="2159" w:type="dxa"/>
            <w:vAlign w:val="bottom"/>
          </w:tcPr>
          <w:p w14:paraId="49C4DC97" w14:textId="759AA836" w:rsidR="00EE42CE" w:rsidRDefault="00EE42CE">
            <w:pPr>
              <w:keepNext/>
              <w:pBdr>
                <w:top w:val="nil"/>
                <w:left w:val="nil"/>
                <w:bottom w:val="nil"/>
                <w:right w:val="nil"/>
                <w:between w:val="nil"/>
              </w:pBdr>
              <w:spacing w:before="60" w:after="60"/>
              <w:rPr>
                <w:color w:val="000000"/>
              </w:rPr>
            </w:pPr>
            <w:r>
              <w:rPr>
                <w:color w:val="000000"/>
              </w:rPr>
              <w:t>ALAN</w:t>
            </w:r>
          </w:p>
        </w:tc>
        <w:tc>
          <w:tcPr>
            <w:tcW w:w="6857" w:type="dxa"/>
            <w:vAlign w:val="bottom"/>
          </w:tcPr>
          <w:p w14:paraId="204F631A" w14:textId="6F178B00" w:rsidR="00EE42CE" w:rsidRDefault="00EE42CE">
            <w:pPr>
              <w:keepNext/>
              <w:pBdr>
                <w:top w:val="nil"/>
                <w:left w:val="nil"/>
                <w:bottom w:val="nil"/>
                <w:right w:val="nil"/>
                <w:between w:val="nil"/>
              </w:pBdr>
              <w:spacing w:before="60" w:after="60"/>
              <w:rPr>
                <w:color w:val="000000"/>
              </w:rPr>
            </w:pPr>
            <w:r>
              <w:rPr>
                <w:szCs w:val="22"/>
              </w:rPr>
              <w:t>Artificial light at night</w:t>
            </w:r>
          </w:p>
        </w:tc>
      </w:tr>
      <w:tr w:rsidR="00C44AF7" w14:paraId="45E2BCBE" w14:textId="77777777">
        <w:trPr>
          <w:cantSplit/>
        </w:trPr>
        <w:tc>
          <w:tcPr>
            <w:tcW w:w="2159" w:type="dxa"/>
            <w:vAlign w:val="bottom"/>
          </w:tcPr>
          <w:p w14:paraId="578AEC45" w14:textId="17413848" w:rsidR="00C44AF7" w:rsidRDefault="00C44AF7">
            <w:pPr>
              <w:keepNext/>
              <w:pBdr>
                <w:top w:val="nil"/>
                <w:left w:val="nil"/>
                <w:bottom w:val="nil"/>
                <w:right w:val="nil"/>
                <w:between w:val="nil"/>
              </w:pBdr>
              <w:spacing w:before="60" w:after="60"/>
              <w:rPr>
                <w:color w:val="000000"/>
              </w:rPr>
            </w:pPr>
            <w:r>
              <w:rPr>
                <w:szCs w:val="22"/>
              </w:rPr>
              <w:t>AMSA</w:t>
            </w:r>
          </w:p>
        </w:tc>
        <w:tc>
          <w:tcPr>
            <w:tcW w:w="6857" w:type="dxa"/>
            <w:vAlign w:val="bottom"/>
          </w:tcPr>
          <w:p w14:paraId="0796F933" w14:textId="3BDE1C03" w:rsidR="00C44AF7" w:rsidRDefault="00C44AF7">
            <w:pPr>
              <w:keepNext/>
              <w:pBdr>
                <w:top w:val="nil"/>
                <w:left w:val="nil"/>
                <w:bottom w:val="nil"/>
                <w:right w:val="nil"/>
                <w:between w:val="nil"/>
              </w:pBdr>
              <w:spacing w:before="60" w:after="60"/>
              <w:rPr>
                <w:color w:val="000000"/>
              </w:rPr>
            </w:pPr>
            <w:r>
              <w:rPr>
                <w:color w:val="000000"/>
              </w:rPr>
              <w:t>Australian Maritime Safety Authority</w:t>
            </w:r>
          </w:p>
        </w:tc>
      </w:tr>
      <w:tr w:rsidR="000F253D" w14:paraId="168C182E" w14:textId="77777777">
        <w:trPr>
          <w:cantSplit/>
        </w:trPr>
        <w:tc>
          <w:tcPr>
            <w:tcW w:w="2159" w:type="dxa"/>
            <w:vAlign w:val="bottom"/>
          </w:tcPr>
          <w:p w14:paraId="7EF009B8" w14:textId="026AB227" w:rsidR="000F253D" w:rsidRDefault="000F253D">
            <w:pPr>
              <w:keepNext/>
              <w:pBdr>
                <w:top w:val="nil"/>
                <w:left w:val="nil"/>
                <w:bottom w:val="nil"/>
                <w:right w:val="nil"/>
                <w:between w:val="nil"/>
              </w:pBdr>
              <w:spacing w:before="60" w:after="60"/>
              <w:rPr>
                <w:color w:val="000000"/>
              </w:rPr>
            </w:pPr>
            <w:r>
              <w:rPr>
                <w:szCs w:val="22"/>
              </w:rPr>
              <w:t>ASEL</w:t>
            </w:r>
          </w:p>
        </w:tc>
        <w:tc>
          <w:tcPr>
            <w:tcW w:w="6857" w:type="dxa"/>
            <w:vAlign w:val="bottom"/>
          </w:tcPr>
          <w:p w14:paraId="59B1D6D9" w14:textId="1A184ED8" w:rsidR="000F253D" w:rsidRDefault="000F253D">
            <w:pPr>
              <w:keepNext/>
              <w:pBdr>
                <w:top w:val="nil"/>
                <w:left w:val="nil"/>
                <w:bottom w:val="nil"/>
                <w:right w:val="nil"/>
                <w:between w:val="nil"/>
              </w:pBdr>
              <w:spacing w:before="60" w:after="60"/>
              <w:rPr>
                <w:color w:val="000000"/>
              </w:rPr>
            </w:pPr>
            <w:r>
              <w:rPr>
                <w:szCs w:val="22"/>
              </w:rPr>
              <w:t xml:space="preserve">Australian Standards for the Export of Livestock </w:t>
            </w:r>
          </w:p>
        </w:tc>
      </w:tr>
      <w:tr w:rsidR="003E15C2" w14:paraId="3441F92C" w14:textId="77777777">
        <w:trPr>
          <w:cantSplit/>
        </w:trPr>
        <w:tc>
          <w:tcPr>
            <w:tcW w:w="2159" w:type="dxa"/>
            <w:vAlign w:val="bottom"/>
          </w:tcPr>
          <w:p w14:paraId="7171E430" w14:textId="77777777" w:rsidR="003E15C2" w:rsidRDefault="003E15C2">
            <w:pPr>
              <w:keepNext/>
              <w:pBdr>
                <w:top w:val="nil"/>
                <w:left w:val="nil"/>
                <w:bottom w:val="nil"/>
                <w:right w:val="nil"/>
                <w:between w:val="nil"/>
              </w:pBdr>
              <w:spacing w:before="60" w:after="60"/>
              <w:rPr>
                <w:color w:val="000000"/>
              </w:rPr>
            </w:pPr>
            <w:r>
              <w:rPr>
                <w:color w:val="000000"/>
              </w:rPr>
              <w:t>BRM</w:t>
            </w:r>
          </w:p>
        </w:tc>
        <w:tc>
          <w:tcPr>
            <w:tcW w:w="6857" w:type="dxa"/>
            <w:vAlign w:val="bottom"/>
          </w:tcPr>
          <w:p w14:paraId="394C03FE" w14:textId="5B5E8048" w:rsidR="003E15C2" w:rsidRDefault="00E34E86">
            <w:pPr>
              <w:keepNext/>
              <w:pBdr>
                <w:top w:val="nil"/>
                <w:left w:val="nil"/>
                <w:bottom w:val="nil"/>
                <w:right w:val="nil"/>
                <w:between w:val="nil"/>
              </w:pBdr>
              <w:spacing w:before="60" w:after="60"/>
              <w:rPr>
                <w:color w:val="000000"/>
              </w:rPr>
            </w:pPr>
            <w:r>
              <w:rPr>
                <w:color w:val="000000"/>
              </w:rPr>
              <w:t>B</w:t>
            </w:r>
            <w:r w:rsidR="00ED0901">
              <w:rPr>
                <w:color w:val="000000"/>
              </w:rPr>
              <w:t xml:space="preserve">iosecurity </w:t>
            </w:r>
            <w:r w:rsidR="003E15C2">
              <w:rPr>
                <w:color w:val="000000"/>
              </w:rPr>
              <w:t>risk material</w:t>
            </w:r>
          </w:p>
        </w:tc>
      </w:tr>
      <w:tr w:rsidR="00C44AF7" w14:paraId="4A327E9C" w14:textId="77777777">
        <w:trPr>
          <w:cantSplit/>
        </w:trPr>
        <w:tc>
          <w:tcPr>
            <w:tcW w:w="2159" w:type="dxa"/>
            <w:vAlign w:val="bottom"/>
          </w:tcPr>
          <w:p w14:paraId="18ACB587" w14:textId="45E066C5" w:rsidR="00C44AF7" w:rsidRDefault="00C44AF7">
            <w:pPr>
              <w:keepNext/>
              <w:pBdr>
                <w:top w:val="nil"/>
                <w:left w:val="nil"/>
                <w:bottom w:val="nil"/>
                <w:right w:val="nil"/>
                <w:between w:val="nil"/>
              </w:pBdr>
              <w:spacing w:before="60" w:after="60"/>
              <w:rPr>
                <w:color w:val="000000"/>
              </w:rPr>
            </w:pPr>
            <w:r>
              <w:rPr>
                <w:color w:val="000000"/>
              </w:rPr>
              <w:t>BSD</w:t>
            </w:r>
          </w:p>
        </w:tc>
        <w:tc>
          <w:tcPr>
            <w:tcW w:w="6857" w:type="dxa"/>
            <w:vAlign w:val="bottom"/>
          </w:tcPr>
          <w:p w14:paraId="34BCCDDE" w14:textId="518B4DCD" w:rsidR="00C44AF7" w:rsidDel="00ED0901" w:rsidRDefault="00EF135F">
            <w:pPr>
              <w:keepNext/>
              <w:pBdr>
                <w:top w:val="nil"/>
                <w:left w:val="nil"/>
                <w:bottom w:val="nil"/>
                <w:right w:val="nil"/>
                <w:between w:val="nil"/>
              </w:pBdr>
              <w:spacing w:before="60" w:after="60"/>
              <w:rPr>
                <w:color w:val="000000"/>
              </w:rPr>
            </w:pPr>
            <w:r>
              <w:rPr>
                <w:color w:val="000000"/>
              </w:rPr>
              <w:t>B</w:t>
            </w:r>
            <w:r w:rsidR="00C44AF7">
              <w:rPr>
                <w:color w:val="000000"/>
              </w:rPr>
              <w:t>iosecurity status document</w:t>
            </w:r>
          </w:p>
        </w:tc>
      </w:tr>
      <w:tr w:rsidR="003E15C2" w14:paraId="55A3B3AC" w14:textId="77777777">
        <w:trPr>
          <w:cantSplit/>
        </w:trPr>
        <w:tc>
          <w:tcPr>
            <w:tcW w:w="2159" w:type="dxa"/>
            <w:vAlign w:val="bottom"/>
          </w:tcPr>
          <w:p w14:paraId="6200D4EA" w14:textId="77777777" w:rsidR="003E15C2" w:rsidRDefault="003E15C2">
            <w:pPr>
              <w:keepNext/>
              <w:pBdr>
                <w:top w:val="nil"/>
                <w:left w:val="nil"/>
                <w:bottom w:val="nil"/>
                <w:right w:val="nil"/>
                <w:between w:val="nil"/>
              </w:pBdr>
              <w:spacing w:before="60" w:after="60"/>
              <w:rPr>
                <w:color w:val="000000"/>
              </w:rPr>
            </w:pPr>
            <w:r>
              <w:rPr>
                <w:color w:val="000000"/>
              </w:rPr>
              <w:t>DAFF</w:t>
            </w:r>
          </w:p>
        </w:tc>
        <w:tc>
          <w:tcPr>
            <w:tcW w:w="6857" w:type="dxa"/>
            <w:vAlign w:val="bottom"/>
          </w:tcPr>
          <w:p w14:paraId="54F4FD3B" w14:textId="3DF90540" w:rsidR="003E15C2" w:rsidRDefault="003E15C2">
            <w:pPr>
              <w:keepNext/>
              <w:pBdr>
                <w:top w:val="nil"/>
                <w:left w:val="nil"/>
                <w:bottom w:val="nil"/>
                <w:right w:val="nil"/>
                <w:between w:val="nil"/>
              </w:pBdr>
              <w:spacing w:before="60" w:after="60"/>
              <w:rPr>
                <w:color w:val="000000"/>
              </w:rPr>
            </w:pPr>
            <w:r>
              <w:rPr>
                <w:color w:val="000000"/>
              </w:rPr>
              <w:t>the Department of Agriculture, Fisheries and Forestry</w:t>
            </w:r>
            <w:r w:rsidR="00283B60">
              <w:rPr>
                <w:color w:val="000000"/>
              </w:rPr>
              <w:t xml:space="preserve"> (the Department)</w:t>
            </w:r>
          </w:p>
        </w:tc>
      </w:tr>
      <w:tr w:rsidR="00F1615C" w14:paraId="6FD76D71" w14:textId="77777777">
        <w:trPr>
          <w:cantSplit/>
        </w:trPr>
        <w:tc>
          <w:tcPr>
            <w:tcW w:w="2159" w:type="dxa"/>
            <w:vAlign w:val="bottom"/>
          </w:tcPr>
          <w:p w14:paraId="26A894D9" w14:textId="5D8C9A64" w:rsidR="00F1615C" w:rsidRDefault="00F1615C">
            <w:pPr>
              <w:keepNext/>
              <w:pBdr>
                <w:top w:val="nil"/>
                <w:left w:val="nil"/>
                <w:bottom w:val="nil"/>
                <w:right w:val="nil"/>
                <w:between w:val="nil"/>
              </w:pBdr>
              <w:spacing w:before="60" w:after="60"/>
              <w:rPr>
                <w:color w:val="000000"/>
              </w:rPr>
            </w:pPr>
            <w:r>
              <w:rPr>
                <w:color w:val="000000"/>
              </w:rPr>
              <w:t>EAD</w:t>
            </w:r>
          </w:p>
        </w:tc>
        <w:tc>
          <w:tcPr>
            <w:tcW w:w="6857" w:type="dxa"/>
            <w:vAlign w:val="bottom"/>
          </w:tcPr>
          <w:p w14:paraId="2C6312DD" w14:textId="2EF5E76C" w:rsidR="00F1615C" w:rsidRDefault="00F1615C">
            <w:pPr>
              <w:keepNext/>
              <w:pBdr>
                <w:top w:val="nil"/>
                <w:left w:val="nil"/>
                <w:bottom w:val="nil"/>
                <w:right w:val="nil"/>
                <w:between w:val="nil"/>
              </w:pBdr>
              <w:spacing w:before="60" w:after="60"/>
              <w:rPr>
                <w:color w:val="000000"/>
              </w:rPr>
            </w:pPr>
            <w:r>
              <w:rPr>
                <w:color w:val="000000"/>
              </w:rPr>
              <w:t xml:space="preserve">Emergency animal disease </w:t>
            </w:r>
          </w:p>
        </w:tc>
      </w:tr>
      <w:tr w:rsidR="003E15C2" w14:paraId="20A623B5" w14:textId="77777777">
        <w:trPr>
          <w:cantSplit/>
        </w:trPr>
        <w:tc>
          <w:tcPr>
            <w:tcW w:w="2159" w:type="dxa"/>
            <w:vAlign w:val="bottom"/>
          </w:tcPr>
          <w:p w14:paraId="0430B544" w14:textId="77777777" w:rsidR="003E15C2" w:rsidRDefault="003E15C2">
            <w:pPr>
              <w:keepNext/>
              <w:pBdr>
                <w:top w:val="nil"/>
                <w:left w:val="nil"/>
                <w:bottom w:val="nil"/>
                <w:right w:val="nil"/>
                <w:between w:val="nil"/>
              </w:pBdr>
              <w:spacing w:before="60" w:after="60"/>
              <w:rPr>
                <w:color w:val="000000"/>
              </w:rPr>
            </w:pPr>
            <w:r>
              <w:rPr>
                <w:color w:val="000000"/>
              </w:rPr>
              <w:t>FMD</w:t>
            </w:r>
          </w:p>
        </w:tc>
        <w:tc>
          <w:tcPr>
            <w:tcW w:w="6857" w:type="dxa"/>
            <w:vAlign w:val="bottom"/>
          </w:tcPr>
          <w:p w14:paraId="5BA694C5" w14:textId="50CE1153" w:rsidR="003E15C2" w:rsidRDefault="00EF135F">
            <w:pPr>
              <w:keepNext/>
              <w:pBdr>
                <w:top w:val="nil"/>
                <w:left w:val="nil"/>
                <w:bottom w:val="nil"/>
                <w:right w:val="nil"/>
                <w:between w:val="nil"/>
              </w:pBdr>
              <w:spacing w:before="60" w:after="60"/>
              <w:rPr>
                <w:color w:val="000000"/>
              </w:rPr>
            </w:pPr>
            <w:r>
              <w:rPr>
                <w:color w:val="000000"/>
              </w:rPr>
              <w:t>F</w:t>
            </w:r>
            <w:r w:rsidR="003E15C2">
              <w:rPr>
                <w:color w:val="000000"/>
              </w:rPr>
              <w:t>oot and mouth disease</w:t>
            </w:r>
          </w:p>
        </w:tc>
      </w:tr>
      <w:tr w:rsidR="003E15C2" w14:paraId="60FE6D71" w14:textId="77777777">
        <w:trPr>
          <w:cantSplit/>
        </w:trPr>
        <w:tc>
          <w:tcPr>
            <w:tcW w:w="2159" w:type="dxa"/>
            <w:vAlign w:val="bottom"/>
          </w:tcPr>
          <w:p w14:paraId="20B49DF0" w14:textId="77777777" w:rsidR="003E15C2" w:rsidRDefault="003E15C2">
            <w:pPr>
              <w:keepNext/>
              <w:pBdr>
                <w:top w:val="nil"/>
                <w:left w:val="nil"/>
                <w:bottom w:val="nil"/>
                <w:right w:val="nil"/>
                <w:between w:val="nil"/>
              </w:pBdr>
              <w:spacing w:before="60" w:after="60"/>
              <w:rPr>
                <w:color w:val="000000"/>
              </w:rPr>
            </w:pPr>
            <w:r>
              <w:rPr>
                <w:color w:val="000000"/>
              </w:rPr>
              <w:t>FMDV</w:t>
            </w:r>
          </w:p>
        </w:tc>
        <w:tc>
          <w:tcPr>
            <w:tcW w:w="6857" w:type="dxa"/>
            <w:vAlign w:val="bottom"/>
          </w:tcPr>
          <w:p w14:paraId="4C1BC918" w14:textId="77180560" w:rsidR="003E15C2" w:rsidRDefault="00EF135F">
            <w:pPr>
              <w:keepNext/>
              <w:pBdr>
                <w:top w:val="nil"/>
                <w:left w:val="nil"/>
                <w:bottom w:val="nil"/>
                <w:right w:val="nil"/>
                <w:between w:val="nil"/>
              </w:pBdr>
              <w:spacing w:before="60" w:after="60"/>
              <w:rPr>
                <w:color w:val="000000"/>
              </w:rPr>
            </w:pPr>
            <w:r>
              <w:rPr>
                <w:color w:val="000000"/>
              </w:rPr>
              <w:t>F</w:t>
            </w:r>
            <w:r w:rsidR="003E15C2">
              <w:rPr>
                <w:color w:val="000000"/>
              </w:rPr>
              <w:t>oot and mouth disease virus</w:t>
            </w:r>
          </w:p>
        </w:tc>
      </w:tr>
      <w:tr w:rsidR="003E15C2" w14:paraId="0A2BFE06" w14:textId="77777777">
        <w:trPr>
          <w:cantSplit/>
        </w:trPr>
        <w:tc>
          <w:tcPr>
            <w:tcW w:w="2159" w:type="dxa"/>
            <w:vAlign w:val="bottom"/>
          </w:tcPr>
          <w:p w14:paraId="1BB96C15" w14:textId="77777777" w:rsidR="003E15C2" w:rsidRDefault="003E15C2">
            <w:pPr>
              <w:keepNext/>
              <w:pBdr>
                <w:top w:val="nil"/>
                <w:left w:val="nil"/>
                <w:bottom w:val="nil"/>
                <w:right w:val="nil"/>
                <w:between w:val="nil"/>
              </w:pBdr>
              <w:spacing w:before="60" w:after="60"/>
              <w:rPr>
                <w:color w:val="000000"/>
              </w:rPr>
            </w:pPr>
            <w:r>
              <w:rPr>
                <w:color w:val="000000"/>
              </w:rPr>
              <w:t>LSD</w:t>
            </w:r>
          </w:p>
        </w:tc>
        <w:tc>
          <w:tcPr>
            <w:tcW w:w="6857" w:type="dxa"/>
            <w:vAlign w:val="bottom"/>
          </w:tcPr>
          <w:p w14:paraId="337427EA" w14:textId="7A61D61E" w:rsidR="003E15C2" w:rsidRDefault="00EF135F">
            <w:pPr>
              <w:keepNext/>
              <w:pBdr>
                <w:top w:val="nil"/>
                <w:left w:val="nil"/>
                <w:bottom w:val="nil"/>
                <w:right w:val="nil"/>
                <w:between w:val="nil"/>
              </w:pBdr>
              <w:spacing w:before="60" w:after="60"/>
              <w:rPr>
                <w:color w:val="000000"/>
              </w:rPr>
            </w:pPr>
            <w:r>
              <w:rPr>
                <w:color w:val="000000"/>
              </w:rPr>
              <w:t>L</w:t>
            </w:r>
            <w:r w:rsidR="003E15C2">
              <w:rPr>
                <w:color w:val="000000"/>
              </w:rPr>
              <w:t>umpy skin disease</w:t>
            </w:r>
          </w:p>
        </w:tc>
      </w:tr>
      <w:tr w:rsidR="003E15C2" w14:paraId="0F2A905D" w14:textId="77777777">
        <w:trPr>
          <w:cantSplit/>
        </w:trPr>
        <w:tc>
          <w:tcPr>
            <w:tcW w:w="2159" w:type="dxa"/>
            <w:vAlign w:val="bottom"/>
          </w:tcPr>
          <w:p w14:paraId="54BCE0A1" w14:textId="77777777" w:rsidR="003E15C2" w:rsidRDefault="003E15C2">
            <w:pPr>
              <w:keepNext/>
              <w:pBdr>
                <w:top w:val="nil"/>
                <w:left w:val="nil"/>
                <w:bottom w:val="nil"/>
                <w:right w:val="nil"/>
                <w:between w:val="nil"/>
              </w:pBdr>
              <w:spacing w:before="60" w:after="60"/>
              <w:rPr>
                <w:color w:val="000000"/>
              </w:rPr>
            </w:pPr>
            <w:r>
              <w:rPr>
                <w:color w:val="000000"/>
              </w:rPr>
              <w:t>LSDV</w:t>
            </w:r>
          </w:p>
        </w:tc>
        <w:tc>
          <w:tcPr>
            <w:tcW w:w="6857" w:type="dxa"/>
            <w:vAlign w:val="bottom"/>
          </w:tcPr>
          <w:p w14:paraId="6D026005" w14:textId="0331F5EC" w:rsidR="003E15C2" w:rsidRDefault="00EF135F">
            <w:pPr>
              <w:keepNext/>
              <w:pBdr>
                <w:top w:val="nil"/>
                <w:left w:val="nil"/>
                <w:bottom w:val="nil"/>
                <w:right w:val="nil"/>
                <w:between w:val="nil"/>
              </w:pBdr>
              <w:spacing w:before="60" w:after="60"/>
              <w:rPr>
                <w:color w:val="000000"/>
              </w:rPr>
            </w:pPr>
            <w:r>
              <w:rPr>
                <w:color w:val="000000"/>
              </w:rPr>
              <w:t>L</w:t>
            </w:r>
            <w:r w:rsidR="003E15C2">
              <w:rPr>
                <w:color w:val="000000"/>
              </w:rPr>
              <w:t xml:space="preserve">umpy skin disease virus </w:t>
            </w:r>
          </w:p>
        </w:tc>
      </w:tr>
      <w:tr w:rsidR="003E15C2" w14:paraId="5DD7C951" w14:textId="77777777">
        <w:trPr>
          <w:cantSplit/>
        </w:trPr>
        <w:tc>
          <w:tcPr>
            <w:tcW w:w="2159" w:type="dxa"/>
            <w:vAlign w:val="bottom"/>
          </w:tcPr>
          <w:p w14:paraId="6EF0EC84" w14:textId="77777777" w:rsidR="003E15C2" w:rsidRDefault="003E15C2">
            <w:pPr>
              <w:keepNext/>
              <w:pBdr>
                <w:top w:val="nil"/>
                <w:left w:val="nil"/>
                <w:bottom w:val="nil"/>
                <w:right w:val="nil"/>
                <w:between w:val="nil"/>
              </w:pBdr>
              <w:spacing w:before="60" w:after="60"/>
              <w:rPr>
                <w:color w:val="000000"/>
              </w:rPr>
            </w:pPr>
            <w:r>
              <w:rPr>
                <w:color w:val="000000"/>
              </w:rPr>
              <w:t>MARPOL</w:t>
            </w:r>
          </w:p>
        </w:tc>
        <w:tc>
          <w:tcPr>
            <w:tcW w:w="6857" w:type="dxa"/>
            <w:vAlign w:val="bottom"/>
          </w:tcPr>
          <w:p w14:paraId="2BAE6EA7" w14:textId="77777777" w:rsidR="003E15C2" w:rsidRDefault="003E15C2">
            <w:pPr>
              <w:keepNext/>
              <w:pBdr>
                <w:top w:val="nil"/>
                <w:left w:val="nil"/>
                <w:bottom w:val="nil"/>
                <w:right w:val="nil"/>
                <w:between w:val="nil"/>
              </w:pBdr>
              <w:spacing w:before="60" w:after="60"/>
              <w:rPr>
                <w:color w:val="000000"/>
              </w:rPr>
            </w:pPr>
            <w:r>
              <w:rPr>
                <w:color w:val="000000"/>
              </w:rPr>
              <w:t>International Convention for the Prevention of Pollution from Ships</w:t>
            </w:r>
          </w:p>
        </w:tc>
      </w:tr>
      <w:tr w:rsidR="003E15C2" w14:paraId="6BA8D873" w14:textId="77777777">
        <w:trPr>
          <w:cantSplit/>
        </w:trPr>
        <w:tc>
          <w:tcPr>
            <w:tcW w:w="2159" w:type="dxa"/>
            <w:vAlign w:val="bottom"/>
          </w:tcPr>
          <w:p w14:paraId="3A5321A9" w14:textId="77777777" w:rsidR="003E15C2" w:rsidRDefault="003E15C2">
            <w:pPr>
              <w:keepNext/>
              <w:pBdr>
                <w:top w:val="nil"/>
                <w:left w:val="nil"/>
                <w:bottom w:val="nil"/>
                <w:right w:val="nil"/>
                <w:between w:val="nil"/>
              </w:pBdr>
              <w:spacing w:before="60" w:after="60"/>
              <w:rPr>
                <w:color w:val="000000"/>
              </w:rPr>
            </w:pPr>
            <w:r>
              <w:rPr>
                <w:color w:val="000000"/>
              </w:rPr>
              <w:t>NWS</w:t>
            </w:r>
          </w:p>
        </w:tc>
        <w:tc>
          <w:tcPr>
            <w:tcW w:w="6857" w:type="dxa"/>
            <w:vAlign w:val="bottom"/>
          </w:tcPr>
          <w:p w14:paraId="223F2631" w14:textId="6B547100" w:rsidR="003E15C2" w:rsidRDefault="003E15C2">
            <w:pPr>
              <w:keepNext/>
              <w:pBdr>
                <w:top w:val="nil"/>
                <w:left w:val="nil"/>
                <w:bottom w:val="nil"/>
                <w:right w:val="nil"/>
                <w:between w:val="nil"/>
              </w:pBdr>
              <w:spacing w:before="60" w:after="60"/>
              <w:rPr>
                <w:color w:val="000000"/>
              </w:rPr>
            </w:pPr>
            <w:r>
              <w:rPr>
                <w:color w:val="000000"/>
              </w:rPr>
              <w:t>New world screwworm fly</w:t>
            </w:r>
            <w:r w:rsidR="001C31C0">
              <w:rPr>
                <w:color w:val="000000"/>
              </w:rPr>
              <w:t xml:space="preserve"> (</w:t>
            </w:r>
            <w:r w:rsidR="001C31C0">
              <w:rPr>
                <w:i/>
                <w:iCs/>
                <w:szCs w:val="22"/>
              </w:rPr>
              <w:t>Cochliomyia hominivorax)</w:t>
            </w:r>
          </w:p>
        </w:tc>
      </w:tr>
      <w:tr w:rsidR="003E15C2" w14:paraId="1F795FA1" w14:textId="77777777">
        <w:trPr>
          <w:cantSplit/>
        </w:trPr>
        <w:tc>
          <w:tcPr>
            <w:tcW w:w="2159" w:type="dxa"/>
            <w:vAlign w:val="bottom"/>
          </w:tcPr>
          <w:p w14:paraId="4784ABE3" w14:textId="77777777" w:rsidR="003E15C2" w:rsidRDefault="003E15C2">
            <w:pPr>
              <w:keepNext/>
              <w:pBdr>
                <w:top w:val="nil"/>
                <w:left w:val="nil"/>
                <w:bottom w:val="nil"/>
                <w:right w:val="nil"/>
                <w:between w:val="nil"/>
              </w:pBdr>
              <w:spacing w:before="60" w:after="60"/>
              <w:rPr>
                <w:color w:val="000000"/>
              </w:rPr>
            </w:pPr>
            <w:r>
              <w:rPr>
                <w:color w:val="000000"/>
              </w:rPr>
              <w:t>OWS</w:t>
            </w:r>
          </w:p>
        </w:tc>
        <w:tc>
          <w:tcPr>
            <w:tcW w:w="6857" w:type="dxa"/>
            <w:vAlign w:val="bottom"/>
          </w:tcPr>
          <w:p w14:paraId="47C303E6" w14:textId="6A5F016C" w:rsidR="003E15C2" w:rsidRDefault="003E15C2">
            <w:pPr>
              <w:keepNext/>
              <w:pBdr>
                <w:top w:val="nil"/>
                <w:left w:val="nil"/>
                <w:bottom w:val="nil"/>
                <w:right w:val="nil"/>
                <w:between w:val="nil"/>
              </w:pBdr>
              <w:spacing w:before="60" w:after="60"/>
              <w:rPr>
                <w:color w:val="000000"/>
              </w:rPr>
            </w:pPr>
            <w:r>
              <w:rPr>
                <w:color w:val="000000"/>
              </w:rPr>
              <w:t>Old world screwworm fly</w:t>
            </w:r>
            <w:r w:rsidR="001C31C0">
              <w:rPr>
                <w:color w:val="000000"/>
              </w:rPr>
              <w:t xml:space="preserve"> (</w:t>
            </w:r>
            <w:r w:rsidR="001C31C0">
              <w:rPr>
                <w:i/>
                <w:iCs/>
                <w:szCs w:val="22"/>
              </w:rPr>
              <w:t>Chrysomya bezziana)</w:t>
            </w:r>
          </w:p>
        </w:tc>
      </w:tr>
      <w:tr w:rsidR="003E15C2" w14:paraId="127985DA" w14:textId="77777777">
        <w:trPr>
          <w:cantSplit/>
        </w:trPr>
        <w:tc>
          <w:tcPr>
            <w:tcW w:w="2159" w:type="dxa"/>
            <w:vAlign w:val="bottom"/>
          </w:tcPr>
          <w:p w14:paraId="0E566B7F" w14:textId="77777777" w:rsidR="003E15C2" w:rsidRDefault="003E15C2">
            <w:pPr>
              <w:keepNext/>
              <w:pBdr>
                <w:top w:val="nil"/>
                <w:left w:val="nil"/>
                <w:bottom w:val="nil"/>
                <w:right w:val="nil"/>
                <w:between w:val="nil"/>
              </w:pBdr>
              <w:spacing w:before="60" w:after="60"/>
              <w:rPr>
                <w:color w:val="000000"/>
              </w:rPr>
            </w:pPr>
            <w:r>
              <w:rPr>
                <w:color w:val="000000"/>
              </w:rPr>
              <w:t>PAR</w:t>
            </w:r>
          </w:p>
        </w:tc>
        <w:tc>
          <w:tcPr>
            <w:tcW w:w="6857" w:type="dxa"/>
            <w:vAlign w:val="bottom"/>
          </w:tcPr>
          <w:p w14:paraId="2466AFF8" w14:textId="77777777" w:rsidR="003E15C2" w:rsidRDefault="003E15C2">
            <w:pPr>
              <w:keepNext/>
              <w:pBdr>
                <w:top w:val="nil"/>
                <w:left w:val="nil"/>
                <w:bottom w:val="nil"/>
                <w:right w:val="nil"/>
                <w:between w:val="nil"/>
              </w:pBdr>
              <w:spacing w:before="60" w:after="60"/>
              <w:rPr>
                <w:color w:val="000000"/>
              </w:rPr>
            </w:pPr>
            <w:r>
              <w:rPr>
                <w:color w:val="000000"/>
              </w:rPr>
              <w:t>Pre-arrival report</w:t>
            </w:r>
          </w:p>
        </w:tc>
      </w:tr>
      <w:tr w:rsidR="003E15C2" w14:paraId="5B7D7809" w14:textId="77777777">
        <w:trPr>
          <w:cantSplit/>
        </w:trPr>
        <w:tc>
          <w:tcPr>
            <w:tcW w:w="2159" w:type="dxa"/>
            <w:vAlign w:val="bottom"/>
          </w:tcPr>
          <w:p w14:paraId="5B10BDFB" w14:textId="77777777" w:rsidR="003E15C2" w:rsidRDefault="003E15C2">
            <w:pPr>
              <w:keepNext/>
              <w:pBdr>
                <w:top w:val="nil"/>
                <w:left w:val="nil"/>
                <w:bottom w:val="nil"/>
                <w:right w:val="nil"/>
                <w:between w:val="nil"/>
              </w:pBdr>
              <w:spacing w:before="60" w:after="60"/>
              <w:rPr>
                <w:color w:val="000000"/>
              </w:rPr>
            </w:pPr>
            <w:r>
              <w:rPr>
                <w:color w:val="000000"/>
              </w:rPr>
              <w:t>RA</w:t>
            </w:r>
          </w:p>
        </w:tc>
        <w:tc>
          <w:tcPr>
            <w:tcW w:w="6857" w:type="dxa"/>
            <w:vAlign w:val="bottom"/>
          </w:tcPr>
          <w:p w14:paraId="2C553275" w14:textId="4E6A84F0" w:rsidR="003E15C2" w:rsidRDefault="00EF135F">
            <w:pPr>
              <w:keepNext/>
              <w:pBdr>
                <w:top w:val="nil"/>
                <w:left w:val="nil"/>
                <w:bottom w:val="nil"/>
                <w:right w:val="nil"/>
                <w:between w:val="nil"/>
              </w:pBdr>
              <w:spacing w:before="60" w:after="60"/>
              <w:rPr>
                <w:color w:val="000000"/>
              </w:rPr>
            </w:pPr>
            <w:r>
              <w:rPr>
                <w:color w:val="000000"/>
              </w:rPr>
              <w:t>R</w:t>
            </w:r>
            <w:r w:rsidR="003E15C2">
              <w:rPr>
                <w:color w:val="000000"/>
              </w:rPr>
              <w:t>isk assessment</w:t>
            </w:r>
          </w:p>
        </w:tc>
      </w:tr>
      <w:tr w:rsidR="009234AD" w14:paraId="4CF46812" w14:textId="77777777">
        <w:trPr>
          <w:cantSplit/>
        </w:trPr>
        <w:tc>
          <w:tcPr>
            <w:tcW w:w="2159" w:type="dxa"/>
            <w:vAlign w:val="bottom"/>
          </w:tcPr>
          <w:p w14:paraId="1EECA832" w14:textId="43C9E2AD" w:rsidR="009234AD" w:rsidRDefault="009234AD">
            <w:pPr>
              <w:keepNext/>
              <w:pBdr>
                <w:top w:val="nil"/>
                <w:left w:val="nil"/>
                <w:bottom w:val="nil"/>
                <w:right w:val="nil"/>
                <w:between w:val="nil"/>
              </w:pBdr>
              <w:spacing w:before="60" w:after="60"/>
              <w:rPr>
                <w:color w:val="000000"/>
              </w:rPr>
            </w:pPr>
            <w:r>
              <w:rPr>
                <w:color w:val="000000"/>
              </w:rPr>
              <w:t>WHS</w:t>
            </w:r>
          </w:p>
        </w:tc>
        <w:tc>
          <w:tcPr>
            <w:tcW w:w="6857" w:type="dxa"/>
            <w:vAlign w:val="bottom"/>
          </w:tcPr>
          <w:p w14:paraId="77FD56B5" w14:textId="04DB5D04" w:rsidR="009234AD" w:rsidRDefault="009234AD">
            <w:pPr>
              <w:keepNext/>
              <w:pBdr>
                <w:top w:val="nil"/>
                <w:left w:val="nil"/>
                <w:bottom w:val="nil"/>
                <w:right w:val="nil"/>
                <w:between w:val="nil"/>
              </w:pBdr>
              <w:spacing w:before="60" w:after="60"/>
              <w:rPr>
                <w:color w:val="000000"/>
              </w:rPr>
            </w:pPr>
            <w:r>
              <w:rPr>
                <w:color w:val="000000"/>
              </w:rPr>
              <w:t xml:space="preserve">Work health </w:t>
            </w:r>
            <w:r w:rsidR="00BF5151">
              <w:rPr>
                <w:color w:val="000000"/>
              </w:rPr>
              <w:t>and</w:t>
            </w:r>
            <w:r>
              <w:rPr>
                <w:color w:val="000000"/>
              </w:rPr>
              <w:t xml:space="preserve"> safety</w:t>
            </w:r>
          </w:p>
        </w:tc>
      </w:tr>
      <w:tr w:rsidR="003E15C2" w14:paraId="0404D260" w14:textId="77777777">
        <w:trPr>
          <w:cantSplit/>
        </w:trPr>
        <w:tc>
          <w:tcPr>
            <w:tcW w:w="2159" w:type="dxa"/>
            <w:vAlign w:val="bottom"/>
          </w:tcPr>
          <w:p w14:paraId="7772E0AF" w14:textId="77777777" w:rsidR="003E15C2" w:rsidRDefault="003E15C2">
            <w:pPr>
              <w:keepNext/>
              <w:pBdr>
                <w:top w:val="nil"/>
                <w:left w:val="nil"/>
                <w:bottom w:val="nil"/>
                <w:right w:val="nil"/>
                <w:between w:val="nil"/>
              </w:pBdr>
              <w:spacing w:before="60" w:after="60"/>
              <w:rPr>
                <w:color w:val="000000"/>
              </w:rPr>
            </w:pPr>
            <w:r>
              <w:rPr>
                <w:color w:val="000000"/>
              </w:rPr>
              <w:t>WOAH</w:t>
            </w:r>
          </w:p>
        </w:tc>
        <w:tc>
          <w:tcPr>
            <w:tcW w:w="6857" w:type="dxa"/>
            <w:vAlign w:val="bottom"/>
          </w:tcPr>
          <w:p w14:paraId="0D229D9A" w14:textId="69F70575" w:rsidR="003E15C2" w:rsidRDefault="003E15C2">
            <w:pPr>
              <w:keepNext/>
              <w:pBdr>
                <w:top w:val="nil"/>
                <w:left w:val="nil"/>
                <w:bottom w:val="nil"/>
                <w:right w:val="nil"/>
                <w:between w:val="nil"/>
              </w:pBdr>
              <w:spacing w:before="60" w:after="60"/>
              <w:rPr>
                <w:color w:val="000000"/>
              </w:rPr>
            </w:pPr>
            <w:r>
              <w:rPr>
                <w:color w:val="000000"/>
              </w:rPr>
              <w:t xml:space="preserve">World </w:t>
            </w:r>
            <w:r w:rsidR="00EF135F">
              <w:rPr>
                <w:color w:val="000000"/>
              </w:rPr>
              <w:t>O</w:t>
            </w:r>
            <w:r>
              <w:rPr>
                <w:color w:val="000000"/>
              </w:rPr>
              <w:t>rganisation for Animal Health</w:t>
            </w:r>
          </w:p>
        </w:tc>
      </w:tr>
    </w:tbl>
    <w:p w14:paraId="5B36AED4" w14:textId="77777777" w:rsidR="003E15C2" w:rsidRDefault="003E15C2">
      <w:pPr>
        <w:sectPr w:rsidR="003E15C2" w:rsidSect="004D49C1">
          <w:pgSz w:w="11906" w:h="16838"/>
          <w:pgMar w:top="1440" w:right="1440" w:bottom="1440" w:left="1440" w:header="576" w:footer="576" w:gutter="0"/>
          <w:pgNumType w:start="1"/>
          <w:cols w:space="720"/>
        </w:sectPr>
      </w:pPr>
    </w:p>
    <w:p w14:paraId="12839EB1" w14:textId="77777777" w:rsidR="003E15C2" w:rsidRDefault="003E15C2" w:rsidP="009E1EA2">
      <w:pPr>
        <w:pStyle w:val="Heading1"/>
      </w:pPr>
      <w:bookmarkStart w:id="1" w:name="_Toc219289989"/>
      <w:bookmarkStart w:id="2" w:name="_Toc226796935"/>
      <w:r w:rsidRPr="00B12684">
        <w:lastRenderedPageBreak/>
        <w:t>Introduction</w:t>
      </w:r>
      <w:bookmarkEnd w:id="1"/>
      <w:bookmarkEnd w:id="2"/>
    </w:p>
    <w:p w14:paraId="5E6B9CB4" w14:textId="5F6D06E3" w:rsidR="003E15C2" w:rsidRDefault="003E15C2">
      <w:pPr>
        <w:tabs>
          <w:tab w:val="right" w:pos="9000"/>
        </w:tabs>
        <w:spacing w:before="120"/>
        <w:rPr>
          <w:rFonts w:eastAsia="Garamond" w:cs="Garamond"/>
          <w:szCs w:val="22"/>
        </w:rPr>
      </w:pPr>
      <w:r>
        <w:rPr>
          <w:rFonts w:eastAsia="Garamond" w:cs="Garamond"/>
          <w:szCs w:val="22"/>
        </w:rPr>
        <w:t>The Department of Agriculture, Fisheries and Forestry (DAFF, the Department) is responsible for regulating and managing biosecurity risks associated with livestock carrier vessels entering Australian territory. Within the Department, the maritime operations team undertakes biosecurity inspections across all vessel types during daylight hours, in accordance with current departmental decision support material.</w:t>
      </w:r>
    </w:p>
    <w:p w14:paraId="61678C44" w14:textId="58BD17C7" w:rsidR="003E15C2" w:rsidRDefault="003E15C2">
      <w:pPr>
        <w:tabs>
          <w:tab w:val="right" w:pos="9000"/>
        </w:tabs>
        <w:spacing w:before="120"/>
        <w:rPr>
          <w:rFonts w:eastAsia="Garamond" w:cs="Garamond"/>
          <w:szCs w:val="22"/>
        </w:rPr>
      </w:pPr>
      <w:r>
        <w:rPr>
          <w:rFonts w:eastAsia="Garamond" w:cs="Garamond"/>
          <w:szCs w:val="22"/>
        </w:rPr>
        <w:t xml:space="preserve">Inspection protocols (work instructions) are guided by policy and scientific advice to ensure biosecurity risks are effectively managed. Daylight inspections offer greater visibility and reliability in detecting biosecurity risk material (BRM), which is critical </w:t>
      </w:r>
      <w:r w:rsidR="00E810DD">
        <w:rPr>
          <w:rFonts w:eastAsia="Garamond" w:cs="Garamond"/>
          <w:szCs w:val="22"/>
        </w:rPr>
        <w:t xml:space="preserve">in </w:t>
      </w:r>
      <w:r>
        <w:rPr>
          <w:rFonts w:eastAsia="Garamond" w:cs="Garamond"/>
          <w:szCs w:val="22"/>
        </w:rPr>
        <w:t>maintaining Australia’s biosecurity integrity. The Department continues to remain vigilant in monitoring global biosecurity threats, including lumpy skin disease (LSD) and foot and mouth disease (FMD), and is committed to proportionate, risk-based inspection protocols.</w:t>
      </w:r>
    </w:p>
    <w:p w14:paraId="5C7CF59A" w14:textId="280A01A3" w:rsidR="003E15C2" w:rsidRDefault="003E15C2">
      <w:pPr>
        <w:tabs>
          <w:tab w:val="right" w:pos="9000"/>
        </w:tabs>
        <w:spacing w:before="120"/>
        <w:rPr>
          <w:rFonts w:eastAsia="Garamond" w:cs="Garamond"/>
          <w:szCs w:val="22"/>
        </w:rPr>
      </w:pPr>
      <w:r>
        <w:rPr>
          <w:rFonts w:eastAsia="Garamond" w:cs="Garamond"/>
          <w:szCs w:val="22"/>
        </w:rPr>
        <w:t xml:space="preserve">In 2017, the Department made the decision to cease all </w:t>
      </w:r>
      <w:r w:rsidR="006F0FD8">
        <w:rPr>
          <w:rFonts w:eastAsia="Garamond" w:cs="Garamond"/>
          <w:szCs w:val="22"/>
        </w:rPr>
        <w:t>night-time</w:t>
      </w:r>
      <w:r>
        <w:rPr>
          <w:rFonts w:eastAsia="Garamond" w:cs="Garamond"/>
          <w:szCs w:val="22"/>
        </w:rPr>
        <w:t xml:space="preserve"> vessel inspections. At that time, it was deemed that biosecurity risks could not be adequately managed during </w:t>
      </w:r>
      <w:r w:rsidR="006F0FD8">
        <w:rPr>
          <w:rFonts w:eastAsia="Garamond" w:cs="Garamond"/>
          <w:szCs w:val="22"/>
        </w:rPr>
        <w:t>night-time</w:t>
      </w:r>
      <w:r>
        <w:rPr>
          <w:rFonts w:eastAsia="Garamond" w:cs="Garamond"/>
          <w:szCs w:val="22"/>
        </w:rPr>
        <w:t xml:space="preserve"> inspections. This applied to all incoming vessels, regardless of the vessel type – commercial</w:t>
      </w:r>
      <w:r w:rsidR="005E3087">
        <w:rPr>
          <w:rFonts w:eastAsia="Garamond" w:cs="Garamond"/>
          <w:szCs w:val="22"/>
        </w:rPr>
        <w:t>,</w:t>
      </w:r>
      <w:r>
        <w:rPr>
          <w:rFonts w:eastAsia="Garamond" w:cs="Garamond"/>
          <w:szCs w:val="22"/>
        </w:rPr>
        <w:t xml:space="preserve"> non-commercial</w:t>
      </w:r>
      <w:r w:rsidR="005E3087">
        <w:rPr>
          <w:rFonts w:eastAsia="Garamond" w:cs="Garamond"/>
          <w:szCs w:val="22"/>
        </w:rPr>
        <w:t>, bulk carrier, container carrier, pleasure craft, cruise liner</w:t>
      </w:r>
      <w:r w:rsidR="00E62540">
        <w:rPr>
          <w:rFonts w:eastAsia="Garamond" w:cs="Garamond"/>
          <w:szCs w:val="22"/>
        </w:rPr>
        <w:t xml:space="preserve"> and others</w:t>
      </w:r>
      <w:r>
        <w:rPr>
          <w:rFonts w:eastAsia="Garamond" w:cs="Garamond"/>
          <w:szCs w:val="22"/>
        </w:rPr>
        <w:t>.</w:t>
      </w:r>
    </w:p>
    <w:p w14:paraId="40E6FA2C" w14:textId="73BABF64" w:rsidR="003E15C2" w:rsidRDefault="003E15C2" w:rsidP="00D93B4A">
      <w:pPr>
        <w:tabs>
          <w:tab w:val="right" w:pos="9000"/>
        </w:tabs>
        <w:spacing w:before="120"/>
        <w:rPr>
          <w:rFonts w:eastAsia="Garamond" w:cs="Garamond"/>
          <w:szCs w:val="22"/>
        </w:rPr>
      </w:pPr>
      <w:r>
        <w:rPr>
          <w:rFonts w:eastAsia="Garamond" w:cs="Garamond"/>
          <w:szCs w:val="22"/>
        </w:rPr>
        <w:t xml:space="preserve">The livestock industry has requested an independent review of existing policy and scientific evidence to evaluate the effectiveness and feasibility of </w:t>
      </w:r>
      <w:r w:rsidR="006F0FD8">
        <w:rPr>
          <w:rFonts w:eastAsia="Garamond" w:cs="Garamond"/>
          <w:szCs w:val="22"/>
        </w:rPr>
        <w:t>night-time</w:t>
      </w:r>
      <w:r>
        <w:rPr>
          <w:rFonts w:eastAsia="Garamond" w:cs="Garamond"/>
          <w:szCs w:val="22"/>
        </w:rPr>
        <w:t xml:space="preserve"> inspections.</w:t>
      </w:r>
      <w:r w:rsidR="005E3087">
        <w:rPr>
          <w:rFonts w:eastAsia="Garamond" w:cs="Garamond"/>
          <w:szCs w:val="22"/>
        </w:rPr>
        <w:t xml:space="preserve"> </w:t>
      </w:r>
      <w:r w:rsidR="00E62540">
        <w:rPr>
          <w:rFonts w:eastAsia="Garamond" w:cs="Garamond"/>
          <w:szCs w:val="22"/>
        </w:rPr>
        <w:t xml:space="preserve">Loading cattle onto vessels is logistically complex, and there are </w:t>
      </w:r>
      <w:r w:rsidR="005E3087">
        <w:rPr>
          <w:rFonts w:eastAsia="Garamond" w:cs="Garamond"/>
          <w:szCs w:val="22"/>
        </w:rPr>
        <w:t xml:space="preserve">strict welfare standards </w:t>
      </w:r>
      <w:r w:rsidR="000F1DB6">
        <w:rPr>
          <w:rFonts w:eastAsia="Garamond" w:cs="Garamond"/>
          <w:szCs w:val="22"/>
        </w:rPr>
        <w:t xml:space="preserve">which must be </w:t>
      </w:r>
      <w:r w:rsidR="005E3087">
        <w:rPr>
          <w:rFonts w:eastAsia="Garamond" w:cs="Garamond"/>
          <w:szCs w:val="22"/>
        </w:rPr>
        <w:t>adhered to.</w:t>
      </w:r>
      <w:r w:rsidRPr="00BD1384">
        <w:rPr>
          <w:rFonts w:eastAsia="Garamond" w:cs="Garamond"/>
          <w:szCs w:val="22"/>
        </w:rPr>
        <w:t xml:space="preserve"> </w:t>
      </w:r>
      <w:r>
        <w:rPr>
          <w:rFonts w:eastAsia="Garamond" w:cs="Garamond"/>
          <w:szCs w:val="22"/>
        </w:rPr>
        <w:t xml:space="preserve">Restricting biosecurity inspections to daylight hours can impede the operational efficiency and economic viability of livestock carrier vessels. Contingent upon initial findings, the project aimed to evaluate potential mitigation measures that could be implemented to support the reintroduction of </w:t>
      </w:r>
      <w:r w:rsidR="006F0FD8">
        <w:rPr>
          <w:rFonts w:eastAsia="Garamond" w:cs="Garamond"/>
          <w:szCs w:val="22"/>
        </w:rPr>
        <w:t>night-time</w:t>
      </w:r>
      <w:r>
        <w:rPr>
          <w:rFonts w:eastAsia="Garamond" w:cs="Garamond"/>
          <w:szCs w:val="22"/>
        </w:rPr>
        <w:t xml:space="preserve"> inspections.</w:t>
      </w:r>
    </w:p>
    <w:p w14:paraId="58364D12" w14:textId="02DC90E7" w:rsidR="003E15C2" w:rsidRDefault="003E15C2">
      <w:pPr>
        <w:tabs>
          <w:tab w:val="right" w:pos="9000"/>
        </w:tabs>
        <w:spacing w:before="120"/>
        <w:rPr>
          <w:rFonts w:eastAsia="Garamond" w:cs="Garamond"/>
          <w:szCs w:val="22"/>
        </w:rPr>
      </w:pPr>
      <w:r>
        <w:rPr>
          <w:rFonts w:eastAsia="Garamond" w:cs="Garamond"/>
          <w:szCs w:val="22"/>
        </w:rPr>
        <w:t xml:space="preserve">This document contains a literature review examining available </w:t>
      </w:r>
      <w:r w:rsidR="00E46F4F">
        <w:rPr>
          <w:rFonts w:eastAsia="Garamond" w:cs="Garamond"/>
          <w:szCs w:val="22"/>
        </w:rPr>
        <w:t xml:space="preserve">information </w:t>
      </w:r>
      <w:r>
        <w:rPr>
          <w:rFonts w:eastAsia="Garamond" w:cs="Garamond"/>
          <w:szCs w:val="22"/>
        </w:rPr>
        <w:t xml:space="preserve">on various topics relating to livestock carrier vessel inspections being conducted at </w:t>
      </w:r>
      <w:r w:rsidR="006F0FD8">
        <w:rPr>
          <w:rFonts w:eastAsia="Garamond" w:cs="Garamond"/>
          <w:szCs w:val="22"/>
        </w:rPr>
        <w:t>night-time</w:t>
      </w:r>
      <w:r>
        <w:rPr>
          <w:rFonts w:eastAsia="Garamond" w:cs="Garamond"/>
          <w:szCs w:val="22"/>
        </w:rPr>
        <w:t xml:space="preserve">, a descriptive data analysis of inspection data from 2016–2025, and inspection observations of livestock carrier vessels arriving in Darwin and Fremantle ports. A decision support tool has been developed </w:t>
      </w:r>
      <w:r w:rsidR="00BC3DBA">
        <w:rPr>
          <w:rFonts w:eastAsia="Garamond" w:cs="Garamond"/>
          <w:szCs w:val="22"/>
        </w:rPr>
        <w:t xml:space="preserve">which may </w:t>
      </w:r>
      <w:r>
        <w:rPr>
          <w:rFonts w:eastAsia="Garamond" w:cs="Garamond"/>
          <w:szCs w:val="22"/>
        </w:rPr>
        <w:t xml:space="preserve">assist the Department in determining the whether a </w:t>
      </w:r>
      <w:r w:rsidR="006F0FD8">
        <w:rPr>
          <w:rFonts w:eastAsia="Garamond" w:cs="Garamond"/>
          <w:szCs w:val="22"/>
        </w:rPr>
        <w:t>night-time</w:t>
      </w:r>
      <w:r>
        <w:rPr>
          <w:rFonts w:eastAsia="Garamond" w:cs="Garamond"/>
          <w:szCs w:val="22"/>
        </w:rPr>
        <w:t xml:space="preserve"> inspection of a livestock carrier vessel can be effectively implemented.</w:t>
      </w:r>
    </w:p>
    <w:p w14:paraId="36378C6C" w14:textId="77777777" w:rsidR="003E15C2" w:rsidRDefault="003E15C2"/>
    <w:p w14:paraId="0C12DFC2" w14:textId="77777777" w:rsidR="003E15C2" w:rsidRDefault="003E15C2"/>
    <w:p w14:paraId="4B1EC4C2" w14:textId="77777777" w:rsidR="003E15C2" w:rsidRDefault="003E15C2" w:rsidP="009E1EA2">
      <w:pPr>
        <w:pStyle w:val="Heading1"/>
      </w:pPr>
      <w:bookmarkStart w:id="3" w:name="_Toc219289990"/>
      <w:bookmarkStart w:id="4" w:name="_Toc226796936"/>
      <w:r w:rsidRPr="00B12684">
        <w:lastRenderedPageBreak/>
        <w:t>Methods</w:t>
      </w:r>
      <w:bookmarkEnd w:id="3"/>
      <w:bookmarkEnd w:id="4"/>
    </w:p>
    <w:p w14:paraId="766F118D" w14:textId="77777777" w:rsidR="003E15C2" w:rsidRDefault="003E15C2" w:rsidP="009E1EA2">
      <w:pPr>
        <w:pStyle w:val="Heading2"/>
      </w:pPr>
      <w:bookmarkStart w:id="5" w:name="_Toc219289991"/>
      <w:bookmarkStart w:id="6" w:name="_Toc226796937"/>
      <w:r w:rsidRPr="00B12684">
        <w:t>Literature</w:t>
      </w:r>
      <w:r>
        <w:t xml:space="preserve"> review</w:t>
      </w:r>
      <w:bookmarkEnd w:id="5"/>
      <w:bookmarkEnd w:id="6"/>
    </w:p>
    <w:p w14:paraId="1E014E94" w14:textId="66673651" w:rsidR="003E15C2" w:rsidRDefault="003E15C2">
      <w:pPr>
        <w:tabs>
          <w:tab w:val="right" w:pos="9000"/>
        </w:tabs>
        <w:spacing w:before="120"/>
        <w:rPr>
          <w:rFonts w:eastAsia="Garamond" w:cs="Garamond"/>
          <w:szCs w:val="22"/>
        </w:rPr>
      </w:pPr>
      <w:r>
        <w:rPr>
          <w:rFonts w:eastAsia="Garamond" w:cs="Garamond"/>
          <w:szCs w:val="22"/>
        </w:rPr>
        <w:t>A review of available literature was conducted to investigate whether biosecurity risks posed by returning livestock carrier vessels can be effectively managed when inspections are conducted at night.</w:t>
      </w:r>
    </w:p>
    <w:p w14:paraId="33303D16" w14:textId="064297B5" w:rsidR="003E15C2" w:rsidRDefault="003E15C2">
      <w:pPr>
        <w:tabs>
          <w:tab w:val="right" w:pos="9000"/>
        </w:tabs>
        <w:spacing w:before="120"/>
        <w:rPr>
          <w:rFonts w:eastAsia="Garamond" w:cs="Garamond"/>
          <w:szCs w:val="22"/>
        </w:rPr>
      </w:pPr>
      <w:r>
        <w:rPr>
          <w:rFonts w:eastAsia="Garamond" w:cs="Garamond"/>
          <w:szCs w:val="22"/>
        </w:rPr>
        <w:t>Web of Science Core Collection (Clarivate) was used to search for peer-reviewed articles. Key search terms included combinations of the following: “vision”, “</w:t>
      </w:r>
      <w:r w:rsidR="006F0FD8">
        <w:rPr>
          <w:rFonts w:eastAsia="Garamond" w:cs="Garamond"/>
          <w:szCs w:val="22"/>
        </w:rPr>
        <w:t>night-time</w:t>
      </w:r>
      <w:r>
        <w:rPr>
          <w:rFonts w:eastAsia="Garamond" w:cs="Garamond"/>
          <w:szCs w:val="22"/>
        </w:rPr>
        <w:t>”, “visual inspection”, “biosecurity”, “lighting”, “insects”, “foot and mouth disease”, “lumpy skin disease”, “old world screw worm fly”, “taban</w:t>
      </w:r>
      <w:r w:rsidR="00FE4EB9">
        <w:rPr>
          <w:rFonts w:eastAsia="Garamond" w:cs="Garamond"/>
          <w:szCs w:val="22"/>
        </w:rPr>
        <w:t>ids</w:t>
      </w:r>
      <w:r>
        <w:rPr>
          <w:rFonts w:eastAsia="Garamond" w:cs="Garamond"/>
          <w:szCs w:val="22"/>
        </w:rPr>
        <w:t>”, “circadian rhythm”. The Google search engine was used to further search for grey literature, presentations, and publicly available commercial information relevant to the review. A snowball approach was also used when searching with both databases whereby peer reviewed articles and grey literature that cite selected articles were screened for inclusion. Government-associated websites were searched for documents applicable to Australia’s biosecurity requirements.</w:t>
      </w:r>
    </w:p>
    <w:p w14:paraId="5CA44D1B" w14:textId="2B7432C6" w:rsidR="003E15C2" w:rsidRDefault="001441D2">
      <w:pPr>
        <w:tabs>
          <w:tab w:val="right" w:pos="9000"/>
        </w:tabs>
        <w:spacing w:before="120"/>
        <w:rPr>
          <w:rFonts w:eastAsia="Garamond" w:cs="Garamond"/>
          <w:szCs w:val="22"/>
        </w:rPr>
      </w:pPr>
      <w:r>
        <w:rPr>
          <w:rFonts w:eastAsia="Garamond" w:cs="Garamond"/>
          <w:szCs w:val="22"/>
        </w:rPr>
        <w:t xml:space="preserve">The literature review </w:t>
      </w:r>
      <w:r w:rsidR="003E15C2">
        <w:rPr>
          <w:rFonts w:eastAsia="Garamond" w:cs="Garamond"/>
          <w:szCs w:val="22"/>
        </w:rPr>
        <w:t xml:space="preserve">identified </w:t>
      </w:r>
      <w:r>
        <w:rPr>
          <w:rFonts w:eastAsia="Garamond" w:cs="Garamond"/>
          <w:szCs w:val="22"/>
        </w:rPr>
        <w:t xml:space="preserve">information gaps. More research will be required </w:t>
      </w:r>
      <w:r w:rsidR="003E15C2">
        <w:rPr>
          <w:rFonts w:eastAsia="Garamond" w:cs="Garamond"/>
          <w:szCs w:val="22"/>
        </w:rPr>
        <w:t>to support future recommendations and information needs for developing a reliable decision support framework.</w:t>
      </w:r>
    </w:p>
    <w:p w14:paraId="262EF607" w14:textId="77777777" w:rsidR="003E15C2" w:rsidRDefault="003E15C2" w:rsidP="00BC7E12">
      <w:pPr>
        <w:pStyle w:val="Heading2"/>
        <w:spacing w:before="240" w:after="240"/>
        <w:ind w:left="578" w:hanging="578"/>
      </w:pPr>
      <w:bookmarkStart w:id="7" w:name="_Toc219289992"/>
      <w:bookmarkStart w:id="8" w:name="_Toc226796938"/>
      <w:r>
        <w:t xml:space="preserve">Data </w:t>
      </w:r>
      <w:r w:rsidRPr="00B12684">
        <w:t>analysis</w:t>
      </w:r>
      <w:bookmarkEnd w:id="7"/>
      <w:bookmarkEnd w:id="8"/>
    </w:p>
    <w:p w14:paraId="72A12FA0" w14:textId="2B01858E" w:rsidR="003E15C2" w:rsidRDefault="003E15C2">
      <w:pPr>
        <w:tabs>
          <w:tab w:val="right" w:pos="9000"/>
        </w:tabs>
        <w:spacing w:before="120"/>
        <w:rPr>
          <w:rFonts w:eastAsia="Garamond" w:cs="Garamond"/>
          <w:szCs w:val="22"/>
        </w:rPr>
      </w:pPr>
      <w:r>
        <w:rPr>
          <w:rFonts w:eastAsia="Garamond" w:cs="Garamond"/>
          <w:szCs w:val="22"/>
        </w:rPr>
        <w:t xml:space="preserve">Two data reports were provided by the Department titled ‘Vessel data’ and ‘Demerit data’. The first report (Vessel data) contained information on vessel voyages arriving into Australian ports covering vessel details (i.e. name, type), inspection details (i.e. date, time, type, duration, demerit status) and vessel port history (i.e. previous departure port and arrival port into Australia). The second report (Demerit data) provided further data on inspection information, such as breach category and breach details and any additional comments. </w:t>
      </w:r>
    </w:p>
    <w:p w14:paraId="2CACF919" w14:textId="0ADEBEB7" w:rsidR="003E15C2" w:rsidRDefault="003E15C2">
      <w:pPr>
        <w:tabs>
          <w:tab w:val="right" w:pos="9000"/>
        </w:tabs>
        <w:spacing w:before="120"/>
        <w:rPr>
          <w:rFonts w:eastAsia="Garamond" w:cs="Garamond"/>
          <w:szCs w:val="22"/>
        </w:rPr>
      </w:pPr>
      <w:r>
        <w:rPr>
          <w:rFonts w:eastAsia="Garamond" w:cs="Garamond"/>
          <w:szCs w:val="22"/>
        </w:rPr>
        <w:t xml:space="preserve">A limited descriptive analysis was conducted, focusing on relevant data to provide background information and to support development of a decision support tool. Limited data were available for an extensive analysis and this was considered out of scope for the project. </w:t>
      </w:r>
    </w:p>
    <w:p w14:paraId="02DD042F" w14:textId="23E839D1" w:rsidR="003E15C2" w:rsidRDefault="003E15C2">
      <w:pPr>
        <w:tabs>
          <w:tab w:val="right" w:pos="9000"/>
        </w:tabs>
        <w:spacing w:before="120"/>
        <w:rPr>
          <w:rFonts w:eastAsia="Garamond" w:cs="Garamond"/>
          <w:szCs w:val="22"/>
        </w:rPr>
      </w:pPr>
      <w:r>
        <w:rPr>
          <w:rFonts w:eastAsia="Garamond" w:cs="Garamond"/>
          <w:szCs w:val="22"/>
        </w:rPr>
        <w:t xml:space="preserve">For data cleaning, time-series data (i.e. time of inspection and duration of inspection) were assessed for outliers and plausibility. Inspections that took longer than 4 hours were removed as outliers (31 in total). A further 12 records were removed as inspection duration was only 1 minute and 1 row removed as departure port was blank. An additional 25 records were removed due to no time of inspection being recorded. Data were further categorised into day and night, with inspections conducted between 05:30h and 18:30h being classified as ‘day’ and the remainder as ‘night’. </w:t>
      </w:r>
    </w:p>
    <w:p w14:paraId="73F63937" w14:textId="77777777" w:rsidR="003E15C2" w:rsidRDefault="003E15C2" w:rsidP="00BC7E12">
      <w:pPr>
        <w:pStyle w:val="Heading2"/>
        <w:spacing w:before="240" w:after="240"/>
        <w:ind w:left="578" w:hanging="578"/>
      </w:pPr>
      <w:bookmarkStart w:id="9" w:name="_Toc219289993"/>
      <w:bookmarkStart w:id="10" w:name="_Toc226796939"/>
      <w:r>
        <w:t xml:space="preserve">Vessel </w:t>
      </w:r>
      <w:r w:rsidRPr="00B12684">
        <w:t>observations</w:t>
      </w:r>
      <w:r>
        <w:t xml:space="preserve"> and data collection</w:t>
      </w:r>
      <w:bookmarkEnd w:id="9"/>
      <w:bookmarkEnd w:id="10"/>
      <w:r>
        <w:t xml:space="preserve"> </w:t>
      </w:r>
    </w:p>
    <w:p w14:paraId="47FDF163" w14:textId="32755AAF" w:rsidR="003E15C2" w:rsidRDefault="003E15C2">
      <w:pPr>
        <w:tabs>
          <w:tab w:val="right" w:pos="9000"/>
        </w:tabs>
        <w:rPr>
          <w:rFonts w:eastAsia="Garamond" w:cs="Garamond"/>
          <w:szCs w:val="22"/>
        </w:rPr>
      </w:pPr>
      <w:r>
        <w:rPr>
          <w:rFonts w:eastAsia="Garamond" w:cs="Garamond"/>
          <w:szCs w:val="22"/>
        </w:rPr>
        <w:t>Livestock carrier vessels were observed at the East Arm Port, Darwin, Northern Territory, and Fremantle Port, Fremantle, Western Australia between the 28</w:t>
      </w:r>
      <w:r>
        <w:rPr>
          <w:rFonts w:eastAsia="Garamond" w:cs="Garamond"/>
          <w:szCs w:val="22"/>
          <w:vertAlign w:val="superscript"/>
        </w:rPr>
        <w:t>th</w:t>
      </w:r>
      <w:r>
        <w:rPr>
          <w:rFonts w:eastAsia="Garamond" w:cs="Garamond"/>
          <w:szCs w:val="22"/>
        </w:rPr>
        <w:t xml:space="preserve"> November 2025 and </w:t>
      </w:r>
      <w:r w:rsidR="00097480">
        <w:rPr>
          <w:rFonts w:eastAsia="Garamond" w:cs="Garamond"/>
          <w:szCs w:val="22"/>
        </w:rPr>
        <w:t>17</w:t>
      </w:r>
      <w:r w:rsidR="00097480" w:rsidRPr="00097480">
        <w:rPr>
          <w:rFonts w:eastAsia="Garamond" w:cs="Garamond"/>
          <w:szCs w:val="22"/>
          <w:vertAlign w:val="superscript"/>
        </w:rPr>
        <w:t>th</w:t>
      </w:r>
      <w:r w:rsidR="00E869A2">
        <w:rPr>
          <w:rFonts w:eastAsia="Garamond" w:cs="Garamond"/>
          <w:szCs w:val="22"/>
        </w:rPr>
        <w:t xml:space="preserve"> January </w:t>
      </w:r>
      <w:r>
        <w:rPr>
          <w:rFonts w:eastAsia="Garamond" w:cs="Garamond"/>
          <w:szCs w:val="22"/>
        </w:rPr>
        <w:t>202</w:t>
      </w:r>
      <w:r w:rsidR="00E869A2">
        <w:rPr>
          <w:rFonts w:eastAsia="Garamond" w:cs="Garamond"/>
          <w:szCs w:val="22"/>
        </w:rPr>
        <w:t>6</w:t>
      </w:r>
      <w:r>
        <w:rPr>
          <w:rFonts w:eastAsia="Garamond" w:cs="Garamond"/>
          <w:szCs w:val="22"/>
        </w:rPr>
        <w:t>. In Darwin, six vessels were observed (</w:t>
      </w:r>
      <w:r w:rsidRPr="008A4FFE">
        <w:rPr>
          <w:rFonts w:asciiTheme="minorHAnsi" w:hAnsiTheme="minorHAnsi"/>
          <w:szCs w:val="22"/>
        </w:rPr>
        <w:fldChar w:fldCharType="begin"/>
      </w:r>
      <w:r w:rsidRPr="008A4FFE">
        <w:rPr>
          <w:rFonts w:asciiTheme="minorHAnsi" w:hAnsiTheme="minorHAnsi"/>
          <w:szCs w:val="22"/>
        </w:rPr>
        <w:instrText xml:space="preserve"> REF _Ref218669281 \h  \* MERGEFORMAT </w:instrText>
      </w:r>
      <w:r w:rsidRPr="008A4FFE">
        <w:rPr>
          <w:rFonts w:asciiTheme="minorHAnsi" w:hAnsiTheme="minorHAnsi"/>
          <w:szCs w:val="22"/>
        </w:rPr>
      </w:r>
      <w:r w:rsidRPr="008A4FFE">
        <w:rPr>
          <w:rFonts w:asciiTheme="minorHAnsi" w:hAnsiTheme="minorHAnsi"/>
          <w:szCs w:val="22"/>
        </w:rPr>
        <w:fldChar w:fldCharType="separate"/>
      </w:r>
      <w:r w:rsidR="00651A0D" w:rsidRPr="00651A0D">
        <w:rPr>
          <w:rFonts w:asciiTheme="minorHAnsi" w:hAnsiTheme="minorHAnsi"/>
          <w:szCs w:val="22"/>
        </w:rPr>
        <w:t>Table 1</w:t>
      </w:r>
      <w:r w:rsidRPr="008A4FFE">
        <w:rPr>
          <w:rFonts w:asciiTheme="minorHAnsi" w:hAnsiTheme="minorHAnsi"/>
          <w:szCs w:val="22"/>
        </w:rPr>
        <w:fldChar w:fldCharType="end"/>
      </w:r>
      <w:r>
        <w:rPr>
          <w:rFonts w:eastAsia="Garamond" w:cs="Garamond"/>
          <w:szCs w:val="22"/>
        </w:rPr>
        <w:t xml:space="preserve">) during routine daytime vessel inspections, and five were observed after sunset. The </w:t>
      </w:r>
      <w:r w:rsidR="006F0FD8">
        <w:rPr>
          <w:rFonts w:eastAsia="Garamond" w:cs="Garamond"/>
          <w:szCs w:val="22"/>
        </w:rPr>
        <w:t>night-time</w:t>
      </w:r>
      <w:r>
        <w:rPr>
          <w:rFonts w:eastAsia="Garamond" w:cs="Garamond"/>
          <w:szCs w:val="22"/>
        </w:rPr>
        <w:t xml:space="preserve"> observations occurred either during or after cattle loading, restricting which areas could be inspected. Light readings were recorded for the dock, top deck, bow end, mid deck and stern end of the livestock decks during the daytime inspection and again at the night visit using a Protech Digital Light Meter. Not all locations had readings taken at night.</w:t>
      </w:r>
    </w:p>
    <w:p w14:paraId="05DC3056" w14:textId="3DF06BEF" w:rsidR="00D30C35" w:rsidRDefault="00D30C35">
      <w:pPr>
        <w:tabs>
          <w:tab w:val="right" w:pos="9000"/>
        </w:tabs>
        <w:rPr>
          <w:rFonts w:eastAsia="Garamond" w:cs="Garamond"/>
          <w:szCs w:val="22"/>
        </w:rPr>
      </w:pPr>
      <w:r>
        <w:rPr>
          <w:rFonts w:eastAsia="Garamond" w:cs="Garamond"/>
          <w:szCs w:val="22"/>
        </w:rPr>
        <w:lastRenderedPageBreak/>
        <w:t>In Fremantle, three vessels were observed, one of them on two occasions. The first vessel was loaded and departed before nightfall, so only daytime inspections could be conducted. During the course of the project, only one vessel was inspected that was not a purpose built vessel. Unfortunately, two vessels inspected in Fremantle failed inspection</w:t>
      </w:r>
      <w:r w:rsidR="00DB76F4">
        <w:rPr>
          <w:rFonts w:eastAsia="Garamond" w:cs="Garamond"/>
          <w:szCs w:val="22"/>
        </w:rPr>
        <w:t xml:space="preserve"> and had to be subsequently re-inspected</w:t>
      </w:r>
      <w:r>
        <w:rPr>
          <w:rFonts w:eastAsia="Garamond" w:cs="Garamond"/>
          <w:szCs w:val="22"/>
        </w:rPr>
        <w:t>, but were unable to be visited by the project team.</w:t>
      </w:r>
      <w:r w:rsidR="00DB76F4">
        <w:rPr>
          <w:rFonts w:eastAsia="Garamond" w:cs="Garamond"/>
          <w:szCs w:val="22"/>
        </w:rPr>
        <w:t xml:space="preserve"> </w:t>
      </w:r>
    </w:p>
    <w:p w14:paraId="74223DDA" w14:textId="77777777" w:rsidR="003E15C2" w:rsidRDefault="003E15C2">
      <w:pPr>
        <w:tabs>
          <w:tab w:val="right" w:pos="9000"/>
        </w:tabs>
      </w:pPr>
    </w:p>
    <w:p w14:paraId="60ABBAB2" w14:textId="235F7829" w:rsidR="003E15C2" w:rsidRDefault="003E15C2" w:rsidP="00D419FE">
      <w:pPr>
        <w:pStyle w:val="Caption"/>
      </w:pPr>
      <w:bookmarkStart w:id="11" w:name="_heading=h.egd4dgeq32d4" w:colFirst="0" w:colLast="0"/>
      <w:bookmarkStart w:id="12" w:name="_Ref218669281"/>
      <w:bookmarkStart w:id="13" w:name="_Toc219289931"/>
      <w:bookmarkStart w:id="14" w:name="_Toc226794704"/>
      <w:bookmarkEnd w:id="11"/>
      <w:r>
        <w:t xml:space="preserve">Table </w:t>
      </w:r>
      <w:fldSimple w:instr=" SEQ Table \* ARABIC ">
        <w:r w:rsidR="00651A0D">
          <w:rPr>
            <w:noProof/>
          </w:rPr>
          <w:t>1</w:t>
        </w:r>
      </w:fldSimple>
      <w:bookmarkEnd w:id="12"/>
      <w:r>
        <w:tab/>
      </w:r>
      <w:r w:rsidRPr="00F35FB5">
        <w:t>Livestock carrier vessels observed at Darwin</w:t>
      </w:r>
      <w:r>
        <w:t xml:space="preserve"> and Fremantle</w:t>
      </w:r>
      <w:r w:rsidRPr="00F35FB5">
        <w:t xml:space="preserve"> </w:t>
      </w:r>
      <w:r>
        <w:t>p</w:t>
      </w:r>
      <w:r w:rsidRPr="00F35FB5">
        <w:t>ort</w:t>
      </w:r>
      <w:r>
        <w:t>s</w:t>
      </w:r>
      <w:r w:rsidRPr="00F35FB5">
        <w:t>.</w:t>
      </w:r>
      <w:bookmarkEnd w:id="13"/>
      <w:bookmarkEnd w:id="14"/>
    </w:p>
    <w:tbl>
      <w:tblPr>
        <w:tblStyle w:val="6"/>
        <w:tblW w:w="9026" w:type="dxa"/>
        <w:tblBorders>
          <w:top w:val="single" w:sz="4" w:space="0" w:color="004F83"/>
          <w:bottom w:val="single" w:sz="4" w:space="0" w:color="004F83"/>
          <w:insideH w:val="single" w:sz="4" w:space="0" w:color="004F83"/>
        </w:tblBorders>
        <w:tblLayout w:type="fixed"/>
        <w:tblLook w:val="0600" w:firstRow="0" w:lastRow="0" w:firstColumn="0" w:lastColumn="0" w:noHBand="1" w:noVBand="1"/>
      </w:tblPr>
      <w:tblGrid>
        <w:gridCol w:w="1806"/>
        <w:gridCol w:w="1805"/>
        <w:gridCol w:w="1805"/>
        <w:gridCol w:w="1805"/>
        <w:gridCol w:w="1805"/>
      </w:tblGrid>
      <w:tr w:rsidR="003E15C2" w14:paraId="715E313A" w14:textId="77777777">
        <w:trPr>
          <w:cantSplit/>
        </w:trPr>
        <w:tc>
          <w:tcPr>
            <w:tcW w:w="1806" w:type="dxa"/>
          </w:tcPr>
          <w:p w14:paraId="37262B16" w14:textId="77777777" w:rsidR="003E15C2" w:rsidRDefault="003E15C2">
            <w:pPr>
              <w:keepNext/>
              <w:pBdr>
                <w:top w:val="nil"/>
                <w:left w:val="nil"/>
                <w:bottom w:val="nil"/>
                <w:right w:val="nil"/>
                <w:between w:val="nil"/>
              </w:pBdr>
              <w:spacing w:before="60" w:after="60"/>
              <w:rPr>
                <w:b/>
                <w:bCs/>
                <w:color w:val="004F83"/>
              </w:rPr>
            </w:pPr>
            <w:r>
              <w:rPr>
                <w:b/>
                <w:bCs/>
                <w:color w:val="004F83"/>
              </w:rPr>
              <w:t>Port</w:t>
            </w:r>
          </w:p>
        </w:tc>
        <w:tc>
          <w:tcPr>
            <w:tcW w:w="1805" w:type="dxa"/>
          </w:tcPr>
          <w:p w14:paraId="4E4FBE76" w14:textId="77777777" w:rsidR="003E15C2" w:rsidRDefault="003E15C2">
            <w:pPr>
              <w:keepNext/>
              <w:pBdr>
                <w:top w:val="nil"/>
                <w:left w:val="nil"/>
                <w:bottom w:val="nil"/>
                <w:right w:val="nil"/>
                <w:between w:val="nil"/>
              </w:pBdr>
              <w:spacing w:before="60" w:after="60"/>
              <w:rPr>
                <w:b/>
                <w:bCs/>
                <w:color w:val="004F83"/>
              </w:rPr>
            </w:pPr>
            <w:r>
              <w:rPr>
                <w:b/>
                <w:bCs/>
                <w:color w:val="004F83"/>
              </w:rPr>
              <w:t xml:space="preserve">Vessel </w:t>
            </w:r>
          </w:p>
        </w:tc>
        <w:tc>
          <w:tcPr>
            <w:tcW w:w="1805" w:type="dxa"/>
          </w:tcPr>
          <w:p w14:paraId="644A9C0B" w14:textId="77777777" w:rsidR="003E15C2" w:rsidRDefault="003E15C2">
            <w:pPr>
              <w:keepNext/>
              <w:pBdr>
                <w:top w:val="nil"/>
                <w:left w:val="nil"/>
                <w:bottom w:val="nil"/>
                <w:right w:val="nil"/>
                <w:between w:val="nil"/>
              </w:pBdr>
              <w:spacing w:before="60" w:after="60"/>
              <w:rPr>
                <w:b/>
                <w:bCs/>
                <w:color w:val="004F83"/>
              </w:rPr>
            </w:pPr>
            <w:r>
              <w:rPr>
                <w:b/>
                <w:bCs/>
                <w:color w:val="004F83"/>
              </w:rPr>
              <w:t>Vessel type</w:t>
            </w:r>
          </w:p>
        </w:tc>
        <w:tc>
          <w:tcPr>
            <w:tcW w:w="1805" w:type="dxa"/>
          </w:tcPr>
          <w:p w14:paraId="1D513068" w14:textId="77777777" w:rsidR="003E15C2" w:rsidRDefault="003E15C2">
            <w:pPr>
              <w:keepNext/>
              <w:pBdr>
                <w:top w:val="nil"/>
                <w:left w:val="nil"/>
                <w:bottom w:val="nil"/>
                <w:right w:val="nil"/>
                <w:between w:val="nil"/>
              </w:pBdr>
              <w:spacing w:before="60" w:after="60"/>
              <w:rPr>
                <w:b/>
                <w:bCs/>
                <w:color w:val="004F83"/>
              </w:rPr>
            </w:pPr>
            <w:r>
              <w:rPr>
                <w:b/>
                <w:bCs/>
                <w:color w:val="004F83"/>
              </w:rPr>
              <w:t>Daytime inspection</w:t>
            </w:r>
          </w:p>
        </w:tc>
        <w:tc>
          <w:tcPr>
            <w:tcW w:w="1805" w:type="dxa"/>
          </w:tcPr>
          <w:p w14:paraId="4EBADA86" w14:textId="2511EB58" w:rsidR="003E15C2" w:rsidRDefault="006F0FD8">
            <w:pPr>
              <w:keepNext/>
              <w:pBdr>
                <w:top w:val="nil"/>
                <w:left w:val="nil"/>
                <w:bottom w:val="nil"/>
                <w:right w:val="nil"/>
                <w:between w:val="nil"/>
              </w:pBdr>
              <w:spacing w:before="60" w:after="60"/>
              <w:rPr>
                <w:b/>
                <w:bCs/>
                <w:color w:val="004F83"/>
              </w:rPr>
            </w:pPr>
            <w:r>
              <w:rPr>
                <w:b/>
                <w:bCs/>
                <w:color w:val="004F83"/>
              </w:rPr>
              <w:t>Night-time</w:t>
            </w:r>
            <w:r w:rsidR="003E15C2">
              <w:rPr>
                <w:b/>
                <w:bCs/>
                <w:color w:val="004F83"/>
              </w:rPr>
              <w:t xml:space="preserve"> observation</w:t>
            </w:r>
          </w:p>
        </w:tc>
      </w:tr>
      <w:tr w:rsidR="003E15C2" w14:paraId="57405EEB" w14:textId="77777777">
        <w:trPr>
          <w:cantSplit/>
        </w:trPr>
        <w:tc>
          <w:tcPr>
            <w:tcW w:w="1806" w:type="dxa"/>
          </w:tcPr>
          <w:p w14:paraId="45936326" w14:textId="01A7240C" w:rsidR="003E15C2" w:rsidRDefault="003E15C2">
            <w:pPr>
              <w:keepNext/>
              <w:pBdr>
                <w:top w:val="nil"/>
                <w:left w:val="nil"/>
                <w:bottom w:val="nil"/>
                <w:right w:val="nil"/>
                <w:between w:val="nil"/>
              </w:pBdr>
              <w:spacing w:before="60" w:after="60"/>
              <w:rPr>
                <w:color w:val="000000"/>
              </w:rPr>
            </w:pPr>
            <w:r>
              <w:rPr>
                <w:color w:val="000000"/>
              </w:rPr>
              <w:t>East Arm, Darwin</w:t>
            </w:r>
          </w:p>
        </w:tc>
        <w:tc>
          <w:tcPr>
            <w:tcW w:w="1805" w:type="dxa"/>
          </w:tcPr>
          <w:p w14:paraId="424F83FE" w14:textId="77777777" w:rsidR="003E15C2" w:rsidRDefault="003E15C2">
            <w:pPr>
              <w:keepNext/>
              <w:pBdr>
                <w:top w:val="nil"/>
                <w:left w:val="nil"/>
                <w:bottom w:val="nil"/>
                <w:right w:val="nil"/>
                <w:between w:val="nil"/>
              </w:pBdr>
              <w:spacing w:before="60" w:after="60"/>
              <w:rPr>
                <w:color w:val="000000"/>
              </w:rPr>
            </w:pPr>
            <w:r>
              <w:rPr>
                <w:color w:val="000000"/>
              </w:rPr>
              <w:t>Friesian Express</w:t>
            </w:r>
          </w:p>
        </w:tc>
        <w:tc>
          <w:tcPr>
            <w:tcW w:w="1805" w:type="dxa"/>
          </w:tcPr>
          <w:p w14:paraId="7F878348" w14:textId="77777777" w:rsidR="003E15C2" w:rsidRDefault="003E15C2">
            <w:pPr>
              <w:keepNext/>
              <w:pBdr>
                <w:top w:val="nil"/>
                <w:left w:val="nil"/>
                <w:bottom w:val="nil"/>
                <w:right w:val="nil"/>
                <w:between w:val="nil"/>
              </w:pBdr>
              <w:spacing w:before="60" w:after="60"/>
              <w:rPr>
                <w:color w:val="000000"/>
              </w:rPr>
            </w:pPr>
            <w:r>
              <w:rPr>
                <w:color w:val="000000"/>
              </w:rPr>
              <w:t>Purpose built - open and closed</w:t>
            </w:r>
          </w:p>
        </w:tc>
        <w:tc>
          <w:tcPr>
            <w:tcW w:w="1805" w:type="dxa"/>
          </w:tcPr>
          <w:p w14:paraId="0CC46376" w14:textId="77777777" w:rsidR="003E15C2" w:rsidRDefault="003E15C2">
            <w:pPr>
              <w:keepNext/>
              <w:pBdr>
                <w:top w:val="nil"/>
                <w:left w:val="nil"/>
                <w:bottom w:val="nil"/>
                <w:right w:val="nil"/>
                <w:between w:val="nil"/>
              </w:pBdr>
              <w:spacing w:before="60" w:after="60"/>
              <w:rPr>
                <w:color w:val="000000"/>
              </w:rPr>
            </w:pPr>
            <w:r>
              <w:rPr>
                <w:color w:val="000000"/>
              </w:rPr>
              <w:t>Yes</w:t>
            </w:r>
          </w:p>
        </w:tc>
        <w:tc>
          <w:tcPr>
            <w:tcW w:w="1805" w:type="dxa"/>
          </w:tcPr>
          <w:p w14:paraId="6528548C" w14:textId="77777777" w:rsidR="003E15C2" w:rsidRDefault="003E15C2">
            <w:pPr>
              <w:keepNext/>
              <w:pBdr>
                <w:top w:val="nil"/>
                <w:left w:val="nil"/>
                <w:bottom w:val="nil"/>
                <w:right w:val="nil"/>
                <w:between w:val="nil"/>
              </w:pBdr>
              <w:spacing w:before="60" w:after="60"/>
              <w:rPr>
                <w:color w:val="000000"/>
              </w:rPr>
            </w:pPr>
            <w:r>
              <w:rPr>
                <w:color w:val="000000"/>
              </w:rPr>
              <w:t>Yes</w:t>
            </w:r>
          </w:p>
        </w:tc>
      </w:tr>
      <w:tr w:rsidR="003E15C2" w14:paraId="19E66E8C" w14:textId="77777777">
        <w:trPr>
          <w:cantSplit/>
        </w:trPr>
        <w:tc>
          <w:tcPr>
            <w:tcW w:w="1806" w:type="dxa"/>
          </w:tcPr>
          <w:p w14:paraId="5B8631F7" w14:textId="427F6434" w:rsidR="003E15C2" w:rsidRDefault="003E15C2">
            <w:pPr>
              <w:keepNext/>
              <w:pBdr>
                <w:top w:val="nil"/>
                <w:left w:val="nil"/>
                <w:bottom w:val="nil"/>
                <w:right w:val="nil"/>
                <w:between w:val="nil"/>
              </w:pBdr>
              <w:spacing w:before="60" w:after="60"/>
              <w:rPr>
                <w:color w:val="000000"/>
              </w:rPr>
            </w:pPr>
            <w:r>
              <w:rPr>
                <w:color w:val="000000"/>
              </w:rPr>
              <w:t>East Arm, Darwin</w:t>
            </w:r>
          </w:p>
        </w:tc>
        <w:tc>
          <w:tcPr>
            <w:tcW w:w="1805" w:type="dxa"/>
          </w:tcPr>
          <w:p w14:paraId="4637AD57" w14:textId="77777777" w:rsidR="003E15C2" w:rsidRDefault="003E15C2">
            <w:pPr>
              <w:keepNext/>
              <w:pBdr>
                <w:top w:val="nil"/>
                <w:left w:val="nil"/>
                <w:bottom w:val="nil"/>
                <w:right w:val="nil"/>
                <w:between w:val="nil"/>
              </w:pBdr>
              <w:spacing w:before="60" w:after="60"/>
              <w:rPr>
                <w:color w:val="000000"/>
              </w:rPr>
            </w:pPr>
            <w:r>
              <w:rPr>
                <w:color w:val="000000"/>
              </w:rPr>
              <w:t>Nine Eagle</w:t>
            </w:r>
          </w:p>
        </w:tc>
        <w:tc>
          <w:tcPr>
            <w:tcW w:w="1805" w:type="dxa"/>
          </w:tcPr>
          <w:p w14:paraId="6101CFED" w14:textId="77777777" w:rsidR="003E15C2" w:rsidRDefault="003E15C2">
            <w:pPr>
              <w:keepNext/>
              <w:pBdr>
                <w:top w:val="nil"/>
                <w:left w:val="nil"/>
                <w:bottom w:val="nil"/>
                <w:right w:val="nil"/>
                <w:between w:val="nil"/>
              </w:pBdr>
              <w:spacing w:before="60" w:after="60"/>
              <w:rPr>
                <w:color w:val="000000"/>
              </w:rPr>
            </w:pPr>
            <w:r>
              <w:rPr>
                <w:color w:val="000000"/>
              </w:rPr>
              <w:t>Purpose built - open and closed</w:t>
            </w:r>
          </w:p>
        </w:tc>
        <w:tc>
          <w:tcPr>
            <w:tcW w:w="1805" w:type="dxa"/>
          </w:tcPr>
          <w:p w14:paraId="1D929177" w14:textId="77777777" w:rsidR="003E15C2" w:rsidRDefault="003E15C2">
            <w:pPr>
              <w:keepNext/>
              <w:pBdr>
                <w:top w:val="nil"/>
                <w:left w:val="nil"/>
                <w:bottom w:val="nil"/>
                <w:right w:val="nil"/>
                <w:between w:val="nil"/>
              </w:pBdr>
              <w:spacing w:before="60" w:after="60"/>
              <w:rPr>
                <w:color w:val="000000"/>
              </w:rPr>
            </w:pPr>
            <w:r>
              <w:rPr>
                <w:color w:val="000000"/>
              </w:rPr>
              <w:t>Yes</w:t>
            </w:r>
          </w:p>
        </w:tc>
        <w:tc>
          <w:tcPr>
            <w:tcW w:w="1805" w:type="dxa"/>
          </w:tcPr>
          <w:p w14:paraId="1AE337F5" w14:textId="3F2A4AA2" w:rsidR="003E15C2" w:rsidRDefault="003E15C2">
            <w:pPr>
              <w:keepNext/>
              <w:pBdr>
                <w:top w:val="nil"/>
                <w:left w:val="nil"/>
                <w:bottom w:val="nil"/>
                <w:right w:val="nil"/>
                <w:between w:val="nil"/>
              </w:pBdr>
              <w:spacing w:before="60" w:after="60"/>
              <w:rPr>
                <w:color w:val="000000"/>
              </w:rPr>
            </w:pPr>
            <w:r>
              <w:rPr>
                <w:color w:val="000000"/>
              </w:rPr>
              <w:t xml:space="preserve">Yes </w:t>
            </w:r>
            <w:r w:rsidR="00061E09">
              <w:rPr>
                <w:color w:val="000000"/>
              </w:rPr>
              <w:t>–</w:t>
            </w:r>
            <w:r>
              <w:rPr>
                <w:color w:val="000000"/>
              </w:rPr>
              <w:t xml:space="preserve"> </w:t>
            </w:r>
            <w:r w:rsidR="00061E09">
              <w:rPr>
                <w:color w:val="000000"/>
              </w:rPr>
              <w:t>open decks only</w:t>
            </w:r>
          </w:p>
        </w:tc>
      </w:tr>
      <w:tr w:rsidR="003E15C2" w14:paraId="52EF2C3E" w14:textId="77777777">
        <w:trPr>
          <w:cantSplit/>
        </w:trPr>
        <w:tc>
          <w:tcPr>
            <w:tcW w:w="1806" w:type="dxa"/>
          </w:tcPr>
          <w:p w14:paraId="382BC1B5" w14:textId="2C3405FE" w:rsidR="003E15C2" w:rsidRDefault="003E15C2">
            <w:pPr>
              <w:keepNext/>
              <w:pBdr>
                <w:top w:val="nil"/>
                <w:left w:val="nil"/>
                <w:bottom w:val="nil"/>
                <w:right w:val="nil"/>
                <w:between w:val="nil"/>
              </w:pBdr>
              <w:spacing w:before="60" w:after="60"/>
              <w:rPr>
                <w:color w:val="000000"/>
              </w:rPr>
            </w:pPr>
            <w:r>
              <w:rPr>
                <w:color w:val="000000"/>
              </w:rPr>
              <w:t>East Arm, Darwin</w:t>
            </w:r>
          </w:p>
        </w:tc>
        <w:tc>
          <w:tcPr>
            <w:tcW w:w="1805" w:type="dxa"/>
          </w:tcPr>
          <w:p w14:paraId="01B31639" w14:textId="77777777" w:rsidR="003E15C2" w:rsidRDefault="003E15C2">
            <w:pPr>
              <w:keepNext/>
              <w:pBdr>
                <w:top w:val="nil"/>
                <w:left w:val="nil"/>
                <w:bottom w:val="nil"/>
                <w:right w:val="nil"/>
                <w:between w:val="nil"/>
              </w:pBdr>
              <w:spacing w:before="60" w:after="60"/>
              <w:rPr>
                <w:color w:val="000000"/>
              </w:rPr>
            </w:pPr>
            <w:r>
              <w:rPr>
                <w:color w:val="000000"/>
              </w:rPr>
              <w:t>Brahman Express</w:t>
            </w:r>
          </w:p>
        </w:tc>
        <w:tc>
          <w:tcPr>
            <w:tcW w:w="1805" w:type="dxa"/>
          </w:tcPr>
          <w:p w14:paraId="4E683789" w14:textId="77777777" w:rsidR="003E15C2" w:rsidRDefault="003E15C2">
            <w:pPr>
              <w:keepNext/>
              <w:pBdr>
                <w:top w:val="nil"/>
                <w:left w:val="nil"/>
                <w:bottom w:val="nil"/>
                <w:right w:val="nil"/>
                <w:between w:val="nil"/>
              </w:pBdr>
              <w:spacing w:before="60" w:after="60"/>
              <w:rPr>
                <w:color w:val="000000"/>
              </w:rPr>
            </w:pPr>
            <w:r>
              <w:rPr>
                <w:color w:val="000000"/>
              </w:rPr>
              <w:t>Purpose built - fully closed</w:t>
            </w:r>
          </w:p>
        </w:tc>
        <w:tc>
          <w:tcPr>
            <w:tcW w:w="1805" w:type="dxa"/>
          </w:tcPr>
          <w:p w14:paraId="0F2770C5" w14:textId="77777777" w:rsidR="003E15C2" w:rsidRDefault="003E15C2">
            <w:pPr>
              <w:keepNext/>
              <w:pBdr>
                <w:top w:val="nil"/>
                <w:left w:val="nil"/>
                <w:bottom w:val="nil"/>
                <w:right w:val="nil"/>
                <w:between w:val="nil"/>
              </w:pBdr>
              <w:spacing w:before="60" w:after="60"/>
              <w:rPr>
                <w:color w:val="000000"/>
              </w:rPr>
            </w:pPr>
            <w:r>
              <w:rPr>
                <w:color w:val="000000"/>
              </w:rPr>
              <w:t>Yes</w:t>
            </w:r>
          </w:p>
        </w:tc>
        <w:tc>
          <w:tcPr>
            <w:tcW w:w="1805" w:type="dxa"/>
          </w:tcPr>
          <w:p w14:paraId="771DF28E" w14:textId="77777777" w:rsidR="003E15C2" w:rsidRDefault="003E15C2">
            <w:pPr>
              <w:keepNext/>
              <w:pBdr>
                <w:top w:val="nil"/>
                <w:left w:val="nil"/>
                <w:bottom w:val="nil"/>
                <w:right w:val="nil"/>
                <w:between w:val="nil"/>
              </w:pBdr>
              <w:spacing w:before="60" w:after="60"/>
              <w:rPr>
                <w:color w:val="000000"/>
              </w:rPr>
            </w:pPr>
            <w:r>
              <w:rPr>
                <w:color w:val="000000"/>
              </w:rPr>
              <w:t>Yes</w:t>
            </w:r>
          </w:p>
        </w:tc>
      </w:tr>
      <w:tr w:rsidR="003E15C2" w14:paraId="27FBBC73" w14:textId="77777777">
        <w:trPr>
          <w:cantSplit/>
        </w:trPr>
        <w:tc>
          <w:tcPr>
            <w:tcW w:w="1806" w:type="dxa"/>
          </w:tcPr>
          <w:p w14:paraId="3C812DB3" w14:textId="62D6B8B7" w:rsidR="003E15C2" w:rsidRDefault="003E15C2">
            <w:pPr>
              <w:keepNext/>
              <w:pBdr>
                <w:top w:val="nil"/>
                <w:left w:val="nil"/>
                <w:bottom w:val="nil"/>
                <w:right w:val="nil"/>
                <w:between w:val="nil"/>
              </w:pBdr>
              <w:spacing w:before="60" w:after="60"/>
              <w:rPr>
                <w:color w:val="000000"/>
              </w:rPr>
            </w:pPr>
            <w:r>
              <w:rPr>
                <w:color w:val="000000"/>
              </w:rPr>
              <w:t>East Arm, Darwin</w:t>
            </w:r>
          </w:p>
        </w:tc>
        <w:tc>
          <w:tcPr>
            <w:tcW w:w="1805" w:type="dxa"/>
          </w:tcPr>
          <w:p w14:paraId="42C30A70" w14:textId="77777777" w:rsidR="003E15C2" w:rsidRDefault="003E15C2">
            <w:pPr>
              <w:keepNext/>
              <w:pBdr>
                <w:top w:val="nil"/>
                <w:left w:val="nil"/>
                <w:bottom w:val="nil"/>
                <w:right w:val="nil"/>
                <w:between w:val="nil"/>
              </w:pBdr>
              <w:spacing w:before="60" w:after="60"/>
              <w:rPr>
                <w:color w:val="000000"/>
              </w:rPr>
            </w:pPr>
            <w:r>
              <w:rPr>
                <w:color w:val="000000"/>
              </w:rPr>
              <w:t>Gloucester Express</w:t>
            </w:r>
          </w:p>
        </w:tc>
        <w:tc>
          <w:tcPr>
            <w:tcW w:w="1805" w:type="dxa"/>
          </w:tcPr>
          <w:p w14:paraId="4F743F6E" w14:textId="77777777" w:rsidR="003E15C2" w:rsidRDefault="003E15C2">
            <w:pPr>
              <w:keepNext/>
              <w:pBdr>
                <w:top w:val="nil"/>
                <w:left w:val="nil"/>
                <w:bottom w:val="nil"/>
                <w:right w:val="nil"/>
                <w:between w:val="nil"/>
              </w:pBdr>
              <w:spacing w:before="60" w:after="60"/>
              <w:rPr>
                <w:color w:val="000000"/>
              </w:rPr>
            </w:pPr>
            <w:r>
              <w:rPr>
                <w:color w:val="000000"/>
              </w:rPr>
              <w:t>Purpose built - fully closed</w:t>
            </w:r>
          </w:p>
        </w:tc>
        <w:tc>
          <w:tcPr>
            <w:tcW w:w="1805" w:type="dxa"/>
          </w:tcPr>
          <w:p w14:paraId="39B24982" w14:textId="77777777" w:rsidR="003E15C2" w:rsidRDefault="003E15C2">
            <w:pPr>
              <w:keepNext/>
              <w:pBdr>
                <w:top w:val="nil"/>
                <w:left w:val="nil"/>
                <w:bottom w:val="nil"/>
                <w:right w:val="nil"/>
                <w:between w:val="nil"/>
              </w:pBdr>
              <w:spacing w:before="60" w:after="60"/>
              <w:rPr>
                <w:color w:val="000000"/>
              </w:rPr>
            </w:pPr>
            <w:r>
              <w:rPr>
                <w:color w:val="000000"/>
              </w:rPr>
              <w:t>Yes</w:t>
            </w:r>
          </w:p>
        </w:tc>
        <w:tc>
          <w:tcPr>
            <w:tcW w:w="1805" w:type="dxa"/>
          </w:tcPr>
          <w:p w14:paraId="07BAE54F" w14:textId="77777777" w:rsidR="003E15C2" w:rsidRDefault="003E15C2">
            <w:pPr>
              <w:keepNext/>
              <w:pBdr>
                <w:top w:val="nil"/>
                <w:left w:val="nil"/>
                <w:bottom w:val="nil"/>
                <w:right w:val="nil"/>
                <w:between w:val="nil"/>
              </w:pBdr>
              <w:spacing w:before="60" w:after="60"/>
              <w:rPr>
                <w:color w:val="000000"/>
              </w:rPr>
            </w:pPr>
            <w:r>
              <w:rPr>
                <w:color w:val="000000"/>
              </w:rPr>
              <w:t>No</w:t>
            </w:r>
          </w:p>
        </w:tc>
      </w:tr>
      <w:tr w:rsidR="003E15C2" w14:paraId="50850C28" w14:textId="77777777">
        <w:trPr>
          <w:cantSplit/>
        </w:trPr>
        <w:tc>
          <w:tcPr>
            <w:tcW w:w="1806" w:type="dxa"/>
          </w:tcPr>
          <w:p w14:paraId="7F795CD1" w14:textId="62791D58" w:rsidR="003E15C2" w:rsidRDefault="003E15C2">
            <w:pPr>
              <w:keepNext/>
              <w:pBdr>
                <w:top w:val="nil"/>
                <w:left w:val="nil"/>
                <w:bottom w:val="nil"/>
                <w:right w:val="nil"/>
                <w:between w:val="nil"/>
              </w:pBdr>
              <w:spacing w:before="60" w:after="60"/>
              <w:rPr>
                <w:color w:val="000000"/>
              </w:rPr>
            </w:pPr>
            <w:r>
              <w:rPr>
                <w:color w:val="000000"/>
              </w:rPr>
              <w:t>East Arm, Darwin</w:t>
            </w:r>
          </w:p>
        </w:tc>
        <w:tc>
          <w:tcPr>
            <w:tcW w:w="1805" w:type="dxa"/>
          </w:tcPr>
          <w:p w14:paraId="6DEAC458" w14:textId="77777777" w:rsidR="003E15C2" w:rsidRDefault="003E15C2">
            <w:pPr>
              <w:keepNext/>
              <w:pBdr>
                <w:top w:val="nil"/>
                <w:left w:val="nil"/>
                <w:bottom w:val="nil"/>
                <w:right w:val="nil"/>
                <w:between w:val="nil"/>
              </w:pBdr>
              <w:spacing w:before="60" w:after="60"/>
              <w:rPr>
                <w:color w:val="000000"/>
              </w:rPr>
            </w:pPr>
            <w:r>
              <w:rPr>
                <w:color w:val="000000"/>
              </w:rPr>
              <w:t>Gelbray Express</w:t>
            </w:r>
          </w:p>
        </w:tc>
        <w:tc>
          <w:tcPr>
            <w:tcW w:w="1805" w:type="dxa"/>
          </w:tcPr>
          <w:p w14:paraId="627B5EED" w14:textId="77777777" w:rsidR="003E15C2" w:rsidRDefault="003E15C2">
            <w:pPr>
              <w:keepNext/>
              <w:pBdr>
                <w:top w:val="nil"/>
                <w:left w:val="nil"/>
                <w:bottom w:val="nil"/>
                <w:right w:val="nil"/>
                <w:between w:val="nil"/>
              </w:pBdr>
              <w:spacing w:before="60" w:after="60"/>
              <w:rPr>
                <w:color w:val="000000"/>
              </w:rPr>
            </w:pPr>
            <w:r>
              <w:rPr>
                <w:color w:val="000000"/>
              </w:rPr>
              <w:t>Purpose built - fully closed</w:t>
            </w:r>
          </w:p>
        </w:tc>
        <w:tc>
          <w:tcPr>
            <w:tcW w:w="1805" w:type="dxa"/>
          </w:tcPr>
          <w:p w14:paraId="31F586C9" w14:textId="77777777" w:rsidR="003E15C2" w:rsidRDefault="003E15C2">
            <w:pPr>
              <w:keepNext/>
              <w:pBdr>
                <w:top w:val="nil"/>
                <w:left w:val="nil"/>
                <w:bottom w:val="nil"/>
                <w:right w:val="nil"/>
                <w:between w:val="nil"/>
              </w:pBdr>
              <w:spacing w:before="60" w:after="60"/>
              <w:rPr>
                <w:color w:val="000000"/>
              </w:rPr>
            </w:pPr>
            <w:r>
              <w:rPr>
                <w:color w:val="000000"/>
              </w:rPr>
              <w:t>Yes</w:t>
            </w:r>
          </w:p>
        </w:tc>
        <w:tc>
          <w:tcPr>
            <w:tcW w:w="1805" w:type="dxa"/>
          </w:tcPr>
          <w:p w14:paraId="33409AF2" w14:textId="77777777" w:rsidR="003E15C2" w:rsidRDefault="003E15C2">
            <w:pPr>
              <w:keepNext/>
              <w:pBdr>
                <w:top w:val="nil"/>
                <w:left w:val="nil"/>
                <w:bottom w:val="nil"/>
                <w:right w:val="nil"/>
                <w:between w:val="nil"/>
              </w:pBdr>
              <w:spacing w:before="60" w:after="60"/>
              <w:rPr>
                <w:color w:val="000000"/>
              </w:rPr>
            </w:pPr>
            <w:r>
              <w:rPr>
                <w:color w:val="000000"/>
              </w:rPr>
              <w:t>Yes</w:t>
            </w:r>
          </w:p>
        </w:tc>
      </w:tr>
      <w:tr w:rsidR="003E15C2" w14:paraId="0CFF5AAF" w14:textId="77777777">
        <w:trPr>
          <w:cantSplit/>
        </w:trPr>
        <w:tc>
          <w:tcPr>
            <w:tcW w:w="1806" w:type="dxa"/>
          </w:tcPr>
          <w:p w14:paraId="1B3036FF" w14:textId="5B67A324" w:rsidR="003E15C2" w:rsidRDefault="003E15C2">
            <w:pPr>
              <w:keepNext/>
              <w:pBdr>
                <w:top w:val="nil"/>
                <w:left w:val="nil"/>
                <w:bottom w:val="nil"/>
                <w:right w:val="nil"/>
                <w:between w:val="nil"/>
              </w:pBdr>
              <w:spacing w:before="60" w:after="60"/>
              <w:rPr>
                <w:color w:val="000000"/>
              </w:rPr>
            </w:pPr>
            <w:r>
              <w:rPr>
                <w:color w:val="000000"/>
              </w:rPr>
              <w:t>East Arm, Darwin</w:t>
            </w:r>
          </w:p>
        </w:tc>
        <w:tc>
          <w:tcPr>
            <w:tcW w:w="1805" w:type="dxa"/>
          </w:tcPr>
          <w:p w14:paraId="23BA8DA9" w14:textId="77777777" w:rsidR="003E15C2" w:rsidRDefault="003E15C2">
            <w:pPr>
              <w:keepNext/>
              <w:pBdr>
                <w:top w:val="nil"/>
                <w:left w:val="nil"/>
                <w:bottom w:val="nil"/>
                <w:right w:val="nil"/>
                <w:between w:val="nil"/>
              </w:pBdr>
              <w:spacing w:before="60" w:after="60"/>
              <w:rPr>
                <w:color w:val="000000"/>
              </w:rPr>
            </w:pPr>
            <w:r>
              <w:rPr>
                <w:color w:val="000000"/>
              </w:rPr>
              <w:t>Girolando Express</w:t>
            </w:r>
          </w:p>
        </w:tc>
        <w:tc>
          <w:tcPr>
            <w:tcW w:w="1805" w:type="dxa"/>
          </w:tcPr>
          <w:p w14:paraId="46D948A3" w14:textId="77777777" w:rsidR="003E15C2" w:rsidRDefault="003E15C2">
            <w:pPr>
              <w:keepNext/>
              <w:pBdr>
                <w:top w:val="nil"/>
                <w:left w:val="nil"/>
                <w:bottom w:val="nil"/>
                <w:right w:val="nil"/>
                <w:between w:val="nil"/>
              </w:pBdr>
              <w:spacing w:before="60" w:after="60"/>
              <w:rPr>
                <w:color w:val="000000"/>
              </w:rPr>
            </w:pPr>
            <w:r>
              <w:rPr>
                <w:color w:val="000000"/>
              </w:rPr>
              <w:t>Purpose built - fully closed</w:t>
            </w:r>
          </w:p>
        </w:tc>
        <w:tc>
          <w:tcPr>
            <w:tcW w:w="1805" w:type="dxa"/>
          </w:tcPr>
          <w:p w14:paraId="18C4708E" w14:textId="77777777" w:rsidR="003E15C2" w:rsidRDefault="003E15C2">
            <w:pPr>
              <w:keepNext/>
              <w:pBdr>
                <w:top w:val="nil"/>
                <w:left w:val="nil"/>
                <w:bottom w:val="nil"/>
                <w:right w:val="nil"/>
                <w:between w:val="nil"/>
              </w:pBdr>
              <w:spacing w:before="60" w:after="60"/>
              <w:rPr>
                <w:color w:val="000000"/>
              </w:rPr>
            </w:pPr>
            <w:r>
              <w:rPr>
                <w:color w:val="000000"/>
              </w:rPr>
              <w:t>Yes</w:t>
            </w:r>
          </w:p>
        </w:tc>
        <w:tc>
          <w:tcPr>
            <w:tcW w:w="1805" w:type="dxa"/>
          </w:tcPr>
          <w:p w14:paraId="431EBB2C" w14:textId="77777777" w:rsidR="003E15C2" w:rsidRDefault="003E15C2">
            <w:pPr>
              <w:keepNext/>
              <w:pBdr>
                <w:top w:val="nil"/>
                <w:left w:val="nil"/>
                <w:bottom w:val="nil"/>
                <w:right w:val="nil"/>
                <w:between w:val="nil"/>
              </w:pBdr>
              <w:spacing w:before="60" w:after="60"/>
              <w:rPr>
                <w:color w:val="000000"/>
              </w:rPr>
            </w:pPr>
            <w:r>
              <w:rPr>
                <w:color w:val="000000"/>
              </w:rPr>
              <w:t>Yes</w:t>
            </w:r>
          </w:p>
        </w:tc>
      </w:tr>
      <w:tr w:rsidR="003E15C2" w14:paraId="7468602F" w14:textId="77777777">
        <w:trPr>
          <w:cantSplit/>
        </w:trPr>
        <w:tc>
          <w:tcPr>
            <w:tcW w:w="1806" w:type="dxa"/>
          </w:tcPr>
          <w:p w14:paraId="3B469AEE" w14:textId="77777777" w:rsidR="003E15C2" w:rsidRPr="003E15C2" w:rsidRDefault="003E15C2">
            <w:pPr>
              <w:keepNext/>
              <w:pBdr>
                <w:top w:val="nil"/>
                <w:left w:val="nil"/>
                <w:bottom w:val="nil"/>
                <w:right w:val="nil"/>
                <w:between w:val="nil"/>
              </w:pBdr>
              <w:spacing w:before="60" w:after="60"/>
              <w:rPr>
                <w:color w:val="000000"/>
                <w:highlight w:val="yellow"/>
              </w:rPr>
            </w:pPr>
            <w:r w:rsidRPr="00CE5CEF">
              <w:rPr>
                <w:color w:val="000000"/>
              </w:rPr>
              <w:t>Fremantle</w:t>
            </w:r>
          </w:p>
        </w:tc>
        <w:tc>
          <w:tcPr>
            <w:tcW w:w="1805" w:type="dxa"/>
          </w:tcPr>
          <w:p w14:paraId="1EB26E83" w14:textId="7F80511F" w:rsidR="003E15C2" w:rsidRDefault="00E869A2">
            <w:pPr>
              <w:keepNext/>
              <w:pBdr>
                <w:top w:val="nil"/>
                <w:left w:val="nil"/>
                <w:bottom w:val="nil"/>
                <w:right w:val="nil"/>
                <w:between w:val="nil"/>
              </w:pBdr>
              <w:spacing w:before="60" w:after="60"/>
              <w:rPr>
                <w:color w:val="000000"/>
              </w:rPr>
            </w:pPr>
            <w:r>
              <w:rPr>
                <w:color w:val="000000"/>
              </w:rPr>
              <w:t>Friesian Express</w:t>
            </w:r>
          </w:p>
        </w:tc>
        <w:tc>
          <w:tcPr>
            <w:tcW w:w="1805" w:type="dxa"/>
          </w:tcPr>
          <w:p w14:paraId="3E464718" w14:textId="64D3FD19" w:rsidR="003E15C2" w:rsidRDefault="00343C2D">
            <w:pPr>
              <w:keepNext/>
              <w:pBdr>
                <w:top w:val="nil"/>
                <w:left w:val="nil"/>
                <w:bottom w:val="nil"/>
                <w:right w:val="nil"/>
                <w:between w:val="nil"/>
              </w:pBdr>
              <w:spacing w:before="60" w:after="60"/>
              <w:rPr>
                <w:color w:val="000000"/>
              </w:rPr>
            </w:pPr>
            <w:r w:rsidRPr="00343C2D">
              <w:rPr>
                <w:color w:val="000000"/>
              </w:rPr>
              <w:t>Purpose built - open and closed</w:t>
            </w:r>
          </w:p>
        </w:tc>
        <w:tc>
          <w:tcPr>
            <w:tcW w:w="1805" w:type="dxa"/>
          </w:tcPr>
          <w:p w14:paraId="292243B4" w14:textId="5F9572C1" w:rsidR="003E15C2" w:rsidRDefault="00343C2D">
            <w:pPr>
              <w:keepNext/>
              <w:pBdr>
                <w:top w:val="nil"/>
                <w:left w:val="nil"/>
                <w:bottom w:val="nil"/>
                <w:right w:val="nil"/>
                <w:between w:val="nil"/>
              </w:pBdr>
              <w:spacing w:before="60" w:after="60"/>
              <w:rPr>
                <w:color w:val="000000"/>
              </w:rPr>
            </w:pPr>
            <w:r>
              <w:rPr>
                <w:color w:val="000000"/>
              </w:rPr>
              <w:t>Yes</w:t>
            </w:r>
          </w:p>
        </w:tc>
        <w:tc>
          <w:tcPr>
            <w:tcW w:w="1805" w:type="dxa"/>
          </w:tcPr>
          <w:p w14:paraId="228C1E05" w14:textId="447785A2" w:rsidR="003E15C2" w:rsidRDefault="00343C2D">
            <w:pPr>
              <w:keepNext/>
              <w:pBdr>
                <w:top w:val="nil"/>
                <w:left w:val="nil"/>
                <w:bottom w:val="nil"/>
                <w:right w:val="nil"/>
                <w:between w:val="nil"/>
              </w:pBdr>
              <w:spacing w:before="60" w:after="60"/>
              <w:rPr>
                <w:color w:val="000000"/>
              </w:rPr>
            </w:pPr>
            <w:r>
              <w:rPr>
                <w:color w:val="000000"/>
              </w:rPr>
              <w:t>No</w:t>
            </w:r>
          </w:p>
        </w:tc>
      </w:tr>
      <w:tr w:rsidR="003E15C2" w14:paraId="35FF9EA7" w14:textId="77777777">
        <w:trPr>
          <w:cantSplit/>
        </w:trPr>
        <w:tc>
          <w:tcPr>
            <w:tcW w:w="1806" w:type="dxa"/>
          </w:tcPr>
          <w:p w14:paraId="633ED805" w14:textId="77777777" w:rsidR="003E15C2" w:rsidRPr="00CE5CEF" w:rsidRDefault="003E15C2">
            <w:pPr>
              <w:keepNext/>
              <w:pBdr>
                <w:top w:val="nil"/>
                <w:left w:val="nil"/>
                <w:bottom w:val="nil"/>
                <w:right w:val="nil"/>
                <w:between w:val="nil"/>
              </w:pBdr>
              <w:spacing w:before="60" w:after="60"/>
              <w:rPr>
                <w:color w:val="000000"/>
              </w:rPr>
            </w:pPr>
            <w:r w:rsidRPr="00CE5CEF">
              <w:rPr>
                <w:color w:val="000000"/>
              </w:rPr>
              <w:t>Fremantle</w:t>
            </w:r>
          </w:p>
        </w:tc>
        <w:tc>
          <w:tcPr>
            <w:tcW w:w="1805" w:type="dxa"/>
          </w:tcPr>
          <w:p w14:paraId="7CF215B3" w14:textId="778BB6F7" w:rsidR="003E15C2" w:rsidRDefault="00E869A2">
            <w:pPr>
              <w:keepNext/>
              <w:pBdr>
                <w:top w:val="nil"/>
                <w:left w:val="nil"/>
                <w:bottom w:val="nil"/>
                <w:right w:val="nil"/>
                <w:between w:val="nil"/>
              </w:pBdr>
              <w:spacing w:before="60" w:after="60"/>
              <w:rPr>
                <w:color w:val="000000"/>
              </w:rPr>
            </w:pPr>
            <w:r>
              <w:rPr>
                <w:color w:val="000000"/>
              </w:rPr>
              <w:t>Dareen</w:t>
            </w:r>
          </w:p>
        </w:tc>
        <w:tc>
          <w:tcPr>
            <w:tcW w:w="1805" w:type="dxa"/>
          </w:tcPr>
          <w:p w14:paraId="6E3764B8" w14:textId="44DF4D85" w:rsidR="003E15C2" w:rsidRDefault="00343C2D">
            <w:pPr>
              <w:keepNext/>
              <w:pBdr>
                <w:top w:val="nil"/>
                <w:left w:val="nil"/>
                <w:bottom w:val="nil"/>
                <w:right w:val="nil"/>
                <w:between w:val="nil"/>
              </w:pBdr>
              <w:spacing w:before="60" w:after="60"/>
              <w:rPr>
                <w:color w:val="000000"/>
              </w:rPr>
            </w:pPr>
            <w:r>
              <w:rPr>
                <w:color w:val="000000"/>
              </w:rPr>
              <w:t>Converted – open and closed</w:t>
            </w:r>
          </w:p>
        </w:tc>
        <w:tc>
          <w:tcPr>
            <w:tcW w:w="1805" w:type="dxa"/>
          </w:tcPr>
          <w:p w14:paraId="5E1FC7E0" w14:textId="424FB941" w:rsidR="003E15C2" w:rsidRDefault="00343C2D">
            <w:pPr>
              <w:keepNext/>
              <w:pBdr>
                <w:top w:val="nil"/>
                <w:left w:val="nil"/>
                <w:bottom w:val="nil"/>
                <w:right w:val="nil"/>
                <w:between w:val="nil"/>
              </w:pBdr>
              <w:spacing w:before="60" w:after="60"/>
              <w:rPr>
                <w:color w:val="000000"/>
              </w:rPr>
            </w:pPr>
            <w:r>
              <w:rPr>
                <w:color w:val="000000"/>
              </w:rPr>
              <w:t>Yes</w:t>
            </w:r>
          </w:p>
        </w:tc>
        <w:tc>
          <w:tcPr>
            <w:tcW w:w="1805" w:type="dxa"/>
          </w:tcPr>
          <w:p w14:paraId="0443BEE9" w14:textId="249F8B7A" w:rsidR="003E15C2" w:rsidRDefault="00343C2D">
            <w:pPr>
              <w:keepNext/>
              <w:pBdr>
                <w:top w:val="nil"/>
                <w:left w:val="nil"/>
                <w:bottom w:val="nil"/>
                <w:right w:val="nil"/>
                <w:between w:val="nil"/>
              </w:pBdr>
              <w:spacing w:before="60" w:after="60"/>
              <w:rPr>
                <w:color w:val="000000"/>
              </w:rPr>
            </w:pPr>
            <w:r>
              <w:rPr>
                <w:color w:val="000000"/>
              </w:rPr>
              <w:t>Yes</w:t>
            </w:r>
          </w:p>
        </w:tc>
      </w:tr>
      <w:tr w:rsidR="003E15C2" w14:paraId="06537400" w14:textId="77777777">
        <w:trPr>
          <w:cantSplit/>
        </w:trPr>
        <w:tc>
          <w:tcPr>
            <w:tcW w:w="1806" w:type="dxa"/>
          </w:tcPr>
          <w:p w14:paraId="2A763460" w14:textId="77777777" w:rsidR="003E15C2" w:rsidRPr="00CE5CEF" w:rsidRDefault="003E15C2">
            <w:pPr>
              <w:keepNext/>
              <w:pBdr>
                <w:top w:val="nil"/>
                <w:left w:val="nil"/>
                <w:bottom w:val="nil"/>
                <w:right w:val="nil"/>
                <w:between w:val="nil"/>
              </w:pBdr>
              <w:spacing w:before="60" w:after="60"/>
              <w:rPr>
                <w:color w:val="000000"/>
              </w:rPr>
            </w:pPr>
            <w:r w:rsidRPr="00CE5CEF">
              <w:rPr>
                <w:color w:val="000000"/>
              </w:rPr>
              <w:t>Fremantle</w:t>
            </w:r>
          </w:p>
        </w:tc>
        <w:tc>
          <w:tcPr>
            <w:tcW w:w="1805" w:type="dxa"/>
          </w:tcPr>
          <w:p w14:paraId="13C41A33" w14:textId="27EE590E" w:rsidR="003E15C2" w:rsidRDefault="00E869A2">
            <w:pPr>
              <w:keepNext/>
              <w:pBdr>
                <w:top w:val="nil"/>
                <w:left w:val="nil"/>
                <w:bottom w:val="nil"/>
                <w:right w:val="nil"/>
                <w:between w:val="nil"/>
              </w:pBdr>
              <w:spacing w:before="60" w:after="60"/>
              <w:rPr>
                <w:color w:val="000000"/>
              </w:rPr>
            </w:pPr>
            <w:r>
              <w:rPr>
                <w:color w:val="000000"/>
              </w:rPr>
              <w:t>Ganado Express</w:t>
            </w:r>
          </w:p>
        </w:tc>
        <w:tc>
          <w:tcPr>
            <w:tcW w:w="1805" w:type="dxa"/>
          </w:tcPr>
          <w:p w14:paraId="652DC967" w14:textId="6BF36F35" w:rsidR="003E15C2" w:rsidRDefault="00343C2D">
            <w:pPr>
              <w:keepNext/>
              <w:pBdr>
                <w:top w:val="nil"/>
                <w:left w:val="nil"/>
                <w:bottom w:val="nil"/>
                <w:right w:val="nil"/>
                <w:between w:val="nil"/>
              </w:pBdr>
              <w:spacing w:before="60" w:after="60"/>
              <w:rPr>
                <w:color w:val="000000"/>
              </w:rPr>
            </w:pPr>
            <w:r>
              <w:rPr>
                <w:color w:val="000000"/>
              </w:rPr>
              <w:t>Purpose built – fully closed</w:t>
            </w:r>
          </w:p>
        </w:tc>
        <w:tc>
          <w:tcPr>
            <w:tcW w:w="1805" w:type="dxa"/>
          </w:tcPr>
          <w:p w14:paraId="28945B12" w14:textId="49872F8C" w:rsidR="003E15C2" w:rsidRDefault="00343C2D">
            <w:pPr>
              <w:keepNext/>
              <w:pBdr>
                <w:top w:val="nil"/>
                <w:left w:val="nil"/>
                <w:bottom w:val="nil"/>
                <w:right w:val="nil"/>
                <w:between w:val="nil"/>
              </w:pBdr>
              <w:spacing w:before="60" w:after="60"/>
              <w:rPr>
                <w:color w:val="000000"/>
              </w:rPr>
            </w:pPr>
            <w:r>
              <w:rPr>
                <w:color w:val="000000"/>
              </w:rPr>
              <w:t>Yes</w:t>
            </w:r>
          </w:p>
        </w:tc>
        <w:tc>
          <w:tcPr>
            <w:tcW w:w="1805" w:type="dxa"/>
          </w:tcPr>
          <w:p w14:paraId="5E769588" w14:textId="02F230AF" w:rsidR="003E15C2" w:rsidRDefault="00343C2D">
            <w:pPr>
              <w:keepNext/>
              <w:pBdr>
                <w:top w:val="nil"/>
                <w:left w:val="nil"/>
                <w:bottom w:val="nil"/>
                <w:right w:val="nil"/>
                <w:between w:val="nil"/>
              </w:pBdr>
              <w:spacing w:before="60" w:after="60"/>
              <w:rPr>
                <w:color w:val="000000"/>
              </w:rPr>
            </w:pPr>
            <w:r>
              <w:rPr>
                <w:color w:val="000000"/>
              </w:rPr>
              <w:t>Yes</w:t>
            </w:r>
          </w:p>
        </w:tc>
      </w:tr>
    </w:tbl>
    <w:p w14:paraId="4A95E590" w14:textId="77777777" w:rsidR="003E15C2" w:rsidRDefault="003E15C2"/>
    <w:p w14:paraId="73949CAD" w14:textId="77777777" w:rsidR="003E15C2" w:rsidRDefault="003E15C2" w:rsidP="009E1EA2">
      <w:pPr>
        <w:pStyle w:val="Heading1"/>
      </w:pPr>
      <w:bookmarkStart w:id="15" w:name="_Toc219289994"/>
      <w:bookmarkStart w:id="16" w:name="_Toc226796940"/>
      <w:r>
        <w:lastRenderedPageBreak/>
        <w:t xml:space="preserve">Literature </w:t>
      </w:r>
      <w:r w:rsidRPr="00B12684">
        <w:t>review</w:t>
      </w:r>
      <w:bookmarkEnd w:id="15"/>
      <w:bookmarkEnd w:id="16"/>
    </w:p>
    <w:p w14:paraId="274B911C" w14:textId="77777777" w:rsidR="003E15C2" w:rsidRDefault="003E15C2" w:rsidP="009E1EA2">
      <w:pPr>
        <w:pStyle w:val="Heading2"/>
      </w:pPr>
      <w:bookmarkStart w:id="17" w:name="_Toc219289995"/>
      <w:bookmarkStart w:id="18" w:name="_Toc226796941"/>
      <w:r>
        <w:t xml:space="preserve">Legislative </w:t>
      </w:r>
      <w:r w:rsidRPr="00B12684">
        <w:t>requirements</w:t>
      </w:r>
      <w:bookmarkEnd w:id="17"/>
      <w:bookmarkEnd w:id="18"/>
    </w:p>
    <w:p w14:paraId="190AA72E" w14:textId="77777777" w:rsidR="003E15C2" w:rsidRDefault="003E15C2" w:rsidP="003807D5">
      <w:pPr>
        <w:pStyle w:val="Heading3"/>
      </w:pPr>
      <w:bookmarkStart w:id="19" w:name="_Toc219289996"/>
      <w:bookmarkStart w:id="20" w:name="_Toc226796942"/>
      <w:r>
        <w:t xml:space="preserve">Emergency animal diseases and </w:t>
      </w:r>
      <w:r w:rsidRPr="00B12684">
        <w:t>biosecurity</w:t>
      </w:r>
      <w:bookmarkEnd w:id="19"/>
      <w:bookmarkEnd w:id="20"/>
    </w:p>
    <w:p w14:paraId="48BC588B" w14:textId="0DDA33AA" w:rsidR="003E15C2" w:rsidRDefault="003E15C2">
      <w:pPr>
        <w:tabs>
          <w:tab w:val="right" w:pos="9000"/>
        </w:tabs>
        <w:rPr>
          <w:rFonts w:eastAsia="Garamond" w:cs="Garamond"/>
          <w:szCs w:val="22"/>
        </w:rPr>
      </w:pPr>
      <w:r>
        <w:rPr>
          <w:rFonts w:eastAsia="Garamond" w:cs="Garamond"/>
          <w:szCs w:val="22"/>
        </w:rPr>
        <w:t>The Department is generally responsible for managing the biosecurity risks from commercial and non-commercial vessels returning to Australia. Regarding general plant and animal risks, vessels are managed through pre-arrival reporting, assessment and inspection of returning vessels arriving at Australian ports. For the duration of time a vessel is in Australian waters, vessels must report the following:</w:t>
      </w:r>
    </w:p>
    <w:p w14:paraId="7C9D9540" w14:textId="0B12486E" w:rsidR="003E15C2" w:rsidRDefault="00A16E8D" w:rsidP="004D49C1">
      <w:pPr>
        <w:pStyle w:val="ListParagraph"/>
        <w:rPr>
          <w:rFonts w:eastAsia="Garamond"/>
        </w:rPr>
      </w:pPr>
      <w:r>
        <w:rPr>
          <w:rFonts w:eastAsia="Garamond"/>
        </w:rPr>
        <w:t>t</w:t>
      </w:r>
      <w:r w:rsidR="003E15C2">
        <w:rPr>
          <w:rFonts w:eastAsia="Garamond"/>
        </w:rPr>
        <w:t>he human health of travellers</w:t>
      </w:r>
    </w:p>
    <w:p w14:paraId="4473A066" w14:textId="577159E9" w:rsidR="003E15C2" w:rsidRDefault="00A16E8D" w:rsidP="004D49C1">
      <w:pPr>
        <w:pStyle w:val="ListParagraph"/>
        <w:rPr>
          <w:rFonts w:eastAsia="Garamond"/>
        </w:rPr>
      </w:pPr>
      <w:r>
        <w:rPr>
          <w:rFonts w:eastAsia="Garamond"/>
        </w:rPr>
        <w:t>c</w:t>
      </w:r>
      <w:r w:rsidR="003E15C2">
        <w:rPr>
          <w:rFonts w:eastAsia="Garamond"/>
        </w:rPr>
        <w:t>rew changes</w:t>
      </w:r>
    </w:p>
    <w:p w14:paraId="22DD5554" w14:textId="32931118" w:rsidR="003E15C2" w:rsidRDefault="00A16E8D" w:rsidP="004D49C1">
      <w:pPr>
        <w:pStyle w:val="ListParagraph"/>
        <w:rPr>
          <w:rFonts w:eastAsia="Garamond"/>
        </w:rPr>
      </w:pPr>
      <w:r>
        <w:rPr>
          <w:rFonts w:eastAsia="Garamond"/>
        </w:rPr>
        <w:t>a</w:t>
      </w:r>
      <w:r w:rsidR="003E15C2">
        <w:rPr>
          <w:rFonts w:eastAsia="Garamond"/>
        </w:rPr>
        <w:t>nimals on board</w:t>
      </w:r>
    </w:p>
    <w:p w14:paraId="201F3D0D" w14:textId="4F038A34" w:rsidR="003E15C2" w:rsidRDefault="00A16E8D" w:rsidP="004D49C1">
      <w:pPr>
        <w:pStyle w:val="ListParagraph"/>
        <w:rPr>
          <w:rFonts w:eastAsia="Garamond"/>
        </w:rPr>
      </w:pPr>
      <w:r>
        <w:rPr>
          <w:rFonts w:eastAsia="Garamond"/>
        </w:rPr>
        <w:t>h</w:t>
      </w:r>
      <w:r w:rsidR="003E15C2">
        <w:rPr>
          <w:rFonts w:eastAsia="Garamond"/>
        </w:rPr>
        <w:t>itchhiking animals and birds</w:t>
      </w:r>
    </w:p>
    <w:p w14:paraId="6975E4C7" w14:textId="55D9C77A" w:rsidR="003E15C2" w:rsidRDefault="00A16E8D" w:rsidP="004D49C1">
      <w:pPr>
        <w:pStyle w:val="ListParagraph"/>
        <w:rPr>
          <w:rFonts w:eastAsia="Garamond"/>
        </w:rPr>
      </w:pPr>
      <w:r>
        <w:rPr>
          <w:rFonts w:eastAsia="Garamond"/>
        </w:rPr>
        <w:t>p</w:t>
      </w:r>
      <w:r w:rsidR="003E15C2">
        <w:rPr>
          <w:rFonts w:eastAsia="Garamond"/>
        </w:rPr>
        <w:t>lant and insect pests</w:t>
      </w:r>
    </w:p>
    <w:p w14:paraId="6AD683F3" w14:textId="1EC68451" w:rsidR="003E15C2" w:rsidRDefault="00A16E8D" w:rsidP="004D49C1">
      <w:pPr>
        <w:pStyle w:val="ListParagraph"/>
        <w:rPr>
          <w:rFonts w:eastAsia="Garamond"/>
        </w:rPr>
      </w:pPr>
      <w:r>
        <w:rPr>
          <w:rFonts w:eastAsia="Garamond"/>
        </w:rPr>
        <w:t>b</w:t>
      </w:r>
      <w:r w:rsidR="003E15C2">
        <w:rPr>
          <w:rFonts w:eastAsia="Garamond"/>
        </w:rPr>
        <w:t>allast water and biofouling.</w:t>
      </w:r>
    </w:p>
    <w:p w14:paraId="4291036E" w14:textId="4DA5B680" w:rsidR="003E15C2" w:rsidRDefault="003E15C2">
      <w:pPr>
        <w:tabs>
          <w:tab w:val="right" w:pos="9000"/>
        </w:tabs>
        <w:rPr>
          <w:rFonts w:eastAsia="Garamond" w:cs="Garamond"/>
          <w:szCs w:val="22"/>
        </w:rPr>
      </w:pPr>
      <w:r>
        <w:rPr>
          <w:rFonts w:eastAsia="Garamond" w:cs="Garamond"/>
          <w:szCs w:val="22"/>
        </w:rPr>
        <w:t>The vessel operator is obligated to accurately report information per Section 193 of the</w:t>
      </w:r>
      <w:hyperlink r:id="rId18">
        <w:r>
          <w:rPr>
            <w:rFonts w:eastAsia="Garamond" w:cs="Garamond"/>
            <w:color w:val="1155CC"/>
            <w:szCs w:val="22"/>
            <w:u w:val="single"/>
          </w:rPr>
          <w:t xml:space="preserve"> Biosecurity Act</w:t>
        </w:r>
      </w:hyperlink>
      <w:r>
        <w:rPr>
          <w:rFonts w:eastAsia="Garamond" w:cs="Garamond"/>
          <w:szCs w:val="22"/>
        </w:rPr>
        <w:t xml:space="preserve">. Where a vessel operator uses a shipping agent, the agent is responsible for the lodgement of accurate and timely pre-arrival reporting </w:t>
      </w:r>
      <w:r w:rsidR="009B7624">
        <w:rPr>
          <w:rFonts w:eastAsia="Garamond" w:cs="Garamond"/>
          <w:szCs w:val="22"/>
        </w:rPr>
        <w:fldChar w:fldCharType="begin"/>
      </w:r>
      <w:r w:rsidR="001E0B07">
        <w:rPr>
          <w:rFonts w:eastAsia="Garamond" w:cs="Garamond"/>
          <w:szCs w:val="22"/>
        </w:rPr>
        <w:instrText xml:space="preserve"> ADDIN ZOTERO_ITEM CSL_CITATION {"citationID":"9KZRjHNN","properties":{"formattedCitation":"(DAFF 2025b)","plainCitation":"(DAFF 2025b)","noteIndex":0},"citationItems":[{"id":22892,"uris":["http://zotero.org/groups/6289862/items/BEEZTATR"],"itemData":{"id":22892,"type":"webpage","abstract":"Protecting AustraliaThe department manages biosecurity risks at the Australian border. We ensure international vessels arriving in Australian territory comply with International Health Regulations (IHR) and manage biosecurity risks for arrival.Maritime conveyances (vessels) entering Australia could unknowingly carry unwanted pests and diseases, threatening our unique flora and fauna, aquaculture and agricultural industries as well as our human health.","language":"en","title":"Vessels - DAFF","URL":"https://www.agriculture.gov.au/biosecurity-trade/aircraft-vessels-military/vessels","author":[{"family":"DAFF","given":""}],"accessed":{"date-parts":[["2026",1,19]]},"issued":{"date-parts":[["2025",12,9]]}}}],"schema":"https://github.com/citation-style-language/schema/raw/master/csl-citation.json"} </w:instrText>
      </w:r>
      <w:r w:rsidR="009B7624">
        <w:rPr>
          <w:rFonts w:eastAsia="Garamond" w:cs="Garamond"/>
          <w:szCs w:val="22"/>
        </w:rPr>
        <w:fldChar w:fldCharType="separate"/>
      </w:r>
      <w:r w:rsidR="00710729">
        <w:rPr>
          <w:rFonts w:eastAsia="Garamond" w:cs="Garamond"/>
          <w:noProof/>
          <w:szCs w:val="22"/>
        </w:rPr>
        <w:t>(DAFF 2025b)</w:t>
      </w:r>
      <w:r w:rsidR="009B7624">
        <w:rPr>
          <w:rFonts w:eastAsia="Garamond" w:cs="Garamond"/>
          <w:szCs w:val="22"/>
        </w:rPr>
        <w:fldChar w:fldCharType="end"/>
      </w:r>
      <w:r>
        <w:rPr>
          <w:rFonts w:eastAsia="Garamond" w:cs="Garamond"/>
          <w:szCs w:val="22"/>
        </w:rPr>
        <w:t>.</w:t>
      </w:r>
    </w:p>
    <w:p w14:paraId="503D5A11" w14:textId="77777777" w:rsidR="003E15C2" w:rsidRDefault="003E15C2" w:rsidP="003807D5">
      <w:pPr>
        <w:pStyle w:val="Heading3"/>
      </w:pPr>
      <w:bookmarkStart w:id="21" w:name="_Toc219289997"/>
      <w:bookmarkStart w:id="22" w:name="_Toc226796943"/>
      <w:r>
        <w:t xml:space="preserve">Routine </w:t>
      </w:r>
      <w:r w:rsidRPr="00B12684">
        <w:t>inspections</w:t>
      </w:r>
      <w:bookmarkEnd w:id="21"/>
      <w:bookmarkEnd w:id="22"/>
    </w:p>
    <w:p w14:paraId="5CB52679" w14:textId="0DC32D64" w:rsidR="003E15C2" w:rsidRDefault="003E15C2">
      <w:pPr>
        <w:tabs>
          <w:tab w:val="right" w:pos="9000"/>
        </w:tabs>
        <w:spacing w:before="120"/>
        <w:rPr>
          <w:rFonts w:eastAsia="Garamond" w:cs="Garamond"/>
          <w:szCs w:val="22"/>
        </w:rPr>
      </w:pPr>
      <w:r>
        <w:rPr>
          <w:rFonts w:eastAsia="Garamond" w:cs="Garamond"/>
          <w:szCs w:val="22"/>
        </w:rPr>
        <w:t xml:space="preserve">Returning livestock carrier vessels are classified as a ‘high biosecurity risk’ due to the nature of their cargo and the epidemiological profile of destination countries that these vessels may </w:t>
      </w:r>
      <w:r w:rsidR="00A16E8D">
        <w:rPr>
          <w:rFonts w:eastAsia="Garamond" w:cs="Garamond"/>
          <w:szCs w:val="22"/>
        </w:rPr>
        <w:t>visit</w:t>
      </w:r>
      <w:r>
        <w:rPr>
          <w:rFonts w:eastAsia="Garamond" w:cs="Garamond"/>
          <w:szCs w:val="22"/>
        </w:rPr>
        <w:t xml:space="preserve"> prior to returning to Australia (e.g. carrying infected vectors or contaminated waste). Therefore, all livestock vessels are inspected at berth on every return visit to Australia, irrespective of the vessel’s history</w:t>
      </w:r>
      <w:r w:rsidR="00BA4AEA">
        <w:rPr>
          <w:rFonts w:eastAsia="Garamond" w:cs="Garamond"/>
          <w:szCs w:val="22"/>
        </w:rPr>
        <w:t xml:space="preserve"> (including demerit point status)</w:t>
      </w:r>
      <w:r>
        <w:rPr>
          <w:rFonts w:eastAsia="Garamond" w:cs="Garamond"/>
          <w:szCs w:val="22"/>
        </w:rPr>
        <w:t xml:space="preserve"> or last departure port </w:t>
      </w:r>
      <w:bookmarkStart w:id="23" w:name="_Hlk219733336"/>
      <w:r w:rsidR="009B7624">
        <w:rPr>
          <w:rFonts w:eastAsia="Garamond" w:cs="Garamond"/>
          <w:szCs w:val="22"/>
        </w:rPr>
        <w:fldChar w:fldCharType="begin"/>
      </w:r>
      <w:r w:rsidR="001E0B07">
        <w:rPr>
          <w:rFonts w:eastAsia="Garamond" w:cs="Garamond"/>
          <w:szCs w:val="22"/>
        </w:rPr>
        <w:instrText xml:space="preserve"> ADDIN ZOTERO_ITEM CSL_CITATION {"citationID":"7u6R20Xs","properties":{"formattedCitation":"(DAFF 2025c)","plainCitation":"(DAFF 2025c)","noteIndex":0},"citationItems":[{"id":22891,"uris":["http://zotero.org/groups/6289862/items/64SW6UKP"],"itemData":{"id":22891,"type":"webpage","abstract":"All commercial vessels must use MARS for vessel pre-arrival reporting.Commercial vessel types that must use MARS to report noting that some vessels having additional requirements to be met:","language":"en","title":"Commercial vessel biosecurity reporting - DAFF","URL":"https://www.agriculture.gov.au/biosecurity-trade/aircraft-vessels-military/vessels/commercial-vessels","author":[{"family":"DAFF","given":""}],"accessed":{"date-parts":[["2026",1,19]]},"issued":{"date-parts":[["2025",12,16]]}}}],"schema":"https://github.com/citation-style-language/schema/raw/master/csl-citation.json"} </w:instrText>
      </w:r>
      <w:r w:rsidR="009B7624">
        <w:rPr>
          <w:rFonts w:eastAsia="Garamond" w:cs="Garamond"/>
          <w:szCs w:val="22"/>
        </w:rPr>
        <w:fldChar w:fldCharType="separate"/>
      </w:r>
      <w:r w:rsidR="00710729">
        <w:rPr>
          <w:rFonts w:eastAsia="Garamond" w:cs="Garamond"/>
          <w:noProof/>
          <w:szCs w:val="22"/>
        </w:rPr>
        <w:t>(DAFF 2025c)</w:t>
      </w:r>
      <w:r w:rsidR="009B7624">
        <w:rPr>
          <w:rFonts w:eastAsia="Garamond" w:cs="Garamond"/>
          <w:szCs w:val="22"/>
        </w:rPr>
        <w:fldChar w:fldCharType="end"/>
      </w:r>
      <w:bookmarkEnd w:id="23"/>
      <w:r>
        <w:rPr>
          <w:rFonts w:eastAsia="Garamond" w:cs="Garamond"/>
          <w:szCs w:val="22"/>
        </w:rPr>
        <w:t>. Inspectors may review previous inspection records to identify any prior areas of non-compliance (pers. comm T Ritchie). Vessels must be thoroughly cleaned, disinfected with sodium carbonate/soda ash (minimum 4% concentration) and disinsected</w:t>
      </w:r>
      <w:r w:rsidR="00E62540">
        <w:rPr>
          <w:rFonts w:eastAsia="Garamond" w:cs="Garamond"/>
          <w:szCs w:val="22"/>
        </w:rPr>
        <w:t xml:space="preserve"> (</w:t>
      </w:r>
      <w:r w:rsidR="006A09D6">
        <w:rPr>
          <w:rFonts w:eastAsia="Garamond" w:cs="Garamond"/>
          <w:szCs w:val="22"/>
        </w:rPr>
        <w:t xml:space="preserve">application of approved measures to eliminate insects to prevent </w:t>
      </w:r>
      <w:r w:rsidR="00BA4AEA">
        <w:rPr>
          <w:rFonts w:eastAsia="Garamond" w:cs="Garamond"/>
          <w:szCs w:val="22"/>
        </w:rPr>
        <w:t xml:space="preserve">introduction of new species or </w:t>
      </w:r>
      <w:r w:rsidR="006A09D6">
        <w:rPr>
          <w:rFonts w:eastAsia="Garamond" w:cs="Garamond"/>
          <w:szCs w:val="22"/>
        </w:rPr>
        <w:t>spread of vector-borne diseases</w:t>
      </w:r>
      <w:r w:rsidR="00E62540">
        <w:rPr>
          <w:rFonts w:eastAsia="Garamond" w:cs="Garamond"/>
          <w:szCs w:val="22"/>
        </w:rPr>
        <w:t>)</w:t>
      </w:r>
      <w:r>
        <w:rPr>
          <w:rFonts w:eastAsia="Garamond" w:cs="Garamond"/>
          <w:szCs w:val="22"/>
        </w:rPr>
        <w:t xml:space="preserve"> before arrival </w:t>
      </w:r>
      <w:r w:rsidR="009B7624">
        <w:rPr>
          <w:rFonts w:eastAsia="Garamond" w:cs="Garamond"/>
          <w:szCs w:val="22"/>
        </w:rPr>
        <w:fldChar w:fldCharType="begin"/>
      </w:r>
      <w:r w:rsidR="001E0B07">
        <w:rPr>
          <w:rFonts w:eastAsia="Garamond" w:cs="Garamond"/>
          <w:szCs w:val="22"/>
        </w:rPr>
        <w:instrText xml:space="preserve"> ADDIN ZOTERO_ITEM CSL_CITATION {"citationID":"PkP0YPFt","properties":{"formattedCitation":"(DAFF 2025c)","plainCitation":"(DAFF 2025c)","noteIndex":0},"citationItems":[{"id":22891,"uris":["http://zotero.org/groups/6289862/items/64SW6UKP"],"itemData":{"id":22891,"type":"webpage","abstract":"All commercial vessels must use MARS for vessel pre-arrival reporting.Commercial vessel types that must use MARS to report noting that some vessels having additional requirements to be met:","language":"en","title":"Commercial vessel biosecurity reporting - DAFF","URL":"https://www.agriculture.gov.au/biosecurity-trade/aircraft-vessels-military/vessels/commercial-vessels","author":[{"family":"DAFF","given":""}],"accessed":{"date-parts":[["2026",1,19]]},"issued":{"date-parts":[["2025",12,16]]}}}],"schema":"https://github.com/citation-style-language/schema/raw/master/csl-citation.json"} </w:instrText>
      </w:r>
      <w:r w:rsidR="009B7624">
        <w:rPr>
          <w:rFonts w:eastAsia="Garamond" w:cs="Garamond"/>
          <w:szCs w:val="22"/>
        </w:rPr>
        <w:fldChar w:fldCharType="separate"/>
      </w:r>
      <w:r w:rsidR="00710729">
        <w:rPr>
          <w:rFonts w:eastAsia="Garamond" w:cs="Garamond"/>
          <w:noProof/>
          <w:szCs w:val="22"/>
        </w:rPr>
        <w:t>(DAFF 2025c)</w:t>
      </w:r>
      <w:r w:rsidR="009B7624">
        <w:rPr>
          <w:rFonts w:eastAsia="Garamond" w:cs="Garamond"/>
          <w:szCs w:val="22"/>
        </w:rPr>
        <w:fldChar w:fldCharType="end"/>
      </w:r>
      <w:r>
        <w:rPr>
          <w:rFonts w:eastAsia="Garamond" w:cs="Garamond"/>
          <w:szCs w:val="22"/>
        </w:rPr>
        <w:t>. Current protocols approve the use of permethrin for residual disinsection</w:t>
      </w:r>
      <w:r w:rsidR="000F253D">
        <w:rPr>
          <w:rStyle w:val="FootnoteReference"/>
          <w:rFonts w:eastAsia="Garamond" w:cs="Garamond"/>
          <w:szCs w:val="22"/>
        </w:rPr>
        <w:footnoteReference w:id="2"/>
      </w:r>
      <w:r w:rsidR="00FE4EB9">
        <w:rPr>
          <w:rFonts w:eastAsia="Garamond" w:cs="Garamond"/>
          <w:szCs w:val="22"/>
        </w:rPr>
        <w:t xml:space="preserve"> (e.g. Coopex</w:t>
      </w:r>
      <w:r w:rsidR="00F95633">
        <w:rPr>
          <w:rFonts w:eastAsia="Garamond" w:cs="Garamond"/>
          <w:szCs w:val="22"/>
        </w:rPr>
        <w:t xml:space="preserve"> ®)</w:t>
      </w:r>
      <w:r>
        <w:rPr>
          <w:rFonts w:eastAsia="Garamond" w:cs="Garamond"/>
          <w:szCs w:val="22"/>
        </w:rPr>
        <w:t xml:space="preserve">, and Pestigas-P </w:t>
      </w:r>
      <w:r w:rsidR="00F95633">
        <w:rPr>
          <w:rFonts w:eastAsia="Garamond" w:cs="Garamond"/>
          <w:szCs w:val="22"/>
        </w:rPr>
        <w:t xml:space="preserve">(active ingredients Pyrethrins and Piperonyl Butoxide) </w:t>
      </w:r>
      <w:r>
        <w:rPr>
          <w:rFonts w:eastAsia="Garamond" w:cs="Garamond"/>
          <w:szCs w:val="22"/>
        </w:rPr>
        <w:t>or Insectigas-D</w:t>
      </w:r>
      <w:r w:rsidR="00F95633">
        <w:rPr>
          <w:rFonts w:eastAsia="Garamond" w:cs="Garamond"/>
          <w:szCs w:val="22"/>
        </w:rPr>
        <w:t xml:space="preserve"> (active ingredient Dichlorvos)</w:t>
      </w:r>
      <w:r>
        <w:rPr>
          <w:rFonts w:eastAsia="Garamond" w:cs="Garamond"/>
          <w:szCs w:val="22"/>
        </w:rPr>
        <w:t xml:space="preserve"> for knockdown disinsection </w:t>
      </w:r>
      <w:bookmarkStart w:id="24" w:name="_Hlk219733408"/>
      <w:r w:rsidR="009B7624">
        <w:rPr>
          <w:rFonts w:eastAsia="Garamond" w:cs="Garamond"/>
          <w:szCs w:val="22"/>
        </w:rPr>
        <w:fldChar w:fldCharType="begin"/>
      </w:r>
      <w:r w:rsidR="001E0B07">
        <w:rPr>
          <w:rFonts w:eastAsia="Garamond" w:cs="Garamond"/>
          <w:szCs w:val="22"/>
        </w:rPr>
        <w:instrText xml:space="preserve"> ADDIN ZOTERO_ITEM CSL_CITATION {"citationID":"dRUH63UP","properties":{"formattedCitation":"(DAFF 2022a)","plainCitation":"(DAFF 2022a)","noteIndex":0},"citationItems":[{"id":22377,"uris":["http://zotero.org/groups/6289862/items/ED2QECHR"],"itemData":{"id":22377,"type":"report","publisher":"Department of Agriculture, Forestry and Fisheries","publisher-place":"Canberra","title":"Undertaking a livestock vessel inspection","author":[{"literal":"DAFF"}],"issued":{"date-parts":[["2022"]]}}}],"schema":"https://github.com/citation-style-language/schema/raw/master/csl-citation.json"} </w:instrText>
      </w:r>
      <w:r w:rsidR="009B7624">
        <w:rPr>
          <w:rFonts w:eastAsia="Garamond" w:cs="Garamond"/>
          <w:szCs w:val="22"/>
        </w:rPr>
        <w:fldChar w:fldCharType="separate"/>
      </w:r>
      <w:r w:rsidR="00800085">
        <w:rPr>
          <w:rFonts w:eastAsia="Garamond" w:cs="Garamond"/>
          <w:noProof/>
          <w:szCs w:val="22"/>
        </w:rPr>
        <w:t>(DAFF 2022a)</w:t>
      </w:r>
      <w:r w:rsidR="009B7624">
        <w:rPr>
          <w:rFonts w:eastAsia="Garamond" w:cs="Garamond"/>
          <w:szCs w:val="22"/>
        </w:rPr>
        <w:fldChar w:fldCharType="end"/>
      </w:r>
      <w:bookmarkEnd w:id="24"/>
      <w:r>
        <w:rPr>
          <w:rFonts w:eastAsia="Garamond" w:cs="Garamond"/>
          <w:szCs w:val="22"/>
        </w:rPr>
        <w:t xml:space="preserve">. Permethrin must be applied via a low pressure applicator to a minimum of 10% of the surfaces of the open deck pennage areas, crew quarters, recreation areas, dining areas and any area that is unlikely to be adequately treated by the knock-down insecticide </w:t>
      </w:r>
      <w:r w:rsidR="009B7624">
        <w:rPr>
          <w:rFonts w:eastAsia="Garamond" w:cs="Garamond"/>
          <w:szCs w:val="22"/>
        </w:rPr>
        <w:fldChar w:fldCharType="begin"/>
      </w:r>
      <w:r w:rsidR="001E0B07">
        <w:rPr>
          <w:rFonts w:eastAsia="Garamond" w:cs="Garamond"/>
          <w:szCs w:val="22"/>
        </w:rPr>
        <w:instrText xml:space="preserve"> ADDIN ZOTERO_ITEM CSL_CITATION {"citationID":"lerMhefb","properties":{"formattedCitation":"(DAFF 2022a)","plainCitation":"(DAFF 2022a)","noteIndex":0},"citationItems":[{"id":22377,"uris":["http://zotero.org/groups/6289862/items/ED2QECHR"],"itemData":{"id":22377,"type":"report","publisher":"Department of Agriculture, Forestry and Fisheries","publisher-place":"Canberra","title":"Undertaking a livestock vessel inspection","author":[{"literal":"DAFF"}],"issued":{"date-parts":[["2022"]]}}}],"schema":"https://github.com/citation-style-language/schema/raw/master/csl-citation.json"} </w:instrText>
      </w:r>
      <w:r w:rsidR="009B7624">
        <w:rPr>
          <w:rFonts w:eastAsia="Garamond" w:cs="Garamond"/>
          <w:szCs w:val="22"/>
        </w:rPr>
        <w:fldChar w:fldCharType="separate"/>
      </w:r>
      <w:r w:rsidR="00800085">
        <w:rPr>
          <w:rFonts w:eastAsia="Garamond" w:cs="Garamond"/>
          <w:noProof/>
          <w:szCs w:val="22"/>
        </w:rPr>
        <w:t>(DAFF 2022a)</w:t>
      </w:r>
      <w:r w:rsidR="009B7624">
        <w:rPr>
          <w:rFonts w:eastAsia="Garamond" w:cs="Garamond"/>
          <w:szCs w:val="22"/>
        </w:rPr>
        <w:fldChar w:fldCharType="end"/>
      </w:r>
      <w:r>
        <w:rPr>
          <w:rFonts w:eastAsia="Garamond" w:cs="Garamond"/>
          <w:szCs w:val="22"/>
        </w:rPr>
        <w:t>. This process is expected to be undertaken before entering Australian waters. The knock down insecticides are to be used in all below deck and enclosed animal holding areas 2</w:t>
      </w:r>
      <w:r w:rsidR="00B469B7">
        <w:rPr>
          <w:rFonts w:eastAsia="Garamond" w:cs="Garamond"/>
          <w:szCs w:val="22"/>
        </w:rPr>
        <w:t>–</w:t>
      </w:r>
      <w:r>
        <w:rPr>
          <w:rFonts w:eastAsia="Garamond" w:cs="Garamond"/>
          <w:szCs w:val="22"/>
        </w:rPr>
        <w:t xml:space="preserve">48 hours before entering Australian waters. After the gas has been applied in the prescribed manor, the enclosed areas must remain sealed until permission is granted by the Department </w:t>
      </w:r>
      <w:r>
        <w:rPr>
          <w:rFonts w:eastAsia="Garamond" w:cs="Garamond"/>
          <w:szCs w:val="22"/>
        </w:rPr>
        <w:lastRenderedPageBreak/>
        <w:t xml:space="preserve">office to ventilate the areas </w:t>
      </w:r>
      <w:r w:rsidR="009B7624">
        <w:rPr>
          <w:rFonts w:eastAsia="Garamond" w:cs="Garamond"/>
          <w:szCs w:val="22"/>
        </w:rPr>
        <w:fldChar w:fldCharType="begin"/>
      </w:r>
      <w:r w:rsidR="001E0B07">
        <w:rPr>
          <w:rFonts w:eastAsia="Garamond" w:cs="Garamond"/>
          <w:szCs w:val="22"/>
        </w:rPr>
        <w:instrText xml:space="preserve"> ADDIN ZOTERO_ITEM CSL_CITATION {"citationID":"9Ygx7uLz","properties":{"formattedCitation":"(DAFF 2022a)","plainCitation":"(DAFF 2022a)","noteIndex":0},"citationItems":[{"id":22377,"uris":["http://zotero.org/groups/6289862/items/ED2QECHR"],"itemData":{"id":22377,"type":"report","publisher":"Department of Agriculture, Forestry and Fisheries","publisher-place":"Canberra","title":"Undertaking a livestock vessel inspection","author":[{"literal":"DAFF"}],"issued":{"date-parts":[["2022"]]}}}],"schema":"https://github.com/citation-style-language/schema/raw/master/csl-citation.json"} </w:instrText>
      </w:r>
      <w:r w:rsidR="009B7624">
        <w:rPr>
          <w:rFonts w:eastAsia="Garamond" w:cs="Garamond"/>
          <w:szCs w:val="22"/>
        </w:rPr>
        <w:fldChar w:fldCharType="separate"/>
      </w:r>
      <w:r w:rsidR="00800085">
        <w:rPr>
          <w:rFonts w:eastAsia="Garamond" w:cs="Garamond"/>
          <w:noProof/>
          <w:szCs w:val="22"/>
        </w:rPr>
        <w:t>(DAFF 2022a)</w:t>
      </w:r>
      <w:r w:rsidR="009B7624">
        <w:rPr>
          <w:rFonts w:eastAsia="Garamond" w:cs="Garamond"/>
          <w:szCs w:val="22"/>
        </w:rPr>
        <w:fldChar w:fldCharType="end"/>
      </w:r>
      <w:r>
        <w:rPr>
          <w:rFonts w:eastAsia="Garamond" w:cs="Garamond"/>
          <w:szCs w:val="22"/>
        </w:rPr>
        <w:t xml:space="preserve">. Vessels must carry sufficient spare chemicals to conduct a full disinsection with knock down and residual insecticides </w:t>
      </w:r>
      <w:r w:rsidR="009B7624">
        <w:rPr>
          <w:rFonts w:eastAsia="Garamond" w:cs="Garamond"/>
          <w:szCs w:val="22"/>
        </w:rPr>
        <w:fldChar w:fldCharType="begin"/>
      </w:r>
      <w:r w:rsidR="001E0B07">
        <w:rPr>
          <w:rFonts w:eastAsia="Garamond" w:cs="Garamond"/>
          <w:szCs w:val="22"/>
        </w:rPr>
        <w:instrText xml:space="preserve"> ADDIN ZOTERO_ITEM CSL_CITATION {"citationID":"6FzReiSA","properties":{"formattedCitation":"(DAFF 2022a)","plainCitation":"(DAFF 2022a)","noteIndex":0},"citationItems":[{"id":22377,"uris":["http://zotero.org/groups/6289862/items/ED2QECHR"],"itemData":{"id":22377,"type":"report","publisher":"Department of Agriculture, Forestry and Fisheries","publisher-place":"Canberra","title":"Undertaking a livestock vessel inspection","author":[{"literal":"DAFF"}],"issued":{"date-parts":[["2022"]]}}}],"schema":"https://github.com/citation-style-language/schema/raw/master/csl-citation.json"} </w:instrText>
      </w:r>
      <w:r w:rsidR="009B7624">
        <w:rPr>
          <w:rFonts w:eastAsia="Garamond" w:cs="Garamond"/>
          <w:szCs w:val="22"/>
        </w:rPr>
        <w:fldChar w:fldCharType="separate"/>
      </w:r>
      <w:r w:rsidR="00800085">
        <w:rPr>
          <w:rFonts w:eastAsia="Garamond" w:cs="Garamond"/>
          <w:noProof/>
          <w:szCs w:val="22"/>
        </w:rPr>
        <w:t>(DAFF 2022a)</w:t>
      </w:r>
      <w:r w:rsidR="009B7624">
        <w:rPr>
          <w:rFonts w:eastAsia="Garamond" w:cs="Garamond"/>
          <w:szCs w:val="22"/>
        </w:rPr>
        <w:fldChar w:fldCharType="end"/>
      </w:r>
      <w:r>
        <w:rPr>
          <w:rFonts w:eastAsia="Garamond" w:cs="Garamond"/>
          <w:szCs w:val="22"/>
        </w:rPr>
        <w:t>.</w:t>
      </w:r>
    </w:p>
    <w:p w14:paraId="2C91EA2B" w14:textId="6913BF4F" w:rsidR="003E15C2" w:rsidRDefault="003E15C2">
      <w:pPr>
        <w:tabs>
          <w:tab w:val="right" w:pos="9000"/>
        </w:tabs>
        <w:spacing w:before="120"/>
        <w:rPr>
          <w:rFonts w:eastAsia="Garamond" w:cs="Garamond"/>
          <w:szCs w:val="22"/>
        </w:rPr>
      </w:pPr>
      <w:r>
        <w:rPr>
          <w:rFonts w:eastAsia="Garamond" w:cs="Garamond"/>
          <w:szCs w:val="22"/>
        </w:rPr>
        <w:t>Insectocutors</w:t>
      </w:r>
      <w:r w:rsidR="00C44AF7">
        <w:rPr>
          <w:rStyle w:val="FootnoteReference"/>
          <w:rFonts w:eastAsia="Garamond" w:cs="Garamond"/>
          <w:szCs w:val="22"/>
        </w:rPr>
        <w:footnoteReference w:id="3"/>
      </w:r>
      <w:r>
        <w:rPr>
          <w:rFonts w:eastAsia="Garamond" w:cs="Garamond"/>
          <w:szCs w:val="22"/>
        </w:rPr>
        <w:t xml:space="preserve"> </w:t>
      </w:r>
      <w:r w:rsidR="008D4F90">
        <w:rPr>
          <w:rFonts w:eastAsia="Garamond" w:cs="Garamond"/>
          <w:szCs w:val="22"/>
        </w:rPr>
        <w:t>(</w:t>
      </w:r>
      <w:r w:rsidR="00553A68">
        <w:rPr>
          <w:rFonts w:eastAsia="Garamond" w:cs="Garamond"/>
          <w:szCs w:val="22"/>
        </w:rPr>
        <w:fldChar w:fldCharType="begin"/>
      </w:r>
      <w:r w:rsidR="00553A68">
        <w:rPr>
          <w:rFonts w:eastAsia="Garamond" w:cs="Garamond"/>
          <w:szCs w:val="22"/>
        </w:rPr>
        <w:instrText xml:space="preserve"> REF _Ref221871803 \h </w:instrText>
      </w:r>
      <w:r w:rsidR="00553A68">
        <w:rPr>
          <w:rFonts w:eastAsia="Garamond" w:cs="Garamond"/>
          <w:szCs w:val="22"/>
        </w:rPr>
      </w:r>
      <w:r w:rsidR="00553A68">
        <w:rPr>
          <w:rFonts w:eastAsia="Garamond" w:cs="Garamond"/>
          <w:szCs w:val="22"/>
        </w:rPr>
        <w:fldChar w:fldCharType="separate"/>
      </w:r>
      <w:r w:rsidR="00651A0D">
        <w:t xml:space="preserve">Figure </w:t>
      </w:r>
      <w:r w:rsidR="00651A0D">
        <w:rPr>
          <w:noProof/>
        </w:rPr>
        <w:t>1</w:t>
      </w:r>
      <w:r w:rsidR="00553A68">
        <w:rPr>
          <w:rFonts w:eastAsia="Garamond" w:cs="Garamond"/>
          <w:szCs w:val="22"/>
        </w:rPr>
        <w:fldChar w:fldCharType="end"/>
      </w:r>
      <w:r w:rsidR="008D4F90">
        <w:rPr>
          <w:rFonts w:eastAsia="Garamond" w:cs="Garamond"/>
          <w:szCs w:val="22"/>
        </w:rPr>
        <w:t xml:space="preserve">) </w:t>
      </w:r>
      <w:r>
        <w:rPr>
          <w:rFonts w:eastAsia="Garamond" w:cs="Garamond"/>
          <w:szCs w:val="22"/>
        </w:rPr>
        <w:t>must be used on all livestock holding decks (open and enclosed), with at least one present on each deck. They are required to have a minimum light intensity of 160 watts UV, with bulbs replaced every 18</w:t>
      </w:r>
      <w:r w:rsidR="00B469B7">
        <w:rPr>
          <w:rFonts w:eastAsia="Garamond" w:cs="Garamond"/>
          <w:szCs w:val="22"/>
        </w:rPr>
        <w:t>–</w:t>
      </w:r>
      <w:r>
        <w:rPr>
          <w:rFonts w:eastAsia="Garamond" w:cs="Garamond"/>
          <w:szCs w:val="22"/>
        </w:rPr>
        <w:t xml:space="preserve">24 months. They must be activated 24 hours after leaving the last international port enroute to Australia </w:t>
      </w:r>
      <w:bookmarkStart w:id="25" w:name="_Hlk219733486"/>
      <w:r w:rsidR="009B7624">
        <w:rPr>
          <w:rFonts w:eastAsia="Garamond" w:cs="Garamond"/>
          <w:szCs w:val="22"/>
        </w:rPr>
        <w:fldChar w:fldCharType="begin"/>
      </w:r>
      <w:r w:rsidR="001E0B07">
        <w:rPr>
          <w:rFonts w:eastAsia="Garamond" w:cs="Garamond"/>
          <w:szCs w:val="22"/>
        </w:rPr>
        <w:instrText xml:space="preserve"> ADDIN ZOTERO_ITEM CSL_CITATION {"citationID":"zsGknP5v","properties":{"formattedCitation":"(DAFF 2022a)","plainCitation":"(DAFF 2022a)","noteIndex":0},"citationItems":[{"id":22377,"uris":["http://zotero.org/groups/6289862/items/ED2QECHR"],"itemData":{"id":22377,"type":"report","publisher":"Department of Agriculture, Forestry and Fisheries","publisher-place":"Canberra","title":"Undertaking a livestock vessel inspection","author":[{"literal":"DAFF"}],"issued":{"date-parts":[["2022"]]}}}],"schema":"https://github.com/citation-style-language/schema/raw/master/csl-citation.json"} </w:instrText>
      </w:r>
      <w:r w:rsidR="009B7624">
        <w:rPr>
          <w:rFonts w:eastAsia="Garamond" w:cs="Garamond"/>
          <w:szCs w:val="22"/>
        </w:rPr>
        <w:fldChar w:fldCharType="separate"/>
      </w:r>
      <w:r w:rsidR="00800085">
        <w:rPr>
          <w:rFonts w:eastAsia="Garamond" w:cs="Garamond"/>
          <w:noProof/>
          <w:szCs w:val="22"/>
        </w:rPr>
        <w:t>(DAFF 2022a)</w:t>
      </w:r>
      <w:r w:rsidR="009B7624">
        <w:rPr>
          <w:rFonts w:eastAsia="Garamond" w:cs="Garamond"/>
          <w:szCs w:val="22"/>
        </w:rPr>
        <w:fldChar w:fldCharType="end"/>
      </w:r>
      <w:bookmarkEnd w:id="25"/>
      <w:r>
        <w:rPr>
          <w:rFonts w:eastAsia="Garamond" w:cs="Garamond"/>
          <w:szCs w:val="22"/>
        </w:rPr>
        <w:t xml:space="preserve">. Any potential exotic insects, such as yellow faced blowflies, that are found are sent to the regional entomology department for identification </w:t>
      </w:r>
      <w:r w:rsidR="009B7624">
        <w:rPr>
          <w:rFonts w:eastAsia="Garamond" w:cs="Garamond"/>
          <w:szCs w:val="22"/>
        </w:rPr>
        <w:fldChar w:fldCharType="begin"/>
      </w:r>
      <w:r w:rsidR="001E0B07">
        <w:rPr>
          <w:rFonts w:eastAsia="Garamond" w:cs="Garamond"/>
          <w:szCs w:val="22"/>
        </w:rPr>
        <w:instrText xml:space="preserve"> ADDIN ZOTERO_ITEM CSL_CITATION {"citationID":"CzlENurt","properties":{"formattedCitation":"(DAFF 2022a)","plainCitation":"(DAFF 2022a)","noteIndex":0},"citationItems":[{"id":22377,"uris":["http://zotero.org/groups/6289862/items/ED2QECHR"],"itemData":{"id":22377,"type":"report","publisher":"Department of Agriculture, Forestry and Fisheries","publisher-place":"Canberra","title":"Undertaking a livestock vessel inspection","author":[{"literal":"DAFF"}],"issued":{"date-parts":[["2022"]]}}}],"schema":"https://github.com/citation-style-language/schema/raw/master/csl-citation.json"} </w:instrText>
      </w:r>
      <w:r w:rsidR="009B7624">
        <w:rPr>
          <w:rFonts w:eastAsia="Garamond" w:cs="Garamond"/>
          <w:szCs w:val="22"/>
        </w:rPr>
        <w:fldChar w:fldCharType="separate"/>
      </w:r>
      <w:r w:rsidR="00800085">
        <w:rPr>
          <w:rFonts w:eastAsia="Garamond" w:cs="Garamond"/>
          <w:noProof/>
          <w:szCs w:val="22"/>
        </w:rPr>
        <w:t>(DAFF 2022a)</w:t>
      </w:r>
      <w:r w:rsidR="009B7624">
        <w:rPr>
          <w:rFonts w:eastAsia="Garamond" w:cs="Garamond"/>
          <w:szCs w:val="22"/>
        </w:rPr>
        <w:fldChar w:fldCharType="end"/>
      </w:r>
      <w:r>
        <w:rPr>
          <w:rFonts w:eastAsia="Garamond" w:cs="Garamond"/>
          <w:szCs w:val="22"/>
        </w:rPr>
        <w:t>.</w:t>
      </w:r>
    </w:p>
    <w:p w14:paraId="74D130E9" w14:textId="6946E401" w:rsidR="003E15C2" w:rsidRDefault="003E15C2">
      <w:pPr>
        <w:tabs>
          <w:tab w:val="right" w:pos="9000"/>
        </w:tabs>
        <w:spacing w:before="120"/>
        <w:rPr>
          <w:rFonts w:eastAsia="Garamond" w:cs="Garamond"/>
          <w:szCs w:val="22"/>
        </w:rPr>
      </w:pPr>
      <w:r>
        <w:rPr>
          <w:rFonts w:eastAsia="Garamond" w:cs="Garamond"/>
          <w:szCs w:val="22"/>
        </w:rPr>
        <w:t>In response to the LSD outbreak in Indonesia in 2022, the industry and the Department’s biosecurity officers were formally advised to be vigilant in managing the biosecurity risk of returning livestock vessels from Indonesia. The Department issued</w:t>
      </w:r>
      <w:hyperlink r:id="rId19">
        <w:r>
          <w:rPr>
            <w:rFonts w:eastAsia="Garamond" w:cs="Garamond"/>
            <w:color w:val="1155CC"/>
            <w:szCs w:val="22"/>
            <w:u w:val="single"/>
          </w:rPr>
          <w:t xml:space="preserve"> targeted communications to vessel Masters and shipping agents</w:t>
        </w:r>
      </w:hyperlink>
      <w:r w:rsidR="00BA4AEA">
        <w:rPr>
          <w:rStyle w:val="FootnoteReference"/>
        </w:rPr>
        <w:footnoteReference w:id="4"/>
      </w:r>
      <w:r>
        <w:rPr>
          <w:rFonts w:eastAsia="Garamond" w:cs="Garamond"/>
          <w:szCs w:val="22"/>
        </w:rPr>
        <w:t xml:space="preserve"> to ensure any returning livestock vessels were compliant with Australia’s requirements. Following the subsequent notification of FMD in Indonesia,</w:t>
      </w:r>
      <w:hyperlink r:id="rId20">
        <w:r>
          <w:rPr>
            <w:rFonts w:eastAsia="Garamond" w:cs="Garamond"/>
            <w:color w:val="1155CC"/>
            <w:szCs w:val="22"/>
            <w:u w:val="single"/>
          </w:rPr>
          <w:t xml:space="preserve"> additional biosecurity measures</w:t>
        </w:r>
      </w:hyperlink>
      <w:r w:rsidR="00BA4AEA">
        <w:rPr>
          <w:rStyle w:val="FootnoteReference"/>
        </w:rPr>
        <w:footnoteReference w:id="5"/>
      </w:r>
      <w:r>
        <w:rPr>
          <w:rFonts w:eastAsia="Garamond" w:cs="Garamond"/>
          <w:szCs w:val="22"/>
        </w:rPr>
        <w:t xml:space="preserve"> were implemented, such as disinfectant footbaths, for all commercial and military vessels departing from Indonesia.</w:t>
      </w:r>
    </w:p>
    <w:p w14:paraId="6D504A6C" w14:textId="77777777" w:rsidR="008D4F90" w:rsidRDefault="008D4F90" w:rsidP="008D4F90">
      <w:pPr>
        <w:keepNext/>
        <w:tabs>
          <w:tab w:val="right" w:pos="9000"/>
        </w:tabs>
        <w:spacing w:before="120"/>
      </w:pPr>
      <w:r>
        <w:rPr>
          <w:rFonts w:eastAsia="Garamond" w:cs="Garamond"/>
          <w:noProof/>
          <w:szCs w:val="22"/>
        </w:rPr>
        <w:drawing>
          <wp:inline distT="0" distB="0" distL="0" distR="0" wp14:anchorId="0A70C203" wp14:editId="4F0E067B">
            <wp:extent cx="4586177" cy="3439887"/>
            <wp:effectExtent l="0" t="0" r="0" b="1905"/>
            <wp:docPr id="1866993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93611" name="Picture 1866993611"/>
                    <pic:cNvPicPr/>
                  </pic:nvPicPr>
                  <pic:blipFill>
                    <a:blip r:embed="rId21" cstate="hqprint">
                      <a:extLst>
                        <a:ext uri="{28A0092B-C50C-407E-A947-70E740481C1C}">
                          <a14:useLocalDpi xmlns:a14="http://schemas.microsoft.com/office/drawing/2010/main"/>
                        </a:ext>
                      </a:extLst>
                    </a:blip>
                    <a:stretch>
                      <a:fillRect/>
                    </a:stretch>
                  </pic:blipFill>
                  <pic:spPr>
                    <a:xfrm>
                      <a:off x="0" y="0"/>
                      <a:ext cx="4609085" cy="3457069"/>
                    </a:xfrm>
                    <a:prstGeom prst="rect">
                      <a:avLst/>
                    </a:prstGeom>
                  </pic:spPr>
                </pic:pic>
              </a:graphicData>
            </a:graphic>
          </wp:inline>
        </w:drawing>
      </w:r>
    </w:p>
    <w:p w14:paraId="3092123F" w14:textId="7F109D0D" w:rsidR="008D4F90" w:rsidRDefault="008D4F90" w:rsidP="008D4F90">
      <w:pPr>
        <w:pStyle w:val="Caption"/>
        <w:rPr>
          <w:rFonts w:eastAsia="Garamond" w:cs="Garamond"/>
          <w:szCs w:val="22"/>
        </w:rPr>
      </w:pPr>
      <w:bookmarkStart w:id="26" w:name="_Ref221871803"/>
      <w:bookmarkStart w:id="27" w:name="_Toc226730773"/>
      <w:r>
        <w:t xml:space="preserve">Figure </w:t>
      </w:r>
      <w:fldSimple w:instr=" SEQ Figure \* ARABIC ">
        <w:r w:rsidR="00651A0D">
          <w:rPr>
            <w:noProof/>
          </w:rPr>
          <w:t>1</w:t>
        </w:r>
      </w:fldSimple>
      <w:bookmarkEnd w:id="26"/>
      <w:r>
        <w:tab/>
        <w:t>An example of an insectocutor found on the livestock decks</w:t>
      </w:r>
      <w:bookmarkEnd w:id="27"/>
    </w:p>
    <w:p w14:paraId="184E4AD1" w14:textId="77777777" w:rsidR="003E15C2" w:rsidRDefault="003E15C2" w:rsidP="003807D5">
      <w:pPr>
        <w:pStyle w:val="Heading3"/>
      </w:pPr>
      <w:bookmarkStart w:id="28" w:name="_Toc219289998"/>
      <w:bookmarkStart w:id="29" w:name="_Ref221802771"/>
      <w:bookmarkStart w:id="30" w:name="_Toc226796944"/>
      <w:r>
        <w:t xml:space="preserve">Vessel </w:t>
      </w:r>
      <w:r w:rsidRPr="00B12684">
        <w:t>lighting</w:t>
      </w:r>
      <w:bookmarkEnd w:id="28"/>
      <w:bookmarkEnd w:id="29"/>
      <w:bookmarkEnd w:id="30"/>
    </w:p>
    <w:p w14:paraId="0E98E442" w14:textId="30235D1D" w:rsidR="003E15C2" w:rsidRDefault="003E15C2">
      <w:pPr>
        <w:tabs>
          <w:tab w:val="right" w:pos="9000"/>
        </w:tabs>
        <w:spacing w:before="120"/>
        <w:rPr>
          <w:rFonts w:eastAsia="Garamond" w:cs="Garamond"/>
          <w:szCs w:val="22"/>
        </w:rPr>
      </w:pPr>
      <w:r>
        <w:rPr>
          <w:rFonts w:eastAsia="Garamond" w:cs="Garamond"/>
          <w:szCs w:val="22"/>
        </w:rPr>
        <w:t xml:space="preserve">Appropriate lighting is important for the detection of BRM and invertebrates, as well as </w:t>
      </w:r>
      <w:r w:rsidR="00280C55">
        <w:rPr>
          <w:rFonts w:eastAsia="Garamond" w:cs="Garamond"/>
          <w:szCs w:val="22"/>
        </w:rPr>
        <w:t>w</w:t>
      </w:r>
      <w:r>
        <w:rPr>
          <w:rFonts w:eastAsia="Garamond" w:cs="Garamond"/>
          <w:szCs w:val="22"/>
        </w:rPr>
        <w:t xml:space="preserve">ork </w:t>
      </w:r>
      <w:r w:rsidR="00280C55">
        <w:rPr>
          <w:rFonts w:eastAsia="Garamond" w:cs="Garamond"/>
          <w:szCs w:val="22"/>
        </w:rPr>
        <w:t>h</w:t>
      </w:r>
      <w:r>
        <w:rPr>
          <w:rFonts w:eastAsia="Garamond" w:cs="Garamond"/>
          <w:szCs w:val="22"/>
        </w:rPr>
        <w:t>ealth and safety</w:t>
      </w:r>
      <w:r w:rsidR="009874DF">
        <w:rPr>
          <w:rFonts w:eastAsia="Garamond" w:cs="Garamond"/>
          <w:szCs w:val="22"/>
        </w:rPr>
        <w:t xml:space="preserve"> (WHS)</w:t>
      </w:r>
      <w:r>
        <w:rPr>
          <w:rFonts w:eastAsia="Garamond" w:cs="Garamond"/>
          <w:szCs w:val="22"/>
        </w:rPr>
        <w:t xml:space="preserve">. </w:t>
      </w:r>
      <w:r w:rsidR="00BF5151">
        <w:rPr>
          <w:rFonts w:eastAsia="Garamond" w:cs="Garamond"/>
          <w:szCs w:val="22"/>
        </w:rPr>
        <w:t>L</w:t>
      </w:r>
      <w:r>
        <w:rPr>
          <w:rFonts w:eastAsia="Garamond" w:cs="Garamond"/>
          <w:szCs w:val="22"/>
        </w:rPr>
        <w:t xml:space="preserve">ighting should be sufficient to allow personnel to conduct their job without causing injury </w:t>
      </w:r>
      <w:r>
        <w:rPr>
          <w:rFonts w:eastAsia="Garamond" w:cs="Garamond"/>
          <w:szCs w:val="22"/>
        </w:rPr>
        <w:lastRenderedPageBreak/>
        <w:t xml:space="preserve">through eye strain or awkward postures or positions </w:t>
      </w:r>
      <w:bookmarkStart w:id="31" w:name="_Hlk219733538"/>
      <w:r w:rsidR="009B7624">
        <w:rPr>
          <w:rFonts w:eastAsia="Garamond" w:cs="Garamond"/>
          <w:szCs w:val="22"/>
        </w:rPr>
        <w:fldChar w:fldCharType="begin"/>
      </w:r>
      <w:r w:rsidR="001E0B07">
        <w:rPr>
          <w:rFonts w:eastAsia="Garamond" w:cs="Garamond"/>
          <w:szCs w:val="22"/>
        </w:rPr>
        <w:instrText xml:space="preserve"> ADDIN ZOTERO_ITEM CSL_CITATION {"citationID":"NOy4vVWQ","properties":{"formattedCitation":"(Safe Work Australia 2011)","plainCitation":"(Safe Work Australia 2011)","noteIndex":0},"citationItems":[{"id":22419,"uris":["http://zotero.org/groups/6289862/items/TMJIDATR"],"itemData":{"id":22419,"type":"book","ISBN":"978-0-642-33295-0","language":"en","note":"OCLC: 957262723","publisher":"Safe Work Australia","publisher-place":"Sydney","source":"Open WorldCat","title":"Managing the work environment and facilities: Code of Practice","title-short":"Managing the work environment and facilities","author":[{"literal":"Safe Work Australia"}],"issued":{"date-parts":[["2011"]]}}}],"schema":"https://github.com/citation-style-language/schema/raw/master/csl-citation.json"} </w:instrText>
      </w:r>
      <w:r w:rsidR="009B7624">
        <w:rPr>
          <w:rFonts w:eastAsia="Garamond" w:cs="Garamond"/>
          <w:szCs w:val="22"/>
        </w:rPr>
        <w:fldChar w:fldCharType="separate"/>
      </w:r>
      <w:r w:rsidR="00710729">
        <w:rPr>
          <w:rFonts w:eastAsia="Garamond" w:cs="Garamond"/>
          <w:noProof/>
          <w:szCs w:val="22"/>
        </w:rPr>
        <w:t>(Safe Work Australia 2011)</w:t>
      </w:r>
      <w:r w:rsidR="009B7624">
        <w:rPr>
          <w:rFonts w:eastAsia="Garamond" w:cs="Garamond"/>
          <w:szCs w:val="22"/>
        </w:rPr>
        <w:fldChar w:fldCharType="end"/>
      </w:r>
      <w:bookmarkEnd w:id="31"/>
      <w:r>
        <w:rPr>
          <w:rFonts w:eastAsia="Garamond" w:cs="Garamond"/>
          <w:szCs w:val="22"/>
        </w:rPr>
        <w:t>. Lighting that is too dim or too bright (causing glare) needs to be managed appropriately. Lighting requirements vary depending on the task and primary colour of the work surface. Lighting levels up to 800 lux</w:t>
      </w:r>
      <w:r w:rsidR="00F11025">
        <w:rPr>
          <w:rStyle w:val="FootnoteReference"/>
          <w:rFonts w:eastAsia="Garamond" w:cs="Garamond"/>
          <w:szCs w:val="22"/>
        </w:rPr>
        <w:footnoteReference w:id="6"/>
      </w:r>
      <w:r>
        <w:rPr>
          <w:rFonts w:eastAsia="Garamond" w:cs="Garamond"/>
          <w:szCs w:val="22"/>
        </w:rPr>
        <w:t xml:space="preserve"> may be required </w:t>
      </w:r>
      <w:r w:rsidR="00710729">
        <w:rPr>
          <w:rFonts w:eastAsia="Garamond" w:cs="Garamond"/>
          <w:szCs w:val="22"/>
        </w:rPr>
        <w:fldChar w:fldCharType="begin"/>
      </w:r>
      <w:r w:rsidR="001E0B07">
        <w:rPr>
          <w:rFonts w:eastAsia="Garamond" w:cs="Garamond"/>
          <w:szCs w:val="22"/>
        </w:rPr>
        <w:instrText xml:space="preserve"> ADDIN ZOTERO_ITEM CSL_CITATION {"citationID":"fmgRd8k9","properties":{"formattedCitation":"(Safe Work Australia 2011)","plainCitation":"(Safe Work Australia 2011)","noteIndex":0},"citationItems":[{"id":22419,"uris":["http://zotero.org/groups/6289862/items/TMJIDATR"],"itemData":{"id":22419,"type":"book","ISBN":"978-0-642-33295-0","language":"en","note":"OCLC: 957262723","publisher":"Safe Work Australia","publisher-place":"Sydney","source":"Open WorldCat","title":"Managing the work environment and facilities: Code of Practice","title-short":"Managing the work environment and facilities","author":[{"literal":"Safe Work Australia"}],"issued":{"date-parts":[["2011"]]}}}],"schema":"https://github.com/citation-style-language/schema/raw/master/csl-citation.json"} </w:instrText>
      </w:r>
      <w:r w:rsidR="00710729">
        <w:rPr>
          <w:rFonts w:eastAsia="Garamond" w:cs="Garamond"/>
          <w:szCs w:val="22"/>
        </w:rPr>
        <w:fldChar w:fldCharType="separate"/>
      </w:r>
      <w:r w:rsidR="00710729">
        <w:rPr>
          <w:rFonts w:eastAsia="Garamond" w:cs="Garamond"/>
          <w:noProof/>
          <w:szCs w:val="22"/>
        </w:rPr>
        <w:t>(Safe Work Australia 2011)</w:t>
      </w:r>
      <w:r w:rsidR="00710729">
        <w:rPr>
          <w:rFonts w:eastAsia="Garamond" w:cs="Garamond"/>
          <w:szCs w:val="22"/>
        </w:rPr>
        <w:fldChar w:fldCharType="end"/>
      </w:r>
      <w:r>
        <w:rPr>
          <w:rFonts w:eastAsia="Garamond" w:cs="Garamond"/>
          <w:szCs w:val="22"/>
        </w:rPr>
        <w:t>.</w:t>
      </w:r>
    </w:p>
    <w:p w14:paraId="1A797186" w14:textId="57B7A59A" w:rsidR="003E15C2" w:rsidRDefault="003E15C2">
      <w:pPr>
        <w:tabs>
          <w:tab w:val="right" w:pos="9000"/>
        </w:tabs>
        <w:spacing w:before="120"/>
        <w:rPr>
          <w:rFonts w:eastAsia="Garamond" w:cs="Garamond"/>
          <w:szCs w:val="22"/>
        </w:rPr>
      </w:pPr>
      <w:r>
        <w:rPr>
          <w:rFonts w:eastAsia="Garamond" w:cs="Garamond"/>
          <w:szCs w:val="22"/>
        </w:rPr>
        <w:t xml:space="preserve">Airports and international mail inspection centres have minimum lighting requirements incorporated into the infrastructure compliance standards for Approved Arrangements at First Points of Entry. The lighting requirements are to ensure effective screening can take place, while aligning with </w:t>
      </w:r>
      <w:r w:rsidR="009234AD">
        <w:rPr>
          <w:rFonts w:eastAsia="Garamond" w:cs="Garamond"/>
          <w:szCs w:val="22"/>
        </w:rPr>
        <w:t>WHS</w:t>
      </w:r>
      <w:r>
        <w:rPr>
          <w:rFonts w:eastAsia="Garamond" w:cs="Garamond"/>
          <w:szCs w:val="22"/>
        </w:rPr>
        <w:t xml:space="preserve"> guidelines (AS/NZS 1680 series of Australian Standards for General Lighting: Interior lighting guidelines for inspection tasks). Airport inspection areas generally require a minimum of 400</w:t>
      </w:r>
      <w:r w:rsidR="00F11025">
        <w:rPr>
          <w:rFonts w:eastAsia="Garamond" w:cs="Garamond"/>
          <w:szCs w:val="22"/>
        </w:rPr>
        <w:t>–</w:t>
      </w:r>
      <w:r>
        <w:rPr>
          <w:rFonts w:eastAsia="Garamond" w:cs="Garamond"/>
          <w:szCs w:val="22"/>
        </w:rPr>
        <w:t>500 lux for detailed visual work, such as baggage screening and detector dog operations. At international mail centres, there is a minimum requirement of 400 lux for general inspections and 600 lux for detailed inspections such as unpacking small articles (pers. comm. Tracey Stonehouse). However, there is no minimum lighting requirement stipulated for livestock carrier vessel inspections</w:t>
      </w:r>
      <w:r w:rsidR="00C44AF7">
        <w:rPr>
          <w:rFonts w:eastAsia="Garamond" w:cs="Garamond"/>
          <w:szCs w:val="22"/>
        </w:rPr>
        <w:t>, or vessel inspections in general</w:t>
      </w:r>
      <w:r>
        <w:rPr>
          <w:rFonts w:eastAsia="Garamond" w:cs="Garamond"/>
          <w:szCs w:val="22"/>
        </w:rPr>
        <w:t>. Inspectors use a Ledlenser</w:t>
      </w:r>
      <w:r w:rsidR="00BA4AEA" w:rsidRPr="00BA4AEA">
        <w:rPr>
          <w:rFonts w:eastAsia="Garamond" w:cs="Garamond"/>
          <w:szCs w:val="22"/>
          <w:vertAlign w:val="superscript"/>
        </w:rPr>
        <w:t>®</w:t>
      </w:r>
      <w:r>
        <w:rPr>
          <w:rFonts w:eastAsia="Garamond" w:cs="Garamond"/>
          <w:szCs w:val="22"/>
        </w:rPr>
        <w:t xml:space="preserve"> P7Core torch, or similar model.</w:t>
      </w:r>
      <w:r w:rsidR="003A22D1">
        <w:rPr>
          <w:rFonts w:eastAsia="Garamond" w:cs="Garamond"/>
          <w:szCs w:val="22"/>
        </w:rPr>
        <w:t xml:space="preserve"> </w:t>
      </w:r>
      <w:r w:rsidR="009704ED">
        <w:rPr>
          <w:rFonts w:eastAsia="Garamond" w:cs="Garamond"/>
          <w:szCs w:val="22"/>
        </w:rPr>
        <w:t xml:space="preserve">These torches typically emit ≈ 1000 lumens, although they can be adjusted up to 1400 lumens and as low at 15. </w:t>
      </w:r>
      <w:r w:rsidR="003A22D1">
        <w:rPr>
          <w:rFonts w:eastAsia="Garamond" w:cs="Garamond"/>
          <w:szCs w:val="22"/>
        </w:rPr>
        <w:t>Th</w:t>
      </w:r>
      <w:r w:rsidR="009704ED">
        <w:rPr>
          <w:rFonts w:eastAsia="Garamond" w:cs="Garamond"/>
          <w:szCs w:val="22"/>
        </w:rPr>
        <w:t>is produces a</w:t>
      </w:r>
      <w:r w:rsidR="003A22D1">
        <w:rPr>
          <w:rFonts w:eastAsia="Garamond" w:cs="Garamond"/>
          <w:szCs w:val="22"/>
        </w:rPr>
        <w:t xml:space="preserve"> light intensity </w:t>
      </w:r>
      <w:r w:rsidR="009704ED">
        <w:rPr>
          <w:rFonts w:eastAsia="Garamond" w:cs="Garamond"/>
          <w:szCs w:val="22"/>
        </w:rPr>
        <w:t>(</w:t>
      </w:r>
      <w:r w:rsidR="003A22D1">
        <w:rPr>
          <w:rFonts w:eastAsia="Garamond" w:cs="Garamond"/>
          <w:szCs w:val="22"/>
        </w:rPr>
        <w:t>at a distance of 3</w:t>
      </w:r>
      <w:r w:rsidR="00F11025">
        <w:rPr>
          <w:rFonts w:eastAsia="Garamond" w:cs="Garamond"/>
          <w:szCs w:val="22"/>
        </w:rPr>
        <w:t>–</w:t>
      </w:r>
      <w:r w:rsidR="003A22D1">
        <w:rPr>
          <w:rFonts w:eastAsia="Garamond" w:cs="Garamond"/>
          <w:szCs w:val="22"/>
        </w:rPr>
        <w:t>4 metres</w:t>
      </w:r>
      <w:r w:rsidR="009704ED">
        <w:rPr>
          <w:rFonts w:eastAsia="Garamond" w:cs="Garamond"/>
          <w:szCs w:val="22"/>
        </w:rPr>
        <w:t>) which</w:t>
      </w:r>
      <w:r w:rsidR="003A22D1">
        <w:rPr>
          <w:rFonts w:eastAsia="Garamond" w:cs="Garamond"/>
          <w:szCs w:val="22"/>
        </w:rPr>
        <w:t xml:space="preserve"> </w:t>
      </w:r>
      <w:r w:rsidR="0030397D">
        <w:rPr>
          <w:rFonts w:eastAsia="Garamond" w:cs="Garamond"/>
          <w:szCs w:val="22"/>
        </w:rPr>
        <w:t xml:space="preserve">testing during the project demonstrated </w:t>
      </w:r>
      <w:r w:rsidR="003A22D1">
        <w:rPr>
          <w:rFonts w:eastAsia="Garamond" w:cs="Garamond"/>
          <w:szCs w:val="22"/>
        </w:rPr>
        <w:t>ranges from ≈ 700–1700 lux, depending on the degree of ‘coning’ of the torch beam (</w:t>
      </w:r>
      <w:r w:rsidR="00D87AD6">
        <w:rPr>
          <w:rFonts w:eastAsia="Garamond" w:cs="Garamond"/>
          <w:szCs w:val="22"/>
        </w:rPr>
        <w:t>tests conducted on board during inspection).</w:t>
      </w:r>
      <w:r w:rsidR="009704ED">
        <w:rPr>
          <w:rFonts w:eastAsia="Garamond" w:cs="Garamond"/>
          <w:szCs w:val="22"/>
        </w:rPr>
        <w:t xml:space="preserve"> </w:t>
      </w:r>
    </w:p>
    <w:p w14:paraId="2A7999C6" w14:textId="4485572A" w:rsidR="0030397D" w:rsidRDefault="0030397D">
      <w:pPr>
        <w:tabs>
          <w:tab w:val="right" w:pos="9000"/>
        </w:tabs>
        <w:spacing w:before="120"/>
        <w:rPr>
          <w:rFonts w:eastAsia="Garamond" w:cs="Garamond"/>
          <w:szCs w:val="22"/>
        </w:rPr>
      </w:pPr>
      <w:r>
        <w:rPr>
          <w:rFonts w:eastAsia="Garamond" w:cs="Garamond"/>
          <w:szCs w:val="22"/>
        </w:rPr>
        <w:t>During the course of the project</w:t>
      </w:r>
      <w:r w:rsidR="009234AD">
        <w:rPr>
          <w:rFonts w:eastAsia="Garamond" w:cs="Garamond"/>
          <w:szCs w:val="22"/>
        </w:rPr>
        <w:t>,</w:t>
      </w:r>
      <w:r>
        <w:rPr>
          <w:rFonts w:eastAsia="Garamond" w:cs="Garamond"/>
          <w:szCs w:val="22"/>
        </w:rPr>
        <w:t xml:space="preserve"> </w:t>
      </w:r>
      <w:r w:rsidR="00D114D3">
        <w:rPr>
          <w:rFonts w:eastAsia="Garamond" w:cs="Garamond"/>
          <w:szCs w:val="22"/>
        </w:rPr>
        <w:t xml:space="preserve">illuminance levels were recorded in lux </w:t>
      </w:r>
      <w:r>
        <w:rPr>
          <w:rFonts w:eastAsia="Garamond" w:cs="Garamond"/>
          <w:szCs w:val="22"/>
        </w:rPr>
        <w:t xml:space="preserve">at various positions on the vessel and during daytime and </w:t>
      </w:r>
      <w:r w:rsidR="006F0FD8">
        <w:rPr>
          <w:rFonts w:eastAsia="Garamond" w:cs="Garamond"/>
          <w:szCs w:val="22"/>
        </w:rPr>
        <w:t>night-time</w:t>
      </w:r>
      <w:r>
        <w:rPr>
          <w:rFonts w:eastAsia="Garamond" w:cs="Garamond"/>
          <w:szCs w:val="22"/>
        </w:rPr>
        <w:t xml:space="preserve"> at the same location. It was also noted that high risk inspection areas (i</w:t>
      </w:r>
      <w:r w:rsidR="00061E09">
        <w:rPr>
          <w:rFonts w:eastAsia="Garamond" w:cs="Garamond"/>
          <w:szCs w:val="22"/>
        </w:rPr>
        <w:t>.</w:t>
      </w:r>
      <w:r>
        <w:rPr>
          <w:rFonts w:eastAsia="Garamond" w:cs="Garamond"/>
          <w:szCs w:val="22"/>
        </w:rPr>
        <w:t>e</w:t>
      </w:r>
      <w:r w:rsidR="00061E09">
        <w:rPr>
          <w:rFonts w:eastAsia="Garamond" w:cs="Garamond"/>
          <w:szCs w:val="22"/>
        </w:rPr>
        <w:t>.</w:t>
      </w:r>
      <w:r>
        <w:rPr>
          <w:rFonts w:eastAsia="Garamond" w:cs="Garamond"/>
          <w:szCs w:val="22"/>
        </w:rPr>
        <w:t xml:space="preserve"> under the bottom rail, in sumps and around objects) were nearly always aided by the use of a torch</w:t>
      </w:r>
      <w:r w:rsidR="009234AD">
        <w:rPr>
          <w:rFonts w:eastAsia="Garamond" w:cs="Garamond"/>
          <w:szCs w:val="22"/>
        </w:rPr>
        <w:t>,</w:t>
      </w:r>
      <w:r>
        <w:rPr>
          <w:rFonts w:eastAsia="Garamond" w:cs="Garamond"/>
          <w:szCs w:val="22"/>
        </w:rPr>
        <w:t xml:space="preserve"> whether daytime or </w:t>
      </w:r>
      <w:r w:rsidR="006F0FD8">
        <w:rPr>
          <w:rFonts w:eastAsia="Garamond" w:cs="Garamond"/>
          <w:szCs w:val="22"/>
        </w:rPr>
        <w:t>night-time</w:t>
      </w:r>
      <w:r w:rsidR="009234AD">
        <w:rPr>
          <w:rFonts w:eastAsia="Garamond" w:cs="Garamond"/>
          <w:szCs w:val="22"/>
        </w:rPr>
        <w:t>,</w:t>
      </w:r>
      <w:r>
        <w:rPr>
          <w:rFonts w:eastAsia="Garamond" w:cs="Garamond"/>
          <w:szCs w:val="22"/>
        </w:rPr>
        <w:t xml:space="preserve"> to ensure consistent lighting and remove the impact of shadows.</w:t>
      </w:r>
    </w:p>
    <w:p w14:paraId="293803DD" w14:textId="5A980F49" w:rsidR="00B469B7" w:rsidRDefault="00B469B7">
      <w:pPr>
        <w:tabs>
          <w:tab w:val="right" w:pos="9000"/>
        </w:tabs>
        <w:spacing w:before="120"/>
        <w:rPr>
          <w:rFonts w:eastAsia="Garamond" w:cs="Garamond"/>
          <w:szCs w:val="22"/>
        </w:rPr>
      </w:pPr>
      <w:r>
        <w:rPr>
          <w:rFonts w:eastAsia="Garamond" w:cs="Garamond"/>
          <w:szCs w:val="22"/>
        </w:rPr>
        <w:t xml:space="preserve">The AMSA </w:t>
      </w:r>
      <w:r w:rsidR="0087087F">
        <w:rPr>
          <w:rFonts w:eastAsia="Garamond" w:cs="Garamond"/>
          <w:szCs w:val="22"/>
        </w:rPr>
        <w:t>requirements for lighting on vessels carrying livestock specify a minimum level of illumination of 110 lux in livestock spaces, and a minimum of 20 lux in adjoining spaces (passageways between pens, beside pens and access routes</w:t>
      </w:r>
      <w:r w:rsidR="00B14E97">
        <w:rPr>
          <w:rFonts w:eastAsia="Garamond" w:cs="Garamond"/>
          <w:szCs w:val="22"/>
        </w:rPr>
        <w:t xml:space="preserve">) </w:t>
      </w:r>
      <w:r w:rsidR="00B14E97" w:rsidRPr="00B14E97">
        <w:rPr>
          <w:rFonts w:eastAsia="Garamond" w:cs="Garamond"/>
          <w:szCs w:val="22"/>
        </w:rPr>
        <w:t>(AMSA 201</w:t>
      </w:r>
      <w:r w:rsidR="00B14E97">
        <w:rPr>
          <w:rFonts w:eastAsia="Garamond" w:cs="Garamond"/>
          <w:szCs w:val="22"/>
        </w:rPr>
        <w:t>9</w:t>
      </w:r>
      <w:r w:rsidR="00B14E97" w:rsidRPr="00B14E97">
        <w:rPr>
          <w:rFonts w:eastAsia="Garamond" w:cs="Garamond"/>
          <w:szCs w:val="22"/>
        </w:rPr>
        <w:t>, Schedule 2, Part 3)</w:t>
      </w:r>
      <w:r w:rsidR="0087087F">
        <w:rPr>
          <w:rFonts w:eastAsia="Garamond" w:cs="Garamond"/>
          <w:szCs w:val="22"/>
        </w:rPr>
        <w:t>.</w:t>
      </w:r>
      <w:r w:rsidR="00B40DA2">
        <w:rPr>
          <w:rFonts w:eastAsia="Garamond" w:cs="Garamond"/>
          <w:szCs w:val="22"/>
        </w:rPr>
        <w:t xml:space="preserve"> These levels are insufficient for inspection.</w:t>
      </w:r>
    </w:p>
    <w:p w14:paraId="4004E856" w14:textId="77777777" w:rsidR="003E15C2" w:rsidRDefault="003E15C2" w:rsidP="003807D5">
      <w:pPr>
        <w:pStyle w:val="Heading3"/>
      </w:pPr>
      <w:bookmarkStart w:id="32" w:name="_Toc219289999"/>
      <w:bookmarkStart w:id="33" w:name="_Toc226796945"/>
      <w:r w:rsidRPr="00B12684">
        <w:t>Pratique</w:t>
      </w:r>
      <w:bookmarkEnd w:id="32"/>
      <w:bookmarkEnd w:id="33"/>
    </w:p>
    <w:p w14:paraId="17521019" w14:textId="7019F5DD" w:rsidR="003E15C2" w:rsidRDefault="00C271EA" w:rsidP="00FE4EB9">
      <w:pPr>
        <w:rPr>
          <w:rFonts w:eastAsia="Garamond" w:cs="Garamond"/>
          <w:szCs w:val="22"/>
        </w:rPr>
      </w:pPr>
      <w:r>
        <w:rPr>
          <w:shd w:val="clear" w:color="auto" w:fill="FFFFFF"/>
        </w:rPr>
        <w:t>Pratique is defined as “permission for a ship to enter a port, embark or disembark, discharge or load cargo (goods) or stores”</w:t>
      </w:r>
      <w:r w:rsidRPr="00C271EA">
        <w:rPr>
          <w:rFonts w:eastAsia="Garamond" w:cs="Garamond"/>
          <w:szCs w:val="22"/>
        </w:rPr>
        <w:t xml:space="preserve"> </w:t>
      </w:r>
      <w:r>
        <w:rPr>
          <w:rFonts w:eastAsia="Garamond" w:cs="Garamond"/>
          <w:szCs w:val="22"/>
        </w:rPr>
        <w:fldChar w:fldCharType="begin"/>
      </w:r>
      <w:r w:rsidR="001E0B07">
        <w:rPr>
          <w:rFonts w:eastAsia="Garamond" w:cs="Garamond"/>
          <w:szCs w:val="22"/>
        </w:rPr>
        <w:instrText xml:space="preserve"> ADDIN ZOTERO_ITEM CSL_CITATION {"citationID":"4NyJaBDA","properties":{"formattedCitation":"(DAFF 2025a)","plainCitation":"(DAFF 2025a)","noteIndex":0},"citationItems":[{"id":22393,"uris":["http://zotero.org/groups/6289862/items/M59JDE34"],"itemData":{"id":22393,"type":"webpage","abstract":"The International Health Regulations 2005 defines vessel pratique as “permission for a ship to enter a port, embark or disembark, discharge or load cargo (goods) or stores; Pratique ensures risks to human health can be identified and managed before the vessel is unloaded or disembarked.The Department’s Pratique FrameworkThe Pratique Framework outlines the department’s approach to identifying and managing human health risks relating to vessel arrivals to Australian territory.","language":"en","title":"Vessel Pratique - DAFF","URL":"https://www.agriculture.gov.au/biosecurity-trade/aircraft-vessels-military/vessels/vessel-pratique","author":[{"family":"DAFF","given":""}],"accessed":{"date-parts":[["2025",11,21]]},"issued":{"date-parts":[["2025",10,28]]}}}],"schema":"https://github.com/citation-style-language/schema/raw/master/csl-citation.json"} </w:instrText>
      </w:r>
      <w:r>
        <w:rPr>
          <w:rFonts w:eastAsia="Garamond" w:cs="Garamond"/>
          <w:szCs w:val="22"/>
        </w:rPr>
        <w:fldChar w:fldCharType="separate"/>
      </w:r>
      <w:r>
        <w:rPr>
          <w:rFonts w:eastAsia="Garamond" w:cs="Garamond"/>
          <w:noProof/>
          <w:szCs w:val="22"/>
        </w:rPr>
        <w:t>(DAFF 2025a)</w:t>
      </w:r>
      <w:r>
        <w:rPr>
          <w:rFonts w:eastAsia="Garamond" w:cs="Garamond"/>
          <w:szCs w:val="22"/>
        </w:rPr>
        <w:fldChar w:fldCharType="end"/>
      </w:r>
      <w:r>
        <w:rPr>
          <w:shd w:val="clear" w:color="auto" w:fill="FFFFFF"/>
        </w:rPr>
        <w:t xml:space="preserve">. </w:t>
      </w:r>
      <w:r w:rsidR="003E15C2">
        <w:rPr>
          <w:rFonts w:eastAsia="Garamond" w:cs="Garamond"/>
          <w:szCs w:val="22"/>
        </w:rPr>
        <w:t xml:space="preserve">Pratique </w:t>
      </w:r>
      <w:r w:rsidR="00C44AF7">
        <w:rPr>
          <w:rFonts w:eastAsia="Garamond" w:cs="Garamond"/>
          <w:szCs w:val="22"/>
        </w:rPr>
        <w:t xml:space="preserve">may be </w:t>
      </w:r>
      <w:r w:rsidR="003E15C2">
        <w:rPr>
          <w:rFonts w:eastAsia="Garamond" w:cs="Garamond"/>
          <w:szCs w:val="22"/>
        </w:rPr>
        <w:t xml:space="preserve">granted to a vessel following submission of a pre-arrival report (PAR) and assessment to ensure it does not pose a biosecurity or human health risk on entry to Australia. It must be granted prior to a vessel berthing, unloading cargo and personnel disembarking. All incoming vessels must submit a PAR if they intend to enter Australian waters and the voyage commenced outside Australia, or if the vessel was exposed to another conveyance while outside an Australian territory. Vessel Masters are required to provide details of any personnel illnesses with a Listed Human Disease, or if there has been a death onboard </w:t>
      </w:r>
      <w:r w:rsidR="00710729">
        <w:rPr>
          <w:rFonts w:eastAsia="Garamond" w:cs="Garamond"/>
          <w:szCs w:val="22"/>
        </w:rPr>
        <w:fldChar w:fldCharType="begin"/>
      </w:r>
      <w:r w:rsidR="001E0B07">
        <w:rPr>
          <w:rFonts w:eastAsia="Garamond" w:cs="Garamond"/>
          <w:szCs w:val="22"/>
        </w:rPr>
        <w:instrText xml:space="preserve"> ADDIN ZOTERO_ITEM CSL_CITATION {"citationID":"g8zQCkgp","properties":{"formattedCitation":"(DAFF 2025a)","plainCitation":"(DAFF 2025a)","noteIndex":0},"citationItems":[{"id":22393,"uris":["http://zotero.org/groups/6289862/items/M59JDE34"],"itemData":{"id":22393,"type":"webpage","abstract":"The International Health Regulations 2005 defines vessel pratique as “permission for a ship to enter a port, embark or disembark, discharge or load cargo (goods) or stores; Pratique ensures risks to human health can be identified and managed before the vessel is unloaded or disembarked.The Department’s Pratique FrameworkThe Pratique Framework outlines the department’s approach to identifying and managing human health risks relating to vessel arrivals to Australian territory.","language":"en","title":"Vessel Pratique - DAFF","URL":"https://www.agriculture.gov.au/biosecurity-trade/aircraft-vessels-military/vessels/vessel-pratique","author":[{"family":"DAFF","given":""}],"accessed":{"date-parts":[["2025",11,21]]},"issued":{"date-parts":[["2025",10,28]]}}}],"schema":"https://github.com/citation-style-language/schema/raw/master/csl-citation.json"} </w:instrText>
      </w:r>
      <w:r w:rsidR="00710729">
        <w:rPr>
          <w:rFonts w:eastAsia="Garamond" w:cs="Garamond"/>
          <w:szCs w:val="22"/>
        </w:rPr>
        <w:fldChar w:fldCharType="separate"/>
      </w:r>
      <w:r w:rsidR="00710729">
        <w:rPr>
          <w:rFonts w:eastAsia="Garamond" w:cs="Garamond"/>
          <w:noProof/>
          <w:szCs w:val="22"/>
        </w:rPr>
        <w:t>(DAFF 2025a)</w:t>
      </w:r>
      <w:r w:rsidR="00710729">
        <w:rPr>
          <w:rFonts w:eastAsia="Garamond" w:cs="Garamond"/>
          <w:szCs w:val="22"/>
        </w:rPr>
        <w:fldChar w:fldCharType="end"/>
      </w:r>
      <w:r w:rsidR="003E15C2">
        <w:rPr>
          <w:rFonts w:eastAsia="Garamond" w:cs="Garamond"/>
          <w:szCs w:val="22"/>
        </w:rPr>
        <w:t>.</w:t>
      </w:r>
      <w:r>
        <w:rPr>
          <w:rFonts w:eastAsia="Garamond" w:cs="Garamond"/>
          <w:szCs w:val="22"/>
        </w:rPr>
        <w:t xml:space="preserve"> </w:t>
      </w:r>
      <w:r w:rsidR="00FE4EB9">
        <w:rPr>
          <w:rFonts w:eastAsia="Garamond" w:cs="Garamond"/>
          <w:szCs w:val="22"/>
        </w:rPr>
        <w:t xml:space="preserve">Depending on the vessel type, the vessels are then assessed for compliance history and high risk indicators to determine whether a routine vessel inspection is required. </w:t>
      </w:r>
      <w:r w:rsidR="00343C2D">
        <w:rPr>
          <w:rFonts w:eastAsia="Garamond" w:cs="Garamond"/>
          <w:szCs w:val="22"/>
        </w:rPr>
        <w:t xml:space="preserve">All </w:t>
      </w:r>
      <w:r w:rsidR="00E030DB">
        <w:rPr>
          <w:rFonts w:eastAsia="Garamond" w:cs="Garamond"/>
          <w:szCs w:val="22"/>
        </w:rPr>
        <w:t>l</w:t>
      </w:r>
      <w:r w:rsidR="00343C2D">
        <w:rPr>
          <w:rFonts w:eastAsia="Garamond" w:cs="Garamond"/>
          <w:szCs w:val="22"/>
        </w:rPr>
        <w:t xml:space="preserve">ivestock vessels require a vessel inspection on </w:t>
      </w:r>
      <w:r w:rsidR="00620EAB">
        <w:rPr>
          <w:rFonts w:eastAsia="Garamond" w:cs="Garamond"/>
          <w:szCs w:val="22"/>
        </w:rPr>
        <w:t>100% of</w:t>
      </w:r>
      <w:r w:rsidR="00343C2D">
        <w:rPr>
          <w:rFonts w:eastAsia="Garamond" w:cs="Garamond"/>
          <w:szCs w:val="22"/>
        </w:rPr>
        <w:t xml:space="preserve"> </w:t>
      </w:r>
      <w:r w:rsidR="00620EAB">
        <w:rPr>
          <w:rFonts w:eastAsia="Garamond" w:cs="Garamond"/>
          <w:szCs w:val="22"/>
        </w:rPr>
        <w:t>first arrivals at an Australian Port</w:t>
      </w:r>
      <w:r w:rsidR="00343C2D">
        <w:rPr>
          <w:rFonts w:eastAsia="Garamond" w:cs="Garamond"/>
          <w:szCs w:val="22"/>
        </w:rPr>
        <w:t>.</w:t>
      </w:r>
    </w:p>
    <w:p w14:paraId="3914D94A" w14:textId="0571A0D7" w:rsidR="003E15C2" w:rsidRDefault="003E15C2" w:rsidP="009E1EA2">
      <w:pPr>
        <w:pStyle w:val="Heading2"/>
      </w:pPr>
      <w:bookmarkStart w:id="34" w:name="_Toc219290000"/>
      <w:bookmarkStart w:id="35" w:name="_Toc226796946"/>
      <w:r>
        <w:lastRenderedPageBreak/>
        <w:t>Vision</w:t>
      </w:r>
      <w:r w:rsidR="00603A2A">
        <w:t>, cognition</w:t>
      </w:r>
      <w:r>
        <w:t xml:space="preserve"> and environment</w:t>
      </w:r>
      <w:bookmarkEnd w:id="34"/>
      <w:bookmarkEnd w:id="35"/>
      <w:r>
        <w:t xml:space="preserve"> </w:t>
      </w:r>
    </w:p>
    <w:p w14:paraId="077292B5" w14:textId="2EFA1FB7" w:rsidR="00603A2A" w:rsidRDefault="00874403" w:rsidP="009F0A68">
      <w:pPr>
        <w:rPr>
          <w:lang w:eastAsia="en-US"/>
        </w:rPr>
      </w:pPr>
      <w:r>
        <w:rPr>
          <w:lang w:eastAsia="en-US"/>
        </w:rPr>
        <w:t xml:space="preserve">Vessel inspection is critically dependant on the ability of the inspector to identify </w:t>
      </w:r>
      <w:r w:rsidR="00603A2A">
        <w:rPr>
          <w:lang w:eastAsia="en-US"/>
        </w:rPr>
        <w:t xml:space="preserve">“objects” that are </w:t>
      </w:r>
      <w:r>
        <w:rPr>
          <w:lang w:eastAsia="en-US"/>
        </w:rPr>
        <w:t xml:space="preserve">potential </w:t>
      </w:r>
      <w:r w:rsidR="009F0A68">
        <w:rPr>
          <w:lang w:eastAsia="en-US"/>
        </w:rPr>
        <w:t xml:space="preserve">biosecurity </w:t>
      </w:r>
      <w:r>
        <w:rPr>
          <w:lang w:eastAsia="en-US"/>
        </w:rPr>
        <w:t xml:space="preserve">hazards across a </w:t>
      </w:r>
      <w:r w:rsidR="009F0A68">
        <w:rPr>
          <w:lang w:eastAsia="en-US"/>
        </w:rPr>
        <w:t>varying domain</w:t>
      </w:r>
      <w:r>
        <w:rPr>
          <w:lang w:eastAsia="en-US"/>
        </w:rPr>
        <w:t xml:space="preserve"> with </w:t>
      </w:r>
      <w:r w:rsidR="009F0A68">
        <w:rPr>
          <w:lang w:eastAsia="en-US"/>
        </w:rPr>
        <w:t xml:space="preserve">inconsistent </w:t>
      </w:r>
      <w:r>
        <w:rPr>
          <w:lang w:eastAsia="en-US"/>
        </w:rPr>
        <w:t>light</w:t>
      </w:r>
      <w:r w:rsidR="00603A2A">
        <w:rPr>
          <w:lang w:eastAsia="en-US"/>
        </w:rPr>
        <w:t>, normal objects</w:t>
      </w:r>
      <w:r>
        <w:rPr>
          <w:lang w:eastAsia="en-US"/>
        </w:rPr>
        <w:t xml:space="preserve"> and other </w:t>
      </w:r>
      <w:r w:rsidR="00603A2A">
        <w:rPr>
          <w:lang w:eastAsia="en-US"/>
        </w:rPr>
        <w:t>noise</w:t>
      </w:r>
      <w:r>
        <w:rPr>
          <w:lang w:eastAsia="en-US"/>
        </w:rPr>
        <w:t>.</w:t>
      </w:r>
      <w:r w:rsidR="00B40DA2">
        <w:rPr>
          <w:lang w:eastAsia="en-US"/>
        </w:rPr>
        <w:t xml:space="preserve"> This is based on the ability of the eyes to</w:t>
      </w:r>
      <w:r w:rsidR="00603A2A">
        <w:rPr>
          <w:lang w:eastAsia="en-US"/>
        </w:rPr>
        <w:t>:</w:t>
      </w:r>
    </w:p>
    <w:p w14:paraId="608CC8FE" w14:textId="77777777" w:rsidR="00603A2A" w:rsidRDefault="00B40DA2">
      <w:pPr>
        <w:pStyle w:val="ListParagraph"/>
        <w:numPr>
          <w:ilvl w:val="0"/>
          <w:numId w:val="24"/>
        </w:numPr>
      </w:pPr>
      <w:r>
        <w:rPr>
          <w:lang w:eastAsia="en-US"/>
        </w:rPr>
        <w:t xml:space="preserve">capture the light (transduction), </w:t>
      </w:r>
    </w:p>
    <w:p w14:paraId="055447FB" w14:textId="77777777" w:rsidR="00603A2A" w:rsidRDefault="00B40DA2">
      <w:pPr>
        <w:pStyle w:val="ListParagraph"/>
        <w:numPr>
          <w:ilvl w:val="0"/>
          <w:numId w:val="24"/>
        </w:numPr>
      </w:pPr>
      <w:r>
        <w:rPr>
          <w:lang w:eastAsia="en-US"/>
        </w:rPr>
        <w:t>transmit the details</w:t>
      </w:r>
      <w:r w:rsidR="00603A2A">
        <w:rPr>
          <w:lang w:eastAsia="en-US"/>
        </w:rPr>
        <w:t xml:space="preserve"> to the primary visual cortex, </w:t>
      </w:r>
    </w:p>
    <w:p w14:paraId="5653E383" w14:textId="77777777" w:rsidR="00603A2A" w:rsidRDefault="00603A2A">
      <w:pPr>
        <w:pStyle w:val="ListParagraph"/>
        <w:numPr>
          <w:ilvl w:val="0"/>
          <w:numId w:val="24"/>
        </w:numPr>
      </w:pPr>
      <w:r>
        <w:rPr>
          <w:lang w:eastAsia="en-US"/>
        </w:rPr>
        <w:t xml:space="preserve">construct a neural representation of the “object”, where perception of “what” it is seeing occurs, then </w:t>
      </w:r>
    </w:p>
    <w:p w14:paraId="0E95C4B4" w14:textId="45E9C31E" w:rsidR="002A32FD" w:rsidRPr="00610C4A" w:rsidRDefault="00603A2A">
      <w:pPr>
        <w:pStyle w:val="ListParagraph"/>
        <w:numPr>
          <w:ilvl w:val="0"/>
          <w:numId w:val="24"/>
        </w:numPr>
      </w:pPr>
      <w:r>
        <w:rPr>
          <w:lang w:eastAsia="en-US"/>
        </w:rPr>
        <w:t>finally a stage of cognition where the “image” is compared with known and unknown images and a decision on a course of action is made based on matching and training.</w:t>
      </w:r>
    </w:p>
    <w:p w14:paraId="6FE0CAD0" w14:textId="2AC6CE6B" w:rsidR="003E15C2" w:rsidRDefault="003E15C2" w:rsidP="003807D5">
      <w:pPr>
        <w:pStyle w:val="Heading3"/>
      </w:pPr>
      <w:bookmarkStart w:id="36" w:name="_Toc219290001"/>
      <w:bookmarkStart w:id="37" w:name="_Toc226796947"/>
      <w:r>
        <w:t>Human vision</w:t>
      </w:r>
      <w:bookmarkEnd w:id="36"/>
      <w:bookmarkEnd w:id="37"/>
      <w:r>
        <w:t xml:space="preserve"> </w:t>
      </w:r>
    </w:p>
    <w:p w14:paraId="1DD19316" w14:textId="6B04F7E6" w:rsidR="003E15C2" w:rsidRDefault="003E15C2" w:rsidP="00D93B4A">
      <w:pPr>
        <w:rPr>
          <w:rFonts w:eastAsia="Garamond" w:cs="Garamond"/>
          <w:szCs w:val="22"/>
        </w:rPr>
      </w:pPr>
      <w:r>
        <w:rPr>
          <w:rFonts w:eastAsia="Garamond" w:cs="Garamond"/>
          <w:szCs w:val="22"/>
        </w:rPr>
        <w:t xml:space="preserve">The human eye is composed of a series of structures designed to capture and focus light on to the retina. These include vitreous </w:t>
      </w:r>
      <w:r w:rsidR="00343C2D">
        <w:rPr>
          <w:rFonts w:eastAsia="Garamond" w:cs="Garamond"/>
          <w:szCs w:val="22"/>
        </w:rPr>
        <w:t>humour</w:t>
      </w:r>
      <w:r>
        <w:rPr>
          <w:rFonts w:eastAsia="Garamond" w:cs="Garamond"/>
          <w:szCs w:val="22"/>
        </w:rPr>
        <w:t xml:space="preserve"> (vitreous chamber), aqueous </w:t>
      </w:r>
      <w:r w:rsidR="00343C2D">
        <w:rPr>
          <w:rFonts w:eastAsia="Garamond" w:cs="Garamond"/>
          <w:szCs w:val="22"/>
        </w:rPr>
        <w:t>humour</w:t>
      </w:r>
      <w:r>
        <w:rPr>
          <w:rFonts w:eastAsia="Garamond" w:cs="Garamond"/>
          <w:szCs w:val="22"/>
        </w:rPr>
        <w:t xml:space="preserve"> (anterior and posterior chamber), a crystalline lens and the cornea. The iris, retina, macula and optic nerve all help to transmit the images to the brain where they are processed. Vision is the term to describe the whole process of sight and processing images in the brain. The retina consists of photoreceptors (rods and cones) – rods are sensitive to low light conditions, whereas cones are responsible for </w:t>
      </w:r>
      <w:r w:rsidR="00603A2A">
        <w:rPr>
          <w:rFonts w:eastAsia="Garamond" w:cs="Garamond"/>
          <w:szCs w:val="22"/>
        </w:rPr>
        <w:t xml:space="preserve">collecting and </w:t>
      </w:r>
      <w:r>
        <w:rPr>
          <w:rFonts w:eastAsia="Garamond" w:cs="Garamond"/>
          <w:szCs w:val="22"/>
        </w:rPr>
        <w:t xml:space="preserve">transmitting colour information and high-acuity photopic (daytime) vision </w:t>
      </w:r>
      <w:r>
        <w:rPr>
          <w:rFonts w:eastAsia="Garamond" w:cs="Garamond"/>
          <w:szCs w:val="22"/>
        </w:rPr>
        <w:fldChar w:fldCharType="begin"/>
      </w:r>
      <w:r w:rsidR="001E0B07">
        <w:rPr>
          <w:rFonts w:eastAsia="Garamond" w:cs="Garamond"/>
          <w:szCs w:val="22"/>
        </w:rPr>
        <w:instrText xml:space="preserve"> ADDIN ZOTERO_ITEM CSL_CITATION {"citationID":"1G06ukEx","properties":{"formattedCitation":"(S\\uc0\\u225{}nchez L\\uc0\\u243{}pez de Nava et al. 2025)","plainCitation":"(Sánchez López de Nava et al. 2025)","noteIndex":0},"citationItems":[{"id":22515,"uris":["http://zotero.org/groups/6289862/items/Z9PRGIJ6"],"itemData":{"id":22515,"type":"chapter","abstract":"Vision is one of the five senses the body uses to interpret its surroundings. In the past, our primitive ancestors had what is called \"dichromatic vision,” allowing for interpretation of only UV light and red light. About 30 million years ago, the trichromatic part of vision came to existence due to the evolution of opsin genes. Humans can now see black, white, red, green, and blue, as well as the colors in between this spectrum since the retina and the brain are equipped to differentiate them. What happens between an object and a synapse in the most posterior part of the brain is the fascinating journey that we will cover.","call-number":"NBK538493","container-title":"StatPearls","language":"eng","license":"Copyright © 2025, StatPearls Publishing LLC.","note":"PMID: 30860728","publisher":"StatPearls Publishing","publisher-place":"Treasure Island (FL)","source":"PubMed","title":"Physiology, Vision","URL":"http://www.ncbi.nlm.nih.gov/books/NBK538493/","author":[{"family":"Sánchez López de Nava","given":"Arturo"},{"family":"Somani","given":"Anisha N."},{"family":"Salini","given":"Baby"}],"accessed":{"date-parts":[["2026",1,6]]},"issued":{"date-parts":[["2025"]]}}}],"schema":"https://github.com/citation-style-language/schema/raw/master/csl-citation.json"} </w:instrText>
      </w:r>
      <w:r>
        <w:rPr>
          <w:rFonts w:eastAsia="Garamond" w:cs="Garamond"/>
          <w:szCs w:val="22"/>
        </w:rPr>
        <w:fldChar w:fldCharType="separate"/>
      </w:r>
      <w:r w:rsidRPr="00E922A2">
        <w:rPr>
          <w:lang w:val="en-GB"/>
        </w:rPr>
        <w:t>(Sánchez López de Nava et al. 2025)</w:t>
      </w:r>
      <w:r>
        <w:rPr>
          <w:rFonts w:eastAsia="Garamond" w:cs="Garamond"/>
          <w:szCs w:val="22"/>
        </w:rPr>
        <w:fldChar w:fldCharType="end"/>
      </w:r>
      <w:r>
        <w:rPr>
          <w:rFonts w:eastAsia="Garamond" w:cs="Garamond"/>
          <w:szCs w:val="22"/>
        </w:rPr>
        <w:t>.</w:t>
      </w:r>
    </w:p>
    <w:p w14:paraId="0C0480B2" w14:textId="2014EC08" w:rsidR="003E15C2" w:rsidRPr="00B90A56" w:rsidRDefault="003E15C2" w:rsidP="003807D5">
      <w:pPr>
        <w:pStyle w:val="Heading3"/>
      </w:pPr>
      <w:bookmarkStart w:id="38" w:name="_Toc219290002"/>
      <w:bookmarkStart w:id="39" w:name="_Toc226796948"/>
      <w:r>
        <w:t>Mechanisms of night vision</w:t>
      </w:r>
      <w:bookmarkEnd w:id="38"/>
      <w:bookmarkEnd w:id="39"/>
    </w:p>
    <w:p w14:paraId="23C9EE01" w14:textId="065FC5FE" w:rsidR="003E15C2" w:rsidRDefault="003E15C2" w:rsidP="00D93B4A">
      <w:pPr>
        <w:spacing w:before="240"/>
        <w:rPr>
          <w:rFonts w:eastAsia="Garamond" w:cs="Garamond"/>
          <w:szCs w:val="22"/>
        </w:rPr>
      </w:pPr>
      <w:r>
        <w:rPr>
          <w:rFonts w:eastAsia="Garamond" w:cs="Garamond"/>
          <w:szCs w:val="22"/>
        </w:rPr>
        <w:t>Scotopic (night) vision is the ability to see in dim or dark lighting.</w:t>
      </w:r>
      <w:r w:rsidR="00644978">
        <w:rPr>
          <w:rFonts w:eastAsia="Garamond" w:cs="Garamond"/>
          <w:szCs w:val="22"/>
        </w:rPr>
        <w:t xml:space="preserve"> The mesopic range is t</w:t>
      </w:r>
      <w:r w:rsidRPr="008E4382">
        <w:rPr>
          <w:rFonts w:asciiTheme="minorHAnsi" w:hAnsiTheme="minorHAnsi"/>
          <w:szCs w:val="22"/>
        </w:rPr>
        <w:t xml:space="preserve">he transition between </w:t>
      </w:r>
      <w:r>
        <w:rPr>
          <w:rFonts w:asciiTheme="minorHAnsi" w:hAnsiTheme="minorHAnsi"/>
          <w:szCs w:val="22"/>
        </w:rPr>
        <w:t>photopic and scotopic vision where both cones and rods are active</w:t>
      </w:r>
      <w:r w:rsidR="00644978">
        <w:rPr>
          <w:rFonts w:asciiTheme="minorHAnsi" w:hAnsiTheme="minorHAnsi"/>
          <w:szCs w:val="22"/>
        </w:rPr>
        <w:t>. This</w:t>
      </w:r>
      <w:r>
        <w:rPr>
          <w:rFonts w:asciiTheme="minorHAnsi" w:hAnsiTheme="minorHAnsi"/>
          <w:szCs w:val="22"/>
        </w:rPr>
        <w:t xml:space="preserve"> </w:t>
      </w:r>
      <w:r w:rsidRPr="008E4382">
        <w:rPr>
          <w:rFonts w:asciiTheme="minorHAnsi" w:hAnsiTheme="minorHAnsi"/>
          <w:szCs w:val="22"/>
        </w:rPr>
        <w:t xml:space="preserve">represents a complex physiological </w:t>
      </w:r>
      <w:r>
        <w:rPr>
          <w:rFonts w:asciiTheme="minorHAnsi" w:hAnsiTheme="minorHAnsi"/>
          <w:szCs w:val="22"/>
        </w:rPr>
        <w:t>transition</w:t>
      </w:r>
      <w:r w:rsidRPr="008E4382">
        <w:rPr>
          <w:rFonts w:asciiTheme="minorHAnsi" w:hAnsiTheme="minorHAnsi"/>
          <w:szCs w:val="22"/>
        </w:rPr>
        <w:t xml:space="preserve"> where visual acuity and colo</w:t>
      </w:r>
      <w:r>
        <w:rPr>
          <w:rFonts w:asciiTheme="minorHAnsi" w:hAnsiTheme="minorHAnsi"/>
          <w:szCs w:val="22"/>
        </w:rPr>
        <w:t>u</w:t>
      </w:r>
      <w:r w:rsidRPr="008E4382">
        <w:rPr>
          <w:rFonts w:asciiTheme="minorHAnsi" w:hAnsiTheme="minorHAnsi"/>
          <w:szCs w:val="22"/>
        </w:rPr>
        <w:t>r discrimination begin to degrade as light levels drop.</w:t>
      </w:r>
      <w:r>
        <w:rPr>
          <w:rFonts w:asciiTheme="minorHAnsi" w:hAnsiTheme="minorHAnsi"/>
          <w:szCs w:val="22"/>
        </w:rPr>
        <w:t xml:space="preserve"> </w:t>
      </w:r>
      <w:r>
        <w:rPr>
          <w:rFonts w:eastAsia="Garamond" w:cs="Garamond"/>
          <w:szCs w:val="22"/>
        </w:rPr>
        <w:t xml:space="preserve">The process involves pupil dilation to allow more light to pass through the lens, and the activation of rods by the protein rhodopsin </w:t>
      </w:r>
      <w:r>
        <w:rPr>
          <w:rFonts w:eastAsia="Garamond" w:cs="Garamond"/>
          <w:szCs w:val="22"/>
        </w:rPr>
        <w:fldChar w:fldCharType="begin"/>
      </w:r>
      <w:r w:rsidR="001E0B07">
        <w:rPr>
          <w:rFonts w:eastAsia="Garamond" w:cs="Garamond"/>
          <w:szCs w:val="22"/>
        </w:rPr>
        <w:instrText xml:space="preserve"> ADDIN ZOTERO_ITEM CSL_CITATION {"citationID":"IlM3M4zV","properties":{"formattedCitation":"(Mehra and Le 2025)","plainCitation":"(Mehra and Le 2025)","noteIndex":0},"citationItems":[{"id":22526,"uris":["http://zotero.org/groups/6289862/items/JYEG8PU2"],"itemData":{"id":22526,"type":"chapter","abstract":"Nyctalopia refers to night blindness or difficulty of the eye in visualizing under dim light or at night; daytime vision, however, is unimpaired. Nyctalopia is due to the eye's inability to adapt quickly from lightness to darkness. The principal cell type associated with nyctalopia is rod cells. Rods are a type of photoreceptor cell in the retina that transmits low-light vision and is most responsible for the neural transmission of nighttime sight. Rods have a single photopigment, rhodopsin, which utilizes the protein scotopsin and the Vitamin A–derived retinol cofactor. This cascade is essential for the body's ability to regulate the pupillary light reflex. The pupillary light reflex allows unilateral afferent detection of changes in light energy entering the eye and efferent adjustments in the pupillary sphincter and dilator pupillae muscles to initiate consensual constriction and dilation of the eyes. Pupil dilation is an adaptive response to changes in lightness and darkness. Night blindness is the physical manifestation of impaired functioning of these processes.","call-number":"NBK545246","container-title":"StatPearls","language":"eng","license":"Copyright © 2025, StatPearls Publishing LLC.","note":"PMID: 31424830","publisher":"StatPearls Publishing","publisher-place":"Treasure Island (FL)","source":"PubMed","title":"Physiology, Night Vision","URL":"http://www.ncbi.nlm.nih.gov/books/NBK545246/","author":[{"family":"Mehra","given":"Divy"},{"family":"Le","given":"Patrick H."}],"accessed":{"date-parts":[["2026",1,6]]},"issued":{"date-parts":[["2025"]]}}}],"schema":"https://github.com/citation-style-language/schema/raw/master/csl-citation.json"} </w:instrText>
      </w:r>
      <w:r>
        <w:rPr>
          <w:rFonts w:eastAsia="Garamond" w:cs="Garamond"/>
          <w:szCs w:val="22"/>
        </w:rPr>
        <w:fldChar w:fldCharType="separate"/>
      </w:r>
      <w:r>
        <w:rPr>
          <w:rFonts w:eastAsia="Garamond" w:cs="Garamond"/>
          <w:noProof/>
          <w:szCs w:val="22"/>
        </w:rPr>
        <w:t>(Mehra and Le 2025)</w:t>
      </w:r>
      <w:r>
        <w:rPr>
          <w:rFonts w:eastAsia="Garamond" w:cs="Garamond"/>
          <w:szCs w:val="22"/>
        </w:rPr>
        <w:fldChar w:fldCharType="end"/>
      </w:r>
      <w:r>
        <w:rPr>
          <w:rFonts w:eastAsia="Garamond" w:cs="Garamond"/>
          <w:szCs w:val="22"/>
        </w:rPr>
        <w:t xml:space="preserve">. Rhodopsin can be sensitive to vitamin A deficiencies, leading to reduced ability to process sight into vision in low light settings </w:t>
      </w:r>
      <w:r>
        <w:rPr>
          <w:rFonts w:eastAsia="Garamond" w:cs="Garamond"/>
          <w:szCs w:val="22"/>
        </w:rPr>
        <w:fldChar w:fldCharType="begin"/>
      </w:r>
      <w:r w:rsidR="001E0B07">
        <w:rPr>
          <w:rFonts w:eastAsia="Garamond" w:cs="Garamond"/>
          <w:szCs w:val="22"/>
        </w:rPr>
        <w:instrText xml:space="preserve"> ADDIN ZOTERO_ITEM CSL_CITATION {"citationID":"QYKEM3dt","properties":{"formattedCitation":"(Mehra and Le 2025)","plainCitation":"(Mehra and Le 2025)","noteIndex":0},"citationItems":[{"id":22526,"uris":["http://zotero.org/groups/6289862/items/JYEG8PU2"],"itemData":{"id":22526,"type":"chapter","abstract":"Nyctalopia refers to night blindness or difficulty of the eye in visualizing under dim light or at night; daytime vision, however, is unimpaired. Nyctalopia is due to the eye's inability to adapt quickly from lightness to darkness. The principal cell type associated with nyctalopia is rod cells. Rods are a type of photoreceptor cell in the retina that transmits low-light vision and is most responsible for the neural transmission of nighttime sight. Rods have a single photopigment, rhodopsin, which utilizes the protein scotopsin and the Vitamin A–derived retinol cofactor. This cascade is essential for the body's ability to regulate the pupillary light reflex. The pupillary light reflex allows unilateral afferent detection of changes in light energy entering the eye and efferent adjustments in the pupillary sphincter and dilator pupillae muscles to initiate consensual constriction and dilation of the eyes. Pupil dilation is an adaptive response to changes in lightness and darkness. Night blindness is the physical manifestation of impaired functioning of these processes.","call-number":"NBK545246","container-title":"StatPearls","language":"eng","license":"Copyright © 2025, StatPearls Publishing LLC.","note":"PMID: 31424830","publisher":"StatPearls Publishing","publisher-place":"Treasure Island (FL)","source":"PubMed","title":"Physiology, Night Vision","URL":"http://www.ncbi.nlm.nih.gov/books/NBK545246/","author":[{"family":"Mehra","given":"Divy"},{"family":"Le","given":"Patrick H."}],"accessed":{"date-parts":[["2026",1,6]]},"issued":{"date-parts":[["2025"]]}}}],"schema":"https://github.com/citation-style-language/schema/raw/master/csl-citation.json"} </w:instrText>
      </w:r>
      <w:r>
        <w:rPr>
          <w:rFonts w:eastAsia="Garamond" w:cs="Garamond"/>
          <w:szCs w:val="22"/>
        </w:rPr>
        <w:fldChar w:fldCharType="separate"/>
      </w:r>
      <w:r>
        <w:rPr>
          <w:rFonts w:eastAsia="Garamond" w:cs="Garamond"/>
          <w:noProof/>
          <w:szCs w:val="22"/>
        </w:rPr>
        <w:t>(Mehra and Le 2025)</w:t>
      </w:r>
      <w:r>
        <w:rPr>
          <w:rFonts w:eastAsia="Garamond" w:cs="Garamond"/>
          <w:szCs w:val="22"/>
        </w:rPr>
        <w:fldChar w:fldCharType="end"/>
      </w:r>
      <w:r>
        <w:rPr>
          <w:rFonts w:eastAsia="Garamond" w:cs="Garamond"/>
          <w:szCs w:val="22"/>
        </w:rPr>
        <w:t>. The process of eyes adapting to dark lighting will vary depending on the intensity of prior light exposure</w:t>
      </w:r>
      <w:r w:rsidR="00644978">
        <w:rPr>
          <w:rFonts w:eastAsia="Garamond" w:cs="Garamond"/>
          <w:szCs w:val="22"/>
        </w:rPr>
        <w:t>. For example,</w:t>
      </w:r>
      <w:r>
        <w:rPr>
          <w:rFonts w:eastAsia="Garamond" w:cs="Garamond"/>
          <w:szCs w:val="22"/>
        </w:rPr>
        <w:t xml:space="preserve"> the larger the contrast between bright and dark settings, the longer it takes for the eye to adapt. It can take up to 30 minutes for rods to fully adapt </w:t>
      </w:r>
      <w:r>
        <w:rPr>
          <w:rFonts w:eastAsia="Garamond" w:cs="Garamond"/>
          <w:szCs w:val="22"/>
        </w:rPr>
        <w:fldChar w:fldCharType="begin"/>
      </w:r>
      <w:r w:rsidR="00B433D8">
        <w:rPr>
          <w:rFonts w:eastAsia="Garamond" w:cs="Garamond"/>
          <w:szCs w:val="22"/>
        </w:rPr>
        <w:instrText xml:space="preserve"> ADDIN ZOTERO_ITEM CSL_CITATION {"citationID":"dl33HvKi","properties":{"formattedCitation":"(Hecht et al. 1937)","plainCitation":"(Hecht et al. 1937)","noteIndex":0},"citationItems":[{"id":22525,"uris":["http://zotero.org/groups/6289862/items/98F7RGV3"],"itemData":{"id":22525,"type":"article-journal","abstract":"The course of dark adaptation of the human eye varies with the intensity used for the light adaptation which precedes it. Preadaptation to intensities below 200 photons is followed only by rod adaptation, while preadaptation to intensities above 4000 photons is followed first by cone adaptation and then by rod adaptation. With increasing intensities of preadaptation, cone dark adaptation remains essentially the same in form, but covers an increasing range of threshold intensities. At the highest preadaptation the range of the subsequent cone dark adaptation covers more than 3 log units. Rod dark adaptation appears in two types—a rapid and a delayed. The rapid rod dark adaptation is evident after preadaptations to low intensities corresponding to those usually associated with rod function. The delayed rod dark adaptation shows up only after preadaptation to intensities which are hundreds of times higher than those which produce the maximal function of the rods in flicker, intensity discrimination, and visual acuity. The delayed form remains essentially constant in shape following different intensities of preadaptation. However, its time of appearance increases with the preadaptation intensity; after the highest preadaptation, it appears only after 12 or 13 minutes in the dark. These two modes of rod dark adaptation are probably the expression of two methods of formation of visual purple in the rods after its bleaching by the preadaptation lights.","container-title":"The Journal of General Physiology","DOI":"10.1085/jgp.20.6.831","ISSN":"0022-1295","issue":"6","journalAbbreviation":"J Gen Physiol","page":"831-850","PMID":"19873031","PMCID":"PMC2141534","source":"PubMed Central","title":"The influence of light adaptation on subsequent dark adaptation of the eye","volume":"20","author":[{"family":"Hecht","given":"Selig"},{"family":"Haig","given":"Charles"},{"family":"Chase","given":"Aurin M."}],"issued":{"date-parts":[["1937",7,20]]}}}],"schema":"https://github.com/citation-style-language/schema/raw/master/csl-citation.json"} </w:instrText>
      </w:r>
      <w:r>
        <w:rPr>
          <w:rFonts w:eastAsia="Garamond" w:cs="Garamond"/>
          <w:szCs w:val="22"/>
        </w:rPr>
        <w:fldChar w:fldCharType="separate"/>
      </w:r>
      <w:r>
        <w:rPr>
          <w:rFonts w:eastAsia="Garamond" w:cs="Garamond"/>
          <w:noProof/>
          <w:szCs w:val="22"/>
        </w:rPr>
        <w:t>(Hecht et al. 1937)</w:t>
      </w:r>
      <w:r>
        <w:rPr>
          <w:rFonts w:eastAsia="Garamond" w:cs="Garamond"/>
          <w:szCs w:val="22"/>
        </w:rPr>
        <w:fldChar w:fldCharType="end"/>
      </w:r>
      <w:r>
        <w:rPr>
          <w:rFonts w:eastAsia="Garamond" w:cs="Garamond"/>
          <w:szCs w:val="22"/>
        </w:rPr>
        <w:t>. Therefore, moving from bright day light (such as an open deck at midday) to dark enclosed spaces will require longer</w:t>
      </w:r>
      <w:r w:rsidR="00280C55">
        <w:rPr>
          <w:rFonts w:eastAsia="Garamond" w:cs="Garamond"/>
          <w:szCs w:val="22"/>
        </w:rPr>
        <w:t xml:space="preserve"> duration</w:t>
      </w:r>
      <w:r>
        <w:rPr>
          <w:rFonts w:eastAsia="Garamond" w:cs="Garamond"/>
          <w:szCs w:val="22"/>
        </w:rPr>
        <w:t xml:space="preserve"> for eyes to adapt. </w:t>
      </w:r>
    </w:p>
    <w:p w14:paraId="14BC5ED4" w14:textId="7072051D" w:rsidR="003E15C2" w:rsidRDefault="003E15C2" w:rsidP="003807D5">
      <w:pPr>
        <w:pStyle w:val="Heading3"/>
      </w:pPr>
      <w:bookmarkStart w:id="40" w:name="_Toc226796949"/>
      <w:bookmarkStart w:id="41" w:name="_Toc219290003"/>
      <w:r>
        <w:t xml:space="preserve">Lighting and vision considerations for daytime and </w:t>
      </w:r>
      <w:r w:rsidR="006F0FD8">
        <w:t>night-time</w:t>
      </w:r>
      <w:r>
        <w:t xml:space="preserve"> inspection</w:t>
      </w:r>
      <w:r w:rsidR="006A5F9C">
        <w:t>s</w:t>
      </w:r>
      <w:bookmarkEnd w:id="40"/>
      <w:r>
        <w:t xml:space="preserve"> </w:t>
      </w:r>
      <w:bookmarkEnd w:id="41"/>
    </w:p>
    <w:p w14:paraId="198EA2EA" w14:textId="3418F160" w:rsidR="003E15C2" w:rsidRDefault="003E15C2" w:rsidP="00D93B4A">
      <w:pPr>
        <w:tabs>
          <w:tab w:val="right" w:pos="9000"/>
        </w:tabs>
        <w:spacing w:before="120"/>
        <w:rPr>
          <w:rFonts w:eastAsia="Garamond" w:cs="Garamond"/>
          <w:szCs w:val="22"/>
        </w:rPr>
      </w:pPr>
      <w:r>
        <w:rPr>
          <w:rFonts w:eastAsia="Garamond" w:cs="Garamond"/>
          <w:szCs w:val="22"/>
        </w:rPr>
        <w:t xml:space="preserve">Contrast sensitivity is the ability of the eyes and brain to distinguish the subtle differences between shades, shapes and brightness. It has been measured in diagnostic (e.g. laboratory) settings, but there is limited research demonstrating its application in real world settings. Spatial frequency is the way an image changes in detail over distance. This can influence contrast sensitivity, with decreases occurring as spatial frequency decreases </w:t>
      </w:r>
      <w:r>
        <w:rPr>
          <w:rFonts w:eastAsia="Garamond" w:cs="Garamond"/>
          <w:szCs w:val="22"/>
        </w:rPr>
        <w:fldChar w:fldCharType="begin"/>
      </w:r>
      <w:r w:rsidR="001E0B07">
        <w:rPr>
          <w:rFonts w:eastAsia="Garamond" w:cs="Garamond"/>
          <w:szCs w:val="22"/>
        </w:rPr>
        <w:instrText xml:space="preserve"> ADDIN ZOTERO_ITEM CSL_CITATION {"citationID":"XYKBBigF","properties":{"formattedCitation":"(Bex et al. 2009; Maniglia et al. 2018)","plainCitation":"(Bex et al. 2009; Maniglia et al. 2018)","noteIndex":0},"citationItems":[{"id":22570,"uris":["http://zotero.org/groups/6289862/items/UP8EI9PE"],"itemData":{"id":22570,"type":"article-journal","abstract":"The contrast sensitivity function is routinely measured in the laboratory with sine-wave gratings presented on homogenous gray backgrounds; natural images are instead composed of a broad range of spatial and temporal structures. In order to extend channel-based models of visual processing to more natural conditions, we examined how contrast sensitivity varies with the context in which it is measured. We report that contrast sensitivity is quite different under laboratory than natural viewing conditions: adaptation or masking with natural scenes attenuates contrast sensitivity at low spatial and temporal frequencies. Expressed another way, viewing stimuli presented on homogenous screens overcomes chronic adaptation to the natural environment and causes a sharp, unnatural increase in sensitivity to low spatial and temporal frequencies. Consequently, the standard contrast sensitivity function is a poor indicator of sensitivity to structure in natural scenes. The magnitude of masking by natural scenes is relatively independent of local contrast but depends strongly on the density of edges even though neither greatly affects the local amplitude spectrum. These results suggest that sensitivity to spatial structure in natural scenes depends on the distribution of local edges as well as the local amplitude spectrum.","container-title":"Journal of Vision","DOI":"10.1167/9.10.1","ISSN":"1534-7362","issue":"10","journalAbbreviation":"Journal of Vision","page":"1","source":"Silverchair","title":"Contrast sensitivity in natural scenes depends on edge as well as spatial frequency structure","volume":"9","author":[{"family":"Bex","given":"Peter J."},{"family":"Solomon","given":"Samuel G."},{"family":"Dakin","given":"Steven C."}],"issued":{"date-parts":[["2009",9,4]]}}},{"id":22575,"uris":["http://zotero.org/groups/6289862/items/YWQ7N6QB"],"itemData":{"id":22575,"type":"article-journal","abstract":"Contrast sensitivity (CS), the ability to detect small spatial changes of luminance, is a fundamental aspect of vision. However, while visual acuity is commonly measured in eye clinics, contrast sensitivity is often not assessed. At issue is that tests of contrast sensitivity are not highly standardized in the field and that, in many cases, optotypes used are not sensitive enough to measure graduations of performance and visual abilities within the normal range. Here, in order to develop more sensitive measures of contrast sensitivity, we examined how contrast sensitivity is affected by different combinations of glare and ambient lighting in young healthy participants. We found that low levels of glare have a relatively small impact on vision under both photopic and mesopic conditions, while higher levels had significantly greater consequences on CS under mesopic conditions. Importantly, we found that the amount of glare induced by a standard built-in system (69 lux) was insufficient to induce CS reduction, but increasing to 125 lux with a custom system did cause a significant reduction and shift of CS in healthy individuals. This research provides important data that can help guide the use of CS measures that yield more sensitivity to characterize visual processing abilities in a variety of populations with ecological validity for non-ideal viewing conditions such as night time driving.","container-title":"Frontiers in Psychology","DOI":"10.3389/fpsyg.2018.00899","ISSN":"1664-1078","journalAbbreviation":"Front. Psychol.","language":"English","publisher":"Frontiers","source":"Frontiers","title":"Effect of Varying Levels of Glare on Contrast Sensitivity Measurements of Young Healthy Individuals Under Photopic and Mesopic Vision","URL":"https://www.frontiersin.org/journals/psychology/articles/10.3389/fpsyg.2018.00899/full","volume":"9","author":[{"family":"Maniglia","given":"Marcello"},{"family":"Thurman","given":"Steven M."},{"family":"Seitz","given":"Aaron R."},{"family":"Davey","given":"Pinakin G."}],"accessed":{"date-parts":[["2026",1,8]]},"issued":{"date-parts":[["2018",6,14]]}}}],"schema":"https://github.com/citation-style-language/schema/raw/master/csl-citation.json"} </w:instrText>
      </w:r>
      <w:r>
        <w:rPr>
          <w:rFonts w:eastAsia="Garamond" w:cs="Garamond"/>
          <w:szCs w:val="22"/>
        </w:rPr>
        <w:fldChar w:fldCharType="separate"/>
      </w:r>
      <w:r>
        <w:rPr>
          <w:rFonts w:eastAsia="Garamond" w:cs="Garamond"/>
          <w:noProof/>
          <w:szCs w:val="22"/>
        </w:rPr>
        <w:t>(Bex et al. 2009; Maniglia et al. 2018)</w:t>
      </w:r>
      <w:r>
        <w:rPr>
          <w:rFonts w:eastAsia="Garamond" w:cs="Garamond"/>
          <w:szCs w:val="22"/>
        </w:rPr>
        <w:fldChar w:fldCharType="end"/>
      </w:r>
      <w:r>
        <w:rPr>
          <w:rFonts w:eastAsia="Garamond" w:cs="Garamond"/>
          <w:szCs w:val="22"/>
        </w:rPr>
        <w:t>. Further, lighting and sources of light, such as glare</w:t>
      </w:r>
      <w:r w:rsidR="00644978">
        <w:rPr>
          <w:rFonts w:eastAsia="Garamond" w:cs="Garamond"/>
          <w:szCs w:val="22"/>
        </w:rPr>
        <w:t>,</w:t>
      </w:r>
      <w:r>
        <w:rPr>
          <w:rFonts w:eastAsia="Garamond" w:cs="Garamond"/>
          <w:szCs w:val="22"/>
        </w:rPr>
        <w:t xml:space="preserve"> can impact an individual’s contrast sensitivity </w:t>
      </w:r>
      <w:r>
        <w:rPr>
          <w:rFonts w:eastAsia="Garamond" w:cs="Garamond"/>
          <w:szCs w:val="22"/>
        </w:rPr>
        <w:fldChar w:fldCharType="begin"/>
      </w:r>
      <w:r w:rsidR="001E0B07">
        <w:rPr>
          <w:rFonts w:eastAsia="Garamond" w:cs="Garamond"/>
          <w:szCs w:val="22"/>
        </w:rPr>
        <w:instrText xml:space="preserve"> ADDIN ZOTERO_ITEM CSL_CITATION {"citationID":"PxHY2Kog","properties":{"formattedCitation":"(Maniglia et al. 2018)","plainCitation":"(Maniglia et al. 2018)","noteIndex":0},"citationItems":[{"id":22575,"uris":["http://zotero.org/groups/6289862/items/YWQ7N6QB"],"itemData":{"id":22575,"type":"article-journal","abstract":"Contrast sensitivity (CS), the ability to detect small spatial changes of luminance, is a fundamental aspect of vision. However, while visual acuity is commonly measured in eye clinics, contrast sensitivity is often not assessed. At issue is that tests of contrast sensitivity are not highly standardized in the field and that, in many cases, optotypes used are not sensitive enough to measure graduations of performance and visual abilities within the normal range. Here, in order to develop more sensitive measures of contrast sensitivity, we examined how contrast sensitivity is affected by different combinations of glare and ambient lighting in young healthy participants. We found that low levels of glare have a relatively small impact on vision under both photopic and mesopic conditions, while higher levels had significantly greater consequences on CS under mesopic conditions. Importantly, we found that the amount of glare induced by a standard built-in system (69 lux) was insufficient to induce CS reduction, but increasing to 125 lux with a custom system did cause a significant reduction and shift of CS in healthy individuals. This research provides important data that can help guide the use of CS measures that yield more sensitivity to characterize visual processing abilities in a variety of populations with ecological validity for non-ideal viewing conditions such as night time driving.","container-title":"Frontiers in Psychology","DOI":"10.3389/fpsyg.2018.00899","ISSN":"1664-1078","journalAbbreviation":"Front. Psychol.","language":"English","publisher":"Frontiers","source":"Frontiers","title":"Effect of Varying Levels of Glare on Contrast Sensitivity Measurements of Young Healthy Individuals Under Photopic and Mesopic Vision","URL":"https://www.frontiersin.org/journals/psychology/articles/10.3389/fpsyg.2018.00899/full","volume":"9","author":[{"family":"Maniglia","given":"Marcello"},{"family":"Thurman","given":"Steven M."},{"family":"Seitz","given":"Aaron R."},{"family":"Davey","given":"Pinakin G."}],"accessed":{"date-parts":[["2026",1,8]]},"issued":{"date-parts":[["2018",6,14]]}}}],"schema":"https://github.com/citation-style-language/schema/raw/master/csl-citation.json"} </w:instrText>
      </w:r>
      <w:r>
        <w:rPr>
          <w:rFonts w:eastAsia="Garamond" w:cs="Garamond"/>
          <w:szCs w:val="22"/>
        </w:rPr>
        <w:fldChar w:fldCharType="separate"/>
      </w:r>
      <w:r>
        <w:rPr>
          <w:rFonts w:eastAsia="Garamond" w:cs="Garamond"/>
          <w:noProof/>
          <w:szCs w:val="22"/>
        </w:rPr>
        <w:t>(Maniglia et al. 2018)</w:t>
      </w:r>
      <w:r>
        <w:rPr>
          <w:rFonts w:eastAsia="Garamond" w:cs="Garamond"/>
          <w:szCs w:val="22"/>
        </w:rPr>
        <w:fldChar w:fldCharType="end"/>
      </w:r>
      <w:r>
        <w:rPr>
          <w:rFonts w:eastAsia="Garamond" w:cs="Garamond"/>
          <w:szCs w:val="22"/>
        </w:rPr>
        <w:t>. Under photopic conditions (bright light), cones are the predominant cells activated for vision</w:t>
      </w:r>
      <w:r w:rsidR="00644978">
        <w:rPr>
          <w:rFonts w:eastAsia="Garamond" w:cs="Garamond"/>
          <w:szCs w:val="22"/>
        </w:rPr>
        <w:t>. T</w:t>
      </w:r>
      <w:r>
        <w:rPr>
          <w:rFonts w:eastAsia="Garamond" w:cs="Garamond"/>
          <w:szCs w:val="22"/>
        </w:rPr>
        <w:t>herefore</w:t>
      </w:r>
      <w:r w:rsidR="00644978">
        <w:rPr>
          <w:rFonts w:eastAsia="Garamond" w:cs="Garamond"/>
          <w:szCs w:val="22"/>
        </w:rPr>
        <w:t>,</w:t>
      </w:r>
      <w:r>
        <w:rPr>
          <w:rFonts w:eastAsia="Garamond" w:cs="Garamond"/>
          <w:szCs w:val="22"/>
        </w:rPr>
        <w:t xml:space="preserve"> contrast thresholds remain relatively consistent across different luminance levels </w:t>
      </w:r>
      <w:r>
        <w:rPr>
          <w:rFonts w:eastAsia="Garamond" w:cs="Garamond"/>
          <w:szCs w:val="22"/>
        </w:rPr>
        <w:fldChar w:fldCharType="begin"/>
      </w:r>
      <w:r w:rsidR="001E0B07">
        <w:rPr>
          <w:rFonts w:eastAsia="Garamond" w:cs="Garamond"/>
          <w:szCs w:val="22"/>
        </w:rPr>
        <w:instrText xml:space="preserve"> ADDIN ZOTERO_ITEM CSL_CITATION {"citationID":"N9tt1mqr","properties":{"formattedCitation":"(Maniglia et al. 2018)","plainCitation":"(Maniglia et al. 2018)","noteIndex":0},"citationItems":[{"id":22575,"uris":["http://zotero.org/groups/6289862/items/YWQ7N6QB"],"itemData":{"id":22575,"type":"article-journal","abstract":"Contrast sensitivity (CS), the ability to detect small spatial changes of luminance, is a fundamental aspect of vision. However, while visual acuity is commonly measured in eye clinics, contrast sensitivity is often not assessed. At issue is that tests of contrast sensitivity are not highly standardized in the field and that, in many cases, optotypes used are not sensitive enough to measure graduations of performance and visual abilities within the normal range. Here, in order to develop more sensitive measures of contrast sensitivity, we examined how contrast sensitivity is affected by different combinations of glare and ambient lighting in young healthy participants. We found that low levels of glare have a relatively small impact on vision under both photopic and mesopic conditions, while higher levels had significantly greater consequences on CS under mesopic conditions. Importantly, we found that the amount of glare induced by a standard built-in system (69 lux) was insufficient to induce CS reduction, but increasing to 125 lux with a custom system did cause a significant reduction and shift of CS in healthy individuals. This research provides important data that can help guide the use of CS measures that yield more sensitivity to characterize visual processing abilities in a variety of populations with ecological validity for non-ideal viewing conditions such as night time driving.","container-title":"Frontiers in Psychology","DOI":"10.3389/fpsyg.2018.00899","ISSN":"1664-1078","journalAbbreviation":"Front. Psychol.","language":"English","publisher":"Frontiers","source":"Frontiers","title":"Effect of Varying Levels of Glare on Contrast Sensitivity Measurements of Young Healthy Individuals Under Photopic and Mesopic Vision","URL":"https://www.frontiersin.org/journals/psychology/articles/10.3389/fpsyg.2018.00899/full","volume":"9","author":[{"family":"Maniglia","given":"Marcello"},{"family":"Thurman","given":"Steven M."},{"family":"Seitz","given":"Aaron R."},{"family":"Davey","given":"Pinakin G."}],"accessed":{"date-parts":[["2026",1,8]]},"issued":{"date-parts":[["2018",6,14]]}}}],"schema":"https://github.com/citation-style-language/schema/raw/master/csl-citation.json"} </w:instrText>
      </w:r>
      <w:r>
        <w:rPr>
          <w:rFonts w:eastAsia="Garamond" w:cs="Garamond"/>
          <w:szCs w:val="22"/>
        </w:rPr>
        <w:fldChar w:fldCharType="separate"/>
      </w:r>
      <w:r>
        <w:rPr>
          <w:rFonts w:eastAsia="Garamond" w:cs="Garamond"/>
          <w:noProof/>
          <w:szCs w:val="22"/>
        </w:rPr>
        <w:t>(Maniglia et al. 2018)</w:t>
      </w:r>
      <w:r>
        <w:rPr>
          <w:rFonts w:eastAsia="Garamond" w:cs="Garamond"/>
          <w:szCs w:val="22"/>
        </w:rPr>
        <w:fldChar w:fldCharType="end"/>
      </w:r>
      <w:r>
        <w:rPr>
          <w:rFonts w:eastAsia="Garamond" w:cs="Garamond"/>
          <w:szCs w:val="22"/>
        </w:rPr>
        <w:t xml:space="preserve">. In mesopic conditions (the transitional stage of vision under bright light through to low light levels) the proportion of active cones decreases, while rods increase. </w:t>
      </w:r>
    </w:p>
    <w:p w14:paraId="100CB1D1" w14:textId="3A5960AC" w:rsidR="003E15C2" w:rsidRDefault="003E15C2" w:rsidP="00D93B4A">
      <w:pPr>
        <w:tabs>
          <w:tab w:val="right" w:pos="9000"/>
        </w:tabs>
        <w:spacing w:before="120"/>
        <w:rPr>
          <w:rFonts w:eastAsia="Garamond" w:cs="Garamond"/>
          <w:szCs w:val="22"/>
        </w:rPr>
      </w:pPr>
      <w:r>
        <w:rPr>
          <w:rFonts w:eastAsia="Garamond" w:cs="Garamond"/>
          <w:szCs w:val="22"/>
        </w:rPr>
        <w:lastRenderedPageBreak/>
        <w:t xml:space="preserve">Glare is caused by light, usually environmental light, that enters the eye but does not actually aid in vision </w:t>
      </w:r>
      <w:r>
        <w:rPr>
          <w:rFonts w:eastAsia="Garamond" w:cs="Garamond"/>
          <w:szCs w:val="22"/>
        </w:rPr>
        <w:fldChar w:fldCharType="begin"/>
      </w:r>
      <w:r w:rsidR="001E0B07">
        <w:rPr>
          <w:rFonts w:eastAsia="Garamond" w:cs="Garamond"/>
          <w:szCs w:val="22"/>
        </w:rPr>
        <w:instrText xml:space="preserve"> ADDIN ZOTERO_ITEM CSL_CITATION {"citationID":"LVpLanUl","properties":{"formattedCitation":"(Mainster and Turner 2012)","plainCitation":"(Mainster and Turner 2012)","noteIndex":0},"citationItems":[{"id":22607,"uris":["http://zotero.org/groups/6289862/items/7U6WN7ND"],"itemData":{"id":22607,"type":"article-journal","container-title":"American Journal of Ophthalmology","DOI":"10.1016/j.ajo.2012.01.008","source":"sci-hub.se","title":"Glare's Causes, Consequences, and Clinical Challenges After a Century of Ophthalmic Study","URL":"https://sci-hub.se/https://www.sciencedirect.com/science/article/abs/pii/S0002939412000414","author":[{"family":"Mainster","given":"Martin A."},{"family":"Turner","given":"Patricia L."}],"accessed":{"date-parts":[["2026",1,8]]},"issued":{"date-parts":[["2012"]]}}}],"schema":"https://github.com/citation-style-language/schema/raw/master/csl-citation.json"} </w:instrText>
      </w:r>
      <w:r>
        <w:rPr>
          <w:rFonts w:eastAsia="Garamond" w:cs="Garamond"/>
          <w:szCs w:val="22"/>
        </w:rPr>
        <w:fldChar w:fldCharType="separate"/>
      </w:r>
      <w:r>
        <w:rPr>
          <w:rFonts w:eastAsia="Garamond" w:cs="Garamond"/>
          <w:noProof/>
          <w:szCs w:val="22"/>
        </w:rPr>
        <w:t>(Mainster and Turner 2012)</w:t>
      </w:r>
      <w:r>
        <w:rPr>
          <w:rFonts w:eastAsia="Garamond" w:cs="Garamond"/>
          <w:szCs w:val="22"/>
        </w:rPr>
        <w:fldChar w:fldCharType="end"/>
      </w:r>
      <w:r>
        <w:rPr>
          <w:rFonts w:eastAsia="Garamond" w:cs="Garamond"/>
          <w:szCs w:val="22"/>
        </w:rPr>
        <w:t xml:space="preserve">. </w:t>
      </w:r>
      <w:r w:rsidR="008D3E6F">
        <w:rPr>
          <w:rFonts w:eastAsia="Garamond" w:cs="Garamond"/>
          <w:szCs w:val="22"/>
        </w:rPr>
        <w:t xml:space="preserve">It </w:t>
      </w:r>
      <w:r>
        <w:rPr>
          <w:rFonts w:eastAsia="Garamond" w:cs="Garamond"/>
          <w:szCs w:val="22"/>
        </w:rPr>
        <w:t xml:space="preserve">occurs when there is a high level of luminance and it is within a particular angle to the observer, usually in an upward direction into the eye and some glares are sufficient to cause damage to the eye </w:t>
      </w:r>
      <w:r>
        <w:rPr>
          <w:rFonts w:eastAsia="Garamond" w:cs="Garamond"/>
          <w:szCs w:val="22"/>
        </w:rPr>
        <w:fldChar w:fldCharType="begin"/>
      </w:r>
      <w:r w:rsidR="001E0B07">
        <w:rPr>
          <w:rFonts w:eastAsia="Garamond" w:cs="Garamond"/>
          <w:szCs w:val="22"/>
        </w:rPr>
        <w:instrText xml:space="preserve"> ADDIN ZOTERO_ITEM CSL_CITATION {"citationID":"8Wy32Liu","properties":{"formattedCitation":"(Brotas and Wienold 2014)","plainCitation":"(Brotas and Wienold 2014)","noteIndex":0},"citationItems":[{"id":22606,"uris":["http://zotero.org/groups/6289862/items/GEJDYQA6"],"itemData":{"id":22606,"type":"paper-conference","container-title":"Proceedings of 8th Windsor Conference: Counting the Cost of Comfort in a changing world","event-title":"Windsor Conference","publisher":"Network for Comfort and Energy Use in Buildings","publisher-place":"Cumberland Lodge, Windsor, UK","title":"Solar reflected glare affecting visual performance","URL":"https://d1wqtxts1xzle7.cloudfront.net/79169686/W14154_Brotas-libre.pdf?1642693505=&amp;response-content-disposition=inline%3B+filename%3DSolar_reflected_glare_affecting_visual_p.pdf&amp;Expires=1767852478&amp;Signature=fhzlPiVeDxIScn1-pqcspoZZPb0ac40jlBn-WW3WzeKiTjoZ3yovTWGNqtUzdvjAPUp1yBz~QqKqRAK4Mbqq0yWeI7hMi4dq3iM12gOKUASugkHti-GpF-0d~-76alK9z7wvdEEZIWLuN2Nj4~dojsu2rRyE8G0YtMkID2fdZ-xWOkgxwZjPVwRUyAaADM-f-zwN7zx5zWlD0CGon8tTpm1BjoTFQm9Ze9RiGiZYTKj8Naz-ZSyFgplKER5i25Yd9AwfGTCD1iBJvWOyq9CBkDANRDW-0gSATaMaUcM9DdSXpuneuac-7yeUIEqSbGud3PI7cqj52BZKftW5~fefTA__&amp;Key-Pair-Id=APKAJLOHF5GGSLRBV4ZA","author":[{"family":"Brotas","given":"L"},{"family":"Wienold","given":"J"}],"accessed":{"date-parts":[["2026",1,8]]},"issued":{"date-parts":[["2014"]]}}}],"schema":"https://github.com/citation-style-language/schema/raw/master/csl-citation.json"} </w:instrText>
      </w:r>
      <w:r>
        <w:rPr>
          <w:rFonts w:eastAsia="Garamond" w:cs="Garamond"/>
          <w:szCs w:val="22"/>
        </w:rPr>
        <w:fldChar w:fldCharType="separate"/>
      </w:r>
      <w:r>
        <w:rPr>
          <w:rFonts w:eastAsia="Garamond" w:cs="Garamond"/>
          <w:noProof/>
          <w:szCs w:val="22"/>
        </w:rPr>
        <w:t>(Brotas and Wienold 2014)</w:t>
      </w:r>
      <w:r>
        <w:rPr>
          <w:rFonts w:eastAsia="Garamond" w:cs="Garamond"/>
          <w:szCs w:val="22"/>
        </w:rPr>
        <w:fldChar w:fldCharType="end"/>
      </w:r>
      <w:r>
        <w:rPr>
          <w:rFonts w:eastAsia="Garamond" w:cs="Garamond"/>
          <w:szCs w:val="22"/>
        </w:rPr>
        <w:t xml:space="preserve">. </w:t>
      </w:r>
      <w:r w:rsidR="00C44AF7">
        <w:rPr>
          <w:rFonts w:eastAsia="Garamond" w:cs="Garamond"/>
          <w:szCs w:val="22"/>
        </w:rPr>
        <w:t xml:space="preserve">Vailing glare is the term used when surface reflections can result in transient impaired vision </w:t>
      </w:r>
      <w:r w:rsidR="00C44AF7">
        <w:rPr>
          <w:rFonts w:eastAsia="Garamond" w:cs="Garamond"/>
          <w:szCs w:val="22"/>
        </w:rPr>
        <w:fldChar w:fldCharType="begin"/>
      </w:r>
      <w:r w:rsidR="001E0B07">
        <w:rPr>
          <w:rFonts w:eastAsia="Garamond" w:cs="Garamond"/>
          <w:szCs w:val="22"/>
        </w:rPr>
        <w:instrText xml:space="preserve"> ADDIN ZOTERO_ITEM CSL_CITATION {"citationID":"iE7FssNk","properties":{"formattedCitation":"(Brotas and Wienold 2014)","plainCitation":"(Brotas and Wienold 2014)","noteIndex":0},"citationItems":[{"id":22606,"uris":["http://zotero.org/groups/6289862/items/GEJDYQA6"],"itemData":{"id":22606,"type":"paper-conference","container-title":"Proceedings of 8th Windsor Conference: Counting the Cost of Comfort in a changing world","event-title":"Windsor Conference","publisher":"Network for Comfort and Energy Use in Buildings","publisher-place":"Cumberland Lodge, Windsor, UK","title":"Solar reflected glare affecting visual performance","URL":"https://d1wqtxts1xzle7.cloudfront.net/79169686/W14154_Brotas-libre.pdf?1642693505=&amp;response-content-disposition=inline%3B+filename%3DSolar_reflected_glare_affecting_visual_p.pdf&amp;Expires=1767852478&amp;Signature=fhzlPiVeDxIScn1-pqcspoZZPb0ac40jlBn-WW3WzeKiTjoZ3yovTWGNqtUzdvjAPUp1yBz~QqKqRAK4Mbqq0yWeI7hMi4dq3iM12gOKUASugkHti-GpF-0d~-76alK9z7wvdEEZIWLuN2Nj4~dojsu2rRyE8G0YtMkID2fdZ-xWOkgxwZjPVwRUyAaADM-f-zwN7zx5zWlD0CGon8tTpm1BjoTFQm9Ze9RiGiZYTKj8Naz-ZSyFgplKER5i25Yd9AwfGTCD1iBJvWOyq9CBkDANRDW-0gSATaMaUcM9DdSXpuneuac-7yeUIEqSbGud3PI7cqj52BZKftW5~fefTA__&amp;Key-Pair-Id=APKAJLOHF5GGSLRBV4ZA","author":[{"family":"Brotas","given":"L"},{"family":"Wienold","given":"J"}],"accessed":{"date-parts":[["2026",1,8]]},"issued":{"date-parts":[["2014"]]}}}],"schema":"https://github.com/citation-style-language/schema/raw/master/csl-citation.json"} </w:instrText>
      </w:r>
      <w:r w:rsidR="00C44AF7">
        <w:rPr>
          <w:rFonts w:eastAsia="Garamond" w:cs="Garamond"/>
          <w:szCs w:val="22"/>
        </w:rPr>
        <w:fldChar w:fldCharType="separate"/>
      </w:r>
      <w:r w:rsidR="00C44AF7">
        <w:rPr>
          <w:rFonts w:eastAsia="Garamond" w:cs="Garamond"/>
          <w:noProof/>
          <w:szCs w:val="22"/>
        </w:rPr>
        <w:t>(Brotas and Wienold 2014)</w:t>
      </w:r>
      <w:r w:rsidR="00C44AF7">
        <w:rPr>
          <w:rFonts w:eastAsia="Garamond" w:cs="Garamond"/>
          <w:szCs w:val="22"/>
        </w:rPr>
        <w:fldChar w:fldCharType="end"/>
      </w:r>
      <w:r w:rsidR="00C44AF7">
        <w:rPr>
          <w:rFonts w:eastAsia="Garamond" w:cs="Garamond"/>
          <w:szCs w:val="22"/>
        </w:rPr>
        <w:t xml:space="preserve">. </w:t>
      </w:r>
      <w:r>
        <w:rPr>
          <w:rFonts w:eastAsia="Garamond" w:cs="Garamond"/>
          <w:szCs w:val="22"/>
        </w:rPr>
        <w:t xml:space="preserve">However, </w:t>
      </w:r>
      <w:r w:rsidR="008D3E6F">
        <w:rPr>
          <w:rFonts w:eastAsia="Garamond" w:cs="Garamond"/>
          <w:szCs w:val="22"/>
        </w:rPr>
        <w:t xml:space="preserve">there is limited research on </w:t>
      </w:r>
      <w:r>
        <w:rPr>
          <w:rFonts w:eastAsia="Garamond" w:cs="Garamond"/>
          <w:szCs w:val="22"/>
        </w:rPr>
        <w:t>glare in outdoor settings. The pupil constricts or dilates as part of the pupillary light reflex in response to available light. In high light settings</w:t>
      </w:r>
      <w:r w:rsidR="008D3E6F">
        <w:rPr>
          <w:rFonts w:eastAsia="Garamond" w:cs="Garamond"/>
          <w:szCs w:val="22"/>
        </w:rPr>
        <w:t>,</w:t>
      </w:r>
      <w:r w:rsidR="00C44AF7">
        <w:rPr>
          <w:rFonts w:eastAsia="Garamond" w:cs="Garamond"/>
          <w:szCs w:val="22"/>
        </w:rPr>
        <w:t xml:space="preserve"> such as when glare is present</w:t>
      </w:r>
      <w:r>
        <w:rPr>
          <w:rFonts w:eastAsia="Garamond" w:cs="Garamond"/>
          <w:szCs w:val="22"/>
        </w:rPr>
        <w:t>, the pupil will constrict to limit the amount of light allowed in</w:t>
      </w:r>
      <w:r w:rsidR="008D3E6F">
        <w:rPr>
          <w:rFonts w:eastAsia="Garamond" w:cs="Garamond"/>
          <w:szCs w:val="22"/>
        </w:rPr>
        <w:t>.</w:t>
      </w:r>
      <w:r>
        <w:rPr>
          <w:rFonts w:eastAsia="Garamond" w:cs="Garamond"/>
          <w:szCs w:val="22"/>
        </w:rPr>
        <w:t xml:space="preserve"> </w:t>
      </w:r>
      <w:r w:rsidR="008D3E6F">
        <w:rPr>
          <w:rFonts w:eastAsia="Garamond" w:cs="Garamond"/>
          <w:szCs w:val="22"/>
        </w:rPr>
        <w:t>T</w:t>
      </w:r>
      <w:r>
        <w:rPr>
          <w:rFonts w:eastAsia="Garamond" w:cs="Garamond"/>
          <w:szCs w:val="22"/>
        </w:rPr>
        <w:t xml:space="preserve">his is an active process and in constant high light settings can result in ‘pupillary unrest’ </w:t>
      </w:r>
      <w:r>
        <w:rPr>
          <w:rFonts w:eastAsia="Garamond" w:cs="Garamond"/>
          <w:szCs w:val="22"/>
        </w:rPr>
        <w:fldChar w:fldCharType="begin"/>
      </w:r>
      <w:r w:rsidR="001E0B07">
        <w:rPr>
          <w:rFonts w:eastAsia="Garamond" w:cs="Garamond"/>
          <w:szCs w:val="22"/>
        </w:rPr>
        <w:instrText xml:space="preserve"> ADDIN ZOTERO_ITEM CSL_CITATION {"citationID":"VhRQFJYW","properties":{"formattedCitation":"(Hamedani et al. 2020)","plainCitation":"(Hamedani et al. 2020)","noteIndex":0},"citationItems":[{"id":22591,"uris":["http://zotero.org/groups/6289862/items/STJR55EL"],"itemData":{"id":22591,"type":"article-journal","container-title":"Building and Environment","DOI":"10.1016/j.buildenv.2019.106478","source":"sci-hub.se","title":"Lighting for work: A study of the relationships among discomfort glare, physiological responses and visual performance","title-short":"Lighting for work","URL":"https://sci-hub.se/https://www.sciencedirect.com/science/article/abs/pii/S0360132319306900","author":[{"family":"Hamedani","given":"Zahra"},{"family":"Solgi","given":"Ebrahim"},{"family":"Hine","given":"Trevor"},{"family":"Skates","given":"Henry"},{"family":"Et.","given":"Al"}],"accessed":{"date-parts":[["2026",1,8]]},"issued":{"date-parts":[["2020"]]}}}],"schema":"https://github.com/citation-style-language/schema/raw/master/csl-citation.json"} </w:instrText>
      </w:r>
      <w:r>
        <w:rPr>
          <w:rFonts w:eastAsia="Garamond" w:cs="Garamond"/>
          <w:szCs w:val="22"/>
        </w:rPr>
        <w:fldChar w:fldCharType="separate"/>
      </w:r>
      <w:r>
        <w:rPr>
          <w:rFonts w:eastAsia="Garamond" w:cs="Garamond"/>
          <w:noProof/>
          <w:szCs w:val="22"/>
        </w:rPr>
        <w:t>(Hamedani et al. 2020)</w:t>
      </w:r>
      <w:r>
        <w:rPr>
          <w:rFonts w:eastAsia="Garamond" w:cs="Garamond"/>
          <w:szCs w:val="22"/>
        </w:rPr>
        <w:fldChar w:fldCharType="end"/>
      </w:r>
      <w:r>
        <w:rPr>
          <w:rFonts w:eastAsia="Garamond" w:cs="Garamond"/>
          <w:szCs w:val="22"/>
        </w:rPr>
        <w:t xml:space="preserve">. </w:t>
      </w:r>
      <w:r w:rsidR="008D3E6F">
        <w:rPr>
          <w:rFonts w:eastAsia="Garamond" w:cs="Garamond"/>
          <w:szCs w:val="22"/>
        </w:rPr>
        <w:t xml:space="preserve">An </w:t>
      </w:r>
      <w:r>
        <w:rPr>
          <w:rFonts w:eastAsia="Garamond" w:cs="Garamond"/>
          <w:szCs w:val="22"/>
        </w:rPr>
        <w:t xml:space="preserve">increase in pupillary activity has been correlated to visual fatigue </w:t>
      </w:r>
      <w:r>
        <w:rPr>
          <w:rFonts w:eastAsia="Garamond" w:cs="Garamond"/>
          <w:szCs w:val="22"/>
        </w:rPr>
        <w:fldChar w:fldCharType="begin"/>
      </w:r>
      <w:r w:rsidR="001E0B07">
        <w:rPr>
          <w:rFonts w:eastAsia="Garamond" w:cs="Garamond"/>
          <w:szCs w:val="22"/>
        </w:rPr>
        <w:instrText xml:space="preserve"> ADDIN ZOTERO_ITEM CSL_CITATION {"citationID":"iOV4gY85","properties":{"formattedCitation":"(Lin et al. 2015)","plainCitation":"(Lin et al. 2015)","noteIndex":0},"citationItems":[{"id":22609,"uris":["http://zotero.org/groups/6289862/items/VC9F3R26"],"itemData":{"id":22609,"type":"article-journal","abstract":"Involuntary physiological responses offer an alternative means to psychophysical procedures for objectively evaluating discomfort glare. This study examined eye movement and pupil size responses to glare discomfort using new approaches to analysis: relative pupil size and speed of eye movement.    Participants evaluated glare discomfort using the standard de Boer rating scale under various conditions manipulated to influence glare discomfort. Eye movement was recorded using an electro-oculogram (EOG), and pupil size was recorded using Tobii glasses. Ten young (mean age: 24.5 years old) and 10 senior (mean age: 61 years old) participants were recruited for this experiment.    Subjective evaluation of glare discomfort was highly correlated with eye movement (multiple correlation coefficient [R2] of &amp;gt;0.94, P &amp;lt; 0.001) and pupil constriction (R2 = 0.38, P &amp;lt; 0.001). Severe glare discomfort increased the speed of eye movement and caused larger pupil constriction. Larger variations of eye movement were found among seniors.    The two physiological responses studied here to characterize discomfort glare under various lighting conditions had significant correlation with the subjective evaluation. The correlation between discomfort glare and physiological responses suggests an objective way to characterize and evaluate discomfort glare that may overcome the problems of conventional subjective evaluation. It also offers an explanation as to why long-term exposure to discomfort glare leads to visual fatigue and eyestrain.","container-title":"Investigative Ophthalmology &amp; Visual Science","DOI":"10.1167/iovs.14-15963","ISSN":"1552-5783","issue":"3","journalAbbreviation":"Invest. Ophthalmol. Vis. Sci.","page":"1649-1656","source":"Silverchair","title":"Eye Movement and Pupil Size Constriction Under Discomfort Glare","volume":"56","author":[{"family":"Lin","given":"Yandan"},{"family":"Fotios","given":"Steve"},{"family":"Wei","given":"Minchen"},{"family":"Liu","given":"Yihong"},{"family":"Guo","given":"Weihong"},{"family":"Sun","given":"Yaojie"}],"issued":{"date-parts":[["2015",3,5]]}}}],"schema":"https://github.com/citation-style-language/schema/raw/master/csl-citation.json"} </w:instrText>
      </w:r>
      <w:r>
        <w:rPr>
          <w:rFonts w:eastAsia="Garamond" w:cs="Garamond"/>
          <w:szCs w:val="22"/>
        </w:rPr>
        <w:fldChar w:fldCharType="separate"/>
      </w:r>
      <w:r>
        <w:rPr>
          <w:rFonts w:eastAsia="Garamond" w:cs="Garamond"/>
          <w:noProof/>
          <w:szCs w:val="22"/>
        </w:rPr>
        <w:t>(Lin et al. 2015)</w:t>
      </w:r>
      <w:r>
        <w:rPr>
          <w:rFonts w:eastAsia="Garamond" w:cs="Garamond"/>
          <w:szCs w:val="22"/>
        </w:rPr>
        <w:fldChar w:fldCharType="end"/>
      </w:r>
      <w:r w:rsidR="008D3E6F">
        <w:rPr>
          <w:rFonts w:eastAsia="Garamond" w:cs="Garamond"/>
          <w:szCs w:val="22"/>
        </w:rPr>
        <w:t xml:space="preserve">. As a result, </w:t>
      </w:r>
      <w:r w:rsidR="00874403">
        <w:rPr>
          <w:rFonts w:eastAsia="Garamond" w:cs="Garamond"/>
          <w:szCs w:val="22"/>
        </w:rPr>
        <w:t>glare</w:t>
      </w:r>
      <w:r w:rsidR="008D3E6F">
        <w:rPr>
          <w:rFonts w:eastAsia="Garamond" w:cs="Garamond"/>
          <w:szCs w:val="22"/>
        </w:rPr>
        <w:t xml:space="preserve"> </w:t>
      </w:r>
      <w:r w:rsidR="00874403">
        <w:rPr>
          <w:rFonts w:eastAsia="Garamond" w:cs="Garamond"/>
          <w:szCs w:val="22"/>
        </w:rPr>
        <w:t xml:space="preserve">also </w:t>
      </w:r>
      <w:r w:rsidR="008D3E6F">
        <w:rPr>
          <w:rFonts w:eastAsia="Garamond" w:cs="Garamond"/>
          <w:szCs w:val="22"/>
        </w:rPr>
        <w:t>needs consideration</w:t>
      </w:r>
      <w:r>
        <w:rPr>
          <w:rFonts w:eastAsia="Garamond" w:cs="Garamond"/>
          <w:szCs w:val="22"/>
        </w:rPr>
        <w:t xml:space="preserve"> when determining appropriate timing and light sources for vessel inspections. </w:t>
      </w:r>
    </w:p>
    <w:p w14:paraId="520E6B5A" w14:textId="4DC00A66" w:rsidR="003E15C2" w:rsidRDefault="003E15C2">
      <w:pPr>
        <w:tabs>
          <w:tab w:val="right" w:pos="9000"/>
        </w:tabs>
        <w:spacing w:before="120"/>
        <w:rPr>
          <w:rFonts w:eastAsia="Garamond" w:cs="Garamond"/>
          <w:szCs w:val="22"/>
        </w:rPr>
      </w:pPr>
      <w:r>
        <w:rPr>
          <w:rFonts w:eastAsia="Garamond" w:cs="Garamond"/>
          <w:szCs w:val="22"/>
        </w:rPr>
        <w:t xml:space="preserve">Daylight hours provide high-intensity and diffuse lighting, </w:t>
      </w:r>
      <w:r w:rsidR="008D3E6F">
        <w:rPr>
          <w:rFonts w:eastAsia="Garamond" w:cs="Garamond"/>
          <w:szCs w:val="22"/>
        </w:rPr>
        <w:t xml:space="preserve">which </w:t>
      </w:r>
      <w:r>
        <w:rPr>
          <w:rFonts w:eastAsia="Garamond" w:cs="Garamond"/>
          <w:szCs w:val="22"/>
        </w:rPr>
        <w:t xml:space="preserve">supports inspection across areas such as upper decks. However, the amount of glare due to natural light and reflective surfaces may negatively impact an inspector’s ability to adequately conduct observations in these </w:t>
      </w:r>
      <w:r w:rsidR="008D3E6F">
        <w:rPr>
          <w:rFonts w:eastAsia="Garamond" w:cs="Garamond"/>
          <w:szCs w:val="22"/>
        </w:rPr>
        <w:t>locations</w:t>
      </w:r>
      <w:r>
        <w:rPr>
          <w:rFonts w:eastAsia="Garamond" w:cs="Garamond"/>
          <w:szCs w:val="22"/>
        </w:rPr>
        <w:t>. In lower decks, only artificial lighting is available. Artificial lighting can provide light of variable intensity and has a narrow and specific directional focus</w:t>
      </w:r>
      <w:r w:rsidR="008D3E6F">
        <w:rPr>
          <w:rFonts w:eastAsia="Garamond" w:cs="Garamond"/>
          <w:szCs w:val="22"/>
        </w:rPr>
        <w:t xml:space="preserve">. This can lead </w:t>
      </w:r>
      <w:r>
        <w:rPr>
          <w:rFonts w:eastAsia="Garamond" w:cs="Garamond"/>
          <w:szCs w:val="22"/>
        </w:rPr>
        <w:t>to more shadows and lower contrast of objects. Rod cells are predominantly active in low light settings</w:t>
      </w:r>
      <w:r w:rsidR="008D3E6F">
        <w:rPr>
          <w:rFonts w:eastAsia="Garamond" w:cs="Garamond"/>
          <w:szCs w:val="22"/>
        </w:rPr>
        <w:t>,</w:t>
      </w:r>
      <w:r>
        <w:rPr>
          <w:rFonts w:eastAsia="Garamond" w:cs="Garamond"/>
          <w:szCs w:val="22"/>
        </w:rPr>
        <w:t xml:space="preserve"> which can impact an individual’s ability to accurately perceive colours and detect contrasts </w:t>
      </w:r>
      <w:r>
        <w:rPr>
          <w:rFonts w:eastAsia="Garamond" w:cs="Garamond"/>
          <w:szCs w:val="22"/>
        </w:rPr>
        <w:fldChar w:fldCharType="begin"/>
      </w:r>
      <w:r w:rsidR="001E0B07">
        <w:rPr>
          <w:rFonts w:eastAsia="Garamond" w:cs="Garamond"/>
          <w:szCs w:val="22"/>
        </w:rPr>
        <w:instrText xml:space="preserve"> ADDIN ZOTERO_ITEM CSL_CITATION {"citationID":"Zg3rw024","properties":{"formattedCitation":"(Wang et al. 2025)","plainCitation":"(Wang et al. 2025)","noteIndex":0},"citationItems":[{"id":22608,"uris":["http://zotero.org/groups/6289862/items/8VA3YKAT"],"itemData":{"id":22608,"type":"article-journal","abstract":"Color contrast creates visual interest, increases attention, and enhances legibility in the indoor environment. Past studies have suggested that color...","container-title":"Buildings","DOI":"10.3390/buildings15071157","ISSN":"2075-5309","issue":"7","language":"en","license":"http://creativecommons.org/licenses/by/3.0/","note":"Company: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Institute","publisher":"publisher","source":"www.mdpi.com","title":"The Effect of Color Contrast on the Visual Clarity of Images of Complex Indoor Environments","URL":"https://www.mdpi.com/2075-5309/15/7/1157","volume":"15","author":[{"family":"Wang","given":"Yuwei"},{"family":"Durmus","given":"Dorukalp"},{"family":"Wang","given":"Yuwei"},{"family":"Durmus","given":"Dorukalp"}],"accessed":{"date-parts":[["2026",1,9]]},"issued":{"date-parts":[["2025",4,2]]}}}],"schema":"https://github.com/citation-style-language/schema/raw/master/csl-citation.json"} </w:instrText>
      </w:r>
      <w:r>
        <w:rPr>
          <w:rFonts w:eastAsia="Garamond" w:cs="Garamond"/>
          <w:szCs w:val="22"/>
        </w:rPr>
        <w:fldChar w:fldCharType="separate"/>
      </w:r>
      <w:r>
        <w:rPr>
          <w:rFonts w:eastAsia="Garamond" w:cs="Garamond"/>
          <w:noProof/>
          <w:szCs w:val="22"/>
        </w:rPr>
        <w:t>(Wang et al. 2025)</w:t>
      </w:r>
      <w:r>
        <w:rPr>
          <w:rFonts w:eastAsia="Garamond" w:cs="Garamond"/>
          <w:szCs w:val="22"/>
        </w:rPr>
        <w:fldChar w:fldCharType="end"/>
      </w:r>
      <w:r>
        <w:rPr>
          <w:rFonts w:eastAsia="Garamond" w:cs="Garamond"/>
          <w:szCs w:val="22"/>
        </w:rPr>
        <w:t xml:space="preserve">. As it can take up to 30 minutes for eyes to fully adjust to low light settings when transitioning from full exposure, it is important that inspectors take this into account when they </w:t>
      </w:r>
      <w:r w:rsidR="008D3E6F">
        <w:rPr>
          <w:rFonts w:eastAsia="Garamond" w:cs="Garamond"/>
          <w:szCs w:val="22"/>
        </w:rPr>
        <w:t>plan</w:t>
      </w:r>
      <w:r>
        <w:rPr>
          <w:rFonts w:eastAsia="Garamond" w:cs="Garamond"/>
          <w:szCs w:val="22"/>
        </w:rPr>
        <w:t xml:space="preserve"> their inspection </w:t>
      </w:r>
      <w:r w:rsidR="008D3E6F">
        <w:rPr>
          <w:rFonts w:eastAsia="Garamond" w:cs="Garamond"/>
          <w:szCs w:val="22"/>
        </w:rPr>
        <w:t>route</w:t>
      </w:r>
      <w:r>
        <w:rPr>
          <w:rFonts w:eastAsia="Garamond" w:cs="Garamond"/>
          <w:szCs w:val="22"/>
        </w:rPr>
        <w:t xml:space="preserve">, or ensure that they wear appropriately shaded lenses when they are working outdoors to reduce the adaption time when moving between </w:t>
      </w:r>
      <w:r w:rsidR="008D3E6F">
        <w:rPr>
          <w:rFonts w:eastAsia="Garamond" w:cs="Garamond"/>
          <w:szCs w:val="22"/>
        </w:rPr>
        <w:t xml:space="preserve">different </w:t>
      </w:r>
      <w:r>
        <w:rPr>
          <w:rFonts w:eastAsia="Garamond" w:cs="Garamond"/>
          <w:szCs w:val="22"/>
        </w:rPr>
        <w:t xml:space="preserve">areas. </w:t>
      </w:r>
    </w:p>
    <w:p w14:paraId="1FA453BE" w14:textId="194FC82D" w:rsidR="00603A2A" w:rsidRDefault="00603A2A" w:rsidP="00603A2A">
      <w:pPr>
        <w:pStyle w:val="Heading3"/>
        <w:rPr>
          <w:rFonts w:eastAsia="Garamond"/>
        </w:rPr>
      </w:pPr>
      <w:bookmarkStart w:id="42" w:name="_Toc226796950"/>
      <w:r>
        <w:rPr>
          <w:rFonts w:eastAsia="Garamond"/>
        </w:rPr>
        <w:t>Cognition and executive function</w:t>
      </w:r>
      <w:bookmarkEnd w:id="42"/>
    </w:p>
    <w:p w14:paraId="6A63FF8E" w14:textId="432242CF" w:rsidR="00603A2A" w:rsidRDefault="00603A2A">
      <w:pPr>
        <w:tabs>
          <w:tab w:val="right" w:pos="9000"/>
        </w:tabs>
        <w:spacing w:before="120"/>
        <w:rPr>
          <w:rFonts w:eastAsia="Garamond" w:cs="Garamond"/>
          <w:szCs w:val="22"/>
        </w:rPr>
      </w:pPr>
      <w:r>
        <w:rPr>
          <w:rFonts w:eastAsia="Garamond" w:cs="Garamond"/>
          <w:szCs w:val="22"/>
        </w:rPr>
        <w:t xml:space="preserve">Presuming light levels are adequate, the “objects” that have been identified </w:t>
      </w:r>
      <w:r w:rsidR="00BD7181">
        <w:rPr>
          <w:rFonts w:eastAsia="Garamond" w:cs="Garamond"/>
          <w:szCs w:val="22"/>
        </w:rPr>
        <w:t>are</w:t>
      </w:r>
      <w:r>
        <w:rPr>
          <w:rFonts w:eastAsia="Garamond" w:cs="Garamond"/>
          <w:szCs w:val="22"/>
        </w:rPr>
        <w:t xml:space="preserve"> compared with known objects, </w:t>
      </w:r>
      <w:r w:rsidR="002A32FD">
        <w:rPr>
          <w:rFonts w:eastAsia="Garamond" w:cs="Garamond"/>
          <w:szCs w:val="22"/>
        </w:rPr>
        <w:t>a decision on a course of action will require input from the pre-frontal cortex. With training</w:t>
      </w:r>
      <w:r w:rsidR="00882ACB">
        <w:rPr>
          <w:rFonts w:eastAsia="Garamond" w:cs="Garamond"/>
          <w:szCs w:val="22"/>
        </w:rPr>
        <w:t xml:space="preserve"> and experience a degree of automaticity develops, but decision making is still required. As with all tests, a sensitivity threshold exists between a true positive result (or signal) and a negative result (noise). Substantial research (reviewed by Klein &amp; Feltmate, 2025) shows that this threshold is affected by factors including time on task, repetitiveness, general fatigue and alertness</w:t>
      </w:r>
      <w:r w:rsidR="006527EF">
        <w:rPr>
          <w:rFonts w:eastAsia="Garamond" w:cs="Garamond"/>
          <w:szCs w:val="22"/>
        </w:rPr>
        <w:t>.</w:t>
      </w:r>
      <w:r w:rsidR="00DD192A" w:rsidRPr="00BD7181">
        <w:rPr>
          <w:rFonts w:eastAsia="Garamond" w:cs="Garamond"/>
          <w:color w:val="FFFFFF" w:themeColor="background1"/>
          <w:sz w:val="2"/>
          <w:szCs w:val="2"/>
        </w:rPr>
        <w:t xml:space="preserve"> </w:t>
      </w:r>
      <w:r w:rsidR="00BD7181" w:rsidRPr="00BD7181">
        <w:rPr>
          <w:rFonts w:eastAsia="Garamond" w:cs="Garamond"/>
          <w:color w:val="FFFFFF" w:themeColor="background1"/>
          <w:sz w:val="2"/>
          <w:szCs w:val="2"/>
        </w:rPr>
        <w:fldChar w:fldCharType="begin"/>
      </w:r>
      <w:r w:rsidR="00BD7181" w:rsidRPr="00BD7181">
        <w:rPr>
          <w:rFonts w:eastAsia="Garamond" w:cs="Garamond"/>
          <w:color w:val="FFFFFF" w:themeColor="background1"/>
          <w:sz w:val="2"/>
          <w:szCs w:val="2"/>
        </w:rPr>
        <w:instrText xml:space="preserve"> ADDIN ZOTERO_ITEM CSL_CITATION {"citationID":"wNTkMoOE","properties":{"formattedCitation":"(Klein and Feltmate 2025)","plainCitation":"(Klein and Feltmate 2025)","noteIndex":0},"citationItems":[{"id":24550,"uris":["http://zotero.org/groups/6289862/items/LVB3Q2H7"],"itemData":{"id":24550,"type":"article-journal","abstract":"The first major laboratory studies of vigilance by Mackworth in 1948 and later revealed a decline in the probability of detecting brief targets as the time on task increases. Whether referred to as a vigilance decrement or something else (e.g., a failure of sustained attention), because such failures have great applied significance (e.g., in road safety, radiology, air-traffic control, civil defense, etc.), understanding the vigilance decrement and discovering ways to avoid it are important goals for psychological science. The purpose of this historical review is to provide a picture of the extensive scientific literature exploring the nature(s) of the vigilance decrement, with an emphasis, but not exclusionary focus, on the signal detection theory framework. Beginning in the early 1960s, researchers started to interpret this decline in target detections using signal detection theory, wherein a decrease in detections can be attributed to a decrease in sensitivity of the observer to the difference between targets and non-targets, a conservative shift in the observer's response criterion, or, of course, both. Some early investigators suggested that which of these two causes of the decline in detections is operating may depend on the rate at which events (targets and non-targets combined) are presented: When the event rate is slow, criterion shifts dominate detection failures, whereas declines in sensitivity become more pronounced as event rates increase. Nevertheless, the contribution of sensitivity declines has been recently challenged. One source of the challenge is the relatively low false-alarm rate in so many studies on the vigilance decrement. Another is the possibility that for a variety of reasons, the observer in a relatively long vigil may stop attending to the source of the task-relevant signals. Some recommendations are offered based on our reading of the ~75 years of vigilance research.","container-title":"Frontiers in Cognition","DOI":"10.3389/fcogn.2025.1632885","ISSN":"2813-4532","journalAbbreviation":"Front. Cognit.","language":"English","publisher":"Frontiers","source":"Frontiers","title":"The vigilance decrement: its first 75 years","title-short":"The vigilance decrement","URL":"https://www.frontiersin.org/journals/cognition/articles/10.3389/fcogn.2025.1632885/full","volume":"4","author":[{"family":"Klein","given":"Raymond M."},{"family":"Feltmate","given":"Brett B. T."}],"accessed":{"date-parts":[["2026",4,11]]},"issued":{"date-parts":[["2025",11,24]]}}}],"schema":"https://github.com/citation-style-language/schema/raw/master/csl-citation.json"} </w:instrText>
      </w:r>
      <w:r w:rsidR="00BD7181" w:rsidRPr="00BD7181">
        <w:rPr>
          <w:rFonts w:eastAsia="Garamond" w:cs="Garamond"/>
          <w:color w:val="FFFFFF" w:themeColor="background1"/>
          <w:sz w:val="2"/>
          <w:szCs w:val="2"/>
        </w:rPr>
        <w:fldChar w:fldCharType="separate"/>
      </w:r>
      <w:r w:rsidR="00BD7181" w:rsidRPr="00BD7181">
        <w:rPr>
          <w:rFonts w:eastAsia="Garamond" w:cs="Garamond"/>
          <w:noProof/>
          <w:color w:val="FFFFFF" w:themeColor="background1"/>
          <w:sz w:val="2"/>
          <w:szCs w:val="2"/>
        </w:rPr>
        <w:t>(Klein and Feltmate 2025)</w:t>
      </w:r>
      <w:r w:rsidR="00BD7181" w:rsidRPr="00BD7181">
        <w:rPr>
          <w:rFonts w:eastAsia="Garamond" w:cs="Garamond"/>
          <w:color w:val="FFFFFF" w:themeColor="background1"/>
          <w:sz w:val="2"/>
          <w:szCs w:val="2"/>
        </w:rPr>
        <w:fldChar w:fldCharType="end"/>
      </w:r>
    </w:p>
    <w:p w14:paraId="729594E2" w14:textId="740C249A" w:rsidR="006527EF" w:rsidRDefault="006527EF" w:rsidP="006527EF">
      <w:pPr>
        <w:tabs>
          <w:tab w:val="right" w:pos="9000"/>
        </w:tabs>
        <w:spacing w:before="120"/>
        <w:rPr>
          <w:rFonts w:eastAsia="Garamond" w:cs="Garamond"/>
          <w:szCs w:val="22"/>
        </w:rPr>
      </w:pPr>
      <w:r w:rsidRPr="006527EF">
        <w:rPr>
          <w:rFonts w:eastAsia="Garamond" w:cs="Garamond"/>
          <w:szCs w:val="22"/>
        </w:rPr>
        <w:t xml:space="preserve">Research firmly establishes that performing complex visual tasks after midnight conflicts directly with </w:t>
      </w:r>
      <w:r>
        <w:rPr>
          <w:rFonts w:eastAsia="Garamond" w:cs="Garamond"/>
          <w:szCs w:val="22"/>
        </w:rPr>
        <w:t>inspection</w:t>
      </w:r>
      <w:r w:rsidRPr="006527EF">
        <w:rPr>
          <w:rFonts w:eastAsia="Garamond" w:cs="Garamond"/>
          <w:szCs w:val="22"/>
        </w:rPr>
        <w:t xml:space="preserve"> </w:t>
      </w:r>
      <w:r>
        <w:rPr>
          <w:rFonts w:eastAsia="Garamond" w:cs="Garamond"/>
          <w:szCs w:val="22"/>
        </w:rPr>
        <w:t>performance</w:t>
      </w:r>
      <w:r w:rsidRPr="006527EF">
        <w:rPr>
          <w:rFonts w:eastAsia="Garamond" w:cs="Garamond"/>
          <w:szCs w:val="22"/>
        </w:rPr>
        <w:t xml:space="preserve">, primarily due to a severe drop in sustained attention known as the </w:t>
      </w:r>
      <w:r>
        <w:rPr>
          <w:rFonts w:eastAsia="Garamond" w:cs="Garamond"/>
          <w:szCs w:val="22"/>
        </w:rPr>
        <w:t>“</w:t>
      </w:r>
      <w:r w:rsidRPr="006527EF">
        <w:rPr>
          <w:rFonts w:eastAsia="Garamond" w:cs="Garamond"/>
          <w:szCs w:val="22"/>
        </w:rPr>
        <w:t>vigilance decrement</w:t>
      </w:r>
      <w:r>
        <w:rPr>
          <w:rFonts w:eastAsia="Garamond" w:cs="Garamond"/>
          <w:szCs w:val="22"/>
        </w:rPr>
        <w:t>”</w:t>
      </w:r>
      <w:r w:rsidRPr="006527EF">
        <w:rPr>
          <w:rFonts w:eastAsia="Garamond" w:cs="Garamond"/>
          <w:szCs w:val="22"/>
        </w:rPr>
        <w:t>. Foundational studies, such as the Mackworth Clock Test, alongside modern reviews by chronobiologists like Valdez</w:t>
      </w:r>
      <w:r>
        <w:rPr>
          <w:rFonts w:eastAsia="Garamond" w:cs="Garamond"/>
          <w:szCs w:val="22"/>
        </w:rPr>
        <w:t xml:space="preserve"> (2019)</w:t>
      </w:r>
      <w:r w:rsidRPr="006527EF">
        <w:rPr>
          <w:rFonts w:eastAsia="Garamond" w:cs="Garamond"/>
          <w:szCs w:val="22"/>
        </w:rPr>
        <w:t xml:space="preserve">, demonstrate that </w:t>
      </w:r>
      <w:r>
        <w:rPr>
          <w:rFonts w:eastAsia="Garamond" w:cs="Garamond"/>
          <w:szCs w:val="22"/>
        </w:rPr>
        <w:t>the</w:t>
      </w:r>
      <w:r w:rsidRPr="006527EF">
        <w:rPr>
          <w:rFonts w:eastAsia="Garamond" w:cs="Garamond"/>
          <w:szCs w:val="22"/>
        </w:rPr>
        <w:t xml:space="preserve"> ability to maintain high-level focus degrades over time. This cognitive decline peaks during the biological </w:t>
      </w:r>
      <w:r>
        <w:rPr>
          <w:rFonts w:eastAsia="Garamond" w:cs="Garamond"/>
          <w:szCs w:val="22"/>
        </w:rPr>
        <w:t>“</w:t>
      </w:r>
      <w:r w:rsidRPr="006527EF">
        <w:rPr>
          <w:rFonts w:eastAsia="Garamond" w:cs="Garamond"/>
          <w:szCs w:val="22"/>
        </w:rPr>
        <w:t>circadian trough</w:t>
      </w:r>
      <w:r>
        <w:rPr>
          <w:rFonts w:eastAsia="Garamond" w:cs="Garamond"/>
          <w:szCs w:val="22"/>
        </w:rPr>
        <w:t>”</w:t>
      </w:r>
      <w:r w:rsidRPr="006527EF">
        <w:rPr>
          <w:rFonts w:eastAsia="Garamond" w:cs="Garamond"/>
          <w:szCs w:val="22"/>
        </w:rPr>
        <w:t xml:space="preserve"> between 2:00 AM and 5:00 AM—a window where rising melatonin and dropping body temperatures actively force the brain to shut down, making it incredibly difficult for an inspector to maintain the prolonged alertness needed to spot rare biosecurity hazards.</w:t>
      </w:r>
      <w:r>
        <w:rPr>
          <w:rFonts w:eastAsia="Garamond" w:cs="Garamond"/>
          <w:szCs w:val="22"/>
        </w:rPr>
        <w:t xml:space="preserve"> </w:t>
      </w:r>
      <w:r w:rsidR="000B1C14">
        <w:rPr>
          <w:rFonts w:eastAsia="Garamond" w:cs="Garamond"/>
          <w:szCs w:val="22"/>
        </w:rPr>
        <w:fldChar w:fldCharType="begin"/>
      </w:r>
      <w:r w:rsidR="000B1C14">
        <w:rPr>
          <w:rFonts w:eastAsia="Garamond" w:cs="Garamond"/>
          <w:szCs w:val="22"/>
        </w:rPr>
        <w:instrText xml:space="preserve"> REF _Ref226729468 \h </w:instrText>
      </w:r>
      <w:r w:rsidR="000B1C14">
        <w:rPr>
          <w:rFonts w:eastAsia="Garamond" w:cs="Garamond"/>
          <w:szCs w:val="22"/>
        </w:rPr>
      </w:r>
      <w:r w:rsidR="000B1C14">
        <w:rPr>
          <w:rFonts w:eastAsia="Garamond" w:cs="Garamond"/>
          <w:szCs w:val="22"/>
        </w:rPr>
        <w:fldChar w:fldCharType="separate"/>
      </w:r>
      <w:r w:rsidR="00651A0D">
        <w:t xml:space="preserve">Figure </w:t>
      </w:r>
      <w:r w:rsidR="00651A0D">
        <w:rPr>
          <w:noProof/>
        </w:rPr>
        <w:t>2</w:t>
      </w:r>
      <w:r w:rsidR="000B1C14">
        <w:rPr>
          <w:rFonts w:eastAsia="Garamond" w:cs="Garamond"/>
          <w:szCs w:val="22"/>
        </w:rPr>
        <w:fldChar w:fldCharType="end"/>
      </w:r>
      <w:r w:rsidR="00AF6C86">
        <w:rPr>
          <w:rFonts w:eastAsia="Garamond" w:cs="Garamond"/>
          <w:szCs w:val="22"/>
        </w:rPr>
        <w:t xml:space="preserve"> shows the change in false negative detections (missed BRM) as the signal and noise curve overlap increases during this window.</w:t>
      </w:r>
    </w:p>
    <w:p w14:paraId="43D4ABC1" w14:textId="4C28D080" w:rsidR="000B1C14" w:rsidRPr="006527EF" w:rsidRDefault="000B1C14" w:rsidP="000B1C14">
      <w:pPr>
        <w:tabs>
          <w:tab w:val="right" w:pos="9000"/>
        </w:tabs>
        <w:spacing w:before="120"/>
        <w:rPr>
          <w:rFonts w:eastAsia="Garamond" w:cs="Garamond"/>
          <w:szCs w:val="22"/>
        </w:rPr>
      </w:pPr>
      <w:r w:rsidRPr="006527EF">
        <w:rPr>
          <w:rFonts w:eastAsia="Garamond" w:cs="Garamond"/>
          <w:szCs w:val="22"/>
        </w:rPr>
        <w:t>Compounding this loss of vigilance is the deterioration of oculomotor function and visual processing. Sleep medicine researchers, including Fransson</w:t>
      </w:r>
      <w:r>
        <w:rPr>
          <w:rFonts w:eastAsia="Garamond" w:cs="Garamond"/>
          <w:szCs w:val="22"/>
        </w:rPr>
        <w:t xml:space="preserve"> et al</w:t>
      </w:r>
      <w:r w:rsidR="007D0149">
        <w:rPr>
          <w:rFonts w:eastAsia="Garamond" w:cs="Garamond"/>
          <w:szCs w:val="22"/>
        </w:rPr>
        <w:t>.</w:t>
      </w:r>
      <w:r>
        <w:rPr>
          <w:rFonts w:eastAsia="Garamond" w:cs="Garamond"/>
          <w:szCs w:val="22"/>
        </w:rPr>
        <w:t xml:space="preserve"> (2008)</w:t>
      </w:r>
      <w:r w:rsidR="00626EE2">
        <w:rPr>
          <w:rFonts w:eastAsia="Garamond" w:cs="Garamond"/>
          <w:szCs w:val="22"/>
        </w:rPr>
        <w:t>, Flynn-Evans et al. (2026) and Stone et al. (2019)</w:t>
      </w:r>
      <w:r w:rsidRPr="006527EF">
        <w:rPr>
          <w:rFonts w:eastAsia="Garamond" w:cs="Garamond"/>
          <w:szCs w:val="22"/>
        </w:rPr>
        <w:t>, have documented that as sleep deprivation sets in, the rapid eye movements (saccades) required to effectively scan an environment</w:t>
      </w:r>
      <w:r w:rsidR="00390A6D">
        <w:rPr>
          <w:rFonts w:eastAsia="Garamond" w:cs="Garamond"/>
          <w:szCs w:val="22"/>
        </w:rPr>
        <w:t xml:space="preserve"> are impaired and can</w:t>
      </w:r>
      <w:r w:rsidRPr="006527EF">
        <w:rPr>
          <w:rFonts w:eastAsia="Garamond" w:cs="Garamond"/>
          <w:szCs w:val="22"/>
        </w:rPr>
        <w:t xml:space="preserve"> significantly slow down and become erratic. The eyes physically struggle to track movement, maintain fixations, or process visual contrast efficiently, meaning a fatigued inspector cannot reliably scan a vessel</w:t>
      </w:r>
      <w:r>
        <w:rPr>
          <w:rFonts w:eastAsia="Garamond" w:cs="Garamond"/>
          <w:szCs w:val="22"/>
        </w:rPr>
        <w:t>’s</w:t>
      </w:r>
      <w:r w:rsidRPr="006527EF">
        <w:rPr>
          <w:rFonts w:eastAsia="Garamond" w:cs="Garamond"/>
          <w:szCs w:val="22"/>
        </w:rPr>
        <w:t xml:space="preserve"> hull or quickly distinguish a camouflaged pest from its background, even when using a </w:t>
      </w:r>
      <w:r>
        <w:rPr>
          <w:rFonts w:eastAsia="Garamond" w:cs="Garamond"/>
          <w:szCs w:val="22"/>
        </w:rPr>
        <w:t>performant</w:t>
      </w:r>
      <w:r w:rsidRPr="006527EF">
        <w:rPr>
          <w:rFonts w:eastAsia="Garamond" w:cs="Garamond"/>
          <w:szCs w:val="22"/>
        </w:rPr>
        <w:t xml:space="preserve"> </w:t>
      </w:r>
      <w:r>
        <w:rPr>
          <w:rFonts w:eastAsia="Garamond" w:cs="Garamond"/>
          <w:szCs w:val="22"/>
        </w:rPr>
        <w:t>torch</w:t>
      </w:r>
      <w:r w:rsidRPr="006527EF">
        <w:rPr>
          <w:rFonts w:eastAsia="Garamond" w:cs="Garamond"/>
          <w:szCs w:val="22"/>
        </w:rPr>
        <w:t>.</w:t>
      </w:r>
      <w:r>
        <w:rPr>
          <w:rFonts w:eastAsia="Garamond" w:cs="Garamond"/>
          <w:szCs w:val="22"/>
        </w:rPr>
        <w:t xml:space="preserve"> This time of day also creates a WHS risk for staff who are required to travel longer distances to attend inspections.</w:t>
      </w:r>
      <w:r w:rsidR="004D56EC" w:rsidRPr="004D56EC">
        <w:rPr>
          <w:rFonts w:eastAsia="Garamond" w:cs="Garamond"/>
          <w:color w:val="FFFFFF" w:themeColor="background1"/>
          <w:sz w:val="2"/>
          <w:szCs w:val="2"/>
        </w:rPr>
        <w:t xml:space="preserve"> </w:t>
      </w:r>
      <w:r w:rsidR="004D56EC" w:rsidRPr="004D56EC">
        <w:rPr>
          <w:rFonts w:eastAsia="Garamond" w:cs="Garamond"/>
          <w:color w:val="FFFFFF" w:themeColor="background1"/>
          <w:sz w:val="2"/>
          <w:szCs w:val="2"/>
        </w:rPr>
        <w:fldChar w:fldCharType="begin"/>
      </w:r>
      <w:r w:rsidR="00660730">
        <w:rPr>
          <w:rFonts w:eastAsia="Garamond" w:cs="Garamond"/>
          <w:color w:val="FFFFFF" w:themeColor="background1"/>
          <w:sz w:val="2"/>
          <w:szCs w:val="2"/>
        </w:rPr>
        <w:instrText xml:space="preserve"> ADDIN ZOTERO_ITEM CSL_CITATION {"citationID":"Z56NhOtu","properties":{"formattedCitation":"(Fransson et al. 2008; Valdez 2019; Broadbent and Gregory 1963; Flynn-Evans et al. 2026; Stone et al. 2019)","plainCitation":"(Fransson et al. 2008; Valdez 2019; Broadbent and Gregory 1963; Flynn-Evans et al. 2026; Stone et al. 2019)","noteIndex":0},"citationItems":[{"id":24552,"uris":["http://zotero.org/groups/6289862/items/AY58ME5M"],"itemData":{"id":24552,"type":"article-journal","abstract":"Sleep restrictions and sleep deprivation have become common in modern society, as many people report daily sleep below the recommended 8 hours per night. This study aimed to examine the effects of sleep deprivation on oculomotor performance by recording smooth pursuit and saccadic eye movements after 24 and 36 hours of sleep deprivation. Another objective was to determine whether detected changes in oculomotor performance followed fluctuations according to a circadian rhythm and/or subjective Visuo-Analogue sleepiness Scale scores. Oculomotor responses were recorded from 18 subjects using electronystagmography, and comprised measurements of accuracy (i.e., the percentage of time the eye movement velocity was within the target velocity boundaries), velocity and latency. Continuous EEG recordings were used to validate that subjects had remained awake throughout the 36-hour period.Our findings showed that sleep deprivation deteriorated smooth pursuit gain, smooth pursuit accuracy and saccade velocity. Additionally, the ratio between saccade velocity and saccade amplitude was significantly decreased by sleep deprivation. However, as the length of sleep deprivation increased, only smooth pursuit gain deteriorated further, whereas there were signs of improvement in smooth pursuit accuracy measurements. The latter observation suggests that smooth pursuit accuracy might be affected by the circadian rhythm of alertness. Surprisingly, high subjective scores of sleepiness correlated in most cases with better saccade performance, especially after 36 hours of sleep deprivation, suggesting that awareness of sleepiness might make subjects perform better during saccade assessments. To conclude, oculomotor function clearly decreased after sleep deprivation, but the performance deteriorations were complex and not necessarily correlated with subjectively felt sleepiness.","container-title":"Journal of Vestibular Research","DOI":"10.3233/VES-2008-18404","ISSN":"0957-4271","issue":"4","language":"EN","page":"209-222","publisher":"SAGE Publications","source":"SAGE Journals","title":"Effects of 24-hour and 36-hour sleep deprivation on smooth pursuit and saccadic eye movements","volume":"18","author":[{"family":"Fransson","given":"P.A."},{"family":"Patel","given":"M."},{"family":"Magnusson","given":"M."},{"family":"Berg","given":"S."},{"family":"Almbladh","given":"P."},{"family":"Gomez","given":"S."}],"issued":{"date-parts":[["2008",12,1]]}}},{"id":24540,"uris":["http://zotero.org/groups/6289862/items/HV2F824L"],"itemData":{"id":24540,"type":"article-journal","abstract":"Attention is a cognitive process crucial for human performance. It has four components: tonic alertness, phasic alertness, selective attention, and sustained attention. All the components of attention show homeostatic (time awake, sleep deprivation) and circadian (time of day) variations. The time course of the circadian rhythms in attention is important to program work and school-related activities. The components of attention reach their lowest levels during nighttime and early hours in the morning, better levels occur around noon, and even higher levels can be observed during afternoon and evening hours. However, this time course can be modulated by chronotype, sleep deprivation, age, or drugs. Homeostatic and circadian variations have also been found in other basic cognitive processes (working memory and executive functions), with a time course similar to that observed for attention. Data reviewed in this paper suggests the need to consider circadian rhythms, age, and chronotype of the person, when programming schedules for work, study, school start time, school testing, psychological testing, and neuropsychological assessment.","container-title":"The Yale Journal of Biology and Medicine","ISSN":"1551-4056","issue":"1","journalAbbreviation":"Yale J Biol Med","language":"eng","page":"81-92","PMID":"30923475","PMCID":"PMC6430172","source":"PubMed","title":"Circadian Rhythms in Attention","volume":"92","author":[{"family":"Valdez","given":"Pablo"}],"issued":{"date-parts":[["2019",3]]}}},{"id":24548,"uris":["http://zotero.org/groups/6289862/items/97XNRMGT"],"itemData":{"id":24548,"type":"article-journal","abstract":"A number of experiments are described in which untrained subjects kept watch during long periods for inconspicuous signals. When they reported such a signal, they had to indicate their degree of confidence that the report was correct. By analysing the accuracy of reports in each category of confidence, it can be shown that they are quite inconsistent with the concept that stimuli are either definitely perceived or definitely fail to be detected, with no intermediate category. The results are more consistent with a model of perception as the outcome of a statistical decision made with more or less caution upon evidence contaminated by randomness. Analysing the empirical data according to this model, neither the duration of a watch nor the presence of loud noise during visual experiments affect the degree of randomness in the evidence used for decision. Both factors do, however, affect the degree of caution with which the decision is made, and this may explain the failures of perception previously found in experiments upon prolonged watch and upon noise. Changes during the watch appear primarily, however, when the decision is being made cautiously (with few false detections) while the changes with noise appear rather as a lessening of the difference between cautious and risky behaviour. This divergence between the effects of noise and of prolonged work may explain the fact that experimental conditions which reveal effects of noise have not always in the past been those which are sensitive to effects of prolonged work.","container-title":"British Journal of Psychology","DOI":"10.1111/j.2044-8295.1963.tb00886.x","ISSN":"2044-8295","issue":"4","language":"en","license":"1963 The British Psychological Society","note":"_eprint: https://bpspsychub.onlinelibrary.wiley.com/doi/pdf/10.1111/j.2044-8295.1963.tb00886.x","page":"309-323","source":"Wiley Online Library","title":"Vigilance Considered as a Statistical Decision","volume":"54","author":[{"family":"Broadbent","given":"D. E."},{"family":"Gregory","given":"Margaret"}],"issued":{"date-parts":[["1963"]]}}},{"id":24554,"uris":["http://zotero.org/groups/6289862/items/HTZMVIMJ"],"itemData":{"id":24554,"type":"article-journal","abstract":"STUDY OBJECTIVES: Chronic sleep loss is widespread and can cause deficits in vigilant attention. There are few practical biomarkers that can be used to assess the impact of chronic sleep loss on alertness and performance. Those that are available, such as tests of vigilant attention, cannot discriminate chronic sleep loss from other impairments, like alcohol intoxication, limiting the use of such tools. We aimed to test whether a suite of behavioral oculometrics would be sensitive, and perhaps specific, to chronic sleep restriction (CSR).\nMETHODS: We conducted a randomized, counterbalanced, cross-over study to compare behavioral oculometrics following a week of 5 h of time in bed versus 9 h of time in bed. Each experimental week was preceded by a washout week of 9 h nightly time in bed. Participants completed a visual tracking task every 2 h that allowed us to evaluate behavioral oculometrics associated with visual motion processing, pursuit, and saccade behavior. We used mixed-effects models to compare outcomes.\nRESULTS: Twelve participants completed the 4-week study (6 female). We observed modest decrements in pursuit and tracking smoothness, and maladaptive saccadic behavior, where the rate of saccades increased during CSR, with an apparently compensatory decrease in catch-up saccade amplitude. Visual motion processing of direction, but not speed, was altered.\nCONCLUSIONS: Eye movements are a sensitive measure that can detect sensory and motor impairments from 1 week of 5 h of CSR, potentially distinguishable from those due to other causes, and thus may be a useful biomarker for identifying the source of impairment.","container-title":"Sleep Advances: A Journal of the Sleep Research Society","DOI":"10.1093/sleepadvances/zpaf095","ISSN":"2632-5012","issue":"1","journalAbbreviation":"Sleep Adv","language":"eng","page":"zpaf095","PMID":"41710031","PMCID":"PMC12910618","source":"PubMed","title":"Chronic sleep restriction induces oculomotor impairment with inadequate compensation","volume":"7","author":[{"family":"Flynn-Evans","given":"Erin E."},{"family":"Tyson","given":"Terence L."},{"family":"Costedoat","given":"Gregory"},{"family":"Pradhan","given":"Sean"},{"family":"Stone","given":"Leland S."}],"issued":{"date-parts":[["2026"]]}}},{"id":24557,"uris":["http://zotero.org/groups/6289862/items/DITM7YGZ"],"itemData":{"id":24557,"type":"article-journal","abstract":"Inadequate sleep and irregular work schedules have not only adverse consequences for individual health and well</w:instrText>
      </w:r>
      <w:r w:rsidR="00660730">
        <w:rPr>
          <w:rFonts w:ascii="Cambria Math" w:eastAsia="Garamond" w:hAnsi="Cambria Math" w:cs="Cambria Math"/>
          <w:color w:val="FFFFFF" w:themeColor="background1"/>
          <w:sz w:val="2"/>
          <w:szCs w:val="2"/>
        </w:rPr>
        <w:instrText>‐</w:instrText>
      </w:r>
      <w:r w:rsidR="00660730">
        <w:rPr>
          <w:rFonts w:eastAsia="Garamond" w:cs="Garamond"/>
          <w:color w:val="FFFFFF" w:themeColor="background1"/>
          <w:sz w:val="2"/>
          <w:szCs w:val="2"/>
        </w:rPr>
        <w:instrText>being, but also enormous economic and safety implications for society as a whole.This study demonstrates that visual motion processing and coordinated eye movements are significantly impaired when performed after sleep loss and during the biological night, and thus may be contributing to human error and accidents.Because affected individuals are often unaware of their sensorimotor and cognitive deficits, there is a critical need for non</w:instrText>
      </w:r>
      <w:r w:rsidR="00660730">
        <w:rPr>
          <w:rFonts w:ascii="Cambria Math" w:eastAsia="Garamond" w:hAnsi="Cambria Math" w:cs="Cambria Math"/>
          <w:color w:val="FFFFFF" w:themeColor="background1"/>
          <w:sz w:val="2"/>
          <w:szCs w:val="2"/>
        </w:rPr>
        <w:instrText>‐</w:instrText>
      </w:r>
      <w:r w:rsidR="00660730">
        <w:rPr>
          <w:rFonts w:eastAsia="Garamond" w:cs="Garamond"/>
          <w:color w:val="FFFFFF" w:themeColor="background1"/>
          <w:sz w:val="2"/>
          <w:szCs w:val="2"/>
        </w:rPr>
        <w:instrText>invasive, objective indicators of mild, yet potentially unsafe, impairment due to disrupted sleep or biological rhythms.Our findings show that a set of eye</w:instrText>
      </w:r>
      <w:r w:rsidR="00660730">
        <w:rPr>
          <w:rFonts w:ascii="Cambria Math" w:eastAsia="Garamond" w:hAnsi="Cambria Math" w:cs="Cambria Math"/>
          <w:color w:val="FFFFFF" w:themeColor="background1"/>
          <w:sz w:val="2"/>
          <w:szCs w:val="2"/>
        </w:rPr>
        <w:instrText>‐</w:instrText>
      </w:r>
      <w:r w:rsidR="00660730">
        <w:rPr>
          <w:rFonts w:eastAsia="Garamond" w:cs="Garamond"/>
          <w:color w:val="FFFFFF" w:themeColor="background1"/>
          <w:sz w:val="2"/>
          <w:szCs w:val="2"/>
        </w:rPr>
        <w:instrText>movement measures can be used to provide sensitive and reliable indicators of such mild neural impairments.","container-title":"The Journal of Physiology","DOI":"10.1113/JP277779","ISSN":"0022-3751","issue":"17","journalAbbreviation":"J Physiol","page":"4643-4660","PMID":"31389043","PMCID":"PMC6852126","source":"PubMed Central","title":"Distinct pattern of oculomotor impairment associated with acute sleep loss and circadian misalignment","volume":"597","author":[{"family":"Stone","given":"Leland S."},{"family":"Tyson","given":"Terence L."},{"family":"Cravalho","given":"Patrick F."},{"family":"Feick","given":"Nathan H."},{"family":"Flynn</w:instrText>
      </w:r>
      <w:r w:rsidR="00660730">
        <w:rPr>
          <w:rFonts w:ascii="Cambria Math" w:eastAsia="Garamond" w:hAnsi="Cambria Math" w:cs="Cambria Math"/>
          <w:color w:val="FFFFFF" w:themeColor="background1"/>
          <w:sz w:val="2"/>
          <w:szCs w:val="2"/>
        </w:rPr>
        <w:instrText>‐</w:instrText>
      </w:r>
      <w:r w:rsidR="00660730">
        <w:rPr>
          <w:rFonts w:eastAsia="Garamond" w:cs="Garamond"/>
          <w:color w:val="FFFFFF" w:themeColor="background1"/>
          <w:sz w:val="2"/>
          <w:szCs w:val="2"/>
        </w:rPr>
        <w:instrText xml:space="preserve">Evans","given":"Erin E."}],"issued":{"date-parts":[["2019",9,1]]}}}],"schema":"https://github.com/citation-style-language/schema/raw/master/csl-citation.json"} </w:instrText>
      </w:r>
      <w:r w:rsidR="004D56EC" w:rsidRPr="004D56EC">
        <w:rPr>
          <w:rFonts w:eastAsia="Garamond" w:cs="Garamond"/>
          <w:color w:val="FFFFFF" w:themeColor="background1"/>
          <w:sz w:val="2"/>
          <w:szCs w:val="2"/>
        </w:rPr>
        <w:fldChar w:fldCharType="separate"/>
      </w:r>
      <w:r w:rsidR="00660730">
        <w:rPr>
          <w:rFonts w:eastAsia="Garamond" w:cs="Garamond"/>
          <w:noProof/>
          <w:color w:val="FFFFFF" w:themeColor="background1"/>
          <w:sz w:val="2"/>
          <w:szCs w:val="2"/>
        </w:rPr>
        <w:t>(Fransson et al. 2008; Valdez 2019; Broadbent and Gregory 1963; Flynn-Evans et al. 2026; Stone et al. 2019)</w:t>
      </w:r>
      <w:r w:rsidR="004D56EC" w:rsidRPr="004D56EC">
        <w:rPr>
          <w:rFonts w:eastAsia="Garamond" w:cs="Garamond"/>
          <w:color w:val="FFFFFF" w:themeColor="background1"/>
          <w:sz w:val="2"/>
          <w:szCs w:val="2"/>
        </w:rPr>
        <w:fldChar w:fldCharType="end"/>
      </w:r>
    </w:p>
    <w:p w14:paraId="4943A9C4" w14:textId="77777777" w:rsidR="000B1C14" w:rsidRDefault="000B1C14" w:rsidP="006527EF">
      <w:pPr>
        <w:tabs>
          <w:tab w:val="right" w:pos="9000"/>
        </w:tabs>
        <w:spacing w:before="120"/>
        <w:rPr>
          <w:rFonts w:eastAsia="Garamond" w:cs="Garamond"/>
          <w:szCs w:val="22"/>
        </w:rPr>
      </w:pPr>
    </w:p>
    <w:p w14:paraId="3330F30A" w14:textId="1770B08D" w:rsidR="00AF6C86" w:rsidRDefault="00352CA1" w:rsidP="00AF6C86">
      <w:pPr>
        <w:keepNext/>
        <w:tabs>
          <w:tab w:val="right" w:pos="9000"/>
        </w:tabs>
        <w:spacing w:before="120"/>
      </w:pPr>
      <w:r>
        <w:rPr>
          <w:rFonts w:eastAsia="Garamond" w:cs="Garamond"/>
          <w:noProof/>
          <w:szCs w:val="22"/>
        </w:rPr>
        <w:lastRenderedPageBreak/>
        <w:drawing>
          <wp:inline distT="0" distB="0" distL="0" distR="0" wp14:anchorId="5931C3DF" wp14:editId="08876909">
            <wp:extent cx="5731510" cy="3261360"/>
            <wp:effectExtent l="0" t="0" r="0" b="0"/>
            <wp:docPr id="1417794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94883" name="Picture 1417794883"/>
                    <pic:cNvPicPr/>
                  </pic:nvPicPr>
                  <pic:blipFill>
                    <a:blip r:embed="rId22"/>
                    <a:stretch>
                      <a:fillRect/>
                    </a:stretch>
                  </pic:blipFill>
                  <pic:spPr>
                    <a:xfrm>
                      <a:off x="0" y="0"/>
                      <a:ext cx="5731510" cy="3261360"/>
                    </a:xfrm>
                    <a:prstGeom prst="rect">
                      <a:avLst/>
                    </a:prstGeom>
                  </pic:spPr>
                </pic:pic>
              </a:graphicData>
            </a:graphic>
          </wp:inline>
        </w:drawing>
      </w:r>
    </w:p>
    <w:p w14:paraId="516170C2" w14:textId="409DA2A8" w:rsidR="00AF6C86" w:rsidRPr="006527EF" w:rsidRDefault="00AF6C86" w:rsidP="00AF6C86">
      <w:pPr>
        <w:pStyle w:val="Caption"/>
        <w:rPr>
          <w:rFonts w:eastAsia="Garamond" w:cs="Garamond"/>
          <w:szCs w:val="22"/>
        </w:rPr>
      </w:pPr>
      <w:bookmarkStart w:id="43" w:name="_Ref226729468"/>
      <w:bookmarkStart w:id="44" w:name="_Toc226730774"/>
      <w:r>
        <w:t xml:space="preserve">Figure </w:t>
      </w:r>
      <w:fldSimple w:instr=" SEQ Figure \* ARABIC ">
        <w:r w:rsidR="00651A0D">
          <w:rPr>
            <w:noProof/>
          </w:rPr>
          <w:t>2</w:t>
        </w:r>
      </w:fldSimple>
      <w:bookmarkEnd w:id="43"/>
      <w:r w:rsidR="00881039">
        <w:tab/>
      </w:r>
      <w:r>
        <w:t xml:space="preserve">Increased risk of missing Biosecurity Risk Material as cognition drops (the "Vigilance Decrement"). Even with a conservative decision threshold (moved to the left) the ratio of false negatives to </w:t>
      </w:r>
      <w:r>
        <w:rPr>
          <w:noProof/>
        </w:rPr>
        <w:t>true positives increases. (based on Broadbent &amp; Gregory, 1963).</w:t>
      </w:r>
      <w:bookmarkEnd w:id="44"/>
      <w:r w:rsidR="00596B52" w:rsidRPr="00596B52">
        <w:rPr>
          <w:rFonts w:eastAsia="Garamond" w:cs="Garamond"/>
          <w:color w:val="FFFFFF" w:themeColor="background1"/>
          <w:sz w:val="10"/>
          <w:szCs w:val="10"/>
        </w:rPr>
        <w:t xml:space="preserve"> </w:t>
      </w:r>
      <w:r w:rsidR="00596B52" w:rsidRPr="00BD7181">
        <w:rPr>
          <w:rFonts w:eastAsia="Garamond" w:cs="Garamond"/>
          <w:color w:val="FFFFFF" w:themeColor="background1"/>
          <w:sz w:val="2"/>
          <w:szCs w:val="2"/>
        </w:rPr>
        <w:fldChar w:fldCharType="begin"/>
      </w:r>
      <w:r w:rsidR="00596B52" w:rsidRPr="00BD7181">
        <w:rPr>
          <w:rFonts w:eastAsia="Garamond" w:cs="Garamond"/>
          <w:color w:val="FFFFFF" w:themeColor="background1"/>
          <w:sz w:val="2"/>
          <w:szCs w:val="2"/>
        </w:rPr>
        <w:instrText xml:space="preserve"> ADDIN ZOTERO_ITEM CSL_CITATION {"citationID":"jIPsWatH","properties":{"formattedCitation":"(Harrison and Horne 2000; Khan et al. 2023)","plainCitation":"(Harrison and Horne 2000; Khan et al. 2023)","noteIndex":0},"citationItems":[{"id":24538,"uris":["http://zotero.org/groups/6289862/items/UZ8XNB3R"],"itemData":{"id":24538,"type":"article-journal","abstract":"Few sleep deprivation (SD) studies involve realism or high-level decision making, factors relevant to managers, military commanders, and so forth, who are undergoing prolonged work during crises. Instead, research has favored simple tasks sensitive to SD mostly because of their dull monotony. In contrast, complex rule-based, convergent, and logical tasks are unaffected by short-term SD, seemingly because of heightened participant interest and compensatory effort. However, recent findings show that despite this effort, SD still impairs decision making involving the unexpected, innovation, revising plans, competing distraction, and effective communication. Decision-making models developed outside SD provide useful perspectives on these latter effects, as does a neuropsychological explanation of sleep function. SD presents particular difficulties for sleep-deprived decision makers who require these latter skills during emergency situations.","container-title":"Journal of Experimental Psychology. Applied","DOI":"10.1037//1076-898x.6.3.236","ISSN":"1076-898X","issue":"3","journalAbbreviation":"J Exp Psychol Appl","language":"eng","page":"236-249","PMID":"11014055","source":"PubMed","title":"The impact of sleep deprivation on decision making: a review","title-short":"The impact of sleep deprivation on decision making","volume":"6","author":[{"family":"Harrison","given":"Y."},{"family":"Horne","given":"J. A."}],"issued":{"date-parts":[["2000",9]]}}},{"id":24545,"uris":["http://zotero.org/groups/6289862/items/NESUMI9F"],"itemData":{"id":24545,"type":"article-journal","abstract":"BACKGROUND: Shift work, especially rotating and night shift work, has been linked to a wide range of detrimental health outcomes. Occupational factors like shift work and their potential impact on cognitive functions have received little attention, and the evidence is inconclusive. The objective of our study is to explore associations between shift work exposure and cognitive impairment indicators based on comparisons with the normative standards from the Canadian population.\nMETHODS: Cross-sectional analyses were performed using baseline Canadian Longitudinal Study on Aging database, including 47,811 middle-aged and older adults (45-85 years). Three derived shift work variables were utilized: ever exposed to shift work, shift work exposure in longest job, and shift work exposure in current job. Four cognitive function tests were utilized, Rey Auditory Verbal Learning Tests (immediate and delayed) representing memory domain, and Animal Fluency, and Mental Alteration, representing the executive function domain. All cognitive test scores included in study were normalized and adjusted for the participant's age, sex, education and language of test administration (English and French), which were then compared to normative data to create \"cognitive impairment' variables. Unadjusted and adjusted multivariable logistic regression models were used to determine associations between shift work variables and cognitive impairment individually (memory and executive function domains), and also for overall cognitive impairment.\nRESULT: Overall, one in every five individuals (21%) reported having been exposed to some kind of shift work during their jobs. Exposure to night shift work (both current and longest job) was associated with overall cognitive impairment. In terms of domain-based measures, night shift work (longest job) was associated with memory function impairment, and those exposed to rotating shift work (both current and longest job) showed impairment on executive function measures, when compared to daytime workers.\nCONCLUSION: This study suggests disruption to the circadian rhythm, due to shift work has negative impact on cognitive function in middle-aged and older adults and this warrants further investigation.","container-title":"PloS One","DOI":"10.1371/journal.pone.0289718","ISSN":"1932-6203","issue":"8","journalAbbreviation":"PLoS One","language":"eng","page":"e0289718","PMID":"37610977","PMCID":"PMC10446236","source":"PubMed","title":"The association between shift work exposure and cognitive impairment among middle-aged and older adults: Results from the Canadian Longitudinal Study on Aging (CLSA)","title-short":"The association between shift work exposure and cognitive impairment among middle-aged and older adults","volume":"18","author":[{"family":"Khan","given":"Durdana"},{"family":"Edgell","given":"Heather"},{"family":"Rotondi","given":"Michael"},{"family":"Tamim","given":"Hala"}],"issued":{"date-parts":[["2023"]]}}}],"schema":"https://github.com/citation-style-language/schema/raw/master/csl-citation.json"} </w:instrText>
      </w:r>
      <w:r w:rsidR="00596B52" w:rsidRPr="00BD7181">
        <w:rPr>
          <w:rFonts w:eastAsia="Garamond" w:cs="Garamond"/>
          <w:color w:val="FFFFFF" w:themeColor="background1"/>
          <w:sz w:val="2"/>
          <w:szCs w:val="2"/>
        </w:rPr>
        <w:fldChar w:fldCharType="separate"/>
      </w:r>
      <w:r w:rsidR="00596B52" w:rsidRPr="00BD7181">
        <w:rPr>
          <w:rFonts w:eastAsia="Garamond" w:cs="Garamond"/>
          <w:noProof/>
          <w:color w:val="FFFFFF" w:themeColor="background1"/>
          <w:sz w:val="2"/>
          <w:szCs w:val="2"/>
        </w:rPr>
        <w:t>(Harrison and Horne 2000; Khan et al. 2023)</w:t>
      </w:r>
      <w:r w:rsidR="00596B52" w:rsidRPr="00BD7181">
        <w:rPr>
          <w:rFonts w:eastAsia="Garamond" w:cs="Garamond"/>
          <w:color w:val="FFFFFF" w:themeColor="background1"/>
          <w:sz w:val="2"/>
          <w:szCs w:val="2"/>
        </w:rPr>
        <w:fldChar w:fldCharType="end"/>
      </w:r>
    </w:p>
    <w:p w14:paraId="40610C2C" w14:textId="4C9F7E14" w:rsidR="006527EF" w:rsidRPr="006527EF" w:rsidRDefault="006527EF" w:rsidP="006527EF">
      <w:pPr>
        <w:tabs>
          <w:tab w:val="right" w:pos="9000"/>
        </w:tabs>
        <w:spacing w:before="120"/>
        <w:rPr>
          <w:rFonts w:eastAsia="Garamond" w:cs="Garamond"/>
          <w:szCs w:val="22"/>
        </w:rPr>
      </w:pPr>
      <w:r w:rsidRPr="006527EF">
        <w:rPr>
          <w:rFonts w:eastAsia="Garamond" w:cs="Garamond"/>
          <w:szCs w:val="22"/>
        </w:rPr>
        <w:t>Finally, this combination of sensory limitation and circadian strain overwhelms the prefrontal cortex, leading to dangerous levels of decision fatigue. Research by cognitive psychologists like Harrison and Horne</w:t>
      </w:r>
      <w:r w:rsidR="00DD192A">
        <w:rPr>
          <w:rFonts w:eastAsia="Garamond" w:cs="Garamond"/>
          <w:szCs w:val="22"/>
        </w:rPr>
        <w:t xml:space="preserve"> (2000) and Kahn et al</w:t>
      </w:r>
      <w:r w:rsidR="007D0149">
        <w:rPr>
          <w:rFonts w:eastAsia="Garamond" w:cs="Garamond"/>
          <w:szCs w:val="22"/>
        </w:rPr>
        <w:t>.</w:t>
      </w:r>
      <w:r w:rsidR="00DD192A">
        <w:rPr>
          <w:rFonts w:eastAsia="Garamond" w:cs="Garamond"/>
          <w:szCs w:val="22"/>
        </w:rPr>
        <w:t xml:space="preserve"> (2023)</w:t>
      </w:r>
      <w:r w:rsidRPr="006527EF">
        <w:rPr>
          <w:rFonts w:eastAsia="Garamond" w:cs="Garamond"/>
          <w:szCs w:val="22"/>
        </w:rPr>
        <w:t xml:space="preserve"> highlight that a sleep-deprived brain quickly loses its working memory capacity and begins to rely heavily on cognitive shortcuts, or heuristics, to conserve energy. Instead of actively evaluating </w:t>
      </w:r>
      <w:r w:rsidR="000B1C14">
        <w:rPr>
          <w:rFonts w:eastAsia="Garamond" w:cs="Garamond"/>
          <w:szCs w:val="22"/>
        </w:rPr>
        <w:t>object images</w:t>
      </w:r>
      <w:r w:rsidR="00DD192A">
        <w:rPr>
          <w:rFonts w:eastAsia="Garamond" w:cs="Garamond"/>
          <w:szCs w:val="22"/>
        </w:rPr>
        <w:t xml:space="preserve"> </w:t>
      </w:r>
      <w:r w:rsidRPr="006527EF">
        <w:rPr>
          <w:rFonts w:eastAsia="Garamond" w:cs="Garamond"/>
          <w:szCs w:val="22"/>
        </w:rPr>
        <w:t xml:space="preserve">against mental templates of biosecurity threats, </w:t>
      </w:r>
      <w:r w:rsidR="000B1C14">
        <w:rPr>
          <w:rFonts w:eastAsia="Garamond" w:cs="Garamond"/>
          <w:szCs w:val="22"/>
        </w:rPr>
        <w:t>humans</w:t>
      </w:r>
      <w:r w:rsidRPr="006527EF">
        <w:rPr>
          <w:rFonts w:eastAsia="Garamond" w:cs="Garamond"/>
          <w:szCs w:val="22"/>
        </w:rPr>
        <w:t xml:space="preserve"> </w:t>
      </w:r>
      <w:r w:rsidR="000B1C14">
        <w:rPr>
          <w:rFonts w:eastAsia="Garamond" w:cs="Garamond"/>
          <w:szCs w:val="22"/>
        </w:rPr>
        <w:t>are</w:t>
      </w:r>
      <w:r w:rsidRPr="006527EF">
        <w:rPr>
          <w:rFonts w:eastAsia="Garamond" w:cs="Garamond"/>
          <w:szCs w:val="22"/>
        </w:rPr>
        <w:t xml:space="preserve"> neurologically predisposed to default to the path of least resistance—assuming a lump is just harmless dirt or rust—which drastically increases the risk of false negatives during </w:t>
      </w:r>
      <w:r w:rsidR="00DD192A">
        <w:rPr>
          <w:rFonts w:eastAsia="Garamond" w:cs="Garamond"/>
          <w:szCs w:val="22"/>
        </w:rPr>
        <w:t>any form of</w:t>
      </w:r>
      <w:r w:rsidRPr="006527EF">
        <w:rPr>
          <w:rFonts w:eastAsia="Garamond" w:cs="Garamond"/>
          <w:szCs w:val="22"/>
        </w:rPr>
        <w:t xml:space="preserve"> inspections.</w:t>
      </w:r>
      <w:r w:rsidR="00DD192A">
        <w:rPr>
          <w:rFonts w:eastAsia="Garamond" w:cs="Garamond"/>
          <w:szCs w:val="22"/>
        </w:rPr>
        <w:t xml:space="preserve"> </w:t>
      </w:r>
      <w:r w:rsidR="000B1C14">
        <w:rPr>
          <w:rFonts w:eastAsia="Garamond" w:cs="Garamond"/>
          <w:szCs w:val="22"/>
        </w:rPr>
        <w:t>Even using conservative decision thresholds will only have a limited impact on reducing this.</w:t>
      </w:r>
      <w:r w:rsidR="00596B52">
        <w:rPr>
          <w:rFonts w:eastAsia="Garamond" w:cs="Garamond"/>
          <w:szCs w:val="22"/>
        </w:rPr>
        <w:t xml:space="preserve"> </w:t>
      </w:r>
    </w:p>
    <w:p w14:paraId="5FB2CD07" w14:textId="77777777" w:rsidR="00DD192A" w:rsidRDefault="00DD192A" w:rsidP="00DD192A">
      <w:pPr>
        <w:pStyle w:val="Heading3"/>
        <w:rPr>
          <w:rFonts w:eastAsia="Garamond"/>
        </w:rPr>
      </w:pPr>
      <w:bookmarkStart w:id="45" w:name="_Toc226796951"/>
      <w:r>
        <w:rPr>
          <w:rFonts w:eastAsia="Garamond"/>
        </w:rPr>
        <w:t>Summary of vision and cognition issues</w:t>
      </w:r>
      <w:bookmarkEnd w:id="45"/>
    </w:p>
    <w:p w14:paraId="50F08EB6" w14:textId="7DF3E42D" w:rsidR="00882ACB" w:rsidRDefault="00DD192A">
      <w:pPr>
        <w:tabs>
          <w:tab w:val="right" w:pos="9000"/>
        </w:tabs>
        <w:spacing w:before="120"/>
        <w:rPr>
          <w:rFonts w:eastAsia="Garamond" w:cs="Garamond"/>
          <w:szCs w:val="22"/>
        </w:rPr>
      </w:pPr>
      <w:r>
        <w:rPr>
          <w:rFonts w:eastAsia="Garamond" w:cs="Garamond"/>
          <w:szCs w:val="22"/>
        </w:rPr>
        <w:t xml:space="preserve">Inspection of upper and open decks will face challenges, regardless of time of day. During daylight hours, glare may be considerable, which can lead to reduced ability to interpret the environment, inspector fatigue and impact the ability to smoothly transition between areas of the vessel. Whereas, inspections at night-time may result in challenges in accurately identifying BRM if contrast sensitivity is reduced. Regardless of the time of day, constantly varying light levels across the vessel will create a risk for fatigue and need to be considered in any decision making around inspection processes. </w:t>
      </w:r>
      <w:r w:rsidR="000B1C14">
        <w:rPr>
          <w:rFonts w:eastAsia="Garamond" w:cs="Garamond"/>
          <w:szCs w:val="22"/>
        </w:rPr>
        <w:t>As inspection time increases and optimal time of day decreases, the risk of poor decision making around risk increases.</w:t>
      </w:r>
    </w:p>
    <w:p w14:paraId="29FEA322" w14:textId="5B988667" w:rsidR="003E15C2" w:rsidRDefault="003E15C2" w:rsidP="00997AD7">
      <w:pPr>
        <w:pStyle w:val="Heading2"/>
        <w:spacing w:before="240" w:after="240"/>
        <w:ind w:left="578" w:hanging="578"/>
      </w:pPr>
      <w:bookmarkStart w:id="46" w:name="_Toc219290004"/>
      <w:bookmarkStart w:id="47" w:name="_Toc226796952"/>
      <w:r w:rsidRPr="00B12684">
        <w:t>Livestock</w:t>
      </w:r>
      <w:r>
        <w:t xml:space="preserve"> </w:t>
      </w:r>
      <w:r w:rsidR="00280C55">
        <w:t xml:space="preserve">carrier </w:t>
      </w:r>
      <w:r>
        <w:t>vessels</w:t>
      </w:r>
      <w:bookmarkEnd w:id="46"/>
      <w:bookmarkEnd w:id="47"/>
    </w:p>
    <w:p w14:paraId="075FAEDB" w14:textId="4255245B" w:rsidR="00997AD7" w:rsidRPr="00610C4A" w:rsidRDefault="00997AD7" w:rsidP="009F0A68">
      <w:r>
        <w:rPr>
          <w:lang w:eastAsia="en-US"/>
        </w:rPr>
        <w:t>Livestock vessel design and operation</w:t>
      </w:r>
      <w:r w:rsidR="00773F22">
        <w:rPr>
          <w:lang w:eastAsia="en-US"/>
        </w:rPr>
        <w:t>s</w:t>
      </w:r>
      <w:r>
        <w:rPr>
          <w:lang w:eastAsia="en-US"/>
        </w:rPr>
        <w:t xml:space="preserve"> are major contributors to the risk of introduction of pests and other BRM. The very features that improve their suitability for the carriage of livestock may complicate inspection activities.</w:t>
      </w:r>
    </w:p>
    <w:p w14:paraId="28C52BAA" w14:textId="77777777" w:rsidR="003E15C2" w:rsidRDefault="003E15C2" w:rsidP="003807D5">
      <w:pPr>
        <w:pStyle w:val="Heading3"/>
      </w:pPr>
      <w:bookmarkStart w:id="48" w:name="_Toc219290005"/>
      <w:bookmarkStart w:id="49" w:name="_Toc226796953"/>
      <w:r>
        <w:lastRenderedPageBreak/>
        <w:t xml:space="preserve">Vessel layout </w:t>
      </w:r>
      <w:r w:rsidRPr="00B12684">
        <w:t>and</w:t>
      </w:r>
      <w:r>
        <w:t xml:space="preserve"> capacity</w:t>
      </w:r>
      <w:bookmarkEnd w:id="48"/>
      <w:bookmarkEnd w:id="49"/>
    </w:p>
    <w:p w14:paraId="2F28EA35" w14:textId="1E2E3D16" w:rsidR="003E15C2" w:rsidRDefault="003E15C2">
      <w:pPr>
        <w:tabs>
          <w:tab w:val="right" w:pos="9000"/>
        </w:tabs>
        <w:spacing w:before="120"/>
        <w:rPr>
          <w:rFonts w:eastAsia="Garamond" w:cs="Garamond"/>
          <w:szCs w:val="22"/>
        </w:rPr>
      </w:pPr>
      <w:r>
        <w:rPr>
          <w:rFonts w:eastAsia="Garamond" w:cs="Garamond"/>
          <w:szCs w:val="22"/>
        </w:rPr>
        <w:t>Livestock carriers may be purpose-built or converted cargo carriers, and may have ‘open’ or ‘closed’ pens, or a combination</w:t>
      </w:r>
      <w:r w:rsidR="005A1D7A">
        <w:rPr>
          <w:rFonts w:eastAsia="Garamond" w:cs="Garamond"/>
          <w:szCs w:val="22"/>
        </w:rPr>
        <w:t xml:space="preserve"> (</w:t>
      </w:r>
      <w:r w:rsidR="00336F6F">
        <w:rPr>
          <w:rFonts w:eastAsia="Garamond" w:cs="Garamond"/>
          <w:szCs w:val="22"/>
        </w:rPr>
        <w:fldChar w:fldCharType="begin"/>
      </w:r>
      <w:r w:rsidR="00336F6F">
        <w:rPr>
          <w:rFonts w:eastAsia="Garamond" w:cs="Garamond"/>
          <w:szCs w:val="22"/>
        </w:rPr>
        <w:instrText xml:space="preserve"> REF _Ref221873281 \h </w:instrText>
      </w:r>
      <w:r w:rsidR="00336F6F">
        <w:rPr>
          <w:rFonts w:eastAsia="Garamond" w:cs="Garamond"/>
          <w:szCs w:val="22"/>
        </w:rPr>
      </w:r>
      <w:r w:rsidR="00336F6F">
        <w:rPr>
          <w:rFonts w:eastAsia="Garamond" w:cs="Garamond"/>
          <w:szCs w:val="22"/>
        </w:rPr>
        <w:fldChar w:fldCharType="separate"/>
      </w:r>
      <w:r w:rsidR="00651A0D">
        <w:t xml:space="preserve">Figure </w:t>
      </w:r>
      <w:r w:rsidR="00651A0D">
        <w:rPr>
          <w:noProof/>
        </w:rPr>
        <w:t>3</w:t>
      </w:r>
      <w:r w:rsidR="00336F6F">
        <w:rPr>
          <w:rFonts w:eastAsia="Garamond" w:cs="Garamond"/>
          <w:szCs w:val="22"/>
        </w:rPr>
        <w:fldChar w:fldCharType="end"/>
      </w:r>
      <w:r w:rsidR="005A1D7A">
        <w:rPr>
          <w:rFonts w:eastAsia="Garamond" w:cs="Garamond"/>
          <w:szCs w:val="22"/>
        </w:rPr>
        <w:t>)</w:t>
      </w:r>
      <w:r>
        <w:rPr>
          <w:rFonts w:eastAsia="Garamond" w:cs="Garamond"/>
          <w:szCs w:val="22"/>
        </w:rPr>
        <w:t xml:space="preserve">. Open-pens utilise natural air flow, supplemented by venting where needed. </w:t>
      </w:r>
      <w:r w:rsidR="00D87AD6">
        <w:rPr>
          <w:rFonts w:eastAsia="Garamond" w:cs="Garamond"/>
          <w:szCs w:val="22"/>
        </w:rPr>
        <w:t>C</w:t>
      </w:r>
      <w:r>
        <w:rPr>
          <w:rFonts w:eastAsia="Garamond" w:cs="Garamond"/>
          <w:szCs w:val="22"/>
        </w:rPr>
        <w:t>losed-pens are fully enclosed and require mechanical ventilation, but do provide a more controllable environment for livestock.</w:t>
      </w:r>
    </w:p>
    <w:p w14:paraId="4FADB7BD" w14:textId="428AC8FF" w:rsidR="003E15C2" w:rsidRDefault="003E15C2">
      <w:pPr>
        <w:tabs>
          <w:tab w:val="right" w:pos="9000"/>
        </w:tabs>
        <w:spacing w:before="120"/>
        <w:rPr>
          <w:rFonts w:eastAsia="Garamond" w:cs="Garamond"/>
          <w:szCs w:val="22"/>
        </w:rPr>
      </w:pPr>
      <w:r>
        <w:rPr>
          <w:rFonts w:eastAsia="Garamond" w:cs="Garamond"/>
          <w:szCs w:val="22"/>
        </w:rPr>
        <w:t>Vessel size typically ranges between 4000m</w:t>
      </w:r>
      <w:r>
        <w:rPr>
          <w:rFonts w:eastAsia="Garamond" w:cs="Garamond"/>
          <w:szCs w:val="22"/>
          <w:vertAlign w:val="superscript"/>
        </w:rPr>
        <w:t>2</w:t>
      </w:r>
      <w:r>
        <w:rPr>
          <w:rFonts w:eastAsia="Garamond" w:cs="Garamond"/>
          <w:szCs w:val="22"/>
        </w:rPr>
        <w:t xml:space="preserve"> to 11,000m</w:t>
      </w:r>
      <w:r>
        <w:rPr>
          <w:rFonts w:eastAsia="Garamond" w:cs="Garamond"/>
          <w:szCs w:val="22"/>
          <w:vertAlign w:val="superscript"/>
        </w:rPr>
        <w:t>2</w:t>
      </w:r>
      <w:r>
        <w:rPr>
          <w:rFonts w:eastAsia="Garamond" w:cs="Garamond"/>
          <w:szCs w:val="22"/>
        </w:rPr>
        <w:t xml:space="preserve"> </w:t>
      </w:r>
      <w:r w:rsidR="00710729">
        <w:rPr>
          <w:rFonts w:eastAsia="Garamond" w:cs="Garamond"/>
          <w:szCs w:val="22"/>
        </w:rPr>
        <w:fldChar w:fldCharType="begin"/>
      </w:r>
      <w:r w:rsidR="001E0B07">
        <w:rPr>
          <w:rFonts w:eastAsia="Garamond" w:cs="Garamond"/>
          <w:szCs w:val="22"/>
        </w:rPr>
        <w:instrText xml:space="preserve"> ADDIN ZOTERO_ITEM CSL_CITATION {"citationID":"oNqcYHqJ","properties":{"formattedCitation":"(ALE 2023)","plainCitation":"(ALE 2023)","noteIndex":0},"citationItems":[{"id":17246,"uris":["http://zotero.org/groups/4977814/items/NW27XIJS"],"itemData":{"id":17246,"type":"webpage","title":"Shipping capacity for livestock exports","URL":"https://www.australiaslivestockexporters.com/shipping-australian-livestock.html","author":[{"family":"ALE","given":""}],"accessed":{"date-parts":[["2023",5,1]]},"issued":{"date-parts":[["2023"]]}}}],"schema":"https://github.com/citation-style-language/schema/raw/master/csl-citation.json"} </w:instrText>
      </w:r>
      <w:r w:rsidR="00710729">
        <w:rPr>
          <w:rFonts w:eastAsia="Garamond" w:cs="Garamond"/>
          <w:szCs w:val="22"/>
        </w:rPr>
        <w:fldChar w:fldCharType="separate"/>
      </w:r>
      <w:r w:rsidR="00710729">
        <w:rPr>
          <w:rFonts w:eastAsia="Garamond" w:cs="Garamond"/>
          <w:noProof/>
          <w:szCs w:val="22"/>
        </w:rPr>
        <w:t>(ALE 2023)</w:t>
      </w:r>
      <w:r w:rsidR="00710729">
        <w:rPr>
          <w:rFonts w:eastAsia="Garamond" w:cs="Garamond"/>
          <w:szCs w:val="22"/>
        </w:rPr>
        <w:fldChar w:fldCharType="end"/>
      </w:r>
      <w:r>
        <w:rPr>
          <w:rFonts w:eastAsia="Garamond" w:cs="Garamond"/>
          <w:szCs w:val="22"/>
        </w:rPr>
        <w:t xml:space="preserve">. The layout and capacity will differ depending on whether the vessel has been purpose-built or converted to carry livestock. To carry </w:t>
      </w:r>
      <w:r w:rsidR="00C44AF7">
        <w:rPr>
          <w:rFonts w:eastAsia="Garamond" w:cs="Garamond"/>
          <w:szCs w:val="22"/>
        </w:rPr>
        <w:t xml:space="preserve">Australian </w:t>
      </w:r>
      <w:r>
        <w:rPr>
          <w:rFonts w:eastAsia="Garamond" w:cs="Garamond"/>
          <w:szCs w:val="22"/>
        </w:rPr>
        <w:t>livestock, the vessel must be issued with an</w:t>
      </w:r>
      <w:hyperlink r:id="rId23">
        <w:r>
          <w:rPr>
            <w:rFonts w:eastAsia="Garamond" w:cs="Garamond"/>
            <w:color w:val="1155CC"/>
            <w:szCs w:val="22"/>
            <w:u w:val="single"/>
          </w:rPr>
          <w:t xml:space="preserve"> Australian certificate for the carriage of livestock</w:t>
        </w:r>
      </w:hyperlink>
      <w:r w:rsidR="00997AD7">
        <w:rPr>
          <w:rStyle w:val="FootnoteReference"/>
        </w:rPr>
        <w:footnoteReference w:id="7"/>
      </w:r>
      <w:r>
        <w:rPr>
          <w:rFonts w:eastAsia="Garamond" w:cs="Garamond"/>
          <w:szCs w:val="22"/>
        </w:rPr>
        <w:t xml:space="preserve"> (ACCL) </w:t>
      </w:r>
      <w:r w:rsidR="00710729">
        <w:rPr>
          <w:rFonts w:eastAsia="Garamond" w:cs="Garamond"/>
          <w:szCs w:val="22"/>
        </w:rPr>
        <w:fldChar w:fldCharType="begin"/>
      </w:r>
      <w:r w:rsidR="001E0B07">
        <w:rPr>
          <w:rFonts w:eastAsia="Garamond" w:cs="Garamond"/>
          <w:szCs w:val="22"/>
        </w:rPr>
        <w:instrText xml:space="preserve"> ADDIN ZOTERO_ITEM CSL_CITATION {"citationID":"dgW6NvWk","properties":{"formattedCitation":"(AMSA 2019)","plainCitation":"(AMSA 2019)","noteIndex":0},"citationItems":[{"id":17301,"uris":["http://zotero.org/groups/4977814/items/NSE47AVA"],"itemData":{"id":17301,"type":"report","abstract":"F2019C00887","archive_location":"au","collection-title":"Navigation Act 2012","language":"en","license":"https://www.legislation.gov.au/Content/Disclaimer","publisher":"Attorney-General's Department","publisher-place":"Canberra, ACT","title":"Marine Order 43 (Cargo and cargo handling — livestock) 2018","URL":"https://www.legislation.gov.au/Details/F2019C00887/Html/Text, http://www.legislation.gov.au/Details/F2019C00887","author":[{"family":"AMSA","given":""}],"accessed":{"date-parts":[["2023",4,12]]},"issued":{"date-parts":[["2019"]]}}}],"schema":"https://github.com/citation-style-language/schema/raw/master/csl-citation.json"} </w:instrText>
      </w:r>
      <w:r w:rsidR="00710729">
        <w:rPr>
          <w:rFonts w:eastAsia="Garamond" w:cs="Garamond"/>
          <w:szCs w:val="22"/>
        </w:rPr>
        <w:fldChar w:fldCharType="separate"/>
      </w:r>
      <w:r w:rsidR="00710729">
        <w:rPr>
          <w:rFonts w:eastAsia="Garamond" w:cs="Garamond"/>
          <w:noProof/>
          <w:szCs w:val="22"/>
        </w:rPr>
        <w:t>(AMSA 2019)</w:t>
      </w:r>
      <w:r w:rsidR="00710729">
        <w:rPr>
          <w:rFonts w:eastAsia="Garamond" w:cs="Garamond"/>
          <w:szCs w:val="22"/>
        </w:rPr>
        <w:fldChar w:fldCharType="end"/>
      </w:r>
      <w:r>
        <w:rPr>
          <w:rFonts w:eastAsia="Garamond" w:cs="Garamond"/>
          <w:szCs w:val="22"/>
        </w:rPr>
        <w:t>. When applying for an ACCL, the following scale drawings must be submitted to Australian Maritime Safety Authority</w:t>
      </w:r>
      <w:r w:rsidR="00C44AF7">
        <w:rPr>
          <w:rFonts w:eastAsia="Garamond" w:cs="Garamond"/>
          <w:szCs w:val="22"/>
        </w:rPr>
        <w:t xml:space="preserve"> (AMSA)</w:t>
      </w:r>
      <w:r>
        <w:rPr>
          <w:rFonts w:eastAsia="Garamond" w:cs="Garamond"/>
          <w:szCs w:val="22"/>
        </w:rPr>
        <w:t xml:space="preserve"> providing details of </w:t>
      </w:r>
      <w:r w:rsidR="00710729">
        <w:rPr>
          <w:rFonts w:eastAsia="Garamond" w:cs="Garamond"/>
          <w:szCs w:val="22"/>
        </w:rPr>
        <w:fldChar w:fldCharType="begin"/>
      </w:r>
      <w:r w:rsidR="001E0B07">
        <w:rPr>
          <w:rFonts w:eastAsia="Garamond" w:cs="Garamond"/>
          <w:szCs w:val="22"/>
        </w:rPr>
        <w:instrText xml:space="preserve"> ADDIN ZOTERO_ITEM CSL_CITATION {"citationID":"VT8rLrn1","properties":{"formattedCitation":"(AMSA 2022)","plainCitation":"(AMSA 2022)","noteIndex":0},"citationItems":[{"id":17294,"uris":["http://zotero.org/groups/4977814/items/JU749SRX"],"itemData":{"id":17294,"type":"webpage","abstract":"Operators of Regulated Australian Vessels (RAV) and Foreign Vessels, as well as the shippers of livestock, have obligations when loading and transporting livestock from Australia.","container-title":"Australian Maritime Safety Authority","language":"en","title":"Transporting livestock from Australia","URL":"https://www.amsa.gov.au/vessels-operators/cargoes-and-dangerous-goods/transporting-livestock-australia","author":[{"family":"AMSA","given":""}],"accessed":{"date-parts":[["2023",4,14]]},"issued":{"date-parts":[["2022"]]}}}],"schema":"https://github.com/citation-style-language/schema/raw/master/csl-citation.json"} </w:instrText>
      </w:r>
      <w:r w:rsidR="00710729">
        <w:rPr>
          <w:rFonts w:eastAsia="Garamond" w:cs="Garamond"/>
          <w:szCs w:val="22"/>
        </w:rPr>
        <w:fldChar w:fldCharType="separate"/>
      </w:r>
      <w:r w:rsidR="00710729">
        <w:rPr>
          <w:rFonts w:eastAsia="Garamond" w:cs="Garamond"/>
          <w:noProof/>
          <w:szCs w:val="22"/>
        </w:rPr>
        <w:t>(AMSA 2022)</w:t>
      </w:r>
      <w:r w:rsidR="00710729">
        <w:rPr>
          <w:rFonts w:eastAsia="Garamond" w:cs="Garamond"/>
          <w:szCs w:val="22"/>
        </w:rPr>
        <w:fldChar w:fldCharType="end"/>
      </w:r>
      <w:r>
        <w:rPr>
          <w:rFonts w:eastAsia="Garamond" w:cs="Garamond"/>
          <w:szCs w:val="22"/>
        </w:rPr>
        <w:t>:</w:t>
      </w:r>
    </w:p>
    <w:p w14:paraId="566EA83F" w14:textId="163404E9" w:rsidR="003E15C2" w:rsidRDefault="003E15C2" w:rsidP="00B12684">
      <w:pPr>
        <w:pStyle w:val="ListParagraph"/>
        <w:rPr>
          <w:rFonts w:eastAsia="Garamond"/>
        </w:rPr>
      </w:pPr>
      <w:r>
        <w:rPr>
          <w:rFonts w:eastAsia="Garamond"/>
        </w:rPr>
        <w:t>The design, material, methods of construction and arrangement of fittings for the containment and movement of the livestock</w:t>
      </w:r>
    </w:p>
    <w:p w14:paraId="6E3969E0" w14:textId="6179FFF4" w:rsidR="003E15C2" w:rsidRDefault="003E15C2" w:rsidP="00B12684">
      <w:pPr>
        <w:pStyle w:val="ListParagraph"/>
        <w:rPr>
          <w:rFonts w:eastAsia="Garamond"/>
        </w:rPr>
      </w:pPr>
      <w:r>
        <w:rPr>
          <w:rFonts w:eastAsia="Garamond"/>
        </w:rPr>
        <w:t>Ventilation arrangements, including current test measurements, together with the gross volume of enclosed spaces</w:t>
      </w:r>
    </w:p>
    <w:p w14:paraId="2B9FB348" w14:textId="77777777" w:rsidR="003E15C2" w:rsidRDefault="003E15C2" w:rsidP="00B12684">
      <w:pPr>
        <w:pStyle w:val="ListParagraph"/>
        <w:rPr>
          <w:rFonts w:eastAsia="Garamond"/>
        </w:rPr>
      </w:pPr>
      <w:r>
        <w:rPr>
          <w:rFonts w:eastAsia="Garamond"/>
        </w:rPr>
        <w:t>Lighting</w:t>
      </w:r>
    </w:p>
    <w:p w14:paraId="28ADA334" w14:textId="77777777" w:rsidR="003E15C2" w:rsidRDefault="003E15C2" w:rsidP="00B12684">
      <w:pPr>
        <w:pStyle w:val="ListParagraph"/>
        <w:rPr>
          <w:rFonts w:eastAsia="Garamond"/>
        </w:rPr>
      </w:pPr>
      <w:r>
        <w:rPr>
          <w:rFonts w:eastAsia="Garamond"/>
        </w:rPr>
        <w:t>Provisions for storage and distribution of fodder and water</w:t>
      </w:r>
    </w:p>
    <w:p w14:paraId="285AD7C3" w14:textId="77777777" w:rsidR="003E15C2" w:rsidRDefault="003E15C2" w:rsidP="00B12684">
      <w:pPr>
        <w:pStyle w:val="ListParagraph"/>
        <w:rPr>
          <w:rFonts w:eastAsia="Garamond"/>
        </w:rPr>
      </w:pPr>
      <w:r>
        <w:rPr>
          <w:rFonts w:eastAsia="Garamond"/>
        </w:rPr>
        <w:t>Drainage arrangements</w:t>
      </w:r>
    </w:p>
    <w:p w14:paraId="40140D76" w14:textId="77777777" w:rsidR="003E15C2" w:rsidRDefault="003E15C2" w:rsidP="00B12684">
      <w:pPr>
        <w:pStyle w:val="ListParagraph"/>
        <w:rPr>
          <w:rFonts w:eastAsia="Garamond"/>
        </w:rPr>
      </w:pPr>
      <w:r>
        <w:rPr>
          <w:rFonts w:eastAsia="Garamond"/>
        </w:rPr>
        <w:t>Arrangements of main and secondary supplies of power</w:t>
      </w:r>
    </w:p>
    <w:p w14:paraId="5C55357E" w14:textId="77777777" w:rsidR="003E15C2" w:rsidRDefault="003E15C2" w:rsidP="00B12684">
      <w:pPr>
        <w:pStyle w:val="ListParagraph"/>
        <w:rPr>
          <w:rFonts w:eastAsia="Garamond"/>
        </w:rPr>
      </w:pPr>
      <w:r>
        <w:rPr>
          <w:rFonts w:eastAsia="Garamond"/>
        </w:rPr>
        <w:t>Provision of firefighting appliances</w:t>
      </w:r>
    </w:p>
    <w:p w14:paraId="4BF20381" w14:textId="16E8430C" w:rsidR="003E15C2" w:rsidRDefault="003E15C2" w:rsidP="00B12684">
      <w:pPr>
        <w:pStyle w:val="ListParagraph"/>
        <w:rPr>
          <w:rFonts w:eastAsia="Garamond"/>
        </w:rPr>
      </w:pPr>
      <w:r>
        <w:rPr>
          <w:rFonts w:eastAsia="Garamond"/>
        </w:rPr>
        <w:t>The general arrangement of the vessel, before and after modification, to carry livestock if a converted vessel.</w:t>
      </w:r>
    </w:p>
    <w:p w14:paraId="1E7D58D0" w14:textId="6B734A25" w:rsidR="003E15C2" w:rsidRDefault="003E15C2">
      <w:pPr>
        <w:tabs>
          <w:tab w:val="right" w:pos="9000"/>
        </w:tabs>
        <w:spacing w:before="120"/>
        <w:rPr>
          <w:rFonts w:eastAsia="Garamond" w:cs="Garamond"/>
          <w:szCs w:val="22"/>
        </w:rPr>
      </w:pPr>
      <w:r>
        <w:rPr>
          <w:rFonts w:eastAsia="Garamond" w:cs="Garamond"/>
          <w:szCs w:val="22"/>
        </w:rPr>
        <w:t xml:space="preserve">The concerns for a livestock carrier vessel </w:t>
      </w:r>
      <w:r w:rsidR="00421AAE">
        <w:rPr>
          <w:rFonts w:eastAsia="Garamond" w:cs="Garamond"/>
          <w:szCs w:val="22"/>
        </w:rPr>
        <w:t xml:space="preserve">are </w:t>
      </w:r>
      <w:r>
        <w:rPr>
          <w:rFonts w:eastAsia="Garamond" w:cs="Garamond"/>
          <w:szCs w:val="22"/>
        </w:rPr>
        <w:t xml:space="preserve">to ensure balance with even weight distribution, structural features associated with holding livestock are sound and will not fail mid-voyage, ventilation is optimised, and heat stress is minimised. In addition, the Marine Order 43 </w:t>
      </w:r>
      <w:r w:rsidR="00061E09">
        <w:rPr>
          <w:rFonts w:eastAsia="Garamond" w:cs="Garamond"/>
          <w:szCs w:val="22"/>
        </w:rPr>
        <w:t xml:space="preserve">(MO 43) </w:t>
      </w:r>
      <w:r>
        <w:rPr>
          <w:rFonts w:eastAsia="Garamond" w:cs="Garamond"/>
          <w:szCs w:val="22"/>
        </w:rPr>
        <w:t xml:space="preserve">outlines the minimal requirements for pen sizes </w:t>
      </w:r>
      <w:r w:rsidR="00800085">
        <w:rPr>
          <w:rFonts w:eastAsia="Garamond" w:cs="Garamond"/>
          <w:szCs w:val="22"/>
        </w:rPr>
        <w:fldChar w:fldCharType="begin"/>
      </w:r>
      <w:r w:rsidR="001E0B07">
        <w:rPr>
          <w:rFonts w:eastAsia="Garamond" w:cs="Garamond"/>
          <w:szCs w:val="22"/>
        </w:rPr>
        <w:instrText xml:space="preserve"> ADDIN ZOTERO_ITEM CSL_CITATION {"citationID":"wuCcWRfw","properties":{"formattedCitation":"(AMSA 2019)","plainCitation":"(AMSA 2019)","noteIndex":0},"citationItems":[{"id":17301,"uris":["http://zotero.org/groups/4977814/items/NSE47AVA"],"itemData":{"id":17301,"type":"report","abstract":"F2019C00887","archive_location":"au","collection-title":"Navigation Act 2012","language":"en","license":"https://www.legislation.gov.au/Content/Disclaimer","publisher":"Attorney-General's Department","publisher-place":"Canberra, ACT","title":"Marine Order 43 (Cargo and cargo handling — livestock) 2018","URL":"https://www.legislation.gov.au/Details/F2019C00887/Html/Text, http://www.legislation.gov.au/Details/F2019C00887","author":[{"family":"AMSA","given":""}],"accessed":{"date-parts":[["2023",4,12]]},"issued":{"date-parts":[["2019"]]}}}],"schema":"https://github.com/citation-style-language/schema/raw/master/csl-citation.json"} </w:instrText>
      </w:r>
      <w:r w:rsidR="00800085">
        <w:rPr>
          <w:rFonts w:eastAsia="Garamond" w:cs="Garamond"/>
          <w:szCs w:val="22"/>
        </w:rPr>
        <w:fldChar w:fldCharType="separate"/>
      </w:r>
      <w:r w:rsidR="00800085">
        <w:rPr>
          <w:rFonts w:eastAsia="Garamond" w:cs="Garamond"/>
          <w:noProof/>
          <w:szCs w:val="22"/>
        </w:rPr>
        <w:t>(AMSA 2019)</w:t>
      </w:r>
      <w:r w:rsidR="00800085">
        <w:rPr>
          <w:rFonts w:eastAsia="Garamond" w:cs="Garamond"/>
          <w:szCs w:val="22"/>
        </w:rPr>
        <w:fldChar w:fldCharType="end"/>
      </w:r>
      <w:r>
        <w:rPr>
          <w:rFonts w:eastAsia="Garamond" w:cs="Garamond"/>
          <w:szCs w:val="22"/>
        </w:rPr>
        <w:t xml:space="preserve">. Under the </w:t>
      </w:r>
      <w:r w:rsidR="000F253D">
        <w:rPr>
          <w:rFonts w:eastAsia="Garamond" w:cs="Garamond"/>
          <w:szCs w:val="22"/>
        </w:rPr>
        <w:t xml:space="preserve">Australian Standards for the Export of Livestock (ASEL) </w:t>
      </w:r>
      <w:r>
        <w:rPr>
          <w:rFonts w:eastAsia="Garamond" w:cs="Garamond"/>
          <w:szCs w:val="22"/>
        </w:rPr>
        <w:t>3.2 (Standard 5.3.2: Table 9) for animals loaded at a port north of the latitude 26</w:t>
      </w:r>
      <w:r>
        <w:rPr>
          <w:rFonts w:eastAsia="Garamond" w:cs="Garamond"/>
          <w:szCs w:val="22"/>
          <w:vertAlign w:val="superscript"/>
        </w:rPr>
        <w:t>o</w:t>
      </w:r>
      <w:r>
        <w:rPr>
          <w:rFonts w:eastAsia="Garamond" w:cs="Garamond"/>
          <w:szCs w:val="22"/>
        </w:rPr>
        <w:t>S, the minimum space required per head ranges from 0.99m</w:t>
      </w:r>
      <w:r>
        <w:rPr>
          <w:rFonts w:eastAsia="Garamond" w:cs="Garamond"/>
          <w:szCs w:val="22"/>
          <w:vertAlign w:val="superscript"/>
        </w:rPr>
        <w:t>2</w:t>
      </w:r>
      <w:r>
        <w:rPr>
          <w:rFonts w:eastAsia="Garamond" w:cs="Garamond"/>
          <w:szCs w:val="22"/>
        </w:rPr>
        <w:t xml:space="preserve"> for 200 kg cattle to 1.813m</w:t>
      </w:r>
      <w:r>
        <w:rPr>
          <w:rFonts w:eastAsia="Garamond" w:cs="Garamond"/>
          <w:szCs w:val="22"/>
          <w:vertAlign w:val="superscript"/>
        </w:rPr>
        <w:t>2</w:t>
      </w:r>
      <w:r>
        <w:rPr>
          <w:rFonts w:eastAsia="Garamond" w:cs="Garamond"/>
          <w:szCs w:val="22"/>
        </w:rPr>
        <w:t xml:space="preserve"> for 500 kg cattle (DAWE 2021). However, exporters can apply to use alternative pen spacing for these animals when accessing ‘near’ or ‘far’ markets (Standard 5.3.3: Table 10a and 10b). These range from 0.77m</w:t>
      </w:r>
      <w:r>
        <w:rPr>
          <w:rFonts w:eastAsia="Garamond" w:cs="Garamond"/>
          <w:szCs w:val="22"/>
          <w:vertAlign w:val="superscript"/>
        </w:rPr>
        <w:t>2</w:t>
      </w:r>
      <w:r>
        <w:rPr>
          <w:rFonts w:eastAsia="Garamond" w:cs="Garamond"/>
          <w:szCs w:val="22"/>
        </w:rPr>
        <w:t>/head for cattle 200 kg to 1.725m</w:t>
      </w:r>
      <w:r>
        <w:rPr>
          <w:rFonts w:eastAsia="Garamond" w:cs="Garamond"/>
          <w:szCs w:val="22"/>
          <w:vertAlign w:val="superscript"/>
        </w:rPr>
        <w:t>2</w:t>
      </w:r>
      <w:r>
        <w:rPr>
          <w:rFonts w:eastAsia="Garamond" w:cs="Garamond"/>
          <w:szCs w:val="22"/>
        </w:rPr>
        <w:t>/head (near markets) and 1.790m</w:t>
      </w:r>
      <w:r>
        <w:rPr>
          <w:rFonts w:eastAsia="Garamond" w:cs="Garamond"/>
          <w:szCs w:val="22"/>
          <w:vertAlign w:val="superscript"/>
        </w:rPr>
        <w:t>2</w:t>
      </w:r>
      <w:r>
        <w:rPr>
          <w:rFonts w:eastAsia="Garamond" w:cs="Garamond"/>
          <w:szCs w:val="22"/>
        </w:rPr>
        <w:t xml:space="preserve">/head (far markets) for cattle 500 kg </w:t>
      </w:r>
      <w:r w:rsidR="00800085">
        <w:rPr>
          <w:rFonts w:eastAsia="Garamond" w:cs="Garamond"/>
          <w:szCs w:val="22"/>
        </w:rPr>
        <w:fldChar w:fldCharType="begin"/>
      </w:r>
      <w:r w:rsidR="001E0B07">
        <w:rPr>
          <w:rFonts w:eastAsia="Garamond" w:cs="Garamond"/>
          <w:szCs w:val="22"/>
        </w:rPr>
        <w:instrText xml:space="preserve"> ADDIN ZOTERO_ITEM CSL_CITATION {"citationID":"kgEWOpS5","properties":{"formattedCitation":"(DAWE 2021)","plainCitation":"(DAWE 2021)","noteIndex":0},"citationItems":[{"id":17191,"uris":["http://zotero.org/groups/4977814/items/MGL462S4"],"itemData":{"id":17191,"type":"report","publisher-place":"Department of Agriculture, Water and the Environment, Canberra, Australia","title":"Australian Standards for the Export of Livestock 3.2","author":[{"family":"DAWE","given":""}],"issued":{"date-parts":[["2021"]]}}}],"schema":"https://github.com/citation-style-language/schema/raw/master/csl-citation.json"} </w:instrText>
      </w:r>
      <w:r w:rsidR="00800085">
        <w:rPr>
          <w:rFonts w:eastAsia="Garamond" w:cs="Garamond"/>
          <w:szCs w:val="22"/>
        </w:rPr>
        <w:fldChar w:fldCharType="separate"/>
      </w:r>
      <w:r w:rsidR="00800085">
        <w:rPr>
          <w:rFonts w:eastAsia="Garamond" w:cs="Garamond"/>
          <w:noProof/>
          <w:szCs w:val="22"/>
        </w:rPr>
        <w:t>(DAWE 2021)</w:t>
      </w:r>
      <w:r w:rsidR="00800085">
        <w:rPr>
          <w:rFonts w:eastAsia="Garamond" w:cs="Garamond"/>
          <w:szCs w:val="22"/>
        </w:rPr>
        <w:fldChar w:fldCharType="end"/>
      </w:r>
      <w:r>
        <w:rPr>
          <w:rFonts w:eastAsia="Garamond" w:cs="Garamond"/>
          <w:szCs w:val="22"/>
        </w:rPr>
        <w:t>.</w:t>
      </w:r>
    </w:p>
    <w:p w14:paraId="38AE3112" w14:textId="77777777" w:rsidR="00EF135F" w:rsidRDefault="00EF135F">
      <w:pPr>
        <w:tabs>
          <w:tab w:val="right" w:pos="9000"/>
        </w:tabs>
        <w:spacing w:before="120"/>
        <w:rPr>
          <w:rFonts w:eastAsia="Garamond" w:cs="Garamond"/>
          <w:szCs w:val="22"/>
        </w:rPr>
      </w:pPr>
    </w:p>
    <w:p w14:paraId="029E054D" w14:textId="77777777" w:rsidR="005A1D7A" w:rsidRDefault="005A1D7A" w:rsidP="005A1D7A">
      <w:pPr>
        <w:keepNext/>
        <w:tabs>
          <w:tab w:val="right" w:pos="9000"/>
        </w:tabs>
        <w:spacing w:before="120"/>
      </w:pPr>
      <w:r w:rsidRPr="005A1D7A">
        <w:rPr>
          <w:rFonts w:eastAsia="Garamond" w:cs="Garamond"/>
          <w:noProof/>
          <w:szCs w:val="22"/>
        </w:rPr>
        <w:lastRenderedPageBreak/>
        <w:drawing>
          <wp:inline distT="0" distB="0" distL="0" distR="0" wp14:anchorId="2C80A911" wp14:editId="5DBA4C4D">
            <wp:extent cx="5730541" cy="1601869"/>
            <wp:effectExtent l="0" t="0" r="0" b="0"/>
            <wp:docPr id="28671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15263" name=""/>
                    <pic:cNvPicPr/>
                  </pic:nvPicPr>
                  <pic:blipFill rotWithShape="1">
                    <a:blip r:embed="rId24" cstate="hqprint">
                      <a:extLst>
                        <a:ext uri="{28A0092B-C50C-407E-A947-70E740481C1C}">
                          <a14:useLocalDpi xmlns:a14="http://schemas.microsoft.com/office/drawing/2010/main"/>
                        </a:ext>
                      </a:extLst>
                    </a:blip>
                    <a:srcRect/>
                    <a:stretch>
                      <a:fillRect/>
                    </a:stretch>
                  </pic:blipFill>
                  <pic:spPr bwMode="auto">
                    <a:xfrm>
                      <a:off x="0" y="0"/>
                      <a:ext cx="5731510" cy="1602140"/>
                    </a:xfrm>
                    <a:prstGeom prst="rect">
                      <a:avLst/>
                    </a:prstGeom>
                    <a:ln>
                      <a:noFill/>
                    </a:ln>
                    <a:extLst>
                      <a:ext uri="{53640926-AAD7-44D8-BBD7-CCE9431645EC}">
                        <a14:shadowObscured xmlns:a14="http://schemas.microsoft.com/office/drawing/2010/main"/>
                      </a:ext>
                    </a:extLst>
                  </pic:spPr>
                </pic:pic>
              </a:graphicData>
            </a:graphic>
          </wp:inline>
        </w:drawing>
      </w:r>
    </w:p>
    <w:p w14:paraId="3E937E51" w14:textId="2F152463" w:rsidR="005A1D7A" w:rsidRDefault="005A1D7A" w:rsidP="005A1D7A">
      <w:pPr>
        <w:pStyle w:val="Caption"/>
      </w:pPr>
      <w:bookmarkStart w:id="50" w:name="_Ref221873281"/>
      <w:bookmarkStart w:id="51" w:name="_Toc226730775"/>
      <w:r>
        <w:t xml:space="preserve">Figure </w:t>
      </w:r>
      <w:fldSimple w:instr=" SEQ Figure \* ARABIC ">
        <w:r w:rsidR="00651A0D">
          <w:rPr>
            <w:noProof/>
          </w:rPr>
          <w:t>3</w:t>
        </w:r>
      </w:fldSimple>
      <w:bookmarkEnd w:id="50"/>
      <w:r>
        <w:tab/>
      </w:r>
      <w:r w:rsidR="00336F6F">
        <w:t>A purpose built livestock carrier vessel with opened and closed decks.</w:t>
      </w:r>
      <w:bookmarkEnd w:id="51"/>
    </w:p>
    <w:p w14:paraId="69B401D0" w14:textId="77777777" w:rsidR="00EF135F" w:rsidRPr="00EF135F" w:rsidRDefault="00EF135F" w:rsidP="00EF135F">
      <w:pPr>
        <w:rPr>
          <w:rFonts w:eastAsia="Garamond"/>
        </w:rPr>
      </w:pPr>
    </w:p>
    <w:p w14:paraId="79741BD1" w14:textId="77777777" w:rsidR="003E15C2" w:rsidRDefault="003E15C2" w:rsidP="00997AD7">
      <w:pPr>
        <w:pStyle w:val="Heading3"/>
        <w:spacing w:before="120"/>
      </w:pPr>
      <w:bookmarkStart w:id="52" w:name="_Toc219290007"/>
      <w:bookmarkStart w:id="53" w:name="_Toc226796954"/>
      <w:r>
        <w:t>Feed and fodder</w:t>
      </w:r>
      <w:bookmarkEnd w:id="52"/>
      <w:bookmarkEnd w:id="53"/>
    </w:p>
    <w:p w14:paraId="765C29BE" w14:textId="0D9443B9" w:rsidR="003E15C2" w:rsidRDefault="0003484F">
      <w:pPr>
        <w:tabs>
          <w:tab w:val="right" w:pos="9000"/>
        </w:tabs>
        <w:spacing w:before="120"/>
        <w:rPr>
          <w:rFonts w:eastAsia="Garamond" w:cs="Garamond"/>
          <w:szCs w:val="22"/>
        </w:rPr>
      </w:pPr>
      <w:r>
        <w:rPr>
          <w:rFonts w:eastAsia="Garamond" w:cs="Garamond"/>
          <w:szCs w:val="22"/>
        </w:rPr>
        <w:t>Management of fodder is important for risk management</w:t>
      </w:r>
      <w:r w:rsidR="00B14E97">
        <w:rPr>
          <w:rFonts w:eastAsia="Garamond" w:cs="Garamond"/>
          <w:szCs w:val="22"/>
        </w:rPr>
        <w:t xml:space="preserve"> on returning voyages</w:t>
      </w:r>
      <w:r>
        <w:rPr>
          <w:rFonts w:eastAsia="Garamond" w:cs="Garamond"/>
          <w:szCs w:val="22"/>
        </w:rPr>
        <w:t xml:space="preserve">. </w:t>
      </w:r>
      <w:r w:rsidR="003E15C2">
        <w:rPr>
          <w:rFonts w:eastAsia="Garamond" w:cs="Garamond"/>
          <w:szCs w:val="22"/>
        </w:rPr>
        <w:t xml:space="preserve">Voyages from Australia are typically classed as short (&lt;10 days), or long (10-31 days) </w:t>
      </w:r>
      <w:bookmarkStart w:id="54" w:name="_Hlk219734057"/>
      <w:r w:rsidR="00800085">
        <w:rPr>
          <w:rFonts w:eastAsia="Garamond" w:cs="Garamond"/>
          <w:szCs w:val="22"/>
        </w:rPr>
        <w:fldChar w:fldCharType="begin"/>
      </w:r>
      <w:r w:rsidR="001E0B07">
        <w:rPr>
          <w:rFonts w:eastAsia="Garamond" w:cs="Garamond"/>
          <w:szCs w:val="22"/>
        </w:rPr>
        <w:instrText xml:space="preserve"> ADDIN ZOTERO_ITEM CSL_CITATION {"citationID":"z2m553O4","properties":{"formattedCitation":"(DAWE 2021)","plainCitation":"(DAWE 2021)","noteIndex":0},"citationItems":[{"id":17191,"uris":["http://zotero.org/groups/4977814/items/MGL462S4"],"itemData":{"id":17191,"type":"report","publisher-place":"Department of Agriculture, Water and the Environment, Canberra, Australia","title":"Australian Standards for the Export of Livestock 3.2","author":[{"family":"DAWE","given":""}],"issued":{"date-parts":[["2021"]]}}}],"schema":"https://github.com/citation-style-language/schema/raw/master/csl-citation.json"} </w:instrText>
      </w:r>
      <w:r w:rsidR="00800085">
        <w:rPr>
          <w:rFonts w:eastAsia="Garamond" w:cs="Garamond"/>
          <w:szCs w:val="22"/>
        </w:rPr>
        <w:fldChar w:fldCharType="separate"/>
      </w:r>
      <w:r w:rsidR="00800085">
        <w:rPr>
          <w:rFonts w:eastAsia="Garamond" w:cs="Garamond"/>
          <w:noProof/>
          <w:szCs w:val="22"/>
        </w:rPr>
        <w:t>(DAWE 2021)</w:t>
      </w:r>
      <w:r w:rsidR="00800085">
        <w:rPr>
          <w:rFonts w:eastAsia="Garamond" w:cs="Garamond"/>
          <w:szCs w:val="22"/>
        </w:rPr>
        <w:fldChar w:fldCharType="end"/>
      </w:r>
      <w:bookmarkEnd w:id="54"/>
      <w:r w:rsidR="003E15C2">
        <w:rPr>
          <w:rFonts w:eastAsia="Garamond" w:cs="Garamond"/>
          <w:szCs w:val="22"/>
        </w:rPr>
        <w:t xml:space="preserve">. Under ASEL guidelines, voyages must </w:t>
      </w:r>
      <w:r w:rsidR="00620EAB">
        <w:rPr>
          <w:rFonts w:eastAsia="Garamond" w:cs="Garamond"/>
          <w:szCs w:val="22"/>
        </w:rPr>
        <w:t xml:space="preserve">be carrying fodder at a rate of 2.5% of liveweight per head per day, </w:t>
      </w:r>
      <w:r>
        <w:rPr>
          <w:rFonts w:eastAsia="Garamond" w:cs="Garamond"/>
          <w:szCs w:val="22"/>
        </w:rPr>
        <w:t xml:space="preserve">with </w:t>
      </w:r>
      <w:r w:rsidR="003E15C2">
        <w:rPr>
          <w:rFonts w:eastAsia="Garamond" w:cs="Garamond"/>
          <w:szCs w:val="22"/>
        </w:rPr>
        <w:t>a minimum of 1% of the required feed</w:t>
      </w:r>
      <w:r>
        <w:rPr>
          <w:rFonts w:eastAsia="Garamond" w:cs="Garamond"/>
          <w:szCs w:val="22"/>
        </w:rPr>
        <w:t xml:space="preserve"> </w:t>
      </w:r>
      <w:r w:rsidR="003E15C2">
        <w:rPr>
          <w:rFonts w:eastAsia="Garamond" w:cs="Garamond"/>
          <w:szCs w:val="22"/>
        </w:rPr>
        <w:t>as chaff or hay (Standard 5.3.7). Standard 5.1.14 (d) states that fodder is only allowed to be loaded post departure (i.e. sourced from another country) under exceptional circumstances and with written approval from the Department, and that importing country requirements must be met. Further, Standards 5.1.15 and 5.1.16 state that a minimum of three days of reserve feed and water must be carried on vessel</w:t>
      </w:r>
      <w:r w:rsidR="00665081">
        <w:rPr>
          <w:rFonts w:eastAsia="Garamond" w:cs="Garamond"/>
          <w:szCs w:val="22"/>
        </w:rPr>
        <w:t>s</w:t>
      </w:r>
      <w:r w:rsidR="003E15C2">
        <w:rPr>
          <w:rFonts w:eastAsia="Garamond" w:cs="Garamond"/>
          <w:szCs w:val="22"/>
        </w:rPr>
        <w:t xml:space="preserve"> to account for any unexpected delays, in addition to extra loading/unloading of provisions that must also be carried </w:t>
      </w:r>
      <w:r w:rsidR="00800085">
        <w:rPr>
          <w:rFonts w:eastAsia="Garamond" w:cs="Garamond"/>
          <w:szCs w:val="22"/>
        </w:rPr>
        <w:fldChar w:fldCharType="begin"/>
      </w:r>
      <w:r w:rsidR="001E0B07">
        <w:rPr>
          <w:rFonts w:eastAsia="Garamond" w:cs="Garamond"/>
          <w:szCs w:val="22"/>
        </w:rPr>
        <w:instrText xml:space="preserve"> ADDIN ZOTERO_ITEM CSL_CITATION {"citationID":"8DptrT0T","properties":{"formattedCitation":"(DAWE 2021)","plainCitation":"(DAWE 2021)","noteIndex":0},"citationItems":[{"id":17191,"uris":["http://zotero.org/groups/4977814/items/MGL462S4"],"itemData":{"id":17191,"type":"report","publisher-place":"Department of Agriculture, Water and the Environment, Canberra, Australia","title":"Australian Standards for the Export of Livestock 3.2","author":[{"family":"DAWE","given":""}],"issued":{"date-parts":[["2021"]]}}}],"schema":"https://github.com/citation-style-language/schema/raw/master/csl-citation.json"} </w:instrText>
      </w:r>
      <w:r w:rsidR="00800085">
        <w:rPr>
          <w:rFonts w:eastAsia="Garamond" w:cs="Garamond"/>
          <w:szCs w:val="22"/>
        </w:rPr>
        <w:fldChar w:fldCharType="separate"/>
      </w:r>
      <w:r w:rsidR="00800085">
        <w:rPr>
          <w:rFonts w:eastAsia="Garamond" w:cs="Garamond"/>
          <w:noProof/>
          <w:szCs w:val="22"/>
        </w:rPr>
        <w:t>(DAWE 2021)</w:t>
      </w:r>
      <w:r w:rsidR="00800085">
        <w:rPr>
          <w:rFonts w:eastAsia="Garamond" w:cs="Garamond"/>
          <w:szCs w:val="22"/>
        </w:rPr>
        <w:fldChar w:fldCharType="end"/>
      </w:r>
      <w:r w:rsidR="003E15C2">
        <w:rPr>
          <w:rFonts w:eastAsia="Garamond" w:cs="Garamond"/>
          <w:szCs w:val="22"/>
        </w:rPr>
        <w:t xml:space="preserve">. As a result, </w:t>
      </w:r>
      <w:r>
        <w:rPr>
          <w:rFonts w:eastAsia="Garamond" w:cs="Garamond"/>
          <w:szCs w:val="22"/>
        </w:rPr>
        <w:t>on most voyages</w:t>
      </w:r>
      <w:r w:rsidR="00421AAE">
        <w:rPr>
          <w:rFonts w:eastAsia="Garamond" w:cs="Garamond"/>
          <w:szCs w:val="22"/>
        </w:rPr>
        <w:t>,</w:t>
      </w:r>
      <w:r>
        <w:rPr>
          <w:rFonts w:eastAsia="Garamond" w:cs="Garamond"/>
          <w:szCs w:val="22"/>
        </w:rPr>
        <w:t xml:space="preserve"> </w:t>
      </w:r>
      <w:r w:rsidR="003E15C2">
        <w:rPr>
          <w:rFonts w:eastAsia="Garamond" w:cs="Garamond"/>
          <w:szCs w:val="22"/>
        </w:rPr>
        <w:t xml:space="preserve">vessels might return to Australia </w:t>
      </w:r>
      <w:r>
        <w:rPr>
          <w:rFonts w:eastAsia="Garamond" w:cs="Garamond"/>
          <w:szCs w:val="22"/>
        </w:rPr>
        <w:t>already carrying some fodder</w:t>
      </w:r>
      <w:r w:rsidR="003E15C2">
        <w:rPr>
          <w:rFonts w:eastAsia="Garamond" w:cs="Garamond"/>
          <w:szCs w:val="22"/>
        </w:rPr>
        <w:t xml:space="preserve">, creating a potential </w:t>
      </w:r>
      <w:r w:rsidR="00665081">
        <w:rPr>
          <w:rFonts w:eastAsia="Garamond" w:cs="Garamond"/>
          <w:szCs w:val="22"/>
        </w:rPr>
        <w:t xml:space="preserve">biosecurity </w:t>
      </w:r>
      <w:r w:rsidR="003E15C2">
        <w:rPr>
          <w:rFonts w:eastAsia="Garamond" w:cs="Garamond"/>
          <w:szCs w:val="22"/>
        </w:rPr>
        <w:t>hazard for exotic pests or insects. Under the ASEL Standard 5.1.14, Australian-origin feed from a previous journey may remain on the vessel in a feed storage tank</w:t>
      </w:r>
      <w:r w:rsidR="007F4F2C">
        <w:rPr>
          <w:rFonts w:eastAsia="Garamond" w:cs="Garamond"/>
          <w:szCs w:val="22"/>
        </w:rPr>
        <w:t xml:space="preserve"> or suitably secured on deck</w:t>
      </w:r>
      <w:r w:rsidR="003E15C2">
        <w:rPr>
          <w:rFonts w:eastAsia="Garamond" w:cs="Garamond"/>
          <w:szCs w:val="22"/>
        </w:rPr>
        <w:t>, provided that the tank</w:t>
      </w:r>
      <w:r w:rsidR="007F4F2C">
        <w:rPr>
          <w:rFonts w:eastAsia="Garamond" w:cs="Garamond"/>
          <w:szCs w:val="22"/>
        </w:rPr>
        <w:t>/deck</w:t>
      </w:r>
      <w:r w:rsidR="003E15C2">
        <w:rPr>
          <w:rFonts w:eastAsia="Garamond" w:cs="Garamond"/>
          <w:szCs w:val="22"/>
        </w:rPr>
        <w:t xml:space="preserve"> is completely emptied and cleaned at least every 90 days. If any feed is not suitable for consumption, the entire storage tank should be emptied and cleaned. Record</w:t>
      </w:r>
      <w:r w:rsidR="00665081">
        <w:rPr>
          <w:rFonts w:eastAsia="Garamond" w:cs="Garamond"/>
          <w:szCs w:val="22"/>
        </w:rPr>
        <w:t>s</w:t>
      </w:r>
      <w:r w:rsidR="003E15C2">
        <w:rPr>
          <w:rFonts w:eastAsia="Garamond" w:cs="Garamond"/>
          <w:szCs w:val="22"/>
        </w:rPr>
        <w:t xml:space="preserve"> must be kept of the emptying and cleaning schedules and </w:t>
      </w:r>
      <w:r w:rsidR="00665081">
        <w:rPr>
          <w:rFonts w:eastAsia="Garamond" w:cs="Garamond"/>
          <w:szCs w:val="22"/>
        </w:rPr>
        <w:t>available for</w:t>
      </w:r>
      <w:r w:rsidR="003E15C2">
        <w:rPr>
          <w:rFonts w:eastAsia="Garamond" w:cs="Garamond"/>
          <w:szCs w:val="22"/>
        </w:rPr>
        <w:t xml:space="preserve"> review by authorities when requested </w:t>
      </w:r>
      <w:r w:rsidR="00800085">
        <w:rPr>
          <w:rFonts w:eastAsia="Garamond" w:cs="Garamond"/>
          <w:szCs w:val="22"/>
        </w:rPr>
        <w:fldChar w:fldCharType="begin"/>
      </w:r>
      <w:r w:rsidR="001E0B07">
        <w:rPr>
          <w:rFonts w:eastAsia="Garamond" w:cs="Garamond"/>
          <w:szCs w:val="22"/>
        </w:rPr>
        <w:instrText xml:space="preserve"> ADDIN ZOTERO_ITEM CSL_CITATION {"citationID":"krKunyFo","properties":{"formattedCitation":"(DAWE 2021)","plainCitation":"(DAWE 2021)","noteIndex":0},"citationItems":[{"id":17191,"uris":["http://zotero.org/groups/4977814/items/MGL462S4"],"itemData":{"id":17191,"type":"report","publisher-place":"Department of Agriculture, Water and the Environment, Canberra, Australia","title":"Australian Standards for the Export of Livestock 3.2","author":[{"family":"DAWE","given":""}],"issued":{"date-parts":[["2021"]]}}}],"schema":"https://github.com/citation-style-language/schema/raw/master/csl-citation.json"} </w:instrText>
      </w:r>
      <w:r w:rsidR="00800085">
        <w:rPr>
          <w:rFonts w:eastAsia="Garamond" w:cs="Garamond"/>
          <w:szCs w:val="22"/>
        </w:rPr>
        <w:fldChar w:fldCharType="separate"/>
      </w:r>
      <w:r w:rsidR="00800085">
        <w:rPr>
          <w:rFonts w:eastAsia="Garamond" w:cs="Garamond"/>
          <w:noProof/>
          <w:szCs w:val="22"/>
        </w:rPr>
        <w:t>(DAWE 2021)</w:t>
      </w:r>
      <w:r w:rsidR="00800085">
        <w:rPr>
          <w:rFonts w:eastAsia="Garamond" w:cs="Garamond"/>
          <w:szCs w:val="22"/>
        </w:rPr>
        <w:fldChar w:fldCharType="end"/>
      </w:r>
      <w:r w:rsidR="003E15C2">
        <w:rPr>
          <w:rFonts w:eastAsia="Garamond" w:cs="Garamond"/>
          <w:szCs w:val="22"/>
        </w:rPr>
        <w:t>.</w:t>
      </w:r>
    </w:p>
    <w:p w14:paraId="0AA27B14" w14:textId="0EE691A6" w:rsidR="00D72544" w:rsidRDefault="00D72544" w:rsidP="00D72544">
      <w:pPr>
        <w:pStyle w:val="Heading3"/>
        <w:rPr>
          <w:rFonts w:eastAsia="Garamond"/>
        </w:rPr>
      </w:pPr>
      <w:bookmarkStart w:id="55" w:name="_Toc226796955"/>
      <w:r>
        <w:rPr>
          <w:rFonts w:eastAsia="Garamond"/>
        </w:rPr>
        <w:t>Waste and cleaning of BRM</w:t>
      </w:r>
      <w:bookmarkEnd w:id="55"/>
    </w:p>
    <w:p w14:paraId="0E04D82A" w14:textId="01E0E5C8" w:rsidR="00B14E97" w:rsidRPr="00D72544" w:rsidRDefault="00D72544" w:rsidP="00D72544">
      <w:pPr>
        <w:rPr>
          <w:rFonts w:eastAsia="Garamond"/>
        </w:rPr>
      </w:pPr>
      <w:r>
        <w:rPr>
          <w:rFonts w:eastAsia="Garamond"/>
        </w:rPr>
        <w:t xml:space="preserve">Until the time of discharge, waste management on the vessel </w:t>
      </w:r>
      <w:r w:rsidR="00665081">
        <w:rPr>
          <w:rFonts w:eastAsia="Garamond"/>
        </w:rPr>
        <w:t>complies</w:t>
      </w:r>
      <w:r>
        <w:rPr>
          <w:rFonts w:eastAsia="Garamond"/>
        </w:rPr>
        <w:t xml:space="preserve"> with the AMSA MO</w:t>
      </w:r>
      <w:r w:rsidR="00061E09">
        <w:rPr>
          <w:rFonts w:eastAsia="Garamond"/>
        </w:rPr>
        <w:t xml:space="preserve"> </w:t>
      </w:r>
      <w:r>
        <w:rPr>
          <w:rFonts w:eastAsia="Garamond"/>
        </w:rPr>
        <w:t>43 and ASEL. This covers frequency of cleaning (normally every 3–4 days, but depends on deck condition), compliance with MARPOL and ship arrangements for the management of effluent and storage of sewage (if within 12nm of shore). Once the discharge is completed and the vessel returned to international waters, cleaning becomes the priority. Cattle fe</w:t>
      </w:r>
      <w:r w:rsidR="00665081">
        <w:rPr>
          <w:rFonts w:eastAsia="Garamond"/>
        </w:rPr>
        <w:t>e</w:t>
      </w:r>
      <w:r>
        <w:rPr>
          <w:rFonts w:eastAsia="Garamond"/>
        </w:rPr>
        <w:t xml:space="preserve">d as discussed in </w:t>
      </w:r>
      <w:r w:rsidR="00061E09">
        <w:rPr>
          <w:rFonts w:eastAsia="Garamond"/>
        </w:rPr>
        <w:t>Section</w:t>
      </w:r>
      <w:r>
        <w:rPr>
          <w:rFonts w:eastAsia="Garamond"/>
        </w:rPr>
        <w:t xml:space="preserve"> 3.3.2 will produce around 10–15kg per day, or around 25 tonnes per day on a medium sized vessel. This is removed, and all surfaces cleaned (including walls, pen rails, gates and fodder and water troughs) to ensure no BRM remains. The vessel is then treated with </w:t>
      </w:r>
      <w:r w:rsidR="00665081">
        <w:rPr>
          <w:rFonts w:eastAsia="Garamond"/>
        </w:rPr>
        <w:t>s</w:t>
      </w:r>
      <w:r>
        <w:rPr>
          <w:rFonts w:eastAsia="Garamond"/>
        </w:rPr>
        <w:t xml:space="preserve">oda </w:t>
      </w:r>
      <w:r w:rsidR="00665081">
        <w:rPr>
          <w:rFonts w:eastAsia="Garamond"/>
        </w:rPr>
        <w:t>a</w:t>
      </w:r>
      <w:r>
        <w:rPr>
          <w:rFonts w:eastAsia="Garamond"/>
        </w:rPr>
        <w:t>sh or Virkon a</w:t>
      </w:r>
      <w:r w:rsidR="00665081">
        <w:rPr>
          <w:rFonts w:eastAsia="Garamond"/>
        </w:rPr>
        <w:t>t</w:t>
      </w:r>
      <w:r>
        <w:rPr>
          <w:rFonts w:eastAsia="Garamond"/>
        </w:rPr>
        <w:t xml:space="preserve"> a prescribed rate, and once completed disinsection can begin.</w:t>
      </w:r>
    </w:p>
    <w:p w14:paraId="48BA51CA" w14:textId="51A353B5" w:rsidR="003E15C2" w:rsidRDefault="001441D2" w:rsidP="003807D5">
      <w:pPr>
        <w:pStyle w:val="Heading3"/>
      </w:pPr>
      <w:bookmarkStart w:id="56" w:name="_Toc219290008"/>
      <w:bookmarkStart w:id="57" w:name="_Toc226796956"/>
      <w:r>
        <w:t>Matching risk to t</w:t>
      </w:r>
      <w:r w:rsidR="003E15C2">
        <w:t xml:space="preserve">ransit </w:t>
      </w:r>
      <w:r w:rsidR="003E15C2" w:rsidRPr="00B12684">
        <w:t>routes</w:t>
      </w:r>
      <w:bookmarkEnd w:id="56"/>
      <w:r>
        <w:t xml:space="preserve"> and visit history</w:t>
      </w:r>
      <w:bookmarkEnd w:id="57"/>
    </w:p>
    <w:p w14:paraId="2EE07E49" w14:textId="7CD63B5A" w:rsidR="003E15C2" w:rsidRDefault="003E15C2" w:rsidP="00D93B4A">
      <w:pPr>
        <w:tabs>
          <w:tab w:val="right" w:pos="9000"/>
        </w:tabs>
        <w:spacing w:after="240"/>
        <w:rPr>
          <w:rFonts w:eastAsia="Garamond" w:cs="Garamond"/>
          <w:szCs w:val="22"/>
        </w:rPr>
      </w:pPr>
      <w:r>
        <w:rPr>
          <w:rFonts w:eastAsia="Garamond" w:cs="Garamond"/>
          <w:szCs w:val="22"/>
        </w:rPr>
        <w:t xml:space="preserve">Common destinations over the last decade or so include countries in the following regions: Middle East/North Africa, South East Asia, North East Asia, South East Europe, Madagascar, Sri Lanka, western Russia ports and Mexico </w:t>
      </w:r>
      <w:r w:rsidR="00800085">
        <w:rPr>
          <w:rFonts w:eastAsia="Garamond" w:cs="Garamond"/>
          <w:szCs w:val="22"/>
        </w:rPr>
        <w:fldChar w:fldCharType="begin"/>
      </w:r>
      <w:r w:rsidR="001E0B07">
        <w:rPr>
          <w:rFonts w:eastAsia="Garamond" w:cs="Garamond"/>
          <w:szCs w:val="22"/>
        </w:rPr>
        <w:instrText xml:space="preserve"> ADDIN ZOTERO_ITEM CSL_CITATION {"citationID":"yht5ResU","properties":{"formattedCitation":"(Sadler et al. 2021)","plainCitation":"(Sadler et al. 2021)","noteIndex":0},"citationItems":[{"id":22425,"uris":["http://zotero.org/groups/6289862/items/X42J5DPL"],"itemData":{"id":22425,"type":"report","abstract":"The livestock export industry has collected daily mortality summaries of livestock export voyages since 1988 and produced an annual report for industry based on recent data. This review is the first attempt to collate and analyse all data collected since 1988, to better understand changes in industry performance (mortality) over this time.","language":"en","number":"W.LIV.0295","publisher":"MLA","source":"Zotero","title":"A review of Shipboard Mortality Data 1988–2017","author":[{"family":"Sadler","given":"Rohan"},{"family":"Leslie","given":"Edwina"},{"family":"Hillman","given":"Alison"},{"family":"Black","given":"Adam"},{"family":"Madin","given":"Ben"}],"issued":{"date-parts":[["2021"]]}}}],"schema":"https://github.com/citation-style-language/schema/raw/master/csl-citation.json"} </w:instrText>
      </w:r>
      <w:r w:rsidR="00800085">
        <w:rPr>
          <w:rFonts w:eastAsia="Garamond" w:cs="Garamond"/>
          <w:szCs w:val="22"/>
        </w:rPr>
        <w:fldChar w:fldCharType="separate"/>
      </w:r>
      <w:r w:rsidR="00800085">
        <w:rPr>
          <w:rFonts w:eastAsia="Garamond" w:cs="Garamond"/>
          <w:noProof/>
          <w:szCs w:val="22"/>
        </w:rPr>
        <w:t>(Sadler et al. 2021)</w:t>
      </w:r>
      <w:r w:rsidR="00800085">
        <w:rPr>
          <w:rFonts w:eastAsia="Garamond" w:cs="Garamond"/>
          <w:szCs w:val="22"/>
        </w:rPr>
        <w:fldChar w:fldCharType="end"/>
      </w:r>
      <w:r>
        <w:rPr>
          <w:rFonts w:eastAsia="Garamond" w:cs="Garamond"/>
          <w:szCs w:val="22"/>
        </w:rPr>
        <w:t>. Vessels may do several back-to-back voyages between Australia and a foreign port</w:t>
      </w:r>
      <w:r w:rsidR="00D00DEB">
        <w:rPr>
          <w:rFonts w:eastAsia="Garamond" w:cs="Garamond"/>
          <w:szCs w:val="22"/>
        </w:rPr>
        <w:t xml:space="preserve"> (</w:t>
      </w:r>
      <w:r w:rsidR="00D00DEB">
        <w:rPr>
          <w:rFonts w:eastAsia="Garamond" w:cs="Garamond"/>
          <w:szCs w:val="22"/>
        </w:rPr>
        <w:fldChar w:fldCharType="begin"/>
      </w:r>
      <w:r w:rsidR="00D00DEB">
        <w:rPr>
          <w:rFonts w:eastAsia="Garamond" w:cs="Garamond"/>
          <w:szCs w:val="22"/>
        </w:rPr>
        <w:instrText xml:space="preserve"> REF _Ref221887640 \h </w:instrText>
      </w:r>
      <w:r w:rsidR="00D00DEB">
        <w:rPr>
          <w:rFonts w:eastAsia="Garamond" w:cs="Garamond"/>
          <w:szCs w:val="22"/>
        </w:rPr>
      </w:r>
      <w:r w:rsidR="00D00DEB">
        <w:rPr>
          <w:rFonts w:eastAsia="Garamond" w:cs="Garamond"/>
          <w:szCs w:val="22"/>
        </w:rPr>
        <w:fldChar w:fldCharType="separate"/>
      </w:r>
      <w:r w:rsidR="00651A0D">
        <w:t xml:space="preserve">Figure </w:t>
      </w:r>
      <w:r w:rsidR="00651A0D">
        <w:rPr>
          <w:noProof/>
        </w:rPr>
        <w:t>4</w:t>
      </w:r>
      <w:r w:rsidR="00D00DEB">
        <w:rPr>
          <w:rFonts w:eastAsia="Garamond" w:cs="Garamond"/>
          <w:szCs w:val="22"/>
        </w:rPr>
        <w:fldChar w:fldCharType="end"/>
      </w:r>
      <w:r w:rsidR="00D00DEB">
        <w:rPr>
          <w:rFonts w:eastAsia="Garamond" w:cs="Garamond"/>
          <w:szCs w:val="22"/>
        </w:rPr>
        <w:t>)</w:t>
      </w:r>
      <w:r>
        <w:rPr>
          <w:rFonts w:eastAsia="Garamond" w:cs="Garamond"/>
          <w:szCs w:val="22"/>
        </w:rPr>
        <w:t xml:space="preserve">. These vessels are </w:t>
      </w:r>
      <w:r w:rsidR="0003484F">
        <w:rPr>
          <w:rFonts w:eastAsia="Garamond" w:cs="Garamond"/>
          <w:szCs w:val="22"/>
        </w:rPr>
        <w:t xml:space="preserve">anticipated </w:t>
      </w:r>
      <w:r>
        <w:rPr>
          <w:rFonts w:eastAsia="Garamond" w:cs="Garamond"/>
          <w:szCs w:val="22"/>
        </w:rPr>
        <w:t xml:space="preserve">to pose a lower risk as the Master and crew are aware of the strict biosecurity requirements in Australia, and have </w:t>
      </w:r>
      <w:r w:rsidR="00421AAE">
        <w:rPr>
          <w:rFonts w:eastAsia="Garamond" w:cs="Garamond"/>
          <w:szCs w:val="22"/>
        </w:rPr>
        <w:t>experience meeting this</w:t>
      </w:r>
      <w:r>
        <w:rPr>
          <w:rFonts w:eastAsia="Garamond" w:cs="Garamond"/>
          <w:szCs w:val="22"/>
        </w:rPr>
        <w:t xml:space="preserve"> high standard of </w:t>
      </w:r>
      <w:r w:rsidR="003A76E4">
        <w:rPr>
          <w:rFonts w:eastAsia="Garamond" w:cs="Garamond"/>
          <w:szCs w:val="22"/>
        </w:rPr>
        <w:t>clean</w:t>
      </w:r>
      <w:r>
        <w:rPr>
          <w:rFonts w:eastAsia="Garamond" w:cs="Garamond"/>
          <w:szCs w:val="22"/>
        </w:rPr>
        <w:t>liness. These vessels also have a negligible likelihood of transporting infectious livestock as they have only been carrying Australian livestock.</w:t>
      </w:r>
      <w:r w:rsidR="00C44AF7">
        <w:rPr>
          <w:rFonts w:eastAsia="Garamond" w:cs="Garamond"/>
          <w:szCs w:val="22"/>
        </w:rPr>
        <w:t xml:space="preserve"> However, those with shorter </w:t>
      </w:r>
      <w:r w:rsidR="00C44AF7">
        <w:rPr>
          <w:rFonts w:eastAsia="Garamond" w:cs="Garamond"/>
          <w:szCs w:val="22"/>
        </w:rPr>
        <w:lastRenderedPageBreak/>
        <w:t>return voyages may face challenges in cleaning to a high standard due to limited time.</w:t>
      </w:r>
      <w:r w:rsidR="0003484F">
        <w:rPr>
          <w:rFonts w:eastAsia="Garamond" w:cs="Garamond"/>
          <w:szCs w:val="22"/>
        </w:rPr>
        <w:t xml:space="preserve"> A </w:t>
      </w:r>
      <w:r w:rsidR="009E1EA2">
        <w:rPr>
          <w:rFonts w:eastAsia="Garamond" w:cs="Garamond"/>
          <w:szCs w:val="22"/>
        </w:rPr>
        <w:t>four</w:t>
      </w:r>
      <w:r w:rsidR="0003484F">
        <w:rPr>
          <w:rFonts w:eastAsia="Garamond" w:cs="Garamond"/>
          <w:szCs w:val="22"/>
        </w:rPr>
        <w:t xml:space="preserve"> day return voyage from Indonesia to Fremantle only allows three days for cleaning before the holds have to be treated with soda ash and Insectigas</w:t>
      </w:r>
      <w:r w:rsidR="0030397D" w:rsidRPr="00997AD7">
        <w:rPr>
          <w:rFonts w:eastAsia="Garamond" w:cs="Garamond"/>
          <w:szCs w:val="22"/>
          <w:vertAlign w:val="superscript"/>
        </w:rPr>
        <w:t>®</w:t>
      </w:r>
      <w:r w:rsidR="0003484F">
        <w:rPr>
          <w:rFonts w:eastAsia="Garamond" w:cs="Garamond"/>
          <w:szCs w:val="22"/>
        </w:rPr>
        <w:t>.</w:t>
      </w:r>
      <w:r w:rsidR="002F776D">
        <w:rPr>
          <w:rFonts w:eastAsia="Garamond" w:cs="Garamond"/>
          <w:szCs w:val="22"/>
        </w:rPr>
        <w:t xml:space="preserve"> As a result, vessels may travel slowly or slightly longer routes to allow for time.</w:t>
      </w:r>
    </w:p>
    <w:p w14:paraId="7559906E" w14:textId="62826AF1" w:rsidR="003E15C2" w:rsidRDefault="003E15C2">
      <w:pPr>
        <w:tabs>
          <w:tab w:val="right" w:pos="9000"/>
        </w:tabs>
        <w:rPr>
          <w:rFonts w:eastAsia="Garamond" w:cs="Garamond"/>
          <w:szCs w:val="22"/>
        </w:rPr>
      </w:pPr>
      <w:r>
        <w:rPr>
          <w:rFonts w:eastAsia="Garamond" w:cs="Garamond"/>
          <w:szCs w:val="22"/>
        </w:rPr>
        <w:t>As vessels are contracted by various export companies, they may have voyages between other countries before returning to Australia. The biosecurity requirements</w:t>
      </w:r>
      <w:r w:rsidR="00294893">
        <w:rPr>
          <w:rFonts w:eastAsia="Garamond" w:cs="Garamond"/>
          <w:szCs w:val="22"/>
        </w:rPr>
        <w:t xml:space="preserve"> and standards</w:t>
      </w:r>
      <w:r>
        <w:rPr>
          <w:rFonts w:eastAsia="Garamond" w:cs="Garamond"/>
          <w:szCs w:val="22"/>
        </w:rPr>
        <w:t xml:space="preserve"> of these countries may be lower than what is enforced on entry to Australia. This may increase the likelihood that vessels may transport infectious animals, and become more heavily contaminated with BRM.</w:t>
      </w:r>
    </w:p>
    <w:p w14:paraId="1C026403" w14:textId="77777777" w:rsidR="00097480" w:rsidRDefault="00097480" w:rsidP="00097480">
      <w:pPr>
        <w:keepNext/>
        <w:tabs>
          <w:tab w:val="right" w:pos="9000"/>
        </w:tabs>
      </w:pPr>
      <w:r w:rsidRPr="00097480">
        <w:rPr>
          <w:rFonts w:eastAsia="Garamond" w:cs="Garamond"/>
          <w:noProof/>
          <w:szCs w:val="22"/>
        </w:rPr>
        <w:drawing>
          <wp:inline distT="0" distB="0" distL="0" distR="0" wp14:anchorId="4F73FACA" wp14:editId="19F4C1C4">
            <wp:extent cx="5731510" cy="2727960"/>
            <wp:effectExtent l="0" t="0" r="0" b="0"/>
            <wp:docPr id="43593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3916"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5731510" cy="2727960"/>
                    </a:xfrm>
                    <a:prstGeom prst="rect">
                      <a:avLst/>
                    </a:prstGeom>
                  </pic:spPr>
                </pic:pic>
              </a:graphicData>
            </a:graphic>
          </wp:inline>
        </w:drawing>
      </w:r>
    </w:p>
    <w:p w14:paraId="7D765ADD" w14:textId="43E09BAB" w:rsidR="00097480" w:rsidRDefault="00097480" w:rsidP="00097480">
      <w:pPr>
        <w:pStyle w:val="Caption"/>
        <w:rPr>
          <w:rFonts w:eastAsia="Garamond" w:cs="Garamond"/>
          <w:szCs w:val="22"/>
        </w:rPr>
      </w:pPr>
      <w:bookmarkStart w:id="58" w:name="_Ref221887640"/>
      <w:bookmarkStart w:id="59" w:name="_Toc226730776"/>
      <w:r>
        <w:t xml:space="preserve">Figure </w:t>
      </w:r>
      <w:fldSimple w:instr=" SEQ Figure \* ARABIC ">
        <w:r w:rsidR="00651A0D">
          <w:rPr>
            <w:noProof/>
          </w:rPr>
          <w:t>4</w:t>
        </w:r>
      </w:fldSimple>
      <w:bookmarkEnd w:id="58"/>
      <w:r>
        <w:tab/>
        <w:t>Common livestock transport routes from Australia.</w:t>
      </w:r>
      <w:bookmarkEnd w:id="59"/>
    </w:p>
    <w:p w14:paraId="0806CAF8" w14:textId="77777777" w:rsidR="003E15C2" w:rsidRDefault="003E15C2" w:rsidP="001C31C0">
      <w:pPr>
        <w:pStyle w:val="Heading2"/>
        <w:spacing w:before="240" w:after="240"/>
        <w:ind w:left="578" w:hanging="578"/>
      </w:pPr>
      <w:bookmarkStart w:id="60" w:name="_Toc219290009"/>
      <w:bookmarkStart w:id="61" w:name="_Toc226796957"/>
      <w:r>
        <w:t>Biosecurity risk material</w:t>
      </w:r>
      <w:bookmarkEnd w:id="60"/>
      <w:bookmarkEnd w:id="61"/>
    </w:p>
    <w:p w14:paraId="07A53B14" w14:textId="2DFD85D2" w:rsidR="003E15C2" w:rsidRDefault="00A549AC">
      <w:pPr>
        <w:tabs>
          <w:tab w:val="right" w:pos="9000"/>
        </w:tabs>
        <w:spacing w:before="120"/>
        <w:rPr>
          <w:rFonts w:eastAsia="Garamond" w:cs="Garamond"/>
          <w:szCs w:val="22"/>
        </w:rPr>
      </w:pPr>
      <w:r>
        <w:rPr>
          <w:rFonts w:eastAsia="Garamond" w:cs="Garamond"/>
          <w:szCs w:val="22"/>
        </w:rPr>
        <w:t xml:space="preserve">Biosecurity risk material </w:t>
      </w:r>
      <w:r w:rsidR="003E15C2">
        <w:rPr>
          <w:rFonts w:eastAsia="Garamond" w:cs="Garamond"/>
          <w:szCs w:val="22"/>
        </w:rPr>
        <w:t xml:space="preserve">refers to, but not limited to animal material, live animals such as rodents, food scraps, plant material, live plants, live invertebrates, and evidence of their presence, plant pathogens, soil, and water </w:t>
      </w:r>
      <w:r w:rsidR="00C231B4">
        <w:rPr>
          <w:rFonts w:eastAsia="Garamond" w:cs="Garamond"/>
          <w:szCs w:val="22"/>
        </w:rPr>
        <w:fldChar w:fldCharType="begin"/>
      </w:r>
      <w:r w:rsidR="001E0B07">
        <w:rPr>
          <w:rFonts w:eastAsia="Garamond" w:cs="Garamond"/>
          <w:szCs w:val="22"/>
        </w:rPr>
        <w:instrText xml:space="preserve"> ADDIN ZOTERO_ITEM CSL_CITATION {"citationID":"Vj7nyacv","properties":{"formattedCitation":"(DAFF 2023)","plainCitation":"(DAFF 2023)","noteIndex":0},"citationItems":[{"id":17259,"uris":["http://zotero.org/groups/4977814/items/JRCVVG9U"],"itemData":{"id":17259,"type":"webpage","title":"BICON - Import Conditions - Conditions","URL":"https://bicon.agriculture.gov.au/BiconWeb4.0/ImportConditions/Conditions?EvaluatableElementId=718623&amp;Path=UNDEFINED&amp;UserContext=External&amp;EvaluationStateId=93c01821-e269-4aae-81a3-9f17ac3bcc6c&amp;CaseElementPk=2070855&amp;EvaluationPhase=ImportDefinition&amp;HasAlerts=True&amp;HasChangeNotices=False&amp;IsAEP=False","author":[{"family":"DAFF","given":""}],"accessed":{"date-parts":[["2023",4,20]]},"issued":{"date-parts":[["2023"]]}}}],"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(DAFF 2023)</w:t>
      </w:r>
      <w:r w:rsidR="00C231B4">
        <w:rPr>
          <w:rFonts w:eastAsia="Garamond" w:cs="Garamond"/>
          <w:szCs w:val="22"/>
        </w:rPr>
        <w:fldChar w:fldCharType="end"/>
      </w:r>
      <w:r w:rsidR="003E15C2">
        <w:rPr>
          <w:rFonts w:eastAsia="Garamond" w:cs="Garamond"/>
          <w:szCs w:val="22"/>
        </w:rPr>
        <w:t xml:space="preserve">. As discussed previously, all incoming livestock </w:t>
      </w:r>
      <w:r>
        <w:rPr>
          <w:rFonts w:eastAsia="Garamond" w:cs="Garamond"/>
          <w:szCs w:val="22"/>
        </w:rPr>
        <w:t xml:space="preserve">carrier </w:t>
      </w:r>
      <w:r w:rsidR="003E15C2">
        <w:rPr>
          <w:rFonts w:eastAsia="Garamond" w:cs="Garamond"/>
          <w:szCs w:val="22"/>
        </w:rPr>
        <w:t xml:space="preserve">vessels, regardless of their port of departure are required to undergo returning vessel inspections. When the inspections are occurring, inspectors look for evidence of live or dead stow away animals, including invertebrates. Surfaces will be inspected for evidence of egg masses, holes or frass (the powdery substance expelled by borers). Unprocessed plant material, even that used as packaging may harbour pest invertebrate or seeds. Stagnant or pooled water should not be present as it can harbour invertebrates such as mosquitoes and other pest eggs. Organic material, such as mud or manure on equipment and machinery can provide environments for eggs and larvae </w:t>
      </w:r>
      <w:r w:rsidR="00800085">
        <w:rPr>
          <w:rFonts w:eastAsia="Garamond" w:cs="Garamond"/>
          <w:szCs w:val="22"/>
        </w:rPr>
        <w:fldChar w:fldCharType="begin"/>
      </w:r>
      <w:r w:rsidR="001E0B07">
        <w:rPr>
          <w:rFonts w:eastAsia="Garamond" w:cs="Garamond"/>
          <w:szCs w:val="22"/>
        </w:rPr>
        <w:instrText xml:space="preserve"> ADDIN ZOTERO_ITEM CSL_CITATION {"citationID":"wF0M94MA","properties":{"formattedCitation":"(DAFF 2022b)","plainCitation":"(DAFF 2022b)","noteIndex":0},"citationItems":[{"id":22396,"uris":["http://zotero.org/groups/6289862/items/PMPJWDTR"],"itemData":{"id":22396,"type":"webpage","abstract":"Exotic pests, diseases and weeds can hitch a ride to Australia with vessels, shipping containers and break-bulk cargo. If they establish here they can wipe out entire food crops, harm our animals and damage our beautiful environment. Some pests could even change our way of life forever. We manage these risks through stringent import conditions. But we also need your help.","language":"en","title":"Check cargo, containers and vessels for pests - DAFF","URL":"https://www.agriculture.gov.au/biosecurity-trade/import/arrival/pests","author":[{"family":"DAFF","given":""}],"accessed":{"date-parts":[["2025",11,24]]},"issued":{"date-parts":[["2022",1,28]]}}}],"schema":"https://github.com/citation-style-language/schema/raw/master/csl-citation.json"} </w:instrText>
      </w:r>
      <w:r w:rsidR="00800085">
        <w:rPr>
          <w:rFonts w:eastAsia="Garamond" w:cs="Garamond"/>
          <w:szCs w:val="22"/>
        </w:rPr>
        <w:fldChar w:fldCharType="separate"/>
      </w:r>
      <w:r w:rsidR="00800085">
        <w:rPr>
          <w:rFonts w:eastAsia="Garamond" w:cs="Garamond"/>
          <w:noProof/>
          <w:szCs w:val="22"/>
        </w:rPr>
        <w:t>(DAFF 2022b)</w:t>
      </w:r>
      <w:r w:rsidR="00800085">
        <w:rPr>
          <w:rFonts w:eastAsia="Garamond" w:cs="Garamond"/>
          <w:szCs w:val="22"/>
        </w:rPr>
        <w:fldChar w:fldCharType="end"/>
      </w:r>
      <w:r w:rsidR="003E15C2">
        <w:rPr>
          <w:rFonts w:eastAsia="Garamond" w:cs="Garamond"/>
          <w:szCs w:val="22"/>
        </w:rPr>
        <w:t>. Organic material can also contain pathogens</w:t>
      </w:r>
      <w:r w:rsidR="00C15A1F">
        <w:rPr>
          <w:rFonts w:eastAsia="Garamond" w:cs="Garamond"/>
          <w:szCs w:val="22"/>
        </w:rPr>
        <w:t>,</w:t>
      </w:r>
      <w:r w:rsidR="003E15C2">
        <w:rPr>
          <w:rFonts w:eastAsia="Garamond" w:cs="Garamond"/>
          <w:szCs w:val="22"/>
        </w:rPr>
        <w:t xml:space="preserve"> such as FMD</w:t>
      </w:r>
      <w:r w:rsidR="0003484F">
        <w:rPr>
          <w:rFonts w:eastAsia="Garamond" w:cs="Garamond"/>
          <w:szCs w:val="22"/>
        </w:rPr>
        <w:t xml:space="preserve"> </w:t>
      </w:r>
      <w:r w:rsidR="003E15C2">
        <w:rPr>
          <w:rFonts w:eastAsia="Garamond" w:cs="Garamond"/>
          <w:szCs w:val="22"/>
        </w:rPr>
        <w:t>V</w:t>
      </w:r>
      <w:r w:rsidR="0003484F">
        <w:rPr>
          <w:rFonts w:eastAsia="Garamond" w:cs="Garamond"/>
          <w:szCs w:val="22"/>
        </w:rPr>
        <w:t>irus (FMDV)</w:t>
      </w:r>
      <w:r w:rsidR="003E15C2">
        <w:rPr>
          <w:rFonts w:eastAsia="Garamond" w:cs="Garamond"/>
          <w:szCs w:val="22"/>
        </w:rPr>
        <w:t>. However, if appropriate biosecurity measures are implemented when personnel disembark the vessel, such as footbaths, the likelihood of FMDV being spread should be reduced.</w:t>
      </w:r>
    </w:p>
    <w:p w14:paraId="68D81D78" w14:textId="09242882" w:rsidR="003E15C2" w:rsidRDefault="003E15C2">
      <w:pPr>
        <w:tabs>
          <w:tab w:val="right" w:pos="9000"/>
        </w:tabs>
        <w:spacing w:before="120"/>
        <w:rPr>
          <w:rFonts w:eastAsia="Garamond" w:cs="Garamond"/>
          <w:szCs w:val="22"/>
        </w:rPr>
      </w:pPr>
      <w:r>
        <w:rPr>
          <w:rFonts w:eastAsia="Garamond" w:cs="Garamond"/>
          <w:szCs w:val="22"/>
        </w:rPr>
        <w:t xml:space="preserve">Commercial and non-commercial vessels are known to be vectors for terrestrial invertebrates. There are three </w:t>
      </w:r>
      <w:r w:rsidR="00A549AC">
        <w:rPr>
          <w:rFonts w:eastAsia="Garamond" w:cs="Garamond"/>
          <w:szCs w:val="22"/>
        </w:rPr>
        <w:t xml:space="preserve">primary introduction </w:t>
      </w:r>
      <w:r>
        <w:rPr>
          <w:rFonts w:eastAsia="Garamond" w:cs="Garamond"/>
          <w:szCs w:val="22"/>
        </w:rPr>
        <w:t>routes</w:t>
      </w:r>
      <w:r w:rsidR="00A549AC">
        <w:rPr>
          <w:rFonts w:eastAsia="Garamond" w:cs="Garamond"/>
          <w:szCs w:val="22"/>
        </w:rPr>
        <w:t xml:space="preserve">, 1. </w:t>
      </w:r>
      <w:r>
        <w:rPr>
          <w:rFonts w:eastAsia="Garamond" w:cs="Garamond"/>
          <w:szCs w:val="22"/>
        </w:rPr>
        <w:t>contamination of food stores (human and cattle), ornamental plants, wood, animals, and freshwater storage</w:t>
      </w:r>
      <w:r w:rsidR="00A549AC">
        <w:rPr>
          <w:rFonts w:eastAsia="Garamond" w:cs="Garamond"/>
          <w:szCs w:val="22"/>
        </w:rPr>
        <w:t>, 2.</w:t>
      </w:r>
      <w:r>
        <w:rPr>
          <w:rFonts w:eastAsia="Garamond" w:cs="Garamond"/>
          <w:szCs w:val="22"/>
        </w:rPr>
        <w:t xml:space="preserve"> hitch hiker or stowaways associated with cargo and </w:t>
      </w:r>
      <w:r w:rsidR="00A549AC">
        <w:rPr>
          <w:rFonts w:eastAsia="Garamond" w:cs="Garamond"/>
          <w:szCs w:val="22"/>
        </w:rPr>
        <w:t xml:space="preserve">3. </w:t>
      </w:r>
      <w:r>
        <w:rPr>
          <w:rFonts w:eastAsia="Garamond" w:cs="Garamond"/>
          <w:szCs w:val="22"/>
        </w:rPr>
        <w:t xml:space="preserve">within vessel </w:t>
      </w:r>
      <w:bookmarkStart w:id="62" w:name="_Hlk219734166"/>
      <w:r w:rsidR="0010454D">
        <w:rPr>
          <w:rFonts w:eastAsia="Garamond" w:cs="Garamond"/>
          <w:szCs w:val="22"/>
        </w:rPr>
        <w:t xml:space="preserve">infrastructure </w:t>
      </w:r>
      <w:r w:rsidR="00C231B4">
        <w:rPr>
          <w:rFonts w:eastAsia="Garamond" w:cs="Garamond"/>
          <w:szCs w:val="22"/>
        </w:rPr>
        <w:fldChar w:fldCharType="begin"/>
      </w:r>
      <w:r w:rsidR="001E0B07">
        <w:rPr>
          <w:rFonts w:eastAsia="Garamond" w:cs="Garamond"/>
          <w:szCs w:val="22"/>
        </w:rPr>
        <w:instrText xml:space="preserve"> ADDIN ZOTERO_ITEM CSL_CITATION {"citationID":"LRDo3DdA","properties":{"formattedCitation":"(McKirdy et al. 2019)","plainCitation":"(McKirdy et al. 2019)","noteIndex":0},"citationItems":[{"id":22362,"uris":["http://zotero.org/groups/6289862/items/8ZLXAI4E"],"itemData":{"id":22362,"type":"article-journal","abstract":"Large sea-going passenger vessels can pose a high biosecurity risk. The risk posed by marine species is well documented, but rarely the risk posed by terrestrial arthropods. We conducted the longest running, most extensive monitoring program of terrestrial arthropods undertaken on board a passenger vessel. Surveillance was conducted over a 19-month period on a large passenger (cruise) vessel that originated in the Baltic Sea (Estonia). The vessel was used as an accommodation facility to house workers at Barrow Island (Australia) for 15 months, during which 73,061 terrestrial arthropods (222 species - four non-indigenous (NIS) to Australia) were collected and identified on board. Detection of Tribolium destructor Uytt., a high-risk NIS to Australia, triggered an eradication effort on the vessel. This effort totalled more than 13,700 human hours and included strict biosecurity protocols to ensure that this and other non-indigenous species (NIS) were not spread from the vessel to Barrow Island or mainland Australia. Our data demonstrate that despite the difficulties of biosecurity on large vessels, stringent protocols can stop NIS spreading from vessels, even where vessel-wide eradication is not possible. We highlight the difficulties associated with detecting and eradicating NIS on large vessels and provide the first detailed list of species that inhabit a vessel of this kind.","container-title":"Scientific Reports","DOI":"10.1038/s41598-019-55554-4","ISSN":"2045-2322","issue":"1","journalAbbreviation":"Sci Rep","language":"en","license":"2019 The Author(s)","page":"19339","publisher":"Nature Publishing Group","source":"www.nature.com","title":"Biosecurity risks posed by a large sea-going passenger vessel: challenges of terrestrial arthropod species detection and eradication","title-short":"Biosecurity risks posed by a large sea-going passenger vessel","volume":"9","author":[{"family":"McKirdy","given":"Simon J."},{"family":"O’Connor","given":"Simon"},{"family":"Thomas","given":"Melissa L."},{"family":"Horton","given":"Kristin L."},{"family":"Williams","given":"Angus"},{"family":"Hardie","given":"Darryl"},{"family":"Coupland","given":"Grey T."},{"family":"Merwe","given":"Johann","non-dropping-particle":"van der"}],"issued":{"date-parts":[["2019",12,18]]}}}],"schema":"https://github.com/citation-style-language/schema/raw/master/csl-citation.json"}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(McKirdy et al. 2019)</w:t>
      </w:r>
      <w:r w:rsidR="00C231B4">
        <w:rPr>
          <w:rFonts w:eastAsia="Garamond" w:cs="Garamond"/>
          <w:szCs w:val="22"/>
        </w:rPr>
        <w:fldChar w:fldCharType="end"/>
      </w:r>
      <w:bookmarkEnd w:id="62"/>
      <w:r>
        <w:rPr>
          <w:rFonts w:eastAsia="Garamond" w:cs="Garamond"/>
          <w:szCs w:val="22"/>
        </w:rPr>
        <w:t xml:space="preserve">. If invertebrates are allowed to become established within a vessel, eradication can become extremely challenging as they will inhabit niches that are inaccessible and not visible on routine inspections </w:t>
      </w:r>
      <w:r w:rsidR="00C231B4">
        <w:rPr>
          <w:rFonts w:eastAsia="Garamond" w:cs="Garamond"/>
          <w:szCs w:val="22"/>
        </w:rPr>
        <w:fldChar w:fldCharType="begin"/>
      </w:r>
      <w:r w:rsidR="001E0B07">
        <w:rPr>
          <w:rFonts w:eastAsia="Garamond" w:cs="Garamond"/>
          <w:szCs w:val="22"/>
        </w:rPr>
        <w:instrText xml:space="preserve"> ADDIN ZOTERO_ITEM CSL_CITATION {"citationID":"vOX30g0b","properties":{"formattedCitation":"(McKirdy et al. 2019)","plainCitation":"(McKirdy et al. 2019)","noteIndex":0},"citationItems":[{"id":22362,"uris":["http://zotero.org/groups/6289862/items/8ZLXAI4E"],"itemData":{"id":22362,"type":"article-journal","abstract":"Large sea-going passenger vessels can pose a high biosecurity risk. The risk posed by marine species is well documented, but rarely the risk posed by terrestrial arthropods. We conducted the longest running, most extensive monitoring program of terrestrial arthropods undertaken on board a passenger vessel. Surveillance was conducted over a 19-month period on a large passenger (cruise) vessel that originated in the Baltic Sea (Estonia). The vessel was used as an accommodation facility to house workers at Barrow Island (Australia) for 15 months, during which 73,061 terrestrial arthropods (222 species - four non-indigenous (NIS) to Australia) were collected and identified on board. Detection of Tribolium destructor Uytt., a high-risk NIS to Australia, triggered an eradication effort on the vessel. This effort totalled more than 13,700 human hours and included strict biosecurity protocols to ensure that this and other non-indigenous species (NIS) were not spread from the vessel to Barrow Island or mainland Australia. Our data demonstrate that despite the difficulties of biosecurity on large vessels, stringent protocols can stop NIS spreading from vessels, even where vessel-wide eradication is not possible. We highlight the difficulties associated with detecting and eradicating NIS on large vessels and provide the first detailed list of species that inhabit a vessel of this kind.","container-title":"Scientific Reports","DOI":"10.1038/s41598-019-55554-4","ISSN":"2045-2322","issue":"1","journalAbbreviation":"Sci Rep","language":"en","license":"2019 The Author(s)","page":"19339","publisher":"Nature Publishing Group","source":"www.nature.com","title":"Biosecurity risks posed by a large sea-going passenger vessel: challenges of terrestrial arthropod species detection and eradication","title-short":"Biosecurity risks posed by a large sea-going passenger vessel","volume":"9","author":[{"family":"McKirdy","given":"Simon J."},{"family":"O’Connor","given":"Simon"},{"family":"Thomas","given":"Melissa L."},{"family":"Horton","given":"Kristin L."},{"family":"Williams","given":"Angus"},{"family":"Hardie","given":"Darryl"},{"family":"Coupland","given":"Grey T."},{"family":"Merwe","given":"Johann","non-dropping-particle":"van der"}],"issued":{"date-parts":[["2019",12,18]]}}}],"schema":"https://github.com/citation-style-language/schema/raw/master/csl-citation.json"}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(McKirdy et al. 2019)</w:t>
      </w:r>
      <w:r w:rsidR="00C231B4">
        <w:rPr>
          <w:rFonts w:eastAsia="Garamond" w:cs="Garamond"/>
          <w:szCs w:val="22"/>
        </w:rPr>
        <w:fldChar w:fldCharType="end"/>
      </w:r>
      <w:r>
        <w:rPr>
          <w:rFonts w:eastAsia="Garamond" w:cs="Garamond"/>
          <w:szCs w:val="22"/>
        </w:rPr>
        <w:t>.</w:t>
      </w:r>
      <w:r w:rsidR="0003484F">
        <w:rPr>
          <w:rFonts w:eastAsia="Garamond" w:cs="Garamond"/>
          <w:szCs w:val="22"/>
        </w:rPr>
        <w:t xml:space="preserve"> Thorough inspection with portable light sources is required in areas where invertebrates may hide</w:t>
      </w:r>
      <w:r w:rsidR="0030397D">
        <w:rPr>
          <w:rFonts w:eastAsia="Garamond" w:cs="Garamond"/>
          <w:szCs w:val="22"/>
        </w:rPr>
        <w:t>, regardless of time of day</w:t>
      </w:r>
      <w:r w:rsidR="0003484F">
        <w:rPr>
          <w:rFonts w:eastAsia="Garamond" w:cs="Garamond"/>
          <w:szCs w:val="22"/>
        </w:rPr>
        <w:t>.</w:t>
      </w:r>
    </w:p>
    <w:p w14:paraId="45EF6F11" w14:textId="0E26A1C0" w:rsidR="003E15C2" w:rsidRPr="003807D5" w:rsidRDefault="003E15C2" w:rsidP="003807D5">
      <w:pPr>
        <w:pStyle w:val="Heading3"/>
      </w:pPr>
      <w:bookmarkStart w:id="63" w:name="_Toc219290010"/>
      <w:bookmarkStart w:id="64" w:name="_Toc226796958"/>
      <w:r w:rsidRPr="003807D5">
        <w:lastRenderedPageBreak/>
        <w:t xml:space="preserve">Target invertebrate </w:t>
      </w:r>
      <w:bookmarkEnd w:id="63"/>
      <w:r w:rsidR="001C31C0">
        <w:t>species</w:t>
      </w:r>
      <w:bookmarkEnd w:id="64"/>
    </w:p>
    <w:p w14:paraId="0D84BD4A" w14:textId="5CF848E9" w:rsidR="003E15C2" w:rsidRDefault="003E15C2">
      <w:pPr>
        <w:tabs>
          <w:tab w:val="right" w:pos="9000"/>
        </w:tabs>
        <w:spacing w:before="120"/>
        <w:rPr>
          <w:rFonts w:eastAsia="Garamond" w:cs="Garamond"/>
          <w:szCs w:val="22"/>
        </w:rPr>
      </w:pPr>
      <w:r>
        <w:rPr>
          <w:rFonts w:eastAsia="Garamond" w:cs="Garamond"/>
          <w:szCs w:val="22"/>
        </w:rPr>
        <w:t>Invertebrates may follow one of three activity patterns: nocturnal, diurnal and crepuscular. While nocturnal and diurnal invertebrates are active at night and during daylight hours, respectively, crepuscular invertebrates are most active at twilight hours i.e. around dawn and dusk. These activity patterns may impact the ability of detection during certain times of the day. However, there is a lack of research documenting how artificial lighting in fully enclosed spaces influences invertebrate circadian rhythms.</w:t>
      </w:r>
    </w:p>
    <w:p w14:paraId="385E78C1" w14:textId="77777777" w:rsidR="003E15C2" w:rsidRPr="003807D5" w:rsidRDefault="003E15C2" w:rsidP="003807D5">
      <w:pPr>
        <w:pStyle w:val="Heading4"/>
      </w:pPr>
      <w:bookmarkStart w:id="65" w:name="_heading=h.sayc3b1gmfvj" w:colFirst="0" w:colLast="0"/>
      <w:bookmarkEnd w:id="65"/>
      <w:r w:rsidRPr="003807D5">
        <w:t xml:space="preserve">Screw worm fly </w:t>
      </w:r>
    </w:p>
    <w:p w14:paraId="1B4B58C9" w14:textId="1F1B3FC2" w:rsidR="003E15C2" w:rsidRDefault="003E15C2">
      <w:pPr>
        <w:tabs>
          <w:tab w:val="right" w:pos="9000"/>
        </w:tabs>
        <w:spacing w:before="120"/>
        <w:rPr>
          <w:rFonts w:eastAsia="Garamond" w:cs="Garamond"/>
          <w:szCs w:val="22"/>
        </w:rPr>
      </w:pPr>
      <w:r>
        <w:rPr>
          <w:rFonts w:eastAsia="Garamond" w:cs="Garamond"/>
          <w:szCs w:val="22"/>
        </w:rPr>
        <w:t>Old world screw-worm fly (OWS) (</w:t>
      </w:r>
      <w:r>
        <w:rPr>
          <w:rFonts w:eastAsia="Garamond" w:cs="Garamond"/>
          <w:i/>
          <w:iCs/>
          <w:szCs w:val="22"/>
        </w:rPr>
        <w:t>Chrysomya bezziana</w:t>
      </w:r>
      <w:r>
        <w:rPr>
          <w:rFonts w:eastAsia="Garamond" w:cs="Garamond"/>
          <w:szCs w:val="22"/>
        </w:rPr>
        <w:t>) and new world screw-worm fly (NWS) (</w:t>
      </w:r>
      <w:r>
        <w:rPr>
          <w:rFonts w:eastAsia="Garamond" w:cs="Garamond"/>
          <w:i/>
          <w:iCs/>
          <w:szCs w:val="22"/>
        </w:rPr>
        <w:t>Cochliomyia hominivorax</w:t>
      </w:r>
      <w:r>
        <w:rPr>
          <w:rFonts w:eastAsia="Garamond" w:cs="Garamond"/>
          <w:szCs w:val="22"/>
        </w:rPr>
        <w:t xml:space="preserve">) are exotic to Australia. Their introduction would cause significant impacts on livestock production and public health. Australia’s close neighbours, namely Papua New Guinea and Indonesia, currently have OWS and pose a potential risk to Australia </w:t>
      </w:r>
      <w:bookmarkStart w:id="66" w:name="_Hlk219734211"/>
      <w:r w:rsidR="00C231B4">
        <w:rPr>
          <w:rFonts w:eastAsia="Garamond" w:cs="Garamond"/>
          <w:szCs w:val="22"/>
        </w:rPr>
        <w:fldChar w:fldCharType="begin"/>
      </w:r>
      <w:r w:rsidR="001E0B07">
        <w:rPr>
          <w:rFonts w:eastAsia="Garamond" w:cs="Garamond"/>
          <w:szCs w:val="22"/>
        </w:rPr>
        <w:instrText xml:space="preserve"> ADDIN ZOTERO_ITEM CSL_CITATION {"citationID":"e5pXzhv9","properties":{"formattedCitation":"(AHA 2020)","plainCitation":"(AHA 2020)","noteIndex":0},"citationItems":[{"id":22421,"uris":["http://zotero.org/groups/6289862/items/ZXVFP6VZ"],"itemData":{"id":22421,"type":"book","edition":"4th Edition","ISBN":"978-1-921958-28-1","language":"en","note":"OCLC: 1492246821","publisher":"Animal Health Australia","publisher-place":"Canberra","source":"Open WorldCat","title":"A manual for the identification of Screw-worm Fly","author":[{"family":"AHA","given":""}],"issued":{"date-parts":[["2020"]]}}}],"schema":"https://github.com/citation-style-language/schema/raw/master/csl-citation.json"}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(AHA 2020)</w:t>
      </w:r>
      <w:r w:rsidR="00C231B4">
        <w:rPr>
          <w:rFonts w:eastAsia="Garamond" w:cs="Garamond"/>
          <w:szCs w:val="22"/>
        </w:rPr>
        <w:fldChar w:fldCharType="end"/>
      </w:r>
      <w:bookmarkEnd w:id="66"/>
      <w:r>
        <w:rPr>
          <w:rFonts w:eastAsia="Garamond" w:cs="Garamond"/>
          <w:szCs w:val="22"/>
        </w:rPr>
        <w:t>. NWS occurs in southern-central America and the Caribbean islands, so may pose a threat if there are any livestock vessels returning from this region that have not been adequately cleaned of organic material.</w:t>
      </w:r>
    </w:p>
    <w:p w14:paraId="3499D43D" w14:textId="43E921C4" w:rsidR="003E15C2" w:rsidRDefault="003E15C2">
      <w:pPr>
        <w:tabs>
          <w:tab w:val="right" w:pos="9000"/>
        </w:tabs>
        <w:spacing w:before="120"/>
        <w:rPr>
          <w:rFonts w:eastAsia="Garamond" w:cs="Garamond"/>
          <w:szCs w:val="22"/>
        </w:rPr>
      </w:pPr>
      <w:r>
        <w:rPr>
          <w:rFonts w:eastAsia="Garamond" w:cs="Garamond"/>
          <w:szCs w:val="22"/>
        </w:rPr>
        <w:t xml:space="preserve">Adult flies lay eggs in wounds of mammals and birds. The maggots then drop from the wound to the ground where they bury into soil to pupate. The adults are consider diurnal, primarily feeding during daylight hours </w:t>
      </w:r>
      <w:r w:rsidR="00C231B4">
        <w:rPr>
          <w:rFonts w:eastAsia="Garamond" w:cs="Garamond"/>
          <w:szCs w:val="22"/>
        </w:rPr>
        <w:fldChar w:fldCharType="begin"/>
      </w:r>
      <w:r w:rsidR="001E0B07">
        <w:rPr>
          <w:rFonts w:eastAsia="Garamond" w:cs="Garamond"/>
          <w:szCs w:val="22"/>
        </w:rPr>
        <w:instrText xml:space="preserve"> ADDIN ZOTERO_ITEM CSL_CITATION {"citationID":"5KfGTBAy","properties":{"formattedCitation":"(AHA 2020)","plainCitation":"(AHA 2020)","noteIndex":0},"citationItems":[{"id":22421,"uris":["http://zotero.org/groups/6289862/items/ZXVFP6VZ"],"itemData":{"id":22421,"type":"book","edition":"4th Edition","ISBN":"978-1-921958-28-1","language":"en","note":"OCLC: 1492246821","publisher":"Animal Health Australia","publisher-place":"Canberra","source":"Open WorldCat","title":"A manual for the identification of Screw-worm Fly","author":[{"family":"AHA","given":""}],"issued":{"date-parts":[["2020"]]}}}],"schema":"https://github.com/citation-style-language/schema/raw/master/csl-citation.json"}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(AHA 2020)</w:t>
      </w:r>
      <w:r w:rsidR="00C231B4">
        <w:rPr>
          <w:rFonts w:eastAsia="Garamond" w:cs="Garamond"/>
          <w:szCs w:val="22"/>
        </w:rPr>
        <w:fldChar w:fldCharType="end"/>
      </w:r>
      <w:r>
        <w:rPr>
          <w:rFonts w:eastAsia="Garamond" w:cs="Garamond"/>
          <w:szCs w:val="22"/>
        </w:rPr>
        <w:t>.</w:t>
      </w:r>
    </w:p>
    <w:p w14:paraId="0C6FEB00" w14:textId="475762F8" w:rsidR="003E15C2" w:rsidRDefault="003E15C2">
      <w:pPr>
        <w:tabs>
          <w:tab w:val="right" w:pos="9000"/>
        </w:tabs>
        <w:spacing w:before="120"/>
        <w:rPr>
          <w:rFonts w:eastAsia="Garamond" w:cs="Garamond"/>
          <w:szCs w:val="22"/>
        </w:rPr>
      </w:pPr>
      <w:r>
        <w:rPr>
          <w:rFonts w:eastAsia="Garamond" w:cs="Garamond"/>
          <w:szCs w:val="22"/>
        </w:rPr>
        <w:t xml:space="preserve">Adult OWS </w:t>
      </w:r>
      <w:r w:rsidR="001363B7">
        <w:rPr>
          <w:rFonts w:eastAsia="Garamond" w:cs="Garamond"/>
          <w:szCs w:val="22"/>
        </w:rPr>
        <w:t>have the ability</w:t>
      </w:r>
      <w:r>
        <w:rPr>
          <w:rFonts w:eastAsia="Garamond" w:cs="Garamond"/>
          <w:szCs w:val="22"/>
        </w:rPr>
        <w:t xml:space="preserve"> to fly an average of 11km, but may fly up to 100km under the right </w:t>
      </w:r>
      <w:r w:rsidR="001363B7">
        <w:rPr>
          <w:rFonts w:eastAsia="Garamond" w:cs="Garamond"/>
          <w:szCs w:val="22"/>
        </w:rPr>
        <w:t xml:space="preserve">climatic </w:t>
      </w:r>
      <w:r>
        <w:rPr>
          <w:rFonts w:eastAsia="Garamond" w:cs="Garamond"/>
          <w:szCs w:val="22"/>
        </w:rPr>
        <w:t xml:space="preserve">conditions, such as increased wind and warm humid temperatures </w:t>
      </w:r>
      <w:r w:rsidR="00C231B4">
        <w:rPr>
          <w:rFonts w:eastAsia="Garamond" w:cs="Garamond"/>
          <w:szCs w:val="22"/>
        </w:rPr>
        <w:fldChar w:fldCharType="begin"/>
      </w:r>
      <w:r w:rsidR="001E0B07">
        <w:rPr>
          <w:rFonts w:eastAsia="Garamond" w:cs="Garamond"/>
          <w:szCs w:val="22"/>
        </w:rPr>
        <w:instrText xml:space="preserve"> ADDIN ZOTERO_ITEM CSL_CITATION {"citationID":"90n4JiyS","properties":{"formattedCitation":"(Queensland Government 2024)","plainCitation":"(Queensland Government 2024)","noteIndex":0},"citationItems":[{"id":22433,"uris":["http://zotero.org/groups/6289862/items/JXEW4GGB"],"itemData":{"id":22433,"type":"webpage","abstract":"Screwworm fly is an animal disease and disorder not found in Queensland.","language":"en","publisher":"corporateName=The State of Queensland;","title":"Screwworm fly | Business Queensland","URL":"https://www.business.qld.gov.au/industries/farms-fishing-forestry/agriculture/biosecurity/animals/diseases/guide/screw-worm-fly","author":[{"family":"Queensland Government","given":""}],"accessed":{"date-parts":[["2025",12,4]]},"issued":{"date-parts":[["2024"]]}}}],"schema":"https://github.com/citation-style-language/schema/raw/master/csl-citation.json"}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(Queensland Government 2024)</w:t>
      </w:r>
      <w:r w:rsidR="00C231B4">
        <w:rPr>
          <w:rFonts w:eastAsia="Garamond" w:cs="Garamond"/>
          <w:szCs w:val="22"/>
        </w:rPr>
        <w:fldChar w:fldCharType="end"/>
      </w:r>
      <w:r>
        <w:rPr>
          <w:rFonts w:eastAsia="Garamond" w:cs="Garamond"/>
          <w:szCs w:val="22"/>
        </w:rPr>
        <w:t xml:space="preserve">. The </w:t>
      </w:r>
      <w:r w:rsidR="001363B7">
        <w:rPr>
          <w:rFonts w:eastAsia="Garamond" w:cs="Garamond"/>
          <w:szCs w:val="22"/>
        </w:rPr>
        <w:t xml:space="preserve">feeding </w:t>
      </w:r>
      <w:r>
        <w:rPr>
          <w:rFonts w:eastAsia="Garamond" w:cs="Garamond"/>
          <w:szCs w:val="22"/>
        </w:rPr>
        <w:t xml:space="preserve">frequency of adult OWS is </w:t>
      </w:r>
      <w:r w:rsidR="001363B7">
        <w:rPr>
          <w:rFonts w:eastAsia="Garamond" w:cs="Garamond"/>
          <w:szCs w:val="22"/>
        </w:rPr>
        <w:t>not investigated in</w:t>
      </w:r>
      <w:r>
        <w:rPr>
          <w:rFonts w:eastAsia="Garamond" w:cs="Garamond"/>
          <w:szCs w:val="22"/>
        </w:rPr>
        <w:t xml:space="preserve"> current literature</w:t>
      </w:r>
      <w:r w:rsidR="001363B7">
        <w:rPr>
          <w:rFonts w:eastAsia="Garamond" w:cs="Garamond"/>
          <w:szCs w:val="22"/>
        </w:rPr>
        <w:t xml:space="preserve">. Thus, </w:t>
      </w:r>
      <w:r>
        <w:rPr>
          <w:rFonts w:eastAsia="Garamond" w:cs="Garamond"/>
          <w:szCs w:val="22"/>
        </w:rPr>
        <w:t>it is unclear how long one may survive on a vessel if its key food sources are absent. If they are able to survive a voyage without feeding, then there is the potential likelihood that an adult could fly from the vessel once at anchorage or berth.</w:t>
      </w:r>
    </w:p>
    <w:p w14:paraId="3C971360" w14:textId="77777777" w:rsidR="003E15C2" w:rsidRDefault="003E15C2" w:rsidP="003807D5">
      <w:pPr>
        <w:pStyle w:val="Heading4"/>
      </w:pPr>
      <w:bookmarkStart w:id="67" w:name="_heading=h.hb0th3me4gw3" w:colFirst="0" w:colLast="0"/>
      <w:bookmarkEnd w:id="67"/>
      <w:r w:rsidRPr="00B12684">
        <w:t>Culicoides</w:t>
      </w:r>
      <w:r>
        <w:t xml:space="preserve"> </w:t>
      </w:r>
    </w:p>
    <w:p w14:paraId="0ACF2272" w14:textId="0E1427E1" w:rsidR="003E15C2" w:rsidRDefault="003E15C2">
      <w:pPr>
        <w:tabs>
          <w:tab w:val="right" w:pos="9000"/>
        </w:tabs>
        <w:spacing w:before="120"/>
        <w:rPr>
          <w:rFonts w:eastAsia="Garamond" w:cs="Garamond"/>
          <w:szCs w:val="22"/>
        </w:rPr>
      </w:pPr>
      <w:r>
        <w:rPr>
          <w:rFonts w:eastAsia="Garamond" w:cs="Garamond"/>
          <w:i/>
          <w:iCs/>
          <w:szCs w:val="22"/>
        </w:rPr>
        <w:t>Culicoides</w:t>
      </w:r>
      <w:r>
        <w:rPr>
          <w:rFonts w:eastAsia="Garamond" w:cs="Garamond"/>
          <w:szCs w:val="22"/>
        </w:rPr>
        <w:t xml:space="preserve"> species are small (1-5mm) biting insects (midges) of medical and veterinary importance. They are vectors for numerous important arboviruses, such as epizootic haemorrhagic disease virus and bluetongue virus. Only the females feed on blood</w:t>
      </w:r>
      <w:r w:rsidR="0087276E">
        <w:rPr>
          <w:rFonts w:eastAsia="Garamond" w:cs="Garamond"/>
          <w:szCs w:val="22"/>
        </w:rPr>
        <w:t xml:space="preserve"> </w:t>
      </w:r>
      <w:r>
        <w:rPr>
          <w:rFonts w:eastAsia="Garamond" w:cs="Garamond"/>
          <w:szCs w:val="22"/>
        </w:rPr>
        <w:t xml:space="preserve">and require a blood meal to produce eggs </w:t>
      </w:r>
      <w:bookmarkStart w:id="68" w:name="_Hlk219734270"/>
      <w:r w:rsidR="00C231B4">
        <w:rPr>
          <w:rFonts w:eastAsia="Garamond" w:cs="Garamond"/>
          <w:szCs w:val="22"/>
        </w:rPr>
        <w:fldChar w:fldCharType="begin"/>
      </w:r>
      <w:r w:rsidR="001E0B07">
        <w:rPr>
          <w:rFonts w:eastAsia="Garamond" w:cs="Garamond"/>
          <w:szCs w:val="22"/>
        </w:rPr>
        <w:instrText xml:space="preserve"> ADDIN ZOTERO_ITEM CSL_CITATION {"citationID":"7H7Yxxq4","properties":{"formattedCitation":"(Mills et al. 2017)","plainCitation":"(Mills et al. 2017)","noteIndex":0},"citationItems":[{"id":22443,"uris":["http://zotero.org/groups/6289862/items/RTZDQIG9"],"itemData":{"id":22443,"type":"article-journal","abstract":"In the United States, Culicoides midges vector arboviruses of economic importance such as Bluetongue Virus and Epizootic Hemorrhagic Disease Virus. A limited number of studies have demonstrated the complexities of midge–virus interactions, including dynamic changes in virus titer and prevalence over the infection time course. These dynamics are, in part, dictated by mesenteron infection and escape barriers. This review summarizes the overarching trends in viral titer and prevalence throughout the course of infection. Essential barriers to infection and dissemination in the midge are highlighted, along with heritable and extrinsic factors that likely contribute to these barriers. Next generation molecular tools and techniques, now available for Culicoides midges, give researchers the opportunity to test how these factors contribute to vector competence.","collection-title":"Vectors and medical and veterinary entomology * Social insects","container-title":"Current Opinion in Insect Science","DOI":"10.1016/j.cois.2017.05.003","ISSN":"2214-5745","journalAbbreviation":"Current Opinion in Insect Science","page":"7-15","source":"ScienceDirect","title":"&lt;i&gt;Culicoides&lt;/i&gt;–virus interactions: infection barriers and possible factors underlying vector competence","title-short":"&lt;i&gt;Culicoides&lt;/i&gt;–virus interactions","volume":"22","author":[{"family":"Mills","given":"Mary K"},{"family":"Michel","given":"Kristin"},{"family":"Pfannenstiel","given":"Robert S"},{"family":"Ruder","given":"Mark G"},{"family":"Veronesi","given":"Eva"},{"family":"Nayduch","given":"Dana"}],"issued":{"date-parts":[["2017",8,1]]}}}],"schema":"https://github.com/citation-style-language/schema/raw/master/csl-citation.json"}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(Mills et al. 2017)</w:t>
      </w:r>
      <w:r w:rsidR="00C231B4">
        <w:rPr>
          <w:rFonts w:eastAsia="Garamond" w:cs="Garamond"/>
          <w:szCs w:val="22"/>
        </w:rPr>
        <w:fldChar w:fldCharType="end"/>
      </w:r>
      <w:bookmarkEnd w:id="68"/>
      <w:r>
        <w:rPr>
          <w:rFonts w:eastAsia="Garamond" w:cs="Garamond"/>
          <w:szCs w:val="22"/>
        </w:rPr>
        <w:t>. Larvae develop in moist organic material and stagnant water. Adults are sexually mature at 24</w:t>
      </w:r>
      <w:r w:rsidR="003807D5">
        <w:rPr>
          <w:rFonts w:eastAsia="Garamond" w:cs="Garamond"/>
          <w:szCs w:val="22"/>
        </w:rPr>
        <w:t>–</w:t>
      </w:r>
      <w:r>
        <w:rPr>
          <w:rFonts w:eastAsia="Garamond" w:cs="Garamond"/>
          <w:szCs w:val="22"/>
        </w:rPr>
        <w:t xml:space="preserve">48 </w:t>
      </w:r>
      <w:r w:rsidR="00D34EB1">
        <w:rPr>
          <w:rFonts w:eastAsia="Garamond" w:cs="Garamond"/>
          <w:szCs w:val="22"/>
        </w:rPr>
        <w:t xml:space="preserve">hours </w:t>
      </w:r>
      <w:r>
        <w:rPr>
          <w:rFonts w:eastAsia="Garamond" w:cs="Garamond"/>
          <w:szCs w:val="22"/>
        </w:rPr>
        <w:t>post-eclosion</w:t>
      </w:r>
      <w:r w:rsidR="00C44AF7">
        <w:rPr>
          <w:rStyle w:val="FootnoteReference"/>
          <w:rFonts w:eastAsia="Garamond" w:cs="Garamond"/>
          <w:szCs w:val="22"/>
        </w:rPr>
        <w:footnoteReference w:id="8"/>
      </w:r>
      <w:r>
        <w:rPr>
          <w:rFonts w:eastAsia="Garamond" w:cs="Garamond"/>
          <w:szCs w:val="22"/>
        </w:rPr>
        <w:t xml:space="preserve"> and are crepuscular, being more active in the late afternoon and evening </w:t>
      </w:r>
      <w:r w:rsidR="00C231B4">
        <w:rPr>
          <w:rFonts w:eastAsia="Garamond" w:cs="Garamond"/>
          <w:szCs w:val="22"/>
        </w:rPr>
        <w:fldChar w:fldCharType="begin"/>
      </w:r>
      <w:r w:rsidR="001E0B07">
        <w:rPr>
          <w:rFonts w:eastAsia="Garamond" w:cs="Garamond"/>
          <w:szCs w:val="22"/>
        </w:rPr>
        <w:instrText xml:space="preserve"> ADDIN ZOTERO_ITEM CSL_CITATION {"citationID":"q3vK9UsN","properties":{"formattedCitation":"(Mills et al. 2017)","plainCitation":"(Mills et al. 2017)","noteIndex":0},"citationItems":[{"id":22443,"uris":["http://zotero.org/groups/6289862/items/RTZDQIG9"],"itemData":{"id":22443,"type":"article-journal","abstract":"In the United States, Culicoides midges vector arboviruses of economic importance such as Bluetongue Virus and Epizootic Hemorrhagic Disease Virus. A limited number of studies have demonstrated the complexities of midge–virus interactions, including dynamic changes in virus titer and prevalence over the infection time course. These dynamics are, in part, dictated by mesenteron infection and escape barriers. This review summarizes the overarching trends in viral titer and prevalence throughout the course of infection. Essential barriers to infection and dissemination in the midge are highlighted, along with heritable and extrinsic factors that likely contribute to these barriers. Next generation molecular tools and techniques, now available for Culicoides midges, give researchers the opportunity to test how these factors contribute to vector competence.","collection-title":"Vectors and medical and veterinary entomology * Social insects","container-title":"Current Opinion in Insect Science","DOI":"10.1016/j.cois.2017.05.003","ISSN":"2214-5745","journalAbbreviation":"Current Opinion in Insect Science","page":"7-15","source":"ScienceDirect","title":"&lt;i&gt;Culicoides&lt;/i&gt;–virus interactions: infection barriers and possible factors underlying vector competence","title-short":"&lt;i&gt;Culicoides&lt;/i&gt;–virus interactions","volume":"22","author":[{"family":"Mills","given":"Mary K"},{"family":"Michel","given":"Kristin"},{"family":"Pfannenstiel","given":"Robert S"},{"family":"Ruder","given":"Mark G"},{"family":"Veronesi","given":"Eva"},{"family":"Nayduch","given":"Dana"}],"issued":{"date-parts":[["2017",8,1]]}}}],"schema":"https://github.com/citation-style-language/schema/raw/master/csl-citation.json"}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(Mills et al. 2017)</w:t>
      </w:r>
      <w:r w:rsidR="00C231B4">
        <w:rPr>
          <w:rFonts w:eastAsia="Garamond" w:cs="Garamond"/>
          <w:szCs w:val="22"/>
        </w:rPr>
        <w:fldChar w:fldCharType="end"/>
      </w:r>
      <w:r>
        <w:rPr>
          <w:rFonts w:eastAsia="Garamond" w:cs="Garamond"/>
          <w:szCs w:val="22"/>
        </w:rPr>
        <w:t>.</w:t>
      </w:r>
    </w:p>
    <w:p w14:paraId="4769175A" w14:textId="77777777" w:rsidR="003E15C2" w:rsidRDefault="003E15C2" w:rsidP="003807D5">
      <w:pPr>
        <w:pStyle w:val="Heading4"/>
      </w:pPr>
      <w:bookmarkStart w:id="69" w:name="_heading=h.attz74bc6k6r" w:colFirst="0" w:colLast="0"/>
      <w:bookmarkEnd w:id="69"/>
      <w:r>
        <w:t xml:space="preserve">Culex and Aedes </w:t>
      </w:r>
      <w:r w:rsidRPr="00B12684">
        <w:t>mosquitoes</w:t>
      </w:r>
    </w:p>
    <w:p w14:paraId="25B1AA6B" w14:textId="34B98778" w:rsidR="003E15C2" w:rsidRDefault="003E15C2">
      <w:pPr>
        <w:tabs>
          <w:tab w:val="right" w:pos="9000"/>
        </w:tabs>
        <w:spacing w:before="120"/>
        <w:rPr>
          <w:rFonts w:eastAsia="Garamond" w:cs="Garamond"/>
          <w:szCs w:val="22"/>
        </w:rPr>
      </w:pPr>
      <w:r>
        <w:rPr>
          <w:rFonts w:eastAsia="Garamond" w:cs="Garamond"/>
          <w:szCs w:val="22"/>
        </w:rPr>
        <w:t xml:space="preserve">Mosquitoes rely on water for the early development of their offspring. </w:t>
      </w:r>
      <w:r>
        <w:rPr>
          <w:rFonts w:eastAsia="Garamond" w:cs="Garamond"/>
          <w:i/>
          <w:iCs/>
          <w:szCs w:val="22"/>
        </w:rPr>
        <w:t xml:space="preserve">Culex </w:t>
      </w:r>
      <w:r>
        <w:rPr>
          <w:rFonts w:eastAsia="Garamond" w:cs="Garamond"/>
          <w:szCs w:val="22"/>
        </w:rPr>
        <w:t>and</w:t>
      </w:r>
      <w:r>
        <w:rPr>
          <w:rFonts w:eastAsia="Garamond" w:cs="Garamond"/>
          <w:i/>
          <w:iCs/>
          <w:szCs w:val="22"/>
        </w:rPr>
        <w:t xml:space="preserve"> Aedes </w:t>
      </w:r>
      <w:r>
        <w:rPr>
          <w:rFonts w:eastAsia="Garamond" w:cs="Garamond"/>
          <w:szCs w:val="22"/>
        </w:rPr>
        <w:t xml:space="preserve">mosquitoes typically lay eggs on still or stagnant water and have a wriggler (larvae) and tumbler (pupae) stage within water. </w:t>
      </w:r>
      <w:r>
        <w:rPr>
          <w:rFonts w:eastAsia="Garamond" w:cs="Garamond"/>
          <w:i/>
          <w:iCs/>
          <w:szCs w:val="22"/>
        </w:rPr>
        <w:t>Culex</w:t>
      </w:r>
      <w:r>
        <w:rPr>
          <w:rFonts w:eastAsia="Garamond" w:cs="Garamond"/>
          <w:szCs w:val="22"/>
        </w:rPr>
        <w:t xml:space="preserve"> eggs may hatch within 1</w:t>
      </w:r>
      <w:r w:rsidR="003807D5">
        <w:rPr>
          <w:rFonts w:eastAsia="Garamond" w:cs="Garamond"/>
          <w:szCs w:val="22"/>
        </w:rPr>
        <w:t>–</w:t>
      </w:r>
      <w:r>
        <w:rPr>
          <w:rFonts w:eastAsia="Garamond" w:cs="Garamond"/>
          <w:szCs w:val="22"/>
        </w:rPr>
        <w:t xml:space="preserve">2 days of being laid. </w:t>
      </w:r>
      <w:r>
        <w:rPr>
          <w:rFonts w:eastAsia="Garamond" w:cs="Garamond"/>
          <w:i/>
          <w:iCs/>
          <w:szCs w:val="22"/>
        </w:rPr>
        <w:t xml:space="preserve">Aedes </w:t>
      </w:r>
      <w:r>
        <w:rPr>
          <w:rFonts w:eastAsia="Garamond" w:cs="Garamond"/>
          <w:szCs w:val="22"/>
        </w:rPr>
        <w:t>may also lay their eggs on dry substrates where they remain dormant until they are submerged in water and hatch. Mosquitoes do</w:t>
      </w:r>
      <w:r w:rsidR="003807D5">
        <w:rPr>
          <w:rFonts w:eastAsia="Garamond" w:cs="Garamond"/>
          <w:szCs w:val="22"/>
        </w:rPr>
        <w:t xml:space="preserve"> </w:t>
      </w:r>
      <w:r>
        <w:rPr>
          <w:rFonts w:eastAsia="Garamond" w:cs="Garamond"/>
          <w:szCs w:val="22"/>
        </w:rPr>
        <w:t>n</w:t>
      </w:r>
      <w:r w:rsidR="003807D5">
        <w:rPr>
          <w:rFonts w:eastAsia="Garamond" w:cs="Garamond"/>
          <w:szCs w:val="22"/>
        </w:rPr>
        <w:t>o</w:t>
      </w:r>
      <w:r>
        <w:rPr>
          <w:rFonts w:eastAsia="Garamond" w:cs="Garamond"/>
          <w:szCs w:val="22"/>
        </w:rPr>
        <w:t xml:space="preserve">t generally fly long distances in search of feed or egg sites; winds may move them further. The females require a blood meal to breed while the males feed from nectar </w:t>
      </w:r>
      <w:r w:rsidR="00C231B4">
        <w:rPr>
          <w:rFonts w:eastAsia="Garamond" w:cs="Garamond"/>
          <w:szCs w:val="22"/>
        </w:rPr>
        <w:fldChar w:fldCharType="begin"/>
      </w:r>
      <w:r w:rsidR="001E0B07">
        <w:rPr>
          <w:rFonts w:eastAsia="Garamond" w:cs="Garamond"/>
          <w:szCs w:val="22"/>
        </w:rPr>
        <w:instrText xml:space="preserve"> ADDIN ZOTERO_ITEM CSL_CITATION {"citationID":"7eCEss6u","properties":{"formattedCitation":"(Inzecto 2023)","plainCitation":"(Inzecto 2023)","noteIndex":0},"citationItems":[{"id":22445,"uris":["http://zotero.org/groups/6289862/items/DJ9YEZR9"],"itemData":{"id":22445,"type":"webpage","abstract":"The Anopheles Mosquito lays eggs directly on the water. Eggs are laid singly and float to keep them from sinking. Anopheles eggs hatch within 2 to 3 Days. These eggs are susceptible to drying.","container-title":"INZECTO","language":"en-US","title":"Learn About Mosquito Biology, Life Cycle and Habitats","URL":"https://inzecto.com/post/learn-about-mosquito-biology-life-cycle-and-habitats/","author":[{"family":"Inzecto","given":""}],"accessed":{"date-parts":[["2025",12,8]]},"issued":{"date-parts":[["2023",3,8]]}}}],"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(Inzecto 2023)</w:t>
      </w:r>
      <w:r w:rsidR="00C231B4">
        <w:rPr>
          <w:rFonts w:eastAsia="Garamond" w:cs="Garamond"/>
          <w:szCs w:val="22"/>
        </w:rPr>
        <w:fldChar w:fldCharType="end"/>
      </w:r>
      <w:r>
        <w:rPr>
          <w:rFonts w:eastAsia="Garamond" w:cs="Garamond"/>
          <w:szCs w:val="22"/>
        </w:rPr>
        <w:t xml:space="preserve">. Mosquitoes are vectors of notable animal diseases such as </w:t>
      </w:r>
      <w:r w:rsidR="00C44AF7">
        <w:rPr>
          <w:rFonts w:eastAsia="Garamond" w:cs="Garamond"/>
          <w:szCs w:val="22"/>
        </w:rPr>
        <w:t>LSD</w:t>
      </w:r>
      <w:r>
        <w:rPr>
          <w:rFonts w:eastAsia="Garamond" w:cs="Garamond"/>
          <w:szCs w:val="22"/>
        </w:rPr>
        <w:t xml:space="preserve"> and Rift Valley Fever (zoonotic). </w:t>
      </w:r>
    </w:p>
    <w:p w14:paraId="2BE392BB" w14:textId="77777777" w:rsidR="003E15C2" w:rsidRDefault="003E15C2" w:rsidP="003807D5">
      <w:pPr>
        <w:pStyle w:val="Heading4"/>
      </w:pPr>
      <w:bookmarkStart w:id="70" w:name="_heading=h.7hcw5lbqltqw" w:colFirst="0" w:colLast="0"/>
      <w:bookmarkEnd w:id="70"/>
      <w:r>
        <w:lastRenderedPageBreak/>
        <w:t xml:space="preserve">Biting flies: </w:t>
      </w:r>
      <w:r w:rsidRPr="00B12684">
        <w:t>genera</w:t>
      </w:r>
      <w:r>
        <w:t xml:space="preserve"> Tabanus</w:t>
      </w:r>
    </w:p>
    <w:p w14:paraId="5480CAD4" w14:textId="74712991" w:rsidR="003E15C2" w:rsidRDefault="003E15C2">
      <w:pPr>
        <w:tabs>
          <w:tab w:val="right" w:pos="9000"/>
        </w:tabs>
        <w:spacing w:before="120"/>
        <w:rPr>
          <w:rFonts w:eastAsia="Garamond" w:cs="Garamond"/>
          <w:szCs w:val="22"/>
        </w:rPr>
      </w:pPr>
      <w:r>
        <w:rPr>
          <w:rFonts w:eastAsia="Garamond" w:cs="Garamond"/>
          <w:szCs w:val="22"/>
        </w:rPr>
        <w:t xml:space="preserve">Flies from the genera </w:t>
      </w:r>
      <w:r>
        <w:rPr>
          <w:rFonts w:eastAsia="Garamond" w:cs="Garamond"/>
          <w:i/>
          <w:iCs/>
          <w:szCs w:val="22"/>
        </w:rPr>
        <w:t xml:space="preserve">Tabanus </w:t>
      </w:r>
      <w:r>
        <w:rPr>
          <w:rFonts w:eastAsia="Garamond" w:cs="Garamond"/>
          <w:szCs w:val="22"/>
        </w:rPr>
        <w:t>include large biting flies such as march flies, horse flies and deer flies. They are generally 10</w:t>
      </w:r>
      <w:r w:rsidR="0030397D">
        <w:rPr>
          <w:rFonts w:eastAsia="Garamond" w:cs="Garamond"/>
          <w:szCs w:val="22"/>
        </w:rPr>
        <w:t>–</w:t>
      </w:r>
      <w:r>
        <w:rPr>
          <w:rFonts w:eastAsia="Garamond" w:cs="Garamond"/>
          <w:szCs w:val="22"/>
        </w:rPr>
        <w:t xml:space="preserve">30mm in length, and can be responsible for the spread of disease and reduction in livestock weight gains. These flies are haematophagous feeders, with females requiring blood meals to lay eggs. Eggs are generally laid on organic material, rocks or debris that overhang water. Larvae then migrate to damp organic material near water once hatched </w:t>
      </w:r>
      <w:r w:rsidR="00C231B4">
        <w:rPr>
          <w:rFonts w:eastAsia="Garamond" w:cs="Garamond"/>
          <w:szCs w:val="22"/>
        </w:rPr>
        <w:fldChar w:fldCharType="begin"/>
      </w:r>
      <w:r w:rsidR="001E0B07">
        <w:rPr>
          <w:rFonts w:eastAsia="Garamond" w:cs="Garamond"/>
          <w:szCs w:val="22"/>
        </w:rPr>
        <w:instrText xml:space="preserve"> ADDIN ZOTERO_ITEM CSL_CITATION {"citationID":"vatwFJyh","properties":{"formattedCitation":"(University of Saskatchewan 2021)","plainCitation":"(University of Saskatchewan 2021)","noteIndex":0},"citationItems":[{"id":22447,"uris":["http://zotero.org/groups/6289862/items/X54ULXZ8"],"itemData":{"id":22447,"type":"webpage","abstract":"The various genera and species of tabanids (horse flies, deer flies and clegs) occur around the world, including in Canada.","container-title":"Learn About Parasites","language":"en","title":"Tabanids: Tabanus species - Horse Flies; Chrysops species – Deer Flies; Haematopota species - Clegs","title-short":"Tabanids","URL":"https://wcvm.usask.ca/learnaboutparasites/parasites/tabanids.php","author":[{"literal":"University of Saskatchewan"}],"accessed":{"date-parts":[["2025",12,8]]},"issued":{"date-parts":[["2021",9,6]]}}}],"schema":"https://github.com/citation-style-language/schema/raw/master/csl-citation.json"}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(University of Saskatchewan 2021)</w:t>
      </w:r>
      <w:r w:rsidR="00C231B4">
        <w:rPr>
          <w:rFonts w:eastAsia="Garamond" w:cs="Garamond"/>
          <w:szCs w:val="22"/>
        </w:rPr>
        <w:fldChar w:fldCharType="end"/>
      </w:r>
      <w:r>
        <w:rPr>
          <w:rFonts w:eastAsia="Garamond" w:cs="Garamond"/>
          <w:szCs w:val="22"/>
        </w:rPr>
        <w:t>.</w:t>
      </w:r>
    </w:p>
    <w:p w14:paraId="6BF1F803" w14:textId="5228F3DF" w:rsidR="003E15C2" w:rsidRDefault="003E15C2">
      <w:pPr>
        <w:tabs>
          <w:tab w:val="right" w:pos="9000"/>
        </w:tabs>
        <w:spacing w:before="120"/>
        <w:rPr>
          <w:rFonts w:eastAsia="Garamond" w:cs="Garamond"/>
          <w:szCs w:val="22"/>
        </w:rPr>
      </w:pPr>
      <w:r>
        <w:rPr>
          <w:rFonts w:eastAsia="Garamond" w:cs="Garamond"/>
          <w:szCs w:val="22"/>
        </w:rPr>
        <w:t xml:space="preserve">By ensuring all organic material and stagnant water is removed from a vessel as soon as livestock are discharged will reduce the likelihood of the above invertebrates remaining present on the vessel for </w:t>
      </w:r>
      <w:r w:rsidR="00A456EA">
        <w:rPr>
          <w:rFonts w:eastAsia="Garamond" w:cs="Garamond"/>
          <w:szCs w:val="22"/>
        </w:rPr>
        <w:t xml:space="preserve">a </w:t>
      </w:r>
      <w:r>
        <w:rPr>
          <w:rFonts w:eastAsia="Garamond" w:cs="Garamond"/>
          <w:szCs w:val="22"/>
        </w:rPr>
        <w:t>return voyage.</w:t>
      </w:r>
    </w:p>
    <w:p w14:paraId="3CC4727E" w14:textId="77777777" w:rsidR="003E15C2" w:rsidRDefault="003E15C2" w:rsidP="003807D5">
      <w:pPr>
        <w:pStyle w:val="Heading4"/>
      </w:pPr>
      <w:r>
        <w:t xml:space="preserve">Lighting and insect </w:t>
      </w:r>
      <w:r w:rsidRPr="00B12684">
        <w:t>activity</w:t>
      </w:r>
    </w:p>
    <w:p w14:paraId="576918B9" w14:textId="2279C47F" w:rsidR="003E15C2" w:rsidRDefault="003E15C2">
      <w:pPr>
        <w:tabs>
          <w:tab w:val="right" w:pos="9000"/>
        </w:tabs>
        <w:spacing w:before="120"/>
        <w:rPr>
          <w:rFonts w:eastAsia="Garamond" w:cs="Garamond"/>
          <w:szCs w:val="22"/>
        </w:rPr>
      </w:pPr>
      <w:r>
        <w:rPr>
          <w:rFonts w:eastAsia="Garamond" w:cs="Garamond"/>
          <w:szCs w:val="22"/>
        </w:rPr>
        <w:t>The visual spectrum of insects is generally concentrated within the wavelength range of 253</w:t>
      </w:r>
      <w:r w:rsidR="003807D5">
        <w:rPr>
          <w:rFonts w:eastAsia="Garamond" w:cs="Garamond"/>
          <w:szCs w:val="22"/>
        </w:rPr>
        <w:t>–</w:t>
      </w:r>
      <w:r>
        <w:rPr>
          <w:rFonts w:eastAsia="Garamond" w:cs="Garamond"/>
          <w:szCs w:val="22"/>
        </w:rPr>
        <w:t xml:space="preserve">700nm </w:t>
      </w:r>
      <w:r w:rsidR="00C231B4">
        <w:rPr>
          <w:rFonts w:eastAsia="Garamond" w:cs="Garamond"/>
          <w:szCs w:val="22"/>
        </w:rPr>
        <w:fldChar w:fldCharType="begin"/>
      </w:r>
      <w:r w:rsidR="001E0B07">
        <w:rPr>
          <w:rFonts w:eastAsia="Garamond" w:cs="Garamond"/>
          <w:szCs w:val="22"/>
        </w:rPr>
        <w:instrText xml:space="preserve"> ADDIN ZOTERO_ITEM CSL_CITATION {"citationID":"dy6dpnwA","properties":{"formattedCitation":"(Pan et al. 2021)","plainCitation":"(Pan et al. 2021)","noteIndex":0},"citationItems":[{"id":22460,"uris":["http://zotero.org/groups/6289862/items/R6R8XHTP"],"itemData":{"id":22460,"type":"article-journal","abstract":"Simple SummaryLaboratory experiments have found that insects in the same taxonomic group generally have similar responses to light at various waveleng...","container-title":"Insects","DOI":"10.3390/insects12050427","ISSN":"2075-4450","issue":"5","language":"en","license":"http://creativecommons.org/licenses/by/3.0/","note":"Company: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Institute","publisher":"publisher","source":"www.mdpi.com","title":"Response of Different Insect Groups to Various Wavelengths of Light under Field Conditions","URL":"https://www.mdpi.com/2075-4450/12/5/427","volume":"12","author":[{"family":"Pan","given":"Hongsheng"},{"family":"Liang","given":"Gemei"},{"family":"Lu","given":"Yanhui"},{"family":"Pan","given":"Hongsheng"},{"family":"Liang","given":"Gemei"},{"family":"Lu","given":"Yanhui"}],"accessed":{"date-parts":[["2025",12,10]]},"issued":{"date-parts":[["2021",5,10]]}}}],"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(Pan et al. 2021)</w:t>
      </w:r>
      <w:r w:rsidR="00C231B4">
        <w:rPr>
          <w:rFonts w:eastAsia="Garamond" w:cs="Garamond"/>
          <w:szCs w:val="22"/>
        </w:rPr>
        <w:fldChar w:fldCharType="end"/>
      </w:r>
      <w:r>
        <w:rPr>
          <w:rFonts w:eastAsia="Garamond" w:cs="Garamond"/>
          <w:szCs w:val="22"/>
        </w:rPr>
        <w:t>. However, different insects are attracted to different light sources. Nocturnal insects are attracted to ultraviolet (UV) radiation (~100</w:t>
      </w:r>
      <w:r w:rsidR="003807D5">
        <w:rPr>
          <w:rFonts w:eastAsia="Garamond" w:cs="Garamond"/>
          <w:szCs w:val="22"/>
        </w:rPr>
        <w:t>–</w:t>
      </w:r>
      <w:r>
        <w:rPr>
          <w:rFonts w:eastAsia="Garamond" w:cs="Garamond"/>
          <w:szCs w:val="22"/>
        </w:rPr>
        <w:t>400nm), whereas diurnal insects are commonly attracted to yellow light (~570</w:t>
      </w:r>
      <w:r w:rsidR="003807D5">
        <w:rPr>
          <w:rFonts w:eastAsia="Garamond" w:cs="Garamond"/>
          <w:szCs w:val="22"/>
        </w:rPr>
        <w:t>–</w:t>
      </w:r>
      <w:r>
        <w:rPr>
          <w:rFonts w:eastAsia="Garamond" w:cs="Garamond"/>
          <w:szCs w:val="22"/>
        </w:rPr>
        <w:t xml:space="preserve">590nm) </w:t>
      </w:r>
      <w:r w:rsidR="00C231B4">
        <w:rPr>
          <w:rFonts w:eastAsia="Garamond" w:cs="Garamond"/>
          <w:szCs w:val="22"/>
        </w:rPr>
        <w:fldChar w:fldCharType="begin"/>
      </w:r>
      <w:r w:rsidR="001E0B07">
        <w:rPr>
          <w:rFonts w:eastAsia="Garamond" w:cs="Garamond"/>
          <w:szCs w:val="22"/>
        </w:rPr>
        <w:instrText xml:space="preserve"> ADDIN ZOTERO_ITEM CSL_CITATION {"citationID":"E95tqVbL","properties":{"formattedCitation":"(Shimoda and Honda 2013)","plainCitation":"(Shimoda and Honda 2013)","noteIndex":0},"citationItems":[{"id":22462,"uris":["http://zotero.org/groups/6289862/items/P6ZE2U66"],"itemData":{"id":22462,"type":"article-journal","abstract":"Insects are able to see ultraviolet (UV) radiation. Nocturnal insects are often attracted to light sources that emit large amounts of UV radiation, and devices that exploit this behavior, such as light traps for forecasting pest outbreaks, and electric insect killers, have been developed. Some diurnal species are attracted to yellow; yellow pan traps are used for conducting surveys for pest outbreaks and yellow sticky plates are used for pest control. Lamps that give off yellow illumination have been used effectively to control the activity of nocturnal moths and thus reduce damage to fruit, vegetables, and flowers. Covering cultivation facilities with film that filters out near-UV radiation reduces the invasion of pests such as whiteflies and thrips into the facilities, thus reducing damage. Reflective material placed on cultivated land can control the approach of flying insects such as aphids. Future development and use of new light sources such as light-emitting diodes is anticipated for promoting integrated pest management.","container-title":"Applied Entomology and Zoology","DOI":"10.1007/s13355-013-0219-x","ISSN":"1347-605X","issue":"4","journalAbbreviation":"Appl Entomol Zool","language":"en","page":"413-421","source":"Springer Link","title":"Insect reactions to light and its applications to pest management","volume":"48","author":[{"family":"Shimoda","given":"Masami"},{"family":"Honda","given":"Ken-ichiro"}],"issued":{"date-parts":[["2013",11,1]]}}}],"schema":"https://github.com/citation-style-language/schema/raw/master/csl-citation.json"}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(Shimoda and Honda 2013)</w:t>
      </w:r>
      <w:r w:rsidR="00C231B4">
        <w:rPr>
          <w:rFonts w:eastAsia="Garamond" w:cs="Garamond"/>
          <w:szCs w:val="22"/>
        </w:rPr>
        <w:fldChar w:fldCharType="end"/>
      </w:r>
      <w:r>
        <w:rPr>
          <w:rFonts w:eastAsia="Garamond" w:cs="Garamond"/>
          <w:szCs w:val="22"/>
        </w:rPr>
        <w:t xml:space="preserve">. Additionally, insects have an internal circadian rhythm which dictates times of activity, eclosion and migration </w:t>
      </w:r>
      <w:r w:rsidR="00C231B4">
        <w:rPr>
          <w:rFonts w:eastAsia="Garamond" w:cs="Garamond"/>
          <w:szCs w:val="22"/>
        </w:rPr>
        <w:fldChar w:fldCharType="begin"/>
      </w:r>
      <w:r w:rsidR="001E0B07">
        <w:rPr>
          <w:rFonts w:eastAsia="Garamond" w:cs="Garamond"/>
          <w:szCs w:val="22"/>
        </w:rPr>
        <w:instrText xml:space="preserve"> ADDIN ZOTERO_ITEM CSL_CITATION {"citationID":"9xpbxuWk","properties":{"formattedCitation":"(Numata et al. 2015)","plainCitation":"(Numata et al. 2015)","noteIndex":0},"citationItems":[{"id":22345,"uris":["http://zotero.org/groups/6289862/items/WDAPJ4F6"],"itemData":{"id":22345,"type":"article-journal","abstract":"This review describes common features among diverse biological clocks in insects, including circadian, circatidal, circalunar/circasemilunar, and circannual clocks. These clocks control various behaviors, physiological functions, and developmental events, enabling adaptation to periodic environmental changes. Circadian clocks also function in time-compensation for celestial navigation and in the measurement of day or night length for photoperiodism. Phase response curves for such clocks reported thus far exhibit close similarities; specifically, the circannual clock in Anthrenus verbasci shows striking similarity to circadian clocks in its phase response. It is suggested that diverse biological clocks share physiological properties in their phase responses irrespective of period length. Molecular and physiological mechanisms are best understood for the optic-lobe and mid-brain circadian clocks, although there is no direct evidence that these clocks are involved in rhythmic phenomena other than circadian rhythms in daily events. Circadian clocks have also been localized in peripheral tissues, and research on their role in various rhythmic phenomena has been started. Although clock genes have been identified as controllers of circadian rhythms in daily events, some of these genes have also been shown to be involved in photoperiodism and possibly in time-compensated celestial navigation. In contrast, there is no experimental evidence indicating that any known clock gene is involved in biological clocks other than circadian clocks.","container-title":"Zoological Letters","DOI":"10.1186/s40851-014-0003-y","ISSN":"2056-306X","issue":"1","journalAbbreviation":"Zoological Letters","page":"10","source":"BioMed Central","title":"Common features in diverse insect clocks","volume":"1","author":[{"family":"Numata","given":"Hideharu"},{"family":"Miyazaki","given":"Yosuke"},{"family":"Ikeno","given":"Tomoko"}],"issued":{"date-parts":[["2015",2,20]]}}}],"schema":"https://github.com/citation-style-language/schema/raw/master/csl-citation.json"}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(Numata et al. 2015)</w:t>
      </w:r>
      <w:r w:rsidR="00C231B4">
        <w:rPr>
          <w:rFonts w:eastAsia="Garamond" w:cs="Garamond"/>
          <w:szCs w:val="22"/>
        </w:rPr>
        <w:fldChar w:fldCharType="end"/>
      </w:r>
      <w:r>
        <w:rPr>
          <w:rFonts w:eastAsia="Garamond" w:cs="Garamond"/>
          <w:szCs w:val="22"/>
        </w:rPr>
        <w:t xml:space="preserve">. The photoperiod, including twilight and dusk, is believed to have more influence over circadian rhythm than the absolute day length </w:t>
      </w:r>
      <w:bookmarkStart w:id="71" w:name="_Hlk219734394"/>
      <w:r w:rsidR="00C231B4">
        <w:rPr>
          <w:rFonts w:eastAsia="Garamond" w:cs="Garamond"/>
          <w:szCs w:val="22"/>
        </w:rPr>
        <w:fldChar w:fldCharType="begin"/>
      </w:r>
      <w:r w:rsidR="001E0B07">
        <w:rPr>
          <w:rFonts w:eastAsia="Garamond" w:cs="Garamond"/>
          <w:szCs w:val="22"/>
        </w:rPr>
        <w:instrText xml:space="preserve"> ADDIN ZOTERO_ITEM CSL_CITATION {"citationID":"7290g6AL","properties":{"formattedCitation":"(Kuriwada 2025)","plainCitation":"(Kuriwada 2025)","noteIndex":0},"citationItems":[{"id":22342,"uris":["http://zotero.org/groups/6289862/items/8WC9JMK2"],"itemData":{"id":22342,"type":"article-journal","abstract":"Many insects regulate diapause—a dormant physiological state—in response to photoperiod, with short day length typically signaling approach of winter and inducing diapause. However, artificial light at night (ALAN), often associated with urbanization, can disrupt these photoperiodic cues and inhibit diapause induction. This review examines the disruption of diapause induction by ALAN, a topic that has only recently attracted considerable attention. First, it summarizes recent empirical studies on ALAN-induced diapause inhibition. Then, it outlines the physiological and molecular genetic mechanisms involved, which remain only partially understood. Next, it discusses potential factors limiting adaptation to ALAN-induced diapause disruption. Finally, this review presents key perspectives from physiological, evolutionary, and applied entomological standpoints to guide future research, emphasizing the need to integrate existing knowledge of diapause regulation with field and laboratory studies to better understand the effects of ALAN and guide mitigation efforts.","container-title":"Journal of Insect Physiology","DOI":"10.1016/j.jinsphys.2025.104901","ISSN":"0022-1910","journalAbbreviation":"Journal of Insect Physiology","page":"104901","source":"ScienceDirect","title":"The age of bright nights: Photoperiodic disruption of insect diapause by artificial light at night","title-short":"The age of bright nights","volume":"167","author":[{"family":"Kuriwada","given":"Takashi"}],"issued":{"date-parts":[["2025",12,1]]}}}],"schema":"https://github.com/citation-style-language/schema/raw/master/csl-citation.json"}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(Kuriwada 2025)</w:t>
      </w:r>
      <w:r w:rsidR="00C231B4">
        <w:rPr>
          <w:rFonts w:eastAsia="Garamond" w:cs="Garamond"/>
          <w:szCs w:val="22"/>
        </w:rPr>
        <w:fldChar w:fldCharType="end"/>
      </w:r>
      <w:bookmarkEnd w:id="71"/>
      <w:r>
        <w:rPr>
          <w:rFonts w:eastAsia="Garamond" w:cs="Garamond"/>
          <w:szCs w:val="22"/>
        </w:rPr>
        <w:t xml:space="preserve">. The lighting environment on and within a vessel has high levels of artificial light at night (ALAN) which may alter the perceived photoperiod </w:t>
      </w:r>
      <w:r w:rsidR="00C231B4">
        <w:rPr>
          <w:rFonts w:eastAsia="Garamond" w:cs="Garamond"/>
          <w:szCs w:val="22"/>
        </w:rPr>
        <w:fldChar w:fldCharType="begin"/>
      </w:r>
      <w:r w:rsidR="001E0B07">
        <w:rPr>
          <w:rFonts w:eastAsia="Garamond" w:cs="Garamond"/>
          <w:szCs w:val="22"/>
        </w:rPr>
        <w:instrText xml:space="preserve"> ADDIN ZOTERO_ITEM CSL_CITATION {"citationID":"y2E3BLtB","properties":{"formattedCitation":"(Kuriwada 2025)","plainCitation":"(Kuriwada 2025)","noteIndex":0},"citationItems":[{"id":22342,"uris":["http://zotero.org/groups/6289862/items/8WC9JMK2"],"itemData":{"id":22342,"type":"article-journal","abstract":"Many insects regulate diapause—a dormant physiological state—in response to photoperiod, with short day length typically signaling approach of winter and inducing diapause. However, artificial light at night (ALAN), often associated with urbanization, can disrupt these photoperiodic cues and inhibit diapause induction. This review examines the disruption of diapause induction by ALAN, a topic that has only recently attracted considerable attention. First, it summarizes recent empirical studies on ALAN-induced diapause inhibition. Then, it outlines the physiological and molecular genetic mechanisms involved, which remain only partially understood. Next, it discusses potential factors limiting adaptation to ALAN-induced diapause disruption. Finally, this review presents key perspectives from physiological, evolutionary, and applied entomological standpoints to guide future research, emphasizing the need to integrate existing knowledge of diapause regulation with field and laboratory studies to better understand the effects of ALAN and guide mitigation efforts.","container-title":"Journal of Insect Physiology","DOI":"10.1016/j.jinsphys.2025.104901","ISSN":"0022-1910","journalAbbreviation":"Journal of Insect Physiology","page":"104901","source":"ScienceDirect","title":"The age of bright nights: Photoperiodic disruption of insect diapause by artificial light at night","title-short":"The age of bright nights","volume":"167","author":[{"family":"Kuriwada","given":"Takashi"}],"issued":{"date-parts":[["2025",12,1]]}}}],"schema":"https://github.com/citation-style-language/schema/raw/master/csl-citation.json"}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(Kuriwada 2025)</w:t>
      </w:r>
      <w:r w:rsidR="00C231B4">
        <w:rPr>
          <w:rFonts w:eastAsia="Garamond" w:cs="Garamond"/>
          <w:szCs w:val="22"/>
        </w:rPr>
        <w:fldChar w:fldCharType="end"/>
      </w:r>
      <w:r>
        <w:rPr>
          <w:rFonts w:eastAsia="Garamond" w:cs="Garamond"/>
          <w:szCs w:val="22"/>
        </w:rPr>
        <w:t>. Further, many insects will enter a hormonally triggered diapause during winter, which is initiated by decreasing day length</w:t>
      </w:r>
      <w:r w:rsidR="00A456EA">
        <w:rPr>
          <w:rFonts w:eastAsia="Garamond" w:cs="Garamond"/>
          <w:szCs w:val="22"/>
        </w:rPr>
        <w:t>. T</w:t>
      </w:r>
      <w:r>
        <w:rPr>
          <w:rFonts w:eastAsia="Garamond" w:cs="Garamond"/>
          <w:szCs w:val="22"/>
        </w:rPr>
        <w:t xml:space="preserve">he presence of ALAN on vessels may prevent this from happening, especially on voyages further from the equator </w:t>
      </w:r>
      <w:r w:rsidR="00C231B4">
        <w:rPr>
          <w:rFonts w:eastAsia="Garamond" w:cs="Garamond"/>
          <w:szCs w:val="22"/>
        </w:rPr>
        <w:fldChar w:fldCharType="begin"/>
      </w:r>
      <w:r w:rsidR="001E0B07">
        <w:rPr>
          <w:rFonts w:eastAsia="Garamond" w:cs="Garamond"/>
          <w:szCs w:val="22"/>
        </w:rPr>
        <w:instrText xml:space="preserve"> ADDIN ZOTERO_ITEM CSL_CITATION {"citationID":"yo05UCKg","properties":{"formattedCitation":"(Kuriwada 2025; Levy et al. 2024)","plainCitation":"(Kuriwada 2025; Levy et al. 2024)","noteIndex":0},"citationItems":[{"id":22342,"uris":["http://zotero.org/groups/6289862/items/8WC9JMK2"],"itemData":{"id":22342,"type":"article-journal","abstract":"Many insects regulate diapause—a dormant physiological state—in response to photoperiod, with short day length typically signaling approach of winter and inducing diapause. However, artificial light at night (ALAN), often associated with urbanization, can disrupt these photoperiodic cues and inhibit diapause induction. This review examines the disruption of diapause induction by ALAN, a topic that has only recently attracted considerable attention. First, it summarizes recent empirical studies on ALAN-induced diapause inhibition. Then, it outlines the physiological and molecular genetic mechanisms involved, which remain only partially understood. Next, it discusses potential factors limiting adaptation to ALAN-induced diapause disruption. Finally, this review presents key perspectives from physiological, evolutionary, and applied entomological standpoints to guide future research, emphasizing the need to integrate existing knowledge of diapause regulation with field and laboratory studies to better understand the effects of ALAN and guide mitigation efforts.","container-title":"Journal of Insect Physiology","DOI":"10.1016/j.jinsphys.2025.104901","ISSN":"0022-1910","journalAbbreviation":"Journal of Insect Physiology","page":"104901","source":"ScienceDirect","title":"The age of bright nights: Photoperiodic disruption of insect diapause by artificial light at night","title-short":"The age of bright nights","volume":"167","author":[{"family":"Kuriwada","given":"Takashi"}],"issued":{"date-parts":[["2025",12,1]]}}},{"id":22367,"uris":["http://zotero.org/groups/6289862/items/GZKVMMCY"],"itemData":{"id":22367,"type":"article-journal","abstract":"Light is the most important Zeitgeber for temporal synchronization in nature. Artificial light at night (ALAN) disrupts the natural light-dark rhythmicity and thus negatively affects animal behavior. However, to date, ALAN research has been mostly conducted under laboratory conditions in this context. Here, we used the field cricket, Gryllus bimaculatus, to investigate the effect of ALAN on insect behavior under semi-natural conditions, i.e., under shaded natural lighting conditions, natural temperature and soundscape. Male crickets were placed individually in outdoor enclosures and exposed to ALAN conditions ranging from &lt;0.01 to 1500 lx intensity. The crickets' stridulation behavior was recorded for 14 consecutive days and nights and their daily activity patterns were analysed. ALAN impaired the crickets' stridulation rhythm, evoking a change in the crickets' naturally synchronized daily activity period. This was manifested by a light-intensity-dependent increase in the proportion of insects demonstrating an intrinsic circadian rhythm (free-run behavior). This also resulted in a change in the population's median activity cycle period. These ALAN-induced effects occurred despite the crickets' exposure to almost natural conditions. Our findings provide further validity to our previous studies on ALAN conducted under lab conditions and establish the deleterious impacts of ALAN on animal behavioral patterns.\nTeaser\nArtificial light at night alters cricket behavior and desynchronizes their stridulation even under near-natural conditions.","container-title":"Science of The Total Environment","DOI":"10.1016/j.scitotenv.2024.171905","ISSN":"0048-9697","journalAbbreviation":"Science of The Total Environment","page":"171905","source":"ScienceDirect","title":"When night becomes day: Artificial light at night alters insect behavior under semi-natural conditions","title-short":"When night becomes day","volume":"926","author":[{"family":"Levy","given":"Keren"},{"family":"Wegrzyn","given":"Yoav"},{"family":"Moaraf","given":"Stan"},{"family":"Barnea","given":"Anat"},{"family":"Ayali","given":"Amir"}],"issued":{"date-parts":[["2024",5,20]]}}}],"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(Kuriwada 2025; Levy et al. 2024)</w:t>
      </w:r>
      <w:r w:rsidR="00C231B4">
        <w:rPr>
          <w:rFonts w:eastAsia="Garamond" w:cs="Garamond"/>
          <w:szCs w:val="22"/>
        </w:rPr>
        <w:fldChar w:fldCharType="end"/>
      </w:r>
      <w:r>
        <w:rPr>
          <w:rFonts w:eastAsia="Garamond" w:cs="Garamond"/>
          <w:szCs w:val="22"/>
        </w:rPr>
        <w:t>.</w:t>
      </w:r>
    </w:p>
    <w:p w14:paraId="75E65FF3" w14:textId="2E70C27D" w:rsidR="003E15C2" w:rsidRDefault="003E15C2">
      <w:pPr>
        <w:tabs>
          <w:tab w:val="right" w:pos="9000"/>
        </w:tabs>
        <w:spacing w:before="120"/>
        <w:rPr>
          <w:rFonts w:eastAsia="Garamond" w:cs="Garamond"/>
          <w:szCs w:val="22"/>
        </w:rPr>
      </w:pPr>
      <w:r>
        <w:rPr>
          <w:rFonts w:eastAsia="Garamond" w:cs="Garamond"/>
          <w:szCs w:val="22"/>
        </w:rPr>
        <w:t xml:space="preserve">ALAN on vessels at anchorage has been shown to attract insects </w:t>
      </w:r>
      <w:r w:rsidR="00C44AF7">
        <w:rPr>
          <w:rFonts w:eastAsia="Garamond" w:cs="Garamond"/>
          <w:szCs w:val="22"/>
        </w:rPr>
        <w:t>a</w:t>
      </w:r>
      <w:r>
        <w:rPr>
          <w:rFonts w:eastAsia="Garamond" w:cs="Garamond"/>
          <w:szCs w:val="22"/>
        </w:rPr>
        <w:t xml:space="preserve">s inspectors have reported finding endemic insects on vessels. Therefore, it could be assumed that if the port or harbour is within the vicinity of a coastal area with significant ALAN, then insects from the vessel may fly to land. It is unclear how continuous artificial light, such as that found on enclosed decks, influences insect behaviours, such as locomotion, oviposition and feeding. </w:t>
      </w:r>
      <w:r w:rsidR="00C44AF7">
        <w:rPr>
          <w:rFonts w:eastAsia="Garamond" w:cs="Garamond"/>
          <w:szCs w:val="22"/>
        </w:rPr>
        <w:t xml:space="preserve">For invertebrates </w:t>
      </w:r>
      <w:r>
        <w:rPr>
          <w:rFonts w:eastAsia="Garamond" w:cs="Garamond"/>
          <w:szCs w:val="22"/>
        </w:rPr>
        <w:t>that rely on photoperiodic cues, continuous artificial light</w:t>
      </w:r>
      <w:r w:rsidR="00F85224">
        <w:rPr>
          <w:rFonts w:eastAsia="Garamond" w:cs="Garamond"/>
          <w:szCs w:val="22"/>
        </w:rPr>
        <w:t xml:space="preserve"> (</w:t>
      </w:r>
      <w:r>
        <w:rPr>
          <w:rFonts w:eastAsia="Garamond" w:cs="Garamond"/>
          <w:szCs w:val="22"/>
        </w:rPr>
        <w:t xml:space="preserve">as </w:t>
      </w:r>
      <w:r w:rsidR="00F85224">
        <w:rPr>
          <w:rFonts w:eastAsia="Garamond" w:cs="Garamond"/>
          <w:szCs w:val="22"/>
        </w:rPr>
        <w:t xml:space="preserve">experienced </w:t>
      </w:r>
      <w:r>
        <w:rPr>
          <w:rFonts w:eastAsia="Garamond" w:cs="Garamond"/>
          <w:szCs w:val="22"/>
        </w:rPr>
        <w:t>on fully enclosed decks</w:t>
      </w:r>
      <w:r w:rsidR="00F85224">
        <w:rPr>
          <w:rFonts w:eastAsia="Garamond" w:cs="Garamond"/>
          <w:szCs w:val="22"/>
        </w:rPr>
        <w:t>)</w:t>
      </w:r>
      <w:r>
        <w:rPr>
          <w:rFonts w:eastAsia="Garamond" w:cs="Garamond"/>
          <w:szCs w:val="22"/>
        </w:rPr>
        <w:t xml:space="preserve">, is expected to </w:t>
      </w:r>
      <w:r w:rsidR="00C44AF7">
        <w:rPr>
          <w:rFonts w:eastAsia="Garamond" w:cs="Garamond"/>
          <w:szCs w:val="22"/>
        </w:rPr>
        <w:t xml:space="preserve">have some </w:t>
      </w:r>
      <w:r>
        <w:rPr>
          <w:rFonts w:eastAsia="Garamond" w:cs="Garamond"/>
          <w:szCs w:val="22"/>
        </w:rPr>
        <w:t>influence</w:t>
      </w:r>
      <w:r w:rsidR="00F85224">
        <w:rPr>
          <w:rFonts w:eastAsia="Garamond" w:cs="Garamond"/>
          <w:szCs w:val="22"/>
        </w:rPr>
        <w:t xml:space="preserve"> on behaviour</w:t>
      </w:r>
      <w:r>
        <w:rPr>
          <w:rFonts w:eastAsia="Garamond" w:cs="Garamond"/>
          <w:szCs w:val="22"/>
        </w:rPr>
        <w:t xml:space="preserve"> </w:t>
      </w:r>
      <w:bookmarkStart w:id="72" w:name="_Hlk219734596"/>
      <w:r w:rsidR="00C231B4">
        <w:rPr>
          <w:rFonts w:eastAsia="Garamond" w:cs="Garamond"/>
          <w:szCs w:val="22"/>
        </w:rPr>
        <w:fldChar w:fldCharType="begin"/>
      </w:r>
      <w:r w:rsidR="001E0B07">
        <w:rPr>
          <w:rFonts w:eastAsia="Garamond" w:cs="Garamond"/>
          <w:szCs w:val="22"/>
        </w:rPr>
        <w:instrText xml:space="preserve"> ADDIN ZOTERO_ITEM CSL_CITATION {"citationID":"aWpCP4ct","properties":{"formattedCitation":"(Jiang et al. 2023)","plainCitation":"(Jiang et al. 2023)","noteIndex":0},"citationItems":[{"id":22469,"uris":["http://zotero.org/groups/6289862/items/Q7M7DDLB"],"itemData":{"id":22469,"type":"article-journal","abstract":"Light entrains the endogenous circadian clocks of organisms to synchronize their behavioral and physiological rhythms with the natural photoperiod. The presence of artificial light at night disrupts these photoperiodic cues and is currently considered to be a major threat to key fitness-related behaviors, including sleep disruption and physiological stress. Research on the ecological influence of forest pest and their natural enemies is lacking. The wood-boring insects significantly damage forest and urban forest ecosystem functions. The parasitic beetles, Dastarcus helophoroides is an important natural enemy of wood-boring insects, especially those in the Cerambycidae family. However, the effect of artificial light at night on the locomotor rhythms and oviposition capacity of D. helophoroides has received little attention. To address this gap, diel changes in the locomotor activity and number of eggs laid by female D. helophoroides was analyzed under different light-dark (LD) cycles and temperatures. The results showed that the 24-h rhythmic of locomotor activity in these beetles was elevated in darkness and reduced under illumination, indicating that they are nocturnal insects. This activity has two major peaks, the evening (1-8 h after lights off) and morning (3.5-12.5 h after lights off) components, reflecting that light mediate regular changes in locomotor activity. Moreover, the circadian rhythms and active percentage were influenced by the illumination duration and temperature, especially constant light and 40 </w:instrText>
      </w:r>
      <w:r w:rsidR="001E0B07">
        <w:rPr>
          <w:rFonts w:ascii="Cambria Math" w:eastAsia="Garamond" w:hAnsi="Cambria Math" w:cs="Cambria Math"/>
          <w:szCs w:val="22"/>
        </w:rPr>
        <w:instrText>℃</w:instrText>
      </w:r>
      <w:r w:rsidR="001E0B07">
        <w:rPr>
          <w:rFonts w:eastAsia="Garamond" w:cs="Garamond"/>
          <w:szCs w:val="22"/>
        </w:rPr>
        <w:instrText xml:space="preserve">. Females laid more eggs under the 16 L: 8 D cycles at 30 </w:instrText>
      </w:r>
      <w:r w:rsidR="001E0B07">
        <w:rPr>
          <w:rFonts w:ascii="Cambria Math" w:eastAsia="Garamond" w:hAnsi="Cambria Math" w:cs="Cambria Math"/>
          <w:szCs w:val="22"/>
        </w:rPr>
        <w:instrText>℃</w:instrText>
      </w:r>
      <w:r w:rsidR="001E0B07">
        <w:rPr>
          <w:rFonts w:eastAsia="Garamond" w:cs="Garamond"/>
          <w:szCs w:val="22"/>
        </w:rPr>
        <w:instrText xml:space="preserve"> than under the other combinations of photoperiod (including constant light and darkness) and temperature. Finally, the potential influence of exposure to four ecologically relevant intensities of artificial light at night (0, 1, 10 or 100 lx) on oviposition capacity was studied. The results showed that lifetime exposure to bright artificial light (1-100 lx) at night decreased the number of eggs laid relative to those laid with no lighting at night. These results demonstrate that chronic exposure to bright artificial light at night may influence the locomotor activity and oviposition capacity of this parasitic beetle.","container-title":"Frontiers in Physiology","DOI":"10.3389/fphys.2023.1063601","ISSN":"1664-042X","journalAbbreviation":"Front. Physiol.","language":"English","publisher":"Frontiers","source":"Frontiers","title":"Exposure to artificial light at night mediates the locomotion activity and oviposition capacity of &lt;i&gt;Dastarcus helophoroides&lt;/i&gt; (Fairmaire)","URL":"https://www.frontiersin.org/journals/physiology/articles/10.3389/fphys.2023.1063601/full","volume":"14","author":[{"family":"Jiang","given":"Xiang-lan"},{"family":"Ren","given":"Zhe"},{"family":"Hai","given":"Xiao-xia"},{"family":"Zhang","given":"Ling"},{"family":"Wang","given":"Zhi-gang"},{"family":"Lyu","given":"Fei"}],"accessed":{"date-parts":[["2025",12,11]]},"issued":{"date-parts":[["2023",2,9]]}}}],"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(Jiang et al. 2023)</w:t>
      </w:r>
      <w:r w:rsidR="00C231B4">
        <w:rPr>
          <w:rFonts w:eastAsia="Garamond" w:cs="Garamond"/>
          <w:szCs w:val="22"/>
        </w:rPr>
        <w:fldChar w:fldCharType="end"/>
      </w:r>
      <w:bookmarkEnd w:id="72"/>
      <w:r>
        <w:rPr>
          <w:rFonts w:eastAsia="Garamond" w:cs="Garamond"/>
          <w:szCs w:val="22"/>
        </w:rPr>
        <w:t xml:space="preserve">. Nocturnal and crepuscular insects are expected to experience more pronounced detrimental impacts, whereas diurnal insects may initially have positive impacts, such as extended feeding periods. </w:t>
      </w:r>
      <w:r w:rsidR="00F85224">
        <w:rPr>
          <w:rFonts w:eastAsia="Garamond" w:cs="Garamond"/>
          <w:szCs w:val="22"/>
        </w:rPr>
        <w:t>In the longer term</w:t>
      </w:r>
      <w:r>
        <w:rPr>
          <w:rFonts w:eastAsia="Garamond" w:cs="Garamond"/>
          <w:szCs w:val="22"/>
        </w:rPr>
        <w:t>, prolonged light is expected to lead to negative impacts</w:t>
      </w:r>
      <w:r w:rsidR="00F85224">
        <w:rPr>
          <w:rFonts w:eastAsia="Garamond" w:cs="Garamond"/>
          <w:szCs w:val="22"/>
        </w:rPr>
        <w:t xml:space="preserve"> </w:t>
      </w:r>
      <w:r>
        <w:rPr>
          <w:rFonts w:eastAsia="Garamond" w:cs="Garamond"/>
          <w:szCs w:val="22"/>
        </w:rPr>
        <w:t xml:space="preserve">such as reduced oviposition </w:t>
      </w:r>
      <w:r w:rsidR="00C231B4">
        <w:rPr>
          <w:rFonts w:eastAsia="Garamond" w:cs="Garamond"/>
          <w:szCs w:val="22"/>
        </w:rPr>
        <w:fldChar w:fldCharType="begin"/>
      </w:r>
      <w:r w:rsidR="001E0B07">
        <w:rPr>
          <w:rFonts w:eastAsia="Garamond" w:cs="Garamond"/>
          <w:szCs w:val="22"/>
        </w:rPr>
        <w:instrText xml:space="preserve"> ADDIN ZOTERO_ITEM CSL_CITATION {"citationID":"v4I3e0Xb","properties":{"formattedCitation":"(Jiang et al. 2023)","plainCitation":"(Jiang et al. 2023)","noteIndex":0},"citationItems":[{"id":22469,"uris":["http://zotero.org/groups/6289862/items/Q7M7DDLB"],"itemData":{"id":22469,"type":"article-journal","abstract":"Light entrains the endogenous circadian clocks of organisms to synchronize their behavioral and physiological rhythms with the natural photoperiod. The presence of artificial light at night disrupts these photoperiodic cues and is currently considered to be a major threat to key fitness-related behaviors, including sleep disruption and physiological stress. Research on the ecological influence of forest pest and their natural enemies is lacking. The wood-boring insects significantly damage forest and urban forest ecosystem functions. The parasitic beetles, Dastarcus helophoroides is an important natural enemy of wood-boring insects, especially those in the Cerambycidae family. However, the effect of artificial light at night on the locomotor rhythms and oviposition capacity of D. helophoroides has received little attention. To address this gap, diel changes in the locomotor activity and number of eggs laid by female D. helophoroides was analyzed under different light-dark (LD) cycles and temperatures. The results showed that the 24-h rhythmic of locomotor activity in these beetles was elevated in darkness and reduced under illumination, indicating that they are nocturnal insects. This activity has two major peaks, the evening (1-8 h after lights off) and morning (3.5-12.5 h after lights off) components, reflecting that light mediate regular changes in locomotor activity. Moreover, the circadian rhythms and active percentage were influenced by the illumination duration and temperature, especially constant light and 40 </w:instrText>
      </w:r>
      <w:r w:rsidR="001E0B07">
        <w:rPr>
          <w:rFonts w:ascii="Cambria Math" w:eastAsia="Garamond" w:hAnsi="Cambria Math" w:cs="Cambria Math"/>
          <w:szCs w:val="22"/>
        </w:rPr>
        <w:instrText>℃</w:instrText>
      </w:r>
      <w:r w:rsidR="001E0B07">
        <w:rPr>
          <w:rFonts w:eastAsia="Garamond" w:cs="Garamond"/>
          <w:szCs w:val="22"/>
        </w:rPr>
        <w:instrText xml:space="preserve">. Females laid more eggs under the 16 L: 8 D cycles at 30 </w:instrText>
      </w:r>
      <w:r w:rsidR="001E0B07">
        <w:rPr>
          <w:rFonts w:ascii="Cambria Math" w:eastAsia="Garamond" w:hAnsi="Cambria Math" w:cs="Cambria Math"/>
          <w:szCs w:val="22"/>
        </w:rPr>
        <w:instrText>℃</w:instrText>
      </w:r>
      <w:r w:rsidR="001E0B07">
        <w:rPr>
          <w:rFonts w:eastAsia="Garamond" w:cs="Garamond"/>
          <w:szCs w:val="22"/>
        </w:rPr>
        <w:instrText xml:space="preserve"> than under the other combinations of photoperiod (including constant light and darkness) and temperature. Finally, the potential influence of exposure to four ecologically relevant intensities of artificial light at night (0, 1, 10 or 100 lx) on oviposition capacity was studied. The results showed that lifetime exposure to bright artificial light (1-100 lx) at night decreased the number of eggs laid relative to those laid with no lighting at night. These results demonstrate that chronic exposure to bright artificial light at night may influence the locomotor activity and oviposition capacity of this parasitic beetle.","container-title":"Frontiers in Physiology","DOI":"10.3389/fphys.2023.1063601","ISSN":"1664-042X","journalAbbreviation":"Front. Physiol.","language":"English","publisher":"Frontiers","source":"Frontiers","title":"Exposure to artificial light at night mediates the locomotion activity and oviposition capacity of &lt;i&gt;Dastarcus helophoroides&lt;/i&gt; (Fairmaire)","URL":"https://www.frontiersin.org/journals/physiology/articles/10.3389/fphys.2023.1063601/full","volume":"14","author":[{"family":"Jiang","given":"Xiang-lan"},{"family":"Ren","given":"Zhe"},{"family":"Hai","given":"Xiao-xia"},{"family":"Zhang","given":"Ling"},{"family":"Wang","given":"Zhi-gang"},{"family":"Lyu","given":"Fei"}],"accessed":{"date-parts":[["2025",12,11]]},"issued":{"date-parts":[["2023",2,9]]}}}],"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(Jiang et al. 2023)</w:t>
      </w:r>
      <w:r w:rsidR="00C231B4">
        <w:rPr>
          <w:rFonts w:eastAsia="Garamond" w:cs="Garamond"/>
          <w:szCs w:val="22"/>
        </w:rPr>
        <w:fldChar w:fldCharType="end"/>
      </w:r>
      <w:r>
        <w:rPr>
          <w:rFonts w:eastAsia="Garamond" w:cs="Garamond"/>
          <w:szCs w:val="22"/>
        </w:rPr>
        <w:t>. Further field research is required to determine the effect of vessel lighting on insect activity and the likelihood that insects on open decks may fly to land if there are sufficient attractive light sources.</w:t>
      </w:r>
    </w:p>
    <w:p w14:paraId="21FBD8F4" w14:textId="77777777" w:rsidR="003E15C2" w:rsidRDefault="003E15C2" w:rsidP="003807D5">
      <w:pPr>
        <w:pStyle w:val="Heading3"/>
      </w:pPr>
      <w:bookmarkStart w:id="73" w:name="_Toc219290011"/>
      <w:bookmarkStart w:id="74" w:name="_Toc226796959"/>
      <w:r>
        <w:t xml:space="preserve">Factors that can impact biosecurity </w:t>
      </w:r>
      <w:r w:rsidRPr="00B12684">
        <w:t>inspections</w:t>
      </w:r>
      <w:bookmarkEnd w:id="73"/>
      <w:bookmarkEnd w:id="74"/>
    </w:p>
    <w:p w14:paraId="55BEBCDD" w14:textId="456493EC" w:rsidR="003E15C2" w:rsidRDefault="003E15C2" w:rsidP="003E15C2">
      <w:pPr>
        <w:tabs>
          <w:tab w:val="right" w:pos="9000"/>
        </w:tabs>
        <w:spacing w:before="120"/>
        <w:rPr>
          <w:rFonts w:eastAsia="Garamond" w:cs="Garamond"/>
          <w:szCs w:val="22"/>
        </w:rPr>
      </w:pPr>
      <w:r>
        <w:rPr>
          <w:rFonts w:eastAsia="Garamond" w:cs="Garamond"/>
          <w:szCs w:val="22"/>
        </w:rPr>
        <w:t>Biosecurity inspections are manual</w:t>
      </w:r>
      <w:r w:rsidR="00C44AF7">
        <w:rPr>
          <w:rFonts w:eastAsia="Garamond" w:cs="Garamond"/>
          <w:szCs w:val="22"/>
        </w:rPr>
        <w:t>,</w:t>
      </w:r>
      <w:r>
        <w:rPr>
          <w:rFonts w:eastAsia="Garamond" w:cs="Garamond"/>
          <w:szCs w:val="22"/>
        </w:rPr>
        <w:t xml:space="preserve"> visual activities, that may be conducted in challenging environmental conditions. They require considerable mental bandwidth for concentration, visual processing, and decision making </w:t>
      </w:r>
      <w:r w:rsidR="00C231B4">
        <w:rPr>
          <w:rFonts w:eastAsia="Garamond" w:cs="Garamond"/>
          <w:szCs w:val="22"/>
        </w:rPr>
        <w:fldChar w:fldCharType="begin"/>
      </w:r>
      <w:r w:rsidR="001E0B07">
        <w:rPr>
          <w:rFonts w:eastAsia="Garamond" w:cs="Garamond"/>
          <w:szCs w:val="22"/>
        </w:rPr>
        <w:instrText xml:space="preserve"> ADDIN ZOTERO_ITEM CSL_CITATION {"citationID":"vyZHjzVw","properties":{"formattedCitation":"(Esfandi et al. 2024)","plainCitation":"(Esfandi et al. 2024)","noteIndex":0},"citationItems":[{"id":22464,"uris":["http://zotero.org/groups/6289862/items/9HX7L8MP"],"itemData":{"id":22464,"type":"article-journal","abstract":"Examination of imported commodities by trained inspectors searching for pest organisms is a common practice that phytosanitary regulatory agencies use to mitigate biosecurity risks along trade pathways. To investigate the effects of target size and color on the efficacy of these visual assessments, we affixed square decals to polystyrene models of mandarins. Sample units of 100 model fruit containing up to 10 marked models were examined by inspectors. Six sizes in six shades of brown were tested across two prevalence levels. The experiment consisted of five inspection rounds where 11 inspectors examined 77 sample units within an allocated time. The probability that decals were detected increased with mark size and color contrast. Smaller, low-contrast marks were mainly missed. The prevalence rate did not affect the detectability. Through the experiment, the false-positive rate dropped from 6% to 3%, whereas false-negative rates were constant throughout. Large, dark targets were readily found with a mean recall of &amp;gt;90%, whereas small, pale marks had a mean recall of 9%. Increased experience made inspectors more competent at recognizing decals, reducing the false positive rate. However, constant false-negative rates indicate that experience did not prevent inspectors from overlooking targets they could not perceive.","container-title":"Journal of Vision","DOI":"10.1167/jov.24.8.8","ISSN":"1534-7362","issue":"8","journalAbbreviation":"Journal of Vision","page":"8","source":"Silverchair","title":"Determining the efficacy of visual inspections at detecting non-biosecurity–compliant goods","volume":"24","author":[{"family":"Esfandi","given":"Kambiz"},{"family":"Afsar","given":"Saeedeh"},{"family":"Richards","given":"Kate"},{"family":"Hedderley","given":"Duncan"},{"family":"Brown","given":"Samuel D. J."},{"family":"Najar-Rodriguez","given":"Adriana"},{"family":"Ormsby","given":"Mike"}],"issued":{"date-parts":[["2024",8,16]]}}}],"schema":"https://github.com/citation-style-language/schema/raw/master/csl-citation.json"}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(Esfandi et al. 2024)</w:t>
      </w:r>
      <w:r w:rsidR="00C231B4">
        <w:rPr>
          <w:rFonts w:eastAsia="Garamond" w:cs="Garamond"/>
          <w:szCs w:val="22"/>
        </w:rPr>
        <w:fldChar w:fldCharType="end"/>
      </w:r>
      <w:r>
        <w:rPr>
          <w:rFonts w:eastAsia="Garamond" w:cs="Garamond"/>
          <w:szCs w:val="22"/>
        </w:rPr>
        <w:t xml:space="preserve">. A review of visual inspection found five key factors that contribute to inspection performance </w:t>
      </w:r>
      <w:r>
        <w:rPr>
          <w:rFonts w:eastAsia="Garamond" w:cs="Garamond"/>
          <w:szCs w:val="22"/>
        </w:rPr>
        <w:fldChar w:fldCharType="begin"/>
      </w:r>
      <w:r w:rsidR="001E0B07">
        <w:rPr>
          <w:rFonts w:eastAsia="Garamond" w:cs="Garamond"/>
          <w:szCs w:val="22"/>
        </w:rPr>
        <w:instrText xml:space="preserve"> ADDIN ZOTERO_ITEM CSL_CITATION {"citationID":"vRi1ypbg","properties":{"formattedCitation":"(See 2012)","plainCitation":"(See 2012)","noteIndex":0},"citationItems":[{"id":22628,"uris":["http://zotero.org/groups/6289862/items/QPIF8SBI"],"itemData":{"id":22628,"type":"report","abstract":"This report provides a review of 212 documents published in the visual inspection literature from the 1950s to the present. The inspection task is defined and characterized and trends in inspection research are reviewed. The prevailing twocomponent model of inspection and various techniques to measure inspection performance are discussed. The majority of the report reviews the parameters that may impact inspection performance and describes the relevant findings from the literature. The report concludes with a re-iteration of the value of inspection research and a summary of the major recommendations for improving inspection performance.","language":"en","publisher":"United States Department of Energy","publisher-place":"Albuquerque, New Mexico","source":"Zotero","title":"Visual Inspection: A Review of the Literature","author":[{"family":"See","given":"Judi E"}],"issued":{"date-parts":[["2012"]]}}}],"schema":"https://github.com/citation-style-language/schema/raw/master/csl-citation.json"} </w:instrText>
      </w:r>
      <w:r>
        <w:rPr>
          <w:rFonts w:eastAsia="Garamond" w:cs="Garamond"/>
          <w:szCs w:val="22"/>
        </w:rPr>
        <w:fldChar w:fldCharType="separate"/>
      </w:r>
      <w:r>
        <w:rPr>
          <w:rFonts w:eastAsia="Garamond" w:cs="Garamond"/>
          <w:noProof/>
          <w:szCs w:val="22"/>
        </w:rPr>
        <w:t>(See 2012)</w:t>
      </w:r>
      <w:r>
        <w:rPr>
          <w:rFonts w:eastAsia="Garamond" w:cs="Garamond"/>
          <w:szCs w:val="22"/>
        </w:rPr>
        <w:fldChar w:fldCharType="end"/>
      </w:r>
      <w:r>
        <w:rPr>
          <w:rFonts w:eastAsia="Garamond" w:cs="Garamond"/>
          <w:szCs w:val="22"/>
        </w:rPr>
        <w:t>:</w:t>
      </w:r>
    </w:p>
    <w:p w14:paraId="11605B48" w14:textId="0F85859A" w:rsidR="003E15C2" w:rsidRDefault="003E15C2">
      <w:pPr>
        <w:pStyle w:val="ListParagraph"/>
        <w:numPr>
          <w:ilvl w:val="0"/>
          <w:numId w:val="14"/>
        </w:numPr>
        <w:spacing w:before="120"/>
        <w:rPr>
          <w:rFonts w:eastAsia="Garamond" w:cs="Garamond"/>
          <w:szCs w:val="22"/>
        </w:rPr>
      </w:pPr>
      <w:r w:rsidRPr="00313F39">
        <w:rPr>
          <w:rFonts w:eastAsia="Garamond" w:cs="Garamond"/>
          <w:szCs w:val="22"/>
        </w:rPr>
        <w:t xml:space="preserve">the </w:t>
      </w:r>
      <w:r>
        <w:rPr>
          <w:rFonts w:eastAsia="Garamond" w:cs="Garamond"/>
          <w:szCs w:val="22"/>
        </w:rPr>
        <w:t>inspection</w:t>
      </w:r>
      <w:r w:rsidRPr="00313F39">
        <w:rPr>
          <w:rFonts w:eastAsia="Garamond" w:cs="Garamond"/>
          <w:szCs w:val="22"/>
        </w:rPr>
        <w:t xml:space="preserve"> task</w:t>
      </w:r>
      <w:r>
        <w:rPr>
          <w:rFonts w:eastAsia="Garamond" w:cs="Garamond"/>
          <w:szCs w:val="22"/>
        </w:rPr>
        <w:t xml:space="preserve"> i.e. complexity, standards, non-compliance rate</w:t>
      </w:r>
    </w:p>
    <w:p w14:paraId="389A8956" w14:textId="1EAD33AA" w:rsidR="003E15C2" w:rsidRDefault="003E15C2">
      <w:pPr>
        <w:pStyle w:val="ListParagraph"/>
        <w:numPr>
          <w:ilvl w:val="0"/>
          <w:numId w:val="14"/>
        </w:numPr>
        <w:spacing w:before="120"/>
        <w:rPr>
          <w:rFonts w:eastAsia="Garamond" w:cs="Garamond"/>
          <w:szCs w:val="22"/>
        </w:rPr>
      </w:pPr>
      <w:r w:rsidRPr="00313F39">
        <w:rPr>
          <w:rFonts w:eastAsia="Garamond" w:cs="Garamond"/>
          <w:szCs w:val="22"/>
        </w:rPr>
        <w:t>the individual</w:t>
      </w:r>
      <w:r>
        <w:rPr>
          <w:rFonts w:eastAsia="Garamond" w:cs="Garamond"/>
          <w:szCs w:val="22"/>
        </w:rPr>
        <w:t xml:space="preserve"> i.e. experience, visual acuity, age, biases, fatigue</w:t>
      </w:r>
    </w:p>
    <w:p w14:paraId="1B937A37" w14:textId="3F3D5D1F" w:rsidR="003E15C2" w:rsidRDefault="003E15C2">
      <w:pPr>
        <w:pStyle w:val="ListParagraph"/>
        <w:numPr>
          <w:ilvl w:val="0"/>
          <w:numId w:val="14"/>
        </w:numPr>
        <w:spacing w:before="120"/>
        <w:rPr>
          <w:rFonts w:eastAsia="Garamond" w:cs="Garamond"/>
          <w:szCs w:val="22"/>
        </w:rPr>
      </w:pPr>
      <w:r w:rsidRPr="00313F39">
        <w:rPr>
          <w:rFonts w:eastAsia="Garamond" w:cs="Garamond"/>
          <w:szCs w:val="22"/>
        </w:rPr>
        <w:t>the environment</w:t>
      </w:r>
      <w:r>
        <w:rPr>
          <w:rFonts w:eastAsia="Garamond" w:cs="Garamond"/>
          <w:szCs w:val="22"/>
        </w:rPr>
        <w:t xml:space="preserve"> i.e. lighting, noise, temperature, duration of work shift</w:t>
      </w:r>
    </w:p>
    <w:p w14:paraId="03C45EE2" w14:textId="7A879B4C" w:rsidR="003E15C2" w:rsidRDefault="003E15C2">
      <w:pPr>
        <w:pStyle w:val="ListParagraph"/>
        <w:numPr>
          <w:ilvl w:val="0"/>
          <w:numId w:val="14"/>
        </w:numPr>
        <w:spacing w:before="120"/>
        <w:rPr>
          <w:rFonts w:eastAsia="Garamond" w:cs="Garamond"/>
          <w:szCs w:val="22"/>
        </w:rPr>
      </w:pPr>
      <w:r w:rsidRPr="00313F39">
        <w:rPr>
          <w:rFonts w:eastAsia="Garamond" w:cs="Garamond"/>
          <w:szCs w:val="22"/>
        </w:rPr>
        <w:t>the organisation</w:t>
      </w:r>
      <w:r>
        <w:rPr>
          <w:rFonts w:eastAsia="Garamond" w:cs="Garamond"/>
          <w:szCs w:val="22"/>
        </w:rPr>
        <w:t xml:space="preserve"> i.e. training, instruction, incentives, management support</w:t>
      </w:r>
    </w:p>
    <w:p w14:paraId="1F78C1D8" w14:textId="098D5CB5" w:rsidR="003E15C2" w:rsidRPr="00313F39" w:rsidRDefault="003E15C2">
      <w:pPr>
        <w:pStyle w:val="ListParagraph"/>
        <w:numPr>
          <w:ilvl w:val="0"/>
          <w:numId w:val="14"/>
        </w:numPr>
        <w:spacing w:before="120"/>
        <w:rPr>
          <w:rFonts w:eastAsia="Garamond" w:cs="Garamond"/>
          <w:szCs w:val="22"/>
        </w:rPr>
      </w:pPr>
      <w:r w:rsidRPr="00313F39">
        <w:rPr>
          <w:rFonts w:eastAsia="Garamond" w:cs="Garamond"/>
          <w:szCs w:val="22"/>
        </w:rPr>
        <w:t>social factors</w:t>
      </w:r>
      <w:r>
        <w:rPr>
          <w:rFonts w:eastAsia="Garamond" w:cs="Garamond"/>
          <w:szCs w:val="22"/>
        </w:rPr>
        <w:t xml:space="preserve"> i.e. communication, pressure, isolation. </w:t>
      </w:r>
    </w:p>
    <w:p w14:paraId="76B148B8" w14:textId="6187532F" w:rsidR="003E15C2" w:rsidRDefault="00CE1FAC">
      <w:pPr>
        <w:tabs>
          <w:tab w:val="right" w:pos="9000"/>
        </w:tabs>
        <w:spacing w:before="120"/>
        <w:rPr>
          <w:rFonts w:eastAsia="Garamond" w:cs="Garamond"/>
          <w:szCs w:val="22"/>
        </w:rPr>
      </w:pPr>
      <w:r>
        <w:rPr>
          <w:rFonts w:eastAsia="Garamond" w:cs="Garamond"/>
          <w:szCs w:val="22"/>
        </w:rPr>
        <w:lastRenderedPageBreak/>
        <w:t xml:space="preserve">Time constraints for inspection activities affect overall rigor and thoroughness. </w:t>
      </w:r>
      <w:r w:rsidR="003E15C2">
        <w:rPr>
          <w:rFonts w:eastAsia="Garamond" w:cs="Garamond"/>
          <w:szCs w:val="22"/>
        </w:rPr>
        <w:t>There is a higher level of detection success when inspector</w:t>
      </w:r>
      <w:r>
        <w:rPr>
          <w:rFonts w:eastAsia="Garamond" w:cs="Garamond"/>
          <w:szCs w:val="22"/>
        </w:rPr>
        <w:t>s</w:t>
      </w:r>
      <w:r w:rsidR="003E15C2">
        <w:rPr>
          <w:rFonts w:eastAsia="Garamond" w:cs="Garamond"/>
          <w:szCs w:val="22"/>
        </w:rPr>
        <w:t xml:space="preserve"> </w:t>
      </w:r>
      <w:r>
        <w:rPr>
          <w:rFonts w:eastAsia="Garamond" w:cs="Garamond"/>
          <w:szCs w:val="22"/>
        </w:rPr>
        <w:t xml:space="preserve">are </w:t>
      </w:r>
      <w:r w:rsidR="003E15C2">
        <w:rPr>
          <w:rFonts w:eastAsia="Garamond" w:cs="Garamond"/>
          <w:szCs w:val="22"/>
        </w:rPr>
        <w:t xml:space="preserve">allowed to set the pace, and they are not under undue external time pressures </w:t>
      </w:r>
      <w:r w:rsidR="003E15C2">
        <w:rPr>
          <w:rFonts w:eastAsia="Garamond" w:cs="Garamond"/>
          <w:szCs w:val="22"/>
        </w:rPr>
        <w:fldChar w:fldCharType="begin"/>
      </w:r>
      <w:r w:rsidR="001E0B07">
        <w:rPr>
          <w:rFonts w:eastAsia="Garamond" w:cs="Garamond"/>
          <w:szCs w:val="22"/>
        </w:rPr>
        <w:instrText xml:space="preserve"> ADDIN ZOTERO_ITEM CSL_CITATION {"citationID":"d1RfHiqO","properties":{"formattedCitation":"(See 2012)","plainCitation":"(See 2012)","noteIndex":0},"citationItems":[{"id":22628,"uris":["http://zotero.org/groups/6289862/items/QPIF8SBI"],"itemData":{"id":22628,"type":"report","abstract":"This report provides a review of 212 documents published in the visual inspection literature from the 1950s to the present. The inspection task is defined and characterized and trends in inspection research are reviewed. The prevailing twocomponent model of inspection and various techniques to measure inspection performance are discussed. The majority of the report reviews the parameters that may impact inspection performance and describes the relevant findings from the literature. The report concludes with a re-iteration of the value of inspection research and a summary of the major recommendations for improving inspection performance.","language":"en","publisher":"United States Department of Energy","publisher-place":"Albuquerque, New Mexico","source":"Zotero","title":"Visual Inspection: A Review of the Literature","author":[{"family":"See","given":"Judi E"}],"issued":{"date-parts":[["2012"]]}}}],"schema":"https://github.com/citation-style-language/schema/raw/master/csl-citation.json"} </w:instrText>
      </w:r>
      <w:r w:rsidR="003E15C2">
        <w:rPr>
          <w:rFonts w:eastAsia="Garamond" w:cs="Garamond"/>
          <w:szCs w:val="22"/>
        </w:rPr>
        <w:fldChar w:fldCharType="separate"/>
      </w:r>
      <w:r w:rsidR="003E15C2">
        <w:rPr>
          <w:rFonts w:eastAsia="Garamond" w:cs="Garamond"/>
          <w:noProof/>
          <w:szCs w:val="22"/>
        </w:rPr>
        <w:t>(See 2012)</w:t>
      </w:r>
      <w:r w:rsidR="003E15C2">
        <w:rPr>
          <w:rFonts w:eastAsia="Garamond" w:cs="Garamond"/>
          <w:szCs w:val="22"/>
        </w:rPr>
        <w:fldChar w:fldCharType="end"/>
      </w:r>
      <w:r w:rsidR="003E15C2">
        <w:rPr>
          <w:rFonts w:eastAsia="Garamond" w:cs="Garamond"/>
          <w:szCs w:val="22"/>
        </w:rPr>
        <w:t xml:space="preserve">. Visual aids can improve inspection accuracy, such as mirrors, torches and magnifying glasses, if used appropriately. </w:t>
      </w:r>
      <w:r w:rsidR="009D7752">
        <w:rPr>
          <w:rFonts w:eastAsia="Garamond" w:cs="Garamond"/>
          <w:szCs w:val="22"/>
        </w:rPr>
        <w:t xml:space="preserve">The use of these tools can </w:t>
      </w:r>
      <w:r w:rsidR="00A45DF8">
        <w:rPr>
          <w:rFonts w:eastAsia="Garamond" w:cs="Garamond"/>
          <w:szCs w:val="22"/>
        </w:rPr>
        <w:t xml:space="preserve">simultaneously </w:t>
      </w:r>
      <w:r w:rsidR="009D7752">
        <w:rPr>
          <w:rFonts w:eastAsia="Garamond" w:cs="Garamond"/>
          <w:szCs w:val="22"/>
        </w:rPr>
        <w:t>increase the cognitive demand</w:t>
      </w:r>
      <w:r w:rsidR="0030397D">
        <w:rPr>
          <w:rFonts w:eastAsia="Garamond" w:cs="Garamond"/>
          <w:szCs w:val="22"/>
        </w:rPr>
        <w:t xml:space="preserve"> and physiological pressure associated with changing light levels,</w:t>
      </w:r>
      <w:r w:rsidR="009D7752">
        <w:rPr>
          <w:rFonts w:eastAsia="Garamond" w:cs="Garamond"/>
          <w:szCs w:val="22"/>
        </w:rPr>
        <w:t xml:space="preserve"> and hasten the onset of fatigue.</w:t>
      </w:r>
      <w:r w:rsidR="0030397D">
        <w:rPr>
          <w:rFonts w:eastAsia="Garamond" w:cs="Garamond"/>
          <w:szCs w:val="22"/>
        </w:rPr>
        <w:t xml:space="preserve"> Regular breaks may be required to sustain inspection performance.</w:t>
      </w:r>
    </w:p>
    <w:p w14:paraId="0A3F9F1A" w14:textId="574DF349" w:rsidR="003E15C2" w:rsidRDefault="003E15C2">
      <w:pPr>
        <w:tabs>
          <w:tab w:val="right" w:pos="9000"/>
        </w:tabs>
        <w:spacing w:before="120"/>
        <w:rPr>
          <w:rFonts w:eastAsia="Garamond" w:cs="Garamond"/>
          <w:szCs w:val="22"/>
        </w:rPr>
      </w:pPr>
      <w:r>
        <w:rPr>
          <w:rFonts w:eastAsia="Garamond" w:cs="Garamond"/>
          <w:szCs w:val="22"/>
        </w:rPr>
        <w:t xml:space="preserve">Environmental factors such as lighting, temperature and noise can play a significant role. However, finding the appropriate light level without inducing glare and affecting colour perception can be challenging </w:t>
      </w:r>
      <w:r>
        <w:rPr>
          <w:rFonts w:eastAsia="Garamond" w:cs="Garamond"/>
          <w:szCs w:val="22"/>
        </w:rPr>
        <w:fldChar w:fldCharType="begin"/>
      </w:r>
      <w:r w:rsidR="001E0B07">
        <w:rPr>
          <w:rFonts w:eastAsia="Garamond" w:cs="Garamond"/>
          <w:szCs w:val="22"/>
        </w:rPr>
        <w:instrText xml:space="preserve"> ADDIN ZOTERO_ITEM CSL_CITATION {"citationID":"lziVziLX","properties":{"formattedCitation":"(See 2012)","plainCitation":"(See 2012)","noteIndex":0},"citationItems":[{"id":22628,"uris":["http://zotero.org/groups/6289862/items/QPIF8SBI"],"itemData":{"id":22628,"type":"report","abstract":"This report provides a review of 212 documents published in the visual inspection literature from the 1950s to the present. The inspection task is defined and characterized and trends in inspection research are reviewed. The prevailing twocomponent model of inspection and various techniques to measure inspection performance are discussed. The majority of the report reviews the parameters that may impact inspection performance and describes the relevant findings from the literature. The report concludes with a re-iteration of the value of inspection research and a summary of the major recommendations for improving inspection performance.","language":"en","publisher":"United States Department of Energy","publisher-place":"Albuquerque, New Mexico","source":"Zotero","title":"Visual Inspection: A Review of the Literature","author":[{"family":"See","given":"Judi E"}],"issued":{"date-parts":[["2012"]]}}}],"schema":"https://github.com/citation-style-language/schema/raw/master/csl-citation.json"} </w:instrText>
      </w:r>
      <w:r>
        <w:rPr>
          <w:rFonts w:eastAsia="Garamond" w:cs="Garamond"/>
          <w:szCs w:val="22"/>
        </w:rPr>
        <w:fldChar w:fldCharType="separate"/>
      </w:r>
      <w:r>
        <w:rPr>
          <w:rFonts w:eastAsia="Garamond" w:cs="Garamond"/>
          <w:noProof/>
          <w:szCs w:val="22"/>
        </w:rPr>
        <w:t>(See 2012)</w:t>
      </w:r>
      <w:r>
        <w:rPr>
          <w:rFonts w:eastAsia="Garamond" w:cs="Garamond"/>
          <w:szCs w:val="22"/>
        </w:rPr>
        <w:fldChar w:fldCharType="end"/>
      </w:r>
      <w:r>
        <w:rPr>
          <w:rFonts w:eastAsia="Garamond" w:cs="Garamond"/>
          <w:szCs w:val="22"/>
        </w:rPr>
        <w:t xml:space="preserve">. Colour, focus (diffuse vs directional) and quality of the lighting can also influence inspector accuracy </w:t>
      </w:r>
      <w:r>
        <w:rPr>
          <w:rFonts w:eastAsia="Garamond" w:cs="Garamond"/>
          <w:szCs w:val="22"/>
        </w:rPr>
        <w:fldChar w:fldCharType="begin"/>
      </w:r>
      <w:r w:rsidR="001E0B07">
        <w:rPr>
          <w:rFonts w:eastAsia="Garamond" w:cs="Garamond"/>
          <w:szCs w:val="22"/>
        </w:rPr>
        <w:instrText xml:space="preserve"> ADDIN ZOTERO_ITEM CSL_CITATION {"citationID":"71nftkGc","properties":{"formattedCitation":"(See 2012)","plainCitation":"(See 2012)","noteIndex":0},"citationItems":[{"id":22628,"uris":["http://zotero.org/groups/6289862/items/QPIF8SBI"],"itemData":{"id":22628,"type":"report","abstract":"This report provides a review of 212 documents published in the visual inspection literature from the 1950s to the present. The inspection task is defined and characterized and trends in inspection research are reviewed. The prevailing twocomponent model of inspection and various techniques to measure inspection performance are discussed. The majority of the report reviews the parameters that may impact inspection performance and describes the relevant findings from the literature. The report concludes with a re-iteration of the value of inspection research and a summary of the major recommendations for improving inspection performance.","language":"en","publisher":"United States Department of Energy","publisher-place":"Albuquerque, New Mexico","source":"Zotero","title":"Visual Inspection: A Review of the Literature","author":[{"family":"See","given":"Judi E"}],"issued":{"date-parts":[["2012"]]}}}],"schema":"https://github.com/citation-style-language/schema/raw/master/csl-citation.json"} </w:instrText>
      </w:r>
      <w:r>
        <w:rPr>
          <w:rFonts w:eastAsia="Garamond" w:cs="Garamond"/>
          <w:szCs w:val="22"/>
        </w:rPr>
        <w:fldChar w:fldCharType="separate"/>
      </w:r>
      <w:r>
        <w:rPr>
          <w:rFonts w:eastAsia="Garamond" w:cs="Garamond"/>
          <w:noProof/>
          <w:szCs w:val="22"/>
        </w:rPr>
        <w:t>(See 2012)</w:t>
      </w:r>
      <w:r>
        <w:rPr>
          <w:rFonts w:eastAsia="Garamond" w:cs="Garamond"/>
          <w:szCs w:val="22"/>
        </w:rPr>
        <w:fldChar w:fldCharType="end"/>
      </w:r>
      <w:r>
        <w:rPr>
          <w:rFonts w:eastAsia="Garamond" w:cs="Garamond"/>
          <w:szCs w:val="22"/>
        </w:rPr>
        <w:t xml:space="preserve">. Surface and target BRM colours, along with the size of target BRM have been shown to impact the likelihood of detection, e.g. small, or low contrast surface and BRM as less likely to be detected </w:t>
      </w:r>
      <w:r w:rsidR="00C231B4">
        <w:rPr>
          <w:rFonts w:eastAsia="Garamond" w:cs="Garamond"/>
          <w:szCs w:val="22"/>
        </w:rPr>
        <w:fldChar w:fldCharType="begin"/>
      </w:r>
      <w:r w:rsidR="001E0B07">
        <w:rPr>
          <w:rFonts w:eastAsia="Garamond" w:cs="Garamond"/>
          <w:szCs w:val="22"/>
        </w:rPr>
        <w:instrText xml:space="preserve"> ADDIN ZOTERO_ITEM CSL_CITATION {"citationID":"Xt0nTrry","properties":{"formattedCitation":"(Esfandi et al. 2024)","plainCitation":"(Esfandi et al. 2024)","noteIndex":0},"citationItems":[{"id":22464,"uris":["http://zotero.org/groups/6289862/items/9HX7L8MP"],"itemData":{"id":22464,"type":"article-journal","abstract":"Examination of imported commodities by trained inspectors searching for pest organisms is a common practice that phytosanitary regulatory agencies use to mitigate biosecurity risks along trade pathways. To investigate the effects of target size and color on the efficacy of these visual assessments, we affixed square decals to polystyrene models of mandarins. Sample units of 100 model fruit containing up to 10 marked models were examined by inspectors. Six sizes in six shades of brown were tested across two prevalence levels. The experiment consisted of five inspection rounds where 11 inspectors examined 77 sample units within an allocated time. The probability that decals were detected increased with mark size and color contrast. Smaller, low-contrast marks were mainly missed. The prevalence rate did not affect the detectability. Through the experiment, the false-positive rate dropped from 6% to 3%, whereas false-negative rates were constant throughout. Large, dark targets were readily found with a mean recall of &amp;gt;90%, whereas small, pale marks had a mean recall of 9%. Increased experience made inspectors more competent at recognizing decals, reducing the false positive rate. However, constant false-negative rates indicate that experience did not prevent inspectors from overlooking targets they could not perceive.","container-title":"Journal of Vision","DOI":"10.1167/jov.24.8.8","ISSN":"1534-7362","issue":"8","journalAbbreviation":"Journal of Vision","page":"8","source":"Silverchair","title":"Determining the efficacy of visual inspections at detecting non-biosecurity–compliant goods","volume":"24","author":[{"family":"Esfandi","given":"Kambiz"},{"family":"Afsar","given":"Saeedeh"},{"family":"Richards","given":"Kate"},{"family":"Hedderley","given":"Duncan"},{"family":"Brown","given":"Samuel D. J."},{"family":"Najar-Rodriguez","given":"Adriana"},{"family":"Ormsby","given":"Mike"}],"issued":{"date-parts":[["2024",8,16]]}}}],"schema":"https://github.com/citation-style-language/schema/raw/master/csl-citation.json"}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(Esfandi et al. 2024)</w:t>
      </w:r>
      <w:r w:rsidR="00C231B4">
        <w:rPr>
          <w:rFonts w:eastAsia="Garamond" w:cs="Garamond"/>
          <w:szCs w:val="22"/>
        </w:rPr>
        <w:fldChar w:fldCharType="end"/>
      </w:r>
      <w:r>
        <w:rPr>
          <w:rFonts w:eastAsia="Garamond" w:cs="Garamond"/>
          <w:szCs w:val="22"/>
        </w:rPr>
        <w:t xml:space="preserve">. Further, colour vision has been shown to deteriorate with physical exertion </w:t>
      </w:r>
      <w:r w:rsidR="00C231B4">
        <w:rPr>
          <w:rFonts w:eastAsia="Garamond" w:cs="Garamond"/>
          <w:szCs w:val="22"/>
        </w:rPr>
        <w:fldChar w:fldCharType="begin"/>
      </w:r>
      <w:r w:rsidR="001E0B07">
        <w:rPr>
          <w:rFonts w:eastAsia="Garamond" w:cs="Garamond"/>
          <w:szCs w:val="22"/>
        </w:rPr>
        <w:instrText xml:space="preserve"> ADDIN ZOTERO_ITEM CSL_CITATION {"citationID":"pQ6HRCuB","properties":{"formattedCitation":"(Tekavcic et al. 2017)","plainCitation":"(Tekavcic et al. 2017)","noteIndex":0},"citationItems":[{"id":22471,"uris":["http://zotero.org/groups/6289862/items/9MIJKNGI"],"itemData":{"id":22471,"type":"article-journal","abstract":"The purpose of this study was to establish whether physical fatigue affects color vision. Thirty healthy participants were included in the study (M:F=15:15), age 25.3±4.4 y, all professional or top amateur athletes. They were exhausted using the Wingate test (WT). Physical fatigue was determined by blood lactate level before the WT and 1, 3, 5, 7 and 10</w:instrText>
      </w:r>
      <w:r w:rsidR="001E0B07">
        <w:rPr>
          <w:rFonts w:ascii="Times New Roman" w:eastAsia="Garamond" w:hAnsi="Times New Roman"/>
          <w:szCs w:val="22"/>
        </w:rPr>
        <w:instrText> </w:instrText>
      </w:r>
      <w:r w:rsidR="001E0B07">
        <w:rPr>
          <w:rFonts w:eastAsia="Garamond" w:cs="Garamond"/>
          <w:szCs w:val="22"/>
        </w:rPr>
        <w:instrText>min after. Color vision was evaluated using the Hardy-Rand-Rittler (HRR) and the Mollon-Reffin Minimalist (MRM) tests before the WT and 5, 10 and 30</w:instrText>
      </w:r>
      <w:r w:rsidR="001E0B07">
        <w:rPr>
          <w:rFonts w:ascii="Times New Roman" w:eastAsia="Garamond" w:hAnsi="Times New Roman"/>
          <w:szCs w:val="22"/>
        </w:rPr>
        <w:instrText> </w:instrText>
      </w:r>
      <w:r w:rsidR="001E0B07">
        <w:rPr>
          <w:rFonts w:eastAsia="Garamond" w:cs="Garamond"/>
          <w:szCs w:val="22"/>
        </w:rPr>
        <w:instrText>min after. Five minutes after the WT 2/30 (6%) showed affected color vision in the protan axis and 25/30 (83%) in the tritan axis. Ten and 30</w:instrText>
      </w:r>
      <w:r w:rsidR="001E0B07">
        <w:rPr>
          <w:rFonts w:ascii="Times New Roman" w:eastAsia="Garamond" w:hAnsi="Times New Roman"/>
          <w:szCs w:val="22"/>
        </w:rPr>
        <w:instrText> </w:instrText>
      </w:r>
      <w:r w:rsidR="001E0B07">
        <w:rPr>
          <w:rFonts w:eastAsia="Garamond" w:cs="Garamond"/>
          <w:szCs w:val="22"/>
        </w:rPr>
        <w:instrText xml:space="preserve">min after the WT all the participants showed normal color vision in both the deutan and protan axes, whereas 12/30 (40%) and 8/30 (26%), respectively, showed affected color vision in the tritan axis. A gender difference was observed in color vision deficiency and improvement, with female participants being affected more and longer. The study showed that intense physical effort affects color vision with the tritan axis being predominantly affected.","container-title":"Sports Medicine International Open","DOI":"10.1055/s-0043-115378","ISSN":"2367-1890","issue":"5","journalAbbreviation":"Sports Med Int Open","page":"E155-E159","PMID":"30539101","PMCID":"PMC6226077","source":"PubMed Central","title":"Does Physical Fatigue Affect Color Vision?","volume":"1","author":[{"family":"Tekavcic","given":"Bor"},{"family":"Milić","given":"Radoje Čedomir"},{"family":"Pompe","given":"Manca Tekavcic"}],"issued":{"date-parts":[["2017",8,2]]}}}],"schema":"https://github.com/citation-style-language/schema/raw/master/csl-citation.json"} </w:instrText>
      </w:r>
      <w:r w:rsidR="00C231B4">
        <w:rPr>
          <w:rFonts w:eastAsia="Garamond" w:cs="Garamond"/>
          <w:szCs w:val="22"/>
        </w:rPr>
        <w:fldChar w:fldCharType="separate"/>
      </w:r>
      <w:r w:rsidR="00C231B4">
        <w:rPr>
          <w:rFonts w:eastAsia="Garamond" w:cs="Garamond"/>
          <w:noProof/>
          <w:szCs w:val="22"/>
        </w:rPr>
        <w:t>(Tekavcic et al. 2017)</w:t>
      </w:r>
      <w:r w:rsidR="00C231B4">
        <w:rPr>
          <w:rFonts w:eastAsia="Garamond" w:cs="Garamond"/>
          <w:szCs w:val="22"/>
        </w:rPr>
        <w:fldChar w:fldCharType="end"/>
      </w:r>
      <w:r>
        <w:rPr>
          <w:rFonts w:eastAsia="Garamond" w:cs="Garamond"/>
          <w:szCs w:val="22"/>
        </w:rPr>
        <w:t>, while temperatures over 30</w:t>
      </w:r>
      <w:r>
        <w:rPr>
          <w:rFonts w:eastAsia="Garamond" w:cs="Garamond"/>
          <w:szCs w:val="22"/>
        </w:rPr>
        <w:sym w:font="Symbol" w:char="F0B0"/>
      </w:r>
      <w:r>
        <w:rPr>
          <w:rFonts w:eastAsia="Garamond" w:cs="Garamond"/>
          <w:szCs w:val="22"/>
        </w:rPr>
        <w:t xml:space="preserve">C can have a negative impact on complex mental tasks </w:t>
      </w:r>
      <w:r>
        <w:rPr>
          <w:rFonts w:eastAsia="Garamond" w:cs="Garamond"/>
          <w:szCs w:val="22"/>
        </w:rPr>
        <w:fldChar w:fldCharType="begin"/>
      </w:r>
      <w:r w:rsidR="001E0B07">
        <w:rPr>
          <w:rFonts w:eastAsia="Garamond" w:cs="Garamond"/>
          <w:szCs w:val="22"/>
        </w:rPr>
        <w:instrText xml:space="preserve"> ADDIN ZOTERO_ITEM CSL_CITATION {"citationID":"Ms2tjYdt","properties":{"formattedCitation":"(See 2012)","plainCitation":"(See 2012)","noteIndex":0},"citationItems":[{"id":22628,"uris":["http://zotero.org/groups/6289862/items/QPIF8SBI"],"itemData":{"id":22628,"type":"report","abstract":"This report provides a review of 212 documents published in the visual inspection literature from the 1950s to the present. The inspection task is defined and characterized and trends in inspection research are reviewed. The prevailing twocomponent model of inspection and various techniques to measure inspection performance are discussed. The majority of the report reviews the parameters that may impact inspection performance and describes the relevant findings from the literature. The report concludes with a re-iteration of the value of inspection research and a summary of the major recommendations for improving inspection performance.","language":"en","publisher":"United States Department of Energy","publisher-place":"Albuquerque, New Mexico","source":"Zotero","title":"Visual Inspection: A Review of the Literature","author":[{"family":"See","given":"Judi E"}],"issued":{"date-parts":[["2012"]]}}}],"schema":"https://github.com/citation-style-language/schema/raw/master/csl-citation.json"} </w:instrText>
      </w:r>
      <w:r>
        <w:rPr>
          <w:rFonts w:eastAsia="Garamond" w:cs="Garamond"/>
          <w:szCs w:val="22"/>
        </w:rPr>
        <w:fldChar w:fldCharType="separate"/>
      </w:r>
      <w:r>
        <w:rPr>
          <w:rFonts w:eastAsia="Garamond" w:cs="Garamond"/>
          <w:noProof/>
          <w:szCs w:val="22"/>
        </w:rPr>
        <w:t>(See 2012)</w:t>
      </w:r>
      <w:r>
        <w:rPr>
          <w:rFonts w:eastAsia="Garamond" w:cs="Garamond"/>
          <w:szCs w:val="22"/>
        </w:rPr>
        <w:fldChar w:fldCharType="end"/>
      </w:r>
      <w:r>
        <w:rPr>
          <w:rFonts w:eastAsia="Garamond" w:cs="Garamond"/>
          <w:szCs w:val="22"/>
        </w:rPr>
        <w:t>. While Tekavcic et al. (2017) examined elite athletes, the conditions (high ambient temperature and relative humidity) experienced in enclosed decks of livestock vessels in northern ports, such as Broome, Wyndham, Darwin and Townsville, may cause similar physiological acidotic changes. High levels of noise, e.g. over 95dBA, can be detrimental to task performance, especially when ongoing concentration is required</w:t>
      </w:r>
      <w:r w:rsidR="00A45DF8">
        <w:rPr>
          <w:rFonts w:eastAsia="Garamond" w:cs="Garamond"/>
          <w:szCs w:val="22"/>
        </w:rPr>
        <w:t>. Sound levels in excess of 90dBA are commonly experienced on board vessels in the livestock pen areas due to airflow fans</w:t>
      </w:r>
      <w:r w:rsidR="00455061">
        <w:rPr>
          <w:rFonts w:eastAsia="Garamond" w:cs="Garamond"/>
          <w:szCs w:val="22"/>
        </w:rPr>
        <w:t xml:space="preserve">. </w:t>
      </w:r>
      <w:r w:rsidR="0014147E">
        <w:rPr>
          <w:rFonts w:eastAsia="Garamond" w:cs="Garamond"/>
          <w:szCs w:val="22"/>
        </w:rPr>
        <w:t>T</w:t>
      </w:r>
      <w:r w:rsidR="00A45DF8">
        <w:rPr>
          <w:rFonts w:eastAsia="Garamond" w:cs="Garamond"/>
          <w:szCs w:val="22"/>
        </w:rPr>
        <w:t>he use of suitable noise reduction PPE was not universal</w:t>
      </w:r>
      <w:r w:rsidR="0030397D">
        <w:rPr>
          <w:rFonts w:eastAsia="Garamond" w:cs="Garamond"/>
          <w:szCs w:val="22"/>
        </w:rPr>
        <w:t xml:space="preserve"> due to the need to communicate with vessel crew</w:t>
      </w:r>
      <w:r>
        <w:rPr>
          <w:rFonts w:eastAsia="Garamond" w:cs="Garamond"/>
          <w:szCs w:val="22"/>
        </w:rPr>
        <w:t xml:space="preserve">. Allowing inspectors to have regular mental breaks during these activities with high noise levels, such as in enclosed decks, may help. </w:t>
      </w:r>
      <w:r w:rsidRPr="0014147E">
        <w:rPr>
          <w:rFonts w:eastAsia="Garamond" w:cs="Garamond"/>
          <w:szCs w:val="22"/>
        </w:rPr>
        <w:t xml:space="preserve">These regular breaks, at 30 minute intervals can also assist in maintaining a high level of vigilance </w:t>
      </w:r>
      <w:r w:rsidRPr="0014147E">
        <w:rPr>
          <w:rFonts w:eastAsia="Garamond" w:cs="Garamond"/>
          <w:szCs w:val="22"/>
        </w:rPr>
        <w:fldChar w:fldCharType="begin"/>
      </w:r>
      <w:r w:rsidR="001E0B07" w:rsidRPr="0014147E">
        <w:rPr>
          <w:rFonts w:eastAsia="Garamond" w:cs="Garamond"/>
          <w:szCs w:val="22"/>
        </w:rPr>
        <w:instrText xml:space="preserve"> ADDIN ZOTERO_ITEM CSL_CITATION {"citationID":"Kck0full","properties":{"formattedCitation":"(See 2012)","plainCitation":"(See 2012)","noteIndex":0},"citationItems":[{"id":22628,"uris":["http://zotero.org/groups/6289862/items/QPIF8SBI"],"itemData":{"id":22628,"type":"report","abstract":"This report provides a review of 212 documents published in the visual inspection literature from the 1950s to the present. The inspection task is defined and characterized and trends in inspection research are reviewed. The prevailing twocomponent model of inspection and various techniques to measure inspection performance are discussed. The majority of the report reviews the parameters that may impact inspection performance and describes the relevant findings from the literature. The report concludes with a re-iteration of the value of inspection research and a summary of the major recommendations for improving inspection performance.","language":"en","publisher":"United States Department of Energy","publisher-place":"Albuquerque, New Mexico","source":"Zotero","title":"Visual Inspection: A Review of the Literature","author":[{"family":"See","given":"Judi E"}],"issued":{"date-parts":[["2012"]]}}}],"schema":"https://github.com/citation-style-language/schema/raw/master/csl-citation.json"} </w:instrText>
      </w:r>
      <w:r w:rsidRPr="0014147E">
        <w:rPr>
          <w:rFonts w:eastAsia="Garamond" w:cs="Garamond"/>
          <w:szCs w:val="22"/>
        </w:rPr>
        <w:fldChar w:fldCharType="separate"/>
      </w:r>
      <w:r w:rsidRPr="0014147E">
        <w:rPr>
          <w:rFonts w:eastAsia="Garamond" w:cs="Garamond"/>
          <w:noProof/>
          <w:szCs w:val="22"/>
        </w:rPr>
        <w:t>(See 2012)</w:t>
      </w:r>
      <w:r w:rsidRPr="0014147E">
        <w:rPr>
          <w:rFonts w:eastAsia="Garamond" w:cs="Garamond"/>
          <w:szCs w:val="22"/>
        </w:rPr>
        <w:fldChar w:fldCharType="end"/>
      </w:r>
      <w:r w:rsidRPr="0014147E">
        <w:rPr>
          <w:rFonts w:eastAsia="Garamond" w:cs="Garamond"/>
          <w:szCs w:val="22"/>
        </w:rPr>
        <w:t>.</w:t>
      </w:r>
      <w:r>
        <w:rPr>
          <w:rFonts w:eastAsia="Garamond" w:cs="Garamond"/>
          <w:szCs w:val="22"/>
        </w:rPr>
        <w:t xml:space="preserve"> </w:t>
      </w:r>
    </w:p>
    <w:p w14:paraId="45C75D45" w14:textId="5EFAE514" w:rsidR="003E15C2" w:rsidRDefault="003E15C2">
      <w:pPr>
        <w:tabs>
          <w:tab w:val="right" w:pos="9000"/>
        </w:tabs>
        <w:spacing w:before="120"/>
        <w:rPr>
          <w:rFonts w:eastAsia="Garamond" w:cs="Garamond"/>
          <w:szCs w:val="22"/>
        </w:rPr>
      </w:pPr>
      <w:r>
        <w:rPr>
          <w:rFonts w:eastAsia="Garamond" w:cs="Garamond"/>
          <w:szCs w:val="22"/>
        </w:rPr>
        <w:t xml:space="preserve">Mental or cognitive fatigue is another factor that has the potential to impact the effectiveness of biosecurity inspections. </w:t>
      </w:r>
      <w:r w:rsidR="00A657DE">
        <w:rPr>
          <w:rFonts w:eastAsia="Garamond" w:cs="Garamond"/>
          <w:szCs w:val="22"/>
        </w:rPr>
        <w:t xml:space="preserve">Those </w:t>
      </w:r>
      <w:r>
        <w:rPr>
          <w:rFonts w:eastAsia="Garamond" w:cs="Garamond"/>
          <w:szCs w:val="22"/>
        </w:rPr>
        <w:t xml:space="preserve">that occur late at night, early in the morning, or as part of a ‘swing’ shift have been found to be less accurate than those conducted in normal business hours </w:t>
      </w:r>
      <w:r>
        <w:rPr>
          <w:rFonts w:eastAsia="Garamond" w:cs="Garamond"/>
          <w:szCs w:val="22"/>
        </w:rPr>
        <w:fldChar w:fldCharType="begin"/>
      </w:r>
      <w:r w:rsidR="001E0B07">
        <w:rPr>
          <w:rFonts w:eastAsia="Garamond" w:cs="Garamond"/>
          <w:szCs w:val="22"/>
        </w:rPr>
        <w:instrText xml:space="preserve"> ADDIN ZOTERO_ITEM CSL_CITATION {"citationID":"4Pruy7F3","properties":{"formattedCitation":"(See 2012)","plainCitation":"(See 2012)","noteIndex":0},"citationItems":[{"id":22628,"uris":["http://zotero.org/groups/6289862/items/QPIF8SBI"],"itemData":{"id":22628,"type":"report","abstract":"This report provides a review of 212 documents published in the visual inspection literature from the 1950s to the present. The inspection task is defined and characterized and trends in inspection research are reviewed. The prevailing twocomponent model of inspection and various techniques to measure inspection performance are discussed. The majority of the report reviews the parameters that may impact inspection performance and describes the relevant findings from the literature. The report concludes with a re-iteration of the value of inspection research and a summary of the major recommendations for improving inspection performance.","language":"en","publisher":"United States Department of Energy","publisher-place":"Albuquerque, New Mexico","source":"Zotero","title":"Visual Inspection: A Review of the Literature","author":[{"family":"See","given":"Judi E"}],"issued":{"date-parts":[["2012"]]}}}],"schema":"https://github.com/citation-style-language/schema/raw/master/csl-citation.json"} </w:instrText>
      </w:r>
      <w:r>
        <w:rPr>
          <w:rFonts w:eastAsia="Garamond" w:cs="Garamond"/>
          <w:szCs w:val="22"/>
        </w:rPr>
        <w:fldChar w:fldCharType="separate"/>
      </w:r>
      <w:r>
        <w:rPr>
          <w:rFonts w:eastAsia="Garamond" w:cs="Garamond"/>
          <w:noProof/>
          <w:szCs w:val="22"/>
        </w:rPr>
        <w:t>(See 2012)</w:t>
      </w:r>
      <w:r>
        <w:rPr>
          <w:rFonts w:eastAsia="Garamond" w:cs="Garamond"/>
          <w:szCs w:val="22"/>
        </w:rPr>
        <w:fldChar w:fldCharType="end"/>
      </w:r>
      <w:r>
        <w:rPr>
          <w:rFonts w:eastAsia="Garamond" w:cs="Garamond"/>
          <w:szCs w:val="22"/>
        </w:rPr>
        <w:t xml:space="preserve">. Fatigue has been shown to negatively impact sustained attention for tasks, especially if they are complex and distractors are present </w:t>
      </w:r>
      <w:bookmarkStart w:id="75" w:name="_Hlk219734811"/>
      <w:r w:rsidR="005F4FE4">
        <w:rPr>
          <w:rFonts w:eastAsia="Garamond" w:cs="Garamond"/>
          <w:szCs w:val="22"/>
        </w:rPr>
        <w:fldChar w:fldCharType="begin"/>
      </w:r>
      <w:r w:rsidR="001E0B07">
        <w:rPr>
          <w:rFonts w:eastAsia="Garamond" w:cs="Garamond"/>
          <w:szCs w:val="22"/>
        </w:rPr>
        <w:instrText xml:space="preserve"> ADDIN ZOTERO_ITEM CSL_CITATION {"citationID":"lC4qWvLv","properties":{"formattedCitation":"(Csath\\uc0\\u243{} et al. 2012)","plainCitation":"(Csathó et al. 2012)","noteIndex":0},"citationItems":[{"id":22474,"uris":["http://zotero.org/groups/6289862/items/T988QLYS"],"itemData":{"id":22474,"type":"article-journal","container-title":"Journal of Cognitive Psychology","DOI":"10.1080/20445911.2012.658039","ISSN":"2044-5911, 2044-592X","issue":"5","journalAbbreviation":"Journal of Cognitive Psychology","language":"en","page":"511-524","source":"DOI.org (Crossref)","title":"Effects of mental fatigue on the capacity limits of visual attention","volume":"24","author":[{"family":"Csathó","given":"Árpád"},{"family":"Van Der Linden","given":"Dimitri"},{"family":"Hernádi","given":"István"},{"family":"Buzás","given":"Péter"},{"family":"Kalmár","given":"Gergely"}],"issued":{"date-parts":[["2012",8]]}}}],"schema":"https://github.com/citation-style-language/schema/raw/master/csl-citation.json"} </w:instrText>
      </w:r>
      <w:r w:rsidR="005F4FE4">
        <w:rPr>
          <w:rFonts w:eastAsia="Garamond" w:cs="Garamond"/>
          <w:szCs w:val="22"/>
        </w:rPr>
        <w:fldChar w:fldCharType="separate"/>
      </w:r>
      <w:r w:rsidR="005F4FE4" w:rsidRPr="005F4FE4">
        <w:rPr>
          <w:lang w:val="en-GB" w:eastAsia="en-AU"/>
        </w:rPr>
        <w:t>(Csathó et al. 2012)</w:t>
      </w:r>
      <w:r w:rsidR="005F4FE4">
        <w:rPr>
          <w:rFonts w:eastAsia="Garamond" w:cs="Garamond"/>
          <w:szCs w:val="22"/>
        </w:rPr>
        <w:fldChar w:fldCharType="end"/>
      </w:r>
      <w:bookmarkEnd w:id="75"/>
      <w:r>
        <w:rPr>
          <w:rFonts w:eastAsia="Garamond" w:cs="Garamond"/>
          <w:szCs w:val="22"/>
        </w:rPr>
        <w:t xml:space="preserve">. Mental fatigue can lead to increased error rates, reduced concentration on high cognitive load tasks and a decreased ability to manage distractions </w:t>
      </w:r>
      <w:r w:rsidR="005F4FE4">
        <w:rPr>
          <w:rFonts w:eastAsia="Garamond" w:cs="Garamond"/>
          <w:szCs w:val="22"/>
        </w:rPr>
        <w:fldChar w:fldCharType="begin"/>
      </w:r>
      <w:r w:rsidR="001E0B07">
        <w:rPr>
          <w:rFonts w:eastAsia="Garamond" w:cs="Garamond"/>
          <w:szCs w:val="22"/>
        </w:rPr>
        <w:instrText xml:space="preserve"> ADDIN ZOTERO_ITEM CSL_CITATION {"citationID":"pmCzm5Xs","properties":{"formattedCitation":"(Csath\\uc0\\u243{} et al. 2012)","plainCitation":"(Csathó et al. 2012)","noteIndex":0},"citationItems":[{"id":22474,"uris":["http://zotero.org/groups/6289862/items/T988QLYS"],"itemData":{"id":22474,"type":"article-journal","container-title":"Journal of Cognitive Psychology","DOI":"10.1080/20445911.2012.658039","ISSN":"2044-5911, 2044-592X","issue":"5","journalAbbreviation":"Journal of Cognitive Psychology","language":"en","page":"511-524","source":"DOI.org (Crossref)","title":"Effects of mental fatigue on the capacity limits of visual attention","volume":"24","author":[{"family":"Csathó","given":"Árpád"},{"family":"Van Der Linden","given":"Dimitri"},{"family":"Hernádi","given":"István"},{"family":"Buzás","given":"Péter"},{"family":"Kalmár","given":"Gergely"}],"issued":{"date-parts":[["2012",8]]}}}],"schema":"https://github.com/citation-style-language/schema/raw/master/csl-citation.json"} </w:instrText>
      </w:r>
      <w:r w:rsidR="005F4FE4">
        <w:rPr>
          <w:rFonts w:eastAsia="Garamond" w:cs="Garamond"/>
          <w:szCs w:val="22"/>
        </w:rPr>
        <w:fldChar w:fldCharType="separate"/>
      </w:r>
      <w:r w:rsidR="005F4FE4" w:rsidRPr="005F4FE4">
        <w:rPr>
          <w:lang w:val="en-GB" w:eastAsia="en-AU"/>
        </w:rPr>
        <w:t>(Csathó et al. 2012)</w:t>
      </w:r>
      <w:r w:rsidR="005F4FE4">
        <w:rPr>
          <w:rFonts w:eastAsia="Garamond" w:cs="Garamond"/>
          <w:szCs w:val="22"/>
        </w:rPr>
        <w:fldChar w:fldCharType="end"/>
      </w:r>
      <w:r>
        <w:rPr>
          <w:rFonts w:eastAsia="Garamond" w:cs="Garamond"/>
          <w:szCs w:val="22"/>
        </w:rPr>
        <w:t>. These physiological effects should be taken into account when determining an inspectors ability to conduct a biosecurity inspection, regardless of time of day</w:t>
      </w:r>
      <w:r w:rsidR="0030397D">
        <w:rPr>
          <w:rFonts w:eastAsia="Garamond" w:cs="Garamond"/>
          <w:szCs w:val="22"/>
        </w:rPr>
        <w:t>, and ensuring adequate time is available to allow breaks</w:t>
      </w:r>
      <w:r>
        <w:rPr>
          <w:rFonts w:eastAsia="Garamond" w:cs="Garamond"/>
          <w:szCs w:val="22"/>
        </w:rPr>
        <w:t>.</w:t>
      </w:r>
      <w:r w:rsidR="00A45DF8">
        <w:rPr>
          <w:rFonts w:eastAsia="Garamond" w:cs="Garamond"/>
          <w:szCs w:val="22"/>
        </w:rPr>
        <w:t xml:space="preserve"> Most inspections observed during this project had more than one inspector present</w:t>
      </w:r>
      <w:r w:rsidR="0030397D">
        <w:rPr>
          <w:rFonts w:eastAsia="Garamond" w:cs="Garamond"/>
          <w:szCs w:val="22"/>
        </w:rPr>
        <w:t xml:space="preserve"> during the inspection, as well as other DAFF staff and observers, so may not be representative of normal </w:t>
      </w:r>
      <w:r w:rsidR="00A657DE">
        <w:rPr>
          <w:rFonts w:eastAsia="Garamond" w:cs="Garamond"/>
          <w:szCs w:val="22"/>
        </w:rPr>
        <w:t>processes</w:t>
      </w:r>
      <w:r w:rsidR="0030397D">
        <w:rPr>
          <w:rFonts w:eastAsia="Garamond" w:cs="Garamond"/>
          <w:szCs w:val="22"/>
        </w:rPr>
        <w:t>.</w:t>
      </w:r>
    </w:p>
    <w:p w14:paraId="0C51FC15" w14:textId="77777777" w:rsidR="003E15C2" w:rsidRDefault="003E15C2" w:rsidP="003807D5">
      <w:pPr>
        <w:pStyle w:val="Heading3"/>
      </w:pPr>
      <w:bookmarkStart w:id="76" w:name="_Toc219290012"/>
      <w:bookmarkStart w:id="77" w:name="_Toc226796960"/>
      <w:r>
        <w:t xml:space="preserve">Foot and </w:t>
      </w:r>
      <w:r w:rsidRPr="00B12684">
        <w:t>mouth</w:t>
      </w:r>
      <w:r>
        <w:t xml:space="preserve"> disease</w:t>
      </w:r>
      <w:bookmarkEnd w:id="76"/>
      <w:bookmarkEnd w:id="77"/>
    </w:p>
    <w:p w14:paraId="40406734" w14:textId="75970F98" w:rsidR="003E15C2" w:rsidRDefault="003E15C2">
      <w:pPr>
        <w:tabs>
          <w:tab w:val="right" w:pos="9000"/>
        </w:tabs>
        <w:spacing w:before="120"/>
        <w:rPr>
          <w:rFonts w:eastAsia="Garamond" w:cs="Garamond"/>
          <w:szCs w:val="22"/>
        </w:rPr>
      </w:pPr>
      <w:r>
        <w:rPr>
          <w:rFonts w:eastAsia="Garamond" w:cs="Garamond"/>
          <w:szCs w:val="22"/>
        </w:rPr>
        <w:t>FMD is one of the priority diseases of concern for Australian pre-border and border biosecurity. FMDV is highly infectious via direct and indirect transmission</w:t>
      </w:r>
      <w:r w:rsidR="0065631A">
        <w:rPr>
          <w:rFonts w:eastAsia="Garamond" w:cs="Garamond"/>
          <w:szCs w:val="22"/>
        </w:rPr>
        <w:t xml:space="preserve"> routes</w:t>
      </w:r>
      <w:r>
        <w:rPr>
          <w:rFonts w:eastAsia="Garamond" w:cs="Garamond"/>
          <w:szCs w:val="22"/>
        </w:rPr>
        <w:t xml:space="preserve">. FMDV can easily contaminate fomites, and, depending on the climate (e.g. temperature and relative humidity) and presence of organic material (e.g. fodder, manure, mud), the virus can remain infectious for a few hours to up to 14 weeks </w:t>
      </w:r>
      <w:r w:rsidR="005F4FE4">
        <w:rPr>
          <w:rFonts w:eastAsia="Garamond" w:cs="Garamond"/>
          <w:szCs w:val="22"/>
        </w:rPr>
        <w:fldChar w:fldCharType="begin"/>
      </w:r>
      <w:r w:rsidR="00596B52">
        <w:rPr>
          <w:rFonts w:eastAsia="Garamond" w:cs="Garamond"/>
          <w:szCs w:val="22"/>
        </w:rPr>
        <w:instrText xml:space="preserve"> ADDIN ZOTERO_ITEM CSL_CITATION {"citationID":"SV9pQRGJ","properties":{"formattedCitation":"(B\\uc0\\u248{}tner and Belsham 2012)","plainCitation":"(Bøtner and Belsham 2012)","noteIndex":0},"citationItems":[{"id":"js4VmBrN/WFfL6H26","uris":["http://zotero.org/users/9954910/items/VEFTRRBI"],"itemData":{"id":1713,"type":"article-journal","abstract":"Farm slurry can be highly contaminated with viral pathogens. The survival of these pathogens within slurry is important since this material is often distributed onto farm land either directly or after heat treatment. There is clearly some risk of spreading pathogens in the early stages of an outbreak of disease before it has been recognized. The survival of foot-and-mouth disease virus, classical swine fever virus, bovine viral diarrhoea virus and swine inﬂuenza virus, which belong to three different RNA virus families plus porcine parvovirus (a DNA virus) was examined under controlled conditions. For each RNA virus, the virus survival in farm slurry under anaerobic conditions was short (generally 1 h) when heated (to 55 8C) but each of these viruses could retain infectivity at cool temperatures (5 8C) for many weeks. The porcine parvovirus survived considerably longer than each of the RNA viruses under all conditions tested. The implications for disease spread are discussed.","container-title":"Veterinary Microbiology","DOI":"10.1016/j.vetmic.2011.12.010","ISSN":"03781135","issue":"1-2","journalAbbreviation":"Veterinary Microbiology","language":"en","page":"41-49","source":"DOI.org (Crossref)","title":"Virus survival in slurry: Analysis of the stability of foot-and-mouth disease, classical swine fever, bovine viral diarrhoea and swine influenza viruses","title-short":"Virus survival in slurry","volume":"157","author":[{"family":"Bøtner","given":"Anette"},{"family":"Belsham","given":"Graham J."}],"issued":{"date-parts":[["2012",5]]}}}],"schema":"https://github.com/citation-style-language/schema/raw/master/csl-citation.json"} </w:instrText>
      </w:r>
      <w:r w:rsidR="005F4FE4">
        <w:rPr>
          <w:rFonts w:eastAsia="Garamond" w:cs="Garamond"/>
          <w:szCs w:val="22"/>
        </w:rPr>
        <w:fldChar w:fldCharType="separate"/>
      </w:r>
      <w:r w:rsidR="005F4FE4" w:rsidRPr="005F4FE4">
        <w:rPr>
          <w:lang w:val="en-GB" w:eastAsia="en-AU"/>
        </w:rPr>
        <w:t>(Bøtner and Belsham 2012)</w:t>
      </w:r>
      <w:r w:rsidR="005F4FE4">
        <w:rPr>
          <w:rFonts w:eastAsia="Garamond" w:cs="Garamond"/>
          <w:szCs w:val="22"/>
        </w:rPr>
        <w:fldChar w:fldCharType="end"/>
      </w:r>
      <w:r>
        <w:rPr>
          <w:rFonts w:eastAsia="Garamond" w:cs="Garamond"/>
          <w:szCs w:val="22"/>
        </w:rPr>
        <w:t>. However, the majority of FMDV viability research has been conducted in temperate climates, with minimal data relevant to tropical climates.</w:t>
      </w:r>
    </w:p>
    <w:p w14:paraId="01C40ADD" w14:textId="44877C70" w:rsidR="003E15C2" w:rsidRDefault="003E15C2">
      <w:pPr>
        <w:tabs>
          <w:tab w:val="right" w:pos="9000"/>
        </w:tabs>
        <w:spacing w:before="120"/>
        <w:rPr>
          <w:rFonts w:eastAsia="Garamond" w:cs="Garamond"/>
          <w:szCs w:val="22"/>
        </w:rPr>
      </w:pPr>
      <w:r>
        <w:rPr>
          <w:rFonts w:eastAsia="Garamond" w:cs="Garamond"/>
          <w:szCs w:val="22"/>
        </w:rPr>
        <w:t xml:space="preserve">If a vessel is used to transport non-Australian livestock between FMD endemic areas, there may be an increase in likelihood that a vessel becomes contaminated with FMDV. However, the likelihood of incursion into Australia is expected to differ depending on the port of entry in Australia – i.e. the environment in surrounding southern ports may be more amenable to virus survival. Available research describes the optimal conditions for FMDV survival in the environment as temperatures below 20°C and relative humidity above 55% </w:t>
      </w:r>
      <w:r w:rsidR="005F4FE4">
        <w:rPr>
          <w:rFonts w:eastAsia="Garamond" w:cs="Garamond"/>
          <w:szCs w:val="22"/>
        </w:rPr>
        <w:fldChar w:fldCharType="begin"/>
      </w:r>
      <w:r w:rsidR="001E0B07">
        <w:rPr>
          <w:rFonts w:eastAsia="Garamond" w:cs="Garamond"/>
          <w:szCs w:val="22"/>
        </w:rPr>
        <w:instrText xml:space="preserve"> ADDIN ZOTERO_ITEM CSL_CITATION {"citationID":"UEgv99uG","properties":{"formattedCitation":"(Mielke and Garabed 2020)","plainCitation":"(Mielke and Garabed 2020)","noteIndex":0},"citationItems":[{"id":17240,"uris":["http://zotero.org/groups/4977814/items/72TMVQYK"],"itemData":{"id":17240,"type":"article-journal","abstract":"The consequences of foot-and-mouth disease impact regional economies and food security through animal mortality and morbidity, trade restrictions and burdens to veterinary infrastructure. Despite efforts to control the disease, some regions, mostly in warmer climates, persistently report disease outbreaks. Consequently, it is necessary to understand how environmental factors influence transmission, of this economically devastating disease. Extensive research covers basic aetiology and transmission potential of livestock and livestock products for foot-and-mouth disease virus (FMDV), with a subset evaluating environmental survival. However, this subset, completed in the early to mid-20th century in Northern Europe and the United States, is not easily generalized to today's endemic locations. This review uncovered 20 studies, to assess current knowledge and analyse the effects of environmental variables on FMDV survival, using a Cox proportional hazards (Coxph) model. However, the dataset is limited, for example pH was included in three studies and only five studies reported both relative humidity (RH) and temperature. After dropping pH from the analysis, our results suggest that temperature alone does not describe FMDV survival; instead, interactions between RH and temperature have broader impacts across various conditions. For instance, FMDV is expected to survive longer during the wet season (survival at day 50 is 90% at 16°C and 86% RH) versus the dry season (survival at day 50 approaches 0% at 16°C and 37.5% RH) or comparatively in the UK versus the Southwestern United States. Additionally, survival on vegetation topped 70% on day 75 when conditions exceeded 20°C with high RH (86%), drastically higher than the survival on inanimate surfaces at the same temperature and RH ( 0%). This is important in tropical regions, where high temperatures can persist throughout the year, but RH varies. Therefore, parameter estimates, for disease modelling and control in endemic areas, require environmental survival data from a wider range of conditions.","container-title":"Transboundary and Emerging Diseases","DOI":"10.1111/tbed.13383","ISSN":"1865-1682","issue":"2","language":"en","license":"© 2019 Blackwell Verlag GmbH","note":"_eprint: https://onlinelibrary.wiley.com/doi/pdf/10.1111/tbed.13383","page":"543-554","source":"Wiley Online Library","title":"Environmental persistence of foot-and-mouth disease virus applied to endemic regions","volume":"67","author":[{"family":"Mielke","given":"Sarah R."},{"family":"Garabed","given":"Rebecca"}],"issued":{"date-parts":[["2020"]]}}}],"schema":"https://github.com/citation-style-language/schema/raw/master/csl-citation.json"} </w:instrText>
      </w:r>
      <w:r w:rsidR="005F4FE4">
        <w:rPr>
          <w:rFonts w:eastAsia="Garamond" w:cs="Garamond"/>
          <w:szCs w:val="22"/>
        </w:rPr>
        <w:fldChar w:fldCharType="separate"/>
      </w:r>
      <w:r w:rsidR="005F4FE4">
        <w:rPr>
          <w:rFonts w:eastAsia="Garamond" w:cs="Garamond"/>
          <w:noProof/>
          <w:szCs w:val="22"/>
        </w:rPr>
        <w:t>(Mielke and Garabed 2020)</w:t>
      </w:r>
      <w:r w:rsidR="005F4FE4">
        <w:rPr>
          <w:rFonts w:eastAsia="Garamond" w:cs="Garamond"/>
          <w:szCs w:val="22"/>
        </w:rPr>
        <w:fldChar w:fldCharType="end"/>
      </w:r>
      <w:r>
        <w:rPr>
          <w:rFonts w:eastAsia="Garamond" w:cs="Garamond"/>
          <w:szCs w:val="22"/>
        </w:rPr>
        <w:t xml:space="preserve">. Modelling the effects of temperature and </w:t>
      </w:r>
      <w:r>
        <w:rPr>
          <w:rFonts w:eastAsia="Garamond" w:cs="Garamond"/>
          <w:szCs w:val="22"/>
        </w:rPr>
        <w:lastRenderedPageBreak/>
        <w:t xml:space="preserve">relative humidity on virus </w:t>
      </w:r>
      <w:r w:rsidR="0065631A">
        <w:rPr>
          <w:rFonts w:eastAsia="Garamond" w:cs="Garamond"/>
          <w:szCs w:val="22"/>
        </w:rPr>
        <w:t xml:space="preserve">survivability </w:t>
      </w:r>
      <w:r>
        <w:rPr>
          <w:rFonts w:eastAsia="Garamond" w:cs="Garamond"/>
          <w:szCs w:val="22"/>
        </w:rPr>
        <w:t>suggest that FMDV viability on vegetation increase</w:t>
      </w:r>
      <w:r w:rsidR="0065631A">
        <w:rPr>
          <w:rFonts w:eastAsia="Garamond" w:cs="Garamond"/>
          <w:szCs w:val="22"/>
        </w:rPr>
        <w:t>s</w:t>
      </w:r>
      <w:r>
        <w:rPr>
          <w:rFonts w:eastAsia="Garamond" w:cs="Garamond"/>
          <w:szCs w:val="22"/>
        </w:rPr>
        <w:t xml:space="preserve"> when temperature and humidity </w:t>
      </w:r>
      <w:r w:rsidR="0065631A">
        <w:rPr>
          <w:rFonts w:eastAsia="Garamond" w:cs="Garamond"/>
          <w:szCs w:val="22"/>
        </w:rPr>
        <w:t xml:space="preserve">are </w:t>
      </w:r>
      <w:r>
        <w:rPr>
          <w:rFonts w:eastAsia="Garamond" w:cs="Garamond"/>
          <w:szCs w:val="22"/>
        </w:rPr>
        <w:t xml:space="preserve">low (-6°C and 37.5%), or when relative humidity </w:t>
      </w:r>
      <w:r w:rsidR="0065631A">
        <w:rPr>
          <w:rFonts w:eastAsia="Garamond" w:cs="Garamond"/>
          <w:szCs w:val="22"/>
        </w:rPr>
        <w:t xml:space="preserve">is </w:t>
      </w:r>
      <w:r>
        <w:rPr>
          <w:rFonts w:eastAsia="Garamond" w:cs="Garamond"/>
          <w:szCs w:val="22"/>
        </w:rPr>
        <w:t>high (86.1%) at increased temperatures (16°C and 37°C) (</w:t>
      </w:r>
      <w:r w:rsidRPr="00A72388">
        <w:rPr>
          <w:rFonts w:asciiTheme="minorHAnsi" w:eastAsia="Garamond" w:hAnsiTheme="minorHAnsi" w:cs="Garamond"/>
          <w:szCs w:val="22"/>
        </w:rPr>
        <w:fldChar w:fldCharType="begin"/>
      </w:r>
      <w:r w:rsidRPr="00A72388">
        <w:rPr>
          <w:rFonts w:asciiTheme="minorHAnsi" w:eastAsia="Garamond" w:hAnsiTheme="minorHAnsi" w:cs="Garamond"/>
          <w:szCs w:val="22"/>
        </w:rPr>
        <w:instrText xml:space="preserve"> REF _Ref219280893 \h  \* MERGEFORMAT </w:instrText>
      </w:r>
      <w:r w:rsidRPr="00A72388">
        <w:rPr>
          <w:rFonts w:asciiTheme="minorHAnsi" w:eastAsia="Garamond" w:hAnsiTheme="minorHAnsi" w:cs="Garamond"/>
          <w:szCs w:val="22"/>
        </w:rPr>
      </w:r>
      <w:r w:rsidRPr="00A72388">
        <w:rPr>
          <w:rFonts w:asciiTheme="minorHAnsi" w:eastAsia="Garamond" w:hAnsiTheme="minorHAnsi" w:cs="Garamond"/>
          <w:szCs w:val="22"/>
        </w:rPr>
        <w:fldChar w:fldCharType="separate"/>
      </w:r>
      <w:r w:rsidR="00651A0D" w:rsidRPr="00651A0D">
        <w:rPr>
          <w:rFonts w:asciiTheme="minorHAnsi" w:hAnsiTheme="minorHAnsi"/>
          <w:szCs w:val="22"/>
        </w:rPr>
        <w:t xml:space="preserve">Table </w:t>
      </w:r>
      <w:r w:rsidR="00651A0D" w:rsidRPr="00651A0D">
        <w:rPr>
          <w:rFonts w:asciiTheme="minorHAnsi" w:hAnsiTheme="minorHAnsi"/>
          <w:noProof/>
          <w:szCs w:val="22"/>
        </w:rPr>
        <w:t>2</w:t>
      </w:r>
      <w:r w:rsidRPr="00A72388">
        <w:rPr>
          <w:rFonts w:asciiTheme="minorHAnsi" w:eastAsia="Garamond" w:hAnsiTheme="minorHAnsi" w:cs="Garamond"/>
          <w:szCs w:val="22"/>
        </w:rPr>
        <w:fldChar w:fldCharType="end"/>
      </w:r>
      <w:r>
        <w:rPr>
          <w:rFonts w:eastAsia="Garamond" w:cs="Garamond"/>
          <w:szCs w:val="22"/>
        </w:rPr>
        <w:t>). These conflicting results suggest that the relationship between FMDV viability</w:t>
      </w:r>
      <w:r w:rsidR="0065631A">
        <w:rPr>
          <w:rFonts w:eastAsia="Garamond" w:cs="Garamond"/>
          <w:szCs w:val="22"/>
        </w:rPr>
        <w:t xml:space="preserve">, </w:t>
      </w:r>
      <w:r>
        <w:rPr>
          <w:rFonts w:eastAsia="Garamond" w:cs="Garamond"/>
          <w:szCs w:val="22"/>
        </w:rPr>
        <w:t xml:space="preserve">temperature and humidity is complex. However, data are scarce and predominantly obtained in laboratory settings or temperate climates thus </w:t>
      </w:r>
      <w:r w:rsidR="0065631A">
        <w:rPr>
          <w:rFonts w:eastAsia="Garamond" w:cs="Garamond"/>
          <w:szCs w:val="22"/>
        </w:rPr>
        <w:t xml:space="preserve">limiting their applicability in real world settings. </w:t>
      </w:r>
    </w:p>
    <w:p w14:paraId="58E17303" w14:textId="288CB26A" w:rsidR="003E15C2" w:rsidRDefault="003E15C2">
      <w:pPr>
        <w:tabs>
          <w:tab w:val="right" w:pos="9000"/>
        </w:tabs>
        <w:spacing w:before="120"/>
        <w:rPr>
          <w:rFonts w:eastAsia="Garamond" w:cs="Garamond"/>
          <w:szCs w:val="22"/>
        </w:rPr>
      </w:pPr>
      <w:r>
        <w:rPr>
          <w:rFonts w:eastAsia="Garamond" w:cs="Garamond"/>
          <w:szCs w:val="22"/>
        </w:rPr>
        <w:t>A potential source of FMDV on returning vessels may be organic material from livestock pens which has not been adequately cleaned from the drains</w:t>
      </w:r>
      <w:r w:rsidR="009E1EA2">
        <w:rPr>
          <w:rFonts w:eastAsia="Garamond" w:cs="Garamond"/>
          <w:szCs w:val="22"/>
        </w:rPr>
        <w:t>, livestock sewage tanks</w:t>
      </w:r>
      <w:r>
        <w:rPr>
          <w:rFonts w:eastAsia="Garamond" w:cs="Garamond"/>
          <w:szCs w:val="22"/>
        </w:rPr>
        <w:t xml:space="preserve"> </w:t>
      </w:r>
      <w:r w:rsidR="0065631A">
        <w:rPr>
          <w:rFonts w:eastAsia="Garamond" w:cs="Garamond"/>
          <w:szCs w:val="22"/>
        </w:rPr>
        <w:t xml:space="preserve">or </w:t>
      </w:r>
      <w:r>
        <w:rPr>
          <w:rFonts w:eastAsia="Garamond" w:cs="Garamond"/>
          <w:szCs w:val="22"/>
        </w:rPr>
        <w:t>scuppers. Manure slurries may be produced during the cleaning process and FMDV can remain viable in this mixture for at least 24 hours at 35</w:t>
      </w:r>
      <w:r>
        <w:rPr>
          <w:rFonts w:eastAsia="Garamond" w:cs="Garamond"/>
          <w:szCs w:val="22"/>
          <w:vertAlign w:val="superscript"/>
        </w:rPr>
        <w:t>o</w:t>
      </w:r>
      <w:r>
        <w:rPr>
          <w:rFonts w:eastAsia="Garamond" w:cs="Garamond"/>
          <w:szCs w:val="22"/>
        </w:rPr>
        <w:t>C or up to three weeks at 20</w:t>
      </w:r>
      <w:r>
        <w:rPr>
          <w:rFonts w:eastAsia="Garamond" w:cs="Garamond"/>
          <w:szCs w:val="22"/>
          <w:vertAlign w:val="superscript"/>
        </w:rPr>
        <w:t>o</w:t>
      </w:r>
      <w:r>
        <w:rPr>
          <w:rFonts w:eastAsia="Garamond" w:cs="Garamond"/>
          <w:szCs w:val="22"/>
        </w:rPr>
        <w:t xml:space="preserve">C </w:t>
      </w:r>
      <w:r w:rsidR="005F4FE4">
        <w:rPr>
          <w:rFonts w:eastAsia="Garamond" w:cs="Garamond"/>
          <w:szCs w:val="22"/>
        </w:rPr>
        <w:fldChar w:fldCharType="begin"/>
      </w:r>
      <w:r w:rsidR="00596B52">
        <w:rPr>
          <w:rFonts w:eastAsia="Garamond" w:cs="Garamond"/>
          <w:szCs w:val="22"/>
        </w:rPr>
        <w:instrText xml:space="preserve"> ADDIN ZOTERO_ITEM CSL_CITATION {"citationID":"pjWQFUlc","properties":{"formattedCitation":"(B\\uc0\\u248{}tner and Belsham 2012)","plainCitation":"(Bøtner and Belsham 2012)","noteIndex":0},"citationItems":[{"id":"js4VmBrN/WFfL6H26","uris":["http://zotero.org/users/9954910/items/VEFTRRBI"],"itemData":{"id":1713,"type":"article-journal","abstract":"Farm slurry can be highly contaminated with viral pathogens. The survival of these pathogens within slurry is important since this material is often distributed onto farm land either directly or after heat treatment. There is clearly some risk of spreading pathogens in the early stages of an outbreak of disease before it has been recognized. The survival of foot-and-mouth disease virus, classical swine fever virus, bovine viral diarrhoea virus and swine inﬂuenza virus, which belong to three different RNA virus families plus porcine parvovirus (a DNA virus) was examined under controlled conditions. For each RNA virus, the virus survival in farm slurry under anaerobic conditions was short (generally 1 h) when heated (to 55 8C) but each of these viruses could retain infectivity at cool temperatures (5 8C) for many weeks. The porcine parvovirus survived considerably longer than each of the RNA viruses under all conditions tested. The implications for disease spread are discussed.","container-title":"Veterinary Microbiology","DOI":"10.1016/j.vetmic.2011.12.010","ISSN":"03781135","issue":"1-2","journalAbbreviation":"Veterinary Microbiology","language":"en","page":"41-49","source":"DOI.org (Crossref)","title":"Virus survival in slurry: Analysis of the stability of foot-and-mouth disease, classical swine fever, bovine viral diarrhoea and swine influenza viruses","title-short":"Virus survival in slurry","volume":"157","author":[{"family":"Bøtner","given":"Anette"},{"family":"Belsham","given":"Graham J."}],"issued":{"date-parts":[["2012",5]]}}}],"schema":"https://github.com/citation-style-language/schema/raw/master/csl-citation.json"} </w:instrText>
      </w:r>
      <w:r w:rsidR="005F4FE4">
        <w:rPr>
          <w:rFonts w:eastAsia="Garamond" w:cs="Garamond"/>
          <w:szCs w:val="22"/>
        </w:rPr>
        <w:fldChar w:fldCharType="separate"/>
      </w:r>
      <w:r w:rsidR="005F4FE4" w:rsidRPr="005F4FE4">
        <w:rPr>
          <w:lang w:val="en-GB" w:eastAsia="en-AU"/>
        </w:rPr>
        <w:t>(Bøtner and Belsham 2012)</w:t>
      </w:r>
      <w:r w:rsidR="005F4FE4">
        <w:rPr>
          <w:rFonts w:eastAsia="Garamond" w:cs="Garamond"/>
          <w:szCs w:val="22"/>
        </w:rPr>
        <w:fldChar w:fldCharType="end"/>
      </w:r>
      <w:r>
        <w:rPr>
          <w:rFonts w:eastAsia="Garamond" w:cs="Garamond"/>
          <w:szCs w:val="22"/>
        </w:rPr>
        <w:t>. However, the likelihood of FMDV being present in organic material on a vessel is negligible if there were no active FMD cases on board</w:t>
      </w:r>
      <w:r w:rsidR="009E1EA2">
        <w:rPr>
          <w:rFonts w:eastAsia="Garamond" w:cs="Garamond"/>
          <w:szCs w:val="22"/>
        </w:rPr>
        <w:t xml:space="preserve"> during the prior voyage</w:t>
      </w:r>
      <w:r>
        <w:rPr>
          <w:rFonts w:eastAsia="Garamond" w:cs="Garamond"/>
          <w:szCs w:val="22"/>
        </w:rPr>
        <w:t>.</w:t>
      </w:r>
    </w:p>
    <w:p w14:paraId="5C0612CE" w14:textId="7FC3BFC6" w:rsidR="003E15C2" w:rsidRDefault="003E15C2">
      <w:pPr>
        <w:tabs>
          <w:tab w:val="right" w:pos="9000"/>
        </w:tabs>
        <w:spacing w:before="120" w:after="240"/>
        <w:rPr>
          <w:rFonts w:eastAsia="Garamond" w:cs="Garamond"/>
          <w:szCs w:val="22"/>
        </w:rPr>
      </w:pPr>
      <w:r>
        <w:rPr>
          <w:rFonts w:eastAsia="Garamond" w:cs="Garamond"/>
          <w:szCs w:val="22"/>
        </w:rPr>
        <w:t>Equipment can also act as a fomite, and may include personal equipment</w:t>
      </w:r>
      <w:r w:rsidR="0065631A">
        <w:rPr>
          <w:rFonts w:eastAsia="Garamond" w:cs="Garamond"/>
          <w:szCs w:val="22"/>
        </w:rPr>
        <w:t>,</w:t>
      </w:r>
      <w:r>
        <w:rPr>
          <w:rFonts w:eastAsia="Garamond" w:cs="Garamond"/>
          <w:szCs w:val="22"/>
        </w:rPr>
        <w:t xml:space="preserve"> such as boots, and other materials including cardboard, wood and metal items </w:t>
      </w:r>
      <w:r w:rsidR="005F4FE4">
        <w:rPr>
          <w:rFonts w:eastAsia="Garamond" w:cs="Garamond"/>
          <w:szCs w:val="22"/>
        </w:rPr>
        <w:fldChar w:fldCharType="begin"/>
      </w:r>
      <w:r w:rsidR="00596B52">
        <w:rPr>
          <w:rFonts w:eastAsia="Garamond" w:cs="Garamond"/>
          <w:szCs w:val="22"/>
        </w:rPr>
        <w:instrText xml:space="preserve"> ADDIN ZOTERO_ITEM CSL_CITATION {"citationID":"Mpln3qvg","properties":{"formattedCitation":"(Animal Health Australia 2022)","plainCitation":"(Animal Health Australia 2022)","noteIndex":0},"citationItems":[{"id":"js4VmBrN/n1bajIIw","uris":["http://zotero.org/groups/5271262/items/TKB86BZ2"],"itemData":{"id":3242,"type":"document","publisher":"Animal Health Australia","title":"AUSVETPLAN response strategy: foot-and-mouth disease","URL":"https://animalhealthaustralia.com.au//wp-content/uploads/dlm_uploads/2022/12/AVP_FMD_v5.0_2022.pdf","author":[{"family":"Animal Health Australia","given":""}],"accessed":{"date-parts":[["2023",4,5]]},"issued":{"date-parts":[["2022"]]}}}],"schema":"https://github.com/citation-style-language/schema/raw/master/csl-citation.json"} </w:instrText>
      </w:r>
      <w:r w:rsidR="005F4FE4">
        <w:rPr>
          <w:rFonts w:eastAsia="Garamond" w:cs="Garamond"/>
          <w:szCs w:val="22"/>
        </w:rPr>
        <w:fldChar w:fldCharType="separate"/>
      </w:r>
      <w:r w:rsidR="005F4FE4">
        <w:rPr>
          <w:rFonts w:eastAsia="Garamond" w:cs="Garamond"/>
          <w:noProof/>
          <w:szCs w:val="22"/>
        </w:rPr>
        <w:t>(Animal Health Australia 2022)</w:t>
      </w:r>
      <w:r w:rsidR="005F4FE4">
        <w:rPr>
          <w:rFonts w:eastAsia="Garamond" w:cs="Garamond"/>
          <w:szCs w:val="22"/>
        </w:rPr>
        <w:fldChar w:fldCharType="end"/>
      </w:r>
      <w:r>
        <w:rPr>
          <w:rFonts w:eastAsia="Garamond" w:cs="Garamond"/>
          <w:szCs w:val="22"/>
        </w:rPr>
        <w:t xml:space="preserve"> (</w:t>
      </w:r>
      <w:r w:rsidRPr="00A72388">
        <w:rPr>
          <w:rFonts w:asciiTheme="minorHAnsi" w:eastAsia="Garamond" w:hAnsiTheme="minorHAnsi" w:cs="Garamond"/>
          <w:szCs w:val="22"/>
        </w:rPr>
        <w:fldChar w:fldCharType="begin"/>
      </w:r>
      <w:r w:rsidRPr="00A72388">
        <w:rPr>
          <w:rFonts w:asciiTheme="minorHAnsi" w:eastAsia="Garamond" w:hAnsiTheme="minorHAnsi" w:cs="Garamond"/>
          <w:szCs w:val="22"/>
        </w:rPr>
        <w:instrText xml:space="preserve"> REF _Ref219280976 \h  \* MERGEFORMAT </w:instrText>
      </w:r>
      <w:r w:rsidRPr="00A72388">
        <w:rPr>
          <w:rFonts w:asciiTheme="minorHAnsi" w:eastAsia="Garamond" w:hAnsiTheme="minorHAnsi" w:cs="Garamond"/>
          <w:szCs w:val="22"/>
        </w:rPr>
      </w:r>
      <w:r w:rsidRPr="00A72388">
        <w:rPr>
          <w:rFonts w:asciiTheme="minorHAnsi" w:eastAsia="Garamond" w:hAnsiTheme="minorHAnsi" w:cs="Garamond"/>
          <w:szCs w:val="22"/>
        </w:rPr>
        <w:fldChar w:fldCharType="separate"/>
      </w:r>
      <w:r w:rsidR="00651A0D" w:rsidRPr="00651A0D">
        <w:rPr>
          <w:rFonts w:asciiTheme="minorHAnsi" w:hAnsiTheme="minorHAnsi"/>
          <w:szCs w:val="22"/>
        </w:rPr>
        <w:t xml:space="preserve">Table </w:t>
      </w:r>
      <w:r w:rsidR="00651A0D" w:rsidRPr="00651A0D">
        <w:rPr>
          <w:rFonts w:asciiTheme="minorHAnsi" w:hAnsiTheme="minorHAnsi"/>
          <w:noProof/>
          <w:szCs w:val="22"/>
        </w:rPr>
        <w:t>3</w:t>
      </w:r>
      <w:r w:rsidRPr="00A72388">
        <w:rPr>
          <w:rFonts w:asciiTheme="minorHAnsi" w:eastAsia="Garamond" w:hAnsiTheme="minorHAnsi" w:cs="Garamond"/>
          <w:szCs w:val="22"/>
        </w:rPr>
        <w:fldChar w:fldCharType="end"/>
      </w:r>
      <w:r>
        <w:rPr>
          <w:rFonts w:eastAsia="Garamond" w:cs="Garamond"/>
          <w:szCs w:val="22"/>
        </w:rPr>
        <w:t xml:space="preserve">). Available literature that investigated virus viability </w:t>
      </w:r>
      <w:r w:rsidR="0028190D">
        <w:rPr>
          <w:rFonts w:eastAsia="Garamond" w:cs="Garamond"/>
          <w:szCs w:val="22"/>
        </w:rPr>
        <w:t xml:space="preserve">on </w:t>
      </w:r>
      <w:r>
        <w:rPr>
          <w:rFonts w:eastAsia="Garamond" w:cs="Garamond"/>
          <w:szCs w:val="22"/>
        </w:rPr>
        <w:t xml:space="preserve">these fomites does not necessarily include hot and dry Australian conditions or the hot and humid conditions expected at sea. Therefore, it is difficult to determine the </w:t>
      </w:r>
      <w:r w:rsidR="0028190D">
        <w:rPr>
          <w:rFonts w:eastAsia="Garamond" w:cs="Garamond"/>
          <w:szCs w:val="22"/>
        </w:rPr>
        <w:t xml:space="preserve">duration </w:t>
      </w:r>
      <w:r>
        <w:rPr>
          <w:rFonts w:eastAsia="Garamond" w:cs="Garamond"/>
          <w:szCs w:val="22"/>
        </w:rPr>
        <w:t xml:space="preserve">of viral viability on incoming vessels if not adequately cleaned. Further, vessels require footbaths at each end of the gangway, remaining crew are not allowed to leave the port and those that are disembarking have their footwear and any equipment inspected </w:t>
      </w:r>
      <w:r w:rsidR="005F4FE4">
        <w:rPr>
          <w:rFonts w:eastAsia="Garamond" w:cs="Garamond"/>
          <w:szCs w:val="22"/>
        </w:rPr>
        <w:fldChar w:fldCharType="begin"/>
      </w:r>
      <w:r w:rsidR="001E0B07">
        <w:rPr>
          <w:rFonts w:eastAsia="Garamond" w:cs="Garamond"/>
          <w:szCs w:val="22"/>
        </w:rPr>
        <w:instrText xml:space="preserve"> ADDIN ZOTERO_ITEM CSL_CITATION {"citationID":"zC3d806Q","properties":{"formattedCitation":"(DAFF 2022a)","plainCitation":"(DAFF 2022a)","noteIndex":0},"citationItems":[{"id":22377,"uris":["http://zotero.org/groups/6289862/items/ED2QECHR"],"itemData":{"id":22377,"type":"report","publisher":"Department of Agriculture, Forestry and Fisheries","publisher-place":"Canberra","title":"Undertaking a livestock vessel inspection","author":[{"literal":"DAFF"}],"issued":{"date-parts":[["2022"]]}}}],"schema":"https://github.com/citation-style-language/schema/raw/master/csl-citation.json"} </w:instrText>
      </w:r>
      <w:r w:rsidR="005F4FE4">
        <w:rPr>
          <w:rFonts w:eastAsia="Garamond" w:cs="Garamond"/>
          <w:szCs w:val="22"/>
        </w:rPr>
        <w:fldChar w:fldCharType="separate"/>
      </w:r>
      <w:r w:rsidR="005F4FE4">
        <w:rPr>
          <w:rFonts w:eastAsia="Garamond" w:cs="Garamond"/>
          <w:noProof/>
          <w:szCs w:val="22"/>
        </w:rPr>
        <w:t>(DAFF 2022a)</w:t>
      </w:r>
      <w:r w:rsidR="005F4FE4">
        <w:rPr>
          <w:rFonts w:eastAsia="Garamond" w:cs="Garamond"/>
          <w:szCs w:val="22"/>
        </w:rPr>
        <w:fldChar w:fldCharType="end"/>
      </w:r>
      <w:r>
        <w:rPr>
          <w:rFonts w:eastAsia="Garamond" w:cs="Garamond"/>
          <w:szCs w:val="22"/>
        </w:rPr>
        <w:t>. Thus, the likelihood that contaminated organic material will spread beyond the port is unlikely.</w:t>
      </w:r>
    </w:p>
    <w:p w14:paraId="700C5C13" w14:textId="04F78337" w:rsidR="003E15C2" w:rsidRDefault="003E15C2" w:rsidP="00D419FE">
      <w:pPr>
        <w:pStyle w:val="Caption"/>
      </w:pPr>
      <w:bookmarkStart w:id="78" w:name="_heading=h.j7ieka2nxzv" w:colFirst="0" w:colLast="0"/>
      <w:bookmarkStart w:id="79" w:name="_Ref219280893"/>
      <w:bookmarkStart w:id="80" w:name="_Toc219289932"/>
      <w:bookmarkStart w:id="81" w:name="_Toc226794705"/>
      <w:bookmarkEnd w:id="78"/>
      <w:r>
        <w:t xml:space="preserve">Table </w:t>
      </w:r>
      <w:fldSimple w:instr=" SEQ Table \* ARABIC ">
        <w:r w:rsidR="00651A0D">
          <w:rPr>
            <w:noProof/>
          </w:rPr>
          <w:t>2</w:t>
        </w:r>
      </w:fldSimple>
      <w:bookmarkEnd w:id="79"/>
      <w:r>
        <w:tab/>
      </w:r>
      <w:r w:rsidRPr="002D1589">
        <w:t>Survivability of FMDV on soil, straw and hay</w:t>
      </w:r>
      <w:r>
        <w:t>.</w:t>
      </w:r>
      <w:bookmarkEnd w:id="80"/>
      <w:bookmarkEnd w:id="81"/>
    </w:p>
    <w:tbl>
      <w:tblPr>
        <w:tblStyle w:val="5"/>
        <w:tblW w:w="9025" w:type="dxa"/>
        <w:tblBorders>
          <w:top w:val="nil"/>
          <w:left w:val="nil"/>
          <w:bottom w:val="nil"/>
          <w:right w:val="nil"/>
          <w:insideH w:val="nil"/>
          <w:insideV w:val="nil"/>
        </w:tblBorders>
        <w:tblLayout w:type="fixed"/>
        <w:tblLook w:val="0600" w:firstRow="0" w:lastRow="0" w:firstColumn="0" w:lastColumn="0" w:noHBand="1" w:noVBand="1"/>
      </w:tblPr>
      <w:tblGrid>
        <w:gridCol w:w="1131"/>
        <w:gridCol w:w="3396"/>
        <w:gridCol w:w="1190"/>
        <w:gridCol w:w="3308"/>
      </w:tblGrid>
      <w:tr w:rsidR="003E15C2" w14:paraId="3AF9A4A7" w14:textId="77777777">
        <w:trPr>
          <w:trHeight w:val="390"/>
        </w:trPr>
        <w:tc>
          <w:tcPr>
            <w:tcW w:w="1131" w:type="dxa"/>
            <w:tcBorders>
              <w:top w:val="single" w:sz="6" w:space="0" w:color="004F83"/>
              <w:left w:val="nil"/>
              <w:bottom w:val="single" w:sz="6" w:space="0" w:color="004F83"/>
              <w:right w:val="nil"/>
            </w:tcBorders>
            <w:tcMar>
              <w:top w:w="0" w:type="dxa"/>
              <w:left w:w="100" w:type="dxa"/>
              <w:bottom w:w="0" w:type="dxa"/>
              <w:right w:w="100" w:type="dxa"/>
            </w:tcMar>
          </w:tcPr>
          <w:p w14:paraId="25352CAE" w14:textId="77777777" w:rsidR="003E15C2" w:rsidRDefault="003E15C2">
            <w:pPr>
              <w:keepNext/>
              <w:pBdr>
                <w:top w:val="nil"/>
                <w:left w:val="nil"/>
                <w:bottom w:val="nil"/>
                <w:right w:val="nil"/>
                <w:between w:val="nil"/>
              </w:pBdr>
              <w:spacing w:before="60" w:after="60"/>
              <w:rPr>
                <w:rFonts w:eastAsia="Garamond" w:cs="Garamond"/>
                <w:b/>
                <w:bCs/>
                <w:color w:val="004F83"/>
                <w:sz w:val="21"/>
                <w:szCs w:val="21"/>
              </w:rPr>
            </w:pPr>
            <w:r>
              <w:rPr>
                <w:rFonts w:eastAsia="Garamond" w:cs="Garamond"/>
                <w:b/>
                <w:bCs/>
                <w:color w:val="004F83"/>
                <w:sz w:val="21"/>
                <w:szCs w:val="21"/>
              </w:rPr>
              <w:t>Fomite</w:t>
            </w:r>
          </w:p>
        </w:tc>
        <w:tc>
          <w:tcPr>
            <w:tcW w:w="3396" w:type="dxa"/>
            <w:tcBorders>
              <w:top w:val="single" w:sz="6" w:space="0" w:color="004F83"/>
              <w:left w:val="nil"/>
              <w:bottom w:val="single" w:sz="6" w:space="0" w:color="004F83"/>
              <w:right w:val="nil"/>
            </w:tcBorders>
            <w:tcMar>
              <w:top w:w="0" w:type="dxa"/>
              <w:left w:w="100" w:type="dxa"/>
              <w:bottom w:w="0" w:type="dxa"/>
              <w:right w:w="100" w:type="dxa"/>
            </w:tcMar>
          </w:tcPr>
          <w:p w14:paraId="03FFD8B8" w14:textId="77777777" w:rsidR="003E15C2" w:rsidRDefault="003E15C2">
            <w:pPr>
              <w:keepNext/>
              <w:pBdr>
                <w:top w:val="nil"/>
                <w:left w:val="nil"/>
                <w:bottom w:val="nil"/>
                <w:right w:val="nil"/>
                <w:between w:val="nil"/>
              </w:pBdr>
              <w:spacing w:before="60" w:after="60"/>
              <w:rPr>
                <w:rFonts w:eastAsia="Garamond" w:cs="Garamond"/>
                <w:b/>
                <w:bCs/>
                <w:color w:val="004F83"/>
                <w:sz w:val="21"/>
                <w:szCs w:val="21"/>
              </w:rPr>
            </w:pPr>
            <w:r>
              <w:rPr>
                <w:rFonts w:eastAsia="Garamond" w:cs="Garamond"/>
                <w:b/>
                <w:bCs/>
                <w:color w:val="004F83"/>
                <w:sz w:val="21"/>
                <w:szCs w:val="21"/>
              </w:rPr>
              <w:t>Conditions</w:t>
            </w:r>
          </w:p>
        </w:tc>
        <w:tc>
          <w:tcPr>
            <w:tcW w:w="1190" w:type="dxa"/>
            <w:tcBorders>
              <w:top w:val="single" w:sz="6" w:space="0" w:color="004F83"/>
              <w:left w:val="nil"/>
              <w:bottom w:val="single" w:sz="6" w:space="0" w:color="004F83"/>
              <w:right w:val="nil"/>
            </w:tcBorders>
            <w:tcMar>
              <w:top w:w="0" w:type="dxa"/>
              <w:left w:w="100" w:type="dxa"/>
              <w:bottom w:w="0" w:type="dxa"/>
              <w:right w:w="100" w:type="dxa"/>
            </w:tcMar>
          </w:tcPr>
          <w:p w14:paraId="0929C597" w14:textId="77777777" w:rsidR="003E15C2" w:rsidRDefault="003E15C2">
            <w:pPr>
              <w:keepNext/>
              <w:pBdr>
                <w:top w:val="nil"/>
                <w:left w:val="nil"/>
                <w:bottom w:val="nil"/>
                <w:right w:val="nil"/>
                <w:between w:val="nil"/>
              </w:pBdr>
              <w:spacing w:before="60" w:after="60"/>
              <w:rPr>
                <w:rFonts w:eastAsia="Garamond" w:cs="Garamond"/>
                <w:b/>
                <w:bCs/>
                <w:color w:val="004F83"/>
                <w:sz w:val="21"/>
                <w:szCs w:val="21"/>
              </w:rPr>
            </w:pPr>
            <w:r>
              <w:rPr>
                <w:rFonts w:eastAsia="Garamond" w:cs="Garamond"/>
                <w:b/>
                <w:bCs/>
                <w:color w:val="004F83"/>
                <w:sz w:val="21"/>
                <w:szCs w:val="21"/>
              </w:rPr>
              <w:t>Viability (days)</w:t>
            </w:r>
          </w:p>
        </w:tc>
        <w:tc>
          <w:tcPr>
            <w:tcW w:w="3308" w:type="dxa"/>
            <w:tcBorders>
              <w:top w:val="single" w:sz="6" w:space="0" w:color="004F83"/>
              <w:left w:val="nil"/>
              <w:bottom w:val="single" w:sz="6" w:space="0" w:color="004F83"/>
              <w:right w:val="nil"/>
            </w:tcBorders>
            <w:tcMar>
              <w:top w:w="0" w:type="dxa"/>
              <w:left w:w="100" w:type="dxa"/>
              <w:bottom w:w="0" w:type="dxa"/>
              <w:right w:w="100" w:type="dxa"/>
            </w:tcMar>
          </w:tcPr>
          <w:p w14:paraId="228DF4EB" w14:textId="77777777" w:rsidR="003E15C2" w:rsidRDefault="003E15C2">
            <w:pPr>
              <w:keepNext/>
              <w:pBdr>
                <w:top w:val="nil"/>
                <w:left w:val="nil"/>
                <w:bottom w:val="nil"/>
                <w:right w:val="nil"/>
                <w:between w:val="nil"/>
              </w:pBdr>
              <w:spacing w:before="60" w:after="60"/>
              <w:rPr>
                <w:rFonts w:eastAsia="Garamond" w:cs="Garamond"/>
                <w:b/>
                <w:bCs/>
                <w:color w:val="004F83"/>
                <w:sz w:val="21"/>
                <w:szCs w:val="21"/>
              </w:rPr>
            </w:pPr>
            <w:r>
              <w:rPr>
                <w:rFonts w:eastAsia="Garamond" w:cs="Garamond"/>
                <w:b/>
                <w:bCs/>
                <w:color w:val="004F83"/>
                <w:sz w:val="21"/>
                <w:szCs w:val="21"/>
              </w:rPr>
              <w:t>References</w:t>
            </w:r>
          </w:p>
        </w:tc>
      </w:tr>
      <w:tr w:rsidR="003E15C2" w14:paraId="38089DAD" w14:textId="77777777">
        <w:trPr>
          <w:trHeight w:val="390"/>
        </w:trPr>
        <w:tc>
          <w:tcPr>
            <w:tcW w:w="1131" w:type="dxa"/>
            <w:vMerge w:val="restart"/>
            <w:tcBorders>
              <w:top w:val="nil"/>
              <w:left w:val="nil"/>
              <w:bottom w:val="single" w:sz="6" w:space="0" w:color="004F83"/>
              <w:right w:val="nil"/>
            </w:tcBorders>
            <w:tcMar>
              <w:top w:w="0" w:type="dxa"/>
              <w:left w:w="100" w:type="dxa"/>
              <w:bottom w:w="0" w:type="dxa"/>
              <w:right w:w="100" w:type="dxa"/>
            </w:tcMar>
          </w:tcPr>
          <w:p w14:paraId="162E66DF"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Soil surface</w:t>
            </w:r>
          </w:p>
        </w:tc>
        <w:tc>
          <w:tcPr>
            <w:tcW w:w="3396" w:type="dxa"/>
            <w:tcBorders>
              <w:top w:val="nil"/>
              <w:left w:val="nil"/>
              <w:bottom w:val="single" w:sz="6" w:space="0" w:color="004F83"/>
              <w:right w:val="nil"/>
            </w:tcBorders>
            <w:tcMar>
              <w:top w:w="0" w:type="dxa"/>
              <w:left w:w="100" w:type="dxa"/>
              <w:bottom w:w="0" w:type="dxa"/>
              <w:right w:w="100" w:type="dxa"/>
            </w:tcMar>
          </w:tcPr>
          <w:p w14:paraId="0D2D4870"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Summer conditions (Kazakhstan)</w:t>
            </w:r>
          </w:p>
        </w:tc>
        <w:tc>
          <w:tcPr>
            <w:tcW w:w="1190" w:type="dxa"/>
            <w:tcBorders>
              <w:top w:val="nil"/>
              <w:left w:val="nil"/>
              <w:bottom w:val="single" w:sz="6" w:space="0" w:color="004F83"/>
              <w:right w:val="nil"/>
            </w:tcBorders>
            <w:tcMar>
              <w:top w:w="0" w:type="dxa"/>
              <w:left w:w="100" w:type="dxa"/>
              <w:bottom w:w="0" w:type="dxa"/>
              <w:right w:w="100" w:type="dxa"/>
            </w:tcMar>
          </w:tcPr>
          <w:p w14:paraId="1D40B8D9"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3</w:t>
            </w:r>
          </w:p>
        </w:tc>
        <w:tc>
          <w:tcPr>
            <w:tcW w:w="3308" w:type="dxa"/>
            <w:tcBorders>
              <w:top w:val="nil"/>
              <w:left w:val="nil"/>
              <w:bottom w:val="single" w:sz="6" w:space="0" w:color="004F83"/>
              <w:right w:val="nil"/>
            </w:tcBorders>
            <w:tcMar>
              <w:top w:w="0" w:type="dxa"/>
              <w:left w:w="100" w:type="dxa"/>
              <w:bottom w:w="0" w:type="dxa"/>
              <w:right w:w="100" w:type="dxa"/>
            </w:tcMar>
          </w:tcPr>
          <w:p w14:paraId="57000D3C" w14:textId="65DD3D8D" w:rsidR="003E15C2" w:rsidRDefault="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{"citationID":"uhZNyt0N","properties":{"formattedCitation":"(Morgan 1993)","plainCitation":"(Morgan 1993)","noteIndex":0},"citationItems":[{"id":"js4VmBrN/bPwIOdxE","uris":["http://zotero.org/groups/5271262/items/QPILAPQJ"],"itemData":{"id":3800,"type":"report","event-place":"Victoria","publisher":"Victorian Institute of Animal Science","publisher-place":"Victoria","title":"Spread of foot-and-mouth disease, review prepared for the Australian Meat Research Corporation","author":[{"family":"Morgan","given":"Ian R"}],"issued":{"date-parts":[["1993"]]}}}],"schema":"https://github.com/citation-style-language/schema/raw/master/csl-citation.json"}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(Morgan 1993)</w:t>
            </w:r>
            <w:r>
              <w:rPr>
                <w:rFonts w:eastAsia="Garamond" w:cs="Garamond"/>
                <w:color w:val="000000"/>
                <w:sz w:val="21"/>
                <w:szCs w:val="21"/>
              </w:rPr>
              <w:fldChar w:fldCharType="end"/>
            </w:r>
          </w:p>
        </w:tc>
      </w:tr>
      <w:tr w:rsidR="003E15C2" w14:paraId="6ECD09A0" w14:textId="77777777">
        <w:trPr>
          <w:trHeight w:val="390"/>
        </w:trPr>
        <w:tc>
          <w:tcPr>
            <w:tcW w:w="1131" w:type="dxa"/>
            <w:vMerge/>
            <w:tcBorders>
              <w:top w:val="nil"/>
              <w:left w:val="nil"/>
              <w:bottom w:val="single" w:sz="6" w:space="0" w:color="004F83"/>
              <w:right w:val="nil"/>
            </w:tcBorders>
            <w:tcMar>
              <w:top w:w="0" w:type="dxa"/>
              <w:left w:w="100" w:type="dxa"/>
              <w:bottom w:w="0" w:type="dxa"/>
              <w:right w:w="100" w:type="dxa"/>
            </w:tcMar>
          </w:tcPr>
          <w:p w14:paraId="3D95B862" w14:textId="77777777" w:rsidR="003E15C2" w:rsidRDefault="003E15C2">
            <w:pPr>
              <w:widowControl w:val="0"/>
              <w:pBdr>
                <w:top w:val="nil"/>
                <w:left w:val="nil"/>
                <w:bottom w:val="nil"/>
                <w:right w:val="nil"/>
                <w:between w:val="nil"/>
              </w:pBdr>
              <w:rPr>
                <w:rFonts w:eastAsia="Garamond" w:cs="Garamond"/>
                <w:color w:val="000000"/>
                <w:sz w:val="21"/>
                <w:szCs w:val="21"/>
              </w:rPr>
            </w:pPr>
          </w:p>
        </w:tc>
        <w:tc>
          <w:tcPr>
            <w:tcW w:w="3396" w:type="dxa"/>
            <w:tcBorders>
              <w:top w:val="nil"/>
              <w:left w:val="nil"/>
              <w:bottom w:val="single" w:sz="6" w:space="0" w:color="004F83"/>
              <w:right w:val="nil"/>
            </w:tcBorders>
            <w:tcMar>
              <w:top w:w="0" w:type="dxa"/>
              <w:left w:w="100" w:type="dxa"/>
              <w:bottom w:w="0" w:type="dxa"/>
              <w:right w:w="100" w:type="dxa"/>
            </w:tcMar>
          </w:tcPr>
          <w:p w14:paraId="33CF6CD5"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Autumn / winter (Kazakhstan)</w:t>
            </w:r>
          </w:p>
        </w:tc>
        <w:tc>
          <w:tcPr>
            <w:tcW w:w="1190" w:type="dxa"/>
            <w:tcBorders>
              <w:top w:val="nil"/>
              <w:left w:val="nil"/>
              <w:bottom w:val="single" w:sz="6" w:space="0" w:color="004F83"/>
              <w:right w:val="nil"/>
            </w:tcBorders>
            <w:tcMar>
              <w:top w:w="0" w:type="dxa"/>
              <w:left w:w="100" w:type="dxa"/>
              <w:bottom w:w="0" w:type="dxa"/>
              <w:right w:w="100" w:type="dxa"/>
            </w:tcMar>
          </w:tcPr>
          <w:p w14:paraId="378EEA11"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28</w:t>
            </w:r>
          </w:p>
        </w:tc>
        <w:tc>
          <w:tcPr>
            <w:tcW w:w="3308" w:type="dxa"/>
            <w:tcBorders>
              <w:top w:val="nil"/>
              <w:left w:val="nil"/>
              <w:bottom w:val="single" w:sz="6" w:space="0" w:color="004F83"/>
              <w:right w:val="nil"/>
            </w:tcBorders>
            <w:tcMar>
              <w:top w:w="0" w:type="dxa"/>
              <w:left w:w="100" w:type="dxa"/>
              <w:bottom w:w="0" w:type="dxa"/>
              <w:right w:w="100" w:type="dxa"/>
            </w:tcMar>
          </w:tcPr>
          <w:p w14:paraId="00B65AFB" w14:textId="036E21A5" w:rsidR="003E15C2" w:rsidRDefault="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{"citationID":"k1HnrLp9","properties":{"formattedCitation":"(Morgan 1993)","plainCitation":"(Morgan 1993)","noteIndex":0},"citationItems":[{"id":"js4VmBrN/bPwIOdxE","uris":["http://zotero.org/groups/5271262/items/QPILAPQJ"],"itemData":{"id":3800,"type":"report","event-place":"Victoria","publisher":"Victorian Institute of Animal Science","publisher-place":"Victoria","title":"Spread of foot-and-mouth disease, review prepared for the Australian Meat Research Corporation","author":[{"family":"Morgan","given":"Ian R"}],"issued":{"date-parts":[["1993"]]}}}],"schema":"https://github.com/citation-style-language/schema/raw/master/csl-citation.json"}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(Morgan 1993)</w:t>
            </w:r>
            <w:r>
              <w:rPr>
                <w:rFonts w:eastAsia="Garamond" w:cs="Garamond"/>
                <w:color w:val="000000"/>
                <w:sz w:val="21"/>
                <w:szCs w:val="21"/>
              </w:rPr>
              <w:fldChar w:fldCharType="end"/>
            </w:r>
          </w:p>
        </w:tc>
      </w:tr>
      <w:tr w:rsidR="003E15C2" w14:paraId="7CBBC4DB" w14:textId="77777777">
        <w:trPr>
          <w:trHeight w:val="645"/>
        </w:trPr>
        <w:tc>
          <w:tcPr>
            <w:tcW w:w="1131" w:type="dxa"/>
            <w:vMerge/>
            <w:tcBorders>
              <w:top w:val="nil"/>
              <w:left w:val="nil"/>
              <w:bottom w:val="single" w:sz="6" w:space="0" w:color="004F83"/>
              <w:right w:val="nil"/>
            </w:tcBorders>
            <w:tcMar>
              <w:top w:w="0" w:type="dxa"/>
              <w:left w:w="100" w:type="dxa"/>
              <w:bottom w:w="0" w:type="dxa"/>
              <w:right w:w="100" w:type="dxa"/>
            </w:tcMar>
          </w:tcPr>
          <w:p w14:paraId="4AF7330A" w14:textId="77777777" w:rsidR="003E15C2" w:rsidRDefault="003E15C2">
            <w:pPr>
              <w:widowControl w:val="0"/>
              <w:pBdr>
                <w:top w:val="nil"/>
                <w:left w:val="nil"/>
                <w:bottom w:val="nil"/>
                <w:right w:val="nil"/>
                <w:between w:val="nil"/>
              </w:pBdr>
              <w:rPr>
                <w:rFonts w:eastAsia="Garamond" w:cs="Garamond"/>
                <w:color w:val="000000"/>
                <w:sz w:val="21"/>
                <w:szCs w:val="21"/>
              </w:rPr>
            </w:pPr>
          </w:p>
        </w:tc>
        <w:tc>
          <w:tcPr>
            <w:tcW w:w="3396" w:type="dxa"/>
            <w:tcBorders>
              <w:top w:val="nil"/>
              <w:left w:val="nil"/>
              <w:bottom w:val="single" w:sz="6" w:space="0" w:color="004F83"/>
              <w:right w:val="nil"/>
            </w:tcBorders>
            <w:tcMar>
              <w:top w:w="0" w:type="dxa"/>
              <w:left w:w="100" w:type="dxa"/>
              <w:bottom w:w="0" w:type="dxa"/>
              <w:right w:w="100" w:type="dxa"/>
            </w:tcMar>
          </w:tcPr>
          <w:p w14:paraId="086DEBDD" w14:textId="5DBDEF30"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16.6 – 30.6 °C, RH 69% (Russia)</w:t>
            </w:r>
          </w:p>
        </w:tc>
        <w:tc>
          <w:tcPr>
            <w:tcW w:w="1190" w:type="dxa"/>
            <w:tcBorders>
              <w:top w:val="nil"/>
              <w:left w:val="nil"/>
              <w:bottom w:val="single" w:sz="6" w:space="0" w:color="004F83"/>
              <w:right w:val="nil"/>
            </w:tcBorders>
            <w:tcMar>
              <w:top w:w="0" w:type="dxa"/>
              <w:left w:w="100" w:type="dxa"/>
              <w:bottom w:w="0" w:type="dxa"/>
              <w:right w:w="100" w:type="dxa"/>
            </w:tcMar>
          </w:tcPr>
          <w:p w14:paraId="7BFE3FF8"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&lt; 5</w:t>
            </w:r>
          </w:p>
        </w:tc>
        <w:tc>
          <w:tcPr>
            <w:tcW w:w="3308" w:type="dxa"/>
            <w:tcBorders>
              <w:top w:val="nil"/>
              <w:left w:val="nil"/>
              <w:bottom w:val="single" w:sz="6" w:space="0" w:color="004F83"/>
              <w:right w:val="nil"/>
            </w:tcBorders>
            <w:tcMar>
              <w:top w:w="0" w:type="dxa"/>
              <w:left w:w="100" w:type="dxa"/>
              <w:bottom w:w="0" w:type="dxa"/>
              <w:right w:w="100" w:type="dxa"/>
            </w:tcMar>
          </w:tcPr>
          <w:p w14:paraId="63E90042" w14:textId="45470109" w:rsidR="003E15C2" w:rsidRDefault="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{"citationID":"3E51p0qj","properties":{"formattedCitation":"(Podrezova 1969; Bartley et al. 2002)","plainCitation":"(Podrezova 1969; Bartley et al. 2002)","noteIndex":0},"citationItems":[{"id":"js4VmBrN/Du26T2Yc","uris":["http://zotero.org/groups/5271262/items/N42BW23A"],"itemData":{"id":3927,"type":"article-journal","archive":"PubMed","archive_location":"4314926","container-title":"Veterinariia","ISSN":"0042-4846","journalAbbreviation":"Veterinariia","language":"rus","page":"94-96","title":"Viability of foot-and-mouth disease virus in pastures","volume":"5","author":[{"family":"Podrezova","given":"EA"}],"issued":{"date-parts":[["1969",5]]}}},{"id":"js4VmBrN/1WfqVy7c","uris":["http://zotero.org/groups/5271262/items/44EPGRTL"],"itemData":{"id":3245,"type":"article-journal","container-title":"Veterinary Record","DOI":"10.1136/vr.151.22.667","ISSN":"2042-7670","issue":"22","language":"en","license":"© 2002 British Veterinary Association","note":"_eprint: https://bvajournals.onlinelibrary.wiley.com/doi/pdf/10.1136/vr.151.22.667","page":"667-669","source":"Wiley Online Library","title":"Review of foot-and mouth disease virus survival in animal excretions and on fomites","volume":"151","author":[{"family":"Bartley","given":"L. M."},{"family":"Donnelly","given":"C. A."},{"family":"Anderson","given":"R. M."}],"issued":{"date-parts":[["2002"]]}}}],"schema":"https://github.com/citation-style-language/schema/raw/master/csl-citation.json"}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(Podrezova 1969; Bartley et al. 2002)</w:t>
            </w:r>
            <w:r>
              <w:rPr>
                <w:rFonts w:eastAsia="Garamond" w:cs="Garamond"/>
                <w:color w:val="000000"/>
                <w:sz w:val="21"/>
                <w:szCs w:val="21"/>
              </w:rPr>
              <w:fldChar w:fldCharType="end"/>
            </w:r>
          </w:p>
        </w:tc>
      </w:tr>
      <w:tr w:rsidR="005F4FE4" w14:paraId="612ABCB2" w14:textId="77777777">
        <w:trPr>
          <w:trHeight w:val="645"/>
        </w:trPr>
        <w:tc>
          <w:tcPr>
            <w:tcW w:w="1131" w:type="dxa"/>
            <w:vMerge/>
            <w:tcBorders>
              <w:top w:val="nil"/>
              <w:left w:val="nil"/>
              <w:bottom w:val="single" w:sz="6" w:space="0" w:color="004F83"/>
              <w:right w:val="nil"/>
            </w:tcBorders>
            <w:tcMar>
              <w:top w:w="0" w:type="dxa"/>
              <w:left w:w="100" w:type="dxa"/>
              <w:bottom w:w="0" w:type="dxa"/>
              <w:right w:w="100" w:type="dxa"/>
            </w:tcMar>
          </w:tcPr>
          <w:p w14:paraId="4A7C0071" w14:textId="77777777" w:rsidR="005F4FE4" w:rsidRDefault="005F4FE4" w:rsidP="005F4FE4">
            <w:pPr>
              <w:widowControl w:val="0"/>
              <w:pBdr>
                <w:top w:val="nil"/>
                <w:left w:val="nil"/>
                <w:bottom w:val="nil"/>
                <w:right w:val="nil"/>
                <w:between w:val="nil"/>
              </w:pBdr>
              <w:rPr>
                <w:rFonts w:eastAsia="Garamond" w:cs="Garamond"/>
                <w:color w:val="000000"/>
                <w:sz w:val="21"/>
                <w:szCs w:val="21"/>
              </w:rPr>
            </w:pPr>
          </w:p>
        </w:tc>
        <w:tc>
          <w:tcPr>
            <w:tcW w:w="3396" w:type="dxa"/>
            <w:tcBorders>
              <w:top w:val="nil"/>
              <w:left w:val="nil"/>
              <w:bottom w:val="single" w:sz="6" w:space="0" w:color="004F83"/>
              <w:right w:val="nil"/>
            </w:tcBorders>
            <w:tcMar>
              <w:top w:w="0" w:type="dxa"/>
              <w:left w:w="100" w:type="dxa"/>
              <w:bottom w:w="0" w:type="dxa"/>
              <w:right w:w="100" w:type="dxa"/>
            </w:tcMar>
          </w:tcPr>
          <w:p w14:paraId="1229C4B2" w14:textId="5A8DD9C8" w:rsidR="005F4FE4" w:rsidRPr="00022AD7" w:rsidRDefault="005F4FE4" w:rsidP="005F4FE4">
            <w:pPr>
              <w:rPr>
                <w:rFonts w:asciiTheme="minorHAnsi" w:eastAsia="Garamond" w:hAnsiTheme="minorHAnsi" w:cs="Garamond"/>
                <w:sz w:val="21"/>
                <w:szCs w:val="21"/>
              </w:rPr>
            </w:pPr>
            <w:r w:rsidRPr="00022AD7">
              <w:rPr>
                <w:rFonts w:asciiTheme="minorHAnsi" w:eastAsia="Gungsuh" w:hAnsiTheme="minorHAnsi"/>
                <w:sz w:val="21"/>
                <w:szCs w:val="21"/>
              </w:rPr>
              <w:t>Ambient temp ≤ 34°C &amp; soil temp ≤ 50°C, RH 51% (Russia)</w:t>
            </w:r>
          </w:p>
        </w:tc>
        <w:tc>
          <w:tcPr>
            <w:tcW w:w="1190" w:type="dxa"/>
            <w:tcBorders>
              <w:top w:val="nil"/>
              <w:left w:val="nil"/>
              <w:bottom w:val="single" w:sz="6" w:space="0" w:color="004F83"/>
              <w:right w:val="nil"/>
            </w:tcBorders>
            <w:tcMar>
              <w:top w:w="0" w:type="dxa"/>
              <w:left w:w="100" w:type="dxa"/>
              <w:bottom w:w="0" w:type="dxa"/>
              <w:right w:w="100" w:type="dxa"/>
            </w:tcMar>
          </w:tcPr>
          <w:p w14:paraId="676BABBD" w14:textId="77777777"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&lt; 2</w:t>
            </w:r>
          </w:p>
        </w:tc>
        <w:tc>
          <w:tcPr>
            <w:tcW w:w="3308" w:type="dxa"/>
            <w:tcBorders>
              <w:top w:val="nil"/>
              <w:left w:val="nil"/>
              <w:bottom w:val="single" w:sz="6" w:space="0" w:color="004F83"/>
              <w:right w:val="nil"/>
            </w:tcBorders>
            <w:tcMar>
              <w:top w:w="0" w:type="dxa"/>
              <w:left w:w="100" w:type="dxa"/>
              <w:bottom w:w="0" w:type="dxa"/>
              <w:right w:w="100" w:type="dxa"/>
            </w:tcMar>
          </w:tcPr>
          <w:p w14:paraId="28A87204" w14:textId="45DF4BA5"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{"citationID":"qr6B0cQF","properties":{"formattedCitation":"(Podrezova 1969; Bartley et al. 2002)","plainCitation":"(Podrezova 1969; Bartley et al. 2002)","noteIndex":0},"citationItems":[{"id":"js4VmBrN/Du26T2Yc","uris":["http://zotero.org/groups/5271262/items/N42BW23A"],"itemData":{"id":3927,"type":"article-journal","archive":"PubMed","archive_location":"4314926","container-title":"Veterinariia","ISSN":"0042-4846","journalAbbreviation":"Veterinariia","language":"rus","page":"94-96","title":"Viability of foot-and-mouth disease virus in pastures","volume":"5","author":[{"family":"Podrezova","given":"EA"}],"issued":{"date-parts":[["1969",5]]}}},{"id":"js4VmBrN/1WfqVy7c","uris":["http://zotero.org/groups/5271262/items/44EPGRTL"],"itemData":{"id":3245,"type":"article-journal","container-title":"Veterinary Record","DOI":"10.1136/vr.151.22.667","ISSN":"2042-7670","issue":"22","language":"en","license":"© 2002 British Veterinary Association","note":"_eprint: https://bvajournals.onlinelibrary.wiley.com/doi/pdf/10.1136/vr.151.22.667","page":"667-669","source":"Wiley Online Library","title":"Review of foot-and mouth disease virus survival in animal excretions and on fomites","volume":"151","author":[{"family":"Bartley","given":"L. M."},{"family":"Donnelly","given":"C. A."},{"family":"Anderson","given":"R. M."}],"issued":{"date-parts":[["2002"]]}}}],"schema":"https://github.com/citation-style-language/schema/raw/master/csl-citation.json"}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(Podrezova 1969; Bartley et al. 2002)</w:t>
            </w:r>
            <w:r>
              <w:rPr>
                <w:rFonts w:eastAsia="Garamond" w:cs="Garamond"/>
                <w:color w:val="000000"/>
                <w:sz w:val="21"/>
                <w:szCs w:val="21"/>
              </w:rPr>
              <w:fldChar w:fldCharType="end"/>
            </w:r>
          </w:p>
        </w:tc>
      </w:tr>
      <w:tr w:rsidR="005F4FE4" w14:paraId="3AC71702" w14:textId="77777777">
        <w:trPr>
          <w:trHeight w:val="390"/>
        </w:trPr>
        <w:tc>
          <w:tcPr>
            <w:tcW w:w="1131" w:type="dxa"/>
            <w:tcBorders>
              <w:top w:val="nil"/>
              <w:left w:val="nil"/>
              <w:bottom w:val="single" w:sz="6" w:space="0" w:color="004F83"/>
              <w:right w:val="nil"/>
            </w:tcBorders>
            <w:tcMar>
              <w:top w:w="0" w:type="dxa"/>
              <w:left w:w="100" w:type="dxa"/>
              <w:bottom w:w="0" w:type="dxa"/>
              <w:right w:w="100" w:type="dxa"/>
            </w:tcMar>
          </w:tcPr>
          <w:p w14:paraId="3F95F02D" w14:textId="77777777"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Straw</w:t>
            </w:r>
          </w:p>
        </w:tc>
        <w:tc>
          <w:tcPr>
            <w:tcW w:w="3396" w:type="dxa"/>
            <w:tcBorders>
              <w:top w:val="nil"/>
              <w:left w:val="nil"/>
              <w:bottom w:val="single" w:sz="6" w:space="0" w:color="004F83"/>
              <w:right w:val="nil"/>
            </w:tcBorders>
            <w:tcMar>
              <w:top w:w="0" w:type="dxa"/>
              <w:left w:w="100" w:type="dxa"/>
              <w:bottom w:w="0" w:type="dxa"/>
              <w:right w:w="100" w:type="dxa"/>
            </w:tcMar>
          </w:tcPr>
          <w:p w14:paraId="762BBD52" w14:textId="0EE8A33A"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16.7 °C, RH 43 – 68% (experiment)</w:t>
            </w:r>
          </w:p>
        </w:tc>
        <w:tc>
          <w:tcPr>
            <w:tcW w:w="1190" w:type="dxa"/>
            <w:tcBorders>
              <w:top w:val="nil"/>
              <w:left w:val="nil"/>
              <w:bottom w:val="single" w:sz="6" w:space="0" w:color="004F83"/>
              <w:right w:val="nil"/>
            </w:tcBorders>
            <w:tcMar>
              <w:top w:w="0" w:type="dxa"/>
              <w:left w:w="100" w:type="dxa"/>
              <w:bottom w:w="0" w:type="dxa"/>
              <w:right w:w="100" w:type="dxa"/>
            </w:tcMar>
          </w:tcPr>
          <w:p w14:paraId="070ADDDE" w14:textId="77777777"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28 – 42</w:t>
            </w:r>
          </w:p>
        </w:tc>
        <w:tc>
          <w:tcPr>
            <w:tcW w:w="3308" w:type="dxa"/>
            <w:tcBorders>
              <w:top w:val="nil"/>
              <w:left w:val="nil"/>
              <w:bottom w:val="single" w:sz="6" w:space="0" w:color="004F83"/>
              <w:right w:val="nil"/>
            </w:tcBorders>
            <w:tcMar>
              <w:top w:w="0" w:type="dxa"/>
              <w:left w:w="100" w:type="dxa"/>
              <w:bottom w:w="0" w:type="dxa"/>
              <w:right w:w="100" w:type="dxa"/>
            </w:tcMar>
          </w:tcPr>
          <w:p w14:paraId="46EE307D" w14:textId="1F7EC245"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{"citationID":"vASDweu7","properties":{"formattedCitation":"(Bedson et al. 1927)","plainCitation":"(Bedson et al. 1927)","noteIndex":0},"citationItems":[{"id":"js4VmBrN/zWH3QICX","uris":["http://zotero.org/groups/5271262/items/X25DNRNB"],"itemData":{"id":3797,"type":"article-journal","container-title":"Journal of Comparative Pathology and Therapeutics","DOI":"10.1016/S0368-1742(27)80002-0","ISSN":"0368-1742","journalAbbreviation":"Journal of Comparative Pathology and Therapeutics","page":"5-36","title":"Further Observations on Foot-and-Mouth Disease","volume":"40","author":[{"family":"Bedson","given":"S.P."},{"family":"Maitland","given":"H.B."},{"family":"Burbury","given":"Y.M."}],"issued":{"date-parts":[["1927",1,1]]}}}],"schema":"https://github.com/citation-style-language/schema/raw/master/csl-citation.json"}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(Bedson et al. 1927)</w:t>
            </w:r>
            <w:r>
              <w:rPr>
                <w:rFonts w:eastAsia="Garamond" w:cs="Garamond"/>
                <w:color w:val="000000"/>
                <w:sz w:val="21"/>
                <w:szCs w:val="21"/>
              </w:rPr>
              <w:fldChar w:fldCharType="end"/>
            </w:r>
          </w:p>
        </w:tc>
      </w:tr>
      <w:tr w:rsidR="005F4FE4" w14:paraId="4B153A61" w14:textId="77777777">
        <w:trPr>
          <w:trHeight w:val="390"/>
        </w:trPr>
        <w:tc>
          <w:tcPr>
            <w:tcW w:w="1131" w:type="dxa"/>
            <w:vMerge w:val="restart"/>
            <w:tcBorders>
              <w:top w:val="nil"/>
              <w:left w:val="nil"/>
              <w:bottom w:val="single" w:sz="6" w:space="0" w:color="004F83"/>
              <w:right w:val="nil"/>
            </w:tcBorders>
            <w:tcMar>
              <w:top w:w="0" w:type="dxa"/>
              <w:left w:w="100" w:type="dxa"/>
              <w:bottom w:w="0" w:type="dxa"/>
              <w:right w:w="100" w:type="dxa"/>
            </w:tcMar>
          </w:tcPr>
          <w:p w14:paraId="02CA7B47" w14:textId="77777777"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Hay</w:t>
            </w:r>
          </w:p>
        </w:tc>
        <w:tc>
          <w:tcPr>
            <w:tcW w:w="3396" w:type="dxa"/>
            <w:tcBorders>
              <w:top w:val="nil"/>
              <w:left w:val="nil"/>
              <w:bottom w:val="single" w:sz="6" w:space="0" w:color="004F83"/>
              <w:right w:val="nil"/>
            </w:tcBorders>
            <w:tcMar>
              <w:top w:w="0" w:type="dxa"/>
              <w:left w:w="100" w:type="dxa"/>
              <w:bottom w:w="0" w:type="dxa"/>
              <w:right w:w="100" w:type="dxa"/>
            </w:tcMar>
          </w:tcPr>
          <w:p w14:paraId="2CE7F436" w14:textId="77777777"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Drought area (Kazakhstan)</w:t>
            </w:r>
          </w:p>
        </w:tc>
        <w:tc>
          <w:tcPr>
            <w:tcW w:w="1190" w:type="dxa"/>
            <w:tcBorders>
              <w:top w:val="nil"/>
              <w:left w:val="nil"/>
              <w:bottom w:val="single" w:sz="6" w:space="0" w:color="004F83"/>
              <w:right w:val="nil"/>
            </w:tcBorders>
            <w:tcMar>
              <w:top w:w="0" w:type="dxa"/>
              <w:left w:w="100" w:type="dxa"/>
              <w:bottom w:w="0" w:type="dxa"/>
              <w:right w:w="100" w:type="dxa"/>
            </w:tcMar>
          </w:tcPr>
          <w:p w14:paraId="599095E8" w14:textId="77777777"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185 – 200</w:t>
            </w:r>
          </w:p>
        </w:tc>
        <w:tc>
          <w:tcPr>
            <w:tcW w:w="3308" w:type="dxa"/>
            <w:tcBorders>
              <w:top w:val="nil"/>
              <w:left w:val="nil"/>
              <w:bottom w:val="single" w:sz="6" w:space="0" w:color="004F83"/>
              <w:right w:val="nil"/>
            </w:tcBorders>
            <w:tcMar>
              <w:top w:w="0" w:type="dxa"/>
              <w:left w:w="100" w:type="dxa"/>
              <w:bottom w:w="0" w:type="dxa"/>
              <w:right w:w="100" w:type="dxa"/>
            </w:tcMar>
          </w:tcPr>
          <w:p w14:paraId="1AD3D168" w14:textId="07D75DA8"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{"citationID":"crK3ZDfC","properties":{"formattedCitation":"(Morgan 1993)","plainCitation":"(Morgan 1993)","noteIndex":0},"citationItems":[{"id":"js4VmBrN/bPwIOdxE","uris":["http://zotero.org/groups/5271262/items/QPILAPQJ"],"itemData":{"id":3800,"type":"report","event-place":"Victoria","publisher":"Victorian Institute of Animal Science","publisher-place":"Victoria","title":"Spread of foot-and-mouth disease, review prepared for the Australian Meat Research Corporation","author":[{"family":"Morgan","given":"Ian R"}],"issued":{"date-parts":[["1993"]]}}}],"schema":"https://github.com/citation-style-language/schema/raw/master/csl-citation.json"}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(Morgan 1993)</w:t>
            </w:r>
            <w:r>
              <w:rPr>
                <w:rFonts w:eastAsia="Garamond" w:cs="Garamond"/>
                <w:color w:val="000000"/>
                <w:sz w:val="21"/>
                <w:szCs w:val="21"/>
              </w:rPr>
              <w:fldChar w:fldCharType="end"/>
            </w:r>
          </w:p>
        </w:tc>
      </w:tr>
      <w:tr w:rsidR="005F4FE4" w14:paraId="24AC07F6" w14:textId="77777777">
        <w:trPr>
          <w:trHeight w:val="390"/>
        </w:trPr>
        <w:tc>
          <w:tcPr>
            <w:tcW w:w="1131" w:type="dxa"/>
            <w:vMerge/>
            <w:tcBorders>
              <w:top w:val="nil"/>
              <w:left w:val="nil"/>
              <w:bottom w:val="single" w:sz="6" w:space="0" w:color="004F83"/>
              <w:right w:val="nil"/>
            </w:tcBorders>
            <w:tcMar>
              <w:top w:w="0" w:type="dxa"/>
              <w:left w:w="100" w:type="dxa"/>
              <w:bottom w:w="0" w:type="dxa"/>
              <w:right w:w="100" w:type="dxa"/>
            </w:tcMar>
          </w:tcPr>
          <w:p w14:paraId="086D6C8A" w14:textId="77777777" w:rsidR="005F4FE4" w:rsidRDefault="005F4FE4" w:rsidP="005F4FE4">
            <w:pPr>
              <w:widowControl w:val="0"/>
              <w:pBdr>
                <w:top w:val="nil"/>
                <w:left w:val="nil"/>
                <w:bottom w:val="nil"/>
                <w:right w:val="nil"/>
                <w:between w:val="nil"/>
              </w:pBdr>
              <w:rPr>
                <w:rFonts w:eastAsia="Garamond" w:cs="Garamond"/>
                <w:color w:val="000000"/>
                <w:sz w:val="21"/>
                <w:szCs w:val="21"/>
              </w:rPr>
            </w:pPr>
          </w:p>
        </w:tc>
        <w:tc>
          <w:tcPr>
            <w:tcW w:w="3396" w:type="dxa"/>
            <w:tcBorders>
              <w:top w:val="nil"/>
              <w:left w:val="nil"/>
              <w:bottom w:val="single" w:sz="6" w:space="0" w:color="004F83"/>
              <w:right w:val="nil"/>
            </w:tcBorders>
            <w:tcMar>
              <w:top w:w="0" w:type="dxa"/>
              <w:left w:w="100" w:type="dxa"/>
              <w:bottom w:w="0" w:type="dxa"/>
              <w:right w:w="100" w:type="dxa"/>
            </w:tcMar>
          </w:tcPr>
          <w:p w14:paraId="68E9A0AE" w14:textId="77777777"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Stored in dry and dark conditions</w:t>
            </w:r>
          </w:p>
        </w:tc>
        <w:tc>
          <w:tcPr>
            <w:tcW w:w="1190" w:type="dxa"/>
            <w:tcBorders>
              <w:top w:val="nil"/>
              <w:left w:val="nil"/>
              <w:bottom w:val="single" w:sz="6" w:space="0" w:color="004F83"/>
              <w:right w:val="nil"/>
            </w:tcBorders>
            <w:tcMar>
              <w:top w:w="0" w:type="dxa"/>
              <w:left w:w="100" w:type="dxa"/>
              <w:bottom w:w="0" w:type="dxa"/>
              <w:right w:w="100" w:type="dxa"/>
            </w:tcMar>
          </w:tcPr>
          <w:p w14:paraId="65C6160A" w14:textId="77777777"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105</w:t>
            </w:r>
          </w:p>
        </w:tc>
        <w:tc>
          <w:tcPr>
            <w:tcW w:w="3308" w:type="dxa"/>
            <w:tcBorders>
              <w:top w:val="nil"/>
              <w:left w:val="nil"/>
              <w:bottom w:val="single" w:sz="6" w:space="0" w:color="004F83"/>
              <w:right w:val="nil"/>
            </w:tcBorders>
            <w:tcMar>
              <w:top w:w="0" w:type="dxa"/>
              <w:left w:w="100" w:type="dxa"/>
              <w:bottom w:w="0" w:type="dxa"/>
              <w:right w:w="100" w:type="dxa"/>
            </w:tcMar>
          </w:tcPr>
          <w:p w14:paraId="7B486DDF" w14:textId="1AD83357"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szCs w:val="22"/>
              </w:rPr>
              <w:fldChar w:fldCharType="begin"/>
            </w:r>
            <w:r w:rsidR="00596B52">
              <w:rPr>
                <w:rFonts w:eastAsia="Garamond" w:cs="Garamond"/>
                <w:szCs w:val="22"/>
              </w:rPr>
              <w:instrText xml:space="preserve"> ADDIN ZOTERO_ITEM CSL_CITATION {"citationID":"Etd4UC4D","properties":{"formattedCitation":"(Animal Health Australia 2022)","plainCitation":"(Animal Health Australia 2022)","noteIndex":0},"citationItems":[{"id":"js4VmBrN/n1bajIIw","uris":["http://zotero.org/groups/5271262/items/TKB86BZ2"],"itemData":{"id":3242,"type":"document","publisher":"Animal Health Australia","title":"AUSVETPLAN response strategy: foot-and-mouth disease","URL":"https://animalhealthaustralia.com.au//wp-content/uploads/dlm_uploads/2022/12/AVP_FMD_v5.0_2022.pdf","author":[{"family":"Animal Health Australia","given":""}],"accessed":{"date-parts":[["2023",4,5]]},"issued":{"date-parts":[["2022"]]}}}],"schema":"https://github.com/citation-style-language/schema/raw/master/csl-citation.json"} </w:instrText>
            </w:r>
            <w:r>
              <w:rPr>
                <w:rFonts w:eastAsia="Garamond" w:cs="Garamond"/>
                <w:szCs w:val="22"/>
              </w:rPr>
              <w:fldChar w:fldCharType="separate"/>
            </w:r>
            <w:r>
              <w:rPr>
                <w:rFonts w:eastAsia="Garamond" w:cs="Garamond"/>
                <w:noProof/>
                <w:szCs w:val="22"/>
              </w:rPr>
              <w:t>(Animal Health Australia 2022)</w:t>
            </w:r>
            <w:r>
              <w:rPr>
                <w:rFonts w:eastAsia="Garamond" w:cs="Garamond"/>
                <w:szCs w:val="22"/>
              </w:rPr>
              <w:fldChar w:fldCharType="end"/>
            </w:r>
          </w:p>
        </w:tc>
      </w:tr>
      <w:tr w:rsidR="005F4FE4" w14:paraId="22B0289E" w14:textId="77777777">
        <w:trPr>
          <w:trHeight w:val="390"/>
        </w:trPr>
        <w:tc>
          <w:tcPr>
            <w:tcW w:w="1131" w:type="dxa"/>
            <w:vMerge/>
            <w:tcBorders>
              <w:top w:val="nil"/>
              <w:left w:val="nil"/>
              <w:bottom w:val="single" w:sz="6" w:space="0" w:color="004F83"/>
              <w:right w:val="nil"/>
            </w:tcBorders>
            <w:tcMar>
              <w:top w:w="0" w:type="dxa"/>
              <w:left w:w="100" w:type="dxa"/>
              <w:bottom w:w="0" w:type="dxa"/>
              <w:right w:w="100" w:type="dxa"/>
            </w:tcMar>
          </w:tcPr>
          <w:p w14:paraId="76BA3D42" w14:textId="77777777" w:rsidR="005F4FE4" w:rsidRDefault="005F4FE4" w:rsidP="005F4FE4">
            <w:pPr>
              <w:widowControl w:val="0"/>
              <w:pBdr>
                <w:top w:val="nil"/>
                <w:left w:val="nil"/>
                <w:bottom w:val="nil"/>
                <w:right w:val="nil"/>
                <w:between w:val="nil"/>
              </w:pBdr>
              <w:rPr>
                <w:rFonts w:eastAsia="Garamond" w:cs="Garamond"/>
                <w:color w:val="000000"/>
                <w:sz w:val="21"/>
                <w:szCs w:val="21"/>
              </w:rPr>
            </w:pPr>
          </w:p>
        </w:tc>
        <w:tc>
          <w:tcPr>
            <w:tcW w:w="3396" w:type="dxa"/>
            <w:tcBorders>
              <w:top w:val="nil"/>
              <w:left w:val="nil"/>
              <w:bottom w:val="single" w:sz="6" w:space="0" w:color="004F83"/>
              <w:right w:val="nil"/>
            </w:tcBorders>
            <w:tcMar>
              <w:top w:w="0" w:type="dxa"/>
              <w:left w:w="100" w:type="dxa"/>
              <w:bottom w:w="0" w:type="dxa"/>
              <w:right w:w="100" w:type="dxa"/>
            </w:tcMar>
          </w:tcPr>
          <w:p w14:paraId="61CD0576" w14:textId="0DCAAC2F"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Stored in the light at 16.8 °C, RH 43 – 68% (experiment)</w:t>
            </w:r>
          </w:p>
        </w:tc>
        <w:tc>
          <w:tcPr>
            <w:tcW w:w="1190" w:type="dxa"/>
            <w:tcBorders>
              <w:top w:val="nil"/>
              <w:left w:val="nil"/>
              <w:bottom w:val="single" w:sz="6" w:space="0" w:color="004F83"/>
              <w:right w:val="nil"/>
            </w:tcBorders>
            <w:tcMar>
              <w:top w:w="0" w:type="dxa"/>
              <w:left w:w="100" w:type="dxa"/>
              <w:bottom w:w="0" w:type="dxa"/>
              <w:right w:w="100" w:type="dxa"/>
            </w:tcMar>
          </w:tcPr>
          <w:p w14:paraId="11575CB5" w14:textId="77777777"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14 – 21</w:t>
            </w:r>
          </w:p>
        </w:tc>
        <w:tc>
          <w:tcPr>
            <w:tcW w:w="3308" w:type="dxa"/>
            <w:tcBorders>
              <w:top w:val="nil"/>
              <w:left w:val="nil"/>
              <w:bottom w:val="single" w:sz="6" w:space="0" w:color="004F83"/>
              <w:right w:val="nil"/>
            </w:tcBorders>
            <w:tcMar>
              <w:top w:w="0" w:type="dxa"/>
              <w:left w:w="100" w:type="dxa"/>
              <w:bottom w:w="0" w:type="dxa"/>
              <w:right w:w="100" w:type="dxa"/>
            </w:tcMar>
          </w:tcPr>
          <w:p w14:paraId="5F8C4140" w14:textId="5FED611C"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{"citationID":"5XZLFZhE","properties":{"formattedCitation":"(Bedson et al. 1927)","plainCitation":"(Bedson et al. 1927)","noteIndex":0},"citationItems":[{"id":"js4VmBrN/zWH3QICX","uris":["http://zotero.org/groups/5271262/items/X25DNRNB"],"itemData":{"id":3797,"type":"article-journal","container-title":"Journal of Comparative Pathology and Therapeutics","DOI":"10.1016/S0368-1742(27)80002-0","ISSN":"0368-1742","journalAbbreviation":"Journal of Comparative Pathology and Therapeutics","page":"5-36","title":"Further Observations on Foot-and-Mouth Disease","volume":"40","author":[{"family":"Bedson","given":"S.P."},{"family":"Maitland","given":"H.B."},{"family":"Burbury","given":"Y.M."}],"issued":{"date-parts":[["1927",1,1]]}}}],"schema":"https://github.com/citation-style-language/schema/raw/master/csl-citation.json"}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(Bedson et al. 1927)</w:t>
            </w:r>
            <w:r>
              <w:rPr>
                <w:rFonts w:eastAsia="Garamond" w:cs="Garamond"/>
                <w:color w:val="000000"/>
                <w:sz w:val="21"/>
                <w:szCs w:val="21"/>
              </w:rPr>
              <w:fldChar w:fldCharType="end"/>
            </w:r>
          </w:p>
        </w:tc>
      </w:tr>
      <w:tr w:rsidR="005F4FE4" w14:paraId="4CBC692D" w14:textId="77777777">
        <w:trPr>
          <w:trHeight w:val="645"/>
        </w:trPr>
        <w:tc>
          <w:tcPr>
            <w:tcW w:w="1131" w:type="dxa"/>
            <w:vMerge/>
            <w:tcBorders>
              <w:top w:val="nil"/>
              <w:left w:val="nil"/>
              <w:bottom w:val="single" w:sz="6" w:space="0" w:color="004F83"/>
              <w:right w:val="nil"/>
            </w:tcBorders>
            <w:tcMar>
              <w:top w:w="0" w:type="dxa"/>
              <w:left w:w="100" w:type="dxa"/>
              <w:bottom w:w="0" w:type="dxa"/>
              <w:right w:w="100" w:type="dxa"/>
            </w:tcMar>
          </w:tcPr>
          <w:p w14:paraId="5B12EC3F" w14:textId="77777777" w:rsidR="005F4FE4" w:rsidRDefault="005F4FE4" w:rsidP="005F4FE4">
            <w:pPr>
              <w:widowControl w:val="0"/>
              <w:pBdr>
                <w:top w:val="nil"/>
                <w:left w:val="nil"/>
                <w:bottom w:val="nil"/>
                <w:right w:val="nil"/>
                <w:between w:val="nil"/>
              </w:pBdr>
              <w:rPr>
                <w:rFonts w:eastAsia="Garamond" w:cs="Garamond"/>
                <w:color w:val="000000"/>
                <w:sz w:val="21"/>
                <w:szCs w:val="21"/>
              </w:rPr>
            </w:pPr>
          </w:p>
        </w:tc>
        <w:tc>
          <w:tcPr>
            <w:tcW w:w="3396" w:type="dxa"/>
            <w:tcBorders>
              <w:top w:val="nil"/>
              <w:left w:val="nil"/>
              <w:bottom w:val="single" w:sz="6" w:space="0" w:color="004F83"/>
              <w:right w:val="nil"/>
            </w:tcBorders>
            <w:tcMar>
              <w:top w:w="0" w:type="dxa"/>
              <w:left w:w="100" w:type="dxa"/>
              <w:bottom w:w="0" w:type="dxa"/>
              <w:right w:w="100" w:type="dxa"/>
            </w:tcMar>
          </w:tcPr>
          <w:p w14:paraId="7FFE0539" w14:textId="2942DD86"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Dry, stored in the dark at 16.8 °C, RH 43 – 68% (experiment)</w:t>
            </w:r>
          </w:p>
        </w:tc>
        <w:tc>
          <w:tcPr>
            <w:tcW w:w="1190" w:type="dxa"/>
            <w:tcBorders>
              <w:top w:val="nil"/>
              <w:left w:val="nil"/>
              <w:bottom w:val="single" w:sz="6" w:space="0" w:color="004F83"/>
              <w:right w:val="nil"/>
            </w:tcBorders>
            <w:tcMar>
              <w:top w:w="0" w:type="dxa"/>
              <w:left w:w="100" w:type="dxa"/>
              <w:bottom w:w="0" w:type="dxa"/>
              <w:right w:w="100" w:type="dxa"/>
            </w:tcMar>
          </w:tcPr>
          <w:p w14:paraId="4F1B61D4" w14:textId="77777777" w:rsidR="005F4FE4" w:rsidRPr="00597CD4" w:rsidRDefault="005F4FE4" w:rsidP="005F4FE4">
            <w:pPr>
              <w:keepNext/>
              <w:pBdr>
                <w:top w:val="nil"/>
                <w:left w:val="nil"/>
                <w:bottom w:val="nil"/>
                <w:right w:val="nil"/>
                <w:between w:val="nil"/>
              </w:pBdr>
              <w:spacing w:before="60" w:after="60"/>
              <w:rPr>
                <w:rFonts w:asciiTheme="minorHAnsi" w:eastAsia="Garamond" w:hAnsiTheme="minorHAnsi" w:cs="Garamond"/>
                <w:color w:val="000000"/>
                <w:sz w:val="21"/>
                <w:szCs w:val="21"/>
              </w:rPr>
            </w:pPr>
            <w:r w:rsidRPr="00597CD4">
              <w:rPr>
                <w:rFonts w:asciiTheme="minorHAnsi" w:eastAsia="Gungsuh" w:hAnsiTheme="minorHAnsi" w:cs="Gungsuh"/>
                <w:color w:val="000000"/>
                <w:sz w:val="21"/>
                <w:szCs w:val="21"/>
              </w:rPr>
              <w:t>≥ 105</w:t>
            </w:r>
          </w:p>
        </w:tc>
        <w:tc>
          <w:tcPr>
            <w:tcW w:w="3308" w:type="dxa"/>
            <w:tcBorders>
              <w:top w:val="nil"/>
              <w:left w:val="nil"/>
              <w:bottom w:val="single" w:sz="6" w:space="0" w:color="004F83"/>
              <w:right w:val="nil"/>
            </w:tcBorders>
            <w:tcMar>
              <w:top w:w="0" w:type="dxa"/>
              <w:left w:w="100" w:type="dxa"/>
              <w:bottom w:w="0" w:type="dxa"/>
              <w:right w:w="100" w:type="dxa"/>
            </w:tcMar>
          </w:tcPr>
          <w:p w14:paraId="6884E119" w14:textId="20819E6F"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{"citationID":"RzFTIGY1","properties":{"formattedCitation":"(Bedson et al. 1927)","plainCitation":"(Bedson et al. 1927)","noteIndex":0},"citationItems":[{"id":"js4VmBrN/zWH3QICX","uris":["http://zotero.org/groups/5271262/items/X25DNRNB"],"itemData":{"id":3797,"type":"article-journal","container-title":"Journal of Comparative Pathology and Therapeutics","DOI":"10.1016/S0368-1742(27)80002-0","ISSN":"0368-1742","journalAbbreviation":"Journal of Comparative Pathology and Therapeutics","page":"5-36","title":"Further Observations on Foot-and-Mouth Disease","volume":"40","author":[{"family":"Bedson","given":"S.P."},{"family":"Maitland","given":"H.B."},{"family":"Burbury","given":"Y.M."}],"issued":{"date-parts":[["1927",1,1]]}}}],"schema":"https://github.com/citation-style-language/schema/raw/master/csl-citation.json"}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(Bedson et al. 1927)</w:t>
            </w:r>
            <w:r>
              <w:rPr>
                <w:rFonts w:eastAsia="Garamond" w:cs="Garamond"/>
                <w:color w:val="000000"/>
                <w:sz w:val="21"/>
                <w:szCs w:val="21"/>
              </w:rPr>
              <w:fldChar w:fldCharType="end"/>
            </w:r>
          </w:p>
        </w:tc>
      </w:tr>
      <w:tr w:rsidR="005F4FE4" w14:paraId="37E1FB72" w14:textId="77777777">
        <w:trPr>
          <w:trHeight w:val="390"/>
        </w:trPr>
        <w:tc>
          <w:tcPr>
            <w:tcW w:w="1131" w:type="dxa"/>
            <w:vMerge/>
            <w:tcBorders>
              <w:top w:val="nil"/>
              <w:left w:val="nil"/>
              <w:bottom w:val="single" w:sz="6" w:space="0" w:color="004F83"/>
              <w:right w:val="nil"/>
            </w:tcBorders>
            <w:tcMar>
              <w:top w:w="0" w:type="dxa"/>
              <w:left w:w="100" w:type="dxa"/>
              <w:bottom w:w="0" w:type="dxa"/>
              <w:right w:w="100" w:type="dxa"/>
            </w:tcMar>
          </w:tcPr>
          <w:p w14:paraId="731BCF2B" w14:textId="77777777" w:rsidR="005F4FE4" w:rsidRDefault="005F4FE4" w:rsidP="005F4FE4">
            <w:pPr>
              <w:widowControl w:val="0"/>
              <w:pBdr>
                <w:top w:val="nil"/>
                <w:left w:val="nil"/>
                <w:bottom w:val="nil"/>
                <w:right w:val="nil"/>
                <w:between w:val="nil"/>
              </w:pBdr>
              <w:rPr>
                <w:rFonts w:eastAsia="Garamond" w:cs="Garamond"/>
                <w:color w:val="000000"/>
                <w:sz w:val="21"/>
                <w:szCs w:val="21"/>
              </w:rPr>
            </w:pPr>
          </w:p>
        </w:tc>
        <w:tc>
          <w:tcPr>
            <w:tcW w:w="3396" w:type="dxa"/>
            <w:tcBorders>
              <w:top w:val="nil"/>
              <w:left w:val="nil"/>
              <w:bottom w:val="single" w:sz="6" w:space="0" w:color="004F83"/>
              <w:right w:val="nil"/>
            </w:tcBorders>
            <w:tcMar>
              <w:top w:w="0" w:type="dxa"/>
              <w:left w:w="100" w:type="dxa"/>
              <w:bottom w:w="0" w:type="dxa"/>
              <w:right w:w="100" w:type="dxa"/>
            </w:tcMar>
          </w:tcPr>
          <w:p w14:paraId="0CE78D13" w14:textId="7E4D63E9"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Damp hay, 16.7 °C, RH ~100% (experiment)</w:t>
            </w:r>
          </w:p>
        </w:tc>
        <w:tc>
          <w:tcPr>
            <w:tcW w:w="1190" w:type="dxa"/>
            <w:tcBorders>
              <w:top w:val="nil"/>
              <w:left w:val="nil"/>
              <w:bottom w:val="single" w:sz="6" w:space="0" w:color="004F83"/>
              <w:right w:val="nil"/>
            </w:tcBorders>
            <w:tcMar>
              <w:top w:w="0" w:type="dxa"/>
              <w:left w:w="100" w:type="dxa"/>
              <w:bottom w:w="0" w:type="dxa"/>
              <w:right w:w="100" w:type="dxa"/>
            </w:tcMar>
          </w:tcPr>
          <w:p w14:paraId="2A1BCD52" w14:textId="77777777"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&lt; 5</w:t>
            </w:r>
          </w:p>
        </w:tc>
        <w:tc>
          <w:tcPr>
            <w:tcW w:w="3308" w:type="dxa"/>
            <w:tcBorders>
              <w:top w:val="nil"/>
              <w:left w:val="nil"/>
              <w:bottom w:val="single" w:sz="6" w:space="0" w:color="004F83"/>
              <w:right w:val="nil"/>
            </w:tcBorders>
            <w:tcMar>
              <w:top w:w="0" w:type="dxa"/>
              <w:left w:w="100" w:type="dxa"/>
              <w:bottom w:w="0" w:type="dxa"/>
              <w:right w:w="100" w:type="dxa"/>
            </w:tcMar>
          </w:tcPr>
          <w:p w14:paraId="07A09E35" w14:textId="0ED49F54"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{"citationID":"S8XbynLW","properties":{"formattedCitation":"(Bedson et al. 1927)","plainCitation":"(Bedson et al. 1927)","noteIndex":0},"citationItems":[{"id":"js4VmBrN/zWH3QICX","uris":["http://zotero.org/groups/5271262/items/X25DNRNB"],"itemData":{"id":3797,"type":"article-journal","container-title":"Journal of Comparative Pathology and Therapeutics","DOI":"10.1016/S0368-1742(27)80002-0","ISSN":"0368-1742","journalAbbreviation":"Journal of Comparative Pathology and Therapeutics","page":"5-36","title":"Further Observations on Foot-and-Mouth Disease","volume":"40","author":[{"family":"Bedson","given":"S.P."},{"family":"Maitland","given":"H.B."},{"family":"Burbury","given":"Y.M."}],"issued":{"date-parts":[["1927",1,1]]}}}],"schema":"https://github.com/citation-style-language/schema/raw/master/csl-citation.json"}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(Bedson et al. 1927)</w:t>
            </w:r>
            <w:r>
              <w:rPr>
                <w:rFonts w:eastAsia="Garamond" w:cs="Garamond"/>
                <w:color w:val="000000"/>
                <w:sz w:val="21"/>
                <w:szCs w:val="21"/>
              </w:rPr>
              <w:fldChar w:fldCharType="end"/>
            </w:r>
          </w:p>
        </w:tc>
      </w:tr>
    </w:tbl>
    <w:p w14:paraId="737813FC" w14:textId="77777777" w:rsidR="003E15C2" w:rsidRDefault="003E15C2">
      <w:pPr>
        <w:tabs>
          <w:tab w:val="right" w:pos="9000"/>
        </w:tabs>
      </w:pPr>
    </w:p>
    <w:p w14:paraId="60A3A700" w14:textId="23AE3A8A" w:rsidR="003E15C2" w:rsidRDefault="003E15C2" w:rsidP="00D419FE">
      <w:pPr>
        <w:pStyle w:val="Caption"/>
      </w:pPr>
      <w:bookmarkStart w:id="82" w:name="_Ref219280976"/>
      <w:bookmarkStart w:id="83" w:name="_Toc219289933"/>
      <w:bookmarkStart w:id="84" w:name="_Toc226794706"/>
      <w:r>
        <w:lastRenderedPageBreak/>
        <w:t xml:space="preserve">Table </w:t>
      </w:r>
      <w:fldSimple w:instr=" SEQ Table \* ARABIC ">
        <w:r w:rsidR="00651A0D">
          <w:rPr>
            <w:noProof/>
          </w:rPr>
          <w:t>3</w:t>
        </w:r>
      </w:fldSimple>
      <w:bookmarkEnd w:id="82"/>
      <w:r>
        <w:tab/>
      </w:r>
      <w:r w:rsidRPr="00AE05F4">
        <w:t>Survivability of FMDV on fomites</w:t>
      </w:r>
      <w:r>
        <w:t>.</w:t>
      </w:r>
      <w:bookmarkEnd w:id="83"/>
      <w:bookmarkEnd w:id="84"/>
    </w:p>
    <w:tbl>
      <w:tblPr>
        <w:tblStyle w:val="4"/>
        <w:tblW w:w="9025" w:type="dxa"/>
        <w:tblBorders>
          <w:top w:val="nil"/>
          <w:left w:val="nil"/>
          <w:bottom w:val="nil"/>
          <w:right w:val="nil"/>
          <w:insideH w:val="nil"/>
          <w:insideV w:val="nil"/>
        </w:tblBorders>
        <w:tblLayout w:type="fixed"/>
        <w:tblLook w:val="0600" w:firstRow="0" w:lastRow="0" w:firstColumn="0" w:lastColumn="0" w:noHBand="1" w:noVBand="1"/>
      </w:tblPr>
      <w:tblGrid>
        <w:gridCol w:w="1134"/>
        <w:gridCol w:w="3813"/>
        <w:gridCol w:w="1190"/>
        <w:gridCol w:w="2888"/>
      </w:tblGrid>
      <w:tr w:rsidR="003E15C2" w14:paraId="39270AF3" w14:textId="77777777" w:rsidTr="001C31C0">
        <w:trPr>
          <w:trHeight w:val="375"/>
        </w:trPr>
        <w:tc>
          <w:tcPr>
            <w:tcW w:w="1134" w:type="dxa"/>
            <w:tcBorders>
              <w:top w:val="single" w:sz="6" w:space="0" w:color="004F83"/>
              <w:left w:val="nil"/>
              <w:bottom w:val="single" w:sz="6" w:space="0" w:color="004F83"/>
              <w:right w:val="nil"/>
            </w:tcBorders>
            <w:tcMar>
              <w:top w:w="0" w:type="dxa"/>
              <w:left w:w="100" w:type="dxa"/>
              <w:bottom w:w="0" w:type="dxa"/>
              <w:right w:w="100" w:type="dxa"/>
            </w:tcMar>
          </w:tcPr>
          <w:p w14:paraId="014A9FF8" w14:textId="77777777" w:rsidR="003E15C2" w:rsidRDefault="003E15C2">
            <w:pPr>
              <w:keepNext/>
              <w:pBdr>
                <w:top w:val="nil"/>
                <w:left w:val="nil"/>
                <w:bottom w:val="nil"/>
                <w:right w:val="nil"/>
                <w:between w:val="nil"/>
              </w:pBdr>
              <w:spacing w:before="60" w:after="60"/>
              <w:rPr>
                <w:rFonts w:eastAsia="Garamond" w:cs="Garamond"/>
                <w:b/>
                <w:bCs/>
                <w:color w:val="004F83"/>
                <w:sz w:val="21"/>
                <w:szCs w:val="21"/>
              </w:rPr>
            </w:pPr>
            <w:bookmarkStart w:id="85" w:name="_heading=h.9lskvd0oqll" w:colFirst="0" w:colLast="0"/>
            <w:bookmarkEnd w:id="85"/>
            <w:r>
              <w:rPr>
                <w:rFonts w:eastAsia="Garamond" w:cs="Garamond"/>
                <w:b/>
                <w:bCs/>
                <w:color w:val="004F83"/>
                <w:sz w:val="21"/>
                <w:szCs w:val="21"/>
              </w:rPr>
              <w:t>Fomite</w:t>
            </w:r>
          </w:p>
        </w:tc>
        <w:tc>
          <w:tcPr>
            <w:tcW w:w="3813" w:type="dxa"/>
            <w:tcBorders>
              <w:top w:val="single" w:sz="6" w:space="0" w:color="004F83"/>
              <w:left w:val="nil"/>
              <w:bottom w:val="single" w:sz="6" w:space="0" w:color="004F83"/>
              <w:right w:val="nil"/>
            </w:tcBorders>
            <w:tcMar>
              <w:top w:w="0" w:type="dxa"/>
              <w:left w:w="100" w:type="dxa"/>
              <w:bottom w:w="0" w:type="dxa"/>
              <w:right w:w="100" w:type="dxa"/>
            </w:tcMar>
          </w:tcPr>
          <w:p w14:paraId="26E78EF7" w14:textId="77777777" w:rsidR="003E15C2" w:rsidRDefault="003E15C2">
            <w:pPr>
              <w:keepNext/>
              <w:pBdr>
                <w:top w:val="nil"/>
                <w:left w:val="nil"/>
                <w:bottom w:val="nil"/>
                <w:right w:val="nil"/>
                <w:between w:val="nil"/>
              </w:pBdr>
              <w:spacing w:before="60" w:after="60"/>
              <w:rPr>
                <w:rFonts w:eastAsia="Garamond" w:cs="Garamond"/>
                <w:b/>
                <w:bCs/>
                <w:color w:val="004F83"/>
                <w:sz w:val="21"/>
                <w:szCs w:val="21"/>
              </w:rPr>
            </w:pPr>
            <w:r>
              <w:rPr>
                <w:rFonts w:eastAsia="Garamond" w:cs="Garamond"/>
                <w:b/>
                <w:bCs/>
                <w:color w:val="004F83"/>
                <w:sz w:val="21"/>
                <w:szCs w:val="21"/>
              </w:rPr>
              <w:t>Conditions</w:t>
            </w:r>
          </w:p>
        </w:tc>
        <w:tc>
          <w:tcPr>
            <w:tcW w:w="1190" w:type="dxa"/>
            <w:tcBorders>
              <w:top w:val="single" w:sz="6" w:space="0" w:color="004F83"/>
              <w:left w:val="nil"/>
              <w:bottom w:val="single" w:sz="6" w:space="0" w:color="004F83"/>
              <w:right w:val="nil"/>
            </w:tcBorders>
            <w:tcMar>
              <w:top w:w="0" w:type="dxa"/>
              <w:left w:w="100" w:type="dxa"/>
              <w:bottom w:w="0" w:type="dxa"/>
              <w:right w:w="100" w:type="dxa"/>
            </w:tcMar>
          </w:tcPr>
          <w:p w14:paraId="1C64511B" w14:textId="77777777" w:rsidR="003E15C2" w:rsidRDefault="003E15C2">
            <w:pPr>
              <w:keepNext/>
              <w:pBdr>
                <w:top w:val="nil"/>
                <w:left w:val="nil"/>
                <w:bottom w:val="nil"/>
                <w:right w:val="nil"/>
                <w:between w:val="nil"/>
              </w:pBdr>
              <w:spacing w:before="60" w:after="60"/>
              <w:rPr>
                <w:rFonts w:eastAsia="Garamond" w:cs="Garamond"/>
                <w:b/>
                <w:bCs/>
                <w:color w:val="004F83"/>
                <w:sz w:val="21"/>
                <w:szCs w:val="21"/>
              </w:rPr>
            </w:pPr>
            <w:r>
              <w:rPr>
                <w:rFonts w:eastAsia="Garamond" w:cs="Garamond"/>
                <w:b/>
                <w:bCs/>
                <w:color w:val="004F83"/>
                <w:sz w:val="21"/>
                <w:szCs w:val="21"/>
              </w:rPr>
              <w:t>Viability (days)</w:t>
            </w:r>
          </w:p>
        </w:tc>
        <w:tc>
          <w:tcPr>
            <w:tcW w:w="2888" w:type="dxa"/>
            <w:tcBorders>
              <w:top w:val="single" w:sz="6" w:space="0" w:color="004F83"/>
              <w:left w:val="nil"/>
              <w:bottom w:val="single" w:sz="6" w:space="0" w:color="004F83"/>
              <w:right w:val="nil"/>
            </w:tcBorders>
            <w:tcMar>
              <w:top w:w="0" w:type="dxa"/>
              <w:left w:w="100" w:type="dxa"/>
              <w:bottom w:w="0" w:type="dxa"/>
              <w:right w:w="100" w:type="dxa"/>
            </w:tcMar>
          </w:tcPr>
          <w:p w14:paraId="4F8840B4" w14:textId="77777777" w:rsidR="003E15C2" w:rsidRDefault="003E15C2">
            <w:pPr>
              <w:keepNext/>
              <w:pBdr>
                <w:top w:val="nil"/>
                <w:left w:val="nil"/>
                <w:bottom w:val="nil"/>
                <w:right w:val="nil"/>
                <w:between w:val="nil"/>
              </w:pBdr>
              <w:spacing w:before="60" w:after="60"/>
              <w:rPr>
                <w:rFonts w:eastAsia="Garamond" w:cs="Garamond"/>
                <w:b/>
                <w:bCs/>
                <w:color w:val="004F83"/>
                <w:sz w:val="21"/>
                <w:szCs w:val="21"/>
              </w:rPr>
            </w:pPr>
            <w:r>
              <w:rPr>
                <w:rFonts w:eastAsia="Garamond" w:cs="Garamond"/>
                <w:b/>
                <w:bCs/>
                <w:color w:val="004F83"/>
                <w:sz w:val="21"/>
                <w:szCs w:val="21"/>
              </w:rPr>
              <w:t>References</w:t>
            </w:r>
          </w:p>
        </w:tc>
      </w:tr>
      <w:tr w:rsidR="003E15C2" w14:paraId="48EEA126" w14:textId="77777777" w:rsidTr="001C31C0">
        <w:trPr>
          <w:trHeight w:val="615"/>
        </w:trPr>
        <w:tc>
          <w:tcPr>
            <w:tcW w:w="1134" w:type="dxa"/>
            <w:vMerge w:val="restart"/>
            <w:tcBorders>
              <w:top w:val="nil"/>
              <w:left w:val="nil"/>
              <w:bottom w:val="single" w:sz="6" w:space="0" w:color="004F83"/>
              <w:right w:val="nil"/>
            </w:tcBorders>
            <w:tcMar>
              <w:top w:w="0" w:type="dxa"/>
              <w:left w:w="100" w:type="dxa"/>
              <w:bottom w:w="0" w:type="dxa"/>
              <w:right w:w="100" w:type="dxa"/>
            </w:tcMar>
          </w:tcPr>
          <w:p w14:paraId="29DBEE6F"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Boots</w:t>
            </w:r>
          </w:p>
        </w:tc>
        <w:tc>
          <w:tcPr>
            <w:tcW w:w="3813" w:type="dxa"/>
            <w:tcBorders>
              <w:top w:val="nil"/>
              <w:left w:val="nil"/>
              <w:bottom w:val="single" w:sz="6" w:space="0" w:color="004F83"/>
              <w:right w:val="nil"/>
            </w:tcBorders>
            <w:tcMar>
              <w:top w:w="0" w:type="dxa"/>
              <w:left w:w="100" w:type="dxa"/>
              <w:bottom w:w="0" w:type="dxa"/>
              <w:right w:w="100" w:type="dxa"/>
            </w:tcMar>
          </w:tcPr>
          <w:p w14:paraId="7556F036" w14:textId="79FECAD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Leather: contaminated with tissue fluids or blood, kept indoors at room temperature</w:t>
            </w:r>
          </w:p>
        </w:tc>
        <w:tc>
          <w:tcPr>
            <w:tcW w:w="1190" w:type="dxa"/>
            <w:tcBorders>
              <w:top w:val="nil"/>
              <w:left w:val="nil"/>
              <w:bottom w:val="single" w:sz="6" w:space="0" w:color="004F83"/>
              <w:right w:val="nil"/>
            </w:tcBorders>
            <w:tcMar>
              <w:top w:w="0" w:type="dxa"/>
              <w:left w:w="100" w:type="dxa"/>
              <w:bottom w:w="0" w:type="dxa"/>
              <w:right w:w="100" w:type="dxa"/>
            </w:tcMar>
          </w:tcPr>
          <w:p w14:paraId="234A4A4B"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77</w:t>
            </w:r>
          </w:p>
        </w:tc>
        <w:tc>
          <w:tcPr>
            <w:tcW w:w="2888" w:type="dxa"/>
            <w:tcBorders>
              <w:top w:val="nil"/>
              <w:left w:val="nil"/>
              <w:bottom w:val="single" w:sz="6" w:space="0" w:color="004F83"/>
              <w:right w:val="nil"/>
            </w:tcBorders>
            <w:tcMar>
              <w:top w:w="0" w:type="dxa"/>
              <w:left w:w="100" w:type="dxa"/>
              <w:bottom w:w="0" w:type="dxa"/>
              <w:right w:w="100" w:type="dxa"/>
            </w:tcMar>
          </w:tcPr>
          <w:p w14:paraId="7410F0B1" w14:textId="594EDCD5" w:rsidR="003E15C2" w:rsidRDefault="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szCs w:val="22"/>
              </w:rPr>
              <w:fldChar w:fldCharType="begin"/>
            </w:r>
            <w:r w:rsidR="00596B52">
              <w:rPr>
                <w:rFonts w:eastAsia="Garamond" w:cs="Garamond"/>
                <w:szCs w:val="22"/>
              </w:rPr>
              <w:instrText xml:space="preserve"> ADDIN ZOTERO_ITEM CSL_CITATION {"citationID":"PJWu8hlT","properties":{"formattedCitation":"(Animal Health Australia 2022)","plainCitation":"(Animal Health Australia 2022)","noteIndex":0},"citationItems":[{"id":"js4VmBrN/n1bajIIw","uris":["http://zotero.org/groups/5271262/items/TKB86BZ2"],"itemData":{"id":3242,"type":"document","publisher":"Animal Health Australia","title":"AUSVETPLAN response strategy: foot-and-mouth disease","URL":"https://animalhealthaustralia.com.au//wp-content/uploads/dlm_uploads/2022/12/AVP_FMD_v5.0_2022.pdf","author":[{"family":"Animal Health Australia","given":""}],"accessed":{"date-parts":[["2023",4,5]]},"issued":{"date-parts":[["2022"]]}}}],"schema":"https://github.com/citation-style-language/schema/raw/master/csl-citation.json"} </w:instrText>
            </w:r>
            <w:r>
              <w:rPr>
                <w:rFonts w:eastAsia="Garamond" w:cs="Garamond"/>
                <w:szCs w:val="22"/>
              </w:rPr>
              <w:fldChar w:fldCharType="separate"/>
            </w:r>
            <w:r>
              <w:rPr>
                <w:rFonts w:eastAsia="Garamond" w:cs="Garamond"/>
                <w:noProof/>
                <w:szCs w:val="22"/>
              </w:rPr>
              <w:t>(Animal Health Australia 2022)</w:t>
            </w:r>
            <w:r>
              <w:rPr>
                <w:rFonts w:eastAsia="Garamond" w:cs="Garamond"/>
                <w:szCs w:val="22"/>
              </w:rPr>
              <w:fldChar w:fldCharType="end"/>
            </w:r>
          </w:p>
        </w:tc>
      </w:tr>
      <w:tr w:rsidR="003E15C2" w14:paraId="63372A18" w14:textId="77777777" w:rsidTr="001C31C0">
        <w:trPr>
          <w:trHeight w:val="615"/>
        </w:trPr>
        <w:tc>
          <w:tcPr>
            <w:tcW w:w="1134" w:type="dxa"/>
            <w:vMerge/>
            <w:tcBorders>
              <w:top w:val="nil"/>
              <w:left w:val="nil"/>
              <w:bottom w:val="single" w:sz="6" w:space="0" w:color="004F83"/>
              <w:right w:val="nil"/>
            </w:tcBorders>
            <w:tcMar>
              <w:top w:w="0" w:type="dxa"/>
              <w:left w:w="100" w:type="dxa"/>
              <w:bottom w:w="0" w:type="dxa"/>
              <w:right w:w="100" w:type="dxa"/>
            </w:tcMar>
          </w:tcPr>
          <w:p w14:paraId="05A90966" w14:textId="77777777" w:rsidR="003E15C2" w:rsidRDefault="003E15C2">
            <w:pPr>
              <w:widowControl w:val="0"/>
              <w:pBdr>
                <w:top w:val="nil"/>
                <w:left w:val="nil"/>
                <w:bottom w:val="nil"/>
                <w:right w:val="nil"/>
                <w:between w:val="nil"/>
              </w:pBdr>
              <w:rPr>
                <w:rFonts w:eastAsia="Garamond" w:cs="Garamond"/>
                <w:color w:val="000000"/>
                <w:sz w:val="21"/>
                <w:szCs w:val="21"/>
              </w:rPr>
            </w:pPr>
          </w:p>
        </w:tc>
        <w:tc>
          <w:tcPr>
            <w:tcW w:w="3813" w:type="dxa"/>
            <w:tcBorders>
              <w:top w:val="nil"/>
              <w:left w:val="nil"/>
              <w:bottom w:val="single" w:sz="6" w:space="0" w:color="004F83"/>
              <w:right w:val="nil"/>
            </w:tcBorders>
            <w:tcMar>
              <w:top w:w="0" w:type="dxa"/>
              <w:left w:w="100" w:type="dxa"/>
              <w:bottom w:w="0" w:type="dxa"/>
              <w:right w:w="100" w:type="dxa"/>
            </w:tcMar>
          </w:tcPr>
          <w:p w14:paraId="40DA3252" w14:textId="3EB89B35"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Rubber: contaminated with tissue fluids or blood, kept indoors at room temperature</w:t>
            </w:r>
          </w:p>
        </w:tc>
        <w:tc>
          <w:tcPr>
            <w:tcW w:w="1190" w:type="dxa"/>
            <w:tcBorders>
              <w:top w:val="nil"/>
              <w:left w:val="nil"/>
              <w:bottom w:val="single" w:sz="6" w:space="0" w:color="004F83"/>
              <w:right w:val="nil"/>
            </w:tcBorders>
            <w:tcMar>
              <w:top w:w="0" w:type="dxa"/>
              <w:left w:w="100" w:type="dxa"/>
              <w:bottom w:w="0" w:type="dxa"/>
              <w:right w:w="100" w:type="dxa"/>
            </w:tcMar>
          </w:tcPr>
          <w:p w14:paraId="0DC94A56"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77</w:t>
            </w:r>
          </w:p>
        </w:tc>
        <w:tc>
          <w:tcPr>
            <w:tcW w:w="2888" w:type="dxa"/>
            <w:tcBorders>
              <w:top w:val="nil"/>
              <w:left w:val="nil"/>
              <w:bottom w:val="single" w:sz="6" w:space="0" w:color="004F83"/>
              <w:right w:val="nil"/>
            </w:tcBorders>
            <w:tcMar>
              <w:top w:w="0" w:type="dxa"/>
              <w:left w:w="100" w:type="dxa"/>
              <w:bottom w:w="0" w:type="dxa"/>
              <w:right w:w="100" w:type="dxa"/>
            </w:tcMar>
          </w:tcPr>
          <w:p w14:paraId="7E3570D9" w14:textId="30E45AA8" w:rsidR="003E15C2" w:rsidRDefault="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szCs w:val="22"/>
              </w:rPr>
              <w:fldChar w:fldCharType="begin"/>
            </w:r>
            <w:r w:rsidR="00596B52">
              <w:rPr>
                <w:rFonts w:eastAsia="Garamond" w:cs="Garamond"/>
                <w:szCs w:val="22"/>
              </w:rPr>
              <w:instrText xml:space="preserve"> ADDIN ZOTERO_ITEM CSL_CITATION {"citationID":"aaMy6IQB","properties":{"formattedCitation":"(Animal Health Australia 2022)","plainCitation":"(Animal Health Australia 2022)","noteIndex":0},"citationItems":[{"id":"js4VmBrN/n1bajIIw","uris":["http://zotero.org/groups/5271262/items/TKB86BZ2"],"itemData":{"id":3242,"type":"document","publisher":"Animal Health Australia","title":"AUSVETPLAN response strategy: foot-and-mouth disease","URL":"https://animalhealthaustralia.com.au//wp-content/uploads/dlm_uploads/2022/12/AVP_FMD_v5.0_2022.pdf","author":[{"family":"Animal Health Australia","given":""}],"accessed":{"date-parts":[["2023",4,5]]},"issued":{"date-parts":[["2022"]]}}}],"schema":"https://github.com/citation-style-language/schema/raw/master/csl-citation.json"} </w:instrText>
            </w:r>
            <w:r>
              <w:rPr>
                <w:rFonts w:eastAsia="Garamond" w:cs="Garamond"/>
                <w:szCs w:val="22"/>
              </w:rPr>
              <w:fldChar w:fldCharType="separate"/>
            </w:r>
            <w:r>
              <w:rPr>
                <w:rFonts w:eastAsia="Garamond" w:cs="Garamond"/>
                <w:noProof/>
                <w:szCs w:val="22"/>
              </w:rPr>
              <w:t>(Animal Health Australia 2022)</w:t>
            </w:r>
            <w:r>
              <w:rPr>
                <w:rFonts w:eastAsia="Garamond" w:cs="Garamond"/>
                <w:szCs w:val="22"/>
              </w:rPr>
              <w:fldChar w:fldCharType="end"/>
            </w:r>
          </w:p>
        </w:tc>
      </w:tr>
      <w:tr w:rsidR="003E15C2" w14:paraId="53D7595D" w14:textId="77777777" w:rsidTr="001C31C0">
        <w:trPr>
          <w:trHeight w:val="375"/>
        </w:trPr>
        <w:tc>
          <w:tcPr>
            <w:tcW w:w="1134" w:type="dxa"/>
            <w:tcBorders>
              <w:top w:val="nil"/>
              <w:left w:val="nil"/>
              <w:bottom w:val="single" w:sz="6" w:space="0" w:color="004F83"/>
              <w:right w:val="nil"/>
            </w:tcBorders>
            <w:tcMar>
              <w:top w:w="0" w:type="dxa"/>
              <w:left w:w="100" w:type="dxa"/>
              <w:bottom w:w="0" w:type="dxa"/>
              <w:right w:w="100" w:type="dxa"/>
            </w:tcMar>
          </w:tcPr>
          <w:p w14:paraId="5656BEE6"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Sacks</w:t>
            </w:r>
          </w:p>
        </w:tc>
        <w:tc>
          <w:tcPr>
            <w:tcW w:w="3813" w:type="dxa"/>
            <w:tcBorders>
              <w:top w:val="nil"/>
              <w:left w:val="nil"/>
              <w:bottom w:val="single" w:sz="6" w:space="0" w:color="004F83"/>
              <w:right w:val="nil"/>
            </w:tcBorders>
            <w:tcMar>
              <w:top w:w="0" w:type="dxa"/>
              <w:left w:w="100" w:type="dxa"/>
              <w:bottom w:w="0" w:type="dxa"/>
              <w:right w:w="100" w:type="dxa"/>
            </w:tcMar>
          </w:tcPr>
          <w:p w14:paraId="58E651C6"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Unknown environmental conditions</w:t>
            </w:r>
          </w:p>
        </w:tc>
        <w:tc>
          <w:tcPr>
            <w:tcW w:w="1190" w:type="dxa"/>
            <w:tcBorders>
              <w:top w:val="nil"/>
              <w:left w:val="nil"/>
              <w:bottom w:val="single" w:sz="6" w:space="0" w:color="004F83"/>
              <w:right w:val="nil"/>
            </w:tcBorders>
            <w:tcMar>
              <w:top w:w="0" w:type="dxa"/>
              <w:left w:w="100" w:type="dxa"/>
              <w:bottom w:w="0" w:type="dxa"/>
              <w:right w:w="100" w:type="dxa"/>
            </w:tcMar>
          </w:tcPr>
          <w:p w14:paraId="16DBF911" w14:textId="77777777"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140</w:t>
            </w:r>
          </w:p>
        </w:tc>
        <w:tc>
          <w:tcPr>
            <w:tcW w:w="2888" w:type="dxa"/>
            <w:tcBorders>
              <w:top w:val="nil"/>
              <w:left w:val="nil"/>
              <w:bottom w:val="single" w:sz="6" w:space="0" w:color="004F83"/>
              <w:right w:val="nil"/>
            </w:tcBorders>
            <w:tcMar>
              <w:top w:w="0" w:type="dxa"/>
              <w:left w:w="100" w:type="dxa"/>
              <w:bottom w:w="0" w:type="dxa"/>
              <w:right w:w="100" w:type="dxa"/>
            </w:tcMar>
          </w:tcPr>
          <w:p w14:paraId="0FEEB661" w14:textId="483F69FB" w:rsidR="003E15C2" w:rsidRDefault="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{"citationID":"dH34XeGr","properties":{"formattedCitation":"(Morgan 1993)","plainCitation":"(Morgan 1993)","noteIndex":0},"citationItems":[{"id":"js4VmBrN/bPwIOdxE","uris":["http://zotero.org/groups/5271262/items/QPILAPQJ"],"itemData":{"id":3800,"type":"report","event-place":"Victoria","publisher":"Victorian Institute of Animal Science","publisher-place":"Victoria","title":"Spread of foot-and-mouth disease, review prepared for the Australian Meat Research Corporation","author":[{"family":"Morgan","given":"Ian R"}],"issued":{"date-parts":[["1993"]]}}}],"schema":"https://github.com/citation-style-language/schema/raw/master/csl-citation.json"}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(Morgan 1993)</w:t>
            </w:r>
            <w:r>
              <w:rPr>
                <w:rFonts w:eastAsia="Garamond" w:cs="Garamond"/>
                <w:color w:val="000000"/>
                <w:sz w:val="21"/>
                <w:szCs w:val="21"/>
              </w:rPr>
              <w:fldChar w:fldCharType="end"/>
            </w:r>
          </w:p>
        </w:tc>
      </w:tr>
      <w:tr w:rsidR="003E15C2" w14:paraId="2A8AA01C" w14:textId="77777777" w:rsidTr="001C31C0">
        <w:trPr>
          <w:trHeight w:val="375"/>
        </w:trPr>
        <w:tc>
          <w:tcPr>
            <w:tcW w:w="1134" w:type="dxa"/>
            <w:vMerge w:val="restart"/>
            <w:tcBorders>
              <w:top w:val="nil"/>
              <w:left w:val="nil"/>
              <w:bottom w:val="single" w:sz="6" w:space="0" w:color="004F83"/>
              <w:right w:val="nil"/>
            </w:tcBorders>
            <w:tcMar>
              <w:top w:w="0" w:type="dxa"/>
              <w:left w:w="100" w:type="dxa"/>
              <w:bottom w:w="0" w:type="dxa"/>
              <w:right w:w="100" w:type="dxa"/>
            </w:tcMar>
          </w:tcPr>
          <w:p w14:paraId="078C327C" w14:textId="4B2718E5"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Cardboard, wood and metal</w:t>
            </w:r>
          </w:p>
        </w:tc>
        <w:tc>
          <w:tcPr>
            <w:tcW w:w="3813" w:type="dxa"/>
            <w:tcBorders>
              <w:top w:val="nil"/>
              <w:left w:val="nil"/>
              <w:bottom w:val="single" w:sz="6" w:space="0" w:color="004F83"/>
              <w:right w:val="nil"/>
            </w:tcBorders>
            <w:tcMar>
              <w:top w:w="0" w:type="dxa"/>
              <w:left w:w="100" w:type="dxa"/>
              <w:bottom w:w="0" w:type="dxa"/>
              <w:right w:w="100" w:type="dxa"/>
            </w:tcMar>
          </w:tcPr>
          <w:p w14:paraId="28796F87" w14:textId="35F2DE76" w:rsidR="003E15C2" w:rsidRDefault="003E15C2">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Contaminated with serum, stored at 4°C and RH 85%</w:t>
            </w:r>
          </w:p>
        </w:tc>
        <w:tc>
          <w:tcPr>
            <w:tcW w:w="1190" w:type="dxa"/>
            <w:tcBorders>
              <w:top w:val="nil"/>
              <w:left w:val="nil"/>
              <w:bottom w:val="single" w:sz="6" w:space="0" w:color="004F83"/>
              <w:right w:val="nil"/>
            </w:tcBorders>
            <w:tcMar>
              <w:top w:w="0" w:type="dxa"/>
              <w:left w:w="100" w:type="dxa"/>
              <w:bottom w:w="0" w:type="dxa"/>
              <w:right w:w="100" w:type="dxa"/>
            </w:tcMar>
          </w:tcPr>
          <w:p w14:paraId="55B85586" w14:textId="77777777" w:rsidR="003E15C2" w:rsidRPr="001F3F70" w:rsidRDefault="00DB6D56">
            <w:pPr>
              <w:keepNext/>
              <w:pBdr>
                <w:top w:val="nil"/>
                <w:left w:val="nil"/>
                <w:bottom w:val="nil"/>
                <w:right w:val="nil"/>
                <w:between w:val="nil"/>
              </w:pBdr>
              <w:spacing w:before="60" w:after="60"/>
              <w:rPr>
                <w:rFonts w:asciiTheme="minorHAnsi" w:eastAsia="Garamond" w:hAnsiTheme="minorHAnsi" w:cs="Garamond"/>
                <w:color w:val="000000"/>
                <w:sz w:val="21"/>
                <w:szCs w:val="21"/>
              </w:rPr>
            </w:pPr>
            <w:sdt>
              <w:sdtPr>
                <w:rPr>
                  <w:rFonts w:asciiTheme="minorHAnsi" w:hAnsiTheme="minorHAnsi"/>
                </w:rPr>
                <w:tag w:val="goog_rdk_2"/>
                <w:id w:val="-960217284"/>
              </w:sdtPr>
              <w:sdtEndPr/>
              <w:sdtContent>
                <w:r w:rsidR="003E15C2" w:rsidRPr="001F3F70">
                  <w:rPr>
                    <w:rFonts w:asciiTheme="minorHAnsi" w:eastAsia="Gungsuh" w:hAnsiTheme="minorHAnsi" w:cs="Gungsuh"/>
                    <w:color w:val="000000"/>
                    <w:sz w:val="21"/>
                    <w:szCs w:val="21"/>
                  </w:rPr>
                  <w:t>≤ 35</w:t>
                </w:r>
              </w:sdtContent>
            </w:sdt>
          </w:p>
        </w:tc>
        <w:tc>
          <w:tcPr>
            <w:tcW w:w="2888" w:type="dxa"/>
            <w:tcBorders>
              <w:top w:val="nil"/>
              <w:left w:val="nil"/>
              <w:bottom w:val="single" w:sz="6" w:space="0" w:color="004F83"/>
              <w:right w:val="nil"/>
            </w:tcBorders>
            <w:tcMar>
              <w:top w:w="0" w:type="dxa"/>
              <w:left w:w="100" w:type="dxa"/>
              <w:bottom w:w="0" w:type="dxa"/>
              <w:right w:w="100" w:type="dxa"/>
            </w:tcMar>
          </w:tcPr>
          <w:p w14:paraId="1BB5DA76" w14:textId="41449C10" w:rsidR="003E15C2" w:rsidRDefault="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{"citationID":"mHN2NDiV","properties":{"formattedCitation":"(Gailiunas et al. 1969)","plainCitation":"(Gailiunas et al. 1969)","noteIndex":0},"citationItems":[{"id":"js4VmBrN/Jpkw4Ycx","uris":["http://zotero.org/groups/5271262/items/MWCD8BAD"],"itemData":{"id":3802,"type":"article-journal","container-title":"Proceedings, Annual Meeting of the United States Animal Health Association","ISSN":"0082-8750","journalAbbreviation":"Proc Annu Meet U S Anim Health Assoc","language":"eng","note":"PMID: 4322826","page":"425-436","source":"PubMed","title":"Survival of foot-and-mouth disease virus on meat packaging materials","volume":"73","author":[{"family":"Gailiunas","given":"P."},{"family":"Cottral","given":"G. E."},{"family":"Scott","given":"F. W."}],"issued":{"date-parts":[["1969"]]}}}],"schema":"https://github.com/citation-style-language/schema/raw/master/csl-citation.json"}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(Gailiunas et al. 1969)</w:t>
            </w:r>
            <w:r>
              <w:rPr>
                <w:rFonts w:eastAsia="Garamond" w:cs="Garamond"/>
                <w:color w:val="000000"/>
                <w:sz w:val="21"/>
                <w:szCs w:val="21"/>
              </w:rPr>
              <w:fldChar w:fldCharType="end"/>
            </w:r>
          </w:p>
        </w:tc>
      </w:tr>
      <w:tr w:rsidR="005F4FE4" w14:paraId="171EF2CA" w14:textId="77777777" w:rsidTr="001C31C0">
        <w:trPr>
          <w:trHeight w:val="375"/>
        </w:trPr>
        <w:tc>
          <w:tcPr>
            <w:tcW w:w="1134" w:type="dxa"/>
            <w:vMerge/>
            <w:tcBorders>
              <w:top w:val="nil"/>
              <w:left w:val="nil"/>
              <w:bottom w:val="single" w:sz="6" w:space="0" w:color="004F83"/>
              <w:right w:val="nil"/>
            </w:tcBorders>
            <w:tcMar>
              <w:top w:w="0" w:type="dxa"/>
              <w:left w:w="100" w:type="dxa"/>
              <w:bottom w:w="0" w:type="dxa"/>
              <w:right w:w="100" w:type="dxa"/>
            </w:tcMar>
          </w:tcPr>
          <w:p w14:paraId="232D1157" w14:textId="77777777" w:rsidR="005F4FE4" w:rsidRDefault="005F4FE4" w:rsidP="005F4FE4">
            <w:pPr>
              <w:widowControl w:val="0"/>
              <w:pBdr>
                <w:top w:val="nil"/>
                <w:left w:val="nil"/>
                <w:bottom w:val="nil"/>
                <w:right w:val="nil"/>
                <w:between w:val="nil"/>
              </w:pBdr>
              <w:rPr>
                <w:rFonts w:eastAsia="Garamond" w:cs="Garamond"/>
                <w:color w:val="000000"/>
                <w:sz w:val="21"/>
                <w:szCs w:val="21"/>
              </w:rPr>
            </w:pPr>
          </w:p>
        </w:tc>
        <w:tc>
          <w:tcPr>
            <w:tcW w:w="3813" w:type="dxa"/>
            <w:tcBorders>
              <w:top w:val="nil"/>
              <w:left w:val="nil"/>
              <w:bottom w:val="single" w:sz="6" w:space="0" w:color="004F83"/>
              <w:right w:val="nil"/>
            </w:tcBorders>
            <w:tcMar>
              <w:top w:w="0" w:type="dxa"/>
              <w:left w:w="100" w:type="dxa"/>
              <w:bottom w:w="0" w:type="dxa"/>
              <w:right w:w="100" w:type="dxa"/>
            </w:tcMar>
          </w:tcPr>
          <w:p w14:paraId="12FEEECE" w14:textId="57695E0F"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Contaminated with blood, stored at 4°C and RH 85%</w:t>
            </w:r>
          </w:p>
        </w:tc>
        <w:tc>
          <w:tcPr>
            <w:tcW w:w="1190" w:type="dxa"/>
            <w:tcBorders>
              <w:top w:val="nil"/>
              <w:left w:val="nil"/>
              <w:bottom w:val="single" w:sz="6" w:space="0" w:color="004F83"/>
              <w:right w:val="nil"/>
            </w:tcBorders>
            <w:tcMar>
              <w:top w:w="0" w:type="dxa"/>
              <w:left w:w="100" w:type="dxa"/>
              <w:bottom w:w="0" w:type="dxa"/>
              <w:right w:w="100" w:type="dxa"/>
            </w:tcMar>
          </w:tcPr>
          <w:p w14:paraId="591C1127" w14:textId="77777777" w:rsidR="005F4FE4" w:rsidRPr="001F3F70" w:rsidRDefault="00DB6D56" w:rsidP="005F4FE4">
            <w:pPr>
              <w:keepNext/>
              <w:pBdr>
                <w:top w:val="nil"/>
                <w:left w:val="nil"/>
                <w:bottom w:val="nil"/>
                <w:right w:val="nil"/>
                <w:between w:val="nil"/>
              </w:pBdr>
              <w:spacing w:before="60" w:after="60"/>
              <w:rPr>
                <w:rFonts w:asciiTheme="minorHAnsi" w:eastAsia="Garamond" w:hAnsiTheme="minorHAnsi" w:cs="Garamond"/>
                <w:color w:val="000000"/>
                <w:sz w:val="21"/>
                <w:szCs w:val="21"/>
              </w:rPr>
            </w:pPr>
            <w:sdt>
              <w:sdtPr>
                <w:rPr>
                  <w:rFonts w:asciiTheme="minorHAnsi" w:hAnsiTheme="minorHAnsi"/>
                </w:rPr>
                <w:tag w:val="goog_rdk_3"/>
                <w:id w:val="-295874963"/>
              </w:sdtPr>
              <w:sdtEndPr/>
              <w:sdtContent>
                <w:r w:rsidR="005F4FE4" w:rsidRPr="001F3F70">
                  <w:rPr>
                    <w:rFonts w:asciiTheme="minorHAnsi" w:eastAsia="Gungsuh" w:hAnsiTheme="minorHAnsi" w:cs="Gungsuh"/>
                    <w:color w:val="000000"/>
                    <w:sz w:val="21"/>
                    <w:szCs w:val="21"/>
                  </w:rPr>
                  <w:t>≤ 55</w:t>
                </w:r>
              </w:sdtContent>
            </w:sdt>
          </w:p>
        </w:tc>
        <w:tc>
          <w:tcPr>
            <w:tcW w:w="2888" w:type="dxa"/>
            <w:tcBorders>
              <w:top w:val="nil"/>
              <w:left w:val="nil"/>
              <w:bottom w:val="single" w:sz="6" w:space="0" w:color="004F83"/>
              <w:right w:val="nil"/>
            </w:tcBorders>
            <w:tcMar>
              <w:top w:w="0" w:type="dxa"/>
              <w:left w:w="100" w:type="dxa"/>
              <w:bottom w:w="0" w:type="dxa"/>
              <w:right w:w="100" w:type="dxa"/>
            </w:tcMar>
          </w:tcPr>
          <w:p w14:paraId="24CAE77A" w14:textId="4D26C675"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{"citationID":"9PAOO6bY","properties":{"formattedCitation":"(Gailiunas et al. 1969)","plainCitation":"(Gailiunas et al. 1969)","noteIndex":0},"citationItems":[{"id":"js4VmBrN/Jpkw4Ycx","uris":["http://zotero.org/groups/5271262/items/MWCD8BAD"],"itemData":{"id":3802,"type":"article-journal","container-title":"Proceedings, Annual Meeting of the United States Animal Health Association","ISSN":"0082-8750","journalAbbreviation":"Proc Annu Meet U S Anim Health Assoc","language":"eng","note":"PMID: 4322826","page":"425-436","source":"PubMed","title":"Survival of foot-and-mouth disease virus on meat packaging materials","volume":"73","author":[{"family":"Gailiunas","given":"P."},{"family":"Cottral","given":"G. E."},{"family":"Scott","given":"F. W."}],"issued":{"date-parts":[["1969"]]}}}],"schema":"https://github.com/citation-style-language/schema/raw/master/csl-citation.json"}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(Gailiunas et al. 1969)</w:t>
            </w:r>
            <w:r>
              <w:rPr>
                <w:rFonts w:eastAsia="Garamond" w:cs="Garamond"/>
                <w:color w:val="000000"/>
                <w:sz w:val="21"/>
                <w:szCs w:val="21"/>
              </w:rPr>
              <w:fldChar w:fldCharType="end"/>
            </w:r>
          </w:p>
        </w:tc>
      </w:tr>
      <w:tr w:rsidR="005F4FE4" w14:paraId="610740E5" w14:textId="77777777" w:rsidTr="001C31C0">
        <w:trPr>
          <w:trHeight w:val="375"/>
        </w:trPr>
        <w:tc>
          <w:tcPr>
            <w:tcW w:w="1134" w:type="dxa"/>
            <w:vMerge/>
            <w:tcBorders>
              <w:top w:val="nil"/>
              <w:left w:val="nil"/>
              <w:bottom w:val="single" w:sz="6" w:space="0" w:color="004F83"/>
              <w:right w:val="nil"/>
            </w:tcBorders>
            <w:tcMar>
              <w:top w:w="0" w:type="dxa"/>
              <w:left w:w="100" w:type="dxa"/>
              <w:bottom w:w="0" w:type="dxa"/>
              <w:right w:w="100" w:type="dxa"/>
            </w:tcMar>
          </w:tcPr>
          <w:p w14:paraId="1954DD17" w14:textId="77777777" w:rsidR="005F4FE4" w:rsidRDefault="005F4FE4" w:rsidP="005F4FE4">
            <w:pPr>
              <w:widowControl w:val="0"/>
              <w:pBdr>
                <w:top w:val="nil"/>
                <w:left w:val="nil"/>
                <w:bottom w:val="nil"/>
                <w:right w:val="nil"/>
                <w:between w:val="nil"/>
              </w:pBdr>
              <w:rPr>
                <w:rFonts w:eastAsia="Garamond" w:cs="Garamond"/>
                <w:color w:val="000000"/>
                <w:sz w:val="21"/>
                <w:szCs w:val="21"/>
              </w:rPr>
            </w:pPr>
          </w:p>
        </w:tc>
        <w:tc>
          <w:tcPr>
            <w:tcW w:w="3813" w:type="dxa"/>
            <w:tcBorders>
              <w:top w:val="nil"/>
              <w:left w:val="nil"/>
              <w:bottom w:val="single" w:sz="6" w:space="0" w:color="004F83"/>
              <w:right w:val="nil"/>
            </w:tcBorders>
            <w:tcMar>
              <w:top w:w="0" w:type="dxa"/>
              <w:left w:w="100" w:type="dxa"/>
              <w:bottom w:w="0" w:type="dxa"/>
              <w:right w:w="100" w:type="dxa"/>
            </w:tcMar>
          </w:tcPr>
          <w:p w14:paraId="67B28D8D" w14:textId="159081DD"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Contaminated with ground lymph nodes, stored at 4°C and RH 85%</w:t>
            </w:r>
          </w:p>
        </w:tc>
        <w:tc>
          <w:tcPr>
            <w:tcW w:w="1190" w:type="dxa"/>
            <w:tcBorders>
              <w:top w:val="nil"/>
              <w:left w:val="nil"/>
              <w:bottom w:val="single" w:sz="6" w:space="0" w:color="004F83"/>
              <w:right w:val="nil"/>
            </w:tcBorders>
            <w:tcMar>
              <w:top w:w="0" w:type="dxa"/>
              <w:left w:w="100" w:type="dxa"/>
              <w:bottom w:w="0" w:type="dxa"/>
              <w:right w:w="100" w:type="dxa"/>
            </w:tcMar>
          </w:tcPr>
          <w:p w14:paraId="47ED3E07" w14:textId="77777777" w:rsidR="005F4FE4" w:rsidRPr="001F3F70" w:rsidRDefault="00DB6D56" w:rsidP="005F4FE4">
            <w:pPr>
              <w:keepNext/>
              <w:pBdr>
                <w:top w:val="nil"/>
                <w:left w:val="nil"/>
                <w:bottom w:val="nil"/>
                <w:right w:val="nil"/>
                <w:between w:val="nil"/>
              </w:pBdr>
              <w:spacing w:before="60" w:after="60"/>
              <w:rPr>
                <w:rFonts w:asciiTheme="minorHAnsi" w:eastAsia="Garamond" w:hAnsiTheme="minorHAnsi" w:cs="Garamond"/>
                <w:color w:val="000000"/>
                <w:sz w:val="21"/>
                <w:szCs w:val="21"/>
              </w:rPr>
            </w:pPr>
            <w:sdt>
              <w:sdtPr>
                <w:rPr>
                  <w:rFonts w:asciiTheme="minorHAnsi" w:hAnsiTheme="minorHAnsi"/>
                </w:rPr>
                <w:tag w:val="goog_rdk_4"/>
                <w:id w:val="-793494623"/>
              </w:sdtPr>
              <w:sdtEndPr/>
              <w:sdtContent>
                <w:r w:rsidR="005F4FE4" w:rsidRPr="001F3F70">
                  <w:rPr>
                    <w:rFonts w:asciiTheme="minorHAnsi" w:eastAsia="Gungsuh" w:hAnsiTheme="minorHAnsi" w:cs="Gungsuh"/>
                    <w:color w:val="000000"/>
                    <w:sz w:val="21"/>
                    <w:szCs w:val="21"/>
                  </w:rPr>
                  <w:t>≤ 57</w:t>
                </w:r>
              </w:sdtContent>
            </w:sdt>
          </w:p>
        </w:tc>
        <w:tc>
          <w:tcPr>
            <w:tcW w:w="2888" w:type="dxa"/>
            <w:tcBorders>
              <w:top w:val="nil"/>
              <w:left w:val="nil"/>
              <w:bottom w:val="single" w:sz="6" w:space="0" w:color="004F83"/>
              <w:right w:val="nil"/>
            </w:tcBorders>
            <w:tcMar>
              <w:top w:w="0" w:type="dxa"/>
              <w:left w:w="100" w:type="dxa"/>
              <w:bottom w:w="0" w:type="dxa"/>
              <w:right w:w="100" w:type="dxa"/>
            </w:tcMar>
          </w:tcPr>
          <w:p w14:paraId="73716A48" w14:textId="4674E8DB"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{"citationID":"HYjWWOgg","properties":{"formattedCitation":"(Gailiunas et al. 1969)","plainCitation":"(Gailiunas et al. 1969)","noteIndex":0},"citationItems":[{"id":"js4VmBrN/Jpkw4Ycx","uris":["http://zotero.org/groups/5271262/items/MWCD8BAD"],"itemData":{"id":3802,"type":"article-journal","container-title":"Proceedings, Annual Meeting of the United States Animal Health Association","ISSN":"0082-8750","journalAbbreviation":"Proc Annu Meet U S Anim Health Assoc","language":"eng","note":"PMID: 4322826","page":"425-436","source":"PubMed","title":"Survival of foot-and-mouth disease virus on meat packaging materials","volume":"73","author":[{"family":"Gailiunas","given":"P."},{"family":"Cottral","given":"G. E."},{"family":"Scott","given":"F. W."}],"issued":{"date-parts":[["1969"]]}}}],"schema":"https://github.com/citation-style-language/schema/raw/master/csl-citation.json"}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(Gailiunas et al. 1969)</w:t>
            </w:r>
            <w:r>
              <w:rPr>
                <w:rFonts w:eastAsia="Garamond" w:cs="Garamond"/>
                <w:color w:val="000000"/>
                <w:sz w:val="21"/>
                <w:szCs w:val="21"/>
              </w:rPr>
              <w:fldChar w:fldCharType="end"/>
            </w:r>
          </w:p>
        </w:tc>
      </w:tr>
      <w:tr w:rsidR="005F4FE4" w14:paraId="0A9B397F" w14:textId="77777777" w:rsidTr="001C31C0">
        <w:trPr>
          <w:trHeight w:val="375"/>
        </w:trPr>
        <w:tc>
          <w:tcPr>
            <w:tcW w:w="1134" w:type="dxa"/>
            <w:vMerge/>
            <w:tcBorders>
              <w:top w:val="nil"/>
              <w:left w:val="nil"/>
              <w:bottom w:val="single" w:sz="6" w:space="0" w:color="004F83"/>
              <w:right w:val="nil"/>
            </w:tcBorders>
            <w:tcMar>
              <w:top w:w="0" w:type="dxa"/>
              <w:left w:w="100" w:type="dxa"/>
              <w:bottom w:w="0" w:type="dxa"/>
              <w:right w:w="100" w:type="dxa"/>
            </w:tcMar>
          </w:tcPr>
          <w:p w14:paraId="6E516AE1" w14:textId="77777777" w:rsidR="005F4FE4" w:rsidRDefault="005F4FE4" w:rsidP="005F4FE4">
            <w:pPr>
              <w:widowControl w:val="0"/>
              <w:pBdr>
                <w:top w:val="nil"/>
                <w:left w:val="nil"/>
                <w:bottom w:val="nil"/>
                <w:right w:val="nil"/>
                <w:between w:val="nil"/>
              </w:pBdr>
              <w:rPr>
                <w:rFonts w:eastAsia="Garamond" w:cs="Garamond"/>
                <w:color w:val="000000"/>
                <w:sz w:val="21"/>
                <w:szCs w:val="21"/>
              </w:rPr>
            </w:pPr>
          </w:p>
        </w:tc>
        <w:tc>
          <w:tcPr>
            <w:tcW w:w="3813" w:type="dxa"/>
            <w:tcBorders>
              <w:top w:val="nil"/>
              <w:left w:val="nil"/>
              <w:bottom w:val="single" w:sz="6" w:space="0" w:color="004F83"/>
              <w:right w:val="nil"/>
            </w:tcBorders>
            <w:tcMar>
              <w:top w:w="0" w:type="dxa"/>
              <w:left w:w="100" w:type="dxa"/>
              <w:bottom w:w="0" w:type="dxa"/>
              <w:right w:w="100" w:type="dxa"/>
            </w:tcMar>
          </w:tcPr>
          <w:p w14:paraId="447E23D6" w14:textId="5A4AE42A"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t>Contaminated with fat, stored at 4°C and RH 85%</w:t>
            </w:r>
          </w:p>
        </w:tc>
        <w:tc>
          <w:tcPr>
            <w:tcW w:w="1190" w:type="dxa"/>
            <w:tcBorders>
              <w:top w:val="nil"/>
              <w:left w:val="nil"/>
              <w:bottom w:val="single" w:sz="6" w:space="0" w:color="004F83"/>
              <w:right w:val="nil"/>
            </w:tcBorders>
            <w:tcMar>
              <w:top w:w="0" w:type="dxa"/>
              <w:left w:w="100" w:type="dxa"/>
              <w:bottom w:w="0" w:type="dxa"/>
              <w:right w:w="100" w:type="dxa"/>
            </w:tcMar>
          </w:tcPr>
          <w:p w14:paraId="3631AA60" w14:textId="77777777" w:rsidR="005F4FE4" w:rsidRPr="001F3F70" w:rsidRDefault="00DB6D56" w:rsidP="005F4FE4">
            <w:pPr>
              <w:keepNext/>
              <w:pBdr>
                <w:top w:val="nil"/>
                <w:left w:val="nil"/>
                <w:bottom w:val="nil"/>
                <w:right w:val="nil"/>
                <w:between w:val="nil"/>
              </w:pBdr>
              <w:spacing w:before="60" w:after="60"/>
              <w:rPr>
                <w:rFonts w:asciiTheme="minorHAnsi" w:eastAsia="Garamond" w:hAnsiTheme="minorHAnsi" w:cs="Garamond"/>
                <w:color w:val="000000"/>
                <w:sz w:val="21"/>
                <w:szCs w:val="21"/>
              </w:rPr>
            </w:pPr>
            <w:sdt>
              <w:sdtPr>
                <w:rPr>
                  <w:rFonts w:asciiTheme="minorHAnsi" w:hAnsiTheme="minorHAnsi"/>
                </w:rPr>
                <w:tag w:val="goog_rdk_5"/>
                <w:id w:val="-1772550163"/>
              </w:sdtPr>
              <w:sdtEndPr/>
              <w:sdtContent>
                <w:r w:rsidR="005F4FE4" w:rsidRPr="001F3F70">
                  <w:rPr>
                    <w:rFonts w:asciiTheme="minorHAnsi" w:eastAsia="Gungsuh" w:hAnsiTheme="minorHAnsi" w:cs="Gungsuh"/>
                    <w:color w:val="000000"/>
                    <w:sz w:val="21"/>
                    <w:szCs w:val="21"/>
                  </w:rPr>
                  <w:t>≤ 398</w:t>
                </w:r>
              </w:sdtContent>
            </w:sdt>
          </w:p>
        </w:tc>
        <w:tc>
          <w:tcPr>
            <w:tcW w:w="2888" w:type="dxa"/>
            <w:tcBorders>
              <w:top w:val="nil"/>
              <w:left w:val="nil"/>
              <w:bottom w:val="single" w:sz="6" w:space="0" w:color="004F83"/>
              <w:right w:val="nil"/>
            </w:tcBorders>
            <w:tcMar>
              <w:top w:w="0" w:type="dxa"/>
              <w:left w:w="100" w:type="dxa"/>
              <w:bottom w:w="0" w:type="dxa"/>
              <w:right w:w="100" w:type="dxa"/>
            </w:tcMar>
          </w:tcPr>
          <w:p w14:paraId="2A61F25A" w14:textId="09F8FC75" w:rsidR="005F4FE4" w:rsidRDefault="005F4FE4" w:rsidP="005F4FE4">
            <w:pPr>
              <w:keepNext/>
              <w:pBdr>
                <w:top w:val="nil"/>
                <w:left w:val="nil"/>
                <w:bottom w:val="nil"/>
                <w:right w:val="nil"/>
                <w:between w:val="nil"/>
              </w:pBdr>
              <w:spacing w:before="60" w:after="60"/>
              <w:rPr>
                <w:rFonts w:eastAsia="Garamond" w:cs="Garamond"/>
                <w:color w:val="000000"/>
                <w:sz w:val="21"/>
                <w:szCs w:val="21"/>
              </w:rPr>
            </w:pPr>
            <w:r>
              <w:rPr>
                <w:rFonts w:eastAsia="Garamond" w:cs="Garamond"/>
                <w:color w:val="000000"/>
                <w:sz w:val="21"/>
                <w:szCs w:val="21"/>
              </w:rPr>
              <w:fldChar w:fldCharType="begin"/>
            </w:r>
            <w:r w:rsidR="00596B52">
              <w:rPr>
                <w:rFonts w:eastAsia="Garamond" w:cs="Garamond"/>
                <w:color w:val="000000"/>
                <w:sz w:val="21"/>
                <w:szCs w:val="21"/>
              </w:rPr>
              <w:instrText xml:space="preserve"> ADDIN ZOTERO_ITEM CSL_CITATION {"citationID":"vwW3svEE","properties":{"formattedCitation":"(Gailiunas et al. 1969)","plainCitation":"(Gailiunas et al. 1969)","noteIndex":0},"citationItems":[{"id":"js4VmBrN/Jpkw4Ycx","uris":["http://zotero.org/groups/5271262/items/MWCD8BAD"],"itemData":{"id":3802,"type":"article-journal","container-title":"Proceedings, Annual Meeting of the United States Animal Health Association","ISSN":"0082-8750","journalAbbreviation":"Proc Annu Meet U S Anim Health Assoc","language":"eng","note":"PMID: 4322826","page":"425-436","source":"PubMed","title":"Survival of foot-and-mouth disease virus on meat packaging materials","volume":"73","author":[{"family":"Gailiunas","given":"P."},{"family":"Cottral","given":"G. E."},{"family":"Scott","given":"F. W."}],"issued":{"date-parts":[["1969"]]}}}],"schema":"https://github.com/citation-style-language/schema/raw/master/csl-citation.json"} </w:instrText>
            </w:r>
            <w:r>
              <w:rPr>
                <w:rFonts w:eastAsia="Garamond" w:cs="Garamond"/>
                <w:color w:val="000000"/>
                <w:sz w:val="21"/>
                <w:szCs w:val="21"/>
              </w:rPr>
              <w:fldChar w:fldCharType="separate"/>
            </w:r>
            <w:r>
              <w:rPr>
                <w:rFonts w:eastAsia="Garamond" w:cs="Garamond"/>
                <w:noProof/>
                <w:color w:val="000000"/>
                <w:sz w:val="21"/>
                <w:szCs w:val="21"/>
              </w:rPr>
              <w:t>(Gailiunas et al. 1969)</w:t>
            </w:r>
            <w:r>
              <w:rPr>
                <w:rFonts w:eastAsia="Garamond" w:cs="Garamond"/>
                <w:color w:val="000000"/>
                <w:sz w:val="21"/>
                <w:szCs w:val="21"/>
              </w:rPr>
              <w:fldChar w:fldCharType="end"/>
            </w:r>
          </w:p>
        </w:tc>
      </w:tr>
    </w:tbl>
    <w:p w14:paraId="7FF96598" w14:textId="77777777" w:rsidR="003E15C2" w:rsidRDefault="003E15C2">
      <w:pPr>
        <w:tabs>
          <w:tab w:val="right" w:pos="9000"/>
        </w:tabs>
      </w:pPr>
    </w:p>
    <w:p w14:paraId="1DBB7BB8" w14:textId="77777777" w:rsidR="003E15C2" w:rsidRDefault="003E15C2" w:rsidP="003807D5">
      <w:pPr>
        <w:pStyle w:val="Heading3"/>
      </w:pPr>
      <w:bookmarkStart w:id="86" w:name="_Toc219290013"/>
      <w:bookmarkStart w:id="87" w:name="_Toc226796961"/>
      <w:r>
        <w:t>Lumpy skin disease</w:t>
      </w:r>
      <w:bookmarkEnd w:id="86"/>
      <w:bookmarkEnd w:id="87"/>
    </w:p>
    <w:p w14:paraId="3C86134B" w14:textId="110ACA5F" w:rsidR="003E15C2" w:rsidRDefault="003E15C2">
      <w:pPr>
        <w:tabs>
          <w:tab w:val="right" w:pos="9000"/>
        </w:tabs>
        <w:spacing w:before="120"/>
        <w:rPr>
          <w:rFonts w:eastAsia="Garamond" w:cs="Garamond"/>
          <w:szCs w:val="22"/>
        </w:rPr>
      </w:pPr>
      <w:r>
        <w:rPr>
          <w:rFonts w:eastAsia="Garamond" w:cs="Garamond"/>
          <w:szCs w:val="22"/>
        </w:rPr>
        <w:t>LSD is thought to be primarily spread via mechanical vectors</w:t>
      </w:r>
      <w:r w:rsidR="00097480">
        <w:rPr>
          <w:rFonts w:eastAsia="Garamond" w:cs="Garamond"/>
          <w:szCs w:val="22"/>
        </w:rPr>
        <w:t>,</w:t>
      </w:r>
      <w:r>
        <w:rPr>
          <w:rFonts w:eastAsia="Garamond" w:cs="Garamond"/>
          <w:szCs w:val="22"/>
        </w:rPr>
        <w:t xml:space="preserve"> namely haematophagous invertebrates </w:t>
      </w:r>
      <w:r w:rsidR="005F4FE4">
        <w:rPr>
          <w:rFonts w:eastAsia="Garamond" w:cs="Garamond"/>
          <w:szCs w:val="22"/>
        </w:rPr>
        <w:fldChar w:fldCharType="begin"/>
      </w:r>
      <w:r w:rsidR="001E0B07">
        <w:rPr>
          <w:rFonts w:eastAsia="Garamond" w:cs="Garamond"/>
          <w:szCs w:val="22"/>
        </w:rPr>
        <w:instrText xml:space="preserve"> ADDIN ZOTERO_ITEM CSL_CITATION {"citationID":"cZRQfDG6","properties":{"formattedCitation":"(Chihota et al. 2001; Tuppurainen and Oura 2012; Sprygin et al. 2019; Namazi and Khodakaram Tafti 2021)","plainCitation":"(Chihota et al. 2001; Tuppurainen and Oura 2012; Sprygin et al. 2019; Namazi and Khodakaram Tafti 2021)","noteIndex":0},"citationItems":[{"id":16476,"uris":["http://zotero.org/groups/4736904/items/I7EI6VGY"],"itemData":{"id":16476,"type":"article-journal","abstract":"Aedes aegypti female mosquitoes are capable of the mechanical transmission of lumpy skin disease virus (LSDV) from infected to susceptible cattle. Mosquitoes that had fed upon lesions of LSDV-infected cattle were able to transmit virus to susceptible cattle over a period of 2–6 days post-infective feeding. Virus was isolated from the recipient animals in 5 out of 7 cases. The clinical disease recorded in the animals exposed to infected mosquitoes was generally of a mild nature, with only one case being moderate. LSDV has long been suspected to be insect transmitted, but these ﬁndings are the ﬁrst to demonstrate this unequivocally, and they suggest that mosquito species are competent vectors.","container-title":"Epidemiology and Infection","DOI":"10.1017/S0950268801005179","ISSN":"0950-2688, 1469-4409","issue":"2","journalAbbreviation":"Epidemiol. Infect.","language":"en","page":"317-321","source":"DOI.org (Crossref)","title":"Mechanical transmission of lumpy skin disease virus by &lt;i&gt;Aedes aegypti&lt;/i&gt; (Diptera: Culicidae)","title-short":"Mechanical transmission of lumpy skin disease virus by &lt;i&gt;Aedes aegypti&lt;/i&gt; (Diptera","volume":"126","author":[{"family":"Chihota","given":"C. M."},{"family":"Rennie","given":"L. F."},{"family":"Kitching","given":"R. P."},{"family":"Mellor","given":"P. S."}],"issued":{"date-parts":[["2001",4]]}}},{"id":17292,"uris":["http://zotero.org/groups/4977814/items/NXFVYP4Y"],"itemData":{"id":17292,"type":"article-journal","abstract":"Lumpy skin disease (LSD) is an economically devastating emerging viral disease of cattle. Lumpy skin disease is currently endemic in most African countries and has recently spread out of Africa into the Middle East region. In this article, we review the putative mechanisms of spread of LSD into the Middle East and the risks of further spread into Turkey, Europe and Asia. We also review the latest findings on the epidemiology of LSD, its mechanisms of transmission, the potential role of wildlife in its maintenance and spread and the diagnostic tests and control methods currently available.","container-title":"Transboundary and Emerging Diseases","DOI":"10.1111/j.1865-1682.2011.01242.x","ISSN":"1865-1682","issue":"1","language":"en","note":"_eprint: https://onlinelibrary.wiley.com/doi/pdf/10.1111/j.1865-1682.2011.01242.x","page":"40-48","source":"Wiley Online Library","title":"Review: Lumpy Skin Disease: An Emerging Threat to Europe, the Middle East and Asia","title-short":"Review","volume":"59","author":[{"family":"Tuppurainen","given":"E. S. M."},{"family":"Oura","given":"C. a. L."}],"issued":{"date-parts":[["2012"]]}}},{"id":16445,"uris":["http://zotero.org/groups/4736904/items/D6YEE869"],"itemData":{"id":16445,"type":"article-journal","abstract":"Lumpy skin disease (LSD) is a viral transboundary disease endemic throughout Africa and of high economic importance that affects cattle and domestic water buffaloes. Since 2012, the disease has spread rapidly and widely throughout the Middle Eastern and Balkan regions, southern Caucasus and parts of the Russian Federation. Before vaccination campaigns took their full effect, the disease continued spreading from region to region, mainly showing seasonal patterns despite implementing control and eradication measures. The disease is capable of appearing several hundred kilometers away from initial (focal) outbreak sites within a short time period. These incursions have triggered a long-awaited renewed scientific interest in LSD resulting in the initiation of novel research into broad aspects of the disease, including epidemiology, modes of transmission and associated risk factors. Long-distance dispersal of LSDV seems to occur via the movement of infected animals, but distinct seasonal patterns indicate that arthropod-borne transmission is most likely responsible for the swift and aggressive short-distance spread of the disease. Elucidating the mechanisms of transmission of LSDV will enable the development of more targeted and effective actions for containment and eradication of the virus. The mode of vector-borne transmission of the disease is most likely mechanical, but there is no clear-cut evidence to confirm or disprove this assumption. To date, the most likely vectors for LSDV transmission are blood-sucking arthropods such as stable flies (Stomoxys calcitrans), mosquitoes (Aedes aegypti), and hard ticks (Rhipicephalus and Amblyomma species). New evidence suggests that the ubiquitous, synanthropic house fly, Musca domestica, may also play a role in LSDV transmission, but this has not yet been tested in a clinical setting. The aim of this review is to compile and discuss the earlier as well as the most recent research data on the transmission of LSDV.","container-title":"Virus Research","DOI":"10.1016/j.virusres.2019.05.015","ISSN":"1872-7492","journalAbbreviation":"Virus Res","language":"eng","page":"197637","PMID":"31152757","source":"PubMed","title":"Transmission of lumpy skin disease virus: A short review","title-short":"Transmission of lumpy skin disease virus","volume":"269","author":[{"family":"Sprygin","given":"A."},{"family":"Pestova","given":"Ya"},{"family":"Wallace","given":"D. B."},{"family":"Tuppurainen","given":"E."},{"family":"Kononov","given":"A. V."}],"issued":{"date-parts":[["2019",8]]}}},{"id":16343,"uris":["http://zotero.org/groups/4736904/items/TUJXGVDF"],"itemData":{"id":16343,"type":"article-journal","abstract":"Lumpy skin disease is an emerging bovine viral disease, which is endemic in most African countries and some Middle East ones, and the elevated risk of the spread of disease into the rest of Asia and Europe should be considered. The recent rapid spread of disease in currently disease-free countries indicates the importance of understanding the limitations and routes of distribution. The causative agent, Capripoxvirus, can also induce sheeppox and goatpox. The economic significance of these diseases is of great concern, given that they threaten international trade and could be used as economic bioterrorism agents. The distribution of capripoxviruses seems to be expanding due to limited access to effective vaccines and poverty within farming communities. This is largely due to the economic effects of the Covid-19 pandemic and the imposition of crippling sanctions in endemic regions, as well as an increase in the legal and illegal trade of live animals and animal products, and also global climate change. The present review is designed to provide existing information on the various aspects of the disease such as its clinicopathology, transmission, epidemiology, diagnosis, prevention and control measures, and the potential role of wildlife in the further spread of disease.","container-title":"Veterinary Medicine and Science","DOI":"10.1002/vms3.434","ISSN":"2053-1095","issue":"3","language":"en","note":"_eprint: https://onlinelibrary.wiley.com/doi/pdf/10.1002/vms3.434","page":"888-896","source":"Wiley Online Library","title":"Lumpy skin disease, an emerging transboundary viral disease: A review","title-short":"Lumpy skin disease, an emerging transboundary viral disease","volume":"7","author":[{"family":"Namazi","given":"Fatemeh"},{"family":"Khodakaram Tafti","given":"Azizollah"}],"issued":{"date-parts":[["2021"]]}}}],"schema":"https://github.com/citation-style-language/schema/raw/master/csl-citation.json"} </w:instrText>
      </w:r>
      <w:r w:rsidR="005F4FE4">
        <w:rPr>
          <w:rFonts w:eastAsia="Garamond" w:cs="Garamond"/>
          <w:szCs w:val="22"/>
        </w:rPr>
        <w:fldChar w:fldCharType="separate"/>
      </w:r>
      <w:r w:rsidR="005F4FE4">
        <w:rPr>
          <w:rFonts w:eastAsia="Garamond" w:cs="Garamond"/>
          <w:noProof/>
          <w:szCs w:val="22"/>
        </w:rPr>
        <w:t>(Chihota et al. 2001; Tuppurainen and Oura 2012; Sprygin et al. 2019; Namazi and Khodakaram Tafti 2021)</w:t>
      </w:r>
      <w:r w:rsidR="005F4FE4">
        <w:rPr>
          <w:rFonts w:eastAsia="Garamond" w:cs="Garamond"/>
          <w:szCs w:val="22"/>
        </w:rPr>
        <w:fldChar w:fldCharType="end"/>
      </w:r>
      <w:r w:rsidR="00AC775E">
        <w:rPr>
          <w:rFonts w:eastAsia="Garamond" w:cs="Garamond"/>
          <w:szCs w:val="22"/>
        </w:rPr>
        <w:t>.</w:t>
      </w:r>
      <w:r>
        <w:rPr>
          <w:rFonts w:eastAsia="Garamond" w:cs="Garamond"/>
          <w:szCs w:val="22"/>
        </w:rPr>
        <w:t xml:space="preserve"> It is not known precisely how many insects are necessary to transmit a sufficient dose of LSD virus (LSDV) to initiate an infection in a bovine and it cannot be ruled out that a single insect is</w:t>
      </w:r>
      <w:r w:rsidR="00C44AF7">
        <w:rPr>
          <w:rFonts w:eastAsia="Garamond" w:cs="Garamond"/>
          <w:szCs w:val="22"/>
        </w:rPr>
        <w:t xml:space="preserve"> not</w:t>
      </w:r>
      <w:r>
        <w:rPr>
          <w:rFonts w:eastAsia="Garamond" w:cs="Garamond"/>
          <w:szCs w:val="22"/>
        </w:rPr>
        <w:t xml:space="preserve"> capable of LSDV transmission under the right circumstances. However</w:t>
      </w:r>
      <w:r w:rsidR="00097480">
        <w:rPr>
          <w:rFonts w:eastAsia="Garamond" w:cs="Garamond"/>
          <w:szCs w:val="22"/>
        </w:rPr>
        <w:t>,</w:t>
      </w:r>
      <w:r>
        <w:rPr>
          <w:rFonts w:eastAsia="Garamond" w:cs="Garamond"/>
          <w:szCs w:val="22"/>
        </w:rPr>
        <w:t xml:space="preserve"> based on experimental transmission studies</w:t>
      </w:r>
      <w:r w:rsidR="00097480">
        <w:rPr>
          <w:rFonts w:eastAsia="Garamond" w:cs="Garamond"/>
          <w:szCs w:val="22"/>
        </w:rPr>
        <w:t>,</w:t>
      </w:r>
      <w:r>
        <w:rPr>
          <w:rFonts w:eastAsia="Garamond" w:cs="Garamond"/>
          <w:szCs w:val="22"/>
        </w:rPr>
        <w:t xml:space="preserve"> the minimum number of infectious </w:t>
      </w:r>
      <w:r w:rsidR="00C44AF7">
        <w:rPr>
          <w:rFonts w:eastAsia="Garamond" w:cs="Garamond"/>
          <w:szCs w:val="22"/>
        </w:rPr>
        <w:t xml:space="preserve">invertebrates </w:t>
      </w:r>
      <w:r>
        <w:rPr>
          <w:rFonts w:eastAsia="Garamond" w:cs="Garamond"/>
          <w:szCs w:val="22"/>
        </w:rPr>
        <w:t xml:space="preserve">required for successful LSDV transmission is considered 14 </w:t>
      </w:r>
      <w:r>
        <w:rPr>
          <w:rFonts w:eastAsia="Garamond" w:cs="Garamond"/>
          <w:i/>
          <w:iCs/>
          <w:szCs w:val="22"/>
        </w:rPr>
        <w:t>Aedes</w:t>
      </w:r>
      <w:r>
        <w:rPr>
          <w:rFonts w:eastAsia="Garamond" w:cs="Garamond"/>
          <w:szCs w:val="22"/>
        </w:rPr>
        <w:t xml:space="preserve"> mosquitoes </w:t>
      </w:r>
      <w:bookmarkStart w:id="88" w:name="_Hlk219735316"/>
      <w:r w:rsidR="005F4FE4">
        <w:rPr>
          <w:rFonts w:eastAsia="Garamond" w:cs="Garamond"/>
          <w:szCs w:val="22"/>
        </w:rPr>
        <w:fldChar w:fldCharType="begin"/>
      </w:r>
      <w:r w:rsidR="001E0B07">
        <w:rPr>
          <w:rFonts w:eastAsia="Garamond" w:cs="Garamond"/>
          <w:szCs w:val="22"/>
        </w:rPr>
        <w:instrText xml:space="preserve"> ADDIN ZOTERO_ITEM CSL_CITATION {"citationID":"ig8egOuI","properties":{"formattedCitation":"(Hall et al. 2023)","plainCitation":"(Hall et al. 2023)","noteIndex":0},"citationItems":[{"id":9747,"uris":["http://zotero.org/groups/2516531/items/9JPYKVWU"],"itemData":{"id":9747,"type":"article-journal","container-title":"Preventive Veterinary Medicine","DOI":"10.1016/j.prevetmed.2023.105990","ISSN":"01675877","journalAbbreviation":"Preventive Veterinary Medicine","language":"en","page":"105990","source":"DOI.org (Crossref)","title":"A quantitative risk assessment for the incursion of lumpy skin disease virus into Australia via long-distance windborne dispersal of arthropod vectors","volume":"218","author":[{"family":"Hall","given":"Robyn N."},{"family":"Torpy","given":"James R."},{"family":"Nye","given":"Rachel"},{"family":"Zalcman","given":"Emma"},{"family":"Cowled","given":"Brendan D."}],"issued":{"date-parts":[["2023",9]]}}}],"schema":"https://github.com/citation-style-language/schema/raw/master/csl-citation.json"} </w:instrText>
      </w:r>
      <w:r w:rsidR="005F4FE4">
        <w:rPr>
          <w:rFonts w:eastAsia="Garamond" w:cs="Garamond"/>
          <w:szCs w:val="22"/>
        </w:rPr>
        <w:fldChar w:fldCharType="separate"/>
      </w:r>
      <w:r w:rsidR="005F4FE4">
        <w:rPr>
          <w:rFonts w:eastAsia="Garamond" w:cs="Garamond"/>
          <w:noProof/>
          <w:szCs w:val="22"/>
        </w:rPr>
        <w:t>(Hall et al. 2023)</w:t>
      </w:r>
      <w:r w:rsidR="005F4FE4">
        <w:rPr>
          <w:rFonts w:eastAsia="Garamond" w:cs="Garamond"/>
          <w:szCs w:val="22"/>
        </w:rPr>
        <w:fldChar w:fldCharType="end"/>
      </w:r>
      <w:bookmarkEnd w:id="88"/>
      <w:r>
        <w:rPr>
          <w:rFonts w:eastAsia="Garamond" w:cs="Garamond"/>
          <w:szCs w:val="22"/>
        </w:rPr>
        <w:t>.</w:t>
      </w:r>
    </w:p>
    <w:p w14:paraId="7E9EE8BA" w14:textId="48D6229A" w:rsidR="003E15C2" w:rsidRDefault="003E15C2" w:rsidP="00D93B4A">
      <w:pPr>
        <w:tabs>
          <w:tab w:val="right" w:pos="9000"/>
        </w:tabs>
        <w:spacing w:before="120"/>
        <w:rPr>
          <w:rFonts w:eastAsia="Garamond" w:cs="Garamond"/>
          <w:szCs w:val="22"/>
        </w:rPr>
      </w:pPr>
      <w:r>
        <w:rPr>
          <w:rFonts w:eastAsia="Garamond" w:cs="Garamond"/>
          <w:szCs w:val="22"/>
        </w:rPr>
        <w:t>In 2022</w:t>
      </w:r>
      <w:r w:rsidR="00097480">
        <w:rPr>
          <w:rFonts w:eastAsia="Garamond" w:cs="Garamond"/>
          <w:szCs w:val="22"/>
        </w:rPr>
        <w:t>,</w:t>
      </w:r>
      <w:r>
        <w:rPr>
          <w:rFonts w:eastAsia="Garamond" w:cs="Garamond"/>
          <w:szCs w:val="22"/>
        </w:rPr>
        <w:t xml:space="preserve"> a risk assessment was conducted investigating the likelihood of LSDV introduction into Australia. The risk assessment reviewed </w:t>
      </w:r>
      <w:r w:rsidR="00C44AF7">
        <w:rPr>
          <w:rFonts w:eastAsia="Garamond" w:cs="Garamond"/>
          <w:szCs w:val="22"/>
        </w:rPr>
        <w:t>several</w:t>
      </w:r>
      <w:r>
        <w:rPr>
          <w:rFonts w:eastAsia="Garamond" w:cs="Garamond"/>
          <w:szCs w:val="22"/>
        </w:rPr>
        <w:t xml:space="preserve"> different entry pathways</w:t>
      </w:r>
      <w:r w:rsidR="00097480">
        <w:rPr>
          <w:rFonts w:eastAsia="Garamond" w:cs="Garamond"/>
          <w:szCs w:val="22"/>
        </w:rPr>
        <w:t>,</w:t>
      </w:r>
      <w:r>
        <w:rPr>
          <w:rFonts w:eastAsia="Garamond" w:cs="Garamond"/>
          <w:szCs w:val="22"/>
        </w:rPr>
        <w:t xml:space="preserve"> including commercial non-livestock and commercial livestock vessels. There was a high level of uncertainty associated with the parameters involved in the risk assessment. However</w:t>
      </w:r>
      <w:r w:rsidR="00097480">
        <w:rPr>
          <w:rFonts w:eastAsia="Garamond" w:cs="Garamond"/>
          <w:szCs w:val="22"/>
        </w:rPr>
        <w:t>,</w:t>
      </w:r>
      <w:r>
        <w:rPr>
          <w:rFonts w:eastAsia="Garamond" w:cs="Garamond"/>
          <w:szCs w:val="22"/>
        </w:rPr>
        <w:t xml:space="preserve"> the assessment found the risk of incursion via commercial non-livestock vessels was considered high if the vessel was returning from a country with a high bovine population. The result was highly sensitive to the probability of vectors dispersing from the port and landing on a vessel. Commercial livestock vessels were found to be lower risk than the other pathways assessed due to the decontamination measures that are required for permission to enter Australian territory. However</w:t>
      </w:r>
      <w:r w:rsidR="00097480">
        <w:rPr>
          <w:rFonts w:eastAsia="Garamond" w:cs="Garamond"/>
          <w:szCs w:val="22"/>
        </w:rPr>
        <w:t>,</w:t>
      </w:r>
      <w:r>
        <w:rPr>
          <w:rFonts w:eastAsia="Garamond" w:cs="Garamond"/>
          <w:szCs w:val="22"/>
        </w:rPr>
        <w:t xml:space="preserve"> due to the high proportion of cattle in central Indonesia</w:t>
      </w:r>
      <w:r w:rsidR="00097480">
        <w:rPr>
          <w:rFonts w:eastAsia="Garamond" w:cs="Garamond"/>
          <w:szCs w:val="22"/>
        </w:rPr>
        <w:t>,</w:t>
      </w:r>
      <w:r>
        <w:rPr>
          <w:rFonts w:eastAsia="Garamond" w:cs="Garamond"/>
          <w:szCs w:val="22"/>
        </w:rPr>
        <w:t xml:space="preserve"> the route to Darwin was deemed a potential incursion risk </w:t>
      </w:r>
      <w:r w:rsidR="005F4FE4">
        <w:rPr>
          <w:rFonts w:eastAsia="Garamond" w:cs="Garamond"/>
          <w:szCs w:val="22"/>
        </w:rPr>
        <w:fldChar w:fldCharType="begin"/>
      </w:r>
      <w:r w:rsidR="001E0B07">
        <w:rPr>
          <w:rFonts w:eastAsia="Garamond" w:cs="Garamond"/>
          <w:szCs w:val="22"/>
        </w:rPr>
        <w:instrText xml:space="preserve"> ADDIN ZOTERO_ITEM CSL_CITATION {"citationID":"yH23O61z","properties":{"formattedCitation":"(Hall et al. 2023)","plainCitation":"(Hall et al. 2023)","noteIndex":0},"citationItems":[{"id":9747,"uris":["http://zotero.org/groups/2516531/items/9JPYKVWU"],"itemData":{"id":9747,"type":"article-journal","container-title":"Preventive Veterinary Medicine","DOI":"10.1016/j.prevetmed.2023.105990","ISSN":"01675877","journalAbbreviation":"Preventive Veterinary Medicine","language":"en","page":"105990","source":"DOI.org (Crossref)","title":"A quantitative risk assessment for the incursion of lumpy skin disease virus into Australia via long-distance windborne dispersal of arthropod vectors","volume":"218","author":[{"family":"Hall","given":"Robyn N."},{"family":"Torpy","given":"James R."},{"family":"Nye","given":"Rachel"},{"family":"Zalcman","given":"Emma"},{"family":"Cowled","given":"Brendan D."}],"issued":{"date-parts":[["2023",9]]}}}],"schema":"https://github.com/citation-style-language/schema/raw/master/csl-citation.json"} </w:instrText>
      </w:r>
      <w:r w:rsidR="005F4FE4">
        <w:rPr>
          <w:rFonts w:eastAsia="Garamond" w:cs="Garamond"/>
          <w:szCs w:val="22"/>
        </w:rPr>
        <w:fldChar w:fldCharType="separate"/>
      </w:r>
      <w:r w:rsidR="005F4FE4">
        <w:rPr>
          <w:rFonts w:eastAsia="Garamond" w:cs="Garamond"/>
          <w:noProof/>
          <w:szCs w:val="22"/>
        </w:rPr>
        <w:t>(Hall et al. 2023)</w:t>
      </w:r>
      <w:r w:rsidR="005F4FE4">
        <w:rPr>
          <w:rFonts w:eastAsia="Garamond" w:cs="Garamond"/>
          <w:szCs w:val="22"/>
        </w:rPr>
        <w:fldChar w:fldCharType="end"/>
      </w:r>
      <w:r>
        <w:rPr>
          <w:rFonts w:eastAsia="Garamond" w:cs="Garamond"/>
          <w:szCs w:val="22"/>
        </w:rPr>
        <w:t>. The current mitigation measures in place</w:t>
      </w:r>
      <w:r w:rsidR="00097480">
        <w:rPr>
          <w:rFonts w:eastAsia="Garamond" w:cs="Garamond"/>
          <w:szCs w:val="22"/>
        </w:rPr>
        <w:t>,</w:t>
      </w:r>
      <w:r>
        <w:rPr>
          <w:rFonts w:eastAsia="Garamond" w:cs="Garamond"/>
          <w:szCs w:val="22"/>
        </w:rPr>
        <w:t xml:space="preserve"> including cleaning and disinsection protocols</w:t>
      </w:r>
      <w:r w:rsidR="00097480">
        <w:rPr>
          <w:rFonts w:eastAsia="Garamond" w:cs="Garamond"/>
          <w:szCs w:val="22"/>
        </w:rPr>
        <w:t>,</w:t>
      </w:r>
      <w:r>
        <w:rPr>
          <w:rFonts w:eastAsia="Garamond" w:cs="Garamond"/>
          <w:szCs w:val="22"/>
        </w:rPr>
        <w:t xml:space="preserve"> and arrival inspections are believed to be sufficient in managing any potential risk.</w:t>
      </w:r>
    </w:p>
    <w:p w14:paraId="4C6870AE" w14:textId="77777777" w:rsidR="00C44AF7" w:rsidRDefault="00C44AF7" w:rsidP="00D93B4A">
      <w:pPr>
        <w:tabs>
          <w:tab w:val="right" w:pos="9000"/>
        </w:tabs>
        <w:spacing w:before="120"/>
        <w:rPr>
          <w:rFonts w:eastAsia="Garamond" w:cs="Garamond"/>
          <w:szCs w:val="22"/>
        </w:rPr>
      </w:pPr>
    </w:p>
    <w:p w14:paraId="31532886" w14:textId="77777777" w:rsidR="003E15C2" w:rsidRDefault="003E15C2" w:rsidP="009E1EA2">
      <w:pPr>
        <w:pStyle w:val="Heading1"/>
      </w:pPr>
      <w:bookmarkStart w:id="89" w:name="_Toc219290014"/>
      <w:bookmarkStart w:id="90" w:name="_Toc226796962"/>
      <w:r>
        <w:lastRenderedPageBreak/>
        <w:t>Descriptive analysis</w:t>
      </w:r>
      <w:bookmarkEnd w:id="89"/>
      <w:bookmarkEnd w:id="90"/>
    </w:p>
    <w:p w14:paraId="5E466762" w14:textId="77777777" w:rsidR="003E15C2" w:rsidRDefault="003E15C2" w:rsidP="009E1EA2">
      <w:pPr>
        <w:pStyle w:val="Heading2"/>
      </w:pPr>
      <w:bookmarkStart w:id="91" w:name="_Toc219290015"/>
      <w:bookmarkStart w:id="92" w:name="_Toc226796963"/>
      <w:r>
        <w:t>Vessel and arrival port analysis</w:t>
      </w:r>
      <w:bookmarkEnd w:id="91"/>
      <w:bookmarkEnd w:id="92"/>
    </w:p>
    <w:p w14:paraId="63533E62" w14:textId="05F8FE16" w:rsidR="003E15C2" w:rsidRPr="00336F6F" w:rsidRDefault="003E15C2" w:rsidP="00455061">
      <w:pPr>
        <w:tabs>
          <w:tab w:val="right" w:pos="9000"/>
        </w:tabs>
        <w:rPr>
          <w:rFonts w:asciiTheme="minorHAnsi" w:hAnsiTheme="minorHAnsi"/>
          <w:szCs w:val="22"/>
        </w:rPr>
      </w:pPr>
      <w:r>
        <w:rPr>
          <w:rFonts w:eastAsia="Garamond" w:cs="Garamond"/>
          <w:szCs w:val="22"/>
        </w:rPr>
        <w:t xml:space="preserve">Vessel data between 18/11/2016 to 17/11/2025 were analysed. Sixteen different ports in Australia received livestock carrier vessels returning for inspection. The most frequently used ports were Darwin, Fremantle and </w:t>
      </w:r>
      <w:r w:rsidRPr="00BE50D7">
        <w:rPr>
          <w:rFonts w:asciiTheme="minorHAnsi" w:eastAsia="Garamond" w:hAnsiTheme="minorHAnsi" w:cs="Garamond"/>
          <w:szCs w:val="22"/>
        </w:rPr>
        <w:t>Townsville</w:t>
      </w:r>
      <w:r w:rsidR="00455061">
        <w:rPr>
          <w:rFonts w:asciiTheme="minorHAnsi" w:eastAsia="Garamond" w:hAnsiTheme="minorHAnsi" w:cs="Garamond"/>
          <w:szCs w:val="22"/>
        </w:rPr>
        <w:t xml:space="preserve"> (</w:t>
      </w:r>
      <w:r w:rsidR="00455061">
        <w:rPr>
          <w:rFonts w:asciiTheme="minorHAnsi" w:eastAsia="Garamond" w:hAnsiTheme="minorHAnsi" w:cs="Garamond"/>
          <w:szCs w:val="22"/>
        </w:rPr>
        <w:fldChar w:fldCharType="begin"/>
      </w:r>
      <w:r w:rsidR="00455061">
        <w:rPr>
          <w:rFonts w:asciiTheme="minorHAnsi" w:eastAsia="Garamond" w:hAnsiTheme="minorHAnsi" w:cs="Garamond"/>
          <w:szCs w:val="22"/>
        </w:rPr>
        <w:instrText xml:space="preserve"> REF _Ref225258842 \h </w:instrText>
      </w:r>
      <w:r w:rsidR="00455061">
        <w:rPr>
          <w:rFonts w:asciiTheme="minorHAnsi" w:eastAsia="Garamond" w:hAnsiTheme="minorHAnsi" w:cs="Garamond"/>
          <w:szCs w:val="22"/>
        </w:rPr>
      </w:r>
      <w:r w:rsidR="00455061">
        <w:rPr>
          <w:rFonts w:asciiTheme="minorHAnsi" w:eastAsia="Garamond" w:hAnsiTheme="minorHAnsi" w:cs="Garamond"/>
          <w:szCs w:val="22"/>
        </w:rPr>
        <w:fldChar w:fldCharType="separate"/>
      </w:r>
      <w:r w:rsidR="00651A0D" w:rsidRPr="00775C84">
        <w:t xml:space="preserve">Figure </w:t>
      </w:r>
      <w:r w:rsidR="00651A0D">
        <w:rPr>
          <w:noProof/>
        </w:rPr>
        <w:t>5</w:t>
      </w:r>
      <w:r w:rsidR="00455061">
        <w:rPr>
          <w:rFonts w:asciiTheme="minorHAnsi" w:eastAsia="Garamond" w:hAnsiTheme="minorHAnsi" w:cs="Garamond"/>
          <w:szCs w:val="22"/>
        </w:rPr>
        <w:fldChar w:fldCharType="end"/>
      </w:r>
      <w:r w:rsidR="00455061">
        <w:rPr>
          <w:rFonts w:asciiTheme="minorHAnsi" w:eastAsia="Garamond" w:hAnsiTheme="minorHAnsi" w:cs="Garamond"/>
          <w:szCs w:val="22"/>
        </w:rPr>
        <w:t>)</w:t>
      </w:r>
      <w:r w:rsidRPr="00BE50D7">
        <w:rPr>
          <w:rFonts w:asciiTheme="minorHAnsi" w:eastAsia="Garamond" w:hAnsiTheme="minorHAnsi" w:cs="Garamond"/>
          <w:szCs w:val="22"/>
        </w:rPr>
        <w:t>.</w:t>
      </w:r>
      <w:r>
        <w:rPr>
          <w:rFonts w:eastAsia="Garamond" w:cs="Garamond"/>
          <w:szCs w:val="22"/>
        </w:rPr>
        <w:t xml:space="preserve"> Darwin and Townsville service the northern Australian extensive cattle industry, while Fremantle services the cattle industry as well as the Western Australian sheep industry. Vessels arrived consistently throughout the year, with peaks in May and December</w:t>
      </w:r>
      <w:r w:rsidR="00455061">
        <w:rPr>
          <w:rFonts w:asciiTheme="minorHAnsi" w:eastAsia="Garamond" w:hAnsiTheme="minorHAnsi" w:cs="Garamond"/>
          <w:szCs w:val="22"/>
        </w:rPr>
        <w:t xml:space="preserve"> (</w:t>
      </w:r>
      <w:r w:rsidR="00455061">
        <w:rPr>
          <w:rFonts w:asciiTheme="minorHAnsi" w:eastAsia="Garamond" w:hAnsiTheme="minorHAnsi" w:cs="Garamond"/>
          <w:szCs w:val="22"/>
        </w:rPr>
        <w:fldChar w:fldCharType="begin"/>
      </w:r>
      <w:r w:rsidR="00455061">
        <w:rPr>
          <w:rFonts w:asciiTheme="minorHAnsi" w:eastAsia="Garamond" w:hAnsiTheme="minorHAnsi" w:cs="Garamond"/>
          <w:szCs w:val="22"/>
        </w:rPr>
        <w:instrText xml:space="preserve"> REF _Ref225258860 \h </w:instrText>
      </w:r>
      <w:r w:rsidR="00455061">
        <w:rPr>
          <w:rFonts w:asciiTheme="minorHAnsi" w:eastAsia="Garamond" w:hAnsiTheme="minorHAnsi" w:cs="Garamond"/>
          <w:szCs w:val="22"/>
        </w:rPr>
      </w:r>
      <w:r w:rsidR="00455061">
        <w:rPr>
          <w:rFonts w:asciiTheme="minorHAnsi" w:eastAsia="Garamond" w:hAnsiTheme="minorHAnsi" w:cs="Garamond"/>
          <w:szCs w:val="22"/>
        </w:rPr>
        <w:fldChar w:fldCharType="separate"/>
      </w:r>
      <w:r w:rsidR="00651A0D" w:rsidRPr="00775C84">
        <w:t xml:space="preserve">Figure </w:t>
      </w:r>
      <w:r w:rsidR="00651A0D">
        <w:rPr>
          <w:noProof/>
        </w:rPr>
        <w:t>6</w:t>
      </w:r>
      <w:r w:rsidR="00455061">
        <w:rPr>
          <w:rFonts w:asciiTheme="minorHAnsi" w:eastAsia="Garamond" w:hAnsiTheme="minorHAnsi" w:cs="Garamond"/>
          <w:szCs w:val="22"/>
        </w:rPr>
        <w:fldChar w:fldCharType="end"/>
      </w:r>
      <w:r w:rsidR="00455061">
        <w:rPr>
          <w:rFonts w:asciiTheme="minorHAnsi" w:eastAsia="Garamond" w:hAnsiTheme="minorHAnsi" w:cs="Garamond"/>
          <w:szCs w:val="22"/>
        </w:rPr>
        <w:t>).</w:t>
      </w:r>
      <w:r w:rsidRPr="00BE50D7">
        <w:rPr>
          <w:rFonts w:asciiTheme="minorHAnsi" w:eastAsia="Garamond" w:hAnsiTheme="minorHAnsi" w:cs="Garamond"/>
          <w:szCs w:val="22"/>
        </w:rPr>
        <w:t xml:space="preserve"> </w:t>
      </w:r>
    </w:p>
    <w:p w14:paraId="4678BB5D" w14:textId="741D8A7B" w:rsidR="00833C97" w:rsidRDefault="003E15C2">
      <w:pPr>
        <w:tabs>
          <w:tab w:val="right" w:pos="9000"/>
        </w:tabs>
        <w:rPr>
          <w:rFonts w:eastAsia="Garamond" w:cs="Garamond"/>
          <w:szCs w:val="22"/>
        </w:rPr>
      </w:pPr>
      <w:r>
        <w:rPr>
          <w:rFonts w:eastAsia="Garamond" w:cs="Garamond"/>
          <w:szCs w:val="22"/>
        </w:rPr>
        <w:t xml:space="preserve">A total of 37 different livestock carrier vessels returned to Australian ports between November 2016 and November 2025. The vessel with the highest number of arrivals </w:t>
      </w:r>
      <w:r w:rsidR="00927481">
        <w:rPr>
          <w:rFonts w:eastAsia="Garamond" w:cs="Garamond"/>
          <w:szCs w:val="22"/>
        </w:rPr>
        <w:t xml:space="preserve">included </w:t>
      </w:r>
      <w:r w:rsidR="00D163A4">
        <w:rPr>
          <w:rFonts w:eastAsia="Garamond" w:cs="Garamond"/>
          <w:szCs w:val="22"/>
        </w:rPr>
        <w:t>the Gloucester Express</w:t>
      </w:r>
      <w:r>
        <w:rPr>
          <w:rFonts w:eastAsia="Garamond" w:cs="Garamond"/>
          <w:szCs w:val="22"/>
        </w:rPr>
        <w:t xml:space="preserve">, followed by </w:t>
      </w:r>
      <w:r w:rsidR="00D163A4">
        <w:rPr>
          <w:rFonts w:eastAsia="Garamond" w:cs="Garamond"/>
          <w:szCs w:val="22"/>
        </w:rPr>
        <w:t>the Nine Eagle</w:t>
      </w:r>
      <w:r>
        <w:rPr>
          <w:rFonts w:eastAsia="Garamond" w:cs="Garamond"/>
          <w:szCs w:val="22"/>
        </w:rPr>
        <w:t xml:space="preserve"> and </w:t>
      </w:r>
      <w:r w:rsidR="00D163A4">
        <w:rPr>
          <w:rFonts w:eastAsia="Garamond" w:cs="Garamond"/>
          <w:szCs w:val="22"/>
        </w:rPr>
        <w:t>the MV Greyman Express</w:t>
      </w:r>
      <w:r w:rsidR="00927481">
        <w:rPr>
          <w:rFonts w:eastAsia="Garamond" w:cs="Garamond"/>
          <w:szCs w:val="22"/>
        </w:rPr>
        <w:t xml:space="preserve"> </w:t>
      </w:r>
      <w:r>
        <w:rPr>
          <w:rFonts w:eastAsia="Garamond" w:cs="Garamond"/>
          <w:szCs w:val="22"/>
        </w:rPr>
        <w:t>(</w:t>
      </w:r>
      <w:r w:rsidRPr="00BE50D7">
        <w:rPr>
          <w:rFonts w:asciiTheme="minorHAnsi" w:eastAsia="Garamond" w:hAnsiTheme="minorHAnsi" w:cs="Garamond"/>
          <w:szCs w:val="22"/>
        </w:rPr>
        <w:fldChar w:fldCharType="begin"/>
      </w:r>
      <w:r w:rsidRPr="00BE50D7">
        <w:rPr>
          <w:rFonts w:asciiTheme="minorHAnsi" w:eastAsia="Garamond" w:hAnsiTheme="minorHAnsi" w:cs="Garamond"/>
          <w:szCs w:val="22"/>
        </w:rPr>
        <w:instrText xml:space="preserve"> REF _Ref219279523 \h  \* MERGEFORMAT </w:instrText>
      </w:r>
      <w:r w:rsidRPr="00BE50D7">
        <w:rPr>
          <w:rFonts w:asciiTheme="minorHAnsi" w:eastAsia="Garamond" w:hAnsiTheme="minorHAnsi" w:cs="Garamond"/>
          <w:szCs w:val="22"/>
        </w:rPr>
      </w:r>
      <w:r w:rsidRPr="00BE50D7">
        <w:rPr>
          <w:rFonts w:asciiTheme="minorHAnsi" w:eastAsia="Garamond" w:hAnsiTheme="minorHAnsi" w:cs="Garamond"/>
          <w:szCs w:val="22"/>
        </w:rPr>
        <w:fldChar w:fldCharType="separate"/>
      </w:r>
      <w:r w:rsidR="00651A0D" w:rsidRPr="00651A0D">
        <w:rPr>
          <w:rFonts w:asciiTheme="minorHAnsi" w:hAnsiTheme="minorHAnsi"/>
          <w:szCs w:val="22"/>
        </w:rPr>
        <w:t xml:space="preserve">Figure </w:t>
      </w:r>
      <w:r w:rsidR="00651A0D" w:rsidRPr="00651A0D">
        <w:rPr>
          <w:rFonts w:asciiTheme="minorHAnsi" w:hAnsiTheme="minorHAnsi"/>
          <w:noProof/>
          <w:szCs w:val="22"/>
        </w:rPr>
        <w:t>7</w:t>
      </w:r>
      <w:r w:rsidRPr="00BE50D7">
        <w:rPr>
          <w:rFonts w:asciiTheme="minorHAnsi" w:eastAsia="Garamond" w:hAnsiTheme="minorHAnsi" w:cs="Garamond"/>
          <w:szCs w:val="22"/>
        </w:rPr>
        <w:fldChar w:fldCharType="end"/>
      </w:r>
      <w:r>
        <w:rPr>
          <w:rFonts w:eastAsia="Garamond" w:cs="Garamond"/>
          <w:szCs w:val="22"/>
        </w:rPr>
        <w:t xml:space="preserve">). </w:t>
      </w:r>
    </w:p>
    <w:p w14:paraId="1710CE78" w14:textId="77777777" w:rsidR="00336F6F" w:rsidRDefault="003E15C2" w:rsidP="00336F6F">
      <w:r w:rsidRPr="00336F6F">
        <w:rPr>
          <w:noProof/>
        </w:rPr>
        <w:drawing>
          <wp:inline distT="114300" distB="114300" distL="114300" distR="114300" wp14:anchorId="6389C623" wp14:editId="7EBE009B">
            <wp:extent cx="5460023" cy="2303584"/>
            <wp:effectExtent l="0" t="0" r="1270" b="0"/>
            <wp:docPr id="1443966957" name="image6.png" descr="A graph with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graph with different colored bars&#10;&#10;AI-generated content may be incorrect."/>
                    <pic:cNvPicPr preferRelativeResize="0"/>
                  </pic:nvPicPr>
                  <pic:blipFill>
                    <a:blip r:embed="rId26"/>
                    <a:srcRect/>
                    <a:stretch>
                      <a:fillRect/>
                    </a:stretch>
                  </pic:blipFill>
                  <pic:spPr>
                    <a:xfrm>
                      <a:off x="0" y="0"/>
                      <a:ext cx="5478533" cy="2311393"/>
                    </a:xfrm>
                    <a:prstGeom prst="rect">
                      <a:avLst/>
                    </a:prstGeom>
                    <a:ln/>
                  </pic:spPr>
                </pic:pic>
              </a:graphicData>
            </a:graphic>
          </wp:inline>
        </w:drawing>
      </w:r>
      <w:bookmarkStart w:id="93" w:name="_Ref219279421"/>
      <w:bookmarkStart w:id="94" w:name="_Toc219289946"/>
    </w:p>
    <w:p w14:paraId="4582496A" w14:textId="6ED5D506" w:rsidR="001F278F" w:rsidRDefault="003E15C2" w:rsidP="001F278F">
      <w:pPr>
        <w:pStyle w:val="Caption"/>
        <w:ind w:left="0" w:firstLine="0"/>
      </w:pPr>
      <w:bookmarkStart w:id="95" w:name="_Ref225258842"/>
      <w:bookmarkStart w:id="96" w:name="_Toc226730777"/>
      <w:r w:rsidRPr="00775C84">
        <w:t xml:space="preserve">Figure </w:t>
      </w:r>
      <w:fldSimple w:instr=" SEQ Figure \* ARABIC ">
        <w:r w:rsidR="00651A0D">
          <w:rPr>
            <w:noProof/>
          </w:rPr>
          <w:t>5</w:t>
        </w:r>
      </w:fldSimple>
      <w:bookmarkEnd w:id="93"/>
      <w:bookmarkEnd w:id="95"/>
      <w:r w:rsidRPr="00775C84">
        <w:tab/>
        <w:t>Total number of vessel arrivals into Australian ports between November 2016 and November 2025</w:t>
      </w:r>
      <w:r w:rsidRPr="008344D5">
        <w:t>.</w:t>
      </w:r>
      <w:bookmarkEnd w:id="94"/>
      <w:bookmarkEnd w:id="96"/>
    </w:p>
    <w:p w14:paraId="7A0E8454" w14:textId="77777777" w:rsidR="001F278F" w:rsidRPr="001F278F" w:rsidRDefault="001F278F" w:rsidP="001F278F"/>
    <w:p w14:paraId="3C0BF777" w14:textId="77777777" w:rsidR="00336F6F" w:rsidRDefault="003E15C2" w:rsidP="00336F6F">
      <w:r w:rsidRPr="00336F6F">
        <w:rPr>
          <w:noProof/>
        </w:rPr>
        <w:drawing>
          <wp:inline distT="114300" distB="114300" distL="114300" distR="114300" wp14:anchorId="3C7EFAA4" wp14:editId="23B77C2E">
            <wp:extent cx="5791200" cy="2495107"/>
            <wp:effectExtent l="0" t="0" r="0" b="0"/>
            <wp:docPr id="1443966959" name="image2.png" descr="A graph of a number of month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aph of a number of months&#10;&#10;AI-generated content may be incorrect."/>
                    <pic:cNvPicPr preferRelativeResize="0"/>
                  </pic:nvPicPr>
                  <pic:blipFill>
                    <a:blip r:embed="rId27"/>
                    <a:srcRect/>
                    <a:stretch>
                      <a:fillRect/>
                    </a:stretch>
                  </pic:blipFill>
                  <pic:spPr>
                    <a:xfrm>
                      <a:off x="0" y="0"/>
                      <a:ext cx="5800949" cy="2499307"/>
                    </a:xfrm>
                    <a:prstGeom prst="rect">
                      <a:avLst/>
                    </a:prstGeom>
                    <a:ln/>
                  </pic:spPr>
                </pic:pic>
              </a:graphicData>
            </a:graphic>
          </wp:inline>
        </w:drawing>
      </w:r>
      <w:bookmarkStart w:id="97" w:name="_Ref219279475"/>
      <w:bookmarkStart w:id="98" w:name="_Toc219289947"/>
    </w:p>
    <w:p w14:paraId="296C7EDA" w14:textId="14541EF1" w:rsidR="003E15C2" w:rsidRPr="00775C84" w:rsidRDefault="003E15C2" w:rsidP="001F278F">
      <w:pPr>
        <w:pStyle w:val="Caption"/>
        <w:ind w:left="0" w:firstLine="0"/>
      </w:pPr>
      <w:bookmarkStart w:id="99" w:name="_Ref225258860"/>
      <w:bookmarkStart w:id="100" w:name="_Toc226730778"/>
      <w:r w:rsidRPr="00775C84">
        <w:t xml:space="preserve">Figure </w:t>
      </w:r>
      <w:fldSimple w:instr=" SEQ Figure \* ARABIC ">
        <w:r w:rsidR="00651A0D">
          <w:rPr>
            <w:noProof/>
          </w:rPr>
          <w:t>6</w:t>
        </w:r>
      </w:fldSimple>
      <w:bookmarkEnd w:id="97"/>
      <w:bookmarkEnd w:id="99"/>
      <w:r w:rsidRPr="00775C84">
        <w:tab/>
        <w:t>Total number of vessel arrivals into Australian ports categorised by month and port between November 2016 and November 2025.</w:t>
      </w:r>
      <w:bookmarkEnd w:id="98"/>
      <w:bookmarkEnd w:id="100"/>
    </w:p>
    <w:p w14:paraId="04C25768" w14:textId="77777777" w:rsidR="001F278F" w:rsidRDefault="001F278F" w:rsidP="001F278F">
      <w:bookmarkStart w:id="101" w:name="_heading=h.rpo5ckpz6kld" w:colFirst="0" w:colLast="0"/>
      <w:bookmarkEnd w:id="101"/>
    </w:p>
    <w:p w14:paraId="59ECD395" w14:textId="321C5A56" w:rsidR="003E15C2" w:rsidRDefault="003E15C2" w:rsidP="00D93B4A">
      <w:pPr>
        <w:keepNext/>
        <w:tabs>
          <w:tab w:val="right" w:pos="9000"/>
        </w:tabs>
        <w:jc w:val="center"/>
      </w:pPr>
      <w:r>
        <w:rPr>
          <w:noProof/>
        </w:rPr>
        <w:lastRenderedPageBreak/>
        <w:drawing>
          <wp:inline distT="114300" distB="114300" distL="114300" distR="114300" wp14:anchorId="49BD6254" wp14:editId="01720903">
            <wp:extent cx="5731200" cy="2692400"/>
            <wp:effectExtent l="0" t="0" r="0" b="0"/>
            <wp:docPr id="1443966958" name="image7.png" descr="A purple and white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purple and white graph&#10;&#10;AI-generated content may be incorrect."/>
                    <pic:cNvPicPr preferRelativeResize="0"/>
                  </pic:nvPicPr>
                  <pic:blipFill>
                    <a:blip r:embed="rId28"/>
                    <a:srcRect/>
                    <a:stretch>
                      <a:fillRect/>
                    </a:stretch>
                  </pic:blipFill>
                  <pic:spPr>
                    <a:xfrm>
                      <a:off x="0" y="0"/>
                      <a:ext cx="5731200" cy="2692400"/>
                    </a:xfrm>
                    <a:prstGeom prst="rect">
                      <a:avLst/>
                    </a:prstGeom>
                    <a:ln/>
                  </pic:spPr>
                </pic:pic>
              </a:graphicData>
            </a:graphic>
          </wp:inline>
        </w:drawing>
      </w:r>
    </w:p>
    <w:p w14:paraId="6D7DEB25" w14:textId="396A9D59" w:rsidR="003E15C2" w:rsidRDefault="003E15C2" w:rsidP="00D419FE">
      <w:pPr>
        <w:pStyle w:val="Caption"/>
      </w:pPr>
      <w:bookmarkStart w:id="102" w:name="_Ref219279523"/>
      <w:bookmarkStart w:id="103" w:name="_Toc219289948"/>
      <w:bookmarkStart w:id="104" w:name="_Toc226730779"/>
      <w:r>
        <w:t xml:space="preserve">Figure </w:t>
      </w:r>
      <w:fldSimple w:instr=" SEQ Figure \* ARABIC ">
        <w:r w:rsidR="00651A0D">
          <w:rPr>
            <w:noProof/>
          </w:rPr>
          <w:t>7</w:t>
        </w:r>
      </w:fldSimple>
      <w:bookmarkEnd w:id="102"/>
      <w:r>
        <w:tab/>
      </w:r>
      <w:r w:rsidRPr="00EB4EEA">
        <w:t xml:space="preserve">Total number of livestock carrier vessel arrivals into Australian ports categorised by vessel from November </w:t>
      </w:r>
      <w:r w:rsidRPr="00775C84">
        <w:rPr>
          <w:color w:val="44546A"/>
        </w:rPr>
        <w:t>2016</w:t>
      </w:r>
      <w:r w:rsidRPr="00EB4EEA">
        <w:t xml:space="preserve"> and November 2025.</w:t>
      </w:r>
      <w:bookmarkEnd w:id="103"/>
      <w:bookmarkEnd w:id="104"/>
    </w:p>
    <w:p w14:paraId="30ECD2C9" w14:textId="77777777" w:rsidR="00833C97" w:rsidRPr="00833C97" w:rsidRDefault="00833C97" w:rsidP="00775C84"/>
    <w:p w14:paraId="12B2D97D" w14:textId="77777777" w:rsidR="003E15C2" w:rsidRDefault="003E15C2" w:rsidP="009E1EA2">
      <w:pPr>
        <w:pStyle w:val="Heading2"/>
      </w:pPr>
      <w:bookmarkStart w:id="105" w:name="_heading=h.6l5fdrxjondv" w:colFirst="0" w:colLast="0"/>
      <w:bookmarkStart w:id="106" w:name="_heading=h.uv4alvsqeu0q" w:colFirst="0" w:colLast="0"/>
      <w:bookmarkStart w:id="107" w:name="_Toc219290016"/>
      <w:bookmarkStart w:id="108" w:name="_Toc226796964"/>
      <w:bookmarkEnd w:id="105"/>
      <w:bookmarkEnd w:id="106"/>
      <w:r>
        <w:t>Inspection and demerit analysis</w:t>
      </w:r>
      <w:bookmarkEnd w:id="107"/>
      <w:bookmarkEnd w:id="108"/>
    </w:p>
    <w:p w14:paraId="40A8E077" w14:textId="5DE847A1" w:rsidR="003E15C2" w:rsidRDefault="003E15C2">
      <w:pPr>
        <w:tabs>
          <w:tab w:val="right" w:pos="9000"/>
        </w:tabs>
      </w:pPr>
      <w:r>
        <w:rPr>
          <w:rFonts w:eastAsia="Garamond" w:cs="Garamond"/>
          <w:szCs w:val="22"/>
        </w:rPr>
        <w:t>A total of 5681 inspections were performed</w:t>
      </w:r>
      <w:r w:rsidR="00773F22">
        <w:rPr>
          <w:rFonts w:eastAsia="Garamond" w:cs="Garamond"/>
          <w:szCs w:val="22"/>
        </w:rPr>
        <w:t xml:space="preserve"> on livestock carrier vessels</w:t>
      </w:r>
      <w:r>
        <w:rPr>
          <w:rFonts w:eastAsia="Garamond" w:cs="Garamond"/>
          <w:szCs w:val="22"/>
        </w:rPr>
        <w:t xml:space="preserve"> at Australian ports between November 2016 and November 2025. These were recorded under 12 different inspection type categories (</w:t>
      </w:r>
      <w:r w:rsidRPr="00BE50D7">
        <w:rPr>
          <w:rFonts w:asciiTheme="minorHAnsi" w:eastAsia="Garamond" w:hAnsiTheme="minorHAnsi" w:cs="Garamond"/>
          <w:szCs w:val="22"/>
        </w:rPr>
        <w:fldChar w:fldCharType="begin"/>
      </w:r>
      <w:r w:rsidRPr="00BE50D7">
        <w:rPr>
          <w:rFonts w:asciiTheme="minorHAnsi" w:eastAsia="Garamond" w:hAnsiTheme="minorHAnsi" w:cs="Garamond"/>
          <w:szCs w:val="22"/>
        </w:rPr>
        <w:instrText xml:space="preserve"> REF _Ref219279599 \h  \* MERGEFORMAT </w:instrText>
      </w:r>
      <w:r w:rsidRPr="00BE50D7">
        <w:rPr>
          <w:rFonts w:asciiTheme="minorHAnsi" w:eastAsia="Garamond" w:hAnsiTheme="minorHAnsi" w:cs="Garamond"/>
          <w:szCs w:val="22"/>
        </w:rPr>
      </w:r>
      <w:r w:rsidRPr="00BE50D7">
        <w:rPr>
          <w:rFonts w:asciiTheme="minorHAnsi" w:eastAsia="Garamond" w:hAnsiTheme="minorHAnsi" w:cs="Garamond"/>
          <w:szCs w:val="22"/>
        </w:rPr>
        <w:fldChar w:fldCharType="separate"/>
      </w:r>
      <w:r w:rsidR="00651A0D" w:rsidRPr="00651A0D">
        <w:rPr>
          <w:rFonts w:asciiTheme="minorHAnsi" w:hAnsiTheme="minorHAnsi"/>
          <w:szCs w:val="22"/>
        </w:rPr>
        <w:t xml:space="preserve">Figure </w:t>
      </w:r>
      <w:r w:rsidR="00651A0D" w:rsidRPr="00651A0D">
        <w:rPr>
          <w:rFonts w:asciiTheme="minorHAnsi" w:hAnsiTheme="minorHAnsi"/>
          <w:noProof/>
          <w:szCs w:val="22"/>
        </w:rPr>
        <w:t>8</w:t>
      </w:r>
      <w:r w:rsidRPr="00BE50D7">
        <w:rPr>
          <w:rFonts w:asciiTheme="minorHAnsi" w:eastAsia="Garamond" w:hAnsiTheme="minorHAnsi" w:cs="Garamond"/>
          <w:szCs w:val="22"/>
        </w:rPr>
        <w:fldChar w:fldCharType="end"/>
      </w:r>
      <w:r>
        <w:rPr>
          <w:rFonts w:eastAsia="Garamond" w:cs="Garamond"/>
          <w:szCs w:val="22"/>
        </w:rPr>
        <w:t>). All returning livestock carrier vessels must undergo a routine vessel inspection, as well as a specific inspection of the livestock related areas. The ‘Livestock’ inspections are defined as a thorough inspection of livestock decks, stockman rooms and returning feed and fodder. ‘Routine vessel inspections’ are defined as inspection of all the internal areas such as the galley, kitchen, hospital, crew rooms, the brig and external structure such as the top deck and waste storage.</w:t>
      </w:r>
      <w:r w:rsidR="00B65F59">
        <w:rPr>
          <w:rFonts w:eastAsia="Garamond" w:cs="Garamond"/>
          <w:szCs w:val="22"/>
        </w:rPr>
        <w:t xml:space="preserve"> Demerits were applied to vessels for failure to meet the required standard. For example, if there was evidence of rodents, or insects, demerits would be applied. Demerits can be applied for both the routine and livestock inspection components.</w:t>
      </w:r>
      <w:r>
        <w:rPr>
          <w:rFonts w:eastAsia="Garamond" w:cs="Garamond"/>
          <w:szCs w:val="22"/>
        </w:rPr>
        <w:t xml:space="preserve"> During the observed period, 2481 inspections were categorised as ‘Livestock’, 2178 as ‘Routine vessel inspections’ and 1021 as ‘Other’. For ‘Livestock’ inspections, 238 demerits were allocated between November 2016 and 2025 and 445 for ‘Routine vessel inspections’ and 160 demerits for ‘Other’. </w:t>
      </w:r>
    </w:p>
    <w:p w14:paraId="29B7FA64" w14:textId="77777777" w:rsidR="003E15C2" w:rsidRDefault="003E15C2" w:rsidP="00D93B4A">
      <w:pPr>
        <w:keepNext/>
        <w:jc w:val="center"/>
      </w:pPr>
      <w:r>
        <w:rPr>
          <w:rFonts w:ascii="Arial" w:eastAsia="Arial" w:hAnsi="Arial" w:cs="Arial"/>
          <w:noProof/>
        </w:rPr>
        <w:lastRenderedPageBreak/>
        <w:drawing>
          <wp:inline distT="114300" distB="114300" distL="114300" distR="114300" wp14:anchorId="0ED05910" wp14:editId="69F56B4A">
            <wp:extent cx="5731200" cy="2654300"/>
            <wp:effectExtent l="0" t="0" r="0" b="0"/>
            <wp:docPr id="1443966961" name="image5.png" descr="A graph of a number of peop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graph of a number of people&#10;&#10;AI-generated content may be incorrect."/>
                    <pic:cNvPicPr preferRelativeResize="0"/>
                  </pic:nvPicPr>
                  <pic:blipFill>
                    <a:blip r:embed="rId29"/>
                    <a:srcRect/>
                    <a:stretch>
                      <a:fillRect/>
                    </a:stretch>
                  </pic:blipFill>
                  <pic:spPr>
                    <a:xfrm>
                      <a:off x="0" y="0"/>
                      <a:ext cx="5731200" cy="2654300"/>
                    </a:xfrm>
                    <a:prstGeom prst="rect">
                      <a:avLst/>
                    </a:prstGeom>
                    <a:ln/>
                  </pic:spPr>
                </pic:pic>
              </a:graphicData>
            </a:graphic>
          </wp:inline>
        </w:drawing>
      </w:r>
    </w:p>
    <w:p w14:paraId="120D9AE8" w14:textId="24653734" w:rsidR="003E15C2" w:rsidRDefault="003E15C2" w:rsidP="00D419FE">
      <w:pPr>
        <w:pStyle w:val="Caption"/>
      </w:pPr>
      <w:bookmarkStart w:id="109" w:name="_Ref219279599"/>
      <w:bookmarkStart w:id="110" w:name="_Toc219289949"/>
      <w:bookmarkStart w:id="111" w:name="_Toc226730780"/>
      <w:r>
        <w:t xml:space="preserve">Figure </w:t>
      </w:r>
      <w:fldSimple w:instr=" SEQ Figure \* ARABIC ">
        <w:r w:rsidR="00651A0D">
          <w:rPr>
            <w:noProof/>
          </w:rPr>
          <w:t>8</w:t>
        </w:r>
      </w:fldSimple>
      <w:bookmarkEnd w:id="109"/>
      <w:r>
        <w:tab/>
      </w:r>
      <w:r w:rsidRPr="00622DFC">
        <w:t>Total number of inspections categorised by inspection type at Australian ports between November 2016 and November 2025 (demerit due to non-compliance).</w:t>
      </w:r>
      <w:bookmarkEnd w:id="110"/>
      <w:bookmarkEnd w:id="111"/>
    </w:p>
    <w:p w14:paraId="2EFC822F" w14:textId="77777777" w:rsidR="003E15C2" w:rsidRDefault="003E15C2">
      <w:pPr>
        <w:tabs>
          <w:tab w:val="right" w:pos="9000"/>
        </w:tabs>
        <w:spacing w:before="120"/>
        <w:rPr>
          <w:rFonts w:eastAsia="Garamond" w:cs="Garamond"/>
          <w:szCs w:val="22"/>
        </w:rPr>
      </w:pPr>
      <w:bookmarkStart w:id="112" w:name="_heading=h.um9upi5qrem6" w:colFirst="0" w:colLast="0"/>
      <w:bookmarkEnd w:id="112"/>
    </w:p>
    <w:p w14:paraId="281B1EFD" w14:textId="2BDB5C71" w:rsidR="003E15C2" w:rsidRDefault="003E15C2">
      <w:pPr>
        <w:tabs>
          <w:tab w:val="right" w:pos="9000"/>
        </w:tabs>
        <w:spacing w:before="120"/>
        <w:rPr>
          <w:rFonts w:eastAsia="Garamond" w:cs="Garamond"/>
          <w:szCs w:val="22"/>
        </w:rPr>
      </w:pPr>
      <w:r>
        <w:rPr>
          <w:rFonts w:eastAsia="Garamond" w:cs="Garamond"/>
          <w:szCs w:val="22"/>
        </w:rPr>
        <w:t xml:space="preserve">Demerit points are applied for non-compliance to biosecurity requirements and are used in the risk assessment of vessels to determine whether they require an in-person inspection. However, livestock carrier vessels are different as they all require an in-person inspection on every arrival, regardless of previous history. </w:t>
      </w:r>
      <w:r w:rsidRPr="00BE50D7">
        <w:rPr>
          <w:rFonts w:asciiTheme="minorHAnsi" w:eastAsia="Garamond" w:hAnsiTheme="minorHAnsi" w:cs="Garamond"/>
          <w:szCs w:val="22"/>
        </w:rPr>
        <w:fldChar w:fldCharType="begin"/>
      </w:r>
      <w:r w:rsidRPr="00BE50D7">
        <w:rPr>
          <w:rFonts w:asciiTheme="minorHAnsi" w:eastAsia="Garamond" w:hAnsiTheme="minorHAnsi" w:cs="Garamond"/>
          <w:szCs w:val="22"/>
        </w:rPr>
        <w:instrText xml:space="preserve"> REF _Ref219279655 \h  \* MERGEFORMAT </w:instrText>
      </w:r>
      <w:r w:rsidRPr="00BE50D7">
        <w:rPr>
          <w:rFonts w:asciiTheme="minorHAnsi" w:eastAsia="Garamond" w:hAnsiTheme="minorHAnsi" w:cs="Garamond"/>
          <w:szCs w:val="22"/>
        </w:rPr>
      </w:r>
      <w:r w:rsidRPr="00BE50D7">
        <w:rPr>
          <w:rFonts w:asciiTheme="minorHAnsi" w:eastAsia="Garamond" w:hAnsiTheme="minorHAnsi" w:cs="Garamond"/>
          <w:szCs w:val="22"/>
        </w:rPr>
        <w:fldChar w:fldCharType="separate"/>
      </w:r>
      <w:r w:rsidR="00651A0D" w:rsidRPr="00651A0D">
        <w:rPr>
          <w:rFonts w:asciiTheme="minorHAnsi" w:hAnsiTheme="minorHAnsi"/>
          <w:szCs w:val="22"/>
        </w:rPr>
        <w:t xml:space="preserve">Figure </w:t>
      </w:r>
      <w:r w:rsidR="00651A0D" w:rsidRPr="00651A0D">
        <w:rPr>
          <w:rFonts w:asciiTheme="minorHAnsi" w:hAnsiTheme="minorHAnsi"/>
          <w:noProof/>
          <w:szCs w:val="22"/>
        </w:rPr>
        <w:t>9</w:t>
      </w:r>
      <w:r w:rsidRPr="00BE50D7">
        <w:rPr>
          <w:rFonts w:asciiTheme="minorHAnsi" w:eastAsia="Garamond" w:hAnsiTheme="minorHAnsi" w:cs="Garamond"/>
          <w:szCs w:val="22"/>
        </w:rPr>
        <w:fldChar w:fldCharType="end"/>
      </w:r>
      <w:r>
        <w:rPr>
          <w:rFonts w:eastAsia="Garamond" w:cs="Garamond"/>
          <w:szCs w:val="22"/>
        </w:rPr>
        <w:t xml:space="preserve"> presents the total number of different non-compliance breach categories that were recorded between November 2016 and November 2025. Ballast water, livestock and insects were the most frequently recorded. </w:t>
      </w:r>
    </w:p>
    <w:p w14:paraId="3380A88D" w14:textId="3744182C" w:rsidR="003E15C2" w:rsidRDefault="003E15C2">
      <w:pPr>
        <w:tabs>
          <w:tab w:val="right" w:pos="9000"/>
        </w:tabs>
        <w:spacing w:before="120"/>
        <w:rPr>
          <w:rFonts w:eastAsia="Garamond" w:cs="Garamond"/>
          <w:szCs w:val="22"/>
        </w:rPr>
      </w:pPr>
      <w:r w:rsidRPr="00BE50D7">
        <w:rPr>
          <w:rFonts w:asciiTheme="minorHAnsi" w:eastAsia="Garamond" w:hAnsiTheme="minorHAnsi" w:cs="Garamond"/>
          <w:szCs w:val="22"/>
        </w:rPr>
        <w:fldChar w:fldCharType="begin"/>
      </w:r>
      <w:r w:rsidRPr="00BE50D7">
        <w:rPr>
          <w:rFonts w:asciiTheme="minorHAnsi" w:eastAsia="Garamond" w:hAnsiTheme="minorHAnsi" w:cs="Garamond"/>
          <w:szCs w:val="22"/>
        </w:rPr>
        <w:instrText xml:space="preserve"> REF _Ref219279731 \h  \* MERGEFORMAT </w:instrText>
      </w:r>
      <w:r w:rsidRPr="00BE50D7">
        <w:rPr>
          <w:rFonts w:asciiTheme="minorHAnsi" w:eastAsia="Garamond" w:hAnsiTheme="minorHAnsi" w:cs="Garamond"/>
          <w:szCs w:val="22"/>
        </w:rPr>
      </w:r>
      <w:r w:rsidRPr="00BE50D7">
        <w:rPr>
          <w:rFonts w:asciiTheme="minorHAnsi" w:eastAsia="Garamond" w:hAnsiTheme="minorHAnsi" w:cs="Garamond"/>
          <w:szCs w:val="22"/>
        </w:rPr>
        <w:fldChar w:fldCharType="separate"/>
      </w:r>
      <w:r w:rsidR="00651A0D" w:rsidRPr="00651A0D">
        <w:rPr>
          <w:rFonts w:asciiTheme="minorHAnsi" w:hAnsiTheme="minorHAnsi"/>
          <w:szCs w:val="22"/>
        </w:rPr>
        <w:t xml:space="preserve">Figure </w:t>
      </w:r>
      <w:r w:rsidR="00651A0D" w:rsidRPr="00651A0D">
        <w:rPr>
          <w:rFonts w:asciiTheme="minorHAnsi" w:hAnsiTheme="minorHAnsi"/>
          <w:noProof/>
          <w:szCs w:val="22"/>
        </w:rPr>
        <w:t>10</w:t>
      </w:r>
      <w:r w:rsidRPr="00BE50D7">
        <w:rPr>
          <w:rFonts w:asciiTheme="minorHAnsi" w:eastAsia="Garamond" w:hAnsiTheme="minorHAnsi" w:cs="Garamond"/>
          <w:szCs w:val="22"/>
        </w:rPr>
        <w:fldChar w:fldCharType="end"/>
      </w:r>
      <w:r>
        <w:rPr>
          <w:rFonts w:eastAsia="Garamond" w:cs="Garamond"/>
          <w:szCs w:val="22"/>
        </w:rPr>
        <w:t xml:space="preserve"> highlights the distribution of demerit points across the year and identifies where </w:t>
      </w:r>
      <w:r w:rsidR="006F0FD8">
        <w:rPr>
          <w:rFonts w:eastAsia="Garamond" w:cs="Garamond"/>
          <w:szCs w:val="22"/>
        </w:rPr>
        <w:t>night-time</w:t>
      </w:r>
      <w:r>
        <w:rPr>
          <w:rFonts w:eastAsia="Garamond" w:cs="Garamond"/>
          <w:szCs w:val="22"/>
        </w:rPr>
        <w:t xml:space="preserve"> inspections resulted in a demerit. A total of 126 breaches were recorded during </w:t>
      </w:r>
      <w:r w:rsidR="006F0FD8">
        <w:rPr>
          <w:rFonts w:eastAsia="Garamond" w:cs="Garamond"/>
          <w:szCs w:val="22"/>
        </w:rPr>
        <w:t>night-time</w:t>
      </w:r>
      <w:r>
        <w:rPr>
          <w:rFonts w:eastAsia="Garamond" w:cs="Garamond"/>
          <w:szCs w:val="22"/>
        </w:rPr>
        <w:t xml:space="preserve"> inspections, with ballast water (47 demerits), documents (18 demerits), insects (17 demerits) and livestock (12 demerits) being the top breach categories recorded</w:t>
      </w:r>
      <w:r w:rsidRPr="00D863BE">
        <w:rPr>
          <w:rFonts w:eastAsia="Garamond" w:cs="Garamond"/>
          <w:szCs w:val="22"/>
        </w:rPr>
        <w:t>. Livestock breaches were primarily ‘Failure to clean and treat decks that resulted in minor/major issues’. ‘Insects’ were all either minor or major infestations on board. Insects may be detected in the routine vessel inspection</w:t>
      </w:r>
      <w:r>
        <w:rPr>
          <w:rFonts w:eastAsia="Garamond" w:cs="Garamond"/>
          <w:szCs w:val="22"/>
        </w:rPr>
        <w:t>, such as in the food stores or general rubbish, or in the livestock inspection and may include flying insects. No data are collected to record where breaches occur on the vessel.</w:t>
      </w:r>
    </w:p>
    <w:p w14:paraId="69CEFE7D" w14:textId="126060FF" w:rsidR="003E15C2" w:rsidRDefault="003E15C2">
      <w:pPr>
        <w:tabs>
          <w:tab w:val="right" w:pos="9000"/>
        </w:tabs>
        <w:spacing w:before="120"/>
      </w:pPr>
      <w:r>
        <w:rPr>
          <w:rFonts w:eastAsia="Garamond" w:cs="Garamond"/>
          <w:szCs w:val="22"/>
        </w:rPr>
        <w:t xml:space="preserve">Overall, May had the highest number of livestock inspections (244 in total), with 79.5% conducted during the day and 20.5% at night. Darwin has the highest number of </w:t>
      </w:r>
      <w:r w:rsidR="006F0FD8">
        <w:rPr>
          <w:rFonts w:eastAsia="Garamond" w:cs="Garamond"/>
          <w:szCs w:val="22"/>
        </w:rPr>
        <w:t>night-time</w:t>
      </w:r>
      <w:r>
        <w:rPr>
          <w:rFonts w:eastAsia="Garamond" w:cs="Garamond"/>
          <w:szCs w:val="22"/>
        </w:rPr>
        <w:t xml:space="preserve"> livestock inspections (243 in total) across the data set. This is possibly due to the </w:t>
      </w:r>
      <w:r w:rsidR="006F0FD8">
        <w:rPr>
          <w:rFonts w:eastAsia="Garamond" w:cs="Garamond"/>
          <w:szCs w:val="22"/>
        </w:rPr>
        <w:t>night-time</w:t>
      </w:r>
      <w:r>
        <w:rPr>
          <w:rFonts w:eastAsia="Garamond" w:cs="Garamond"/>
          <w:szCs w:val="22"/>
        </w:rPr>
        <w:t xml:space="preserve"> ban not coming into effect until 2021, whereas other ports ceased </w:t>
      </w:r>
      <w:r w:rsidR="006F0FD8">
        <w:rPr>
          <w:rFonts w:eastAsia="Garamond" w:cs="Garamond"/>
          <w:szCs w:val="22"/>
        </w:rPr>
        <w:t>night-time</w:t>
      </w:r>
      <w:r>
        <w:rPr>
          <w:rFonts w:eastAsia="Garamond" w:cs="Garamond"/>
          <w:szCs w:val="22"/>
        </w:rPr>
        <w:t xml:space="preserve"> inspections in 2017. Some data were classified as </w:t>
      </w:r>
      <w:r w:rsidR="006F0FD8">
        <w:rPr>
          <w:rFonts w:eastAsia="Garamond" w:cs="Garamond"/>
          <w:szCs w:val="22"/>
        </w:rPr>
        <w:t>night-time</w:t>
      </w:r>
      <w:r>
        <w:rPr>
          <w:rFonts w:eastAsia="Garamond" w:cs="Garamond"/>
          <w:szCs w:val="22"/>
        </w:rPr>
        <w:t xml:space="preserve"> inspections following the ban on </w:t>
      </w:r>
      <w:r w:rsidR="006F0FD8">
        <w:rPr>
          <w:rFonts w:eastAsia="Garamond" w:cs="Garamond"/>
          <w:szCs w:val="22"/>
        </w:rPr>
        <w:t>night-time</w:t>
      </w:r>
      <w:r>
        <w:rPr>
          <w:rFonts w:eastAsia="Garamond" w:cs="Garamond"/>
          <w:szCs w:val="22"/>
        </w:rPr>
        <w:t xml:space="preserve"> inspections. However, this is due to the variation in sunset time between the different ports, with light still present at some ports post 18:30h - such as southern ports during the summer months. </w:t>
      </w:r>
    </w:p>
    <w:p w14:paraId="4505F660" w14:textId="77777777" w:rsidR="003E15C2" w:rsidRDefault="003E15C2" w:rsidP="00D93B4A">
      <w:pPr>
        <w:keepNext/>
      </w:pPr>
      <w:r>
        <w:rPr>
          <w:noProof/>
        </w:rPr>
        <w:lastRenderedPageBreak/>
        <w:drawing>
          <wp:inline distT="114300" distB="114300" distL="114300" distR="114300" wp14:anchorId="0721EF3C" wp14:editId="3BE37789">
            <wp:extent cx="5731200" cy="2819400"/>
            <wp:effectExtent l="0" t="0" r="0" b="0"/>
            <wp:docPr id="1443966960" name="image3.png" descr="A graph showing a number of different types of data&#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graph showing a number of different types of data&#10;&#10;AI-generated content may be incorrect."/>
                    <pic:cNvPicPr preferRelativeResize="0"/>
                  </pic:nvPicPr>
                  <pic:blipFill>
                    <a:blip r:embed="rId30"/>
                    <a:srcRect/>
                    <a:stretch>
                      <a:fillRect/>
                    </a:stretch>
                  </pic:blipFill>
                  <pic:spPr>
                    <a:xfrm>
                      <a:off x="0" y="0"/>
                      <a:ext cx="5731200" cy="2819400"/>
                    </a:xfrm>
                    <a:prstGeom prst="rect">
                      <a:avLst/>
                    </a:prstGeom>
                    <a:ln/>
                  </pic:spPr>
                </pic:pic>
              </a:graphicData>
            </a:graphic>
          </wp:inline>
        </w:drawing>
      </w:r>
    </w:p>
    <w:p w14:paraId="10C9891C" w14:textId="3CC07D57" w:rsidR="003E15C2" w:rsidRDefault="003E15C2" w:rsidP="00D419FE">
      <w:pPr>
        <w:pStyle w:val="Caption"/>
      </w:pPr>
      <w:bookmarkStart w:id="113" w:name="_Ref219279655"/>
      <w:bookmarkStart w:id="114" w:name="_Toc219289950"/>
      <w:bookmarkStart w:id="115" w:name="_Toc226730781"/>
      <w:r>
        <w:t xml:space="preserve">Figure </w:t>
      </w:r>
      <w:fldSimple w:instr=" SEQ Figure \* ARABIC ">
        <w:r w:rsidR="00651A0D">
          <w:rPr>
            <w:noProof/>
          </w:rPr>
          <w:t>9</w:t>
        </w:r>
      </w:fldSimple>
      <w:bookmarkEnd w:id="113"/>
      <w:r>
        <w:tab/>
      </w:r>
      <w:r w:rsidRPr="00156045">
        <w:t>Total number of breaches by category for livestock carrier vessels between November 2016 and November 2025.</w:t>
      </w:r>
      <w:bookmarkEnd w:id="114"/>
      <w:bookmarkEnd w:id="115"/>
    </w:p>
    <w:p w14:paraId="1E9DAE8C" w14:textId="77777777" w:rsidR="003E15C2" w:rsidRPr="00DA4350" w:rsidRDefault="003E15C2" w:rsidP="00B12684"/>
    <w:p w14:paraId="223DED41" w14:textId="77777777" w:rsidR="003E15C2" w:rsidRDefault="003E15C2" w:rsidP="00D93B4A">
      <w:pPr>
        <w:keepNext/>
        <w:tabs>
          <w:tab w:val="right" w:pos="9000"/>
        </w:tabs>
      </w:pPr>
      <w:bookmarkStart w:id="116" w:name="_heading=h.jr2xemdq8d35" w:colFirst="0" w:colLast="0"/>
      <w:bookmarkEnd w:id="116"/>
      <w:r>
        <w:rPr>
          <w:noProof/>
        </w:rPr>
        <w:drawing>
          <wp:inline distT="114300" distB="114300" distL="114300" distR="114300" wp14:anchorId="206D9917" wp14:editId="2796C46D">
            <wp:extent cx="5731200" cy="2959100"/>
            <wp:effectExtent l="0" t="0" r="0" b="0"/>
            <wp:docPr id="1443966963" name="image8.png" descr="A graph of a day and nigh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graph of a day and night&#10;&#10;AI-generated content may be incorrect."/>
                    <pic:cNvPicPr preferRelativeResize="0"/>
                  </pic:nvPicPr>
                  <pic:blipFill>
                    <a:blip r:embed="rId31"/>
                    <a:srcRect/>
                    <a:stretch>
                      <a:fillRect/>
                    </a:stretch>
                  </pic:blipFill>
                  <pic:spPr>
                    <a:xfrm>
                      <a:off x="0" y="0"/>
                      <a:ext cx="5731200" cy="2959100"/>
                    </a:xfrm>
                    <a:prstGeom prst="rect">
                      <a:avLst/>
                    </a:prstGeom>
                    <a:ln/>
                  </pic:spPr>
                </pic:pic>
              </a:graphicData>
            </a:graphic>
          </wp:inline>
        </w:drawing>
      </w:r>
    </w:p>
    <w:p w14:paraId="3CC39986" w14:textId="4AE307F0" w:rsidR="003E15C2" w:rsidRDefault="003E15C2" w:rsidP="00D419FE">
      <w:pPr>
        <w:pStyle w:val="Caption"/>
      </w:pPr>
      <w:bookmarkStart w:id="117" w:name="_Ref219279731"/>
      <w:bookmarkStart w:id="118" w:name="_Toc219289951"/>
      <w:bookmarkStart w:id="119" w:name="_Toc226730782"/>
      <w:r>
        <w:t xml:space="preserve">Figure </w:t>
      </w:r>
      <w:fldSimple w:instr=" SEQ Figure \* ARABIC ">
        <w:r w:rsidR="00651A0D">
          <w:rPr>
            <w:noProof/>
          </w:rPr>
          <w:t>10</w:t>
        </w:r>
      </w:fldSimple>
      <w:bookmarkEnd w:id="117"/>
      <w:r>
        <w:tab/>
      </w:r>
      <w:r w:rsidRPr="008848FF">
        <w:t>Total number of livestock inspections by month at Australian ports between November 2016 and November 2025, categories by inspection result (demerit or no demerit due to non-compliance).</w:t>
      </w:r>
      <w:bookmarkEnd w:id="118"/>
      <w:bookmarkEnd w:id="119"/>
    </w:p>
    <w:p w14:paraId="36E58B63" w14:textId="77777777" w:rsidR="003E15C2" w:rsidRDefault="003E15C2" w:rsidP="00A33CBE">
      <w:pPr>
        <w:pStyle w:val="Heading2"/>
        <w:spacing w:before="240" w:after="240"/>
        <w:ind w:left="578" w:hanging="578"/>
      </w:pPr>
      <w:bookmarkStart w:id="120" w:name="_heading=h.1p8nesi6ql5t" w:colFirst="0" w:colLast="0"/>
      <w:bookmarkStart w:id="121" w:name="_Toc219290017"/>
      <w:bookmarkStart w:id="122" w:name="_Toc226796965"/>
      <w:bookmarkEnd w:id="120"/>
      <w:r>
        <w:t>Livestock carrier vessels</w:t>
      </w:r>
      <w:bookmarkEnd w:id="121"/>
      <w:bookmarkEnd w:id="122"/>
    </w:p>
    <w:p w14:paraId="1F212969" w14:textId="62696DF9" w:rsidR="003E15C2" w:rsidRDefault="003E15C2">
      <w:pPr>
        <w:tabs>
          <w:tab w:val="right" w:pos="9000"/>
        </w:tabs>
        <w:spacing w:before="120"/>
        <w:rPr>
          <w:rFonts w:eastAsia="Garamond" w:cs="Garamond"/>
          <w:szCs w:val="22"/>
        </w:rPr>
      </w:pPr>
      <w:r>
        <w:rPr>
          <w:rFonts w:eastAsia="Garamond" w:cs="Garamond"/>
          <w:szCs w:val="22"/>
        </w:rPr>
        <w:t xml:space="preserve">Table 4 summarises the allocation of demerit points to different vessels between 2016 and 2025. </w:t>
      </w:r>
      <w:r w:rsidR="00AC5DAA">
        <w:rPr>
          <w:rFonts w:eastAsia="Garamond" w:cs="Garamond"/>
          <w:szCs w:val="22"/>
        </w:rPr>
        <w:t>Vessel 28</w:t>
      </w:r>
      <w:r>
        <w:rPr>
          <w:rFonts w:eastAsia="Garamond" w:cs="Garamond"/>
          <w:szCs w:val="22"/>
        </w:rPr>
        <w:t xml:space="preserve"> received the highest total number of </w:t>
      </w:r>
      <w:r w:rsidR="00EC162A">
        <w:rPr>
          <w:rFonts w:eastAsia="Garamond" w:cs="Garamond"/>
          <w:szCs w:val="22"/>
        </w:rPr>
        <w:t xml:space="preserve">remedial actions </w:t>
      </w:r>
      <w:r>
        <w:rPr>
          <w:rFonts w:eastAsia="Garamond" w:cs="Garamond"/>
          <w:szCs w:val="22"/>
        </w:rPr>
        <w:t xml:space="preserve">(48), with the highest occurring in 2019 with three related to livestock non-compliance and seven to other non-compliance categories. In 2025, this vessel </w:t>
      </w:r>
      <w:r w:rsidR="005D3DBA">
        <w:rPr>
          <w:rFonts w:eastAsia="Garamond" w:cs="Garamond"/>
          <w:szCs w:val="22"/>
        </w:rPr>
        <w:t xml:space="preserve">underwent </w:t>
      </w:r>
      <w:r>
        <w:rPr>
          <w:rFonts w:eastAsia="Garamond" w:cs="Garamond"/>
          <w:szCs w:val="22"/>
        </w:rPr>
        <w:t xml:space="preserve">seven </w:t>
      </w:r>
      <w:r w:rsidR="005D3DBA">
        <w:rPr>
          <w:rFonts w:eastAsia="Garamond" w:cs="Garamond"/>
          <w:szCs w:val="22"/>
        </w:rPr>
        <w:t>remedial actions</w:t>
      </w:r>
      <w:r>
        <w:rPr>
          <w:rFonts w:eastAsia="Garamond" w:cs="Garamond"/>
          <w:szCs w:val="22"/>
        </w:rPr>
        <w:t>. These included livestock breaches due to failure to clean and treat decks, evidence of seeds/organic material on deck (moderate contamination), major insect infestation found on board and not following directions on Biosecurity Status Document (BSD).</w:t>
      </w:r>
    </w:p>
    <w:p w14:paraId="563E6FD1" w14:textId="21063507" w:rsidR="003E15C2" w:rsidRDefault="003E15C2">
      <w:pPr>
        <w:spacing w:before="120"/>
        <w:rPr>
          <w:rFonts w:eastAsia="Garamond" w:cs="Garamond"/>
          <w:szCs w:val="22"/>
        </w:rPr>
      </w:pPr>
      <w:r>
        <w:rPr>
          <w:rFonts w:eastAsia="Garamond" w:cs="Garamond"/>
          <w:szCs w:val="22"/>
        </w:rPr>
        <w:lastRenderedPageBreak/>
        <w:t xml:space="preserve">The next vessel with </w:t>
      </w:r>
      <w:r w:rsidR="005D3DBA">
        <w:rPr>
          <w:rFonts w:eastAsia="Garamond" w:cs="Garamond"/>
          <w:szCs w:val="22"/>
        </w:rPr>
        <w:t xml:space="preserve">the highest number of remedial actions included </w:t>
      </w:r>
      <w:r w:rsidR="00AC5DAA">
        <w:rPr>
          <w:rFonts w:eastAsia="Garamond" w:cs="Garamond"/>
          <w:szCs w:val="22"/>
        </w:rPr>
        <w:t>Vessel 21</w:t>
      </w:r>
      <w:r>
        <w:rPr>
          <w:rFonts w:eastAsia="Garamond" w:cs="Garamond"/>
          <w:szCs w:val="22"/>
        </w:rPr>
        <w:t xml:space="preserve">. Six were allocated during 2025, with five of those due to a livestock breach. This included with failure to clean and treat decks and one for an insect infestation found on board. </w:t>
      </w:r>
    </w:p>
    <w:p w14:paraId="34549A7D" w14:textId="09531A0F" w:rsidR="003E15C2" w:rsidRDefault="005D3DBA">
      <w:pPr>
        <w:spacing w:before="120"/>
        <w:rPr>
          <w:rFonts w:eastAsia="Garamond" w:cs="Garamond"/>
          <w:szCs w:val="22"/>
        </w:rPr>
      </w:pPr>
      <w:r>
        <w:rPr>
          <w:rFonts w:eastAsia="Garamond" w:cs="Garamond"/>
          <w:szCs w:val="22"/>
        </w:rPr>
        <w:t xml:space="preserve">Vessel </w:t>
      </w:r>
      <w:r w:rsidR="00AC5DAA">
        <w:rPr>
          <w:rFonts w:eastAsia="Garamond" w:cs="Garamond"/>
          <w:szCs w:val="22"/>
        </w:rPr>
        <w:t>1</w:t>
      </w:r>
      <w:r w:rsidR="003E15C2">
        <w:rPr>
          <w:rFonts w:eastAsia="Garamond" w:cs="Garamond"/>
          <w:szCs w:val="22"/>
        </w:rPr>
        <w:t xml:space="preserve"> has received the most demerits in 2025 (9 in total) for a range of breaches including critical rodent infestations, evidence of seeds/organic material on deck, not managing ship’s pet/animal as directed and failure to follow directions on BSD.</w:t>
      </w:r>
    </w:p>
    <w:p w14:paraId="2CB78707" w14:textId="0FE99ED8" w:rsidR="003E15C2" w:rsidRDefault="00AC5DAA">
      <w:pPr>
        <w:spacing w:before="120"/>
        <w:rPr>
          <w:rFonts w:eastAsia="Garamond" w:cs="Garamond"/>
          <w:szCs w:val="22"/>
        </w:rPr>
      </w:pPr>
      <w:r>
        <w:rPr>
          <w:rFonts w:eastAsia="Garamond" w:cs="Garamond"/>
          <w:szCs w:val="22"/>
        </w:rPr>
        <w:t>Vessel 21</w:t>
      </w:r>
      <w:r w:rsidR="003E15C2">
        <w:rPr>
          <w:rFonts w:eastAsia="Garamond" w:cs="Garamond"/>
          <w:szCs w:val="22"/>
        </w:rPr>
        <w:t xml:space="preserve"> had the highest number of arrivals into Australia (170 in total between 2016-2025; </w:t>
      </w:r>
      <w:r w:rsidR="003E15C2" w:rsidRPr="00BE50D7">
        <w:rPr>
          <w:rFonts w:asciiTheme="minorHAnsi" w:eastAsia="Garamond" w:hAnsiTheme="minorHAnsi" w:cs="Garamond"/>
          <w:szCs w:val="22"/>
        </w:rPr>
        <w:fldChar w:fldCharType="begin"/>
      </w:r>
      <w:r w:rsidR="003E15C2" w:rsidRPr="00BE50D7">
        <w:rPr>
          <w:rFonts w:asciiTheme="minorHAnsi" w:eastAsia="Garamond" w:hAnsiTheme="minorHAnsi" w:cs="Garamond"/>
          <w:szCs w:val="22"/>
        </w:rPr>
        <w:instrText xml:space="preserve"> REF _Ref219279523 \h  \* MERGEFORMAT </w:instrText>
      </w:r>
      <w:r w:rsidR="003E15C2" w:rsidRPr="00BE50D7">
        <w:rPr>
          <w:rFonts w:asciiTheme="minorHAnsi" w:eastAsia="Garamond" w:hAnsiTheme="minorHAnsi" w:cs="Garamond"/>
          <w:szCs w:val="22"/>
        </w:rPr>
      </w:r>
      <w:r w:rsidR="003E15C2" w:rsidRPr="00BE50D7">
        <w:rPr>
          <w:rFonts w:asciiTheme="minorHAnsi" w:eastAsia="Garamond" w:hAnsiTheme="minorHAnsi" w:cs="Garamond"/>
          <w:szCs w:val="22"/>
        </w:rPr>
        <w:fldChar w:fldCharType="separate"/>
      </w:r>
      <w:r w:rsidR="00651A0D" w:rsidRPr="00651A0D">
        <w:rPr>
          <w:rFonts w:asciiTheme="minorHAnsi" w:hAnsiTheme="minorHAnsi"/>
          <w:szCs w:val="22"/>
        </w:rPr>
        <w:t xml:space="preserve">Figure </w:t>
      </w:r>
      <w:r w:rsidR="00651A0D" w:rsidRPr="00651A0D">
        <w:rPr>
          <w:rFonts w:asciiTheme="minorHAnsi" w:hAnsiTheme="minorHAnsi"/>
          <w:noProof/>
          <w:szCs w:val="22"/>
        </w:rPr>
        <w:t>7</w:t>
      </w:r>
      <w:r w:rsidR="003E15C2" w:rsidRPr="00BE50D7">
        <w:rPr>
          <w:rFonts w:asciiTheme="minorHAnsi" w:eastAsia="Garamond" w:hAnsiTheme="minorHAnsi" w:cs="Garamond"/>
          <w:szCs w:val="22"/>
        </w:rPr>
        <w:fldChar w:fldCharType="end"/>
      </w:r>
      <w:r w:rsidR="003E15C2">
        <w:rPr>
          <w:rFonts w:eastAsia="Garamond" w:cs="Garamond"/>
          <w:szCs w:val="22"/>
        </w:rPr>
        <w:t xml:space="preserve">). From these visits, 346 inspections took place, 43 resulted in a demerit (12.4% of inspections). In 2025, out of 46 total inspections, this vessel received 6 demerits. Five of these from livestock inspections and 1 from routine vessel inspection. </w:t>
      </w:r>
      <w:r w:rsidR="003E15C2" w:rsidRPr="00A72388">
        <w:rPr>
          <w:rFonts w:asciiTheme="minorHAnsi" w:eastAsia="Garamond" w:hAnsiTheme="minorHAnsi" w:cs="Garamond"/>
          <w:szCs w:val="22"/>
        </w:rPr>
        <w:fldChar w:fldCharType="begin"/>
      </w:r>
      <w:r w:rsidR="003E15C2" w:rsidRPr="00A72388">
        <w:rPr>
          <w:rFonts w:asciiTheme="minorHAnsi" w:eastAsia="Garamond" w:hAnsiTheme="minorHAnsi" w:cs="Garamond"/>
          <w:szCs w:val="22"/>
        </w:rPr>
        <w:instrText xml:space="preserve"> REF _Ref219281044 \h  \* MERGEFORMAT </w:instrText>
      </w:r>
      <w:r w:rsidR="003E15C2" w:rsidRPr="00A72388">
        <w:rPr>
          <w:rFonts w:asciiTheme="minorHAnsi" w:eastAsia="Garamond" w:hAnsiTheme="minorHAnsi" w:cs="Garamond"/>
          <w:szCs w:val="22"/>
        </w:rPr>
      </w:r>
      <w:r w:rsidR="003E15C2" w:rsidRPr="00A72388">
        <w:rPr>
          <w:rFonts w:asciiTheme="minorHAnsi" w:eastAsia="Garamond" w:hAnsiTheme="minorHAnsi" w:cs="Garamond"/>
          <w:szCs w:val="22"/>
        </w:rPr>
        <w:fldChar w:fldCharType="separate"/>
      </w:r>
      <w:r w:rsidR="00651A0D" w:rsidRPr="00651A0D">
        <w:rPr>
          <w:rFonts w:asciiTheme="minorHAnsi" w:hAnsiTheme="minorHAnsi"/>
          <w:szCs w:val="22"/>
        </w:rPr>
        <w:t xml:space="preserve">Table </w:t>
      </w:r>
      <w:r w:rsidR="00651A0D" w:rsidRPr="00651A0D">
        <w:rPr>
          <w:rFonts w:asciiTheme="minorHAnsi" w:hAnsiTheme="minorHAnsi"/>
          <w:noProof/>
          <w:szCs w:val="22"/>
        </w:rPr>
        <w:t>4</w:t>
      </w:r>
      <w:r w:rsidR="003E15C2" w:rsidRPr="00A72388">
        <w:rPr>
          <w:rFonts w:asciiTheme="minorHAnsi" w:eastAsia="Garamond" w:hAnsiTheme="minorHAnsi" w:cs="Garamond"/>
          <w:szCs w:val="22"/>
        </w:rPr>
        <w:fldChar w:fldCharType="end"/>
      </w:r>
      <w:r w:rsidR="003E15C2">
        <w:rPr>
          <w:rFonts w:eastAsia="Garamond" w:cs="Garamond"/>
          <w:szCs w:val="22"/>
        </w:rPr>
        <w:t xml:space="preserve"> outlines the number of demerits by breach category for all returning livestock vessels.</w:t>
      </w:r>
    </w:p>
    <w:p w14:paraId="4420F809" w14:textId="77777777" w:rsidR="006B7092" w:rsidRDefault="006B7092">
      <w:pPr>
        <w:spacing w:before="120"/>
        <w:rPr>
          <w:rFonts w:eastAsia="Garamond" w:cs="Garamond"/>
          <w:szCs w:val="22"/>
        </w:rPr>
        <w:sectPr w:rsidR="006B7092" w:rsidSect="003E15C2">
          <w:headerReference w:type="default" r:id="rId32"/>
          <w:pgSz w:w="11906" w:h="16838"/>
          <w:pgMar w:top="1440" w:right="1440" w:bottom="1440" w:left="1440" w:header="578" w:footer="578" w:gutter="0"/>
          <w:cols w:space="720"/>
        </w:sectPr>
      </w:pPr>
    </w:p>
    <w:p w14:paraId="17C3D450" w14:textId="27DDA6B4" w:rsidR="003E15C2" w:rsidRDefault="003E15C2" w:rsidP="00D419FE">
      <w:pPr>
        <w:pStyle w:val="Caption"/>
      </w:pPr>
      <w:bookmarkStart w:id="123" w:name="_Ref219281044"/>
      <w:bookmarkStart w:id="124" w:name="_Toc219289934"/>
      <w:bookmarkStart w:id="125" w:name="_Toc226794707"/>
      <w:r w:rsidRPr="00535E60">
        <w:lastRenderedPageBreak/>
        <w:t xml:space="preserve">Table </w:t>
      </w:r>
      <w:r w:rsidR="00C44AF7" w:rsidRPr="00953794">
        <w:fldChar w:fldCharType="begin"/>
      </w:r>
      <w:r w:rsidR="00C44AF7" w:rsidRPr="00535E60">
        <w:instrText xml:space="preserve"> SEQ Table \* ARABIC </w:instrText>
      </w:r>
      <w:r w:rsidR="00C44AF7" w:rsidRPr="00953794">
        <w:fldChar w:fldCharType="separate"/>
      </w:r>
      <w:r w:rsidR="00651A0D">
        <w:rPr>
          <w:noProof/>
        </w:rPr>
        <w:t>4</w:t>
      </w:r>
      <w:r w:rsidR="00C44AF7" w:rsidRPr="00953794">
        <w:fldChar w:fldCharType="end"/>
      </w:r>
      <w:bookmarkEnd w:id="123"/>
      <w:r w:rsidRPr="00535E60">
        <w:tab/>
        <w:t xml:space="preserve">Total number of </w:t>
      </w:r>
      <w:r w:rsidR="00EC162A">
        <w:t>remedial actions</w:t>
      </w:r>
      <w:r w:rsidR="00EC162A" w:rsidRPr="00535E60">
        <w:t xml:space="preserve"> </w:t>
      </w:r>
      <w:r w:rsidRPr="00535E60">
        <w:t xml:space="preserve">due to ‘Livestock’ </w:t>
      </w:r>
      <w:r w:rsidR="00AC5DAA">
        <w:t xml:space="preserve">inspection </w:t>
      </w:r>
      <w:r w:rsidRPr="00535E60">
        <w:t>non-compliance</w:t>
      </w:r>
      <w:r w:rsidR="00615DC6">
        <w:t xml:space="preserve"> (</w:t>
      </w:r>
      <w:r w:rsidRPr="00535E60">
        <w:t>total number of demerits</w:t>
      </w:r>
      <w:r w:rsidR="00916A47">
        <w:t xml:space="preserve"> </w:t>
      </w:r>
      <w:r w:rsidRPr="00535E60">
        <w:t>across all categories</w:t>
      </w:r>
      <w:r w:rsidR="00916A47">
        <w:t xml:space="preserve"> </w:t>
      </w:r>
      <w:r w:rsidR="00615DC6">
        <w:t xml:space="preserve">/ </w:t>
      </w:r>
      <w:r w:rsidR="00916A47">
        <w:t>total number of arrivals into Australia</w:t>
      </w:r>
      <w:r w:rsidR="00615DC6">
        <w:t xml:space="preserve">), </w:t>
      </w:r>
      <w:r w:rsidRPr="00535E60">
        <w:t>categorised by vessel and year.</w:t>
      </w:r>
      <w:bookmarkStart w:id="126" w:name="_heading=h.vdo701kiqii8" w:colFirst="0" w:colLast="0"/>
      <w:bookmarkEnd w:id="124"/>
      <w:bookmarkEnd w:id="125"/>
      <w:bookmarkEnd w:id="126"/>
      <w:r w:rsidR="00BF0233">
        <w:t xml:space="preserve"> </w:t>
      </w:r>
    </w:p>
    <w:tbl>
      <w:tblPr>
        <w:tblStyle w:val="3"/>
        <w:tblW w:w="4847" w:type="pct"/>
        <w:jc w:val="center"/>
        <w:tblBorders>
          <w:top w:val="single" w:sz="4" w:space="0" w:color="004F83"/>
          <w:bottom w:val="single" w:sz="4" w:space="0" w:color="004F83"/>
          <w:insideH w:val="single" w:sz="4" w:space="0" w:color="004F83"/>
        </w:tblBorders>
        <w:tblLook w:val="0420" w:firstRow="1" w:lastRow="0" w:firstColumn="0" w:lastColumn="0" w:noHBand="0" w:noVBand="1"/>
      </w:tblPr>
      <w:tblGrid>
        <w:gridCol w:w="2029"/>
        <w:gridCol w:w="820"/>
        <w:gridCol w:w="1191"/>
        <w:gridCol w:w="1080"/>
        <w:gridCol w:w="1045"/>
        <w:gridCol w:w="1020"/>
        <w:gridCol w:w="1080"/>
        <w:gridCol w:w="1047"/>
        <w:gridCol w:w="974"/>
        <w:gridCol w:w="974"/>
        <w:gridCol w:w="977"/>
        <w:gridCol w:w="1294"/>
      </w:tblGrid>
      <w:tr w:rsidR="00032E14" w:rsidRPr="00E713D8" w14:paraId="1ABB7435" w14:textId="77777777" w:rsidTr="00AC5DAA">
        <w:trPr>
          <w:cantSplit/>
          <w:tblHeader/>
          <w:jc w:val="center"/>
        </w:trPr>
        <w:tc>
          <w:tcPr>
            <w:tcW w:w="750" w:type="pct"/>
          </w:tcPr>
          <w:p w14:paraId="6BBECF41" w14:textId="09C0A5AD"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4F83"/>
                <w:sz w:val="20"/>
                <w:szCs w:val="20"/>
              </w:rPr>
              <w:t xml:space="preserve">Vessel </w:t>
            </w:r>
            <w:r w:rsidR="00EC162A">
              <w:rPr>
                <w:b/>
                <w:bCs/>
                <w:color w:val="004F83"/>
                <w:sz w:val="20"/>
                <w:szCs w:val="20"/>
              </w:rPr>
              <w:t>(de-identified)</w:t>
            </w:r>
          </w:p>
        </w:tc>
        <w:tc>
          <w:tcPr>
            <w:tcW w:w="303" w:type="pct"/>
          </w:tcPr>
          <w:p w14:paraId="1221EC40" w14:textId="77777777"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0000"/>
                <w:sz w:val="20"/>
                <w:szCs w:val="20"/>
              </w:rPr>
              <w:t>2016</w:t>
            </w:r>
          </w:p>
        </w:tc>
        <w:tc>
          <w:tcPr>
            <w:tcW w:w="440" w:type="pct"/>
          </w:tcPr>
          <w:p w14:paraId="3A70FB7D" w14:textId="77777777"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0000"/>
                <w:sz w:val="20"/>
                <w:szCs w:val="20"/>
              </w:rPr>
              <w:t>2017</w:t>
            </w:r>
          </w:p>
        </w:tc>
        <w:tc>
          <w:tcPr>
            <w:tcW w:w="399" w:type="pct"/>
          </w:tcPr>
          <w:p w14:paraId="1B6CB2A5" w14:textId="77777777"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0000"/>
                <w:sz w:val="20"/>
                <w:szCs w:val="20"/>
              </w:rPr>
              <w:t>2018</w:t>
            </w:r>
          </w:p>
        </w:tc>
        <w:tc>
          <w:tcPr>
            <w:tcW w:w="386" w:type="pct"/>
          </w:tcPr>
          <w:p w14:paraId="340E1B51" w14:textId="77777777"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0000"/>
                <w:sz w:val="20"/>
                <w:szCs w:val="20"/>
              </w:rPr>
              <w:t>2019</w:t>
            </w:r>
          </w:p>
        </w:tc>
        <w:tc>
          <w:tcPr>
            <w:tcW w:w="377" w:type="pct"/>
          </w:tcPr>
          <w:p w14:paraId="1C3AAED2" w14:textId="77777777"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0000"/>
                <w:sz w:val="20"/>
                <w:szCs w:val="20"/>
              </w:rPr>
              <w:t>2020</w:t>
            </w:r>
          </w:p>
        </w:tc>
        <w:tc>
          <w:tcPr>
            <w:tcW w:w="399" w:type="pct"/>
          </w:tcPr>
          <w:p w14:paraId="12517134" w14:textId="77777777"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0000"/>
                <w:sz w:val="20"/>
                <w:szCs w:val="20"/>
              </w:rPr>
              <w:t>2021</w:t>
            </w:r>
          </w:p>
        </w:tc>
        <w:tc>
          <w:tcPr>
            <w:tcW w:w="387" w:type="pct"/>
          </w:tcPr>
          <w:p w14:paraId="5970933C" w14:textId="77777777"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0000"/>
                <w:sz w:val="20"/>
                <w:szCs w:val="20"/>
              </w:rPr>
              <w:t>2022</w:t>
            </w:r>
          </w:p>
        </w:tc>
        <w:tc>
          <w:tcPr>
            <w:tcW w:w="360" w:type="pct"/>
          </w:tcPr>
          <w:p w14:paraId="4ECD393E" w14:textId="77777777"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0000"/>
                <w:sz w:val="20"/>
                <w:szCs w:val="20"/>
              </w:rPr>
              <w:t>2023</w:t>
            </w:r>
          </w:p>
        </w:tc>
        <w:tc>
          <w:tcPr>
            <w:tcW w:w="360" w:type="pct"/>
          </w:tcPr>
          <w:p w14:paraId="3219CE33" w14:textId="77777777"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0000"/>
                <w:sz w:val="20"/>
                <w:szCs w:val="20"/>
              </w:rPr>
              <w:t>2024</w:t>
            </w:r>
          </w:p>
        </w:tc>
        <w:tc>
          <w:tcPr>
            <w:tcW w:w="361" w:type="pct"/>
          </w:tcPr>
          <w:p w14:paraId="230849BB" w14:textId="77777777"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0000"/>
                <w:sz w:val="20"/>
                <w:szCs w:val="20"/>
              </w:rPr>
              <w:t>2025</w:t>
            </w:r>
          </w:p>
        </w:tc>
        <w:tc>
          <w:tcPr>
            <w:tcW w:w="480" w:type="pct"/>
          </w:tcPr>
          <w:p w14:paraId="10013E30" w14:textId="77777777" w:rsidR="00032E14" w:rsidRPr="00E713D8" w:rsidRDefault="00032E14" w:rsidP="00D93B4A">
            <w:pPr>
              <w:keepNext/>
              <w:pBdr>
                <w:top w:val="nil"/>
                <w:left w:val="nil"/>
                <w:bottom w:val="nil"/>
                <w:right w:val="nil"/>
                <w:between w:val="nil"/>
              </w:pBdr>
              <w:spacing w:after="0" w:line="240" w:lineRule="auto"/>
              <w:rPr>
                <w:b/>
                <w:bCs/>
                <w:color w:val="004F83"/>
                <w:sz w:val="20"/>
                <w:szCs w:val="20"/>
              </w:rPr>
            </w:pPr>
            <w:r w:rsidRPr="00E713D8">
              <w:rPr>
                <w:b/>
                <w:bCs/>
                <w:color w:val="000000"/>
                <w:sz w:val="20"/>
                <w:szCs w:val="20"/>
              </w:rPr>
              <w:t>Total</w:t>
            </w:r>
          </w:p>
        </w:tc>
      </w:tr>
      <w:tr w:rsidR="00032E14" w:rsidRPr="00E713D8" w14:paraId="6409811E" w14:textId="77777777" w:rsidTr="00AC5DAA">
        <w:trPr>
          <w:cantSplit/>
          <w:jc w:val="center"/>
        </w:trPr>
        <w:tc>
          <w:tcPr>
            <w:tcW w:w="750" w:type="pct"/>
          </w:tcPr>
          <w:p w14:paraId="2465D4A5" w14:textId="3EA0912D" w:rsidR="00032E14" w:rsidRPr="00E713D8"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1</w:t>
            </w:r>
          </w:p>
        </w:tc>
        <w:tc>
          <w:tcPr>
            <w:tcW w:w="303" w:type="pct"/>
          </w:tcPr>
          <w:p w14:paraId="719B8B0A" w14:textId="77777777" w:rsidR="00032E14" w:rsidRPr="00E713D8" w:rsidRDefault="00032E14" w:rsidP="00D93B4A">
            <w:pPr>
              <w:keepNext/>
              <w:pBdr>
                <w:top w:val="nil"/>
                <w:left w:val="nil"/>
                <w:bottom w:val="nil"/>
                <w:right w:val="nil"/>
                <w:between w:val="nil"/>
              </w:pBdr>
              <w:spacing w:after="0" w:line="240" w:lineRule="auto"/>
              <w:rPr>
                <w:color w:val="000000"/>
                <w:sz w:val="20"/>
                <w:szCs w:val="20"/>
              </w:rPr>
            </w:pPr>
          </w:p>
        </w:tc>
        <w:tc>
          <w:tcPr>
            <w:tcW w:w="440" w:type="pct"/>
          </w:tcPr>
          <w:p w14:paraId="7731FB4F" w14:textId="77777777" w:rsidR="00032E14" w:rsidRPr="00E713D8" w:rsidRDefault="00032E14" w:rsidP="00D93B4A">
            <w:pPr>
              <w:keepNext/>
              <w:pBdr>
                <w:top w:val="nil"/>
                <w:left w:val="nil"/>
                <w:bottom w:val="nil"/>
                <w:right w:val="nil"/>
                <w:between w:val="nil"/>
              </w:pBdr>
              <w:spacing w:after="0" w:line="240" w:lineRule="auto"/>
              <w:rPr>
                <w:color w:val="000000"/>
                <w:sz w:val="20"/>
                <w:szCs w:val="20"/>
              </w:rPr>
            </w:pPr>
          </w:p>
        </w:tc>
        <w:tc>
          <w:tcPr>
            <w:tcW w:w="399" w:type="pct"/>
          </w:tcPr>
          <w:p w14:paraId="53830F7E" w14:textId="77777777" w:rsidR="00032E14" w:rsidRPr="00E713D8" w:rsidRDefault="00032E14" w:rsidP="00D93B4A">
            <w:pPr>
              <w:keepNext/>
              <w:pBdr>
                <w:top w:val="nil"/>
                <w:left w:val="nil"/>
                <w:bottom w:val="nil"/>
                <w:right w:val="nil"/>
                <w:between w:val="nil"/>
              </w:pBdr>
              <w:spacing w:after="0" w:line="240" w:lineRule="auto"/>
              <w:rPr>
                <w:color w:val="000000"/>
                <w:sz w:val="20"/>
                <w:szCs w:val="20"/>
              </w:rPr>
            </w:pPr>
          </w:p>
        </w:tc>
        <w:tc>
          <w:tcPr>
            <w:tcW w:w="386" w:type="pct"/>
          </w:tcPr>
          <w:p w14:paraId="65F6301C" w14:textId="77777777" w:rsidR="00032E14" w:rsidRPr="00E713D8" w:rsidRDefault="00032E14" w:rsidP="00D93B4A">
            <w:pPr>
              <w:keepNext/>
              <w:pBdr>
                <w:top w:val="nil"/>
                <w:left w:val="nil"/>
                <w:bottom w:val="nil"/>
                <w:right w:val="nil"/>
                <w:between w:val="nil"/>
              </w:pBdr>
              <w:spacing w:after="0" w:line="240" w:lineRule="auto"/>
              <w:rPr>
                <w:color w:val="000000"/>
                <w:sz w:val="20"/>
                <w:szCs w:val="20"/>
              </w:rPr>
            </w:pPr>
            <w:r w:rsidRPr="00E713D8">
              <w:rPr>
                <w:color w:val="000000"/>
                <w:sz w:val="20"/>
                <w:szCs w:val="20"/>
              </w:rPr>
              <w:t>1 (2</w:t>
            </w:r>
            <w:r>
              <w:rPr>
                <w:color w:val="000000"/>
                <w:sz w:val="20"/>
                <w:szCs w:val="20"/>
              </w:rPr>
              <w:t>/</w:t>
            </w:r>
            <w:r w:rsidRPr="00E713D8">
              <w:rPr>
                <w:color w:val="000000"/>
                <w:sz w:val="20"/>
                <w:szCs w:val="20"/>
              </w:rPr>
              <w:t>1)</w:t>
            </w:r>
          </w:p>
        </w:tc>
        <w:tc>
          <w:tcPr>
            <w:tcW w:w="377" w:type="pct"/>
          </w:tcPr>
          <w:p w14:paraId="30A08C1F" w14:textId="77777777" w:rsidR="00032E14" w:rsidRPr="00E713D8" w:rsidRDefault="00032E14" w:rsidP="00D93B4A">
            <w:pPr>
              <w:keepNext/>
              <w:pBdr>
                <w:top w:val="nil"/>
                <w:left w:val="nil"/>
                <w:bottom w:val="nil"/>
                <w:right w:val="nil"/>
                <w:between w:val="nil"/>
              </w:pBdr>
              <w:spacing w:after="0" w:line="240" w:lineRule="auto"/>
              <w:rPr>
                <w:color w:val="000000"/>
                <w:sz w:val="20"/>
                <w:szCs w:val="20"/>
              </w:rPr>
            </w:pPr>
            <w:r w:rsidRPr="00E713D8">
              <w:rPr>
                <w:color w:val="000000"/>
                <w:sz w:val="20"/>
                <w:szCs w:val="20"/>
              </w:rPr>
              <w:t>2 (5</w:t>
            </w:r>
            <w:r>
              <w:rPr>
                <w:color w:val="000000"/>
                <w:sz w:val="20"/>
                <w:szCs w:val="20"/>
              </w:rPr>
              <w:t>/</w:t>
            </w:r>
            <w:r w:rsidRPr="00E713D8">
              <w:rPr>
                <w:color w:val="000000"/>
                <w:sz w:val="20"/>
                <w:szCs w:val="20"/>
              </w:rPr>
              <w:t>11)</w:t>
            </w:r>
          </w:p>
        </w:tc>
        <w:tc>
          <w:tcPr>
            <w:tcW w:w="399" w:type="pct"/>
          </w:tcPr>
          <w:p w14:paraId="1A2C54F6" w14:textId="77777777" w:rsidR="00032E14" w:rsidRPr="00E713D8" w:rsidRDefault="00032E14" w:rsidP="00D93B4A">
            <w:pPr>
              <w:keepNext/>
              <w:pBdr>
                <w:top w:val="nil"/>
                <w:left w:val="nil"/>
                <w:bottom w:val="nil"/>
                <w:right w:val="nil"/>
                <w:between w:val="nil"/>
              </w:pBdr>
              <w:spacing w:after="0" w:line="240" w:lineRule="auto"/>
              <w:rPr>
                <w:color w:val="000000"/>
                <w:sz w:val="20"/>
                <w:szCs w:val="20"/>
              </w:rPr>
            </w:pPr>
            <w:r w:rsidRPr="00E713D8">
              <w:rPr>
                <w:color w:val="000000"/>
                <w:sz w:val="20"/>
                <w:szCs w:val="20"/>
              </w:rPr>
              <w:t>2 (6</w:t>
            </w:r>
            <w:r>
              <w:rPr>
                <w:color w:val="000000"/>
                <w:sz w:val="20"/>
                <w:szCs w:val="20"/>
              </w:rPr>
              <w:t>/</w:t>
            </w:r>
            <w:r w:rsidRPr="00E713D8">
              <w:rPr>
                <w:color w:val="000000"/>
                <w:sz w:val="20"/>
                <w:szCs w:val="20"/>
              </w:rPr>
              <w:t>9)</w:t>
            </w:r>
          </w:p>
        </w:tc>
        <w:tc>
          <w:tcPr>
            <w:tcW w:w="387" w:type="pct"/>
          </w:tcPr>
          <w:p w14:paraId="31C410B9" w14:textId="77777777" w:rsidR="00032E14" w:rsidRPr="00E713D8" w:rsidRDefault="00032E14" w:rsidP="00D93B4A">
            <w:pPr>
              <w:keepNext/>
              <w:pBdr>
                <w:top w:val="nil"/>
                <w:left w:val="nil"/>
                <w:bottom w:val="nil"/>
                <w:right w:val="nil"/>
                <w:between w:val="nil"/>
              </w:pBdr>
              <w:spacing w:after="0" w:line="240" w:lineRule="auto"/>
              <w:rPr>
                <w:color w:val="000000"/>
                <w:sz w:val="20"/>
                <w:szCs w:val="20"/>
              </w:rPr>
            </w:pPr>
            <w:r w:rsidRPr="00E713D8">
              <w:rPr>
                <w:color w:val="000000"/>
                <w:sz w:val="20"/>
                <w:szCs w:val="20"/>
              </w:rPr>
              <w:t>1 (1</w:t>
            </w:r>
            <w:r>
              <w:rPr>
                <w:color w:val="000000"/>
                <w:sz w:val="20"/>
                <w:szCs w:val="20"/>
              </w:rPr>
              <w:t>/</w:t>
            </w:r>
            <w:r w:rsidRPr="00E713D8">
              <w:rPr>
                <w:color w:val="000000"/>
                <w:sz w:val="20"/>
                <w:szCs w:val="20"/>
              </w:rPr>
              <w:t>4)</w:t>
            </w:r>
          </w:p>
        </w:tc>
        <w:tc>
          <w:tcPr>
            <w:tcW w:w="360" w:type="pct"/>
          </w:tcPr>
          <w:p w14:paraId="49C25B41" w14:textId="77777777" w:rsidR="00032E14" w:rsidRPr="00E713D8" w:rsidRDefault="00032E14" w:rsidP="00D93B4A">
            <w:pPr>
              <w:keepNext/>
              <w:pBdr>
                <w:top w:val="nil"/>
                <w:left w:val="nil"/>
                <w:bottom w:val="nil"/>
                <w:right w:val="nil"/>
                <w:between w:val="nil"/>
              </w:pBdr>
              <w:spacing w:after="0" w:line="240" w:lineRule="auto"/>
              <w:rPr>
                <w:color w:val="000000"/>
                <w:sz w:val="20"/>
                <w:szCs w:val="20"/>
              </w:rPr>
            </w:pPr>
            <w:r w:rsidRPr="00E713D8">
              <w:rPr>
                <w:color w:val="000000"/>
                <w:sz w:val="20"/>
                <w:szCs w:val="20"/>
              </w:rPr>
              <w:t>0 (2</w:t>
            </w:r>
            <w:r>
              <w:rPr>
                <w:color w:val="000000"/>
                <w:sz w:val="20"/>
                <w:szCs w:val="20"/>
              </w:rPr>
              <w:t>/</w:t>
            </w:r>
            <w:r w:rsidRPr="00E713D8">
              <w:rPr>
                <w:color w:val="000000"/>
                <w:sz w:val="20"/>
                <w:szCs w:val="20"/>
              </w:rPr>
              <w:t>2)</w:t>
            </w:r>
          </w:p>
        </w:tc>
        <w:tc>
          <w:tcPr>
            <w:tcW w:w="360" w:type="pct"/>
          </w:tcPr>
          <w:p w14:paraId="4033A27B" w14:textId="77777777" w:rsidR="00032E14" w:rsidRPr="00E713D8"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17ED28AB" w14:textId="77777777" w:rsidR="00032E14" w:rsidRPr="00E713D8" w:rsidRDefault="00032E14" w:rsidP="00D93B4A">
            <w:pPr>
              <w:keepNext/>
              <w:pBdr>
                <w:top w:val="nil"/>
                <w:left w:val="nil"/>
                <w:bottom w:val="nil"/>
                <w:right w:val="nil"/>
                <w:between w:val="nil"/>
              </w:pBdr>
              <w:spacing w:after="0" w:line="240" w:lineRule="auto"/>
              <w:rPr>
                <w:color w:val="000000"/>
                <w:sz w:val="20"/>
                <w:szCs w:val="20"/>
              </w:rPr>
            </w:pPr>
            <w:r w:rsidRPr="00E713D8">
              <w:rPr>
                <w:color w:val="000000"/>
                <w:sz w:val="20"/>
                <w:szCs w:val="20"/>
              </w:rPr>
              <w:t>2 (9</w:t>
            </w:r>
            <w:r>
              <w:rPr>
                <w:color w:val="000000"/>
                <w:sz w:val="20"/>
                <w:szCs w:val="20"/>
              </w:rPr>
              <w:t>/</w:t>
            </w:r>
            <w:r w:rsidRPr="00E713D8">
              <w:rPr>
                <w:color w:val="000000"/>
                <w:sz w:val="20"/>
                <w:szCs w:val="20"/>
              </w:rPr>
              <w:t>8)</w:t>
            </w:r>
          </w:p>
        </w:tc>
        <w:tc>
          <w:tcPr>
            <w:tcW w:w="480" w:type="pct"/>
          </w:tcPr>
          <w:p w14:paraId="003DF5C0" w14:textId="77777777" w:rsidR="00032E14" w:rsidRPr="00E713D8" w:rsidRDefault="00032E14" w:rsidP="00D93B4A">
            <w:pPr>
              <w:keepNext/>
              <w:pBdr>
                <w:top w:val="nil"/>
                <w:left w:val="nil"/>
                <w:bottom w:val="nil"/>
                <w:right w:val="nil"/>
                <w:between w:val="nil"/>
              </w:pBdr>
              <w:spacing w:after="0" w:line="240" w:lineRule="auto"/>
              <w:rPr>
                <w:color w:val="000000"/>
                <w:sz w:val="20"/>
                <w:szCs w:val="20"/>
              </w:rPr>
            </w:pPr>
            <w:r w:rsidRPr="00E713D8">
              <w:rPr>
                <w:color w:val="000000"/>
                <w:sz w:val="20"/>
                <w:szCs w:val="20"/>
              </w:rPr>
              <w:t>8 (25</w:t>
            </w:r>
            <w:r>
              <w:rPr>
                <w:color w:val="000000"/>
                <w:sz w:val="20"/>
                <w:szCs w:val="20"/>
              </w:rPr>
              <w:t>/</w:t>
            </w:r>
            <w:r w:rsidRPr="00E713D8">
              <w:rPr>
                <w:color w:val="000000"/>
                <w:sz w:val="20"/>
                <w:szCs w:val="20"/>
              </w:rPr>
              <w:t>35)</w:t>
            </w:r>
          </w:p>
        </w:tc>
      </w:tr>
      <w:tr w:rsidR="00032E14" w:rsidRPr="00833C97" w14:paraId="3CAF4FE4" w14:textId="77777777" w:rsidTr="00AC5DAA">
        <w:trPr>
          <w:cantSplit/>
          <w:jc w:val="center"/>
        </w:trPr>
        <w:tc>
          <w:tcPr>
            <w:tcW w:w="750" w:type="pct"/>
          </w:tcPr>
          <w:p w14:paraId="5BAB48D8" w14:textId="30EE2F16"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2</w:t>
            </w:r>
          </w:p>
        </w:tc>
        <w:tc>
          <w:tcPr>
            <w:tcW w:w="303" w:type="pct"/>
          </w:tcPr>
          <w:p w14:paraId="551672B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/1</w:t>
            </w:r>
            <w:r w:rsidRPr="00775C84">
              <w:rPr>
                <w:color w:val="000000"/>
                <w:sz w:val="20"/>
                <w:szCs w:val="20"/>
              </w:rPr>
              <w:t>)</w:t>
            </w:r>
          </w:p>
        </w:tc>
        <w:tc>
          <w:tcPr>
            <w:tcW w:w="440" w:type="pct"/>
          </w:tcPr>
          <w:p w14:paraId="593CA88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/4</w:t>
            </w:r>
            <w:r w:rsidRPr="00775C84">
              <w:rPr>
                <w:color w:val="000000"/>
                <w:sz w:val="20"/>
                <w:szCs w:val="20"/>
              </w:rPr>
              <w:t>)</w:t>
            </w:r>
          </w:p>
        </w:tc>
        <w:tc>
          <w:tcPr>
            <w:tcW w:w="399" w:type="pct"/>
          </w:tcPr>
          <w:p w14:paraId="071B3F0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/5</w:t>
            </w:r>
            <w:r w:rsidRPr="00775C84">
              <w:rPr>
                <w:color w:val="000000"/>
                <w:sz w:val="20"/>
                <w:szCs w:val="20"/>
              </w:rPr>
              <w:t>)</w:t>
            </w:r>
          </w:p>
        </w:tc>
        <w:tc>
          <w:tcPr>
            <w:tcW w:w="386" w:type="pct"/>
          </w:tcPr>
          <w:p w14:paraId="3B4CE70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(2</w:t>
            </w:r>
            <w:r>
              <w:rPr>
                <w:color w:val="000000"/>
                <w:sz w:val="20"/>
                <w:szCs w:val="20"/>
              </w:rPr>
              <w:t>/7</w:t>
            </w:r>
            <w:r w:rsidRPr="00775C84">
              <w:rPr>
                <w:color w:val="000000"/>
                <w:sz w:val="20"/>
                <w:szCs w:val="20"/>
              </w:rPr>
              <w:t>)</w:t>
            </w:r>
          </w:p>
        </w:tc>
        <w:tc>
          <w:tcPr>
            <w:tcW w:w="377" w:type="pct"/>
          </w:tcPr>
          <w:p w14:paraId="1047ACF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/4</w:t>
            </w:r>
            <w:r w:rsidRPr="00775C84">
              <w:rPr>
                <w:color w:val="000000"/>
                <w:sz w:val="20"/>
                <w:szCs w:val="20"/>
              </w:rPr>
              <w:t>)</w:t>
            </w:r>
          </w:p>
        </w:tc>
        <w:tc>
          <w:tcPr>
            <w:tcW w:w="399" w:type="pct"/>
          </w:tcPr>
          <w:p w14:paraId="28C36D2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(5</w:t>
            </w:r>
            <w:r>
              <w:rPr>
                <w:color w:val="000000"/>
                <w:sz w:val="20"/>
                <w:szCs w:val="20"/>
              </w:rPr>
              <w:t>/7</w:t>
            </w:r>
            <w:r w:rsidRPr="00775C84">
              <w:rPr>
                <w:color w:val="000000"/>
                <w:sz w:val="20"/>
                <w:szCs w:val="20"/>
              </w:rPr>
              <w:t>)</w:t>
            </w:r>
          </w:p>
        </w:tc>
        <w:tc>
          <w:tcPr>
            <w:tcW w:w="387" w:type="pct"/>
          </w:tcPr>
          <w:p w14:paraId="6C3E45F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/6</w:t>
            </w:r>
            <w:r w:rsidRPr="00775C84">
              <w:rPr>
                <w:color w:val="000000"/>
                <w:sz w:val="20"/>
                <w:szCs w:val="20"/>
              </w:rPr>
              <w:t>)</w:t>
            </w:r>
          </w:p>
        </w:tc>
        <w:tc>
          <w:tcPr>
            <w:tcW w:w="360" w:type="pct"/>
          </w:tcPr>
          <w:p w14:paraId="2C0E9FF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(4</w:t>
            </w:r>
            <w:r>
              <w:rPr>
                <w:color w:val="000000"/>
                <w:sz w:val="20"/>
                <w:szCs w:val="20"/>
              </w:rPr>
              <w:t>/8</w:t>
            </w:r>
            <w:r w:rsidRPr="00775C84">
              <w:rPr>
                <w:color w:val="000000"/>
                <w:sz w:val="20"/>
                <w:szCs w:val="20"/>
              </w:rPr>
              <w:t>)</w:t>
            </w:r>
          </w:p>
        </w:tc>
        <w:tc>
          <w:tcPr>
            <w:tcW w:w="360" w:type="pct"/>
          </w:tcPr>
          <w:p w14:paraId="481BD06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(3</w:t>
            </w:r>
            <w:r>
              <w:rPr>
                <w:color w:val="000000"/>
                <w:sz w:val="20"/>
                <w:szCs w:val="20"/>
              </w:rPr>
              <w:t>/2</w:t>
            </w:r>
            <w:r w:rsidRPr="00775C84">
              <w:rPr>
                <w:color w:val="000000"/>
                <w:sz w:val="20"/>
                <w:szCs w:val="20"/>
              </w:rPr>
              <w:t>)</w:t>
            </w:r>
          </w:p>
        </w:tc>
        <w:tc>
          <w:tcPr>
            <w:tcW w:w="361" w:type="pct"/>
          </w:tcPr>
          <w:p w14:paraId="6E15C03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(4</w:t>
            </w:r>
            <w:r>
              <w:rPr>
                <w:color w:val="000000"/>
                <w:sz w:val="20"/>
                <w:szCs w:val="20"/>
              </w:rPr>
              <w:t>/5</w:t>
            </w:r>
            <w:r w:rsidRPr="00775C84">
              <w:rPr>
                <w:color w:val="000000"/>
                <w:sz w:val="20"/>
                <w:szCs w:val="20"/>
              </w:rPr>
              <w:t>)</w:t>
            </w:r>
          </w:p>
        </w:tc>
        <w:tc>
          <w:tcPr>
            <w:tcW w:w="480" w:type="pct"/>
          </w:tcPr>
          <w:p w14:paraId="537B4FC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12 (27</w:t>
            </w:r>
            <w:r>
              <w:rPr>
                <w:color w:val="000000"/>
                <w:sz w:val="20"/>
                <w:szCs w:val="20"/>
              </w:rPr>
              <w:t>/49</w:t>
            </w:r>
            <w:r w:rsidRPr="00775C84">
              <w:rPr>
                <w:color w:val="000000"/>
                <w:sz w:val="20"/>
                <w:szCs w:val="20"/>
              </w:rPr>
              <w:t>)</w:t>
            </w:r>
          </w:p>
        </w:tc>
      </w:tr>
      <w:tr w:rsidR="00032E14" w:rsidRPr="00833C97" w14:paraId="1D874096" w14:textId="77777777" w:rsidTr="00AC5DAA">
        <w:trPr>
          <w:cantSplit/>
          <w:jc w:val="center"/>
        </w:trPr>
        <w:tc>
          <w:tcPr>
            <w:tcW w:w="750" w:type="pct"/>
          </w:tcPr>
          <w:p w14:paraId="2C98C12F" w14:textId="3C911A43"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3</w:t>
            </w:r>
          </w:p>
        </w:tc>
        <w:tc>
          <w:tcPr>
            <w:tcW w:w="303" w:type="pct"/>
          </w:tcPr>
          <w:p w14:paraId="7B37FC5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w:t>
            </w:r>
            <w:r w:rsidRPr="00775C84">
              <w:rPr>
                <w:color w:val="000000"/>
                <w:sz w:val="20"/>
                <w:szCs w:val="20"/>
              </w:rPr>
              <w:t>)</w:t>
            </w:r>
          </w:p>
        </w:tc>
        <w:tc>
          <w:tcPr>
            <w:tcW w:w="440" w:type="pct"/>
          </w:tcPr>
          <w:p w14:paraId="2DD9894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/9</w:t>
            </w:r>
            <w:r w:rsidRPr="00775C84">
              <w:rPr>
                <w:color w:val="000000"/>
                <w:sz w:val="20"/>
                <w:szCs w:val="20"/>
              </w:rPr>
              <w:t>)</w:t>
            </w:r>
          </w:p>
        </w:tc>
        <w:tc>
          <w:tcPr>
            <w:tcW w:w="399" w:type="pct"/>
          </w:tcPr>
          <w:p w14:paraId="0D7333B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/7</w:t>
            </w:r>
            <w:r w:rsidRPr="00775C84">
              <w:rPr>
                <w:color w:val="000000"/>
                <w:sz w:val="20"/>
                <w:szCs w:val="20"/>
              </w:rPr>
              <w:t>)</w:t>
            </w:r>
          </w:p>
        </w:tc>
        <w:tc>
          <w:tcPr>
            <w:tcW w:w="386" w:type="pct"/>
          </w:tcPr>
          <w:p w14:paraId="1792E62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/5</w:t>
            </w:r>
            <w:r w:rsidRPr="00775C84">
              <w:rPr>
                <w:color w:val="000000"/>
                <w:sz w:val="20"/>
                <w:szCs w:val="20"/>
              </w:rPr>
              <w:t>)</w:t>
            </w:r>
          </w:p>
        </w:tc>
        <w:tc>
          <w:tcPr>
            <w:tcW w:w="377" w:type="pct"/>
          </w:tcPr>
          <w:p w14:paraId="7994C36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/3</w:t>
            </w:r>
            <w:r w:rsidRPr="00775C84">
              <w:rPr>
                <w:color w:val="000000"/>
                <w:sz w:val="20"/>
                <w:szCs w:val="20"/>
              </w:rPr>
              <w:t>)</w:t>
            </w:r>
          </w:p>
        </w:tc>
        <w:tc>
          <w:tcPr>
            <w:tcW w:w="399" w:type="pct"/>
          </w:tcPr>
          <w:p w14:paraId="5B1A3B8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7" w:type="pct"/>
          </w:tcPr>
          <w:p w14:paraId="186BCCA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7A978F4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2360FB8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5A9F18D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2488573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(5</w:t>
            </w:r>
            <w:r>
              <w:rPr>
                <w:color w:val="000000"/>
                <w:sz w:val="20"/>
                <w:szCs w:val="20"/>
              </w:rPr>
              <w:t>/25</w:t>
            </w:r>
            <w:r w:rsidRPr="00775C84">
              <w:rPr>
                <w:color w:val="000000"/>
                <w:sz w:val="20"/>
                <w:szCs w:val="20"/>
              </w:rPr>
              <w:t>)</w:t>
            </w:r>
          </w:p>
        </w:tc>
      </w:tr>
      <w:tr w:rsidR="00032E14" w:rsidRPr="00833C97" w14:paraId="06042586" w14:textId="77777777" w:rsidTr="00AC5DAA">
        <w:trPr>
          <w:cantSplit/>
          <w:jc w:val="center"/>
        </w:trPr>
        <w:tc>
          <w:tcPr>
            <w:tcW w:w="750" w:type="pct"/>
          </w:tcPr>
          <w:p w14:paraId="68C57F46" w14:textId="25A949D1"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4</w:t>
            </w:r>
          </w:p>
        </w:tc>
        <w:tc>
          <w:tcPr>
            <w:tcW w:w="303" w:type="pct"/>
          </w:tcPr>
          <w:p w14:paraId="7BB096E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/2</w:t>
            </w:r>
            <w:r w:rsidRPr="00775C84">
              <w:rPr>
                <w:color w:val="000000"/>
                <w:sz w:val="20"/>
                <w:szCs w:val="20"/>
              </w:rPr>
              <w:t>)</w:t>
            </w:r>
          </w:p>
        </w:tc>
        <w:tc>
          <w:tcPr>
            <w:tcW w:w="440" w:type="pct"/>
          </w:tcPr>
          <w:p w14:paraId="4099895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/7</w:t>
            </w:r>
            <w:r w:rsidRPr="00775C84">
              <w:rPr>
                <w:color w:val="000000"/>
                <w:sz w:val="20"/>
                <w:szCs w:val="20"/>
              </w:rPr>
              <w:t>)</w:t>
            </w:r>
          </w:p>
        </w:tc>
        <w:tc>
          <w:tcPr>
            <w:tcW w:w="399" w:type="pct"/>
          </w:tcPr>
          <w:p w14:paraId="5D36804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/12</w:t>
            </w:r>
            <w:r w:rsidRPr="00775C84">
              <w:rPr>
                <w:color w:val="000000"/>
                <w:sz w:val="20"/>
                <w:szCs w:val="20"/>
              </w:rPr>
              <w:t>)</w:t>
            </w:r>
          </w:p>
        </w:tc>
        <w:tc>
          <w:tcPr>
            <w:tcW w:w="386" w:type="pct"/>
          </w:tcPr>
          <w:p w14:paraId="0EE4346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(7</w:t>
            </w:r>
            <w:r>
              <w:rPr>
                <w:color w:val="000000"/>
                <w:sz w:val="20"/>
                <w:szCs w:val="20"/>
              </w:rPr>
              <w:t>/10</w:t>
            </w:r>
            <w:r w:rsidRPr="00775C84">
              <w:rPr>
                <w:color w:val="000000"/>
                <w:sz w:val="20"/>
                <w:szCs w:val="20"/>
              </w:rPr>
              <w:t>)</w:t>
            </w:r>
          </w:p>
        </w:tc>
        <w:tc>
          <w:tcPr>
            <w:tcW w:w="377" w:type="pct"/>
          </w:tcPr>
          <w:p w14:paraId="63BB42F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/10</w:t>
            </w:r>
            <w:r w:rsidRPr="00775C84">
              <w:rPr>
                <w:color w:val="000000"/>
                <w:sz w:val="20"/>
                <w:szCs w:val="20"/>
              </w:rPr>
              <w:t>)</w:t>
            </w:r>
          </w:p>
        </w:tc>
        <w:tc>
          <w:tcPr>
            <w:tcW w:w="399" w:type="pct"/>
          </w:tcPr>
          <w:p w14:paraId="2205A92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(6</w:t>
            </w:r>
            <w:r>
              <w:rPr>
                <w:color w:val="000000"/>
                <w:sz w:val="20"/>
                <w:szCs w:val="20"/>
              </w:rPr>
              <w:t>/9</w:t>
            </w:r>
            <w:r w:rsidRPr="00775C84">
              <w:rPr>
                <w:color w:val="000000"/>
                <w:sz w:val="20"/>
                <w:szCs w:val="20"/>
              </w:rPr>
              <w:t>)</w:t>
            </w:r>
          </w:p>
        </w:tc>
        <w:tc>
          <w:tcPr>
            <w:tcW w:w="387" w:type="pct"/>
          </w:tcPr>
          <w:p w14:paraId="4E36C3F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(7</w:t>
            </w:r>
            <w:r>
              <w:rPr>
                <w:color w:val="000000"/>
                <w:sz w:val="20"/>
                <w:szCs w:val="20"/>
              </w:rPr>
              <w:t>/13</w:t>
            </w:r>
            <w:r w:rsidRPr="00775C84">
              <w:rPr>
                <w:color w:val="000000"/>
                <w:sz w:val="20"/>
                <w:szCs w:val="20"/>
              </w:rPr>
              <w:t>)</w:t>
            </w:r>
          </w:p>
        </w:tc>
        <w:tc>
          <w:tcPr>
            <w:tcW w:w="360" w:type="pct"/>
          </w:tcPr>
          <w:p w14:paraId="260988B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/8</w:t>
            </w:r>
            <w:r w:rsidRPr="00775C84">
              <w:rPr>
                <w:color w:val="000000"/>
                <w:sz w:val="20"/>
                <w:szCs w:val="20"/>
              </w:rPr>
              <w:t>)</w:t>
            </w:r>
          </w:p>
        </w:tc>
        <w:tc>
          <w:tcPr>
            <w:tcW w:w="360" w:type="pct"/>
          </w:tcPr>
          <w:p w14:paraId="56CDC89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2F951DF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06ABC07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6 (30</w:t>
            </w:r>
            <w:r>
              <w:rPr>
                <w:color w:val="000000"/>
                <w:sz w:val="20"/>
                <w:szCs w:val="20"/>
              </w:rPr>
              <w:t>/71</w:t>
            </w:r>
            <w:r w:rsidRPr="00775C84">
              <w:rPr>
                <w:color w:val="000000"/>
                <w:sz w:val="20"/>
                <w:szCs w:val="20"/>
              </w:rPr>
              <w:t>)</w:t>
            </w:r>
          </w:p>
        </w:tc>
      </w:tr>
      <w:tr w:rsidR="00032E14" w:rsidRPr="00833C97" w14:paraId="125914FF" w14:textId="77777777" w:rsidTr="00AC5DAA">
        <w:trPr>
          <w:cantSplit/>
          <w:jc w:val="center"/>
        </w:trPr>
        <w:tc>
          <w:tcPr>
            <w:tcW w:w="750" w:type="pct"/>
          </w:tcPr>
          <w:p w14:paraId="68203C4D" w14:textId="6A81A9B8"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5</w:t>
            </w:r>
          </w:p>
        </w:tc>
        <w:tc>
          <w:tcPr>
            <w:tcW w:w="303" w:type="pct"/>
          </w:tcPr>
          <w:p w14:paraId="37B63FC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w:t>
            </w:r>
            <w:r w:rsidRPr="00775C84">
              <w:rPr>
                <w:color w:val="000000"/>
                <w:sz w:val="20"/>
                <w:szCs w:val="20"/>
              </w:rPr>
              <w:t>)</w:t>
            </w:r>
          </w:p>
        </w:tc>
        <w:tc>
          <w:tcPr>
            <w:tcW w:w="440" w:type="pct"/>
          </w:tcPr>
          <w:p w14:paraId="65B954B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(6</w:t>
            </w:r>
            <w:r>
              <w:rPr>
                <w:color w:val="000000"/>
                <w:sz w:val="20"/>
                <w:szCs w:val="20"/>
              </w:rPr>
              <w:t>/9</w:t>
            </w:r>
            <w:r w:rsidRPr="00775C84">
              <w:rPr>
                <w:color w:val="000000"/>
                <w:sz w:val="20"/>
                <w:szCs w:val="20"/>
              </w:rPr>
              <w:t>)</w:t>
            </w:r>
          </w:p>
        </w:tc>
        <w:tc>
          <w:tcPr>
            <w:tcW w:w="399" w:type="pct"/>
          </w:tcPr>
          <w:p w14:paraId="11F2C1E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/6</w:t>
            </w:r>
            <w:r w:rsidRPr="00775C84">
              <w:rPr>
                <w:color w:val="000000"/>
                <w:sz w:val="20"/>
                <w:szCs w:val="20"/>
              </w:rPr>
              <w:t>)</w:t>
            </w:r>
          </w:p>
        </w:tc>
        <w:tc>
          <w:tcPr>
            <w:tcW w:w="386" w:type="pct"/>
          </w:tcPr>
          <w:p w14:paraId="290565D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(10</w:t>
            </w:r>
            <w:r>
              <w:rPr>
                <w:color w:val="000000"/>
                <w:sz w:val="20"/>
                <w:szCs w:val="20"/>
              </w:rPr>
              <w:t>/12</w:t>
            </w:r>
            <w:r w:rsidRPr="00775C84">
              <w:rPr>
                <w:color w:val="000000"/>
                <w:sz w:val="20"/>
                <w:szCs w:val="20"/>
              </w:rPr>
              <w:t>)</w:t>
            </w:r>
          </w:p>
        </w:tc>
        <w:tc>
          <w:tcPr>
            <w:tcW w:w="377" w:type="pct"/>
          </w:tcPr>
          <w:p w14:paraId="4F21391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/3</w:t>
            </w:r>
            <w:r w:rsidRPr="00775C84">
              <w:rPr>
                <w:color w:val="000000"/>
                <w:sz w:val="20"/>
                <w:szCs w:val="20"/>
              </w:rPr>
              <w:t>)</w:t>
            </w:r>
          </w:p>
        </w:tc>
        <w:tc>
          <w:tcPr>
            <w:tcW w:w="399" w:type="pct"/>
          </w:tcPr>
          <w:p w14:paraId="4898A3A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/1</w:t>
            </w:r>
            <w:r w:rsidRPr="00775C84">
              <w:rPr>
                <w:color w:val="000000"/>
                <w:sz w:val="20"/>
                <w:szCs w:val="20"/>
              </w:rPr>
              <w:t>)</w:t>
            </w:r>
          </w:p>
        </w:tc>
        <w:tc>
          <w:tcPr>
            <w:tcW w:w="387" w:type="pct"/>
          </w:tcPr>
          <w:p w14:paraId="22CA947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(5</w:t>
            </w:r>
            <w:r>
              <w:rPr>
                <w:color w:val="000000"/>
                <w:sz w:val="20"/>
                <w:szCs w:val="20"/>
              </w:rPr>
              <w:t>/3</w:t>
            </w:r>
            <w:r w:rsidRPr="00775C84">
              <w:rPr>
                <w:color w:val="000000"/>
                <w:sz w:val="20"/>
                <w:szCs w:val="20"/>
              </w:rPr>
              <w:t>)</w:t>
            </w:r>
          </w:p>
        </w:tc>
        <w:tc>
          <w:tcPr>
            <w:tcW w:w="360" w:type="pct"/>
          </w:tcPr>
          <w:p w14:paraId="50AE2A1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4491892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(4</w:t>
            </w:r>
            <w:r>
              <w:rPr>
                <w:color w:val="000000"/>
                <w:sz w:val="20"/>
                <w:szCs w:val="20"/>
              </w:rPr>
              <w:t>/3</w:t>
            </w:r>
            <w:r w:rsidRPr="00775C84">
              <w:rPr>
                <w:color w:val="000000"/>
                <w:sz w:val="20"/>
                <w:szCs w:val="20"/>
              </w:rPr>
              <w:t>)</w:t>
            </w:r>
          </w:p>
        </w:tc>
        <w:tc>
          <w:tcPr>
            <w:tcW w:w="361" w:type="pct"/>
          </w:tcPr>
          <w:p w14:paraId="1E484E8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56F8657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9 (31</w:t>
            </w:r>
            <w:r>
              <w:rPr>
                <w:color w:val="000000"/>
                <w:sz w:val="20"/>
                <w:szCs w:val="20"/>
              </w:rPr>
              <w:t>/38</w:t>
            </w:r>
            <w:r w:rsidRPr="00775C84">
              <w:rPr>
                <w:color w:val="000000"/>
                <w:sz w:val="20"/>
                <w:szCs w:val="20"/>
              </w:rPr>
              <w:t>)</w:t>
            </w:r>
          </w:p>
        </w:tc>
      </w:tr>
      <w:tr w:rsidR="00032E14" w:rsidRPr="00833C97" w14:paraId="1A15D770" w14:textId="77777777" w:rsidTr="00AC5DAA">
        <w:trPr>
          <w:cantSplit/>
          <w:jc w:val="center"/>
        </w:trPr>
        <w:tc>
          <w:tcPr>
            <w:tcW w:w="750" w:type="pct"/>
          </w:tcPr>
          <w:p w14:paraId="7E8725CB" w14:textId="0B58ED09"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6</w:t>
            </w:r>
          </w:p>
        </w:tc>
        <w:tc>
          <w:tcPr>
            <w:tcW w:w="303" w:type="pct"/>
          </w:tcPr>
          <w:p w14:paraId="21C1CE9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40" w:type="pct"/>
          </w:tcPr>
          <w:p w14:paraId="231E40D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/4</w:t>
            </w:r>
            <w:r w:rsidRPr="00775C84">
              <w:rPr>
                <w:color w:val="000000"/>
                <w:sz w:val="20"/>
                <w:szCs w:val="20"/>
              </w:rPr>
              <w:t>)</w:t>
            </w:r>
          </w:p>
        </w:tc>
        <w:tc>
          <w:tcPr>
            <w:tcW w:w="399" w:type="pct"/>
          </w:tcPr>
          <w:p w14:paraId="5AAAE38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/3</w:t>
            </w:r>
            <w:r w:rsidRPr="00775C84">
              <w:rPr>
                <w:color w:val="000000"/>
                <w:sz w:val="20"/>
                <w:szCs w:val="20"/>
              </w:rPr>
              <w:t>)</w:t>
            </w:r>
          </w:p>
        </w:tc>
        <w:tc>
          <w:tcPr>
            <w:tcW w:w="386" w:type="pct"/>
          </w:tcPr>
          <w:p w14:paraId="68E7A74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77" w:type="pct"/>
          </w:tcPr>
          <w:p w14:paraId="1A0A3F7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99" w:type="pct"/>
          </w:tcPr>
          <w:p w14:paraId="16309F4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7" w:type="pct"/>
          </w:tcPr>
          <w:p w14:paraId="625C313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05D9594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7E4214F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482C09D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5C829EE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/7</w:t>
            </w:r>
            <w:r w:rsidRPr="00775C84">
              <w:rPr>
                <w:color w:val="000000"/>
                <w:sz w:val="20"/>
                <w:szCs w:val="20"/>
              </w:rPr>
              <w:t>)</w:t>
            </w:r>
          </w:p>
        </w:tc>
      </w:tr>
      <w:tr w:rsidR="00032E14" w:rsidRPr="00833C97" w14:paraId="4DCAF3E5" w14:textId="77777777" w:rsidTr="00AC5DAA">
        <w:trPr>
          <w:cantSplit/>
          <w:jc w:val="center"/>
        </w:trPr>
        <w:tc>
          <w:tcPr>
            <w:tcW w:w="750" w:type="pct"/>
          </w:tcPr>
          <w:p w14:paraId="52F691EB" w14:textId="6D8A290A"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7</w:t>
            </w:r>
          </w:p>
        </w:tc>
        <w:tc>
          <w:tcPr>
            <w:tcW w:w="303" w:type="pct"/>
          </w:tcPr>
          <w:p w14:paraId="5848C0F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/2</w:t>
            </w:r>
            <w:r w:rsidRPr="00775C84">
              <w:rPr>
                <w:color w:val="000000"/>
                <w:sz w:val="20"/>
                <w:szCs w:val="20"/>
              </w:rPr>
              <w:t>)</w:t>
            </w:r>
          </w:p>
        </w:tc>
        <w:tc>
          <w:tcPr>
            <w:tcW w:w="440" w:type="pct"/>
          </w:tcPr>
          <w:p w14:paraId="7A204A8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/6</w:t>
            </w:r>
            <w:r w:rsidRPr="00775C84">
              <w:rPr>
                <w:color w:val="000000"/>
                <w:sz w:val="20"/>
                <w:szCs w:val="20"/>
              </w:rPr>
              <w:t>)</w:t>
            </w:r>
          </w:p>
        </w:tc>
        <w:tc>
          <w:tcPr>
            <w:tcW w:w="399" w:type="pct"/>
          </w:tcPr>
          <w:p w14:paraId="43D7113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/6</w:t>
            </w:r>
            <w:r w:rsidRPr="00775C84">
              <w:rPr>
                <w:color w:val="000000"/>
                <w:sz w:val="20"/>
                <w:szCs w:val="20"/>
              </w:rPr>
              <w:t>)</w:t>
            </w:r>
          </w:p>
        </w:tc>
        <w:tc>
          <w:tcPr>
            <w:tcW w:w="386" w:type="pct"/>
          </w:tcPr>
          <w:p w14:paraId="2CBCBA2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/5</w:t>
            </w:r>
            <w:r w:rsidRPr="00775C84">
              <w:rPr>
                <w:color w:val="000000"/>
                <w:sz w:val="20"/>
                <w:szCs w:val="20"/>
              </w:rPr>
              <w:t>)</w:t>
            </w:r>
          </w:p>
        </w:tc>
        <w:tc>
          <w:tcPr>
            <w:tcW w:w="377" w:type="pct"/>
          </w:tcPr>
          <w:p w14:paraId="5F3E736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/4</w:t>
            </w:r>
            <w:r w:rsidRPr="00775C84">
              <w:rPr>
                <w:color w:val="000000"/>
                <w:sz w:val="20"/>
                <w:szCs w:val="20"/>
              </w:rPr>
              <w:t>)</w:t>
            </w:r>
          </w:p>
        </w:tc>
        <w:tc>
          <w:tcPr>
            <w:tcW w:w="399" w:type="pct"/>
          </w:tcPr>
          <w:p w14:paraId="79DF608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/3</w:t>
            </w:r>
            <w:r w:rsidRPr="00775C84">
              <w:rPr>
                <w:color w:val="000000"/>
                <w:sz w:val="20"/>
                <w:szCs w:val="20"/>
              </w:rPr>
              <w:t>)</w:t>
            </w:r>
          </w:p>
        </w:tc>
        <w:tc>
          <w:tcPr>
            <w:tcW w:w="387" w:type="pct"/>
          </w:tcPr>
          <w:p w14:paraId="0987413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/4</w:t>
            </w:r>
            <w:r w:rsidRPr="00775C84">
              <w:rPr>
                <w:color w:val="000000"/>
                <w:sz w:val="20"/>
                <w:szCs w:val="20"/>
              </w:rPr>
              <w:t>)</w:t>
            </w:r>
          </w:p>
        </w:tc>
        <w:tc>
          <w:tcPr>
            <w:tcW w:w="360" w:type="pct"/>
          </w:tcPr>
          <w:p w14:paraId="24DE6FF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/3</w:t>
            </w:r>
            <w:r w:rsidRPr="00775C84">
              <w:rPr>
                <w:color w:val="000000"/>
                <w:sz w:val="20"/>
                <w:szCs w:val="20"/>
              </w:rPr>
              <w:t>)</w:t>
            </w:r>
          </w:p>
        </w:tc>
        <w:tc>
          <w:tcPr>
            <w:tcW w:w="360" w:type="pct"/>
          </w:tcPr>
          <w:p w14:paraId="047B2AE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/5</w:t>
            </w:r>
            <w:r w:rsidRPr="00775C84">
              <w:rPr>
                <w:color w:val="000000"/>
                <w:sz w:val="20"/>
                <w:szCs w:val="20"/>
              </w:rPr>
              <w:t>)</w:t>
            </w:r>
          </w:p>
        </w:tc>
        <w:tc>
          <w:tcPr>
            <w:tcW w:w="361" w:type="pct"/>
          </w:tcPr>
          <w:p w14:paraId="0429D2A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/1</w:t>
            </w:r>
            <w:r w:rsidRPr="00775C84">
              <w:rPr>
                <w:color w:val="000000"/>
                <w:sz w:val="20"/>
                <w:szCs w:val="20"/>
              </w:rPr>
              <w:t>)</w:t>
            </w:r>
          </w:p>
        </w:tc>
        <w:tc>
          <w:tcPr>
            <w:tcW w:w="480" w:type="pct"/>
          </w:tcPr>
          <w:p w14:paraId="53826E3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4 (15</w:t>
            </w:r>
            <w:r>
              <w:rPr>
                <w:color w:val="000000"/>
                <w:sz w:val="20"/>
                <w:szCs w:val="20"/>
              </w:rPr>
              <w:t>/39</w:t>
            </w:r>
            <w:r w:rsidRPr="00775C84">
              <w:rPr>
                <w:color w:val="000000"/>
                <w:sz w:val="20"/>
                <w:szCs w:val="20"/>
              </w:rPr>
              <w:t>)</w:t>
            </w:r>
          </w:p>
        </w:tc>
      </w:tr>
      <w:tr w:rsidR="00032E14" w:rsidRPr="00833C97" w14:paraId="5F73E0DD" w14:textId="77777777" w:rsidTr="00AC5DAA">
        <w:trPr>
          <w:cantSplit/>
          <w:jc w:val="center"/>
        </w:trPr>
        <w:tc>
          <w:tcPr>
            <w:tcW w:w="750" w:type="pct"/>
          </w:tcPr>
          <w:p w14:paraId="7DFB6FB4" w14:textId="68555C5E"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8</w:t>
            </w:r>
          </w:p>
        </w:tc>
        <w:tc>
          <w:tcPr>
            <w:tcW w:w="303" w:type="pct"/>
          </w:tcPr>
          <w:p w14:paraId="31F9529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40" w:type="pct"/>
          </w:tcPr>
          <w:p w14:paraId="44E22A9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/4</w:t>
            </w:r>
            <w:r w:rsidRPr="00775C84">
              <w:rPr>
                <w:color w:val="000000"/>
                <w:sz w:val="20"/>
                <w:szCs w:val="20"/>
              </w:rPr>
              <w:t>)</w:t>
            </w:r>
          </w:p>
        </w:tc>
        <w:tc>
          <w:tcPr>
            <w:tcW w:w="399" w:type="pct"/>
          </w:tcPr>
          <w:p w14:paraId="3389DF5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6 (10</w:t>
            </w:r>
            <w:r>
              <w:rPr>
                <w:color w:val="000000"/>
                <w:sz w:val="20"/>
                <w:szCs w:val="20"/>
              </w:rPr>
              <w:t>/12</w:t>
            </w:r>
            <w:r w:rsidRPr="00775C84">
              <w:rPr>
                <w:color w:val="000000"/>
                <w:sz w:val="20"/>
                <w:szCs w:val="20"/>
              </w:rPr>
              <w:t>)</w:t>
            </w:r>
          </w:p>
        </w:tc>
        <w:tc>
          <w:tcPr>
            <w:tcW w:w="386" w:type="pct"/>
          </w:tcPr>
          <w:p w14:paraId="4B49F4A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(8</w:t>
            </w:r>
            <w:r>
              <w:rPr>
                <w:color w:val="000000"/>
                <w:sz w:val="20"/>
                <w:szCs w:val="20"/>
              </w:rPr>
              <w:t>/8</w:t>
            </w:r>
            <w:r w:rsidRPr="00775C84">
              <w:rPr>
                <w:color w:val="000000"/>
                <w:sz w:val="20"/>
                <w:szCs w:val="20"/>
              </w:rPr>
              <w:t>)</w:t>
            </w:r>
          </w:p>
        </w:tc>
        <w:tc>
          <w:tcPr>
            <w:tcW w:w="377" w:type="pct"/>
          </w:tcPr>
          <w:p w14:paraId="6F3C9C8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(4</w:t>
            </w:r>
            <w:r>
              <w:rPr>
                <w:color w:val="000000"/>
                <w:sz w:val="20"/>
                <w:szCs w:val="20"/>
              </w:rPr>
              <w:t>/6</w:t>
            </w:r>
            <w:r w:rsidRPr="00775C84">
              <w:rPr>
                <w:color w:val="000000"/>
                <w:sz w:val="20"/>
                <w:szCs w:val="20"/>
              </w:rPr>
              <w:t>)</w:t>
            </w:r>
          </w:p>
        </w:tc>
        <w:tc>
          <w:tcPr>
            <w:tcW w:w="399" w:type="pct"/>
          </w:tcPr>
          <w:p w14:paraId="034D3D9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(6</w:t>
            </w:r>
            <w:r>
              <w:rPr>
                <w:color w:val="000000"/>
                <w:sz w:val="20"/>
                <w:szCs w:val="20"/>
              </w:rPr>
              <w:t>/7</w:t>
            </w:r>
            <w:r w:rsidRPr="00775C84">
              <w:rPr>
                <w:color w:val="000000"/>
                <w:sz w:val="20"/>
                <w:szCs w:val="20"/>
              </w:rPr>
              <w:t>)</w:t>
            </w:r>
          </w:p>
        </w:tc>
        <w:tc>
          <w:tcPr>
            <w:tcW w:w="387" w:type="pct"/>
          </w:tcPr>
          <w:p w14:paraId="4541526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(6</w:t>
            </w:r>
            <w:r>
              <w:rPr>
                <w:color w:val="000000"/>
                <w:sz w:val="20"/>
                <w:szCs w:val="20"/>
              </w:rPr>
              <w:t>/7</w:t>
            </w:r>
            <w:r w:rsidRPr="00775C84">
              <w:rPr>
                <w:color w:val="000000"/>
                <w:sz w:val="20"/>
                <w:szCs w:val="20"/>
              </w:rPr>
              <w:t>)</w:t>
            </w:r>
          </w:p>
        </w:tc>
        <w:tc>
          <w:tcPr>
            <w:tcW w:w="360" w:type="pct"/>
          </w:tcPr>
          <w:p w14:paraId="760407B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w:t>
            </w:r>
            <w:r w:rsidRPr="00775C84">
              <w:rPr>
                <w:color w:val="000000"/>
                <w:sz w:val="20"/>
                <w:szCs w:val="20"/>
              </w:rPr>
              <w:t>)</w:t>
            </w:r>
          </w:p>
        </w:tc>
        <w:tc>
          <w:tcPr>
            <w:tcW w:w="360" w:type="pct"/>
          </w:tcPr>
          <w:p w14:paraId="13AA2DA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02A68F3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w:t>
            </w:r>
            <w:r w:rsidRPr="00775C84">
              <w:rPr>
                <w:color w:val="000000"/>
                <w:sz w:val="20"/>
                <w:szCs w:val="20"/>
              </w:rPr>
              <w:t>)</w:t>
            </w:r>
          </w:p>
        </w:tc>
        <w:tc>
          <w:tcPr>
            <w:tcW w:w="480" w:type="pct"/>
          </w:tcPr>
          <w:p w14:paraId="4AD16DF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11 (35</w:t>
            </w:r>
            <w:r>
              <w:rPr>
                <w:color w:val="000000"/>
                <w:sz w:val="20"/>
                <w:szCs w:val="20"/>
              </w:rPr>
              <w:t>/46</w:t>
            </w:r>
            <w:r w:rsidRPr="00775C84">
              <w:rPr>
                <w:color w:val="000000"/>
                <w:sz w:val="20"/>
                <w:szCs w:val="20"/>
              </w:rPr>
              <w:t>)</w:t>
            </w:r>
          </w:p>
        </w:tc>
      </w:tr>
      <w:tr w:rsidR="00032E14" w:rsidRPr="00833C97" w14:paraId="77133DAF" w14:textId="77777777" w:rsidTr="00AC5DAA">
        <w:trPr>
          <w:cantSplit/>
          <w:jc w:val="center"/>
        </w:trPr>
        <w:tc>
          <w:tcPr>
            <w:tcW w:w="750" w:type="pct"/>
          </w:tcPr>
          <w:p w14:paraId="7B866A1B" w14:textId="2DC56607"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9</w:t>
            </w:r>
          </w:p>
        </w:tc>
        <w:tc>
          <w:tcPr>
            <w:tcW w:w="303" w:type="pct"/>
          </w:tcPr>
          <w:p w14:paraId="6EA1764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w:t>
            </w:r>
            <w:r w:rsidRPr="00775C84">
              <w:rPr>
                <w:color w:val="000000"/>
                <w:sz w:val="20"/>
                <w:szCs w:val="20"/>
              </w:rPr>
              <w:t>)</w:t>
            </w:r>
          </w:p>
        </w:tc>
        <w:tc>
          <w:tcPr>
            <w:tcW w:w="440" w:type="pct"/>
          </w:tcPr>
          <w:p w14:paraId="4342A3C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(5</w:t>
            </w:r>
            <w:r>
              <w:rPr>
                <w:color w:val="000000"/>
                <w:sz w:val="20"/>
                <w:szCs w:val="20"/>
              </w:rPr>
              <w:t>/7</w:t>
            </w:r>
            <w:r w:rsidRPr="00775C84">
              <w:rPr>
                <w:color w:val="000000"/>
                <w:sz w:val="20"/>
                <w:szCs w:val="20"/>
              </w:rPr>
              <w:t>)</w:t>
            </w:r>
          </w:p>
        </w:tc>
        <w:tc>
          <w:tcPr>
            <w:tcW w:w="399" w:type="pct"/>
          </w:tcPr>
          <w:p w14:paraId="6E9124F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/15</w:t>
            </w:r>
            <w:r w:rsidRPr="00775C84">
              <w:rPr>
                <w:color w:val="000000"/>
                <w:sz w:val="20"/>
                <w:szCs w:val="20"/>
              </w:rPr>
              <w:t>)</w:t>
            </w:r>
          </w:p>
        </w:tc>
        <w:tc>
          <w:tcPr>
            <w:tcW w:w="386" w:type="pct"/>
          </w:tcPr>
          <w:p w14:paraId="5143E94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/20</w:t>
            </w:r>
            <w:r w:rsidRPr="00775C84">
              <w:rPr>
                <w:color w:val="000000"/>
                <w:sz w:val="20"/>
                <w:szCs w:val="20"/>
              </w:rPr>
              <w:t>)</w:t>
            </w:r>
          </w:p>
        </w:tc>
        <w:tc>
          <w:tcPr>
            <w:tcW w:w="377" w:type="pct"/>
          </w:tcPr>
          <w:p w14:paraId="35582E1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/13</w:t>
            </w:r>
            <w:r w:rsidRPr="00775C84">
              <w:rPr>
                <w:color w:val="000000"/>
                <w:sz w:val="20"/>
                <w:szCs w:val="20"/>
              </w:rPr>
              <w:t>)</w:t>
            </w:r>
          </w:p>
        </w:tc>
        <w:tc>
          <w:tcPr>
            <w:tcW w:w="399" w:type="pct"/>
          </w:tcPr>
          <w:p w14:paraId="12EC18A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7" w:type="pct"/>
          </w:tcPr>
          <w:p w14:paraId="067A3CF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1A80E2F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5D8ECE8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4A96EE5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1B4311E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(11</w:t>
            </w:r>
            <w:r>
              <w:rPr>
                <w:color w:val="000000"/>
                <w:sz w:val="20"/>
                <w:szCs w:val="20"/>
              </w:rPr>
              <w:t>/56</w:t>
            </w:r>
            <w:r w:rsidRPr="00775C84">
              <w:rPr>
                <w:color w:val="000000"/>
                <w:sz w:val="20"/>
                <w:szCs w:val="20"/>
              </w:rPr>
              <w:t>)</w:t>
            </w:r>
          </w:p>
        </w:tc>
      </w:tr>
      <w:tr w:rsidR="00032E14" w:rsidRPr="00833C97" w14:paraId="1FBBF09E" w14:textId="77777777" w:rsidTr="00AC5DAA">
        <w:trPr>
          <w:cantSplit/>
          <w:jc w:val="center"/>
        </w:trPr>
        <w:tc>
          <w:tcPr>
            <w:tcW w:w="750" w:type="pct"/>
          </w:tcPr>
          <w:p w14:paraId="38325032" w14:textId="08E7F942"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10</w:t>
            </w:r>
          </w:p>
        </w:tc>
        <w:tc>
          <w:tcPr>
            <w:tcW w:w="303" w:type="pct"/>
          </w:tcPr>
          <w:p w14:paraId="7D3B5E1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40" w:type="pct"/>
          </w:tcPr>
          <w:p w14:paraId="6996511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/10</w:t>
            </w:r>
            <w:r w:rsidRPr="00775C84">
              <w:rPr>
                <w:color w:val="000000"/>
                <w:sz w:val="20"/>
                <w:szCs w:val="20"/>
              </w:rPr>
              <w:t>)</w:t>
            </w:r>
          </w:p>
        </w:tc>
        <w:tc>
          <w:tcPr>
            <w:tcW w:w="399" w:type="pct"/>
          </w:tcPr>
          <w:p w14:paraId="46B2591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/14</w:t>
            </w:r>
            <w:r w:rsidRPr="00775C84">
              <w:rPr>
                <w:color w:val="000000"/>
                <w:sz w:val="20"/>
                <w:szCs w:val="20"/>
              </w:rPr>
              <w:t>)</w:t>
            </w:r>
          </w:p>
        </w:tc>
        <w:tc>
          <w:tcPr>
            <w:tcW w:w="386" w:type="pct"/>
          </w:tcPr>
          <w:p w14:paraId="4310B0D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/13</w:t>
            </w:r>
            <w:r w:rsidRPr="00775C84">
              <w:rPr>
                <w:color w:val="000000"/>
                <w:sz w:val="20"/>
                <w:szCs w:val="20"/>
              </w:rPr>
              <w:t>)</w:t>
            </w:r>
          </w:p>
        </w:tc>
        <w:tc>
          <w:tcPr>
            <w:tcW w:w="377" w:type="pct"/>
          </w:tcPr>
          <w:p w14:paraId="725D91C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/10</w:t>
            </w:r>
            <w:r w:rsidRPr="00775C84">
              <w:rPr>
                <w:color w:val="000000"/>
                <w:sz w:val="20"/>
                <w:szCs w:val="20"/>
              </w:rPr>
              <w:t>)</w:t>
            </w:r>
          </w:p>
        </w:tc>
        <w:tc>
          <w:tcPr>
            <w:tcW w:w="399" w:type="pct"/>
          </w:tcPr>
          <w:p w14:paraId="0AAF7A4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(7</w:t>
            </w:r>
            <w:r>
              <w:rPr>
                <w:color w:val="000000"/>
                <w:sz w:val="20"/>
                <w:szCs w:val="20"/>
              </w:rPr>
              <w:t>/12</w:t>
            </w:r>
            <w:r w:rsidRPr="00775C84">
              <w:rPr>
                <w:color w:val="000000"/>
                <w:sz w:val="20"/>
                <w:szCs w:val="20"/>
              </w:rPr>
              <w:t>)</w:t>
            </w:r>
          </w:p>
        </w:tc>
        <w:tc>
          <w:tcPr>
            <w:tcW w:w="387" w:type="pct"/>
          </w:tcPr>
          <w:p w14:paraId="08F2EBF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(6</w:t>
            </w:r>
            <w:r>
              <w:rPr>
                <w:color w:val="000000"/>
                <w:sz w:val="20"/>
                <w:szCs w:val="20"/>
              </w:rPr>
              <w:t>/10</w:t>
            </w:r>
            <w:r w:rsidRPr="00775C84">
              <w:rPr>
                <w:color w:val="000000"/>
                <w:sz w:val="20"/>
                <w:szCs w:val="20"/>
              </w:rPr>
              <w:t>)</w:t>
            </w:r>
          </w:p>
        </w:tc>
        <w:tc>
          <w:tcPr>
            <w:tcW w:w="360" w:type="pct"/>
          </w:tcPr>
          <w:p w14:paraId="6A52DAA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(8</w:t>
            </w:r>
            <w:r>
              <w:rPr>
                <w:color w:val="000000"/>
                <w:sz w:val="20"/>
                <w:szCs w:val="20"/>
              </w:rPr>
              <w:t>/18</w:t>
            </w:r>
            <w:r w:rsidRPr="00775C84">
              <w:rPr>
                <w:color w:val="000000"/>
                <w:sz w:val="20"/>
                <w:szCs w:val="20"/>
              </w:rPr>
              <w:t>)</w:t>
            </w:r>
          </w:p>
        </w:tc>
        <w:tc>
          <w:tcPr>
            <w:tcW w:w="360" w:type="pct"/>
          </w:tcPr>
          <w:p w14:paraId="079A87B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(4</w:t>
            </w:r>
            <w:r>
              <w:rPr>
                <w:color w:val="000000"/>
                <w:sz w:val="20"/>
                <w:szCs w:val="20"/>
              </w:rPr>
              <w:t>/17</w:t>
            </w:r>
            <w:r w:rsidRPr="00775C84">
              <w:rPr>
                <w:color w:val="000000"/>
                <w:sz w:val="20"/>
                <w:szCs w:val="20"/>
              </w:rPr>
              <w:t>)</w:t>
            </w:r>
          </w:p>
        </w:tc>
        <w:tc>
          <w:tcPr>
            <w:tcW w:w="361" w:type="pct"/>
          </w:tcPr>
          <w:p w14:paraId="4E56466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/11</w:t>
            </w:r>
            <w:r w:rsidRPr="00775C84">
              <w:rPr>
                <w:color w:val="000000"/>
                <w:sz w:val="20"/>
                <w:szCs w:val="20"/>
              </w:rPr>
              <w:t>)</w:t>
            </w:r>
          </w:p>
        </w:tc>
        <w:tc>
          <w:tcPr>
            <w:tcW w:w="480" w:type="pct"/>
          </w:tcPr>
          <w:p w14:paraId="5ED8016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5 (34</w:t>
            </w:r>
            <w:r>
              <w:rPr>
                <w:color w:val="000000"/>
                <w:sz w:val="20"/>
                <w:szCs w:val="20"/>
              </w:rPr>
              <w:t>/115</w:t>
            </w:r>
            <w:r w:rsidRPr="00775C84">
              <w:rPr>
                <w:color w:val="000000"/>
                <w:sz w:val="20"/>
                <w:szCs w:val="20"/>
              </w:rPr>
              <w:t>)</w:t>
            </w:r>
          </w:p>
        </w:tc>
      </w:tr>
      <w:tr w:rsidR="00032E14" w:rsidRPr="00833C97" w14:paraId="4D0C7B8A" w14:textId="77777777" w:rsidTr="00AC5DAA">
        <w:trPr>
          <w:cantSplit/>
          <w:jc w:val="center"/>
        </w:trPr>
        <w:tc>
          <w:tcPr>
            <w:tcW w:w="750" w:type="pct"/>
          </w:tcPr>
          <w:p w14:paraId="080AA974" w14:textId="4651FCDE"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11</w:t>
            </w:r>
          </w:p>
        </w:tc>
        <w:tc>
          <w:tcPr>
            <w:tcW w:w="303" w:type="pct"/>
          </w:tcPr>
          <w:p w14:paraId="1C1388A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40" w:type="pct"/>
          </w:tcPr>
          <w:p w14:paraId="346D58E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99" w:type="pct"/>
          </w:tcPr>
          <w:p w14:paraId="61F7D27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6" w:type="pct"/>
          </w:tcPr>
          <w:p w14:paraId="7B52A69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/8</w:t>
            </w:r>
            <w:r w:rsidRPr="00775C84">
              <w:rPr>
                <w:color w:val="000000"/>
                <w:sz w:val="20"/>
                <w:szCs w:val="20"/>
              </w:rPr>
              <w:t>)</w:t>
            </w:r>
          </w:p>
        </w:tc>
        <w:tc>
          <w:tcPr>
            <w:tcW w:w="377" w:type="pct"/>
          </w:tcPr>
          <w:p w14:paraId="2CCE4DB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/13</w:t>
            </w:r>
            <w:r w:rsidRPr="00775C84">
              <w:rPr>
                <w:color w:val="000000"/>
                <w:sz w:val="20"/>
                <w:szCs w:val="20"/>
              </w:rPr>
              <w:t>)</w:t>
            </w:r>
          </w:p>
        </w:tc>
        <w:tc>
          <w:tcPr>
            <w:tcW w:w="399" w:type="pct"/>
          </w:tcPr>
          <w:p w14:paraId="018760C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/18</w:t>
            </w:r>
            <w:r w:rsidRPr="00775C84">
              <w:rPr>
                <w:color w:val="000000"/>
                <w:sz w:val="20"/>
                <w:szCs w:val="20"/>
              </w:rPr>
              <w:t>)</w:t>
            </w:r>
          </w:p>
        </w:tc>
        <w:tc>
          <w:tcPr>
            <w:tcW w:w="387" w:type="pct"/>
          </w:tcPr>
          <w:p w14:paraId="4198BE8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/19</w:t>
            </w:r>
            <w:r w:rsidRPr="00775C84">
              <w:rPr>
                <w:color w:val="000000"/>
                <w:sz w:val="20"/>
                <w:szCs w:val="20"/>
              </w:rPr>
              <w:t>)</w:t>
            </w:r>
          </w:p>
        </w:tc>
        <w:tc>
          <w:tcPr>
            <w:tcW w:w="360" w:type="pct"/>
          </w:tcPr>
          <w:p w14:paraId="1BD34EF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(7</w:t>
            </w:r>
            <w:r>
              <w:rPr>
                <w:color w:val="000000"/>
                <w:sz w:val="20"/>
                <w:szCs w:val="20"/>
              </w:rPr>
              <w:t>/23</w:t>
            </w:r>
            <w:r w:rsidRPr="00775C84">
              <w:rPr>
                <w:color w:val="000000"/>
                <w:sz w:val="20"/>
                <w:szCs w:val="20"/>
              </w:rPr>
              <w:t>)</w:t>
            </w:r>
          </w:p>
        </w:tc>
        <w:tc>
          <w:tcPr>
            <w:tcW w:w="360" w:type="pct"/>
          </w:tcPr>
          <w:p w14:paraId="148A197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(7</w:t>
            </w:r>
            <w:r>
              <w:rPr>
                <w:color w:val="000000"/>
                <w:sz w:val="20"/>
                <w:szCs w:val="20"/>
              </w:rPr>
              <w:t>/17</w:t>
            </w:r>
            <w:r w:rsidRPr="00775C84">
              <w:rPr>
                <w:color w:val="000000"/>
                <w:sz w:val="20"/>
                <w:szCs w:val="20"/>
              </w:rPr>
              <w:t>)</w:t>
            </w:r>
          </w:p>
        </w:tc>
        <w:tc>
          <w:tcPr>
            <w:tcW w:w="361" w:type="pct"/>
          </w:tcPr>
          <w:p w14:paraId="10FF2CF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4 (4</w:t>
            </w:r>
            <w:r>
              <w:rPr>
                <w:color w:val="000000"/>
                <w:sz w:val="20"/>
                <w:szCs w:val="20"/>
              </w:rPr>
              <w:t>/14</w:t>
            </w:r>
            <w:r w:rsidRPr="00775C84">
              <w:rPr>
                <w:color w:val="000000"/>
                <w:sz w:val="20"/>
                <w:szCs w:val="20"/>
              </w:rPr>
              <w:t>)</w:t>
            </w:r>
          </w:p>
        </w:tc>
        <w:tc>
          <w:tcPr>
            <w:tcW w:w="480" w:type="pct"/>
          </w:tcPr>
          <w:p w14:paraId="286BDD1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7 (25</w:t>
            </w:r>
            <w:r>
              <w:rPr>
                <w:color w:val="000000"/>
                <w:sz w:val="20"/>
                <w:szCs w:val="20"/>
              </w:rPr>
              <w:t>/112</w:t>
            </w:r>
            <w:r w:rsidRPr="00775C84">
              <w:rPr>
                <w:color w:val="000000"/>
                <w:sz w:val="20"/>
                <w:szCs w:val="20"/>
              </w:rPr>
              <w:t>)</w:t>
            </w:r>
          </w:p>
        </w:tc>
      </w:tr>
      <w:tr w:rsidR="00032E14" w:rsidRPr="00833C97" w14:paraId="2F06973B" w14:textId="77777777" w:rsidTr="00AC5DAA">
        <w:trPr>
          <w:cantSplit/>
          <w:jc w:val="center"/>
        </w:trPr>
        <w:tc>
          <w:tcPr>
            <w:tcW w:w="750" w:type="pct"/>
          </w:tcPr>
          <w:p w14:paraId="72EC36F8" w14:textId="525EAAB6"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12</w:t>
            </w:r>
          </w:p>
        </w:tc>
        <w:tc>
          <w:tcPr>
            <w:tcW w:w="303" w:type="pct"/>
          </w:tcPr>
          <w:p w14:paraId="6B05C02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/2</w:t>
            </w:r>
            <w:r w:rsidRPr="00775C84">
              <w:rPr>
                <w:color w:val="000000"/>
                <w:sz w:val="20"/>
                <w:szCs w:val="20"/>
              </w:rPr>
              <w:t>)</w:t>
            </w:r>
          </w:p>
        </w:tc>
        <w:tc>
          <w:tcPr>
            <w:tcW w:w="440" w:type="pct"/>
          </w:tcPr>
          <w:p w14:paraId="56A88B6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(7</w:t>
            </w:r>
            <w:r>
              <w:rPr>
                <w:color w:val="000000"/>
                <w:sz w:val="20"/>
                <w:szCs w:val="20"/>
              </w:rPr>
              <w:t>/12</w:t>
            </w:r>
            <w:r w:rsidRPr="00775C84">
              <w:rPr>
                <w:color w:val="000000"/>
                <w:sz w:val="20"/>
                <w:szCs w:val="20"/>
              </w:rPr>
              <w:t>)</w:t>
            </w:r>
          </w:p>
        </w:tc>
        <w:tc>
          <w:tcPr>
            <w:tcW w:w="399" w:type="pct"/>
          </w:tcPr>
          <w:p w14:paraId="1AF7D68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(6</w:t>
            </w:r>
            <w:r>
              <w:rPr>
                <w:color w:val="000000"/>
                <w:sz w:val="20"/>
                <w:szCs w:val="20"/>
              </w:rPr>
              <w:t>/13</w:t>
            </w:r>
            <w:r w:rsidRPr="00775C84">
              <w:rPr>
                <w:color w:val="000000"/>
                <w:sz w:val="20"/>
                <w:szCs w:val="20"/>
              </w:rPr>
              <w:t>)</w:t>
            </w:r>
          </w:p>
        </w:tc>
        <w:tc>
          <w:tcPr>
            <w:tcW w:w="386" w:type="pct"/>
          </w:tcPr>
          <w:p w14:paraId="30EE3ED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/11</w:t>
            </w:r>
            <w:r w:rsidRPr="00775C84">
              <w:rPr>
                <w:color w:val="000000"/>
                <w:sz w:val="20"/>
                <w:szCs w:val="20"/>
              </w:rPr>
              <w:t>)</w:t>
            </w:r>
          </w:p>
        </w:tc>
        <w:tc>
          <w:tcPr>
            <w:tcW w:w="377" w:type="pct"/>
          </w:tcPr>
          <w:p w14:paraId="3EEE1F6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/10</w:t>
            </w:r>
            <w:r w:rsidRPr="00775C84">
              <w:rPr>
                <w:color w:val="000000"/>
                <w:sz w:val="20"/>
                <w:szCs w:val="20"/>
              </w:rPr>
              <w:t>)</w:t>
            </w:r>
          </w:p>
        </w:tc>
        <w:tc>
          <w:tcPr>
            <w:tcW w:w="399" w:type="pct"/>
          </w:tcPr>
          <w:p w14:paraId="503806C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/8</w:t>
            </w:r>
            <w:r w:rsidRPr="00775C84">
              <w:rPr>
                <w:color w:val="000000"/>
                <w:sz w:val="20"/>
                <w:szCs w:val="20"/>
              </w:rPr>
              <w:t>)</w:t>
            </w:r>
          </w:p>
        </w:tc>
        <w:tc>
          <w:tcPr>
            <w:tcW w:w="387" w:type="pct"/>
          </w:tcPr>
          <w:p w14:paraId="10685E3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(4</w:t>
            </w:r>
            <w:r>
              <w:rPr>
                <w:color w:val="000000"/>
                <w:sz w:val="20"/>
                <w:szCs w:val="20"/>
              </w:rPr>
              <w:t>/8</w:t>
            </w:r>
            <w:r w:rsidRPr="00775C84">
              <w:rPr>
                <w:color w:val="000000"/>
                <w:sz w:val="20"/>
                <w:szCs w:val="20"/>
              </w:rPr>
              <w:t>)</w:t>
            </w:r>
          </w:p>
        </w:tc>
        <w:tc>
          <w:tcPr>
            <w:tcW w:w="360" w:type="pct"/>
          </w:tcPr>
          <w:p w14:paraId="0EF2B1E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/12</w:t>
            </w:r>
            <w:r w:rsidRPr="00775C84">
              <w:rPr>
                <w:color w:val="000000"/>
                <w:sz w:val="20"/>
                <w:szCs w:val="20"/>
              </w:rPr>
              <w:t>)</w:t>
            </w:r>
          </w:p>
        </w:tc>
        <w:tc>
          <w:tcPr>
            <w:tcW w:w="360" w:type="pct"/>
          </w:tcPr>
          <w:p w14:paraId="0FA0C46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(4</w:t>
            </w:r>
            <w:r>
              <w:rPr>
                <w:color w:val="000000"/>
                <w:sz w:val="20"/>
                <w:szCs w:val="20"/>
              </w:rPr>
              <w:t>/14</w:t>
            </w:r>
            <w:r w:rsidRPr="00775C84">
              <w:rPr>
                <w:color w:val="000000"/>
                <w:sz w:val="20"/>
                <w:szCs w:val="20"/>
              </w:rPr>
              <w:t>)</w:t>
            </w:r>
          </w:p>
        </w:tc>
        <w:tc>
          <w:tcPr>
            <w:tcW w:w="361" w:type="pct"/>
          </w:tcPr>
          <w:p w14:paraId="259BDEE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(4</w:t>
            </w:r>
            <w:r>
              <w:rPr>
                <w:color w:val="000000"/>
                <w:sz w:val="20"/>
                <w:szCs w:val="20"/>
              </w:rPr>
              <w:t>/9</w:t>
            </w:r>
            <w:r w:rsidRPr="00775C84">
              <w:rPr>
                <w:color w:val="000000"/>
                <w:sz w:val="20"/>
                <w:szCs w:val="20"/>
              </w:rPr>
              <w:t>)</w:t>
            </w:r>
          </w:p>
        </w:tc>
        <w:tc>
          <w:tcPr>
            <w:tcW w:w="480" w:type="pct"/>
          </w:tcPr>
          <w:p w14:paraId="67C2962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10 (32</w:t>
            </w:r>
            <w:r>
              <w:rPr>
                <w:color w:val="000000"/>
                <w:sz w:val="20"/>
                <w:szCs w:val="20"/>
              </w:rPr>
              <w:t>/99</w:t>
            </w:r>
            <w:r w:rsidRPr="00775C84">
              <w:rPr>
                <w:color w:val="000000"/>
                <w:sz w:val="20"/>
                <w:szCs w:val="20"/>
              </w:rPr>
              <w:t>)</w:t>
            </w:r>
          </w:p>
        </w:tc>
      </w:tr>
      <w:tr w:rsidR="00032E14" w:rsidRPr="00833C97" w14:paraId="69F6B3B6" w14:textId="77777777" w:rsidTr="00AC5DAA">
        <w:trPr>
          <w:cantSplit/>
          <w:jc w:val="center"/>
        </w:trPr>
        <w:tc>
          <w:tcPr>
            <w:tcW w:w="750" w:type="pct"/>
          </w:tcPr>
          <w:p w14:paraId="2AE47618" w14:textId="14C7EEB2"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13</w:t>
            </w:r>
          </w:p>
        </w:tc>
        <w:tc>
          <w:tcPr>
            <w:tcW w:w="303" w:type="pct"/>
          </w:tcPr>
          <w:p w14:paraId="1993516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40" w:type="pct"/>
          </w:tcPr>
          <w:p w14:paraId="43A5EE3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w:t>
            </w:r>
            <w:r w:rsidRPr="00775C84">
              <w:rPr>
                <w:color w:val="000000"/>
                <w:sz w:val="20"/>
                <w:szCs w:val="20"/>
              </w:rPr>
              <w:t>)</w:t>
            </w:r>
          </w:p>
        </w:tc>
        <w:tc>
          <w:tcPr>
            <w:tcW w:w="399" w:type="pct"/>
          </w:tcPr>
          <w:p w14:paraId="4FAFECF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(5</w:t>
            </w:r>
            <w:r>
              <w:rPr>
                <w:color w:val="000000"/>
                <w:sz w:val="20"/>
                <w:szCs w:val="20"/>
              </w:rPr>
              <w:t>/20</w:t>
            </w:r>
            <w:r w:rsidRPr="00775C84">
              <w:rPr>
                <w:color w:val="000000"/>
                <w:sz w:val="20"/>
                <w:szCs w:val="20"/>
              </w:rPr>
              <w:t>)</w:t>
            </w:r>
          </w:p>
        </w:tc>
        <w:tc>
          <w:tcPr>
            <w:tcW w:w="386" w:type="pct"/>
          </w:tcPr>
          <w:p w14:paraId="2B21F8A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/22</w:t>
            </w:r>
            <w:r w:rsidRPr="00775C84">
              <w:rPr>
                <w:color w:val="000000"/>
                <w:sz w:val="20"/>
                <w:szCs w:val="20"/>
              </w:rPr>
              <w:t>)</w:t>
            </w:r>
          </w:p>
        </w:tc>
        <w:tc>
          <w:tcPr>
            <w:tcW w:w="377" w:type="pct"/>
          </w:tcPr>
          <w:p w14:paraId="514BDD8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(5</w:t>
            </w:r>
            <w:r>
              <w:rPr>
                <w:color w:val="000000"/>
                <w:sz w:val="20"/>
                <w:szCs w:val="20"/>
              </w:rPr>
              <w:t>/19</w:t>
            </w:r>
            <w:r w:rsidRPr="00775C84">
              <w:rPr>
                <w:color w:val="000000"/>
                <w:sz w:val="20"/>
                <w:szCs w:val="20"/>
              </w:rPr>
              <w:t>)</w:t>
            </w:r>
          </w:p>
        </w:tc>
        <w:tc>
          <w:tcPr>
            <w:tcW w:w="399" w:type="pct"/>
          </w:tcPr>
          <w:p w14:paraId="667D6D5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/23</w:t>
            </w:r>
            <w:r w:rsidRPr="00775C84">
              <w:rPr>
                <w:color w:val="000000"/>
                <w:sz w:val="20"/>
                <w:szCs w:val="20"/>
              </w:rPr>
              <w:t>)</w:t>
            </w:r>
          </w:p>
        </w:tc>
        <w:tc>
          <w:tcPr>
            <w:tcW w:w="387" w:type="pct"/>
          </w:tcPr>
          <w:p w14:paraId="74D957E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(5</w:t>
            </w:r>
            <w:r>
              <w:rPr>
                <w:color w:val="000000"/>
                <w:sz w:val="20"/>
                <w:szCs w:val="20"/>
              </w:rPr>
              <w:t>/21</w:t>
            </w:r>
            <w:r w:rsidRPr="00775C84">
              <w:rPr>
                <w:color w:val="000000"/>
                <w:sz w:val="20"/>
                <w:szCs w:val="20"/>
              </w:rPr>
              <w:t>)</w:t>
            </w:r>
          </w:p>
        </w:tc>
        <w:tc>
          <w:tcPr>
            <w:tcW w:w="360" w:type="pct"/>
          </w:tcPr>
          <w:p w14:paraId="510E584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/20</w:t>
            </w:r>
            <w:r w:rsidRPr="00775C84">
              <w:rPr>
                <w:color w:val="000000"/>
                <w:sz w:val="20"/>
                <w:szCs w:val="20"/>
              </w:rPr>
              <w:t>)</w:t>
            </w:r>
          </w:p>
        </w:tc>
        <w:tc>
          <w:tcPr>
            <w:tcW w:w="360" w:type="pct"/>
          </w:tcPr>
          <w:p w14:paraId="2E5DF63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/20</w:t>
            </w:r>
            <w:r w:rsidRPr="00775C84">
              <w:rPr>
                <w:color w:val="000000"/>
                <w:sz w:val="20"/>
                <w:szCs w:val="20"/>
              </w:rPr>
              <w:t>)</w:t>
            </w:r>
          </w:p>
        </w:tc>
        <w:tc>
          <w:tcPr>
            <w:tcW w:w="361" w:type="pct"/>
          </w:tcPr>
          <w:p w14:paraId="65BB3B9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(5</w:t>
            </w:r>
            <w:r>
              <w:rPr>
                <w:color w:val="000000"/>
                <w:sz w:val="20"/>
                <w:szCs w:val="20"/>
              </w:rPr>
              <w:t>/14</w:t>
            </w:r>
            <w:r w:rsidRPr="00775C84">
              <w:rPr>
                <w:color w:val="000000"/>
                <w:sz w:val="20"/>
                <w:szCs w:val="20"/>
              </w:rPr>
              <w:t>)</w:t>
            </w:r>
          </w:p>
        </w:tc>
        <w:tc>
          <w:tcPr>
            <w:tcW w:w="480" w:type="pct"/>
          </w:tcPr>
          <w:p w14:paraId="5AEA4F7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7 (30</w:t>
            </w:r>
            <w:r>
              <w:rPr>
                <w:color w:val="000000"/>
                <w:sz w:val="20"/>
                <w:szCs w:val="20"/>
              </w:rPr>
              <w:t>/160</w:t>
            </w:r>
            <w:r w:rsidRPr="00775C84">
              <w:rPr>
                <w:color w:val="000000"/>
                <w:sz w:val="20"/>
                <w:szCs w:val="20"/>
              </w:rPr>
              <w:t>)</w:t>
            </w:r>
          </w:p>
        </w:tc>
      </w:tr>
      <w:tr w:rsidR="00032E14" w:rsidRPr="00833C97" w14:paraId="0B91D14E" w14:textId="77777777" w:rsidTr="00AC5DAA">
        <w:trPr>
          <w:cantSplit/>
          <w:jc w:val="center"/>
        </w:trPr>
        <w:tc>
          <w:tcPr>
            <w:tcW w:w="750" w:type="pct"/>
          </w:tcPr>
          <w:p w14:paraId="38592B27" w14:textId="551CEFB0"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14</w:t>
            </w:r>
          </w:p>
        </w:tc>
        <w:tc>
          <w:tcPr>
            <w:tcW w:w="303" w:type="pct"/>
          </w:tcPr>
          <w:p w14:paraId="4FD94F6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/1</w:t>
            </w:r>
            <w:r w:rsidRPr="00775C84">
              <w:rPr>
                <w:color w:val="000000"/>
                <w:sz w:val="20"/>
                <w:szCs w:val="20"/>
              </w:rPr>
              <w:t>)</w:t>
            </w:r>
          </w:p>
        </w:tc>
        <w:tc>
          <w:tcPr>
            <w:tcW w:w="440" w:type="pct"/>
          </w:tcPr>
          <w:p w14:paraId="5EC92E1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(4</w:t>
            </w:r>
            <w:r>
              <w:rPr>
                <w:color w:val="000000"/>
                <w:sz w:val="20"/>
                <w:szCs w:val="20"/>
              </w:rPr>
              <w:t>/9</w:t>
            </w:r>
            <w:r w:rsidRPr="00775C84">
              <w:rPr>
                <w:color w:val="000000"/>
                <w:sz w:val="20"/>
                <w:szCs w:val="20"/>
              </w:rPr>
              <w:t>)</w:t>
            </w:r>
          </w:p>
        </w:tc>
        <w:tc>
          <w:tcPr>
            <w:tcW w:w="399" w:type="pct"/>
          </w:tcPr>
          <w:p w14:paraId="66FAF1B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(6</w:t>
            </w:r>
            <w:r>
              <w:rPr>
                <w:color w:val="000000"/>
                <w:sz w:val="20"/>
                <w:szCs w:val="20"/>
              </w:rPr>
              <w:t>/18</w:t>
            </w:r>
            <w:r w:rsidRPr="00775C84">
              <w:rPr>
                <w:color w:val="000000"/>
                <w:sz w:val="20"/>
                <w:szCs w:val="20"/>
              </w:rPr>
              <w:t>)</w:t>
            </w:r>
          </w:p>
        </w:tc>
        <w:tc>
          <w:tcPr>
            <w:tcW w:w="386" w:type="pct"/>
          </w:tcPr>
          <w:p w14:paraId="4418CC6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(6</w:t>
            </w:r>
            <w:r>
              <w:rPr>
                <w:color w:val="000000"/>
                <w:sz w:val="20"/>
                <w:szCs w:val="20"/>
              </w:rPr>
              <w:t>/8</w:t>
            </w:r>
            <w:r w:rsidRPr="00775C84">
              <w:rPr>
                <w:color w:val="000000"/>
                <w:sz w:val="20"/>
                <w:szCs w:val="20"/>
              </w:rPr>
              <w:t>)</w:t>
            </w:r>
          </w:p>
        </w:tc>
        <w:tc>
          <w:tcPr>
            <w:tcW w:w="377" w:type="pct"/>
          </w:tcPr>
          <w:p w14:paraId="0665949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(7</w:t>
            </w:r>
            <w:r>
              <w:rPr>
                <w:color w:val="000000"/>
                <w:sz w:val="20"/>
                <w:szCs w:val="20"/>
              </w:rPr>
              <w:t>/19</w:t>
            </w:r>
            <w:r w:rsidRPr="00775C84">
              <w:rPr>
                <w:color w:val="000000"/>
                <w:sz w:val="20"/>
                <w:szCs w:val="20"/>
              </w:rPr>
              <w:t>)</w:t>
            </w:r>
          </w:p>
        </w:tc>
        <w:tc>
          <w:tcPr>
            <w:tcW w:w="399" w:type="pct"/>
          </w:tcPr>
          <w:p w14:paraId="0201EED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/6</w:t>
            </w:r>
            <w:r w:rsidRPr="00775C84">
              <w:rPr>
                <w:color w:val="000000"/>
                <w:sz w:val="20"/>
                <w:szCs w:val="20"/>
              </w:rPr>
              <w:t>)</w:t>
            </w:r>
          </w:p>
        </w:tc>
        <w:tc>
          <w:tcPr>
            <w:tcW w:w="387" w:type="pct"/>
          </w:tcPr>
          <w:p w14:paraId="1F33CE3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217A413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6A23A3E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7454C4F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731519F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9 (25</w:t>
            </w:r>
            <w:r>
              <w:rPr>
                <w:color w:val="000000"/>
                <w:sz w:val="20"/>
                <w:szCs w:val="20"/>
              </w:rPr>
              <w:t>/61</w:t>
            </w:r>
            <w:r w:rsidRPr="00775C84">
              <w:rPr>
                <w:color w:val="000000"/>
                <w:sz w:val="20"/>
                <w:szCs w:val="20"/>
              </w:rPr>
              <w:t>)</w:t>
            </w:r>
          </w:p>
        </w:tc>
      </w:tr>
      <w:tr w:rsidR="00032E14" w:rsidRPr="00833C97" w14:paraId="558E40ED" w14:textId="77777777" w:rsidTr="00AC5DAA">
        <w:trPr>
          <w:cantSplit/>
          <w:jc w:val="center"/>
        </w:trPr>
        <w:tc>
          <w:tcPr>
            <w:tcW w:w="750" w:type="pct"/>
          </w:tcPr>
          <w:p w14:paraId="74175634" w14:textId="522428A6"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15</w:t>
            </w:r>
          </w:p>
        </w:tc>
        <w:tc>
          <w:tcPr>
            <w:tcW w:w="303" w:type="pct"/>
          </w:tcPr>
          <w:p w14:paraId="3E5303E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/2</w:t>
            </w:r>
            <w:r w:rsidRPr="00775C84">
              <w:rPr>
                <w:color w:val="000000"/>
                <w:sz w:val="20"/>
                <w:szCs w:val="20"/>
              </w:rPr>
              <w:t>)</w:t>
            </w:r>
          </w:p>
        </w:tc>
        <w:tc>
          <w:tcPr>
            <w:tcW w:w="440" w:type="pct"/>
          </w:tcPr>
          <w:p w14:paraId="11CA585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/5</w:t>
            </w:r>
            <w:r w:rsidRPr="00775C84">
              <w:rPr>
                <w:color w:val="000000"/>
                <w:sz w:val="20"/>
                <w:szCs w:val="20"/>
              </w:rPr>
              <w:t>)</w:t>
            </w:r>
          </w:p>
        </w:tc>
        <w:tc>
          <w:tcPr>
            <w:tcW w:w="399" w:type="pct"/>
          </w:tcPr>
          <w:p w14:paraId="1AAADE4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(5</w:t>
            </w:r>
            <w:r>
              <w:rPr>
                <w:color w:val="000000"/>
                <w:sz w:val="20"/>
                <w:szCs w:val="20"/>
              </w:rPr>
              <w:t>/17</w:t>
            </w:r>
            <w:r w:rsidRPr="00775C84">
              <w:rPr>
                <w:color w:val="000000"/>
                <w:sz w:val="20"/>
                <w:szCs w:val="20"/>
              </w:rPr>
              <w:t>)</w:t>
            </w:r>
          </w:p>
        </w:tc>
        <w:tc>
          <w:tcPr>
            <w:tcW w:w="386" w:type="pct"/>
          </w:tcPr>
          <w:p w14:paraId="281D8B1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/10</w:t>
            </w:r>
            <w:r w:rsidRPr="00775C84">
              <w:rPr>
                <w:color w:val="000000"/>
                <w:sz w:val="20"/>
                <w:szCs w:val="20"/>
              </w:rPr>
              <w:t>)</w:t>
            </w:r>
          </w:p>
        </w:tc>
        <w:tc>
          <w:tcPr>
            <w:tcW w:w="377" w:type="pct"/>
          </w:tcPr>
          <w:p w14:paraId="106D56D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/10</w:t>
            </w:r>
            <w:r w:rsidRPr="00775C84">
              <w:rPr>
                <w:color w:val="000000"/>
                <w:sz w:val="20"/>
                <w:szCs w:val="20"/>
              </w:rPr>
              <w:t>)</w:t>
            </w:r>
          </w:p>
        </w:tc>
        <w:tc>
          <w:tcPr>
            <w:tcW w:w="399" w:type="pct"/>
          </w:tcPr>
          <w:p w14:paraId="4DA8F7A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7" w:type="pct"/>
          </w:tcPr>
          <w:p w14:paraId="6632A0E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3F54B8A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303DCC7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4DD9E89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3BBCD04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(10</w:t>
            </w:r>
            <w:r>
              <w:rPr>
                <w:color w:val="000000"/>
                <w:sz w:val="20"/>
                <w:szCs w:val="20"/>
              </w:rPr>
              <w:t>/44</w:t>
            </w:r>
            <w:r w:rsidRPr="00775C84">
              <w:rPr>
                <w:color w:val="000000"/>
                <w:sz w:val="20"/>
                <w:szCs w:val="20"/>
              </w:rPr>
              <w:t>)</w:t>
            </w:r>
          </w:p>
        </w:tc>
      </w:tr>
      <w:tr w:rsidR="00032E14" w:rsidRPr="00833C97" w14:paraId="1EFB437D" w14:textId="77777777" w:rsidTr="00AC5DAA">
        <w:trPr>
          <w:cantSplit/>
          <w:jc w:val="center"/>
        </w:trPr>
        <w:tc>
          <w:tcPr>
            <w:tcW w:w="750" w:type="pct"/>
          </w:tcPr>
          <w:p w14:paraId="4D5DB2D7" w14:textId="50384FDB"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16</w:t>
            </w:r>
          </w:p>
        </w:tc>
        <w:tc>
          <w:tcPr>
            <w:tcW w:w="303" w:type="pct"/>
          </w:tcPr>
          <w:p w14:paraId="1EA2CDC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w:t>
            </w:r>
            <w:r w:rsidRPr="00775C84">
              <w:rPr>
                <w:color w:val="000000"/>
                <w:sz w:val="20"/>
                <w:szCs w:val="20"/>
              </w:rPr>
              <w:t>)</w:t>
            </w:r>
          </w:p>
        </w:tc>
        <w:tc>
          <w:tcPr>
            <w:tcW w:w="440" w:type="pct"/>
          </w:tcPr>
          <w:p w14:paraId="66BD25C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/7</w:t>
            </w:r>
            <w:r w:rsidRPr="00775C84">
              <w:rPr>
                <w:color w:val="000000"/>
                <w:sz w:val="20"/>
                <w:szCs w:val="20"/>
              </w:rPr>
              <w:t>)</w:t>
            </w:r>
          </w:p>
        </w:tc>
        <w:tc>
          <w:tcPr>
            <w:tcW w:w="399" w:type="pct"/>
          </w:tcPr>
          <w:p w14:paraId="016039D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/15</w:t>
            </w:r>
            <w:r w:rsidRPr="00775C84">
              <w:rPr>
                <w:color w:val="000000"/>
                <w:sz w:val="20"/>
                <w:szCs w:val="20"/>
              </w:rPr>
              <w:t>)</w:t>
            </w:r>
          </w:p>
        </w:tc>
        <w:tc>
          <w:tcPr>
            <w:tcW w:w="386" w:type="pct"/>
          </w:tcPr>
          <w:p w14:paraId="6398879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/16</w:t>
            </w:r>
            <w:r w:rsidRPr="00775C84">
              <w:rPr>
                <w:color w:val="000000"/>
                <w:sz w:val="20"/>
                <w:szCs w:val="20"/>
              </w:rPr>
              <w:t>)</w:t>
            </w:r>
          </w:p>
        </w:tc>
        <w:tc>
          <w:tcPr>
            <w:tcW w:w="377" w:type="pct"/>
          </w:tcPr>
          <w:p w14:paraId="6D96571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/15</w:t>
            </w:r>
            <w:r w:rsidRPr="00775C84">
              <w:rPr>
                <w:color w:val="000000"/>
                <w:sz w:val="20"/>
                <w:szCs w:val="20"/>
              </w:rPr>
              <w:t>)</w:t>
            </w:r>
          </w:p>
        </w:tc>
        <w:tc>
          <w:tcPr>
            <w:tcW w:w="399" w:type="pct"/>
          </w:tcPr>
          <w:p w14:paraId="3B97EB3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/2</w:t>
            </w:r>
            <w:r w:rsidRPr="00775C84">
              <w:rPr>
                <w:color w:val="000000"/>
                <w:sz w:val="20"/>
                <w:szCs w:val="20"/>
              </w:rPr>
              <w:t>)</w:t>
            </w:r>
          </w:p>
        </w:tc>
        <w:tc>
          <w:tcPr>
            <w:tcW w:w="387" w:type="pct"/>
          </w:tcPr>
          <w:p w14:paraId="4E2873E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/5</w:t>
            </w:r>
            <w:r w:rsidRPr="00775C84">
              <w:rPr>
                <w:color w:val="000000"/>
                <w:sz w:val="20"/>
                <w:szCs w:val="20"/>
              </w:rPr>
              <w:t>)</w:t>
            </w:r>
          </w:p>
        </w:tc>
        <w:tc>
          <w:tcPr>
            <w:tcW w:w="360" w:type="pct"/>
          </w:tcPr>
          <w:p w14:paraId="00F4331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(4</w:t>
            </w:r>
            <w:r>
              <w:rPr>
                <w:color w:val="000000"/>
                <w:sz w:val="20"/>
                <w:szCs w:val="20"/>
              </w:rPr>
              <w:t>/16</w:t>
            </w:r>
            <w:r w:rsidRPr="00775C84">
              <w:rPr>
                <w:color w:val="000000"/>
                <w:sz w:val="20"/>
                <w:szCs w:val="20"/>
              </w:rPr>
              <w:t>)</w:t>
            </w:r>
          </w:p>
        </w:tc>
        <w:tc>
          <w:tcPr>
            <w:tcW w:w="360" w:type="pct"/>
          </w:tcPr>
          <w:p w14:paraId="3359246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/12</w:t>
            </w:r>
            <w:r w:rsidRPr="00775C84">
              <w:rPr>
                <w:color w:val="000000"/>
                <w:sz w:val="20"/>
                <w:szCs w:val="20"/>
              </w:rPr>
              <w:t>)</w:t>
            </w:r>
          </w:p>
        </w:tc>
        <w:tc>
          <w:tcPr>
            <w:tcW w:w="361" w:type="pct"/>
          </w:tcPr>
          <w:p w14:paraId="7DD6EAA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38F4B61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4 (16</w:t>
            </w:r>
            <w:r>
              <w:rPr>
                <w:color w:val="000000"/>
                <w:sz w:val="20"/>
                <w:szCs w:val="20"/>
              </w:rPr>
              <w:t>/89</w:t>
            </w:r>
            <w:r w:rsidRPr="00775C84">
              <w:rPr>
                <w:color w:val="000000"/>
                <w:sz w:val="20"/>
                <w:szCs w:val="20"/>
              </w:rPr>
              <w:t>)</w:t>
            </w:r>
          </w:p>
        </w:tc>
      </w:tr>
      <w:tr w:rsidR="00032E14" w:rsidRPr="00833C97" w14:paraId="5EA0C20D" w14:textId="77777777" w:rsidTr="00AC5DAA">
        <w:trPr>
          <w:cantSplit/>
          <w:jc w:val="center"/>
        </w:trPr>
        <w:tc>
          <w:tcPr>
            <w:tcW w:w="750" w:type="pct"/>
          </w:tcPr>
          <w:p w14:paraId="2858DACB" w14:textId="1B5C5F73"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17</w:t>
            </w:r>
          </w:p>
        </w:tc>
        <w:tc>
          <w:tcPr>
            <w:tcW w:w="303" w:type="pct"/>
          </w:tcPr>
          <w:p w14:paraId="73CE630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w:t>
            </w:r>
            <w:r w:rsidRPr="00775C84">
              <w:rPr>
                <w:color w:val="000000"/>
                <w:sz w:val="20"/>
                <w:szCs w:val="20"/>
              </w:rPr>
              <w:t>)</w:t>
            </w:r>
          </w:p>
        </w:tc>
        <w:tc>
          <w:tcPr>
            <w:tcW w:w="440" w:type="pct"/>
          </w:tcPr>
          <w:p w14:paraId="4FBAEA9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/12</w:t>
            </w:r>
            <w:r w:rsidRPr="00775C84">
              <w:rPr>
                <w:color w:val="000000"/>
                <w:sz w:val="20"/>
                <w:szCs w:val="20"/>
              </w:rPr>
              <w:t>)</w:t>
            </w:r>
          </w:p>
        </w:tc>
        <w:tc>
          <w:tcPr>
            <w:tcW w:w="399" w:type="pct"/>
          </w:tcPr>
          <w:p w14:paraId="50C6D99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(5</w:t>
            </w:r>
            <w:r>
              <w:rPr>
                <w:color w:val="000000"/>
                <w:sz w:val="20"/>
                <w:szCs w:val="20"/>
              </w:rPr>
              <w:t>/17</w:t>
            </w:r>
            <w:r w:rsidRPr="00775C84">
              <w:rPr>
                <w:color w:val="000000"/>
                <w:sz w:val="20"/>
                <w:szCs w:val="20"/>
              </w:rPr>
              <w:t>)</w:t>
            </w:r>
          </w:p>
        </w:tc>
        <w:tc>
          <w:tcPr>
            <w:tcW w:w="386" w:type="pct"/>
          </w:tcPr>
          <w:p w14:paraId="7796E9F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(4</w:t>
            </w:r>
            <w:r>
              <w:rPr>
                <w:color w:val="000000"/>
                <w:sz w:val="20"/>
                <w:szCs w:val="20"/>
              </w:rPr>
              <w:t>/16</w:t>
            </w:r>
            <w:r w:rsidRPr="00775C84">
              <w:rPr>
                <w:color w:val="000000"/>
                <w:sz w:val="20"/>
                <w:szCs w:val="20"/>
              </w:rPr>
              <w:t>)</w:t>
            </w:r>
          </w:p>
        </w:tc>
        <w:tc>
          <w:tcPr>
            <w:tcW w:w="377" w:type="pct"/>
          </w:tcPr>
          <w:p w14:paraId="739AC70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(4</w:t>
            </w:r>
            <w:r>
              <w:rPr>
                <w:color w:val="000000"/>
                <w:sz w:val="20"/>
                <w:szCs w:val="20"/>
              </w:rPr>
              <w:t>/16</w:t>
            </w:r>
            <w:r w:rsidRPr="00775C84">
              <w:rPr>
                <w:color w:val="000000"/>
                <w:sz w:val="20"/>
                <w:szCs w:val="20"/>
              </w:rPr>
              <w:t>)</w:t>
            </w:r>
          </w:p>
        </w:tc>
        <w:tc>
          <w:tcPr>
            <w:tcW w:w="399" w:type="pct"/>
          </w:tcPr>
          <w:p w14:paraId="13D3369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/11</w:t>
            </w:r>
            <w:r w:rsidRPr="00775C84">
              <w:rPr>
                <w:color w:val="000000"/>
                <w:sz w:val="20"/>
                <w:szCs w:val="20"/>
              </w:rPr>
              <w:t>)</w:t>
            </w:r>
          </w:p>
        </w:tc>
        <w:tc>
          <w:tcPr>
            <w:tcW w:w="387" w:type="pct"/>
          </w:tcPr>
          <w:p w14:paraId="28E1CB8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79497B8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13154F4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/4</w:t>
            </w:r>
            <w:r w:rsidRPr="00775C84">
              <w:rPr>
                <w:color w:val="000000"/>
                <w:sz w:val="20"/>
                <w:szCs w:val="20"/>
              </w:rPr>
              <w:t>)</w:t>
            </w:r>
          </w:p>
        </w:tc>
        <w:tc>
          <w:tcPr>
            <w:tcW w:w="361" w:type="pct"/>
          </w:tcPr>
          <w:p w14:paraId="338E164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(4</w:t>
            </w:r>
            <w:r>
              <w:rPr>
                <w:color w:val="000000"/>
                <w:sz w:val="20"/>
                <w:szCs w:val="20"/>
              </w:rPr>
              <w:t>/15</w:t>
            </w:r>
            <w:r w:rsidRPr="00775C84">
              <w:rPr>
                <w:color w:val="000000"/>
                <w:sz w:val="20"/>
                <w:szCs w:val="20"/>
              </w:rPr>
              <w:t>)</w:t>
            </w:r>
          </w:p>
        </w:tc>
        <w:tc>
          <w:tcPr>
            <w:tcW w:w="480" w:type="pct"/>
          </w:tcPr>
          <w:p w14:paraId="6CFA6FD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4 (22</w:t>
            </w:r>
            <w:r>
              <w:rPr>
                <w:color w:val="000000"/>
                <w:sz w:val="20"/>
                <w:szCs w:val="20"/>
              </w:rPr>
              <w:t>/92</w:t>
            </w:r>
            <w:r w:rsidRPr="00775C84">
              <w:rPr>
                <w:color w:val="000000"/>
                <w:sz w:val="20"/>
                <w:szCs w:val="20"/>
              </w:rPr>
              <w:t>)</w:t>
            </w:r>
          </w:p>
        </w:tc>
      </w:tr>
      <w:tr w:rsidR="00032E14" w:rsidRPr="00833C97" w14:paraId="38D62DFA" w14:textId="77777777" w:rsidTr="00AC5DAA">
        <w:trPr>
          <w:cantSplit/>
          <w:jc w:val="center"/>
        </w:trPr>
        <w:tc>
          <w:tcPr>
            <w:tcW w:w="750" w:type="pct"/>
          </w:tcPr>
          <w:p w14:paraId="584142D0" w14:textId="41C67EEB"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18</w:t>
            </w:r>
          </w:p>
        </w:tc>
        <w:tc>
          <w:tcPr>
            <w:tcW w:w="303" w:type="pct"/>
          </w:tcPr>
          <w:p w14:paraId="5AAD1A7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w:t>
            </w:r>
            <w:r w:rsidRPr="00775C84">
              <w:rPr>
                <w:color w:val="000000"/>
                <w:sz w:val="20"/>
                <w:szCs w:val="20"/>
              </w:rPr>
              <w:t>)</w:t>
            </w:r>
          </w:p>
        </w:tc>
        <w:tc>
          <w:tcPr>
            <w:tcW w:w="440" w:type="pct"/>
          </w:tcPr>
          <w:p w14:paraId="3DDC956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(5</w:t>
            </w:r>
            <w:r>
              <w:rPr>
                <w:color w:val="000000"/>
                <w:sz w:val="20"/>
                <w:szCs w:val="20"/>
              </w:rPr>
              <w:t>/10</w:t>
            </w:r>
            <w:r w:rsidRPr="00775C84">
              <w:rPr>
                <w:color w:val="000000"/>
                <w:sz w:val="20"/>
                <w:szCs w:val="20"/>
              </w:rPr>
              <w:t>)</w:t>
            </w:r>
          </w:p>
        </w:tc>
        <w:tc>
          <w:tcPr>
            <w:tcW w:w="399" w:type="pct"/>
          </w:tcPr>
          <w:p w14:paraId="525C724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/2</w:t>
            </w:r>
            <w:r w:rsidRPr="00775C84">
              <w:rPr>
                <w:color w:val="000000"/>
                <w:sz w:val="20"/>
                <w:szCs w:val="20"/>
              </w:rPr>
              <w:t>)</w:t>
            </w:r>
          </w:p>
        </w:tc>
        <w:tc>
          <w:tcPr>
            <w:tcW w:w="386" w:type="pct"/>
          </w:tcPr>
          <w:p w14:paraId="3F98C9D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(4</w:t>
            </w:r>
            <w:r>
              <w:rPr>
                <w:color w:val="000000"/>
                <w:sz w:val="20"/>
                <w:szCs w:val="20"/>
              </w:rPr>
              <w:t>/11</w:t>
            </w:r>
            <w:r w:rsidRPr="00775C84">
              <w:rPr>
                <w:color w:val="000000"/>
                <w:sz w:val="20"/>
                <w:szCs w:val="20"/>
              </w:rPr>
              <w:t>)</w:t>
            </w:r>
          </w:p>
        </w:tc>
        <w:tc>
          <w:tcPr>
            <w:tcW w:w="377" w:type="pct"/>
          </w:tcPr>
          <w:p w14:paraId="6382F6F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/16</w:t>
            </w:r>
            <w:r w:rsidRPr="00775C84">
              <w:rPr>
                <w:color w:val="000000"/>
                <w:sz w:val="20"/>
                <w:szCs w:val="20"/>
              </w:rPr>
              <w:t>)</w:t>
            </w:r>
          </w:p>
        </w:tc>
        <w:tc>
          <w:tcPr>
            <w:tcW w:w="399" w:type="pct"/>
          </w:tcPr>
          <w:p w14:paraId="324A649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(5</w:t>
            </w:r>
            <w:r>
              <w:rPr>
                <w:color w:val="000000"/>
                <w:sz w:val="20"/>
                <w:szCs w:val="20"/>
              </w:rPr>
              <w:t>/17</w:t>
            </w:r>
            <w:r w:rsidRPr="00775C84">
              <w:rPr>
                <w:color w:val="000000"/>
                <w:sz w:val="20"/>
                <w:szCs w:val="20"/>
              </w:rPr>
              <w:t>)</w:t>
            </w:r>
          </w:p>
        </w:tc>
        <w:tc>
          <w:tcPr>
            <w:tcW w:w="387" w:type="pct"/>
          </w:tcPr>
          <w:p w14:paraId="6B01A11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/21</w:t>
            </w:r>
            <w:r w:rsidRPr="00775C84">
              <w:rPr>
                <w:color w:val="000000"/>
                <w:sz w:val="20"/>
                <w:szCs w:val="20"/>
              </w:rPr>
              <w:t>)</w:t>
            </w:r>
          </w:p>
        </w:tc>
        <w:tc>
          <w:tcPr>
            <w:tcW w:w="360" w:type="pct"/>
          </w:tcPr>
          <w:p w14:paraId="388CC31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/15</w:t>
            </w:r>
            <w:r w:rsidRPr="00775C84">
              <w:rPr>
                <w:color w:val="000000"/>
                <w:sz w:val="20"/>
                <w:szCs w:val="20"/>
              </w:rPr>
              <w:t>)</w:t>
            </w:r>
          </w:p>
        </w:tc>
        <w:tc>
          <w:tcPr>
            <w:tcW w:w="360" w:type="pct"/>
          </w:tcPr>
          <w:p w14:paraId="0B25594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/17</w:t>
            </w:r>
            <w:r w:rsidRPr="00775C84">
              <w:rPr>
                <w:color w:val="000000"/>
                <w:sz w:val="20"/>
                <w:szCs w:val="20"/>
              </w:rPr>
              <w:t>)</w:t>
            </w:r>
          </w:p>
        </w:tc>
        <w:tc>
          <w:tcPr>
            <w:tcW w:w="361" w:type="pct"/>
          </w:tcPr>
          <w:p w14:paraId="32DF697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(3</w:t>
            </w:r>
            <w:r>
              <w:rPr>
                <w:color w:val="000000"/>
                <w:sz w:val="20"/>
                <w:szCs w:val="20"/>
              </w:rPr>
              <w:t>/9</w:t>
            </w:r>
            <w:r w:rsidRPr="00775C84">
              <w:rPr>
                <w:color w:val="000000"/>
                <w:sz w:val="20"/>
                <w:szCs w:val="20"/>
              </w:rPr>
              <w:t>)</w:t>
            </w:r>
          </w:p>
        </w:tc>
        <w:tc>
          <w:tcPr>
            <w:tcW w:w="480" w:type="pct"/>
          </w:tcPr>
          <w:p w14:paraId="3FDDBE3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7 (27</w:t>
            </w:r>
            <w:r>
              <w:rPr>
                <w:color w:val="000000"/>
                <w:sz w:val="20"/>
                <w:szCs w:val="20"/>
              </w:rPr>
              <w:t>/119</w:t>
            </w:r>
            <w:r w:rsidRPr="00775C84">
              <w:rPr>
                <w:color w:val="000000"/>
                <w:sz w:val="20"/>
                <w:szCs w:val="20"/>
              </w:rPr>
              <w:t>)</w:t>
            </w:r>
          </w:p>
        </w:tc>
      </w:tr>
      <w:tr w:rsidR="00032E14" w:rsidRPr="00833C97" w14:paraId="7C8533DA" w14:textId="77777777" w:rsidTr="00AC5DAA">
        <w:trPr>
          <w:cantSplit/>
          <w:jc w:val="center"/>
        </w:trPr>
        <w:tc>
          <w:tcPr>
            <w:tcW w:w="750" w:type="pct"/>
          </w:tcPr>
          <w:p w14:paraId="0BAE90F0" w14:textId="76FFC36D"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19</w:t>
            </w:r>
          </w:p>
        </w:tc>
        <w:tc>
          <w:tcPr>
            <w:tcW w:w="303" w:type="pct"/>
          </w:tcPr>
          <w:p w14:paraId="42FAF4B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w:t>
            </w:r>
            <w:r w:rsidRPr="00775C84">
              <w:rPr>
                <w:color w:val="000000"/>
                <w:sz w:val="20"/>
                <w:szCs w:val="20"/>
              </w:rPr>
              <w:t>)</w:t>
            </w:r>
          </w:p>
        </w:tc>
        <w:tc>
          <w:tcPr>
            <w:tcW w:w="440" w:type="pct"/>
          </w:tcPr>
          <w:p w14:paraId="308C07A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w:t>
            </w:r>
            <w:r w:rsidRPr="00775C84">
              <w:rPr>
                <w:color w:val="000000"/>
                <w:sz w:val="20"/>
                <w:szCs w:val="20"/>
              </w:rPr>
              <w:t>)</w:t>
            </w:r>
          </w:p>
        </w:tc>
        <w:tc>
          <w:tcPr>
            <w:tcW w:w="399" w:type="pct"/>
          </w:tcPr>
          <w:p w14:paraId="070E30F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6" w:type="pct"/>
          </w:tcPr>
          <w:p w14:paraId="467A30E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77" w:type="pct"/>
          </w:tcPr>
          <w:p w14:paraId="58B2E35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w:t>
            </w:r>
            <w:r w:rsidRPr="00775C84">
              <w:rPr>
                <w:color w:val="000000"/>
                <w:sz w:val="20"/>
                <w:szCs w:val="20"/>
              </w:rPr>
              <w:t>)</w:t>
            </w:r>
          </w:p>
        </w:tc>
        <w:tc>
          <w:tcPr>
            <w:tcW w:w="399" w:type="pct"/>
          </w:tcPr>
          <w:p w14:paraId="61C836C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7" w:type="pct"/>
          </w:tcPr>
          <w:p w14:paraId="58EA56A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310AD66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07D0EF5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7579902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539B011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/3</w:t>
            </w:r>
            <w:r w:rsidRPr="00775C84">
              <w:rPr>
                <w:color w:val="000000"/>
                <w:sz w:val="20"/>
                <w:szCs w:val="20"/>
              </w:rPr>
              <w:t>)</w:t>
            </w:r>
          </w:p>
        </w:tc>
      </w:tr>
      <w:tr w:rsidR="00032E14" w:rsidRPr="00833C97" w14:paraId="26BA524D" w14:textId="77777777" w:rsidTr="00AC5DAA">
        <w:trPr>
          <w:cantSplit/>
          <w:jc w:val="center"/>
        </w:trPr>
        <w:tc>
          <w:tcPr>
            <w:tcW w:w="750" w:type="pct"/>
          </w:tcPr>
          <w:p w14:paraId="1D233F5D" w14:textId="4CF9266E"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20</w:t>
            </w:r>
          </w:p>
        </w:tc>
        <w:tc>
          <w:tcPr>
            <w:tcW w:w="303" w:type="pct"/>
          </w:tcPr>
          <w:p w14:paraId="6C428E5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/1</w:t>
            </w:r>
            <w:r w:rsidRPr="00775C84">
              <w:rPr>
                <w:color w:val="000000"/>
                <w:sz w:val="20"/>
                <w:szCs w:val="20"/>
              </w:rPr>
              <w:t>)</w:t>
            </w:r>
          </w:p>
        </w:tc>
        <w:tc>
          <w:tcPr>
            <w:tcW w:w="440" w:type="pct"/>
          </w:tcPr>
          <w:p w14:paraId="505BFC0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(7</w:t>
            </w:r>
            <w:r>
              <w:rPr>
                <w:color w:val="000000"/>
                <w:sz w:val="20"/>
                <w:szCs w:val="20"/>
              </w:rPr>
              <w:t>/14</w:t>
            </w:r>
            <w:r w:rsidRPr="00775C84">
              <w:rPr>
                <w:color w:val="000000"/>
                <w:sz w:val="20"/>
                <w:szCs w:val="20"/>
              </w:rPr>
              <w:t>)</w:t>
            </w:r>
          </w:p>
        </w:tc>
        <w:tc>
          <w:tcPr>
            <w:tcW w:w="399" w:type="pct"/>
          </w:tcPr>
          <w:p w14:paraId="73E11AA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/8</w:t>
            </w:r>
            <w:r w:rsidRPr="00775C84">
              <w:rPr>
                <w:color w:val="000000"/>
                <w:sz w:val="20"/>
                <w:szCs w:val="20"/>
              </w:rPr>
              <w:t>)</w:t>
            </w:r>
          </w:p>
        </w:tc>
        <w:tc>
          <w:tcPr>
            <w:tcW w:w="386" w:type="pct"/>
          </w:tcPr>
          <w:p w14:paraId="1DC908C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77" w:type="pct"/>
          </w:tcPr>
          <w:p w14:paraId="4463BC4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99" w:type="pct"/>
          </w:tcPr>
          <w:p w14:paraId="4139AEE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7" w:type="pct"/>
          </w:tcPr>
          <w:p w14:paraId="5CF8A57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49F0D19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36A5AEB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0D2CEEB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0FCF81F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5 (11</w:t>
            </w:r>
            <w:r>
              <w:rPr>
                <w:color w:val="000000"/>
                <w:sz w:val="20"/>
                <w:szCs w:val="20"/>
              </w:rPr>
              <w:t>/23</w:t>
            </w:r>
            <w:r w:rsidRPr="00775C84">
              <w:rPr>
                <w:color w:val="000000"/>
                <w:sz w:val="20"/>
                <w:szCs w:val="20"/>
              </w:rPr>
              <w:t>)</w:t>
            </w:r>
          </w:p>
        </w:tc>
      </w:tr>
      <w:tr w:rsidR="00032E14" w:rsidRPr="00833C97" w14:paraId="240F5B1F" w14:textId="77777777" w:rsidTr="00AC5DAA">
        <w:trPr>
          <w:cantSplit/>
          <w:jc w:val="center"/>
        </w:trPr>
        <w:tc>
          <w:tcPr>
            <w:tcW w:w="750" w:type="pct"/>
          </w:tcPr>
          <w:p w14:paraId="54F41ED3" w14:textId="0D443124"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21</w:t>
            </w:r>
          </w:p>
        </w:tc>
        <w:tc>
          <w:tcPr>
            <w:tcW w:w="303" w:type="pct"/>
          </w:tcPr>
          <w:p w14:paraId="344F701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/2</w:t>
            </w:r>
            <w:r w:rsidRPr="00775C84">
              <w:rPr>
                <w:color w:val="000000"/>
                <w:sz w:val="20"/>
                <w:szCs w:val="20"/>
              </w:rPr>
              <w:t>)</w:t>
            </w:r>
          </w:p>
        </w:tc>
        <w:tc>
          <w:tcPr>
            <w:tcW w:w="440" w:type="pct"/>
          </w:tcPr>
          <w:p w14:paraId="668C5B0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(11</w:t>
            </w:r>
            <w:r>
              <w:rPr>
                <w:color w:val="000000"/>
                <w:sz w:val="20"/>
                <w:szCs w:val="20"/>
              </w:rPr>
              <w:t>/24</w:t>
            </w:r>
            <w:r w:rsidRPr="00775C84">
              <w:rPr>
                <w:color w:val="000000"/>
                <w:sz w:val="20"/>
                <w:szCs w:val="20"/>
              </w:rPr>
              <w:t>)</w:t>
            </w:r>
          </w:p>
        </w:tc>
        <w:tc>
          <w:tcPr>
            <w:tcW w:w="399" w:type="pct"/>
          </w:tcPr>
          <w:p w14:paraId="318DF81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(6</w:t>
            </w:r>
            <w:r>
              <w:rPr>
                <w:color w:val="000000"/>
                <w:sz w:val="20"/>
                <w:szCs w:val="20"/>
              </w:rPr>
              <w:t>/13</w:t>
            </w:r>
            <w:r w:rsidRPr="00775C84">
              <w:rPr>
                <w:color w:val="000000"/>
                <w:sz w:val="20"/>
                <w:szCs w:val="20"/>
              </w:rPr>
              <w:t>)</w:t>
            </w:r>
          </w:p>
        </w:tc>
        <w:tc>
          <w:tcPr>
            <w:tcW w:w="386" w:type="pct"/>
          </w:tcPr>
          <w:p w14:paraId="2E7423B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/16</w:t>
            </w:r>
            <w:r w:rsidRPr="00775C84">
              <w:rPr>
                <w:color w:val="000000"/>
                <w:sz w:val="20"/>
                <w:szCs w:val="20"/>
              </w:rPr>
              <w:t>)</w:t>
            </w:r>
          </w:p>
        </w:tc>
        <w:tc>
          <w:tcPr>
            <w:tcW w:w="377" w:type="pct"/>
          </w:tcPr>
          <w:p w14:paraId="388AD94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(4</w:t>
            </w:r>
            <w:r>
              <w:rPr>
                <w:color w:val="000000"/>
                <w:sz w:val="20"/>
                <w:szCs w:val="20"/>
              </w:rPr>
              <w:t>/13</w:t>
            </w:r>
            <w:r w:rsidRPr="00775C84">
              <w:rPr>
                <w:color w:val="000000"/>
                <w:sz w:val="20"/>
                <w:szCs w:val="20"/>
              </w:rPr>
              <w:t>)</w:t>
            </w:r>
          </w:p>
        </w:tc>
        <w:tc>
          <w:tcPr>
            <w:tcW w:w="399" w:type="pct"/>
          </w:tcPr>
          <w:p w14:paraId="41BE62A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/19</w:t>
            </w:r>
            <w:r w:rsidRPr="00775C84">
              <w:rPr>
                <w:color w:val="000000"/>
                <w:sz w:val="20"/>
                <w:szCs w:val="20"/>
              </w:rPr>
              <w:t>)</w:t>
            </w:r>
          </w:p>
        </w:tc>
        <w:tc>
          <w:tcPr>
            <w:tcW w:w="387" w:type="pct"/>
          </w:tcPr>
          <w:p w14:paraId="3FDC06D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(6</w:t>
            </w:r>
            <w:r>
              <w:rPr>
                <w:color w:val="000000"/>
                <w:sz w:val="20"/>
                <w:szCs w:val="20"/>
              </w:rPr>
              <w:t>/18</w:t>
            </w:r>
            <w:r w:rsidRPr="00775C84">
              <w:rPr>
                <w:color w:val="000000"/>
                <w:sz w:val="20"/>
                <w:szCs w:val="20"/>
              </w:rPr>
              <w:t>)</w:t>
            </w:r>
          </w:p>
        </w:tc>
        <w:tc>
          <w:tcPr>
            <w:tcW w:w="360" w:type="pct"/>
          </w:tcPr>
          <w:p w14:paraId="76FF8CA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(6</w:t>
            </w:r>
            <w:r>
              <w:rPr>
                <w:color w:val="000000"/>
                <w:sz w:val="20"/>
                <w:szCs w:val="20"/>
              </w:rPr>
              <w:t>/20</w:t>
            </w:r>
            <w:r w:rsidRPr="00775C84">
              <w:rPr>
                <w:color w:val="000000"/>
                <w:sz w:val="20"/>
                <w:szCs w:val="20"/>
              </w:rPr>
              <w:t>)</w:t>
            </w:r>
          </w:p>
        </w:tc>
        <w:tc>
          <w:tcPr>
            <w:tcW w:w="360" w:type="pct"/>
          </w:tcPr>
          <w:p w14:paraId="44C4742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(4</w:t>
            </w:r>
            <w:r>
              <w:rPr>
                <w:color w:val="000000"/>
                <w:sz w:val="20"/>
                <w:szCs w:val="20"/>
              </w:rPr>
              <w:t>/21</w:t>
            </w:r>
            <w:r w:rsidRPr="00775C84">
              <w:rPr>
                <w:color w:val="000000"/>
                <w:sz w:val="20"/>
                <w:szCs w:val="20"/>
              </w:rPr>
              <w:t>)</w:t>
            </w:r>
          </w:p>
        </w:tc>
        <w:tc>
          <w:tcPr>
            <w:tcW w:w="361" w:type="pct"/>
          </w:tcPr>
          <w:p w14:paraId="3FA8FBE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5 (6</w:t>
            </w:r>
            <w:r>
              <w:rPr>
                <w:color w:val="000000"/>
                <w:sz w:val="20"/>
                <w:szCs w:val="20"/>
              </w:rPr>
              <w:t>/24</w:t>
            </w:r>
            <w:r w:rsidRPr="00775C84">
              <w:rPr>
                <w:color w:val="000000"/>
                <w:sz w:val="20"/>
                <w:szCs w:val="20"/>
              </w:rPr>
              <w:t>)</w:t>
            </w:r>
          </w:p>
        </w:tc>
        <w:tc>
          <w:tcPr>
            <w:tcW w:w="480" w:type="pct"/>
          </w:tcPr>
          <w:p w14:paraId="50D55AF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14 (</w:t>
            </w:r>
            <w:r>
              <w:rPr>
                <w:color w:val="000000"/>
                <w:sz w:val="20"/>
                <w:szCs w:val="20"/>
              </w:rPr>
              <w:t>170</w:t>
            </w:r>
            <w:r w:rsidRPr="00775C84">
              <w:rPr>
                <w:color w:val="000000"/>
                <w:sz w:val="20"/>
                <w:szCs w:val="20"/>
              </w:rPr>
              <w:t>)</w:t>
            </w:r>
          </w:p>
        </w:tc>
      </w:tr>
      <w:tr w:rsidR="00032E14" w:rsidRPr="00833C97" w14:paraId="57ED0E62" w14:textId="77777777" w:rsidTr="00AC5DAA">
        <w:trPr>
          <w:cantSplit/>
          <w:jc w:val="center"/>
        </w:trPr>
        <w:tc>
          <w:tcPr>
            <w:tcW w:w="750" w:type="pct"/>
          </w:tcPr>
          <w:p w14:paraId="7C27803C" w14:textId="0C1DEA21"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22</w:t>
            </w:r>
          </w:p>
        </w:tc>
        <w:tc>
          <w:tcPr>
            <w:tcW w:w="303" w:type="pct"/>
          </w:tcPr>
          <w:p w14:paraId="126F850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40" w:type="pct"/>
          </w:tcPr>
          <w:p w14:paraId="5B4FCB9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w:t>
            </w:r>
            <w:r w:rsidRPr="00775C84">
              <w:rPr>
                <w:color w:val="000000"/>
                <w:sz w:val="20"/>
                <w:szCs w:val="20"/>
              </w:rPr>
              <w:t>)</w:t>
            </w:r>
          </w:p>
        </w:tc>
        <w:tc>
          <w:tcPr>
            <w:tcW w:w="399" w:type="pct"/>
          </w:tcPr>
          <w:p w14:paraId="1F423C7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/3</w:t>
            </w:r>
            <w:r w:rsidRPr="00775C84">
              <w:rPr>
                <w:color w:val="000000"/>
                <w:sz w:val="20"/>
                <w:szCs w:val="20"/>
              </w:rPr>
              <w:t>)</w:t>
            </w:r>
          </w:p>
        </w:tc>
        <w:tc>
          <w:tcPr>
            <w:tcW w:w="386" w:type="pct"/>
          </w:tcPr>
          <w:p w14:paraId="4B168E8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/5</w:t>
            </w:r>
            <w:r w:rsidRPr="00775C84">
              <w:rPr>
                <w:color w:val="000000"/>
                <w:sz w:val="20"/>
                <w:szCs w:val="20"/>
              </w:rPr>
              <w:t>)</w:t>
            </w:r>
          </w:p>
        </w:tc>
        <w:tc>
          <w:tcPr>
            <w:tcW w:w="377" w:type="pct"/>
          </w:tcPr>
          <w:p w14:paraId="3B67919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/3</w:t>
            </w:r>
            <w:r w:rsidRPr="00775C84">
              <w:rPr>
                <w:color w:val="000000"/>
                <w:sz w:val="20"/>
                <w:szCs w:val="20"/>
              </w:rPr>
              <w:t>)</w:t>
            </w:r>
          </w:p>
        </w:tc>
        <w:tc>
          <w:tcPr>
            <w:tcW w:w="399" w:type="pct"/>
          </w:tcPr>
          <w:p w14:paraId="0F49039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7" w:type="pct"/>
          </w:tcPr>
          <w:p w14:paraId="7F1B27A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4FCDC25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23A5106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0E73B50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07F4DDC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(5</w:t>
            </w:r>
            <w:r>
              <w:rPr>
                <w:color w:val="000000"/>
                <w:sz w:val="20"/>
                <w:szCs w:val="20"/>
              </w:rPr>
              <w:t>/12</w:t>
            </w:r>
            <w:r w:rsidRPr="00775C84">
              <w:rPr>
                <w:color w:val="000000"/>
                <w:sz w:val="20"/>
                <w:szCs w:val="20"/>
              </w:rPr>
              <w:t>)</w:t>
            </w:r>
          </w:p>
        </w:tc>
      </w:tr>
      <w:tr w:rsidR="00032E14" w:rsidRPr="00833C97" w14:paraId="7E006FDC" w14:textId="77777777" w:rsidTr="00AC5DAA">
        <w:trPr>
          <w:cantSplit/>
          <w:jc w:val="center"/>
        </w:trPr>
        <w:tc>
          <w:tcPr>
            <w:tcW w:w="750" w:type="pct"/>
          </w:tcPr>
          <w:p w14:paraId="3C4D9F71" w14:textId="72ABA25E"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23</w:t>
            </w:r>
          </w:p>
        </w:tc>
        <w:tc>
          <w:tcPr>
            <w:tcW w:w="303" w:type="pct"/>
          </w:tcPr>
          <w:p w14:paraId="08EA83B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40" w:type="pct"/>
          </w:tcPr>
          <w:p w14:paraId="27CC299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(6</w:t>
            </w:r>
            <w:r>
              <w:rPr>
                <w:color w:val="000000"/>
                <w:sz w:val="20"/>
                <w:szCs w:val="20"/>
              </w:rPr>
              <w:t>/8</w:t>
            </w:r>
            <w:r w:rsidRPr="00775C84">
              <w:rPr>
                <w:color w:val="000000"/>
                <w:sz w:val="20"/>
                <w:szCs w:val="20"/>
              </w:rPr>
              <w:t>)</w:t>
            </w:r>
          </w:p>
        </w:tc>
        <w:tc>
          <w:tcPr>
            <w:tcW w:w="399" w:type="pct"/>
          </w:tcPr>
          <w:p w14:paraId="5E64A0C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(4</w:t>
            </w:r>
            <w:r>
              <w:rPr>
                <w:color w:val="000000"/>
                <w:sz w:val="20"/>
                <w:szCs w:val="20"/>
              </w:rPr>
              <w:t>/12</w:t>
            </w:r>
            <w:r w:rsidRPr="00775C84">
              <w:rPr>
                <w:color w:val="000000"/>
                <w:sz w:val="20"/>
                <w:szCs w:val="20"/>
              </w:rPr>
              <w:t>)</w:t>
            </w:r>
          </w:p>
        </w:tc>
        <w:tc>
          <w:tcPr>
            <w:tcW w:w="386" w:type="pct"/>
          </w:tcPr>
          <w:p w14:paraId="5579F0F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5 (7</w:t>
            </w:r>
            <w:r>
              <w:rPr>
                <w:color w:val="000000"/>
                <w:sz w:val="20"/>
                <w:szCs w:val="20"/>
              </w:rPr>
              <w:t>/15</w:t>
            </w:r>
            <w:r w:rsidRPr="00775C84">
              <w:rPr>
                <w:color w:val="000000"/>
                <w:sz w:val="20"/>
                <w:szCs w:val="20"/>
              </w:rPr>
              <w:t>)</w:t>
            </w:r>
          </w:p>
        </w:tc>
        <w:tc>
          <w:tcPr>
            <w:tcW w:w="377" w:type="pct"/>
          </w:tcPr>
          <w:p w14:paraId="421D8C9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/6</w:t>
            </w:r>
            <w:r w:rsidRPr="00775C84">
              <w:rPr>
                <w:color w:val="000000"/>
                <w:sz w:val="20"/>
                <w:szCs w:val="20"/>
              </w:rPr>
              <w:t>)</w:t>
            </w:r>
          </w:p>
        </w:tc>
        <w:tc>
          <w:tcPr>
            <w:tcW w:w="399" w:type="pct"/>
          </w:tcPr>
          <w:p w14:paraId="02A86A4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/7</w:t>
            </w:r>
            <w:r w:rsidRPr="00775C84">
              <w:rPr>
                <w:color w:val="000000"/>
                <w:sz w:val="20"/>
                <w:szCs w:val="20"/>
              </w:rPr>
              <w:t>)</w:t>
            </w:r>
          </w:p>
        </w:tc>
        <w:tc>
          <w:tcPr>
            <w:tcW w:w="387" w:type="pct"/>
          </w:tcPr>
          <w:p w14:paraId="120220A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/9</w:t>
            </w:r>
            <w:r w:rsidRPr="00775C84">
              <w:rPr>
                <w:color w:val="000000"/>
                <w:sz w:val="20"/>
                <w:szCs w:val="20"/>
              </w:rPr>
              <w:t>)</w:t>
            </w:r>
          </w:p>
        </w:tc>
        <w:tc>
          <w:tcPr>
            <w:tcW w:w="360" w:type="pct"/>
          </w:tcPr>
          <w:p w14:paraId="76AC627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4 (7</w:t>
            </w:r>
            <w:r>
              <w:rPr>
                <w:color w:val="000000"/>
                <w:sz w:val="20"/>
                <w:szCs w:val="20"/>
              </w:rPr>
              <w:t>/13</w:t>
            </w:r>
            <w:r w:rsidRPr="00775C84">
              <w:rPr>
                <w:color w:val="000000"/>
                <w:sz w:val="20"/>
                <w:szCs w:val="20"/>
              </w:rPr>
              <w:t>)</w:t>
            </w:r>
          </w:p>
        </w:tc>
        <w:tc>
          <w:tcPr>
            <w:tcW w:w="360" w:type="pct"/>
          </w:tcPr>
          <w:p w14:paraId="4E4B5DD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4 (9</w:t>
            </w:r>
            <w:r>
              <w:rPr>
                <w:color w:val="000000"/>
                <w:sz w:val="20"/>
                <w:szCs w:val="20"/>
              </w:rPr>
              <w:t>/15</w:t>
            </w:r>
            <w:r w:rsidRPr="00775C84">
              <w:rPr>
                <w:color w:val="000000"/>
                <w:sz w:val="20"/>
                <w:szCs w:val="20"/>
              </w:rPr>
              <w:t>)</w:t>
            </w:r>
          </w:p>
        </w:tc>
        <w:tc>
          <w:tcPr>
            <w:tcW w:w="361" w:type="pct"/>
          </w:tcPr>
          <w:p w14:paraId="3C5C6B8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5 (6</w:t>
            </w:r>
            <w:r>
              <w:rPr>
                <w:color w:val="000000"/>
                <w:sz w:val="20"/>
                <w:szCs w:val="20"/>
              </w:rPr>
              <w:t>/13</w:t>
            </w:r>
            <w:r w:rsidRPr="00775C84">
              <w:rPr>
                <w:color w:val="000000"/>
                <w:sz w:val="20"/>
                <w:szCs w:val="20"/>
              </w:rPr>
              <w:t>)</w:t>
            </w:r>
          </w:p>
        </w:tc>
        <w:tc>
          <w:tcPr>
            <w:tcW w:w="480" w:type="pct"/>
          </w:tcPr>
          <w:p w14:paraId="40970DF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21 (41</w:t>
            </w:r>
            <w:r>
              <w:rPr>
                <w:color w:val="000000"/>
                <w:sz w:val="20"/>
                <w:szCs w:val="20"/>
              </w:rPr>
              <w:t>/98</w:t>
            </w:r>
            <w:r w:rsidRPr="00775C84">
              <w:rPr>
                <w:color w:val="000000"/>
                <w:sz w:val="20"/>
                <w:szCs w:val="20"/>
              </w:rPr>
              <w:t>)</w:t>
            </w:r>
          </w:p>
        </w:tc>
      </w:tr>
      <w:tr w:rsidR="00032E14" w:rsidRPr="00833C97" w14:paraId="5D59B409" w14:textId="77777777" w:rsidTr="00AC5DAA">
        <w:trPr>
          <w:cantSplit/>
          <w:jc w:val="center"/>
        </w:trPr>
        <w:tc>
          <w:tcPr>
            <w:tcW w:w="750" w:type="pct"/>
          </w:tcPr>
          <w:p w14:paraId="71D039AA" w14:textId="3D80DAB2"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24</w:t>
            </w:r>
          </w:p>
        </w:tc>
        <w:tc>
          <w:tcPr>
            <w:tcW w:w="303" w:type="pct"/>
          </w:tcPr>
          <w:p w14:paraId="5C411A6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w:t>
            </w:r>
            <w:r w:rsidRPr="00775C84">
              <w:rPr>
                <w:color w:val="000000"/>
                <w:sz w:val="20"/>
                <w:szCs w:val="20"/>
              </w:rPr>
              <w:t>)</w:t>
            </w:r>
          </w:p>
        </w:tc>
        <w:tc>
          <w:tcPr>
            <w:tcW w:w="440" w:type="pct"/>
          </w:tcPr>
          <w:p w14:paraId="489FC88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/7</w:t>
            </w:r>
            <w:r w:rsidRPr="00775C84">
              <w:rPr>
                <w:color w:val="000000"/>
                <w:sz w:val="20"/>
                <w:szCs w:val="20"/>
              </w:rPr>
              <w:t>)</w:t>
            </w:r>
          </w:p>
        </w:tc>
        <w:tc>
          <w:tcPr>
            <w:tcW w:w="399" w:type="pct"/>
          </w:tcPr>
          <w:p w14:paraId="34DD93D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6" w:type="pct"/>
          </w:tcPr>
          <w:p w14:paraId="337DE8B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77" w:type="pct"/>
          </w:tcPr>
          <w:p w14:paraId="00566CA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99" w:type="pct"/>
          </w:tcPr>
          <w:p w14:paraId="0E9251C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7" w:type="pct"/>
          </w:tcPr>
          <w:p w14:paraId="1E5716D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0E14AB2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49F7C4A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4140E6D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71E445E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/8</w:t>
            </w:r>
            <w:r w:rsidRPr="00775C84">
              <w:rPr>
                <w:color w:val="000000"/>
                <w:sz w:val="20"/>
                <w:szCs w:val="20"/>
              </w:rPr>
              <w:t>)</w:t>
            </w:r>
          </w:p>
        </w:tc>
      </w:tr>
      <w:tr w:rsidR="00032E14" w:rsidRPr="00833C97" w14:paraId="482122B2" w14:textId="77777777" w:rsidTr="00AC5DAA">
        <w:trPr>
          <w:cantSplit/>
          <w:jc w:val="center"/>
        </w:trPr>
        <w:tc>
          <w:tcPr>
            <w:tcW w:w="750" w:type="pct"/>
          </w:tcPr>
          <w:p w14:paraId="555C9B4E" w14:textId="1352C3BF"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25</w:t>
            </w:r>
          </w:p>
        </w:tc>
        <w:tc>
          <w:tcPr>
            <w:tcW w:w="303" w:type="pct"/>
          </w:tcPr>
          <w:p w14:paraId="5CBED79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40" w:type="pct"/>
          </w:tcPr>
          <w:p w14:paraId="206207B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/7</w:t>
            </w:r>
            <w:r w:rsidRPr="00775C84">
              <w:rPr>
                <w:color w:val="000000"/>
                <w:sz w:val="20"/>
                <w:szCs w:val="20"/>
              </w:rPr>
              <w:t>)</w:t>
            </w:r>
          </w:p>
        </w:tc>
        <w:tc>
          <w:tcPr>
            <w:tcW w:w="399" w:type="pct"/>
          </w:tcPr>
          <w:p w14:paraId="6BCF9A8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(6</w:t>
            </w:r>
            <w:r>
              <w:rPr>
                <w:color w:val="000000"/>
                <w:sz w:val="20"/>
                <w:szCs w:val="20"/>
              </w:rPr>
              <w:t>/16</w:t>
            </w:r>
            <w:r w:rsidRPr="00775C84">
              <w:rPr>
                <w:color w:val="000000"/>
                <w:sz w:val="20"/>
                <w:szCs w:val="20"/>
              </w:rPr>
              <w:t>)</w:t>
            </w:r>
          </w:p>
        </w:tc>
        <w:tc>
          <w:tcPr>
            <w:tcW w:w="386" w:type="pct"/>
          </w:tcPr>
          <w:p w14:paraId="16670D3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(3</w:t>
            </w:r>
            <w:r>
              <w:rPr>
                <w:color w:val="000000"/>
                <w:sz w:val="20"/>
                <w:szCs w:val="20"/>
              </w:rPr>
              <w:t>/14</w:t>
            </w:r>
            <w:r w:rsidRPr="00775C84">
              <w:rPr>
                <w:color w:val="000000"/>
                <w:sz w:val="20"/>
                <w:szCs w:val="20"/>
              </w:rPr>
              <w:t>)</w:t>
            </w:r>
          </w:p>
        </w:tc>
        <w:tc>
          <w:tcPr>
            <w:tcW w:w="377" w:type="pct"/>
          </w:tcPr>
          <w:p w14:paraId="0A730CC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(5</w:t>
            </w:r>
            <w:r>
              <w:rPr>
                <w:color w:val="000000"/>
                <w:sz w:val="20"/>
                <w:szCs w:val="20"/>
              </w:rPr>
              <w:t>/16</w:t>
            </w:r>
            <w:r w:rsidRPr="00775C84">
              <w:rPr>
                <w:color w:val="000000"/>
                <w:sz w:val="20"/>
                <w:szCs w:val="20"/>
              </w:rPr>
              <w:t>)</w:t>
            </w:r>
          </w:p>
        </w:tc>
        <w:tc>
          <w:tcPr>
            <w:tcW w:w="399" w:type="pct"/>
          </w:tcPr>
          <w:p w14:paraId="7ABD727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/17</w:t>
            </w:r>
            <w:r w:rsidRPr="00775C84">
              <w:rPr>
                <w:color w:val="000000"/>
                <w:sz w:val="20"/>
                <w:szCs w:val="20"/>
              </w:rPr>
              <w:t>)</w:t>
            </w:r>
          </w:p>
        </w:tc>
        <w:tc>
          <w:tcPr>
            <w:tcW w:w="387" w:type="pct"/>
          </w:tcPr>
          <w:p w14:paraId="50DE744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(6</w:t>
            </w:r>
            <w:r>
              <w:rPr>
                <w:color w:val="000000"/>
                <w:sz w:val="20"/>
                <w:szCs w:val="20"/>
              </w:rPr>
              <w:t>/13</w:t>
            </w:r>
            <w:r w:rsidRPr="00775C84">
              <w:rPr>
                <w:color w:val="000000"/>
                <w:sz w:val="20"/>
                <w:szCs w:val="20"/>
              </w:rPr>
              <w:t>)</w:t>
            </w:r>
          </w:p>
        </w:tc>
        <w:tc>
          <w:tcPr>
            <w:tcW w:w="360" w:type="pct"/>
          </w:tcPr>
          <w:p w14:paraId="012001F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(4</w:t>
            </w:r>
            <w:r>
              <w:rPr>
                <w:color w:val="000000"/>
                <w:sz w:val="20"/>
                <w:szCs w:val="20"/>
              </w:rPr>
              <w:t>/15</w:t>
            </w:r>
            <w:r w:rsidRPr="00775C84">
              <w:rPr>
                <w:color w:val="000000"/>
                <w:sz w:val="20"/>
                <w:szCs w:val="20"/>
              </w:rPr>
              <w:t>)</w:t>
            </w:r>
          </w:p>
        </w:tc>
        <w:tc>
          <w:tcPr>
            <w:tcW w:w="360" w:type="pct"/>
          </w:tcPr>
          <w:p w14:paraId="43F92F3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(3</w:t>
            </w:r>
            <w:r>
              <w:rPr>
                <w:color w:val="000000"/>
                <w:sz w:val="20"/>
                <w:szCs w:val="20"/>
              </w:rPr>
              <w:t>/19</w:t>
            </w:r>
            <w:r w:rsidRPr="00775C84">
              <w:rPr>
                <w:color w:val="000000"/>
                <w:sz w:val="20"/>
                <w:szCs w:val="20"/>
              </w:rPr>
              <w:t>)</w:t>
            </w:r>
          </w:p>
        </w:tc>
        <w:tc>
          <w:tcPr>
            <w:tcW w:w="361" w:type="pct"/>
          </w:tcPr>
          <w:p w14:paraId="4994FE7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/17</w:t>
            </w:r>
            <w:r w:rsidRPr="00775C84">
              <w:rPr>
                <w:color w:val="000000"/>
                <w:sz w:val="20"/>
                <w:szCs w:val="20"/>
              </w:rPr>
              <w:t>)</w:t>
            </w:r>
          </w:p>
        </w:tc>
        <w:tc>
          <w:tcPr>
            <w:tcW w:w="480" w:type="pct"/>
          </w:tcPr>
          <w:p w14:paraId="73F2E3F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11 (35</w:t>
            </w:r>
            <w:r>
              <w:rPr>
                <w:color w:val="000000"/>
                <w:sz w:val="20"/>
                <w:szCs w:val="20"/>
              </w:rPr>
              <w:t>/134</w:t>
            </w:r>
            <w:r w:rsidRPr="00775C84">
              <w:rPr>
                <w:color w:val="000000"/>
                <w:sz w:val="20"/>
                <w:szCs w:val="20"/>
              </w:rPr>
              <w:t>)</w:t>
            </w:r>
          </w:p>
        </w:tc>
      </w:tr>
      <w:tr w:rsidR="00032E14" w:rsidRPr="00833C97" w14:paraId="415F17AB" w14:textId="77777777" w:rsidTr="00AC5DAA">
        <w:trPr>
          <w:cantSplit/>
          <w:jc w:val="center"/>
        </w:trPr>
        <w:tc>
          <w:tcPr>
            <w:tcW w:w="750" w:type="pct"/>
          </w:tcPr>
          <w:p w14:paraId="3A3CF2F0" w14:textId="692C2B22"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26</w:t>
            </w:r>
          </w:p>
        </w:tc>
        <w:tc>
          <w:tcPr>
            <w:tcW w:w="303" w:type="pct"/>
          </w:tcPr>
          <w:p w14:paraId="4F40A6B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/3</w:t>
            </w:r>
            <w:r w:rsidRPr="00775C84">
              <w:rPr>
                <w:color w:val="000000"/>
                <w:sz w:val="20"/>
                <w:szCs w:val="20"/>
              </w:rPr>
              <w:t>)</w:t>
            </w:r>
          </w:p>
        </w:tc>
        <w:tc>
          <w:tcPr>
            <w:tcW w:w="440" w:type="pct"/>
          </w:tcPr>
          <w:p w14:paraId="7E48D04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/6</w:t>
            </w:r>
            <w:r w:rsidRPr="00775C84">
              <w:rPr>
                <w:color w:val="000000"/>
                <w:sz w:val="20"/>
                <w:szCs w:val="20"/>
              </w:rPr>
              <w:t>)</w:t>
            </w:r>
          </w:p>
        </w:tc>
        <w:tc>
          <w:tcPr>
            <w:tcW w:w="399" w:type="pct"/>
          </w:tcPr>
          <w:p w14:paraId="4A6A780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(4</w:t>
            </w:r>
            <w:r>
              <w:rPr>
                <w:color w:val="000000"/>
                <w:sz w:val="20"/>
                <w:szCs w:val="20"/>
              </w:rPr>
              <w:t>/5</w:t>
            </w:r>
            <w:r w:rsidRPr="00775C84">
              <w:rPr>
                <w:color w:val="000000"/>
                <w:sz w:val="20"/>
                <w:szCs w:val="20"/>
              </w:rPr>
              <w:t>)</w:t>
            </w:r>
          </w:p>
        </w:tc>
        <w:tc>
          <w:tcPr>
            <w:tcW w:w="386" w:type="pct"/>
          </w:tcPr>
          <w:p w14:paraId="718A73C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(6</w:t>
            </w:r>
            <w:r>
              <w:rPr>
                <w:color w:val="000000"/>
                <w:sz w:val="20"/>
                <w:szCs w:val="20"/>
              </w:rPr>
              <w:t>/16</w:t>
            </w:r>
            <w:r w:rsidRPr="00775C84">
              <w:rPr>
                <w:color w:val="000000"/>
                <w:sz w:val="20"/>
                <w:szCs w:val="20"/>
              </w:rPr>
              <w:t>)</w:t>
            </w:r>
          </w:p>
        </w:tc>
        <w:tc>
          <w:tcPr>
            <w:tcW w:w="377" w:type="pct"/>
          </w:tcPr>
          <w:p w14:paraId="6788D36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(5</w:t>
            </w:r>
            <w:r>
              <w:rPr>
                <w:color w:val="000000"/>
                <w:sz w:val="20"/>
                <w:szCs w:val="20"/>
              </w:rPr>
              <w:t>/16</w:t>
            </w:r>
            <w:r w:rsidRPr="00775C84">
              <w:rPr>
                <w:color w:val="000000"/>
                <w:sz w:val="20"/>
                <w:szCs w:val="20"/>
              </w:rPr>
              <w:t>)</w:t>
            </w:r>
          </w:p>
        </w:tc>
        <w:tc>
          <w:tcPr>
            <w:tcW w:w="399" w:type="pct"/>
          </w:tcPr>
          <w:p w14:paraId="07236AD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/5</w:t>
            </w:r>
            <w:r w:rsidRPr="00775C84">
              <w:rPr>
                <w:color w:val="000000"/>
                <w:sz w:val="20"/>
                <w:szCs w:val="20"/>
              </w:rPr>
              <w:t>)</w:t>
            </w:r>
          </w:p>
        </w:tc>
        <w:tc>
          <w:tcPr>
            <w:tcW w:w="387" w:type="pct"/>
          </w:tcPr>
          <w:p w14:paraId="74C6921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(5</w:t>
            </w:r>
            <w:r>
              <w:rPr>
                <w:color w:val="000000"/>
                <w:sz w:val="20"/>
                <w:szCs w:val="20"/>
              </w:rPr>
              <w:t>/16</w:t>
            </w:r>
            <w:r w:rsidRPr="00775C84">
              <w:rPr>
                <w:color w:val="000000"/>
                <w:sz w:val="20"/>
                <w:szCs w:val="20"/>
              </w:rPr>
              <w:t>)</w:t>
            </w:r>
          </w:p>
        </w:tc>
        <w:tc>
          <w:tcPr>
            <w:tcW w:w="360" w:type="pct"/>
          </w:tcPr>
          <w:p w14:paraId="00DE9FD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/13</w:t>
            </w:r>
            <w:r w:rsidRPr="00775C84">
              <w:rPr>
                <w:color w:val="000000"/>
                <w:sz w:val="20"/>
                <w:szCs w:val="20"/>
              </w:rPr>
              <w:t>)</w:t>
            </w:r>
          </w:p>
        </w:tc>
        <w:tc>
          <w:tcPr>
            <w:tcW w:w="360" w:type="pct"/>
          </w:tcPr>
          <w:p w14:paraId="77A608B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/22</w:t>
            </w:r>
            <w:r w:rsidRPr="00775C84">
              <w:rPr>
                <w:color w:val="000000"/>
                <w:sz w:val="20"/>
                <w:szCs w:val="20"/>
              </w:rPr>
              <w:t>)</w:t>
            </w:r>
          </w:p>
        </w:tc>
        <w:tc>
          <w:tcPr>
            <w:tcW w:w="361" w:type="pct"/>
          </w:tcPr>
          <w:p w14:paraId="37A83A2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/17</w:t>
            </w:r>
            <w:r w:rsidRPr="00775C84">
              <w:rPr>
                <w:color w:val="000000"/>
                <w:sz w:val="20"/>
                <w:szCs w:val="20"/>
              </w:rPr>
              <w:t>)</w:t>
            </w:r>
          </w:p>
        </w:tc>
        <w:tc>
          <w:tcPr>
            <w:tcW w:w="480" w:type="pct"/>
          </w:tcPr>
          <w:p w14:paraId="4BCAE27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(27</w:t>
            </w:r>
            <w:r>
              <w:rPr>
                <w:color w:val="000000"/>
                <w:sz w:val="20"/>
                <w:szCs w:val="20"/>
              </w:rPr>
              <w:t>/119</w:t>
            </w:r>
            <w:r w:rsidRPr="00775C84">
              <w:rPr>
                <w:color w:val="000000"/>
                <w:sz w:val="20"/>
                <w:szCs w:val="20"/>
              </w:rPr>
              <w:t>)</w:t>
            </w:r>
          </w:p>
        </w:tc>
      </w:tr>
      <w:tr w:rsidR="00032E14" w:rsidRPr="00833C97" w14:paraId="4F76479A" w14:textId="77777777" w:rsidTr="00AC5DAA">
        <w:trPr>
          <w:cantSplit/>
          <w:jc w:val="center"/>
        </w:trPr>
        <w:tc>
          <w:tcPr>
            <w:tcW w:w="750" w:type="pct"/>
          </w:tcPr>
          <w:p w14:paraId="781BE18C" w14:textId="5E7FB2C2"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27</w:t>
            </w:r>
          </w:p>
        </w:tc>
        <w:tc>
          <w:tcPr>
            <w:tcW w:w="303" w:type="pct"/>
          </w:tcPr>
          <w:p w14:paraId="60A89D5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(4</w:t>
            </w:r>
            <w:r>
              <w:rPr>
                <w:color w:val="000000"/>
                <w:sz w:val="20"/>
                <w:szCs w:val="20"/>
              </w:rPr>
              <w:t>/5</w:t>
            </w:r>
            <w:r w:rsidRPr="00775C84">
              <w:rPr>
                <w:color w:val="000000"/>
                <w:sz w:val="20"/>
                <w:szCs w:val="20"/>
              </w:rPr>
              <w:t>)</w:t>
            </w:r>
          </w:p>
        </w:tc>
        <w:tc>
          <w:tcPr>
            <w:tcW w:w="440" w:type="pct"/>
          </w:tcPr>
          <w:p w14:paraId="3FA7DDA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(5</w:t>
            </w:r>
            <w:r>
              <w:rPr>
                <w:color w:val="000000"/>
                <w:sz w:val="20"/>
                <w:szCs w:val="20"/>
              </w:rPr>
              <w:t>/24</w:t>
            </w:r>
            <w:r w:rsidRPr="00775C84">
              <w:rPr>
                <w:color w:val="000000"/>
                <w:sz w:val="20"/>
                <w:szCs w:val="20"/>
              </w:rPr>
              <w:t>)</w:t>
            </w:r>
          </w:p>
        </w:tc>
        <w:tc>
          <w:tcPr>
            <w:tcW w:w="399" w:type="pct"/>
          </w:tcPr>
          <w:p w14:paraId="25EF367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(5</w:t>
            </w:r>
            <w:r>
              <w:rPr>
                <w:color w:val="000000"/>
                <w:sz w:val="20"/>
                <w:szCs w:val="20"/>
              </w:rPr>
              <w:t>/16</w:t>
            </w:r>
            <w:r w:rsidRPr="00775C84">
              <w:rPr>
                <w:color w:val="000000"/>
                <w:sz w:val="20"/>
                <w:szCs w:val="20"/>
              </w:rPr>
              <w:t>)</w:t>
            </w:r>
          </w:p>
        </w:tc>
        <w:tc>
          <w:tcPr>
            <w:tcW w:w="386" w:type="pct"/>
          </w:tcPr>
          <w:p w14:paraId="65097B8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/18</w:t>
            </w:r>
            <w:r w:rsidRPr="00775C84">
              <w:rPr>
                <w:color w:val="000000"/>
                <w:sz w:val="20"/>
                <w:szCs w:val="20"/>
              </w:rPr>
              <w:t>)</w:t>
            </w:r>
          </w:p>
        </w:tc>
        <w:tc>
          <w:tcPr>
            <w:tcW w:w="377" w:type="pct"/>
          </w:tcPr>
          <w:p w14:paraId="37D4AD0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/21</w:t>
            </w:r>
            <w:r w:rsidRPr="00775C84">
              <w:rPr>
                <w:color w:val="000000"/>
                <w:sz w:val="20"/>
                <w:szCs w:val="20"/>
              </w:rPr>
              <w:t>)</w:t>
            </w:r>
          </w:p>
        </w:tc>
        <w:tc>
          <w:tcPr>
            <w:tcW w:w="399" w:type="pct"/>
          </w:tcPr>
          <w:p w14:paraId="74FECE3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(6</w:t>
            </w:r>
            <w:r>
              <w:rPr>
                <w:color w:val="000000"/>
                <w:sz w:val="20"/>
                <w:szCs w:val="20"/>
              </w:rPr>
              <w:t>/18</w:t>
            </w:r>
            <w:r w:rsidRPr="00775C84">
              <w:rPr>
                <w:color w:val="000000"/>
                <w:sz w:val="20"/>
                <w:szCs w:val="20"/>
              </w:rPr>
              <w:t>)</w:t>
            </w:r>
          </w:p>
        </w:tc>
        <w:tc>
          <w:tcPr>
            <w:tcW w:w="387" w:type="pct"/>
          </w:tcPr>
          <w:p w14:paraId="6E3A0AA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/2</w:t>
            </w:r>
            <w:r w:rsidRPr="00775C84">
              <w:rPr>
                <w:color w:val="000000"/>
                <w:sz w:val="20"/>
                <w:szCs w:val="20"/>
              </w:rPr>
              <w:t>)</w:t>
            </w:r>
          </w:p>
        </w:tc>
        <w:tc>
          <w:tcPr>
            <w:tcW w:w="360" w:type="pct"/>
          </w:tcPr>
          <w:p w14:paraId="43B8112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(9</w:t>
            </w:r>
            <w:r>
              <w:rPr>
                <w:color w:val="000000"/>
                <w:sz w:val="20"/>
                <w:szCs w:val="20"/>
              </w:rPr>
              <w:t>/15</w:t>
            </w:r>
            <w:r w:rsidRPr="00775C84">
              <w:rPr>
                <w:color w:val="000000"/>
                <w:sz w:val="20"/>
                <w:szCs w:val="20"/>
              </w:rPr>
              <w:t>)</w:t>
            </w:r>
          </w:p>
        </w:tc>
        <w:tc>
          <w:tcPr>
            <w:tcW w:w="360" w:type="pct"/>
          </w:tcPr>
          <w:p w14:paraId="077790B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/22</w:t>
            </w:r>
            <w:r w:rsidRPr="00775C84">
              <w:rPr>
                <w:color w:val="000000"/>
                <w:sz w:val="20"/>
                <w:szCs w:val="20"/>
              </w:rPr>
              <w:t>)</w:t>
            </w:r>
          </w:p>
        </w:tc>
        <w:tc>
          <w:tcPr>
            <w:tcW w:w="361" w:type="pct"/>
          </w:tcPr>
          <w:p w14:paraId="10F86EA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(4</w:t>
            </w:r>
            <w:r>
              <w:rPr>
                <w:color w:val="000000"/>
                <w:sz w:val="20"/>
                <w:szCs w:val="20"/>
              </w:rPr>
              <w:t>/21</w:t>
            </w:r>
            <w:r w:rsidRPr="00775C84">
              <w:rPr>
                <w:color w:val="000000"/>
                <w:sz w:val="20"/>
                <w:szCs w:val="20"/>
              </w:rPr>
              <w:t>)</w:t>
            </w:r>
          </w:p>
        </w:tc>
        <w:tc>
          <w:tcPr>
            <w:tcW w:w="480" w:type="pct"/>
          </w:tcPr>
          <w:p w14:paraId="25B9441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5 (41</w:t>
            </w:r>
            <w:r>
              <w:rPr>
                <w:color w:val="000000"/>
                <w:sz w:val="20"/>
                <w:szCs w:val="20"/>
              </w:rPr>
              <w:t>/162</w:t>
            </w:r>
            <w:r w:rsidRPr="00775C84">
              <w:rPr>
                <w:color w:val="000000"/>
                <w:sz w:val="20"/>
                <w:szCs w:val="20"/>
              </w:rPr>
              <w:t>)</w:t>
            </w:r>
          </w:p>
        </w:tc>
      </w:tr>
      <w:tr w:rsidR="00032E14" w:rsidRPr="00833C97" w14:paraId="5E4BD234" w14:textId="77777777" w:rsidTr="00AC5DAA">
        <w:trPr>
          <w:cantSplit/>
          <w:jc w:val="center"/>
        </w:trPr>
        <w:tc>
          <w:tcPr>
            <w:tcW w:w="750" w:type="pct"/>
          </w:tcPr>
          <w:p w14:paraId="07A5B498" w14:textId="63F99C88"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28</w:t>
            </w:r>
          </w:p>
        </w:tc>
        <w:tc>
          <w:tcPr>
            <w:tcW w:w="303" w:type="pct"/>
          </w:tcPr>
          <w:p w14:paraId="7B0DCFE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/2</w:t>
            </w:r>
            <w:r w:rsidRPr="00775C84">
              <w:rPr>
                <w:color w:val="000000"/>
                <w:sz w:val="20"/>
                <w:szCs w:val="20"/>
              </w:rPr>
              <w:t>)</w:t>
            </w:r>
          </w:p>
        </w:tc>
        <w:tc>
          <w:tcPr>
            <w:tcW w:w="440" w:type="pct"/>
          </w:tcPr>
          <w:p w14:paraId="5BEEDDD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(4</w:t>
            </w:r>
            <w:r>
              <w:rPr>
                <w:color w:val="000000"/>
                <w:sz w:val="20"/>
                <w:szCs w:val="20"/>
              </w:rPr>
              <w:t>/18</w:t>
            </w:r>
            <w:r w:rsidRPr="00775C84">
              <w:rPr>
                <w:color w:val="000000"/>
                <w:sz w:val="20"/>
                <w:szCs w:val="20"/>
              </w:rPr>
              <w:t>)</w:t>
            </w:r>
          </w:p>
        </w:tc>
        <w:tc>
          <w:tcPr>
            <w:tcW w:w="399" w:type="pct"/>
          </w:tcPr>
          <w:p w14:paraId="75C0543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(7</w:t>
            </w:r>
            <w:r>
              <w:rPr>
                <w:color w:val="000000"/>
                <w:sz w:val="20"/>
                <w:szCs w:val="20"/>
              </w:rPr>
              <w:t>/16</w:t>
            </w:r>
            <w:r w:rsidRPr="00775C84">
              <w:rPr>
                <w:color w:val="000000"/>
                <w:sz w:val="20"/>
                <w:szCs w:val="20"/>
              </w:rPr>
              <w:t>)</w:t>
            </w:r>
          </w:p>
        </w:tc>
        <w:tc>
          <w:tcPr>
            <w:tcW w:w="386" w:type="pct"/>
          </w:tcPr>
          <w:p w14:paraId="6E6CCD0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(10</w:t>
            </w:r>
            <w:r>
              <w:rPr>
                <w:color w:val="000000"/>
                <w:sz w:val="20"/>
                <w:szCs w:val="20"/>
              </w:rPr>
              <w:t>/22</w:t>
            </w:r>
            <w:r w:rsidRPr="00775C84">
              <w:rPr>
                <w:color w:val="000000"/>
                <w:sz w:val="20"/>
                <w:szCs w:val="20"/>
              </w:rPr>
              <w:t>)</w:t>
            </w:r>
          </w:p>
        </w:tc>
        <w:tc>
          <w:tcPr>
            <w:tcW w:w="377" w:type="pct"/>
          </w:tcPr>
          <w:p w14:paraId="5F016A3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(5</w:t>
            </w:r>
            <w:r>
              <w:rPr>
                <w:color w:val="000000"/>
                <w:sz w:val="20"/>
                <w:szCs w:val="20"/>
              </w:rPr>
              <w:t>/15</w:t>
            </w:r>
            <w:r w:rsidRPr="00775C84">
              <w:rPr>
                <w:color w:val="000000"/>
                <w:sz w:val="20"/>
                <w:szCs w:val="20"/>
              </w:rPr>
              <w:t>)</w:t>
            </w:r>
          </w:p>
        </w:tc>
        <w:tc>
          <w:tcPr>
            <w:tcW w:w="399" w:type="pct"/>
          </w:tcPr>
          <w:p w14:paraId="5454AB8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(5</w:t>
            </w:r>
            <w:r>
              <w:rPr>
                <w:color w:val="000000"/>
                <w:sz w:val="20"/>
                <w:szCs w:val="20"/>
              </w:rPr>
              <w:t>/15</w:t>
            </w:r>
            <w:r w:rsidRPr="00775C84">
              <w:rPr>
                <w:color w:val="000000"/>
                <w:sz w:val="20"/>
                <w:szCs w:val="20"/>
              </w:rPr>
              <w:t>)</w:t>
            </w:r>
          </w:p>
        </w:tc>
        <w:tc>
          <w:tcPr>
            <w:tcW w:w="387" w:type="pct"/>
          </w:tcPr>
          <w:p w14:paraId="4F44407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(6</w:t>
            </w:r>
            <w:r>
              <w:rPr>
                <w:color w:val="000000"/>
                <w:sz w:val="20"/>
                <w:szCs w:val="20"/>
              </w:rPr>
              <w:t>/18</w:t>
            </w:r>
            <w:r w:rsidRPr="00775C84">
              <w:rPr>
                <w:color w:val="000000"/>
                <w:sz w:val="20"/>
                <w:szCs w:val="20"/>
              </w:rPr>
              <w:t>)</w:t>
            </w:r>
          </w:p>
        </w:tc>
        <w:tc>
          <w:tcPr>
            <w:tcW w:w="360" w:type="pct"/>
          </w:tcPr>
          <w:p w14:paraId="0868FAF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/7</w:t>
            </w:r>
            <w:r w:rsidRPr="00775C84">
              <w:rPr>
                <w:color w:val="000000"/>
                <w:sz w:val="20"/>
                <w:szCs w:val="20"/>
              </w:rPr>
              <w:t>)</w:t>
            </w:r>
          </w:p>
        </w:tc>
        <w:tc>
          <w:tcPr>
            <w:tcW w:w="360" w:type="pct"/>
          </w:tcPr>
          <w:p w14:paraId="3E703C8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(4</w:t>
            </w:r>
            <w:r>
              <w:rPr>
                <w:color w:val="000000"/>
                <w:sz w:val="20"/>
                <w:szCs w:val="20"/>
              </w:rPr>
              <w:t>/18</w:t>
            </w:r>
            <w:r w:rsidRPr="00775C84">
              <w:rPr>
                <w:color w:val="000000"/>
                <w:sz w:val="20"/>
                <w:szCs w:val="20"/>
              </w:rPr>
              <w:t>)</w:t>
            </w:r>
          </w:p>
        </w:tc>
        <w:tc>
          <w:tcPr>
            <w:tcW w:w="361" w:type="pct"/>
          </w:tcPr>
          <w:p w14:paraId="72CFEC3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(5</w:t>
            </w:r>
            <w:r>
              <w:rPr>
                <w:color w:val="000000"/>
                <w:sz w:val="20"/>
                <w:szCs w:val="20"/>
              </w:rPr>
              <w:t>/21</w:t>
            </w:r>
            <w:r w:rsidRPr="00775C84">
              <w:rPr>
                <w:color w:val="000000"/>
                <w:sz w:val="20"/>
                <w:szCs w:val="20"/>
              </w:rPr>
              <w:t>)</w:t>
            </w:r>
          </w:p>
        </w:tc>
        <w:tc>
          <w:tcPr>
            <w:tcW w:w="480" w:type="pct"/>
          </w:tcPr>
          <w:p w14:paraId="2DA6425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8 (48</w:t>
            </w:r>
            <w:r>
              <w:rPr>
                <w:color w:val="000000"/>
                <w:sz w:val="20"/>
                <w:szCs w:val="20"/>
              </w:rPr>
              <w:t>/152</w:t>
            </w:r>
            <w:r w:rsidRPr="00775C84">
              <w:rPr>
                <w:color w:val="000000"/>
                <w:sz w:val="20"/>
                <w:szCs w:val="20"/>
              </w:rPr>
              <w:t>)</w:t>
            </w:r>
          </w:p>
        </w:tc>
      </w:tr>
      <w:tr w:rsidR="00032E14" w:rsidRPr="00833C97" w14:paraId="5FBE3206" w14:textId="77777777" w:rsidTr="00AC5DAA">
        <w:trPr>
          <w:cantSplit/>
          <w:jc w:val="center"/>
        </w:trPr>
        <w:tc>
          <w:tcPr>
            <w:tcW w:w="750" w:type="pct"/>
          </w:tcPr>
          <w:p w14:paraId="1DCC037D" w14:textId="79F7085C"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29</w:t>
            </w:r>
          </w:p>
        </w:tc>
        <w:tc>
          <w:tcPr>
            <w:tcW w:w="303" w:type="pct"/>
          </w:tcPr>
          <w:p w14:paraId="36AE89C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w:t>
            </w:r>
            <w:r w:rsidRPr="00775C84">
              <w:rPr>
                <w:color w:val="000000"/>
                <w:sz w:val="20"/>
                <w:szCs w:val="20"/>
              </w:rPr>
              <w:t>)</w:t>
            </w:r>
          </w:p>
        </w:tc>
        <w:tc>
          <w:tcPr>
            <w:tcW w:w="440" w:type="pct"/>
          </w:tcPr>
          <w:p w14:paraId="60E8A06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/2</w:t>
            </w:r>
            <w:r w:rsidRPr="00775C84">
              <w:rPr>
                <w:color w:val="000000"/>
                <w:sz w:val="20"/>
                <w:szCs w:val="20"/>
              </w:rPr>
              <w:t>)</w:t>
            </w:r>
          </w:p>
        </w:tc>
        <w:tc>
          <w:tcPr>
            <w:tcW w:w="399" w:type="pct"/>
          </w:tcPr>
          <w:p w14:paraId="575EC56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(5</w:t>
            </w:r>
            <w:r>
              <w:rPr>
                <w:color w:val="000000"/>
                <w:sz w:val="20"/>
                <w:szCs w:val="20"/>
              </w:rPr>
              <w:t>/5</w:t>
            </w:r>
            <w:r w:rsidRPr="00775C84">
              <w:rPr>
                <w:color w:val="000000"/>
                <w:sz w:val="20"/>
                <w:szCs w:val="20"/>
              </w:rPr>
              <w:t>)</w:t>
            </w:r>
          </w:p>
        </w:tc>
        <w:tc>
          <w:tcPr>
            <w:tcW w:w="386" w:type="pct"/>
          </w:tcPr>
          <w:p w14:paraId="69C87B9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(4</w:t>
            </w:r>
            <w:r>
              <w:rPr>
                <w:color w:val="000000"/>
                <w:sz w:val="20"/>
                <w:szCs w:val="20"/>
              </w:rPr>
              <w:t>/7</w:t>
            </w:r>
            <w:r w:rsidRPr="00775C84">
              <w:rPr>
                <w:color w:val="000000"/>
                <w:sz w:val="20"/>
                <w:szCs w:val="20"/>
              </w:rPr>
              <w:t>)</w:t>
            </w:r>
          </w:p>
        </w:tc>
        <w:tc>
          <w:tcPr>
            <w:tcW w:w="377" w:type="pct"/>
          </w:tcPr>
          <w:p w14:paraId="4B39B13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/3</w:t>
            </w:r>
            <w:r w:rsidRPr="00775C84">
              <w:rPr>
                <w:color w:val="000000"/>
                <w:sz w:val="20"/>
                <w:szCs w:val="20"/>
              </w:rPr>
              <w:t>)</w:t>
            </w:r>
          </w:p>
        </w:tc>
        <w:tc>
          <w:tcPr>
            <w:tcW w:w="399" w:type="pct"/>
          </w:tcPr>
          <w:p w14:paraId="7F50334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/8</w:t>
            </w:r>
            <w:r w:rsidRPr="00775C84">
              <w:rPr>
                <w:color w:val="000000"/>
                <w:sz w:val="20"/>
                <w:szCs w:val="20"/>
              </w:rPr>
              <w:t>)</w:t>
            </w:r>
          </w:p>
        </w:tc>
        <w:tc>
          <w:tcPr>
            <w:tcW w:w="387" w:type="pct"/>
          </w:tcPr>
          <w:p w14:paraId="42CC937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w:t>
            </w:r>
            <w:r w:rsidRPr="00775C84">
              <w:rPr>
                <w:color w:val="000000"/>
                <w:sz w:val="20"/>
                <w:szCs w:val="20"/>
              </w:rPr>
              <w:t>)</w:t>
            </w:r>
          </w:p>
        </w:tc>
        <w:tc>
          <w:tcPr>
            <w:tcW w:w="360" w:type="pct"/>
          </w:tcPr>
          <w:p w14:paraId="3D41561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(5</w:t>
            </w:r>
            <w:r>
              <w:rPr>
                <w:color w:val="000000"/>
                <w:sz w:val="20"/>
                <w:szCs w:val="20"/>
              </w:rPr>
              <w:t>/10</w:t>
            </w:r>
            <w:r w:rsidRPr="00775C84">
              <w:rPr>
                <w:color w:val="000000"/>
                <w:sz w:val="20"/>
                <w:szCs w:val="20"/>
              </w:rPr>
              <w:t>)</w:t>
            </w:r>
          </w:p>
        </w:tc>
        <w:tc>
          <w:tcPr>
            <w:tcW w:w="360" w:type="pct"/>
          </w:tcPr>
          <w:p w14:paraId="0E910D8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/4</w:t>
            </w:r>
            <w:r w:rsidRPr="00775C84">
              <w:rPr>
                <w:color w:val="000000"/>
                <w:sz w:val="20"/>
                <w:szCs w:val="20"/>
              </w:rPr>
              <w:t>)</w:t>
            </w:r>
          </w:p>
        </w:tc>
        <w:tc>
          <w:tcPr>
            <w:tcW w:w="361" w:type="pct"/>
          </w:tcPr>
          <w:p w14:paraId="6DC16F2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/1</w:t>
            </w:r>
            <w:r w:rsidRPr="00775C84">
              <w:rPr>
                <w:color w:val="000000"/>
                <w:sz w:val="20"/>
                <w:szCs w:val="20"/>
              </w:rPr>
              <w:t>)</w:t>
            </w:r>
          </w:p>
        </w:tc>
        <w:tc>
          <w:tcPr>
            <w:tcW w:w="480" w:type="pct"/>
          </w:tcPr>
          <w:p w14:paraId="30D1127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10 (23</w:t>
            </w:r>
            <w:r>
              <w:rPr>
                <w:color w:val="000000"/>
                <w:sz w:val="20"/>
                <w:szCs w:val="20"/>
              </w:rPr>
              <w:t>/42</w:t>
            </w:r>
            <w:r w:rsidRPr="00775C84">
              <w:rPr>
                <w:color w:val="000000"/>
                <w:sz w:val="20"/>
                <w:szCs w:val="20"/>
              </w:rPr>
              <w:t>)</w:t>
            </w:r>
          </w:p>
        </w:tc>
      </w:tr>
      <w:tr w:rsidR="00032E14" w:rsidRPr="00833C97" w14:paraId="05298EAE" w14:textId="77777777" w:rsidTr="00AC5DAA">
        <w:trPr>
          <w:cantSplit/>
          <w:jc w:val="center"/>
        </w:trPr>
        <w:tc>
          <w:tcPr>
            <w:tcW w:w="750" w:type="pct"/>
          </w:tcPr>
          <w:p w14:paraId="1E92055F" w14:textId="1508B466"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30</w:t>
            </w:r>
          </w:p>
        </w:tc>
        <w:tc>
          <w:tcPr>
            <w:tcW w:w="303" w:type="pct"/>
          </w:tcPr>
          <w:p w14:paraId="62E4C44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/1</w:t>
            </w:r>
            <w:r w:rsidRPr="00775C84">
              <w:rPr>
                <w:color w:val="000000"/>
                <w:sz w:val="20"/>
                <w:szCs w:val="20"/>
              </w:rPr>
              <w:t>)</w:t>
            </w:r>
          </w:p>
        </w:tc>
        <w:tc>
          <w:tcPr>
            <w:tcW w:w="440" w:type="pct"/>
          </w:tcPr>
          <w:p w14:paraId="7D4AF5E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/14</w:t>
            </w:r>
            <w:r w:rsidRPr="00775C84">
              <w:rPr>
                <w:color w:val="000000"/>
                <w:sz w:val="20"/>
                <w:szCs w:val="20"/>
              </w:rPr>
              <w:t>)</w:t>
            </w:r>
          </w:p>
        </w:tc>
        <w:tc>
          <w:tcPr>
            <w:tcW w:w="399" w:type="pct"/>
          </w:tcPr>
          <w:p w14:paraId="3FC80FB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(6</w:t>
            </w:r>
            <w:r>
              <w:rPr>
                <w:color w:val="000000"/>
                <w:sz w:val="20"/>
                <w:szCs w:val="20"/>
              </w:rPr>
              <w:t>/15</w:t>
            </w:r>
            <w:r w:rsidRPr="00775C84">
              <w:rPr>
                <w:color w:val="000000"/>
                <w:sz w:val="20"/>
                <w:szCs w:val="20"/>
              </w:rPr>
              <w:t>)</w:t>
            </w:r>
          </w:p>
        </w:tc>
        <w:tc>
          <w:tcPr>
            <w:tcW w:w="386" w:type="pct"/>
          </w:tcPr>
          <w:p w14:paraId="790F718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/16</w:t>
            </w:r>
            <w:r w:rsidRPr="00775C84">
              <w:rPr>
                <w:color w:val="000000"/>
                <w:sz w:val="20"/>
                <w:szCs w:val="20"/>
              </w:rPr>
              <w:t>)</w:t>
            </w:r>
          </w:p>
        </w:tc>
        <w:tc>
          <w:tcPr>
            <w:tcW w:w="377" w:type="pct"/>
          </w:tcPr>
          <w:p w14:paraId="60838C5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(4</w:t>
            </w:r>
            <w:r>
              <w:rPr>
                <w:color w:val="000000"/>
                <w:sz w:val="20"/>
                <w:szCs w:val="20"/>
              </w:rPr>
              <w:t>/17</w:t>
            </w:r>
            <w:r w:rsidRPr="00775C84">
              <w:rPr>
                <w:color w:val="000000"/>
                <w:sz w:val="20"/>
                <w:szCs w:val="20"/>
              </w:rPr>
              <w:t>)</w:t>
            </w:r>
          </w:p>
        </w:tc>
        <w:tc>
          <w:tcPr>
            <w:tcW w:w="399" w:type="pct"/>
          </w:tcPr>
          <w:p w14:paraId="31AC550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/19</w:t>
            </w:r>
            <w:r w:rsidRPr="00775C84">
              <w:rPr>
                <w:color w:val="000000"/>
                <w:sz w:val="20"/>
                <w:szCs w:val="20"/>
              </w:rPr>
              <w:t>)</w:t>
            </w:r>
          </w:p>
        </w:tc>
        <w:tc>
          <w:tcPr>
            <w:tcW w:w="387" w:type="pct"/>
          </w:tcPr>
          <w:p w14:paraId="3B45C7F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 xml:space="preserve">4 </w:t>
            </w:r>
            <w:r w:rsidRPr="00833C97">
              <w:rPr>
                <w:color w:val="000000"/>
                <w:sz w:val="20"/>
                <w:szCs w:val="20"/>
              </w:rPr>
              <w:t>(11</w:t>
            </w:r>
            <w:r>
              <w:rPr>
                <w:color w:val="000000"/>
                <w:sz w:val="20"/>
                <w:szCs w:val="20"/>
              </w:rPr>
              <w:t>/22</w:t>
            </w:r>
            <w:r w:rsidRPr="00833C97">
              <w:rPr>
                <w:color w:val="000000"/>
                <w:sz w:val="20"/>
                <w:szCs w:val="20"/>
              </w:rPr>
              <w:t>)</w:t>
            </w:r>
          </w:p>
        </w:tc>
        <w:tc>
          <w:tcPr>
            <w:tcW w:w="360" w:type="pct"/>
          </w:tcPr>
          <w:p w14:paraId="7F14A52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(9</w:t>
            </w:r>
            <w:r>
              <w:rPr>
                <w:color w:val="000000"/>
                <w:sz w:val="20"/>
                <w:szCs w:val="20"/>
              </w:rPr>
              <w:t>/22</w:t>
            </w:r>
            <w:r w:rsidRPr="00775C84">
              <w:rPr>
                <w:color w:val="000000"/>
                <w:sz w:val="20"/>
                <w:szCs w:val="20"/>
              </w:rPr>
              <w:t>)</w:t>
            </w:r>
          </w:p>
        </w:tc>
        <w:tc>
          <w:tcPr>
            <w:tcW w:w="360" w:type="pct"/>
          </w:tcPr>
          <w:p w14:paraId="56105D8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/18</w:t>
            </w:r>
            <w:r w:rsidRPr="00775C84">
              <w:rPr>
                <w:color w:val="000000"/>
                <w:sz w:val="20"/>
                <w:szCs w:val="20"/>
              </w:rPr>
              <w:t>)</w:t>
            </w:r>
          </w:p>
        </w:tc>
        <w:tc>
          <w:tcPr>
            <w:tcW w:w="361" w:type="pct"/>
          </w:tcPr>
          <w:p w14:paraId="4CE1AD4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(2</w:t>
            </w:r>
            <w:r>
              <w:rPr>
                <w:color w:val="000000"/>
                <w:sz w:val="20"/>
                <w:szCs w:val="20"/>
              </w:rPr>
              <w:t>/19</w:t>
            </w:r>
            <w:r w:rsidRPr="00775C84">
              <w:rPr>
                <w:color w:val="000000"/>
                <w:sz w:val="20"/>
                <w:szCs w:val="20"/>
              </w:rPr>
              <w:t>)</w:t>
            </w:r>
          </w:p>
        </w:tc>
        <w:tc>
          <w:tcPr>
            <w:tcW w:w="480" w:type="pct"/>
          </w:tcPr>
          <w:p w14:paraId="08C192C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11 (42</w:t>
            </w:r>
            <w:r>
              <w:rPr>
                <w:color w:val="000000"/>
                <w:sz w:val="20"/>
                <w:szCs w:val="20"/>
              </w:rPr>
              <w:t>/163</w:t>
            </w:r>
            <w:r w:rsidRPr="00775C84">
              <w:rPr>
                <w:color w:val="000000"/>
                <w:sz w:val="20"/>
                <w:szCs w:val="20"/>
              </w:rPr>
              <w:t>)</w:t>
            </w:r>
          </w:p>
        </w:tc>
      </w:tr>
      <w:tr w:rsidR="00032E14" w:rsidRPr="00833C97" w14:paraId="48437A73" w14:textId="77777777" w:rsidTr="00AC5DAA">
        <w:trPr>
          <w:cantSplit/>
          <w:jc w:val="center"/>
        </w:trPr>
        <w:tc>
          <w:tcPr>
            <w:tcW w:w="750" w:type="pct"/>
          </w:tcPr>
          <w:p w14:paraId="26535246" w14:textId="09FD7404"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31</w:t>
            </w:r>
          </w:p>
        </w:tc>
        <w:tc>
          <w:tcPr>
            <w:tcW w:w="303" w:type="pct"/>
          </w:tcPr>
          <w:p w14:paraId="65880F9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/1</w:t>
            </w:r>
            <w:r w:rsidRPr="00775C84">
              <w:rPr>
                <w:color w:val="000000"/>
                <w:sz w:val="20"/>
                <w:szCs w:val="20"/>
              </w:rPr>
              <w:t>)</w:t>
            </w:r>
          </w:p>
        </w:tc>
        <w:tc>
          <w:tcPr>
            <w:tcW w:w="440" w:type="pct"/>
          </w:tcPr>
          <w:p w14:paraId="2FCAC44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(6</w:t>
            </w:r>
            <w:r>
              <w:rPr>
                <w:color w:val="000000"/>
                <w:sz w:val="20"/>
                <w:szCs w:val="20"/>
              </w:rPr>
              <w:t>/10</w:t>
            </w:r>
            <w:r w:rsidRPr="00775C84">
              <w:rPr>
                <w:color w:val="000000"/>
                <w:sz w:val="20"/>
                <w:szCs w:val="20"/>
              </w:rPr>
              <w:t>)</w:t>
            </w:r>
          </w:p>
        </w:tc>
        <w:tc>
          <w:tcPr>
            <w:tcW w:w="399" w:type="pct"/>
          </w:tcPr>
          <w:p w14:paraId="10D7FED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/8</w:t>
            </w:r>
            <w:r w:rsidRPr="00775C84">
              <w:rPr>
                <w:color w:val="000000"/>
                <w:sz w:val="20"/>
                <w:szCs w:val="20"/>
              </w:rPr>
              <w:t>)</w:t>
            </w:r>
          </w:p>
        </w:tc>
        <w:tc>
          <w:tcPr>
            <w:tcW w:w="386" w:type="pct"/>
          </w:tcPr>
          <w:p w14:paraId="4958DA1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(4</w:t>
            </w:r>
            <w:r>
              <w:rPr>
                <w:color w:val="000000"/>
                <w:sz w:val="20"/>
                <w:szCs w:val="20"/>
              </w:rPr>
              <w:t>/8</w:t>
            </w:r>
            <w:r w:rsidRPr="00775C84">
              <w:rPr>
                <w:color w:val="000000"/>
                <w:sz w:val="20"/>
                <w:szCs w:val="20"/>
              </w:rPr>
              <w:t>)</w:t>
            </w:r>
          </w:p>
        </w:tc>
        <w:tc>
          <w:tcPr>
            <w:tcW w:w="377" w:type="pct"/>
          </w:tcPr>
          <w:p w14:paraId="70B3AFF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/9</w:t>
            </w:r>
            <w:r w:rsidRPr="00775C84">
              <w:rPr>
                <w:color w:val="000000"/>
                <w:sz w:val="20"/>
                <w:szCs w:val="20"/>
              </w:rPr>
              <w:t>)</w:t>
            </w:r>
          </w:p>
        </w:tc>
        <w:tc>
          <w:tcPr>
            <w:tcW w:w="399" w:type="pct"/>
          </w:tcPr>
          <w:p w14:paraId="3871BFF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/3</w:t>
            </w:r>
            <w:r w:rsidRPr="00775C84">
              <w:rPr>
                <w:color w:val="000000"/>
                <w:sz w:val="20"/>
                <w:szCs w:val="20"/>
              </w:rPr>
              <w:t>)</w:t>
            </w:r>
          </w:p>
        </w:tc>
        <w:tc>
          <w:tcPr>
            <w:tcW w:w="387" w:type="pct"/>
          </w:tcPr>
          <w:p w14:paraId="7EDE338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/11</w:t>
            </w:r>
            <w:r w:rsidRPr="00775C84">
              <w:rPr>
                <w:color w:val="000000"/>
                <w:sz w:val="20"/>
                <w:szCs w:val="20"/>
              </w:rPr>
              <w:t>)</w:t>
            </w:r>
          </w:p>
        </w:tc>
        <w:tc>
          <w:tcPr>
            <w:tcW w:w="360" w:type="pct"/>
          </w:tcPr>
          <w:p w14:paraId="2D6BC93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/3</w:t>
            </w:r>
            <w:r w:rsidRPr="00775C84">
              <w:rPr>
                <w:color w:val="000000"/>
                <w:sz w:val="20"/>
                <w:szCs w:val="20"/>
              </w:rPr>
              <w:t>)</w:t>
            </w:r>
          </w:p>
        </w:tc>
        <w:tc>
          <w:tcPr>
            <w:tcW w:w="360" w:type="pct"/>
          </w:tcPr>
          <w:p w14:paraId="1B13108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/1</w:t>
            </w:r>
            <w:r w:rsidRPr="00775C84">
              <w:rPr>
                <w:color w:val="000000"/>
                <w:sz w:val="20"/>
                <w:szCs w:val="20"/>
              </w:rPr>
              <w:t>)</w:t>
            </w:r>
          </w:p>
        </w:tc>
        <w:tc>
          <w:tcPr>
            <w:tcW w:w="361" w:type="pct"/>
          </w:tcPr>
          <w:p w14:paraId="456E0B2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29AF61B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(19</w:t>
            </w:r>
            <w:r>
              <w:rPr>
                <w:color w:val="000000"/>
                <w:sz w:val="20"/>
                <w:szCs w:val="20"/>
              </w:rPr>
              <w:t>/54</w:t>
            </w:r>
            <w:r w:rsidRPr="00775C84">
              <w:rPr>
                <w:color w:val="000000"/>
                <w:sz w:val="20"/>
                <w:szCs w:val="20"/>
              </w:rPr>
              <w:t>)</w:t>
            </w:r>
          </w:p>
        </w:tc>
      </w:tr>
      <w:tr w:rsidR="00032E14" w:rsidRPr="00833C97" w14:paraId="063CAB64" w14:textId="77777777" w:rsidTr="00AC5DAA">
        <w:trPr>
          <w:cantSplit/>
          <w:jc w:val="center"/>
        </w:trPr>
        <w:tc>
          <w:tcPr>
            <w:tcW w:w="750" w:type="pct"/>
          </w:tcPr>
          <w:p w14:paraId="5FBD5BA0" w14:textId="5B587174"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32</w:t>
            </w:r>
          </w:p>
        </w:tc>
        <w:tc>
          <w:tcPr>
            <w:tcW w:w="303" w:type="pct"/>
          </w:tcPr>
          <w:p w14:paraId="7E70FEC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/2</w:t>
            </w:r>
            <w:r w:rsidRPr="00775C84">
              <w:rPr>
                <w:color w:val="000000"/>
                <w:sz w:val="20"/>
                <w:szCs w:val="20"/>
              </w:rPr>
              <w:t>)</w:t>
            </w:r>
          </w:p>
        </w:tc>
        <w:tc>
          <w:tcPr>
            <w:tcW w:w="440" w:type="pct"/>
          </w:tcPr>
          <w:p w14:paraId="4FEA5F6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(6</w:t>
            </w:r>
            <w:r>
              <w:rPr>
                <w:color w:val="000000"/>
                <w:sz w:val="20"/>
                <w:szCs w:val="20"/>
              </w:rPr>
              <w:t>/10</w:t>
            </w:r>
            <w:r w:rsidRPr="00775C84">
              <w:rPr>
                <w:color w:val="000000"/>
                <w:sz w:val="20"/>
                <w:szCs w:val="20"/>
              </w:rPr>
              <w:t>)</w:t>
            </w:r>
          </w:p>
        </w:tc>
        <w:tc>
          <w:tcPr>
            <w:tcW w:w="399" w:type="pct"/>
          </w:tcPr>
          <w:p w14:paraId="6D5B915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(6</w:t>
            </w:r>
            <w:r>
              <w:rPr>
                <w:color w:val="000000"/>
                <w:sz w:val="20"/>
                <w:szCs w:val="20"/>
              </w:rPr>
              <w:t>/11</w:t>
            </w:r>
            <w:r w:rsidRPr="00775C84">
              <w:rPr>
                <w:color w:val="000000"/>
                <w:sz w:val="20"/>
                <w:szCs w:val="20"/>
              </w:rPr>
              <w:t>)</w:t>
            </w:r>
          </w:p>
        </w:tc>
        <w:tc>
          <w:tcPr>
            <w:tcW w:w="386" w:type="pct"/>
          </w:tcPr>
          <w:p w14:paraId="6CE2BD8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(4</w:t>
            </w:r>
            <w:r>
              <w:rPr>
                <w:color w:val="000000"/>
                <w:sz w:val="20"/>
                <w:szCs w:val="20"/>
              </w:rPr>
              <w:t>/12</w:t>
            </w:r>
            <w:r w:rsidRPr="00775C84">
              <w:rPr>
                <w:color w:val="000000"/>
                <w:sz w:val="20"/>
                <w:szCs w:val="20"/>
              </w:rPr>
              <w:t>)</w:t>
            </w:r>
          </w:p>
        </w:tc>
        <w:tc>
          <w:tcPr>
            <w:tcW w:w="377" w:type="pct"/>
          </w:tcPr>
          <w:p w14:paraId="518D8323"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/8</w:t>
            </w:r>
            <w:r w:rsidRPr="00775C84">
              <w:rPr>
                <w:color w:val="000000"/>
                <w:sz w:val="20"/>
                <w:szCs w:val="20"/>
              </w:rPr>
              <w:t>)</w:t>
            </w:r>
          </w:p>
        </w:tc>
        <w:tc>
          <w:tcPr>
            <w:tcW w:w="399" w:type="pct"/>
          </w:tcPr>
          <w:p w14:paraId="3CECBE3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/10</w:t>
            </w:r>
            <w:r w:rsidRPr="00775C84">
              <w:rPr>
                <w:color w:val="000000"/>
                <w:sz w:val="20"/>
                <w:szCs w:val="20"/>
              </w:rPr>
              <w:t>)</w:t>
            </w:r>
          </w:p>
        </w:tc>
        <w:tc>
          <w:tcPr>
            <w:tcW w:w="387" w:type="pct"/>
          </w:tcPr>
          <w:p w14:paraId="614B12E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(1</w:t>
            </w:r>
            <w:r>
              <w:rPr>
                <w:color w:val="000000"/>
                <w:sz w:val="20"/>
                <w:szCs w:val="20"/>
              </w:rPr>
              <w:t>/11</w:t>
            </w:r>
            <w:r w:rsidRPr="00775C84">
              <w:rPr>
                <w:color w:val="000000"/>
                <w:sz w:val="20"/>
                <w:szCs w:val="20"/>
              </w:rPr>
              <w:t>)</w:t>
            </w:r>
          </w:p>
        </w:tc>
        <w:tc>
          <w:tcPr>
            <w:tcW w:w="360" w:type="pct"/>
          </w:tcPr>
          <w:p w14:paraId="18214BF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/2</w:t>
            </w:r>
            <w:r w:rsidRPr="00775C84">
              <w:rPr>
                <w:color w:val="000000"/>
                <w:sz w:val="20"/>
                <w:szCs w:val="20"/>
              </w:rPr>
              <w:t>)</w:t>
            </w:r>
          </w:p>
        </w:tc>
        <w:tc>
          <w:tcPr>
            <w:tcW w:w="360" w:type="pct"/>
          </w:tcPr>
          <w:p w14:paraId="506B011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/12</w:t>
            </w:r>
            <w:r w:rsidRPr="00775C84">
              <w:rPr>
                <w:color w:val="000000"/>
                <w:sz w:val="20"/>
                <w:szCs w:val="20"/>
              </w:rPr>
              <w:t>)</w:t>
            </w:r>
          </w:p>
        </w:tc>
        <w:tc>
          <w:tcPr>
            <w:tcW w:w="361" w:type="pct"/>
          </w:tcPr>
          <w:p w14:paraId="3416A7F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/9</w:t>
            </w:r>
            <w:r w:rsidRPr="00775C84">
              <w:rPr>
                <w:color w:val="000000"/>
                <w:sz w:val="20"/>
                <w:szCs w:val="20"/>
              </w:rPr>
              <w:t>)</w:t>
            </w:r>
          </w:p>
        </w:tc>
        <w:tc>
          <w:tcPr>
            <w:tcW w:w="480" w:type="pct"/>
          </w:tcPr>
          <w:p w14:paraId="6435FD2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11 (25</w:t>
            </w:r>
            <w:r>
              <w:rPr>
                <w:color w:val="000000"/>
                <w:sz w:val="20"/>
                <w:szCs w:val="20"/>
              </w:rPr>
              <w:t>/87</w:t>
            </w:r>
            <w:r w:rsidRPr="00775C84">
              <w:rPr>
                <w:color w:val="000000"/>
                <w:sz w:val="20"/>
                <w:szCs w:val="20"/>
              </w:rPr>
              <w:t>)</w:t>
            </w:r>
          </w:p>
        </w:tc>
      </w:tr>
      <w:tr w:rsidR="00032E14" w:rsidRPr="00833C97" w14:paraId="410F643F" w14:textId="77777777" w:rsidTr="00AC5DAA">
        <w:trPr>
          <w:cantSplit/>
          <w:jc w:val="center"/>
        </w:trPr>
        <w:tc>
          <w:tcPr>
            <w:tcW w:w="750" w:type="pct"/>
          </w:tcPr>
          <w:p w14:paraId="6087CAFB" w14:textId="6B054B3A"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33</w:t>
            </w:r>
          </w:p>
        </w:tc>
        <w:tc>
          <w:tcPr>
            <w:tcW w:w="303" w:type="pct"/>
          </w:tcPr>
          <w:p w14:paraId="5482ED1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(2</w:t>
            </w:r>
            <w:r>
              <w:rPr>
                <w:color w:val="000000"/>
                <w:sz w:val="20"/>
                <w:szCs w:val="20"/>
              </w:rPr>
              <w:t>/2</w:t>
            </w:r>
            <w:r w:rsidRPr="00775C84">
              <w:rPr>
                <w:color w:val="000000"/>
                <w:sz w:val="20"/>
                <w:szCs w:val="20"/>
              </w:rPr>
              <w:t>)</w:t>
            </w:r>
          </w:p>
        </w:tc>
        <w:tc>
          <w:tcPr>
            <w:tcW w:w="440" w:type="pct"/>
          </w:tcPr>
          <w:p w14:paraId="3DCEEA3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(3</w:t>
            </w:r>
            <w:r>
              <w:rPr>
                <w:color w:val="000000"/>
                <w:sz w:val="20"/>
                <w:szCs w:val="20"/>
              </w:rPr>
              <w:t>/13</w:t>
            </w:r>
            <w:r w:rsidRPr="00775C84">
              <w:rPr>
                <w:color w:val="000000"/>
                <w:sz w:val="20"/>
                <w:szCs w:val="20"/>
              </w:rPr>
              <w:t>)</w:t>
            </w:r>
          </w:p>
        </w:tc>
        <w:tc>
          <w:tcPr>
            <w:tcW w:w="399" w:type="pct"/>
          </w:tcPr>
          <w:p w14:paraId="45FB3B4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(5</w:t>
            </w:r>
            <w:r>
              <w:rPr>
                <w:color w:val="000000"/>
                <w:sz w:val="20"/>
                <w:szCs w:val="20"/>
              </w:rPr>
              <w:t>/14</w:t>
            </w:r>
            <w:r w:rsidRPr="00775C84">
              <w:rPr>
                <w:color w:val="000000"/>
                <w:sz w:val="20"/>
                <w:szCs w:val="20"/>
              </w:rPr>
              <w:t>)</w:t>
            </w:r>
          </w:p>
        </w:tc>
        <w:tc>
          <w:tcPr>
            <w:tcW w:w="386" w:type="pct"/>
          </w:tcPr>
          <w:p w14:paraId="521E1F0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(8</w:t>
            </w:r>
            <w:r>
              <w:rPr>
                <w:color w:val="000000"/>
                <w:sz w:val="20"/>
                <w:szCs w:val="20"/>
              </w:rPr>
              <w:t>/12</w:t>
            </w:r>
            <w:r w:rsidRPr="00775C84">
              <w:rPr>
                <w:color w:val="000000"/>
                <w:sz w:val="20"/>
                <w:szCs w:val="20"/>
              </w:rPr>
              <w:t>)</w:t>
            </w:r>
          </w:p>
        </w:tc>
        <w:tc>
          <w:tcPr>
            <w:tcW w:w="377" w:type="pct"/>
          </w:tcPr>
          <w:p w14:paraId="689A5D7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/12</w:t>
            </w:r>
            <w:r w:rsidRPr="00775C84">
              <w:rPr>
                <w:color w:val="000000"/>
                <w:sz w:val="20"/>
                <w:szCs w:val="20"/>
              </w:rPr>
              <w:t>)</w:t>
            </w:r>
          </w:p>
        </w:tc>
        <w:tc>
          <w:tcPr>
            <w:tcW w:w="399" w:type="pct"/>
          </w:tcPr>
          <w:p w14:paraId="0501527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/8</w:t>
            </w:r>
            <w:r w:rsidRPr="00775C84">
              <w:rPr>
                <w:color w:val="000000"/>
                <w:sz w:val="20"/>
                <w:szCs w:val="20"/>
              </w:rPr>
              <w:t>)</w:t>
            </w:r>
          </w:p>
        </w:tc>
        <w:tc>
          <w:tcPr>
            <w:tcW w:w="387" w:type="pct"/>
          </w:tcPr>
          <w:p w14:paraId="1EC6433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2 (2</w:t>
            </w:r>
            <w:r>
              <w:rPr>
                <w:color w:val="000000"/>
                <w:sz w:val="20"/>
                <w:szCs w:val="20"/>
              </w:rPr>
              <w:t>/9</w:t>
            </w:r>
            <w:r w:rsidRPr="00775C84">
              <w:rPr>
                <w:color w:val="000000"/>
                <w:sz w:val="20"/>
                <w:szCs w:val="20"/>
              </w:rPr>
              <w:t>)</w:t>
            </w:r>
          </w:p>
        </w:tc>
        <w:tc>
          <w:tcPr>
            <w:tcW w:w="360" w:type="pct"/>
          </w:tcPr>
          <w:p w14:paraId="370DDC4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(9</w:t>
            </w:r>
            <w:r>
              <w:rPr>
                <w:color w:val="000000"/>
                <w:sz w:val="20"/>
                <w:szCs w:val="20"/>
              </w:rPr>
              <w:t>/14</w:t>
            </w:r>
            <w:r w:rsidRPr="00775C84">
              <w:rPr>
                <w:color w:val="000000"/>
                <w:sz w:val="20"/>
                <w:szCs w:val="20"/>
              </w:rPr>
              <w:t>)</w:t>
            </w:r>
          </w:p>
        </w:tc>
        <w:tc>
          <w:tcPr>
            <w:tcW w:w="360" w:type="pct"/>
          </w:tcPr>
          <w:p w14:paraId="29C8E30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/8</w:t>
            </w:r>
            <w:r w:rsidRPr="00775C84">
              <w:rPr>
                <w:color w:val="000000"/>
                <w:sz w:val="20"/>
                <w:szCs w:val="20"/>
              </w:rPr>
              <w:t>)</w:t>
            </w:r>
          </w:p>
        </w:tc>
        <w:tc>
          <w:tcPr>
            <w:tcW w:w="361" w:type="pct"/>
          </w:tcPr>
          <w:p w14:paraId="1AB9EC0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69A02DF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15 (37</w:t>
            </w:r>
            <w:r>
              <w:rPr>
                <w:color w:val="000000"/>
                <w:sz w:val="20"/>
                <w:szCs w:val="20"/>
              </w:rPr>
              <w:t>/92</w:t>
            </w:r>
            <w:r w:rsidRPr="00775C84">
              <w:rPr>
                <w:color w:val="000000"/>
                <w:sz w:val="20"/>
                <w:szCs w:val="20"/>
              </w:rPr>
              <w:t>)</w:t>
            </w:r>
          </w:p>
        </w:tc>
      </w:tr>
      <w:tr w:rsidR="00032E14" w:rsidRPr="00833C97" w14:paraId="05B1D53E" w14:textId="77777777" w:rsidTr="00AC5DAA">
        <w:trPr>
          <w:cantSplit/>
          <w:jc w:val="center"/>
        </w:trPr>
        <w:tc>
          <w:tcPr>
            <w:tcW w:w="750" w:type="pct"/>
          </w:tcPr>
          <w:p w14:paraId="06859BBC" w14:textId="4523D2FA"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34</w:t>
            </w:r>
          </w:p>
        </w:tc>
        <w:tc>
          <w:tcPr>
            <w:tcW w:w="303" w:type="pct"/>
          </w:tcPr>
          <w:p w14:paraId="4EB41C6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40" w:type="pct"/>
          </w:tcPr>
          <w:p w14:paraId="6EB2F34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99" w:type="pct"/>
          </w:tcPr>
          <w:p w14:paraId="622C1D1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6" w:type="pct"/>
          </w:tcPr>
          <w:p w14:paraId="516613C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77" w:type="pct"/>
          </w:tcPr>
          <w:p w14:paraId="54120AF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99" w:type="pct"/>
          </w:tcPr>
          <w:p w14:paraId="533AA23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(4</w:t>
            </w:r>
            <w:r>
              <w:rPr>
                <w:color w:val="000000"/>
                <w:sz w:val="20"/>
                <w:szCs w:val="20"/>
              </w:rPr>
              <w:t>/2</w:t>
            </w:r>
            <w:r w:rsidRPr="00775C84">
              <w:rPr>
                <w:color w:val="000000"/>
                <w:sz w:val="20"/>
                <w:szCs w:val="20"/>
              </w:rPr>
              <w:t>)</w:t>
            </w:r>
          </w:p>
        </w:tc>
        <w:tc>
          <w:tcPr>
            <w:tcW w:w="387" w:type="pct"/>
          </w:tcPr>
          <w:p w14:paraId="0B6E93B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2C269F7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60C1527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73860AE1"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785C3D8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(4</w:t>
            </w:r>
            <w:r>
              <w:rPr>
                <w:color w:val="000000"/>
                <w:sz w:val="20"/>
                <w:szCs w:val="20"/>
              </w:rPr>
              <w:t>/2</w:t>
            </w:r>
            <w:r w:rsidRPr="00775C84">
              <w:rPr>
                <w:color w:val="000000"/>
                <w:sz w:val="20"/>
                <w:szCs w:val="20"/>
              </w:rPr>
              <w:t>)</w:t>
            </w:r>
          </w:p>
        </w:tc>
      </w:tr>
      <w:tr w:rsidR="00032E14" w:rsidRPr="00833C97" w14:paraId="2FBE5F10" w14:textId="77777777" w:rsidTr="00AC5DAA">
        <w:trPr>
          <w:cantSplit/>
          <w:jc w:val="center"/>
        </w:trPr>
        <w:tc>
          <w:tcPr>
            <w:tcW w:w="750" w:type="pct"/>
          </w:tcPr>
          <w:p w14:paraId="124E539D" w14:textId="0A6191AC"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35</w:t>
            </w:r>
          </w:p>
        </w:tc>
        <w:tc>
          <w:tcPr>
            <w:tcW w:w="303" w:type="pct"/>
          </w:tcPr>
          <w:p w14:paraId="61EA685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/2</w:t>
            </w:r>
            <w:r w:rsidRPr="00775C84">
              <w:rPr>
                <w:color w:val="000000"/>
                <w:sz w:val="20"/>
                <w:szCs w:val="20"/>
              </w:rPr>
              <w:t>)</w:t>
            </w:r>
          </w:p>
        </w:tc>
        <w:tc>
          <w:tcPr>
            <w:tcW w:w="440" w:type="pct"/>
          </w:tcPr>
          <w:p w14:paraId="78B1447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(3</w:t>
            </w:r>
            <w:r>
              <w:rPr>
                <w:color w:val="000000"/>
                <w:sz w:val="20"/>
                <w:szCs w:val="20"/>
              </w:rPr>
              <w:t>/6</w:t>
            </w:r>
            <w:r w:rsidRPr="00775C84">
              <w:rPr>
                <w:color w:val="000000"/>
                <w:sz w:val="20"/>
                <w:szCs w:val="20"/>
              </w:rPr>
              <w:t>)</w:t>
            </w:r>
          </w:p>
        </w:tc>
        <w:tc>
          <w:tcPr>
            <w:tcW w:w="399" w:type="pct"/>
          </w:tcPr>
          <w:p w14:paraId="439D77C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6" w:type="pct"/>
          </w:tcPr>
          <w:p w14:paraId="0B08FD9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77" w:type="pct"/>
          </w:tcPr>
          <w:p w14:paraId="72F62E39"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99" w:type="pct"/>
          </w:tcPr>
          <w:p w14:paraId="695837C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7" w:type="pct"/>
          </w:tcPr>
          <w:p w14:paraId="78604C2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2156F207"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1F8FB94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67C4B91B"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00FE1D8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(5</w:t>
            </w:r>
            <w:r>
              <w:rPr>
                <w:color w:val="000000"/>
                <w:sz w:val="20"/>
                <w:szCs w:val="20"/>
              </w:rPr>
              <w:t>/8</w:t>
            </w:r>
            <w:r w:rsidRPr="00775C84">
              <w:rPr>
                <w:color w:val="000000"/>
                <w:sz w:val="20"/>
                <w:szCs w:val="20"/>
              </w:rPr>
              <w:t>)</w:t>
            </w:r>
          </w:p>
        </w:tc>
      </w:tr>
      <w:tr w:rsidR="00032E14" w:rsidRPr="00833C97" w14:paraId="6C351420" w14:textId="77777777" w:rsidTr="00AC5DAA">
        <w:trPr>
          <w:cantSplit/>
          <w:jc w:val="center"/>
        </w:trPr>
        <w:tc>
          <w:tcPr>
            <w:tcW w:w="750" w:type="pct"/>
          </w:tcPr>
          <w:p w14:paraId="3551BF0F" w14:textId="5C1E2696"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36</w:t>
            </w:r>
          </w:p>
        </w:tc>
        <w:tc>
          <w:tcPr>
            <w:tcW w:w="303" w:type="pct"/>
          </w:tcPr>
          <w:p w14:paraId="1C1B640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/3</w:t>
            </w:r>
            <w:r w:rsidRPr="00775C84">
              <w:rPr>
                <w:color w:val="000000"/>
                <w:sz w:val="20"/>
                <w:szCs w:val="20"/>
              </w:rPr>
              <w:t>)</w:t>
            </w:r>
          </w:p>
        </w:tc>
        <w:tc>
          <w:tcPr>
            <w:tcW w:w="440" w:type="pct"/>
          </w:tcPr>
          <w:p w14:paraId="61DA0E6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/10</w:t>
            </w:r>
            <w:r w:rsidRPr="00775C84">
              <w:rPr>
                <w:color w:val="000000"/>
                <w:sz w:val="20"/>
                <w:szCs w:val="20"/>
              </w:rPr>
              <w:t>)</w:t>
            </w:r>
          </w:p>
        </w:tc>
        <w:tc>
          <w:tcPr>
            <w:tcW w:w="399" w:type="pct"/>
          </w:tcPr>
          <w:p w14:paraId="0566F55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/15</w:t>
            </w:r>
            <w:r w:rsidRPr="00775C84">
              <w:rPr>
                <w:color w:val="000000"/>
                <w:sz w:val="20"/>
                <w:szCs w:val="20"/>
              </w:rPr>
              <w:t>)</w:t>
            </w:r>
          </w:p>
        </w:tc>
        <w:tc>
          <w:tcPr>
            <w:tcW w:w="386" w:type="pct"/>
          </w:tcPr>
          <w:p w14:paraId="59DF1F7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(0</w:t>
            </w:r>
            <w:r>
              <w:rPr>
                <w:color w:val="000000"/>
                <w:sz w:val="20"/>
                <w:szCs w:val="20"/>
              </w:rPr>
              <w:t>/20</w:t>
            </w:r>
            <w:r w:rsidRPr="00775C84">
              <w:rPr>
                <w:color w:val="000000"/>
                <w:sz w:val="20"/>
                <w:szCs w:val="20"/>
              </w:rPr>
              <w:t>)</w:t>
            </w:r>
          </w:p>
        </w:tc>
        <w:tc>
          <w:tcPr>
            <w:tcW w:w="377" w:type="pct"/>
          </w:tcPr>
          <w:p w14:paraId="5FC7D52D"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/10</w:t>
            </w:r>
            <w:r w:rsidRPr="00775C84">
              <w:rPr>
                <w:color w:val="000000"/>
                <w:sz w:val="20"/>
                <w:szCs w:val="20"/>
              </w:rPr>
              <w:t>)</w:t>
            </w:r>
          </w:p>
        </w:tc>
        <w:tc>
          <w:tcPr>
            <w:tcW w:w="399" w:type="pct"/>
          </w:tcPr>
          <w:p w14:paraId="104A063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87" w:type="pct"/>
          </w:tcPr>
          <w:p w14:paraId="02DDA19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0B8D9C8A"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52BB1CD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6F4D881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0C6A7C74"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(6</w:t>
            </w:r>
            <w:r>
              <w:rPr>
                <w:color w:val="000000"/>
                <w:sz w:val="20"/>
                <w:szCs w:val="20"/>
              </w:rPr>
              <w:t>/58</w:t>
            </w:r>
            <w:r w:rsidRPr="00775C84">
              <w:rPr>
                <w:color w:val="000000"/>
                <w:sz w:val="20"/>
                <w:szCs w:val="20"/>
              </w:rPr>
              <w:t>)</w:t>
            </w:r>
          </w:p>
        </w:tc>
      </w:tr>
      <w:tr w:rsidR="00032E14" w:rsidRPr="00833C97" w14:paraId="463E3AAA" w14:textId="77777777" w:rsidTr="00AC5DAA">
        <w:trPr>
          <w:cantSplit/>
          <w:jc w:val="center"/>
        </w:trPr>
        <w:tc>
          <w:tcPr>
            <w:tcW w:w="750" w:type="pct"/>
          </w:tcPr>
          <w:p w14:paraId="4B521359" w14:textId="0BBB1DB0" w:rsidR="00032E14" w:rsidRPr="00775C84" w:rsidRDefault="005D3DBA" w:rsidP="00AC5DAA">
            <w:pPr>
              <w:keepNext/>
              <w:pBdr>
                <w:top w:val="nil"/>
                <w:left w:val="nil"/>
                <w:bottom w:val="nil"/>
                <w:right w:val="nil"/>
                <w:between w:val="nil"/>
              </w:pBdr>
              <w:spacing w:after="0" w:line="240" w:lineRule="auto"/>
              <w:jc w:val="center"/>
              <w:rPr>
                <w:color w:val="000000"/>
                <w:sz w:val="20"/>
                <w:szCs w:val="20"/>
              </w:rPr>
            </w:pPr>
            <w:r>
              <w:rPr>
                <w:color w:val="000000"/>
                <w:sz w:val="20"/>
                <w:szCs w:val="20"/>
              </w:rPr>
              <w:t xml:space="preserve">Vessel </w:t>
            </w:r>
            <w:r w:rsidR="005C7BCB">
              <w:rPr>
                <w:color w:val="000000"/>
                <w:sz w:val="20"/>
                <w:szCs w:val="20"/>
              </w:rPr>
              <w:t>37</w:t>
            </w:r>
          </w:p>
        </w:tc>
        <w:tc>
          <w:tcPr>
            <w:tcW w:w="303" w:type="pct"/>
          </w:tcPr>
          <w:p w14:paraId="26BD239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40" w:type="pct"/>
          </w:tcPr>
          <w:p w14:paraId="410BEF3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(2</w:t>
            </w:r>
            <w:r>
              <w:rPr>
                <w:color w:val="000000"/>
                <w:sz w:val="20"/>
                <w:szCs w:val="20"/>
              </w:rPr>
              <w:t>/5</w:t>
            </w:r>
            <w:r w:rsidRPr="00775C84">
              <w:rPr>
                <w:color w:val="000000"/>
                <w:sz w:val="20"/>
                <w:szCs w:val="20"/>
              </w:rPr>
              <w:t>)</w:t>
            </w:r>
          </w:p>
        </w:tc>
        <w:tc>
          <w:tcPr>
            <w:tcW w:w="399" w:type="pct"/>
          </w:tcPr>
          <w:p w14:paraId="01E3E446"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(7</w:t>
            </w:r>
            <w:r>
              <w:rPr>
                <w:color w:val="000000"/>
                <w:sz w:val="20"/>
                <w:szCs w:val="20"/>
              </w:rPr>
              <w:t>/9</w:t>
            </w:r>
            <w:r w:rsidRPr="00775C84">
              <w:rPr>
                <w:color w:val="000000"/>
                <w:sz w:val="20"/>
                <w:szCs w:val="20"/>
              </w:rPr>
              <w:t>)</w:t>
            </w:r>
          </w:p>
        </w:tc>
        <w:tc>
          <w:tcPr>
            <w:tcW w:w="386" w:type="pct"/>
          </w:tcPr>
          <w:p w14:paraId="1EB9111F"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3 (5</w:t>
            </w:r>
            <w:r>
              <w:rPr>
                <w:color w:val="000000"/>
                <w:sz w:val="20"/>
                <w:szCs w:val="20"/>
              </w:rPr>
              <w:t>/8</w:t>
            </w:r>
            <w:r w:rsidRPr="00775C84">
              <w:rPr>
                <w:color w:val="000000"/>
                <w:sz w:val="20"/>
                <w:szCs w:val="20"/>
              </w:rPr>
              <w:t>)</w:t>
            </w:r>
          </w:p>
        </w:tc>
        <w:tc>
          <w:tcPr>
            <w:tcW w:w="377" w:type="pct"/>
          </w:tcPr>
          <w:p w14:paraId="3CD294E0"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/10</w:t>
            </w:r>
            <w:r w:rsidRPr="00775C84">
              <w:rPr>
                <w:color w:val="000000"/>
                <w:sz w:val="20"/>
                <w:szCs w:val="20"/>
              </w:rPr>
              <w:t>)</w:t>
            </w:r>
          </w:p>
        </w:tc>
        <w:tc>
          <w:tcPr>
            <w:tcW w:w="399" w:type="pct"/>
          </w:tcPr>
          <w:p w14:paraId="75A63235"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1 (3</w:t>
            </w:r>
            <w:r>
              <w:rPr>
                <w:color w:val="000000"/>
                <w:sz w:val="20"/>
                <w:szCs w:val="20"/>
              </w:rPr>
              <w:t>/4</w:t>
            </w:r>
            <w:r w:rsidRPr="00775C84">
              <w:rPr>
                <w:color w:val="000000"/>
                <w:sz w:val="20"/>
                <w:szCs w:val="20"/>
              </w:rPr>
              <w:t>)</w:t>
            </w:r>
          </w:p>
        </w:tc>
        <w:tc>
          <w:tcPr>
            <w:tcW w:w="387" w:type="pct"/>
          </w:tcPr>
          <w:p w14:paraId="03E11D7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0 (1</w:t>
            </w:r>
            <w:r>
              <w:rPr>
                <w:color w:val="000000"/>
                <w:sz w:val="20"/>
                <w:szCs w:val="20"/>
              </w:rPr>
              <w:t>/6</w:t>
            </w:r>
            <w:r w:rsidRPr="00775C84">
              <w:rPr>
                <w:color w:val="000000"/>
                <w:sz w:val="20"/>
                <w:szCs w:val="20"/>
              </w:rPr>
              <w:t>)</w:t>
            </w:r>
          </w:p>
        </w:tc>
        <w:tc>
          <w:tcPr>
            <w:tcW w:w="360" w:type="pct"/>
          </w:tcPr>
          <w:p w14:paraId="6E34C5AE"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0" w:type="pct"/>
          </w:tcPr>
          <w:p w14:paraId="7990A7C8"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361" w:type="pct"/>
          </w:tcPr>
          <w:p w14:paraId="3D81A25C"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p>
        </w:tc>
        <w:tc>
          <w:tcPr>
            <w:tcW w:w="480" w:type="pct"/>
          </w:tcPr>
          <w:p w14:paraId="313E8342" w14:textId="77777777" w:rsidR="00032E14" w:rsidRPr="00775C84" w:rsidRDefault="00032E14" w:rsidP="00D93B4A">
            <w:pPr>
              <w:keepNext/>
              <w:pBdr>
                <w:top w:val="nil"/>
                <w:left w:val="nil"/>
                <w:bottom w:val="nil"/>
                <w:right w:val="nil"/>
                <w:between w:val="nil"/>
              </w:pBdr>
              <w:spacing w:after="0" w:line="240" w:lineRule="auto"/>
              <w:rPr>
                <w:color w:val="000000"/>
                <w:sz w:val="20"/>
                <w:szCs w:val="20"/>
              </w:rPr>
            </w:pPr>
            <w:r w:rsidRPr="00775C84">
              <w:rPr>
                <w:color w:val="000000"/>
                <w:sz w:val="20"/>
                <w:szCs w:val="20"/>
              </w:rPr>
              <w:t>7 (21</w:t>
            </w:r>
            <w:r>
              <w:rPr>
                <w:color w:val="000000"/>
                <w:sz w:val="20"/>
                <w:szCs w:val="20"/>
              </w:rPr>
              <w:t>/42</w:t>
            </w:r>
            <w:r w:rsidRPr="00775C84">
              <w:rPr>
                <w:color w:val="000000"/>
                <w:sz w:val="20"/>
                <w:szCs w:val="20"/>
              </w:rPr>
              <w:t>)</w:t>
            </w:r>
          </w:p>
        </w:tc>
      </w:tr>
    </w:tbl>
    <w:p w14:paraId="5B8F55BD" w14:textId="2EE48547" w:rsidR="006B7092" w:rsidRDefault="006B7092" w:rsidP="00D93B4A">
      <w:pPr>
        <w:rPr>
          <w:rFonts w:eastAsia="Garamond"/>
        </w:rPr>
        <w:sectPr w:rsidR="006B7092" w:rsidSect="00032E14">
          <w:pgSz w:w="16838" w:h="11906" w:orient="landscape"/>
          <w:pgMar w:top="1090" w:right="1440" w:bottom="1089" w:left="1440" w:header="578" w:footer="578" w:gutter="0"/>
          <w:cols w:space="720"/>
          <w:docGrid w:linePitch="299"/>
        </w:sectPr>
      </w:pPr>
    </w:p>
    <w:p w14:paraId="43125EDA" w14:textId="77777777" w:rsidR="003E15C2" w:rsidRDefault="003E15C2" w:rsidP="009E1EA2">
      <w:pPr>
        <w:pStyle w:val="Heading2"/>
      </w:pPr>
      <w:bookmarkStart w:id="127" w:name="_Toc219290018"/>
      <w:bookmarkStart w:id="128" w:name="_Toc226796966"/>
      <w:r>
        <w:lastRenderedPageBreak/>
        <w:t>Departure ports</w:t>
      </w:r>
      <w:bookmarkEnd w:id="127"/>
      <w:bookmarkEnd w:id="128"/>
    </w:p>
    <w:p w14:paraId="32CD9A1A" w14:textId="59E0FF9A" w:rsidR="003E15C2" w:rsidRDefault="003E15C2">
      <w:pPr>
        <w:spacing w:before="120"/>
        <w:rPr>
          <w:rFonts w:eastAsia="Garamond" w:cs="Garamond"/>
          <w:szCs w:val="22"/>
        </w:rPr>
      </w:pPr>
      <w:r>
        <w:rPr>
          <w:rFonts w:eastAsia="Garamond" w:cs="Garamond"/>
          <w:szCs w:val="22"/>
        </w:rPr>
        <w:t xml:space="preserve">Between 2016 and 2025, the highest number of vessel arrivals came from Southeast Asia, with 21.0% (566 voyages) from Singapore and 20.1% came from Java (542 voyages). In the past </w:t>
      </w:r>
      <w:r w:rsidR="00884DA9">
        <w:rPr>
          <w:rFonts w:eastAsia="Garamond" w:cs="Garamond"/>
          <w:szCs w:val="22"/>
        </w:rPr>
        <w:t>several</w:t>
      </w:r>
      <w:r>
        <w:rPr>
          <w:rFonts w:eastAsia="Garamond" w:cs="Garamond"/>
          <w:szCs w:val="22"/>
        </w:rPr>
        <w:t xml:space="preserve"> years, the number of voyages returning to Australia from Indonesia have increased</w:t>
      </w:r>
      <w:r w:rsidR="00884DA9">
        <w:rPr>
          <w:rFonts w:eastAsia="Garamond" w:cs="Garamond"/>
          <w:szCs w:val="22"/>
        </w:rPr>
        <w:t xml:space="preserve">. </w:t>
      </w:r>
      <w:r w:rsidR="00884DA9" w:rsidRPr="00BE50D7">
        <w:rPr>
          <w:rFonts w:asciiTheme="minorHAnsi" w:eastAsia="Garamond" w:hAnsiTheme="minorHAnsi" w:cs="Garamond"/>
          <w:szCs w:val="22"/>
        </w:rPr>
        <w:fldChar w:fldCharType="begin"/>
      </w:r>
      <w:r w:rsidR="00884DA9" w:rsidRPr="00BE50D7">
        <w:rPr>
          <w:rFonts w:asciiTheme="minorHAnsi" w:eastAsia="Garamond" w:hAnsiTheme="minorHAnsi" w:cs="Garamond"/>
          <w:szCs w:val="22"/>
        </w:rPr>
        <w:instrText xml:space="preserve"> REF _Ref219279840 \h  \* MERGEFORMAT </w:instrText>
      </w:r>
      <w:r w:rsidR="00884DA9" w:rsidRPr="00BE50D7">
        <w:rPr>
          <w:rFonts w:asciiTheme="minorHAnsi" w:eastAsia="Garamond" w:hAnsiTheme="minorHAnsi" w:cs="Garamond"/>
          <w:szCs w:val="22"/>
        </w:rPr>
      </w:r>
      <w:r w:rsidR="00884DA9" w:rsidRPr="00BE50D7">
        <w:rPr>
          <w:rFonts w:asciiTheme="minorHAnsi" w:eastAsia="Garamond" w:hAnsiTheme="minorHAnsi" w:cs="Garamond"/>
          <w:szCs w:val="22"/>
        </w:rPr>
        <w:fldChar w:fldCharType="separate"/>
      </w:r>
      <w:r w:rsidR="00651A0D" w:rsidRPr="00651A0D">
        <w:rPr>
          <w:rFonts w:asciiTheme="minorHAnsi" w:hAnsiTheme="minorHAnsi"/>
          <w:szCs w:val="22"/>
        </w:rPr>
        <w:t xml:space="preserve">Figure </w:t>
      </w:r>
      <w:r w:rsidR="00651A0D" w:rsidRPr="00651A0D">
        <w:rPr>
          <w:rFonts w:asciiTheme="minorHAnsi" w:hAnsiTheme="minorHAnsi"/>
          <w:noProof/>
          <w:szCs w:val="22"/>
        </w:rPr>
        <w:t>11</w:t>
      </w:r>
      <w:r w:rsidR="00884DA9" w:rsidRPr="00BE50D7">
        <w:rPr>
          <w:rFonts w:asciiTheme="minorHAnsi" w:eastAsia="Garamond" w:hAnsiTheme="minorHAnsi" w:cs="Garamond"/>
          <w:szCs w:val="22"/>
        </w:rPr>
        <w:fldChar w:fldCharType="end"/>
      </w:r>
      <w:r w:rsidR="00884DA9">
        <w:rPr>
          <w:rFonts w:eastAsia="Garamond" w:cs="Garamond"/>
          <w:szCs w:val="22"/>
        </w:rPr>
        <w:t xml:space="preserve"> illustrates vessel arrivals during 2025</w:t>
      </w:r>
      <w:r>
        <w:rPr>
          <w:rFonts w:eastAsia="Garamond" w:cs="Garamond"/>
          <w:szCs w:val="22"/>
        </w:rPr>
        <w:t xml:space="preserve">, with Java as the highest contributor. </w:t>
      </w:r>
    </w:p>
    <w:p w14:paraId="7F2300A6" w14:textId="5D6B7BC1" w:rsidR="003E15C2" w:rsidRPr="00884DA9" w:rsidRDefault="003E15C2" w:rsidP="00884DA9">
      <w:pPr>
        <w:spacing w:before="120"/>
        <w:rPr>
          <w:rFonts w:eastAsia="Garamond" w:cs="Garamond"/>
          <w:szCs w:val="22"/>
        </w:rPr>
      </w:pPr>
      <w:r>
        <w:rPr>
          <w:rFonts w:eastAsia="Garamond" w:cs="Garamond"/>
          <w:szCs w:val="22"/>
        </w:rPr>
        <w:t xml:space="preserve">In regard to vessel voyage history, data provided by </w:t>
      </w:r>
      <w:r w:rsidR="0026280F">
        <w:rPr>
          <w:rFonts w:eastAsia="Garamond" w:cs="Garamond"/>
          <w:szCs w:val="22"/>
        </w:rPr>
        <w:t xml:space="preserve">the Department </w:t>
      </w:r>
      <w:r>
        <w:rPr>
          <w:rFonts w:eastAsia="Garamond" w:cs="Garamond"/>
          <w:szCs w:val="22"/>
        </w:rPr>
        <w:t xml:space="preserve">only contained one previous departure port and not all ports since departing Australia. A biosecurity risk for livestock carrier vessels is their voyage and port history and the countries they have travelled to and berthed at. Those vessels that have not returned to Australia for an extended period of time, have either been dry docked, or more likely, have been to overseas ports and thus present a potentially higher disease risk. </w:t>
      </w:r>
      <w:r w:rsidRPr="00BE50D7">
        <w:rPr>
          <w:rFonts w:asciiTheme="minorHAnsi" w:eastAsia="Garamond" w:hAnsiTheme="minorHAnsi" w:cs="Garamond"/>
          <w:szCs w:val="22"/>
        </w:rPr>
        <w:fldChar w:fldCharType="begin"/>
      </w:r>
      <w:r w:rsidRPr="00BE50D7">
        <w:rPr>
          <w:rFonts w:asciiTheme="minorHAnsi" w:eastAsia="Garamond" w:hAnsiTheme="minorHAnsi" w:cs="Garamond"/>
          <w:szCs w:val="22"/>
        </w:rPr>
        <w:instrText xml:space="preserve"> REF _Ref219279898 \h  \* MERGEFORMAT </w:instrText>
      </w:r>
      <w:r w:rsidRPr="00BE50D7">
        <w:rPr>
          <w:rFonts w:asciiTheme="minorHAnsi" w:eastAsia="Garamond" w:hAnsiTheme="minorHAnsi" w:cs="Garamond"/>
          <w:szCs w:val="22"/>
        </w:rPr>
      </w:r>
      <w:r w:rsidRPr="00BE50D7">
        <w:rPr>
          <w:rFonts w:asciiTheme="minorHAnsi" w:eastAsia="Garamond" w:hAnsiTheme="minorHAnsi" w:cs="Garamond"/>
          <w:szCs w:val="22"/>
        </w:rPr>
        <w:fldChar w:fldCharType="separate"/>
      </w:r>
      <w:r w:rsidR="00651A0D" w:rsidRPr="00651A0D">
        <w:rPr>
          <w:rFonts w:asciiTheme="minorHAnsi" w:hAnsiTheme="minorHAnsi"/>
          <w:szCs w:val="22"/>
        </w:rPr>
        <w:t xml:space="preserve">Figure </w:t>
      </w:r>
      <w:r w:rsidR="00651A0D" w:rsidRPr="00651A0D">
        <w:rPr>
          <w:rFonts w:asciiTheme="minorHAnsi" w:hAnsiTheme="minorHAnsi"/>
          <w:noProof/>
          <w:szCs w:val="22"/>
        </w:rPr>
        <w:t>12</w:t>
      </w:r>
      <w:r w:rsidRPr="00BE50D7">
        <w:rPr>
          <w:rFonts w:asciiTheme="minorHAnsi" w:eastAsia="Garamond" w:hAnsiTheme="minorHAnsi" w:cs="Garamond"/>
          <w:szCs w:val="22"/>
        </w:rPr>
        <w:fldChar w:fldCharType="end"/>
      </w:r>
      <w:r>
        <w:rPr>
          <w:rFonts w:eastAsia="Garamond" w:cs="Garamond"/>
          <w:szCs w:val="22"/>
        </w:rPr>
        <w:t xml:space="preserve"> illustrates the history and inspections conducted on each vessel since 2016 and demonstrates those vessels with an extended period of time outside Australian ports. For example, </w:t>
      </w:r>
      <w:r w:rsidR="005C7BCB">
        <w:rPr>
          <w:rFonts w:eastAsia="Garamond" w:cs="Garamond"/>
          <w:szCs w:val="22"/>
        </w:rPr>
        <w:t>Vessel 27</w:t>
      </w:r>
      <w:r>
        <w:rPr>
          <w:rFonts w:eastAsia="Garamond" w:cs="Garamond"/>
          <w:szCs w:val="22"/>
        </w:rPr>
        <w:t xml:space="preserve"> underwent a livestock inspection </w:t>
      </w:r>
      <w:r w:rsidR="00D13634">
        <w:rPr>
          <w:rFonts w:eastAsia="Garamond" w:cs="Garamond"/>
          <w:szCs w:val="22"/>
        </w:rPr>
        <w:t xml:space="preserve">on 7th </w:t>
      </w:r>
      <w:r>
        <w:rPr>
          <w:rFonts w:eastAsia="Garamond" w:cs="Garamond"/>
          <w:szCs w:val="22"/>
        </w:rPr>
        <w:t xml:space="preserve">February 2023, and did not return until </w:t>
      </w:r>
      <w:r w:rsidR="00D13634">
        <w:rPr>
          <w:rFonts w:eastAsia="Garamond" w:cs="Garamond"/>
          <w:szCs w:val="22"/>
        </w:rPr>
        <w:t xml:space="preserve">the 10th </w:t>
      </w:r>
      <w:r>
        <w:rPr>
          <w:rFonts w:eastAsia="Garamond" w:cs="Garamond"/>
          <w:szCs w:val="22"/>
        </w:rPr>
        <w:t xml:space="preserve">February </w:t>
      </w:r>
      <w:r w:rsidR="000D5F9A">
        <w:rPr>
          <w:rFonts w:eastAsia="Garamond" w:cs="Garamond"/>
          <w:szCs w:val="22"/>
        </w:rPr>
        <w:t xml:space="preserve">March </w:t>
      </w:r>
      <w:r>
        <w:rPr>
          <w:rFonts w:eastAsia="Garamond" w:cs="Garamond"/>
          <w:szCs w:val="22"/>
        </w:rPr>
        <w:t xml:space="preserve">2023. To investigate this gap more closely, </w:t>
      </w:r>
      <w:r w:rsidRPr="00BE50D7">
        <w:rPr>
          <w:rFonts w:asciiTheme="minorHAnsi" w:eastAsia="Garamond" w:hAnsiTheme="minorHAnsi" w:cs="Garamond"/>
          <w:szCs w:val="22"/>
        </w:rPr>
        <w:fldChar w:fldCharType="begin"/>
      </w:r>
      <w:r w:rsidRPr="00BE50D7">
        <w:rPr>
          <w:rFonts w:asciiTheme="minorHAnsi" w:eastAsia="Garamond" w:hAnsiTheme="minorHAnsi" w:cs="Garamond"/>
          <w:szCs w:val="22"/>
        </w:rPr>
        <w:instrText xml:space="preserve"> REF _Ref219279951 \h  \* MERGEFORMAT </w:instrText>
      </w:r>
      <w:r w:rsidRPr="00BE50D7">
        <w:rPr>
          <w:rFonts w:asciiTheme="minorHAnsi" w:eastAsia="Garamond" w:hAnsiTheme="minorHAnsi" w:cs="Garamond"/>
          <w:szCs w:val="22"/>
        </w:rPr>
      </w:r>
      <w:r w:rsidRPr="00BE50D7">
        <w:rPr>
          <w:rFonts w:asciiTheme="minorHAnsi" w:eastAsia="Garamond" w:hAnsiTheme="minorHAnsi" w:cs="Garamond"/>
          <w:szCs w:val="22"/>
        </w:rPr>
        <w:fldChar w:fldCharType="separate"/>
      </w:r>
      <w:r w:rsidR="00651A0D" w:rsidRPr="00651A0D">
        <w:rPr>
          <w:rFonts w:asciiTheme="minorHAnsi" w:hAnsiTheme="minorHAnsi"/>
          <w:szCs w:val="22"/>
        </w:rPr>
        <w:t xml:space="preserve">Figure </w:t>
      </w:r>
      <w:r w:rsidR="00651A0D" w:rsidRPr="00651A0D">
        <w:rPr>
          <w:rFonts w:asciiTheme="minorHAnsi" w:hAnsiTheme="minorHAnsi"/>
          <w:noProof/>
          <w:szCs w:val="22"/>
        </w:rPr>
        <w:t>13</w:t>
      </w:r>
      <w:r w:rsidRPr="00BE50D7">
        <w:rPr>
          <w:rFonts w:asciiTheme="minorHAnsi" w:eastAsia="Garamond" w:hAnsiTheme="minorHAnsi" w:cs="Garamond"/>
          <w:szCs w:val="22"/>
        </w:rPr>
        <w:fldChar w:fldCharType="end"/>
      </w:r>
      <w:r>
        <w:rPr>
          <w:rFonts w:eastAsia="Garamond" w:cs="Garamond"/>
          <w:szCs w:val="22"/>
        </w:rPr>
        <w:t xml:space="preserve"> presents voyages over the past five years, identifying which livestock inspections resulted in a </w:t>
      </w:r>
      <w:r w:rsidR="00EC162A">
        <w:rPr>
          <w:rFonts w:eastAsia="Garamond" w:cs="Garamond"/>
          <w:szCs w:val="22"/>
        </w:rPr>
        <w:t>remedial action</w:t>
      </w:r>
      <w:r>
        <w:rPr>
          <w:rFonts w:eastAsia="Garamond" w:cs="Garamond"/>
          <w:szCs w:val="22"/>
        </w:rPr>
        <w:t xml:space="preserve">. </w:t>
      </w:r>
      <w:r w:rsidR="009E1EA2">
        <w:rPr>
          <w:rFonts w:eastAsia="Garamond" w:cs="Garamond"/>
          <w:szCs w:val="22"/>
        </w:rPr>
        <w:t>These data show that</w:t>
      </w:r>
      <w:r>
        <w:rPr>
          <w:rFonts w:eastAsia="Garamond" w:cs="Garamond"/>
          <w:szCs w:val="22"/>
        </w:rPr>
        <w:t xml:space="preserve"> on return from an extended period outside of Australian ports, this vessel received a non-compliance during a livestock inspection on arrival. Less stringent biosecurity requirements may be found at some overseas ports, presenting a higher risk for BRM on return. </w:t>
      </w:r>
    </w:p>
    <w:p w14:paraId="7CDCCCF3" w14:textId="739D9254" w:rsidR="003E15C2" w:rsidRPr="005771D2" w:rsidRDefault="005771D2" w:rsidP="00D93B4A">
      <w:pPr>
        <w:keepNext/>
        <w:rPr>
          <w:b/>
          <w:bCs/>
        </w:rPr>
      </w:pPr>
      <w:bookmarkStart w:id="129" w:name="_heading=h.fmtbqcyhapql" w:colFirst="0" w:colLast="0"/>
      <w:bookmarkEnd w:id="129"/>
      <w:r w:rsidRPr="005771D2">
        <w:rPr>
          <w:b/>
          <w:bCs/>
          <w:noProof/>
        </w:rPr>
        <w:drawing>
          <wp:inline distT="0" distB="0" distL="0" distR="0" wp14:anchorId="7F038704" wp14:editId="15178AA5">
            <wp:extent cx="5731510" cy="2687955"/>
            <wp:effectExtent l="0" t="0" r="0" b="4445"/>
            <wp:docPr id="984388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8058" name=""/>
                    <pic:cNvPicPr/>
                  </pic:nvPicPr>
                  <pic:blipFill>
                    <a:blip r:embed="rId33"/>
                    <a:stretch>
                      <a:fillRect/>
                    </a:stretch>
                  </pic:blipFill>
                  <pic:spPr>
                    <a:xfrm>
                      <a:off x="0" y="0"/>
                      <a:ext cx="5731510" cy="2687955"/>
                    </a:xfrm>
                    <a:prstGeom prst="rect">
                      <a:avLst/>
                    </a:prstGeom>
                  </pic:spPr>
                </pic:pic>
              </a:graphicData>
            </a:graphic>
          </wp:inline>
        </w:drawing>
      </w:r>
    </w:p>
    <w:p w14:paraId="3DAF6EA7" w14:textId="217E9C76" w:rsidR="003E15C2" w:rsidRDefault="003E15C2" w:rsidP="00D419FE">
      <w:pPr>
        <w:pStyle w:val="Caption"/>
      </w:pPr>
      <w:bookmarkStart w:id="130" w:name="_Ref219279840"/>
      <w:bookmarkStart w:id="131" w:name="_Toc219289952"/>
      <w:bookmarkStart w:id="132" w:name="_Toc226730783"/>
      <w:r>
        <w:t xml:space="preserve">Figure </w:t>
      </w:r>
      <w:fldSimple w:instr=" SEQ Figure \* ARABIC ">
        <w:r w:rsidR="00651A0D">
          <w:rPr>
            <w:noProof/>
          </w:rPr>
          <w:t>11</w:t>
        </w:r>
      </w:fldSimple>
      <w:bookmarkEnd w:id="130"/>
      <w:r>
        <w:tab/>
      </w:r>
      <w:r w:rsidRPr="00AE3712">
        <w:t xml:space="preserve">Total number of livestock carrier vessel arrivals from different departure ports that have arrived into Australian </w:t>
      </w:r>
      <w:r w:rsidR="005771D2">
        <w:t>during</w:t>
      </w:r>
      <w:r w:rsidRPr="00AE3712">
        <w:t xml:space="preserve"> 2025</w:t>
      </w:r>
      <w:bookmarkEnd w:id="131"/>
      <w:bookmarkEnd w:id="132"/>
      <w:r w:rsidR="005771D2">
        <w:t>.</w:t>
      </w:r>
    </w:p>
    <w:p w14:paraId="0E34D78F" w14:textId="77777777" w:rsidR="003E15C2" w:rsidRPr="00B12684" w:rsidRDefault="003E15C2" w:rsidP="00B12684">
      <w:pPr>
        <w:rPr>
          <w:rFonts w:ascii="Times New Roman" w:eastAsia="Corbel" w:hAnsi="Times New Roman"/>
          <w:b/>
          <w:sz w:val="24"/>
        </w:rPr>
      </w:pPr>
    </w:p>
    <w:p w14:paraId="1C3E4917" w14:textId="7DA68B23" w:rsidR="003E15C2" w:rsidRDefault="00EA5E42" w:rsidP="00D93B4A">
      <w:pPr>
        <w:keepNext/>
        <w:tabs>
          <w:tab w:val="right" w:pos="9000"/>
        </w:tabs>
      </w:pPr>
      <w:bookmarkStart w:id="133" w:name="_heading=h.5bsjqlmw1pgj" w:colFirst="0" w:colLast="0"/>
      <w:bookmarkEnd w:id="133"/>
      <w:r w:rsidRPr="00EA5E42">
        <w:rPr>
          <w:noProof/>
        </w:rPr>
        <w:lastRenderedPageBreak/>
        <w:t xml:space="preserve">  </w:t>
      </w:r>
      <w:r w:rsidR="005C7BCB" w:rsidRPr="005C7BCB">
        <w:rPr>
          <w:noProof/>
        </w:rPr>
        <w:t xml:space="preserve"> </w:t>
      </w:r>
      <w:r w:rsidR="005C7BCB" w:rsidRPr="005C7BCB">
        <w:rPr>
          <w:noProof/>
        </w:rPr>
        <w:drawing>
          <wp:inline distT="0" distB="0" distL="0" distR="0" wp14:anchorId="7934C33C" wp14:editId="1551A404">
            <wp:extent cx="5731510" cy="2493645"/>
            <wp:effectExtent l="0" t="0" r="0" b="0"/>
            <wp:docPr id="652973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73980" name=""/>
                    <pic:cNvPicPr/>
                  </pic:nvPicPr>
                  <pic:blipFill>
                    <a:blip r:embed="rId34"/>
                    <a:stretch>
                      <a:fillRect/>
                    </a:stretch>
                  </pic:blipFill>
                  <pic:spPr>
                    <a:xfrm>
                      <a:off x="0" y="0"/>
                      <a:ext cx="5731510" cy="2493645"/>
                    </a:xfrm>
                    <a:prstGeom prst="rect">
                      <a:avLst/>
                    </a:prstGeom>
                  </pic:spPr>
                </pic:pic>
              </a:graphicData>
            </a:graphic>
          </wp:inline>
        </w:drawing>
      </w:r>
    </w:p>
    <w:p w14:paraId="781D5EFA" w14:textId="277D445F" w:rsidR="003E15C2" w:rsidRPr="005C7BCB" w:rsidRDefault="003E15C2" w:rsidP="005C7BCB">
      <w:pPr>
        <w:pStyle w:val="Caption"/>
        <w:rPr>
          <w:rFonts w:ascii="Times New Roman" w:hAnsi="Times New Roman"/>
          <w:b/>
          <w:color w:val="auto"/>
          <w:sz w:val="24"/>
          <w:szCs w:val="24"/>
        </w:rPr>
      </w:pPr>
      <w:bookmarkStart w:id="134" w:name="_Ref219279898"/>
      <w:bookmarkStart w:id="135" w:name="_Toc219289953"/>
      <w:bookmarkStart w:id="136" w:name="_Toc226730784"/>
      <w:r>
        <w:t xml:space="preserve">Figure </w:t>
      </w:r>
      <w:fldSimple w:instr=" SEQ Figure \* ARABIC ">
        <w:r w:rsidR="00651A0D">
          <w:rPr>
            <w:noProof/>
          </w:rPr>
          <w:t>12</w:t>
        </w:r>
      </w:fldSimple>
      <w:bookmarkEnd w:id="134"/>
      <w:r>
        <w:tab/>
      </w:r>
      <w:r w:rsidRPr="003D3402">
        <w:t xml:space="preserve">Livestock carrier vessel inspections conducted between November 2016 and November 2025, categorised by </w:t>
      </w:r>
      <w:r>
        <w:t>v</w:t>
      </w:r>
      <w:r w:rsidRPr="003D3402">
        <w:t>essel.</w:t>
      </w:r>
      <w:bookmarkEnd w:id="135"/>
      <w:bookmarkEnd w:id="136"/>
    </w:p>
    <w:p w14:paraId="19D18400" w14:textId="2BB108F6" w:rsidR="003E15C2" w:rsidRDefault="00EA4416" w:rsidP="00D93B4A">
      <w:pPr>
        <w:keepNext/>
        <w:tabs>
          <w:tab w:val="right" w:pos="9000"/>
        </w:tabs>
      </w:pPr>
      <w:bookmarkStart w:id="137" w:name="_heading=h.vdsd6gg71uyd" w:colFirst="0" w:colLast="0"/>
      <w:bookmarkEnd w:id="137"/>
      <w:r w:rsidRPr="00EA4416">
        <w:rPr>
          <w:noProof/>
        </w:rPr>
        <w:t xml:space="preserve"> </w:t>
      </w:r>
      <w:r w:rsidRPr="00EA4416">
        <w:rPr>
          <w:noProof/>
        </w:rPr>
        <w:drawing>
          <wp:inline distT="0" distB="0" distL="0" distR="0" wp14:anchorId="7D19A1F0" wp14:editId="7D38A1B9">
            <wp:extent cx="5731510" cy="2493645"/>
            <wp:effectExtent l="0" t="0" r="0" b="0"/>
            <wp:docPr id="118879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90162" name=""/>
                    <pic:cNvPicPr/>
                  </pic:nvPicPr>
                  <pic:blipFill>
                    <a:blip r:embed="rId35"/>
                    <a:stretch>
                      <a:fillRect/>
                    </a:stretch>
                  </pic:blipFill>
                  <pic:spPr>
                    <a:xfrm>
                      <a:off x="0" y="0"/>
                      <a:ext cx="5731510" cy="2493645"/>
                    </a:xfrm>
                    <a:prstGeom prst="rect">
                      <a:avLst/>
                    </a:prstGeom>
                  </pic:spPr>
                </pic:pic>
              </a:graphicData>
            </a:graphic>
          </wp:inline>
        </w:drawing>
      </w:r>
    </w:p>
    <w:p w14:paraId="15C1AC20" w14:textId="26A455F9" w:rsidR="003E15C2" w:rsidRPr="00BE50D7" w:rsidRDefault="003E15C2" w:rsidP="00D419FE">
      <w:pPr>
        <w:pStyle w:val="Caption"/>
        <w:rPr>
          <w:rFonts w:ascii="Times New Roman" w:hAnsi="Times New Roman"/>
          <w:b/>
          <w:color w:val="auto"/>
          <w:sz w:val="24"/>
          <w:szCs w:val="24"/>
        </w:rPr>
      </w:pPr>
      <w:bookmarkStart w:id="138" w:name="_Ref219279951"/>
      <w:bookmarkStart w:id="139" w:name="_Toc219289954"/>
      <w:bookmarkStart w:id="140" w:name="_Toc226730785"/>
      <w:r>
        <w:t xml:space="preserve">Figure </w:t>
      </w:r>
      <w:fldSimple w:instr=" SEQ Figure \* ARABIC ">
        <w:r w:rsidR="00651A0D">
          <w:rPr>
            <w:noProof/>
          </w:rPr>
          <w:t>13</w:t>
        </w:r>
      </w:fldSimple>
      <w:bookmarkEnd w:id="138"/>
      <w:r>
        <w:tab/>
      </w:r>
      <w:r w:rsidRPr="00535F78">
        <w:t>Time points of ‘Livestock’ inspections on livestock carrier vessels between 2021</w:t>
      </w:r>
      <w:r w:rsidR="00E34E86">
        <w:t>–</w:t>
      </w:r>
      <w:r w:rsidRPr="00535F78">
        <w:t xml:space="preserve">2025, with </w:t>
      </w:r>
      <w:r w:rsidR="006F37AA">
        <w:t xml:space="preserve">inspections where </w:t>
      </w:r>
      <w:r w:rsidRPr="00535F78">
        <w:t xml:space="preserve">demerit points </w:t>
      </w:r>
      <w:r w:rsidR="006F37AA">
        <w:t xml:space="preserve">were applied </w:t>
      </w:r>
      <w:r w:rsidRPr="00535F78">
        <w:t>in red.</w:t>
      </w:r>
      <w:bookmarkEnd w:id="139"/>
      <w:bookmarkEnd w:id="140"/>
      <w:r w:rsidR="00EC162A">
        <w:t xml:space="preserve"> </w:t>
      </w:r>
    </w:p>
    <w:p w14:paraId="41F4FCF9" w14:textId="77777777" w:rsidR="003E15C2" w:rsidRPr="009E1EA2" w:rsidRDefault="003E15C2" w:rsidP="009E1EA2">
      <w:pPr>
        <w:pStyle w:val="Heading1"/>
      </w:pPr>
      <w:bookmarkStart w:id="141" w:name="_Toc219290019"/>
      <w:bookmarkStart w:id="142" w:name="_Toc226796967"/>
      <w:r w:rsidRPr="009E1EA2">
        <w:lastRenderedPageBreak/>
        <w:t>Vessel observations and data collection</w:t>
      </w:r>
      <w:bookmarkEnd w:id="141"/>
      <w:bookmarkEnd w:id="142"/>
    </w:p>
    <w:p w14:paraId="7A72BE2A" w14:textId="63DBEB19" w:rsidR="00D863BE" w:rsidRDefault="00D15A49" w:rsidP="00BC29B0">
      <w:pPr>
        <w:pStyle w:val="Heading2"/>
        <w:spacing w:before="240" w:after="240"/>
        <w:ind w:left="578" w:hanging="578"/>
      </w:pPr>
      <w:bookmarkStart w:id="143" w:name="_Toc226796968"/>
      <w:bookmarkStart w:id="144" w:name="_Toc219290020"/>
      <w:r>
        <w:t>Overview</w:t>
      </w:r>
      <w:bookmarkEnd w:id="143"/>
    </w:p>
    <w:p w14:paraId="43B66A2E" w14:textId="2731A4C0" w:rsidR="00D863BE" w:rsidRPr="001F3741" w:rsidRDefault="00701E70" w:rsidP="001F3741">
      <w:pPr>
        <w:rPr>
          <w:rFonts w:eastAsia="Garamond"/>
        </w:rPr>
      </w:pPr>
      <w:r w:rsidRPr="001F3741">
        <w:t xml:space="preserve">Vessel observations were conducted at Darwin’s East Arm Port and Fremantle ports between November 28th and December 17th 2025. </w:t>
      </w:r>
      <w:r w:rsidR="003D38D6" w:rsidRPr="001F3741">
        <w:rPr>
          <w:rFonts w:eastAsia="Garamond"/>
        </w:rPr>
        <w:t>These included viewing vessels</w:t>
      </w:r>
      <w:r w:rsidR="00884BBE" w:rsidRPr="001F3741">
        <w:rPr>
          <w:rFonts w:eastAsia="Garamond"/>
        </w:rPr>
        <w:t xml:space="preserve"> during daylight hours for the Routine Vessel Inspection and the Livestock Inspection and after dark with biosecurity officers</w:t>
      </w:r>
      <w:r w:rsidR="003D38D6" w:rsidRPr="001F3741">
        <w:rPr>
          <w:rFonts w:eastAsia="Garamond"/>
        </w:rPr>
        <w:t xml:space="preserve">. Light measurements were recorded during daytime and </w:t>
      </w:r>
      <w:r w:rsidR="006F0FD8">
        <w:rPr>
          <w:rFonts w:eastAsia="Garamond"/>
        </w:rPr>
        <w:t>night-time</w:t>
      </w:r>
      <w:r w:rsidR="003D38D6" w:rsidRPr="001F3741">
        <w:rPr>
          <w:rFonts w:eastAsia="Garamond"/>
        </w:rPr>
        <w:t xml:space="preserve"> visits (Table 5). The purpose of light readings were to determine where notable lighting differences are located on vessels at different time points. </w:t>
      </w:r>
      <w:r w:rsidR="003D38D6" w:rsidRPr="001F3741">
        <w:t>Observations</w:t>
      </w:r>
      <w:r w:rsidRPr="001F3741">
        <w:t xml:space="preserve"> provided a critical comparative framework for understanding the operational differences between daytime and </w:t>
      </w:r>
      <w:r w:rsidR="006F0FD8">
        <w:t>night-time</w:t>
      </w:r>
      <w:r w:rsidRPr="001F3741">
        <w:t xml:space="preserve"> biosecurity inspections. By subjecting each vessel to assessments during both time periods, observers could evaluate how fluctuating light levels, environmental conditions, and structural features influenced the overall rigor and approach of the inspection process.</w:t>
      </w:r>
    </w:p>
    <w:p w14:paraId="3A9D62B0" w14:textId="6B362BC5" w:rsidR="00737658" w:rsidRDefault="00701E70" w:rsidP="00D863BE">
      <w:pPr>
        <w:rPr>
          <w:lang w:eastAsia="en-US"/>
        </w:rPr>
      </w:pPr>
      <w:r>
        <w:rPr>
          <w:lang w:eastAsia="en-US"/>
        </w:rPr>
        <w:t xml:space="preserve">Overall, </w:t>
      </w:r>
      <w:r w:rsidR="00D15A49">
        <w:rPr>
          <w:lang w:eastAsia="en-US"/>
        </w:rPr>
        <w:t xml:space="preserve">vessels presented with a high standard of cleanliness. Inspection protocols were similar across vessels, with additional tools being utilised in Fremantle to support inspection processes, including mirrors. Lighting across internal areas was relatively comparable across vessels, given the use of artificial lighting on closed decks and </w:t>
      </w:r>
      <w:r w:rsidR="001273BD">
        <w:rPr>
          <w:lang w:eastAsia="en-US"/>
        </w:rPr>
        <w:t>internally</w:t>
      </w:r>
      <w:r w:rsidR="00D15A49">
        <w:rPr>
          <w:lang w:eastAsia="en-US"/>
        </w:rPr>
        <w:t>. However, structural differences i.e. purpose-built vs retro-fitted vessels saw differences in where BRM might be detected. Open top decks demonstrated more variability in light levels, being influenced by glare during daylight hours and shadows from torches at night.</w:t>
      </w:r>
      <w:r w:rsidR="00884BBE">
        <w:rPr>
          <w:lang w:eastAsia="en-US"/>
        </w:rPr>
        <w:t xml:space="preserve"> </w:t>
      </w:r>
      <w:r w:rsidR="00737658">
        <w:rPr>
          <w:lang w:eastAsia="en-US"/>
        </w:rPr>
        <w:t xml:space="preserve">Lighting between docks is </w:t>
      </w:r>
      <w:r w:rsidR="00884BBE">
        <w:rPr>
          <w:lang w:eastAsia="en-US"/>
        </w:rPr>
        <w:t xml:space="preserve">also </w:t>
      </w:r>
      <w:r w:rsidR="00737658">
        <w:rPr>
          <w:lang w:eastAsia="en-US"/>
        </w:rPr>
        <w:t>highly variable</w:t>
      </w:r>
      <w:r w:rsidR="00884BBE">
        <w:rPr>
          <w:lang w:eastAsia="en-US"/>
        </w:rPr>
        <w:t>.</w:t>
      </w:r>
    </w:p>
    <w:p w14:paraId="6B79BE09" w14:textId="4EAC4D1C" w:rsidR="00D863BE" w:rsidRPr="00A12EAC" w:rsidRDefault="00884BBE" w:rsidP="00A33CBE">
      <w:r>
        <w:rPr>
          <w:lang w:eastAsia="en-US"/>
        </w:rPr>
        <w:t xml:space="preserve">It should be noted that during daytime observations, any detected BRM was cleaned at time of inspection. As a result, </w:t>
      </w:r>
      <w:r w:rsidR="007D50E9">
        <w:rPr>
          <w:lang w:eastAsia="en-US"/>
        </w:rPr>
        <w:t xml:space="preserve">this limited </w:t>
      </w:r>
      <w:r w:rsidR="00B1068C">
        <w:rPr>
          <w:lang w:eastAsia="en-US"/>
        </w:rPr>
        <w:t>visual comparisons between day and night.</w:t>
      </w:r>
    </w:p>
    <w:p w14:paraId="6E99C2E2" w14:textId="53979D1A" w:rsidR="003E15C2" w:rsidRDefault="003E15C2" w:rsidP="001F3741">
      <w:pPr>
        <w:pStyle w:val="Heading2"/>
        <w:spacing w:before="240" w:after="240"/>
        <w:ind w:left="578" w:hanging="578"/>
      </w:pPr>
      <w:bookmarkStart w:id="145" w:name="_Toc226796969"/>
      <w:r w:rsidRPr="00B12684">
        <w:t>Darwin</w:t>
      </w:r>
      <w:bookmarkEnd w:id="144"/>
      <w:bookmarkEnd w:id="145"/>
    </w:p>
    <w:p w14:paraId="05BC6D1C" w14:textId="1FA5AFEC" w:rsidR="001273BD" w:rsidRDefault="003E15C2">
      <w:pPr>
        <w:tabs>
          <w:tab w:val="right" w:pos="9000"/>
        </w:tabs>
        <w:spacing w:before="120"/>
        <w:rPr>
          <w:rFonts w:eastAsia="Garamond" w:cs="Garamond"/>
          <w:szCs w:val="22"/>
        </w:rPr>
      </w:pPr>
      <w:r>
        <w:rPr>
          <w:rFonts w:eastAsia="Garamond" w:cs="Garamond"/>
          <w:szCs w:val="22"/>
        </w:rPr>
        <w:t>Six vessels were inspected at Darwin’s East Arm port between the 28</w:t>
      </w:r>
      <w:r>
        <w:rPr>
          <w:rFonts w:eastAsia="Garamond" w:cs="Garamond"/>
          <w:szCs w:val="22"/>
          <w:vertAlign w:val="superscript"/>
        </w:rPr>
        <w:t>th</w:t>
      </w:r>
      <w:r>
        <w:rPr>
          <w:rFonts w:eastAsia="Garamond" w:cs="Garamond"/>
          <w:szCs w:val="22"/>
        </w:rPr>
        <w:t xml:space="preserve"> November and the 3</w:t>
      </w:r>
      <w:r>
        <w:rPr>
          <w:rFonts w:eastAsia="Garamond" w:cs="Garamond"/>
          <w:szCs w:val="22"/>
          <w:vertAlign w:val="superscript"/>
        </w:rPr>
        <w:t>rd</w:t>
      </w:r>
      <w:r>
        <w:rPr>
          <w:rFonts w:eastAsia="Garamond" w:cs="Garamond"/>
          <w:szCs w:val="22"/>
        </w:rPr>
        <w:t xml:space="preserve"> December 2025. </w:t>
      </w:r>
      <w:r w:rsidR="001273BD">
        <w:rPr>
          <w:rFonts w:eastAsia="Garamond" w:cs="Garamond"/>
          <w:szCs w:val="22"/>
        </w:rPr>
        <w:t xml:space="preserve">Findings are summarised in the </w:t>
      </w:r>
      <w:r w:rsidR="00D006AB">
        <w:rPr>
          <w:rFonts w:eastAsia="Garamond" w:cs="Garamond"/>
          <w:szCs w:val="22"/>
        </w:rPr>
        <w:t xml:space="preserve">key </w:t>
      </w:r>
      <w:r w:rsidR="001273BD">
        <w:rPr>
          <w:rFonts w:eastAsia="Garamond" w:cs="Garamond"/>
          <w:szCs w:val="22"/>
        </w:rPr>
        <w:t xml:space="preserve">themes below: </w:t>
      </w:r>
    </w:p>
    <w:p w14:paraId="29B96739" w14:textId="6A97AB22" w:rsidR="001273BD" w:rsidRPr="001F3741" w:rsidRDefault="001273BD" w:rsidP="001F3741">
      <w:pPr>
        <w:pStyle w:val="Heading3"/>
        <w:rPr>
          <w:rFonts w:eastAsia="Garamond"/>
        </w:rPr>
      </w:pPr>
      <w:bookmarkStart w:id="146" w:name="_Toc226796970"/>
      <w:r w:rsidRPr="001F3741">
        <w:rPr>
          <w:rFonts w:eastAsia="Garamond"/>
        </w:rPr>
        <w:t>Inspection processes and tools</w:t>
      </w:r>
      <w:bookmarkEnd w:id="146"/>
    </w:p>
    <w:p w14:paraId="5A755B27" w14:textId="6EF49C48" w:rsidR="00D006AB" w:rsidRDefault="00D006AB">
      <w:pPr>
        <w:pStyle w:val="ListParagraph"/>
        <w:numPr>
          <w:ilvl w:val="0"/>
          <w:numId w:val="17"/>
        </w:numPr>
        <w:tabs>
          <w:tab w:val="right" w:pos="9000"/>
        </w:tabs>
        <w:spacing w:before="120"/>
        <w:ind w:left="284" w:hanging="284"/>
        <w:rPr>
          <w:rFonts w:eastAsia="Garamond" w:cs="Garamond"/>
          <w:szCs w:val="22"/>
        </w:rPr>
      </w:pPr>
      <w:r>
        <w:rPr>
          <w:rFonts w:eastAsia="Garamond" w:cs="Garamond"/>
          <w:szCs w:val="22"/>
        </w:rPr>
        <w:t>R</w:t>
      </w:r>
      <w:r w:rsidRPr="00D006AB">
        <w:rPr>
          <w:rFonts w:eastAsia="Garamond" w:cs="Garamond"/>
          <w:szCs w:val="22"/>
        </w:rPr>
        <w:t>outine vessel inspections focus</w:t>
      </w:r>
      <w:r>
        <w:rPr>
          <w:rFonts w:eastAsia="Garamond" w:cs="Garamond"/>
          <w:szCs w:val="22"/>
        </w:rPr>
        <w:t>sed</w:t>
      </w:r>
      <w:r w:rsidRPr="00D006AB">
        <w:rPr>
          <w:rFonts w:eastAsia="Garamond" w:cs="Garamond"/>
          <w:szCs w:val="22"/>
        </w:rPr>
        <w:t xml:space="preserve"> on internal areas of the vessel, including the bridge as well as the open top deck and the hull. These inspections </w:t>
      </w:r>
      <w:r>
        <w:rPr>
          <w:rFonts w:eastAsia="Garamond" w:cs="Garamond"/>
          <w:szCs w:val="22"/>
        </w:rPr>
        <w:t>focussed</w:t>
      </w:r>
      <w:r w:rsidRPr="00D006AB">
        <w:rPr>
          <w:rFonts w:eastAsia="Garamond" w:cs="Garamond"/>
          <w:szCs w:val="22"/>
        </w:rPr>
        <w:t xml:space="preserve"> on general BRM, such as hitchhiker animals and invertebrates, plants, domestic waste, insect breeding sights. It also includ</w:t>
      </w:r>
      <w:r>
        <w:rPr>
          <w:rFonts w:eastAsia="Garamond" w:cs="Garamond"/>
          <w:szCs w:val="22"/>
        </w:rPr>
        <w:t>ed</w:t>
      </w:r>
      <w:r w:rsidRPr="00D006AB">
        <w:rPr>
          <w:rFonts w:eastAsia="Garamond" w:cs="Garamond"/>
          <w:szCs w:val="22"/>
        </w:rPr>
        <w:t xml:space="preserve"> a human health check. A separate AMSA inspection generally occurs around the same time</w:t>
      </w:r>
      <w:r>
        <w:rPr>
          <w:rFonts w:eastAsia="Garamond" w:cs="Garamond"/>
          <w:szCs w:val="22"/>
        </w:rPr>
        <w:t>,</w:t>
      </w:r>
      <w:r w:rsidRPr="00D006AB">
        <w:rPr>
          <w:rFonts w:eastAsia="Garamond" w:cs="Garamond"/>
          <w:szCs w:val="22"/>
        </w:rPr>
        <w:t xml:space="preserve"> which focus</w:t>
      </w:r>
      <w:r>
        <w:rPr>
          <w:rFonts w:eastAsia="Garamond" w:cs="Garamond"/>
          <w:szCs w:val="22"/>
        </w:rPr>
        <w:t>ses</w:t>
      </w:r>
      <w:r w:rsidRPr="00D006AB">
        <w:rPr>
          <w:rFonts w:eastAsia="Garamond" w:cs="Garamond"/>
          <w:szCs w:val="22"/>
        </w:rPr>
        <w:t xml:space="preserve"> on vessel safety.</w:t>
      </w:r>
    </w:p>
    <w:p w14:paraId="28566264" w14:textId="436C974D" w:rsidR="00737658" w:rsidRPr="00737658" w:rsidRDefault="00737658">
      <w:pPr>
        <w:pStyle w:val="ListParagraph"/>
        <w:numPr>
          <w:ilvl w:val="0"/>
          <w:numId w:val="17"/>
        </w:numPr>
        <w:tabs>
          <w:tab w:val="right" w:pos="9000"/>
        </w:tabs>
        <w:spacing w:before="120"/>
        <w:ind w:left="284" w:hanging="284"/>
        <w:rPr>
          <w:rFonts w:eastAsia="Garamond" w:cs="Garamond"/>
          <w:szCs w:val="22"/>
        </w:rPr>
      </w:pPr>
      <w:r w:rsidRPr="00737658">
        <w:rPr>
          <w:rFonts w:eastAsia="Garamond" w:cs="Garamond"/>
          <w:szCs w:val="22"/>
        </w:rPr>
        <w:t>Inspections of livestock areas involve</w:t>
      </w:r>
      <w:r w:rsidR="00B1068C">
        <w:rPr>
          <w:rFonts w:eastAsia="Garamond" w:cs="Garamond"/>
          <w:szCs w:val="22"/>
        </w:rPr>
        <w:t>d</w:t>
      </w:r>
      <w:r w:rsidRPr="00737658">
        <w:rPr>
          <w:rFonts w:eastAsia="Garamond" w:cs="Garamond"/>
          <w:szCs w:val="22"/>
        </w:rPr>
        <w:t xml:space="preserve"> an inspector examining each deck, accompanied by at least one crew member as an escort and to spot clean any BRM found. Inspectors will examine the floors, feed bins, water troughs and permanent structures such as gates and their pins, cross beams and drainage. Certain structures or features may differ between the vessels, but if they are present in the enclosed deck, time of inspection is unlikely to impact the ability to inspect them.</w:t>
      </w:r>
    </w:p>
    <w:p w14:paraId="1ACEC31B" w14:textId="265453AD" w:rsidR="00D006AB" w:rsidRDefault="00D006AB">
      <w:pPr>
        <w:pStyle w:val="ListParagraph"/>
        <w:numPr>
          <w:ilvl w:val="0"/>
          <w:numId w:val="17"/>
        </w:numPr>
        <w:tabs>
          <w:tab w:val="right" w:pos="9000"/>
        </w:tabs>
        <w:spacing w:before="120"/>
        <w:ind w:left="284" w:hanging="284"/>
        <w:rPr>
          <w:rFonts w:eastAsia="Garamond" w:cs="Garamond"/>
          <w:szCs w:val="22"/>
        </w:rPr>
      </w:pPr>
      <w:r>
        <w:rPr>
          <w:rFonts w:eastAsia="Garamond" w:cs="Garamond"/>
          <w:szCs w:val="22"/>
        </w:rPr>
        <w:t>Darwin inspectors did not utilise a mirror for their biosecurity inspections (in contrast to Fremantle)</w:t>
      </w:r>
    </w:p>
    <w:p w14:paraId="68E3EA24" w14:textId="3CEBFE3A" w:rsidR="00D006AB" w:rsidRDefault="00D006AB">
      <w:pPr>
        <w:pStyle w:val="ListParagraph"/>
        <w:numPr>
          <w:ilvl w:val="0"/>
          <w:numId w:val="17"/>
        </w:numPr>
        <w:tabs>
          <w:tab w:val="right" w:pos="9000"/>
        </w:tabs>
        <w:spacing w:before="120"/>
        <w:ind w:left="284" w:hanging="284"/>
        <w:rPr>
          <w:rFonts w:eastAsia="Garamond" w:cs="Garamond"/>
          <w:szCs w:val="22"/>
        </w:rPr>
      </w:pPr>
      <w:r>
        <w:rPr>
          <w:rFonts w:eastAsia="Garamond" w:cs="Garamond"/>
          <w:szCs w:val="22"/>
        </w:rPr>
        <w:t>LedLenser</w:t>
      </w:r>
      <w:r w:rsidR="00722F06" w:rsidRPr="00722F06">
        <w:rPr>
          <w:vertAlign w:val="superscript"/>
        </w:rPr>
        <w:t>®</w:t>
      </w:r>
      <w:r>
        <w:rPr>
          <w:rFonts w:eastAsia="Garamond" w:cs="Garamond"/>
          <w:szCs w:val="22"/>
        </w:rPr>
        <w:t xml:space="preserve"> P7R torches were used. A notable different was detected in lighting ability between the high-quality LedLenser and Pelican torches used by observers on the vessel.</w:t>
      </w:r>
    </w:p>
    <w:p w14:paraId="39263AC4" w14:textId="77777777" w:rsidR="00E638AC" w:rsidRPr="001F3741" w:rsidRDefault="00E638AC" w:rsidP="001F3741">
      <w:pPr>
        <w:pStyle w:val="ListParagraph"/>
        <w:numPr>
          <w:ilvl w:val="0"/>
          <w:numId w:val="0"/>
        </w:numPr>
        <w:tabs>
          <w:tab w:val="right" w:pos="9000"/>
        </w:tabs>
        <w:spacing w:before="120"/>
        <w:ind w:left="284"/>
        <w:rPr>
          <w:rFonts w:eastAsia="Garamond" w:cs="Garamond"/>
          <w:sz w:val="14"/>
          <w:szCs w:val="14"/>
        </w:rPr>
      </w:pPr>
    </w:p>
    <w:p w14:paraId="1BD63D8F" w14:textId="6FF960E6" w:rsidR="003E15C2" w:rsidRPr="001F3741" w:rsidRDefault="001441D2" w:rsidP="001F3741">
      <w:pPr>
        <w:pStyle w:val="Heading3"/>
        <w:rPr>
          <w:rFonts w:eastAsia="Garamond"/>
        </w:rPr>
      </w:pPr>
      <w:bookmarkStart w:id="147" w:name="_Toc226796971"/>
      <w:r>
        <w:rPr>
          <w:rFonts w:eastAsia="Garamond"/>
        </w:rPr>
        <w:lastRenderedPageBreak/>
        <w:t xml:space="preserve">Impact of lighting on </w:t>
      </w:r>
      <w:r w:rsidR="008D4781">
        <w:rPr>
          <w:rFonts w:eastAsia="Garamond"/>
        </w:rPr>
        <w:t>inspection rigour</w:t>
      </w:r>
      <w:bookmarkEnd w:id="147"/>
    </w:p>
    <w:p w14:paraId="0DF8AD6A" w14:textId="51EDA893" w:rsidR="00737658" w:rsidRPr="00737658" w:rsidRDefault="00737658">
      <w:pPr>
        <w:pStyle w:val="ListParagraph"/>
        <w:numPr>
          <w:ilvl w:val="0"/>
          <w:numId w:val="19"/>
        </w:numPr>
        <w:tabs>
          <w:tab w:val="right" w:pos="9000"/>
        </w:tabs>
        <w:spacing w:before="120"/>
        <w:ind w:left="284" w:hanging="284"/>
        <w:rPr>
          <w:rFonts w:eastAsia="Garamond" w:cs="Garamond"/>
          <w:szCs w:val="22"/>
        </w:rPr>
      </w:pPr>
      <w:r w:rsidRPr="00737658">
        <w:rPr>
          <w:rFonts w:eastAsia="Garamond" w:cs="Garamond"/>
          <w:szCs w:val="22"/>
        </w:rPr>
        <w:t>Of the six vessels observed in Darwin, two had open decks and the remainder were fully enclosed. For the fully enclosed decks, the time of inspection did not impact available light levels (</w:t>
      </w:r>
      <w:r w:rsidRPr="00737658">
        <w:rPr>
          <w:rFonts w:asciiTheme="minorHAnsi" w:eastAsia="Garamond" w:hAnsiTheme="minorHAnsi" w:cs="Garamond"/>
          <w:szCs w:val="22"/>
        </w:rPr>
        <w:fldChar w:fldCharType="begin"/>
      </w:r>
      <w:r w:rsidRPr="00737658">
        <w:rPr>
          <w:rFonts w:asciiTheme="minorHAnsi" w:eastAsia="Garamond" w:hAnsiTheme="minorHAnsi" w:cs="Garamond"/>
          <w:szCs w:val="22"/>
        </w:rPr>
        <w:instrText xml:space="preserve"> REF _Ref219281117 \h  \* MERGEFORMAT </w:instrText>
      </w:r>
      <w:r w:rsidRPr="00737658">
        <w:rPr>
          <w:rFonts w:asciiTheme="minorHAnsi" w:eastAsia="Garamond" w:hAnsiTheme="minorHAnsi" w:cs="Garamond"/>
          <w:szCs w:val="22"/>
        </w:rPr>
      </w:r>
      <w:r w:rsidRPr="00737658">
        <w:rPr>
          <w:rFonts w:asciiTheme="minorHAnsi" w:eastAsia="Garamond" w:hAnsiTheme="minorHAnsi" w:cs="Garamond"/>
          <w:szCs w:val="22"/>
        </w:rPr>
        <w:fldChar w:fldCharType="separate"/>
      </w:r>
      <w:r w:rsidR="00651A0D" w:rsidRPr="00651A0D">
        <w:rPr>
          <w:rFonts w:asciiTheme="minorHAnsi" w:hAnsiTheme="minorHAnsi"/>
          <w:szCs w:val="22"/>
        </w:rPr>
        <w:t xml:space="preserve">Table </w:t>
      </w:r>
      <w:r w:rsidR="00651A0D" w:rsidRPr="00651A0D">
        <w:rPr>
          <w:rFonts w:asciiTheme="minorHAnsi" w:hAnsiTheme="minorHAnsi"/>
          <w:noProof/>
          <w:szCs w:val="22"/>
        </w:rPr>
        <w:t>5</w:t>
      </w:r>
      <w:r w:rsidRPr="00737658">
        <w:rPr>
          <w:rFonts w:asciiTheme="minorHAnsi" w:eastAsia="Garamond" w:hAnsiTheme="minorHAnsi" w:cs="Garamond"/>
          <w:szCs w:val="22"/>
        </w:rPr>
        <w:fldChar w:fldCharType="end"/>
      </w:r>
      <w:r w:rsidRPr="00737658">
        <w:rPr>
          <w:rFonts w:eastAsia="Garamond" w:cs="Garamond"/>
          <w:szCs w:val="22"/>
        </w:rPr>
        <w:t xml:space="preserve">). On the open livestock decks, it was observed that inspections at </w:t>
      </w:r>
      <w:r w:rsidR="006F0FD8">
        <w:rPr>
          <w:rFonts w:eastAsia="Garamond" w:cs="Garamond"/>
          <w:szCs w:val="22"/>
        </w:rPr>
        <w:t>night-time</w:t>
      </w:r>
      <w:r w:rsidRPr="00737658">
        <w:rPr>
          <w:rFonts w:eastAsia="Garamond" w:cs="Garamond"/>
          <w:szCs w:val="22"/>
        </w:rPr>
        <w:t xml:space="preserve"> may present some challenges due to the shadows created from artificial lights on the vessel and dock. Lighting available on docks will differ between ports and cannot be standardised.</w:t>
      </w:r>
    </w:p>
    <w:p w14:paraId="77C0F172" w14:textId="231F956C" w:rsidR="00E638AC" w:rsidRPr="001F3741" w:rsidRDefault="00737658">
      <w:pPr>
        <w:pStyle w:val="ListParagraph"/>
        <w:numPr>
          <w:ilvl w:val="0"/>
          <w:numId w:val="18"/>
        </w:numPr>
        <w:ind w:left="284" w:hanging="284"/>
        <w:rPr>
          <w:rFonts w:eastAsia="Garamond" w:cs="Garamond"/>
          <w:sz w:val="14"/>
          <w:szCs w:val="14"/>
        </w:rPr>
      </w:pPr>
      <w:r>
        <w:rPr>
          <w:rFonts w:eastAsia="Garamond" w:cs="Garamond"/>
          <w:szCs w:val="22"/>
        </w:rPr>
        <w:t xml:space="preserve">Glare and shadows from torches may impact inspection ability. However, some vessels had considerable glare during daylight due to the strength of the sun and reflective surface of the ship. </w:t>
      </w:r>
      <w:hyperlink r:id="rId36">
        <w:r>
          <w:rPr>
            <w:rFonts w:eastAsia="Garamond" w:cs="Garamond"/>
            <w:color w:val="0563C1"/>
            <w:szCs w:val="22"/>
            <w:u w:val="single"/>
          </w:rPr>
          <w:t>LedLenser</w:t>
        </w:r>
      </w:hyperlink>
      <w:r w:rsidR="00722F06" w:rsidRPr="00722F06">
        <w:rPr>
          <w:vertAlign w:val="superscript"/>
        </w:rPr>
        <w:t>®</w:t>
      </w:r>
      <w:r>
        <w:rPr>
          <w:rFonts w:eastAsia="Garamond" w:cs="Garamond"/>
          <w:szCs w:val="22"/>
        </w:rPr>
        <w:t xml:space="preserve"> P7R torches were used by inspectors (and have been discussed in Part 3). Pelican torches were used by observers and it was obvious the difference torch quality makes.</w:t>
      </w:r>
    </w:p>
    <w:p w14:paraId="263626AA" w14:textId="4EC7DB08" w:rsidR="001273BD" w:rsidRPr="001F3741" w:rsidRDefault="001273BD" w:rsidP="001F3741">
      <w:pPr>
        <w:pStyle w:val="Heading3"/>
        <w:rPr>
          <w:rFonts w:eastAsia="Garamond"/>
        </w:rPr>
      </w:pPr>
      <w:bookmarkStart w:id="148" w:name="_Toc226796972"/>
      <w:r w:rsidRPr="001F3741">
        <w:rPr>
          <w:rFonts w:eastAsia="Garamond"/>
        </w:rPr>
        <w:t>Biosecurity risks</w:t>
      </w:r>
      <w:bookmarkEnd w:id="148"/>
    </w:p>
    <w:p w14:paraId="55753D2E" w14:textId="2BAA4828" w:rsidR="00470554" w:rsidRDefault="00470554">
      <w:pPr>
        <w:pStyle w:val="ListParagraph"/>
        <w:numPr>
          <w:ilvl w:val="0"/>
          <w:numId w:val="16"/>
        </w:numPr>
        <w:tabs>
          <w:tab w:val="right" w:pos="9000"/>
        </w:tabs>
        <w:spacing w:before="120"/>
        <w:ind w:left="284" w:hanging="284"/>
        <w:rPr>
          <w:rFonts w:eastAsia="Garamond" w:cs="Garamond"/>
          <w:szCs w:val="22"/>
        </w:rPr>
      </w:pPr>
      <w:r w:rsidRPr="00737658">
        <w:rPr>
          <w:rFonts w:eastAsia="Garamond" w:cs="Garamond"/>
          <w:szCs w:val="22"/>
        </w:rPr>
        <w:t xml:space="preserve">The open top decks may pose a challenge for </w:t>
      </w:r>
      <w:r w:rsidR="006F0FD8">
        <w:rPr>
          <w:rFonts w:eastAsia="Garamond" w:cs="Garamond"/>
          <w:szCs w:val="22"/>
        </w:rPr>
        <w:t>night-time</w:t>
      </w:r>
      <w:r w:rsidRPr="00737658">
        <w:rPr>
          <w:rFonts w:eastAsia="Garamond" w:cs="Garamond"/>
          <w:szCs w:val="22"/>
        </w:rPr>
        <w:t xml:space="preserve"> inspections, depending on what equipment and stored goods are present.</w:t>
      </w:r>
    </w:p>
    <w:p w14:paraId="1F9809B1" w14:textId="77777777" w:rsidR="00737658" w:rsidRDefault="00D006AB">
      <w:pPr>
        <w:pStyle w:val="ListParagraph"/>
        <w:numPr>
          <w:ilvl w:val="0"/>
          <w:numId w:val="16"/>
        </w:numPr>
        <w:tabs>
          <w:tab w:val="right" w:pos="9000"/>
        </w:tabs>
        <w:spacing w:before="120"/>
        <w:ind w:left="284" w:hanging="284"/>
        <w:rPr>
          <w:rFonts w:eastAsia="Garamond" w:cs="Garamond"/>
          <w:szCs w:val="22"/>
        </w:rPr>
      </w:pPr>
      <w:r>
        <w:rPr>
          <w:rFonts w:eastAsia="Garamond" w:cs="Garamond"/>
          <w:szCs w:val="22"/>
        </w:rPr>
        <w:t>One vessel was found to have evidence of rodents on the top deck, which was most likely due to feed and fodder being stored on that deck. This vessel was issued with a notice and was required to have a pest control treatment applied. As this vessel was only in port for a short period, it did not require a follow up inspection. When berthed, the vessels are required to use rodent guards on all ropes coming from the vessel.</w:t>
      </w:r>
    </w:p>
    <w:p w14:paraId="2B1A858B" w14:textId="77777777" w:rsidR="00737658" w:rsidRDefault="00737658">
      <w:pPr>
        <w:pStyle w:val="ListParagraph"/>
        <w:numPr>
          <w:ilvl w:val="0"/>
          <w:numId w:val="16"/>
        </w:numPr>
        <w:tabs>
          <w:tab w:val="right" w:pos="9000"/>
        </w:tabs>
        <w:spacing w:before="120"/>
        <w:ind w:left="284" w:hanging="284"/>
        <w:rPr>
          <w:rFonts w:eastAsia="Garamond" w:cs="Garamond"/>
          <w:szCs w:val="22"/>
        </w:rPr>
      </w:pPr>
      <w:r w:rsidRPr="00737658">
        <w:rPr>
          <w:rFonts w:eastAsia="Garamond" w:cs="Garamond"/>
          <w:szCs w:val="22"/>
        </w:rPr>
        <w:t>Vessels may berth after dark and remain at the dock until their inspection at daylight the following day. Vessels may also remain at anchorage in the harbour for a period before a berth is available. It was noted that in Darwin, endemic insects have been found on vessels at anchorage, even if they are a number of kilometres from the coast. This suggests that there is a likelihood that exotic hitchhiker flying insects may exit a vessel at anchorage or when berthed after dark if the disinsection measures were unsuccessful.</w:t>
      </w:r>
    </w:p>
    <w:p w14:paraId="5B012CA7" w14:textId="1EE697EC" w:rsidR="001F07F4" w:rsidRPr="00123FDA" w:rsidRDefault="00737658">
      <w:pPr>
        <w:pStyle w:val="ListParagraph"/>
        <w:numPr>
          <w:ilvl w:val="0"/>
          <w:numId w:val="16"/>
        </w:numPr>
        <w:tabs>
          <w:tab w:val="right" w:pos="9000"/>
        </w:tabs>
        <w:spacing w:before="120"/>
        <w:ind w:left="284" w:hanging="284"/>
        <w:rPr>
          <w:rFonts w:eastAsia="Garamond" w:cs="Garamond"/>
          <w:szCs w:val="22"/>
        </w:rPr>
      </w:pPr>
      <w:r w:rsidRPr="00737658">
        <w:rPr>
          <w:rFonts w:eastAsia="Garamond" w:cs="Garamond"/>
          <w:szCs w:val="22"/>
        </w:rPr>
        <w:t xml:space="preserve">It was reported that compliance success was generally more associated with the Master of the vessel rather than the vessel itself. However, current data collected for inspections does not include the Master of the voyage. </w:t>
      </w:r>
    </w:p>
    <w:p w14:paraId="729D57BC" w14:textId="77777777" w:rsidR="001F07F4" w:rsidRDefault="001F07F4" w:rsidP="001F3741">
      <w:pPr>
        <w:pStyle w:val="Heading2"/>
        <w:spacing w:before="240" w:after="240"/>
        <w:ind w:left="578" w:hanging="578"/>
      </w:pPr>
      <w:bookmarkStart w:id="149" w:name="_Toc226796973"/>
      <w:r>
        <w:t>Fremantle</w:t>
      </w:r>
      <w:bookmarkEnd w:id="149"/>
    </w:p>
    <w:p w14:paraId="193BB5BE" w14:textId="62D3C260" w:rsidR="001F07F4" w:rsidRDefault="001F07F4" w:rsidP="001F07F4">
      <w:pPr>
        <w:tabs>
          <w:tab w:val="right" w:pos="9000"/>
        </w:tabs>
        <w:rPr>
          <w:rFonts w:eastAsia="Garamond" w:cs="Garamond"/>
          <w:szCs w:val="22"/>
        </w:rPr>
      </w:pPr>
      <w:r>
        <w:rPr>
          <w:rFonts w:eastAsia="Garamond" w:cs="Garamond"/>
          <w:szCs w:val="22"/>
        </w:rPr>
        <w:t xml:space="preserve">Inspections at Fremantle occurred between </w:t>
      </w:r>
      <w:r w:rsidRPr="006F37AA">
        <w:rPr>
          <w:rFonts w:eastAsia="Garamond" w:cs="Garamond"/>
          <w:szCs w:val="22"/>
        </w:rPr>
        <w:t>13</w:t>
      </w:r>
      <w:r w:rsidRPr="006F37AA">
        <w:rPr>
          <w:rFonts w:eastAsia="Garamond" w:cs="Garamond"/>
          <w:szCs w:val="22"/>
          <w:vertAlign w:val="superscript"/>
        </w:rPr>
        <w:t>th</w:t>
      </w:r>
      <w:r w:rsidRPr="006F37AA">
        <w:rPr>
          <w:rFonts w:eastAsia="Garamond" w:cs="Garamond"/>
          <w:szCs w:val="22"/>
        </w:rPr>
        <w:t xml:space="preserve"> December 2025 and 17</w:t>
      </w:r>
      <w:r w:rsidRPr="006F37AA">
        <w:rPr>
          <w:rFonts w:eastAsia="Garamond" w:cs="Garamond"/>
          <w:szCs w:val="22"/>
          <w:vertAlign w:val="superscript"/>
        </w:rPr>
        <w:t>th</w:t>
      </w:r>
      <w:r w:rsidRPr="006F37AA">
        <w:rPr>
          <w:rFonts w:eastAsia="Garamond" w:cs="Garamond"/>
          <w:szCs w:val="22"/>
        </w:rPr>
        <w:t xml:space="preserve"> 2026. </w:t>
      </w:r>
      <w:r>
        <w:rPr>
          <w:rFonts w:eastAsia="Garamond" w:cs="Garamond"/>
          <w:szCs w:val="22"/>
        </w:rPr>
        <w:t>Three separate vessels were inspected, one of them twice. One of the vessels had previously been inspected in Darwin. Findings are summarised in the key themes below:</w:t>
      </w:r>
    </w:p>
    <w:p w14:paraId="0ACEFC39" w14:textId="77777777" w:rsidR="001F07F4" w:rsidRDefault="001F07F4" w:rsidP="001F3741">
      <w:pPr>
        <w:pStyle w:val="Heading3"/>
        <w:rPr>
          <w:rFonts w:eastAsia="Garamond"/>
        </w:rPr>
      </w:pPr>
      <w:bookmarkStart w:id="150" w:name="_Toc226796974"/>
      <w:r w:rsidRPr="00897A9F">
        <w:rPr>
          <w:rFonts w:eastAsia="Garamond"/>
        </w:rPr>
        <w:t>Inspection processes and tools</w:t>
      </w:r>
      <w:bookmarkEnd w:id="150"/>
      <w:r w:rsidRPr="00897A9F">
        <w:rPr>
          <w:rFonts w:eastAsia="Garamond"/>
        </w:rPr>
        <w:t xml:space="preserve"> </w:t>
      </w:r>
    </w:p>
    <w:p w14:paraId="698B6132" w14:textId="3890E91E" w:rsidR="001F3741" w:rsidRPr="001F3741" w:rsidRDefault="001F07F4">
      <w:pPr>
        <w:pStyle w:val="ListParagraph"/>
        <w:numPr>
          <w:ilvl w:val="0"/>
          <w:numId w:val="22"/>
        </w:numPr>
        <w:tabs>
          <w:tab w:val="right" w:pos="9000"/>
        </w:tabs>
        <w:spacing w:before="120"/>
        <w:rPr>
          <w:rFonts w:eastAsia="Garamond" w:cs="Garamond"/>
          <w:b/>
          <w:bCs/>
          <w:szCs w:val="22"/>
        </w:rPr>
      </w:pPr>
      <w:r>
        <w:rPr>
          <w:rFonts w:eastAsia="Garamond" w:cs="Garamond"/>
          <w:szCs w:val="22"/>
        </w:rPr>
        <w:t xml:space="preserve">Inspections protocols were </w:t>
      </w:r>
      <w:r w:rsidR="00123FDA">
        <w:rPr>
          <w:rFonts w:eastAsia="Garamond" w:cs="Garamond"/>
          <w:szCs w:val="22"/>
        </w:rPr>
        <w:t>similar to</w:t>
      </w:r>
      <w:r>
        <w:rPr>
          <w:rFonts w:eastAsia="Garamond" w:cs="Garamond"/>
          <w:szCs w:val="22"/>
        </w:rPr>
        <w:t xml:space="preserve"> those followed in Darwin. However, a noticeable difference was the use of mirrors by inspectors to inspect hard to reach areas of the vessel, such as under railings and above light fittings (</w:t>
      </w:r>
      <w:r w:rsidR="007851E5">
        <w:rPr>
          <w:rFonts w:eastAsia="Garamond" w:cs="Garamond"/>
          <w:szCs w:val="22"/>
        </w:rPr>
        <w:fldChar w:fldCharType="begin"/>
      </w:r>
      <w:r w:rsidR="007851E5">
        <w:rPr>
          <w:rFonts w:eastAsia="Garamond" w:cs="Garamond"/>
          <w:szCs w:val="22"/>
        </w:rPr>
        <w:instrText xml:space="preserve"> REF _Ref226794826 \h </w:instrText>
      </w:r>
      <w:r w:rsidR="007851E5">
        <w:rPr>
          <w:rFonts w:eastAsia="Garamond" w:cs="Garamond"/>
          <w:szCs w:val="22"/>
        </w:rPr>
      </w:r>
      <w:r w:rsidR="007851E5">
        <w:rPr>
          <w:rFonts w:eastAsia="Garamond" w:cs="Garamond"/>
          <w:szCs w:val="22"/>
        </w:rPr>
        <w:fldChar w:fldCharType="separate"/>
      </w:r>
      <w:r w:rsidR="00651A0D">
        <w:t xml:space="preserve">Figure </w:t>
      </w:r>
      <w:r w:rsidR="00651A0D">
        <w:rPr>
          <w:noProof/>
        </w:rPr>
        <w:t>14</w:t>
      </w:r>
      <w:r w:rsidR="007851E5">
        <w:rPr>
          <w:rFonts w:eastAsia="Garamond" w:cs="Garamond"/>
          <w:szCs w:val="22"/>
        </w:rPr>
        <w:fldChar w:fldCharType="end"/>
      </w:r>
      <w:r>
        <w:rPr>
          <w:rFonts w:eastAsia="Garamond" w:cs="Garamond"/>
          <w:szCs w:val="22"/>
        </w:rPr>
        <w:t>). This required some skill and practice, but was clearly a valuable addition to the inspection process as it routinely discovered faecal material on the underside of gates and pen railings. A potential risk with mirror usage is fatigue and tendency for the user to focus on the tool, and perhaps less likely to see other parts of the environment.</w:t>
      </w:r>
    </w:p>
    <w:p w14:paraId="24DB7A76" w14:textId="302F2EB3" w:rsidR="00885E71" w:rsidRPr="001F3741" w:rsidRDefault="00885E71">
      <w:pPr>
        <w:pStyle w:val="ListParagraph"/>
        <w:numPr>
          <w:ilvl w:val="0"/>
          <w:numId w:val="22"/>
        </w:numPr>
        <w:tabs>
          <w:tab w:val="right" w:pos="9000"/>
        </w:tabs>
        <w:spacing w:before="120"/>
        <w:rPr>
          <w:rFonts w:eastAsia="Garamond" w:cs="Garamond"/>
          <w:b/>
          <w:bCs/>
          <w:sz w:val="14"/>
          <w:szCs w:val="14"/>
        </w:rPr>
      </w:pPr>
      <w:r w:rsidRPr="001F3741">
        <w:rPr>
          <w:rFonts w:eastAsia="Garamond" w:cs="Garamond"/>
          <w:szCs w:val="22"/>
        </w:rPr>
        <w:t xml:space="preserve">The presence of a crew team to clean as the inspection is undertaken is efficient. </w:t>
      </w:r>
      <w:r>
        <w:t>However, an intangible but greater benefit is in the opportunity for the crew to better understand the high expectation around cleaning. This is probably of more benefit in ensuring the ongoing risk to Australia associated with returning livestock export vessels.</w:t>
      </w:r>
    </w:p>
    <w:p w14:paraId="196CA52F" w14:textId="679A7929" w:rsidR="001F07F4" w:rsidRPr="008D4781" w:rsidRDefault="008D4781" w:rsidP="008D4781">
      <w:pPr>
        <w:pStyle w:val="Heading3"/>
        <w:rPr>
          <w:rFonts w:eastAsia="Garamond"/>
        </w:rPr>
      </w:pPr>
      <w:bookmarkStart w:id="151" w:name="_Toc226796975"/>
      <w:r w:rsidRPr="008D4781">
        <w:rPr>
          <w:rFonts w:eastAsia="Garamond"/>
        </w:rPr>
        <w:lastRenderedPageBreak/>
        <w:t>Impact of lighting on inspection rigour</w:t>
      </w:r>
      <w:bookmarkEnd w:id="151"/>
    </w:p>
    <w:p w14:paraId="28C42C8E" w14:textId="7ACD8CEB" w:rsidR="00885E71" w:rsidRPr="001F3741" w:rsidRDefault="001F07F4">
      <w:pPr>
        <w:pStyle w:val="ListParagraph"/>
        <w:numPr>
          <w:ilvl w:val="0"/>
          <w:numId w:val="20"/>
        </w:numPr>
        <w:tabs>
          <w:tab w:val="right" w:pos="9000"/>
        </w:tabs>
        <w:spacing w:before="120"/>
        <w:ind w:left="284" w:hanging="284"/>
        <w:rPr>
          <w:rFonts w:eastAsia="Garamond" w:cs="Garamond"/>
          <w:b/>
          <w:bCs/>
          <w:szCs w:val="22"/>
        </w:rPr>
      </w:pPr>
      <w:r w:rsidRPr="001F07F4">
        <w:rPr>
          <w:rFonts w:eastAsia="Garamond" w:cs="Garamond"/>
          <w:szCs w:val="22"/>
        </w:rPr>
        <w:t xml:space="preserve">As with Darwin, inspection on the top of the vessel (i.e. around stored fodder and loading ramps) was affected by changes in light from daytime to </w:t>
      </w:r>
      <w:r w:rsidR="006F0FD8">
        <w:rPr>
          <w:rFonts w:eastAsia="Garamond" w:cs="Garamond"/>
          <w:szCs w:val="22"/>
        </w:rPr>
        <w:t>night-time</w:t>
      </w:r>
      <w:r w:rsidRPr="001F07F4">
        <w:rPr>
          <w:rFonts w:eastAsia="Garamond" w:cs="Garamond"/>
          <w:szCs w:val="22"/>
        </w:rPr>
        <w:t xml:space="preserve">. During clear sky daylight conditions, peak illumination was 125,000 lux although a small amount of cloud was observed to reduce this to 15–20,000 lux. It was observed that the mix of shadow and glare did make looking under objects more difficult (working without sunglasses was uncomfortable) and having a quality torch was helpful for looking under pallets and around other equipment. At </w:t>
      </w:r>
      <w:r w:rsidR="006F0FD8">
        <w:rPr>
          <w:rFonts w:eastAsia="Garamond" w:cs="Garamond"/>
          <w:szCs w:val="22"/>
        </w:rPr>
        <w:t>night-time</w:t>
      </w:r>
      <w:r w:rsidRPr="001F07F4">
        <w:rPr>
          <w:rFonts w:eastAsia="Garamond" w:cs="Garamond"/>
          <w:szCs w:val="22"/>
        </w:rPr>
        <w:t>, limited light was available from the port overhead lighting, with recorded surface illumination levels &lt; 10 lux.</w:t>
      </w:r>
    </w:p>
    <w:p w14:paraId="090E155D" w14:textId="2AB8BF0B" w:rsidR="00885E71" w:rsidRPr="001F3741" w:rsidRDefault="00885E71">
      <w:pPr>
        <w:pStyle w:val="ListParagraph"/>
        <w:numPr>
          <w:ilvl w:val="0"/>
          <w:numId w:val="20"/>
        </w:numPr>
        <w:tabs>
          <w:tab w:val="right" w:pos="9000"/>
        </w:tabs>
        <w:spacing w:before="120"/>
        <w:ind w:left="284" w:hanging="284"/>
        <w:rPr>
          <w:rFonts w:eastAsia="Garamond" w:cs="Garamond"/>
          <w:b/>
          <w:bCs/>
          <w:szCs w:val="22"/>
        </w:rPr>
      </w:pPr>
      <w:r w:rsidRPr="00885E71">
        <w:rPr>
          <w:rFonts w:eastAsia="Garamond" w:cs="Garamond"/>
          <w:szCs w:val="22"/>
        </w:rPr>
        <w:t>Unsurprisingly, open decks had higher light levels during the day, although this was less important in the ‘inside’ pens. Illumination measurements were taken in the middle of a pen at floor level at 19 sites on three open decks on one vessel. The pens ranged from the outer pens of a vessel through the middle the other side. The measurements were taken during the midday period (between 11:00 and 14:00). These were repeated in the same locations at night (a gibbous moon was present). During the day, the average illumination was 289 lux across these sites, and at night it was 28 lux. The results are shown in</w:t>
      </w:r>
      <w:r w:rsidR="008F0125">
        <w:rPr>
          <w:rFonts w:eastAsia="Garamond" w:cs="Garamond"/>
          <w:szCs w:val="22"/>
        </w:rPr>
        <w:t xml:space="preserve"> </w:t>
      </w:r>
      <w:r w:rsidR="008F0125">
        <w:rPr>
          <w:rFonts w:eastAsia="Garamond" w:cs="Garamond"/>
          <w:szCs w:val="22"/>
        </w:rPr>
        <w:fldChar w:fldCharType="begin"/>
      </w:r>
      <w:r w:rsidR="008F0125">
        <w:rPr>
          <w:rFonts w:eastAsia="Garamond" w:cs="Garamond"/>
          <w:szCs w:val="22"/>
        </w:rPr>
        <w:instrText xml:space="preserve"> REF _Ref226794934 \h </w:instrText>
      </w:r>
      <w:r w:rsidR="008F0125">
        <w:rPr>
          <w:rFonts w:eastAsia="Garamond" w:cs="Garamond"/>
          <w:szCs w:val="22"/>
        </w:rPr>
      </w:r>
      <w:r w:rsidR="008F0125">
        <w:rPr>
          <w:rFonts w:eastAsia="Garamond" w:cs="Garamond"/>
          <w:szCs w:val="22"/>
        </w:rPr>
        <w:fldChar w:fldCharType="separate"/>
      </w:r>
      <w:r w:rsidR="00651A0D" w:rsidRPr="00D419FE">
        <w:t xml:space="preserve">Figure </w:t>
      </w:r>
      <w:r w:rsidR="00651A0D">
        <w:rPr>
          <w:noProof/>
        </w:rPr>
        <w:t>15</w:t>
      </w:r>
      <w:r w:rsidR="008F0125">
        <w:rPr>
          <w:rFonts w:eastAsia="Garamond" w:cs="Garamond"/>
          <w:szCs w:val="22"/>
        </w:rPr>
        <w:fldChar w:fldCharType="end"/>
      </w:r>
      <w:r w:rsidR="008F0125">
        <w:rPr>
          <w:rFonts w:eastAsia="Garamond" w:cs="Garamond"/>
          <w:szCs w:val="22"/>
        </w:rPr>
        <w:t>.</w:t>
      </w:r>
    </w:p>
    <w:p w14:paraId="2A3B6FA1" w14:textId="7C2DD53E" w:rsidR="00885E71" w:rsidRPr="001F3741" w:rsidRDefault="00885E71">
      <w:pPr>
        <w:pStyle w:val="ListParagraph"/>
        <w:numPr>
          <w:ilvl w:val="0"/>
          <w:numId w:val="20"/>
        </w:numPr>
        <w:tabs>
          <w:tab w:val="right" w:pos="9000"/>
        </w:tabs>
        <w:spacing w:before="120"/>
        <w:ind w:left="284" w:hanging="284"/>
        <w:rPr>
          <w:rFonts w:eastAsia="Garamond" w:cs="Garamond"/>
          <w:b/>
          <w:bCs/>
          <w:szCs w:val="22"/>
        </w:rPr>
      </w:pPr>
      <w:r w:rsidRPr="00885E71">
        <w:rPr>
          <w:rFonts w:eastAsia="Garamond" w:cs="Garamond"/>
          <w:szCs w:val="22"/>
        </w:rPr>
        <w:t>Where light sources are limited, illumination is further reduced by obstructions. An example of this occurs where fodder troughs are hung near the ceiling to simplify cleaning and reduce risks of damage during livestock loading (</w:t>
      </w:r>
      <w:r w:rsidR="007851E5">
        <w:rPr>
          <w:rFonts w:eastAsia="Garamond" w:cs="Garamond"/>
          <w:szCs w:val="22"/>
        </w:rPr>
        <w:fldChar w:fldCharType="begin"/>
      </w:r>
      <w:r w:rsidR="007851E5">
        <w:rPr>
          <w:rFonts w:eastAsia="Garamond" w:cs="Garamond"/>
          <w:szCs w:val="22"/>
        </w:rPr>
        <w:instrText xml:space="preserve"> REF _Ref226794781 \h </w:instrText>
      </w:r>
      <w:r w:rsidR="007851E5">
        <w:rPr>
          <w:rFonts w:eastAsia="Garamond" w:cs="Garamond"/>
          <w:szCs w:val="22"/>
        </w:rPr>
      </w:r>
      <w:r w:rsidR="007851E5">
        <w:rPr>
          <w:rFonts w:eastAsia="Garamond" w:cs="Garamond"/>
          <w:szCs w:val="22"/>
        </w:rPr>
        <w:fldChar w:fldCharType="separate"/>
      </w:r>
      <w:r w:rsidR="00651A0D">
        <w:t xml:space="preserve">Figure </w:t>
      </w:r>
      <w:r w:rsidR="00651A0D">
        <w:rPr>
          <w:noProof/>
        </w:rPr>
        <w:t>16</w:t>
      </w:r>
      <w:r w:rsidR="007851E5">
        <w:rPr>
          <w:rFonts w:eastAsia="Garamond" w:cs="Garamond"/>
          <w:szCs w:val="22"/>
        </w:rPr>
        <w:fldChar w:fldCharType="end"/>
      </w:r>
      <w:r w:rsidRPr="00885E71">
        <w:rPr>
          <w:rFonts w:eastAsia="Garamond" w:cs="Garamond"/>
          <w:szCs w:val="22"/>
        </w:rPr>
        <w:t>). Unfortunately, the proximity to the light sources reduces light in pens during the inspection.</w:t>
      </w:r>
      <w:r w:rsidR="007851E5">
        <w:rPr>
          <w:rFonts w:eastAsia="Garamond" w:cs="Garamond"/>
          <w:szCs w:val="22"/>
        </w:rPr>
        <w:t xml:space="preserve"> </w:t>
      </w:r>
      <w:r w:rsidR="007851E5">
        <w:rPr>
          <w:rFonts w:eastAsia="Garamond" w:cs="Garamond"/>
          <w:szCs w:val="22"/>
        </w:rPr>
        <w:fldChar w:fldCharType="begin"/>
      </w:r>
      <w:r w:rsidR="007851E5">
        <w:rPr>
          <w:rFonts w:eastAsia="Garamond" w:cs="Garamond"/>
          <w:szCs w:val="22"/>
        </w:rPr>
        <w:instrText xml:space="preserve"> REF _Ref226794760 \h </w:instrText>
      </w:r>
      <w:r w:rsidR="007851E5">
        <w:rPr>
          <w:rFonts w:eastAsia="Garamond" w:cs="Garamond"/>
          <w:szCs w:val="22"/>
        </w:rPr>
      </w:r>
      <w:r w:rsidR="007851E5">
        <w:rPr>
          <w:rFonts w:eastAsia="Garamond" w:cs="Garamond"/>
          <w:szCs w:val="22"/>
        </w:rPr>
        <w:fldChar w:fldCharType="separate"/>
      </w:r>
      <w:r w:rsidR="00651A0D">
        <w:t xml:space="preserve">Figure </w:t>
      </w:r>
      <w:r w:rsidR="00651A0D">
        <w:rPr>
          <w:noProof/>
        </w:rPr>
        <w:t>17</w:t>
      </w:r>
      <w:r w:rsidR="007851E5">
        <w:rPr>
          <w:rFonts w:eastAsia="Garamond" w:cs="Garamond"/>
          <w:szCs w:val="22"/>
        </w:rPr>
        <w:fldChar w:fldCharType="end"/>
      </w:r>
      <w:r w:rsidRPr="00885E71">
        <w:rPr>
          <w:rFonts w:eastAsia="Garamond" w:cs="Garamond"/>
          <w:szCs w:val="22"/>
        </w:rPr>
        <w:t xml:space="preserve"> shows the changes in light when a) a trough is present, b) when a trough is removed, and c) when the provided torch was used to illuminate the pen (regardless of trough status).</w:t>
      </w:r>
    </w:p>
    <w:p w14:paraId="1102EA6F" w14:textId="09A00EA5" w:rsidR="001F07F4" w:rsidRPr="001F3741" w:rsidRDefault="00885E71">
      <w:pPr>
        <w:pStyle w:val="ListParagraph"/>
        <w:numPr>
          <w:ilvl w:val="0"/>
          <w:numId w:val="20"/>
        </w:numPr>
        <w:tabs>
          <w:tab w:val="right" w:pos="9000"/>
        </w:tabs>
        <w:spacing w:before="120"/>
        <w:ind w:left="284" w:hanging="284"/>
        <w:rPr>
          <w:rFonts w:eastAsia="Garamond" w:cs="Garamond"/>
          <w:b/>
          <w:bCs/>
          <w:szCs w:val="22"/>
        </w:rPr>
      </w:pPr>
      <w:r w:rsidRPr="00885E71">
        <w:rPr>
          <w:rFonts w:eastAsia="Garamond" w:cs="Garamond"/>
          <w:szCs w:val="22"/>
        </w:rPr>
        <w:t xml:space="preserve">Regardless of the time of day or location, inspectors were observed </w:t>
      </w:r>
      <w:r w:rsidR="00123FDA">
        <w:rPr>
          <w:rFonts w:eastAsia="Garamond" w:cs="Garamond"/>
          <w:szCs w:val="22"/>
        </w:rPr>
        <w:t>to frequently use</w:t>
      </w:r>
      <w:r w:rsidRPr="00885E71">
        <w:rPr>
          <w:rFonts w:eastAsia="Garamond" w:cs="Garamond"/>
          <w:szCs w:val="22"/>
        </w:rPr>
        <w:t xml:space="preserve"> a torch as they scanned surfaces, used their mirrors or looked into sumps and other corners. Light levels were also taken while inspections were being conducted with torches. The results have been presented in </w:t>
      </w:r>
      <w:r w:rsidR="001946D2">
        <w:rPr>
          <w:rFonts w:eastAsia="Garamond" w:cs="Garamond"/>
          <w:szCs w:val="22"/>
        </w:rPr>
        <w:fldChar w:fldCharType="begin"/>
      </w:r>
      <w:r w:rsidR="001946D2">
        <w:rPr>
          <w:rFonts w:eastAsia="Garamond" w:cs="Garamond"/>
          <w:szCs w:val="22"/>
        </w:rPr>
        <w:instrText xml:space="preserve"> REF _Ref219281117 \h </w:instrText>
      </w:r>
      <w:r w:rsidR="001946D2">
        <w:rPr>
          <w:rFonts w:eastAsia="Garamond" w:cs="Garamond"/>
          <w:szCs w:val="22"/>
        </w:rPr>
      </w:r>
      <w:r w:rsidR="001946D2">
        <w:rPr>
          <w:rFonts w:eastAsia="Garamond" w:cs="Garamond"/>
          <w:szCs w:val="22"/>
        </w:rPr>
        <w:fldChar w:fldCharType="separate"/>
      </w:r>
      <w:r w:rsidR="00651A0D">
        <w:t xml:space="preserve">Table </w:t>
      </w:r>
      <w:r w:rsidR="00651A0D">
        <w:rPr>
          <w:noProof/>
        </w:rPr>
        <w:t>5</w:t>
      </w:r>
      <w:r w:rsidR="001946D2">
        <w:rPr>
          <w:rFonts w:eastAsia="Garamond" w:cs="Garamond"/>
          <w:szCs w:val="22"/>
        </w:rPr>
        <w:fldChar w:fldCharType="end"/>
      </w:r>
      <w:r w:rsidRPr="00885E71">
        <w:rPr>
          <w:rFonts w:eastAsia="Garamond" w:cs="Garamond"/>
          <w:szCs w:val="22"/>
        </w:rPr>
        <w:t xml:space="preserve">. Given the inherently low light conditions required in livestock vessels, these results would suggest the routine use of high quality torches is likely to improve inspection outcomes by lifting illumination from below recommended working levels. As well as the livestock decks, this applies during other parts of the inspection; the illumination in the galley and food storage areas was also measured, with readings as low as 30 lux. </w:t>
      </w:r>
    </w:p>
    <w:p w14:paraId="2BD21DBE" w14:textId="60218522" w:rsidR="001F07F4" w:rsidRPr="001F3741" w:rsidRDefault="001F07F4" w:rsidP="001F3741">
      <w:pPr>
        <w:pStyle w:val="Heading3"/>
        <w:rPr>
          <w:rFonts w:eastAsia="Garamond"/>
        </w:rPr>
      </w:pPr>
      <w:bookmarkStart w:id="152" w:name="_Toc226796976"/>
      <w:r w:rsidRPr="001F3741">
        <w:rPr>
          <w:rFonts w:eastAsia="Garamond"/>
        </w:rPr>
        <w:t>Biosecurity risks</w:t>
      </w:r>
      <w:bookmarkEnd w:id="152"/>
    </w:p>
    <w:p w14:paraId="007131B9" w14:textId="01B36A67" w:rsidR="001F07F4" w:rsidRPr="00885E71" w:rsidRDefault="00885E71">
      <w:pPr>
        <w:pStyle w:val="ListParagraph"/>
        <w:numPr>
          <w:ilvl w:val="0"/>
          <w:numId w:val="21"/>
        </w:numPr>
        <w:tabs>
          <w:tab w:val="right" w:pos="9000"/>
        </w:tabs>
        <w:spacing w:before="240"/>
        <w:ind w:left="284" w:hanging="284"/>
        <w:rPr>
          <w:rFonts w:eastAsia="Garamond" w:cs="Garamond"/>
          <w:szCs w:val="22"/>
        </w:rPr>
      </w:pPr>
      <w:r w:rsidRPr="00885E71">
        <w:rPr>
          <w:rFonts w:eastAsia="Garamond" w:cs="Garamond"/>
          <w:szCs w:val="22"/>
        </w:rPr>
        <w:t>Painting is an almost continuous requirement on ocean-going vessels. However, on more than one occasion, BRM was found under recently applied paint. Risk material was also found between panels, and under general equipment. This reduces the rate of desiccation of the BRM, and while protecting it may increase the risk when the paint eventually breaks off. Clear instruction and feedback to the Master and shipping agent may help to reduce this.</w:t>
      </w:r>
    </w:p>
    <w:p w14:paraId="6724AF30" w14:textId="77777777" w:rsidR="001F07F4" w:rsidRDefault="001F07F4" w:rsidP="001F3741">
      <w:pPr>
        <w:keepNext/>
        <w:tabs>
          <w:tab w:val="right" w:pos="9000"/>
        </w:tabs>
        <w:spacing w:before="240"/>
        <w:ind w:left="720" w:hanging="360"/>
        <w:jc w:val="center"/>
      </w:pPr>
      <w:r>
        <w:rPr>
          <w:rFonts w:eastAsia="Garamond"/>
          <w:noProof/>
        </w:rPr>
        <w:lastRenderedPageBreak/>
        <w:drawing>
          <wp:inline distT="0" distB="0" distL="0" distR="0" wp14:anchorId="1037F67B" wp14:editId="4DF78A59">
            <wp:extent cx="3584239" cy="3675380"/>
            <wp:effectExtent l="5080" t="0" r="2540" b="2540"/>
            <wp:docPr id="18770850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04291" name="Picture 1578904291"/>
                    <pic:cNvPicPr/>
                  </pic:nvPicPr>
                  <pic:blipFill rotWithShape="1">
                    <a:blip r:embed="rId37" cstate="hqprint">
                      <a:extLst>
                        <a:ext uri="{28A0092B-C50C-407E-A947-70E740481C1C}">
                          <a14:useLocalDpi xmlns:a14="http://schemas.microsoft.com/office/drawing/2010/main"/>
                        </a:ext>
                      </a:extLst>
                    </a:blip>
                    <a:srcRect/>
                    <a:stretch>
                      <a:fillRect/>
                    </a:stretch>
                  </pic:blipFill>
                  <pic:spPr bwMode="auto">
                    <a:xfrm rot="5400000">
                      <a:off x="0" y="0"/>
                      <a:ext cx="3584564" cy="3675713"/>
                    </a:xfrm>
                    <a:prstGeom prst="rect">
                      <a:avLst/>
                    </a:prstGeom>
                    <a:ln>
                      <a:noFill/>
                    </a:ln>
                    <a:extLst>
                      <a:ext uri="{53640926-AAD7-44D8-BBD7-CCE9431645EC}">
                        <a14:shadowObscured xmlns:a14="http://schemas.microsoft.com/office/drawing/2010/main"/>
                      </a:ext>
                    </a:extLst>
                  </pic:spPr>
                </pic:pic>
              </a:graphicData>
            </a:graphic>
          </wp:inline>
        </w:drawing>
      </w:r>
    </w:p>
    <w:p w14:paraId="0561B3B6" w14:textId="3178C1EC" w:rsidR="001F07F4" w:rsidRDefault="001F07F4" w:rsidP="001F07F4">
      <w:pPr>
        <w:pStyle w:val="Caption"/>
        <w:jc w:val="center"/>
      </w:pPr>
      <w:bookmarkStart w:id="153" w:name="_Ref226794826"/>
      <w:bookmarkStart w:id="154" w:name="_Toc226730786"/>
      <w:r>
        <w:t xml:space="preserve">Figure </w:t>
      </w:r>
      <w:fldSimple w:instr=" SEQ Figure \* ARABIC ">
        <w:r w:rsidR="00651A0D">
          <w:rPr>
            <w:noProof/>
          </w:rPr>
          <w:t>14</w:t>
        </w:r>
      </w:fldSimple>
      <w:bookmarkEnd w:id="153"/>
      <w:r>
        <w:tab/>
        <w:t>An example of a mirror being used to observe the undersides or railings and gates</w:t>
      </w:r>
      <w:bookmarkEnd w:id="154"/>
    </w:p>
    <w:p w14:paraId="4D143DA1" w14:textId="77777777" w:rsidR="00885E71" w:rsidRDefault="00885E71" w:rsidP="00885E71">
      <w:pPr>
        <w:keepNext/>
        <w:tabs>
          <w:tab w:val="right" w:pos="9000"/>
        </w:tabs>
        <w:spacing w:before="240"/>
        <w:jc w:val="center"/>
      </w:pPr>
      <w:r>
        <w:rPr>
          <w:rFonts w:eastAsia="Garamond" w:cs="Garamond"/>
          <w:noProof/>
          <w:szCs w:val="22"/>
        </w:rPr>
        <w:drawing>
          <wp:inline distT="0" distB="0" distL="0" distR="0" wp14:anchorId="6EECEF89" wp14:editId="11269E12">
            <wp:extent cx="3595606" cy="3595606"/>
            <wp:effectExtent l="0" t="0" r="0" b="0"/>
            <wp:docPr id="19562477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94117" name="Picture 2117594117"/>
                    <pic:cNvPicPr/>
                  </pic:nvPicPr>
                  <pic:blipFill>
                    <a:blip r:embed="rId38"/>
                    <a:stretch>
                      <a:fillRect/>
                    </a:stretch>
                  </pic:blipFill>
                  <pic:spPr>
                    <a:xfrm>
                      <a:off x="0" y="0"/>
                      <a:ext cx="3608963" cy="3608963"/>
                    </a:xfrm>
                    <a:prstGeom prst="rect">
                      <a:avLst/>
                    </a:prstGeom>
                  </pic:spPr>
                </pic:pic>
              </a:graphicData>
            </a:graphic>
          </wp:inline>
        </w:drawing>
      </w:r>
    </w:p>
    <w:p w14:paraId="1C8D2C65" w14:textId="07EC481C" w:rsidR="00885E71" w:rsidRPr="00D419FE" w:rsidRDefault="00885E71" w:rsidP="001F3741">
      <w:pPr>
        <w:pStyle w:val="Caption"/>
        <w:jc w:val="center"/>
        <w:rPr>
          <w:rFonts w:eastAsia="Garamond"/>
        </w:rPr>
      </w:pPr>
      <w:bookmarkStart w:id="155" w:name="_Ref226794934"/>
      <w:bookmarkStart w:id="156" w:name="_Toc226730787"/>
      <w:r w:rsidRPr="00D419FE">
        <w:t xml:space="preserve">Figure </w:t>
      </w:r>
      <w:fldSimple w:instr=" SEQ Figure \* ARABIC ">
        <w:r w:rsidR="00651A0D">
          <w:rPr>
            <w:noProof/>
          </w:rPr>
          <w:t>15</w:t>
        </w:r>
      </w:fldSimple>
      <w:bookmarkEnd w:id="155"/>
      <w:r>
        <w:tab/>
      </w:r>
      <w:r w:rsidRPr="00D419FE">
        <w:t>A comparison of illumination at various locations on open decks of a livestock vessel during the day and repeated at night.</w:t>
      </w:r>
      <w:bookmarkEnd w:id="156"/>
    </w:p>
    <w:p w14:paraId="3CD2D138" w14:textId="77777777" w:rsidR="00885E71" w:rsidRPr="00885E71" w:rsidRDefault="00885E71" w:rsidP="001F3741"/>
    <w:p w14:paraId="66E25350" w14:textId="77777777" w:rsidR="00885E71" w:rsidRDefault="00885E71" w:rsidP="00A32C92">
      <w:pPr>
        <w:keepNext/>
        <w:tabs>
          <w:tab w:val="right" w:pos="9000"/>
        </w:tabs>
        <w:spacing w:before="240"/>
        <w:jc w:val="center"/>
      </w:pPr>
      <w:r>
        <w:rPr>
          <w:rFonts w:eastAsia="Garamond" w:cs="Garamond"/>
          <w:noProof/>
          <w:szCs w:val="22"/>
        </w:rPr>
        <w:lastRenderedPageBreak/>
        <w:drawing>
          <wp:inline distT="0" distB="0" distL="0" distR="0" wp14:anchorId="1D420F59" wp14:editId="0A537ED6">
            <wp:extent cx="3630444" cy="5730854"/>
            <wp:effectExtent l="4128" t="0" r="6032" b="6033"/>
            <wp:docPr id="1742319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15253" name="Picture 1351215253"/>
                    <pic:cNvPicPr/>
                  </pic:nvPicPr>
                  <pic:blipFill rotWithShape="1">
                    <a:blip r:embed="rId39" cstate="hqprint">
                      <a:extLst>
                        <a:ext uri="{28A0092B-C50C-407E-A947-70E740481C1C}">
                          <a14:useLocalDpi xmlns:a14="http://schemas.microsoft.com/office/drawing/2010/main"/>
                        </a:ext>
                      </a:extLst>
                    </a:blip>
                    <a:srcRect/>
                    <a:stretch>
                      <a:fillRect/>
                    </a:stretch>
                  </pic:blipFill>
                  <pic:spPr bwMode="auto">
                    <a:xfrm rot="5400000">
                      <a:off x="0" y="0"/>
                      <a:ext cx="3630860" cy="5731510"/>
                    </a:xfrm>
                    <a:prstGeom prst="rect">
                      <a:avLst/>
                    </a:prstGeom>
                    <a:ln>
                      <a:noFill/>
                    </a:ln>
                    <a:extLst>
                      <a:ext uri="{53640926-AAD7-44D8-BBD7-CCE9431645EC}">
                        <a14:shadowObscured xmlns:a14="http://schemas.microsoft.com/office/drawing/2010/main"/>
                      </a:ext>
                    </a:extLst>
                  </pic:spPr>
                </pic:pic>
              </a:graphicData>
            </a:graphic>
          </wp:inline>
        </w:drawing>
      </w:r>
    </w:p>
    <w:p w14:paraId="13A317D4" w14:textId="2C63D9C8" w:rsidR="00885E71" w:rsidRDefault="00885E71" w:rsidP="00A32C92">
      <w:pPr>
        <w:pStyle w:val="Caption"/>
        <w:jc w:val="center"/>
        <w:rPr>
          <w:rFonts w:eastAsia="Garamond" w:cs="Garamond"/>
          <w:szCs w:val="22"/>
        </w:rPr>
      </w:pPr>
      <w:bookmarkStart w:id="157" w:name="_Ref226794781"/>
      <w:bookmarkStart w:id="158" w:name="_Toc226730788"/>
      <w:r>
        <w:t xml:space="preserve">Figure </w:t>
      </w:r>
      <w:fldSimple w:instr=" SEQ Figure \* ARABIC ">
        <w:r w:rsidR="00651A0D">
          <w:rPr>
            <w:noProof/>
          </w:rPr>
          <w:t>16</w:t>
        </w:r>
      </w:fldSimple>
      <w:bookmarkEnd w:id="157"/>
      <w:r>
        <w:tab/>
        <w:t>Fodder troughs are hung on a raised railing to prevent damage during loading</w:t>
      </w:r>
      <w:bookmarkEnd w:id="158"/>
    </w:p>
    <w:p w14:paraId="72D5EBD7" w14:textId="77777777" w:rsidR="00885E71" w:rsidRDefault="00885E71" w:rsidP="00885E71">
      <w:pPr>
        <w:keepNext/>
        <w:tabs>
          <w:tab w:val="right" w:pos="9000"/>
        </w:tabs>
        <w:spacing w:before="240"/>
        <w:jc w:val="center"/>
      </w:pPr>
      <w:r>
        <w:rPr>
          <w:rFonts w:eastAsia="Garamond" w:cs="Garamond"/>
          <w:noProof/>
          <w:szCs w:val="22"/>
        </w:rPr>
        <w:drawing>
          <wp:inline distT="0" distB="0" distL="0" distR="0" wp14:anchorId="40357F61" wp14:editId="5F648973">
            <wp:extent cx="5439282" cy="4133396"/>
            <wp:effectExtent l="0" t="0" r="0" b="0"/>
            <wp:docPr id="468539783" name="Picture 7" descr="A collage of images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20218" name="Picture 7" descr="A collage of images of a room&#10;&#10;AI-generated content may be incorrect."/>
                    <pic:cNvPicPr/>
                  </pic:nvPicPr>
                  <pic:blipFill>
                    <a:blip r:embed="rId40" cstate="hqprint">
                      <a:extLst>
                        <a:ext uri="{28A0092B-C50C-407E-A947-70E740481C1C}">
                          <a14:useLocalDpi xmlns:a14="http://schemas.microsoft.com/office/drawing/2010/main"/>
                        </a:ext>
                      </a:extLst>
                    </a:blip>
                    <a:stretch>
                      <a:fillRect/>
                    </a:stretch>
                  </pic:blipFill>
                  <pic:spPr>
                    <a:xfrm>
                      <a:off x="0" y="0"/>
                      <a:ext cx="5451903" cy="4142987"/>
                    </a:xfrm>
                    <a:prstGeom prst="rect">
                      <a:avLst/>
                    </a:prstGeom>
                  </pic:spPr>
                </pic:pic>
              </a:graphicData>
            </a:graphic>
          </wp:inline>
        </w:drawing>
      </w:r>
    </w:p>
    <w:p w14:paraId="2E2593A1" w14:textId="0F3C5C50" w:rsidR="001F07F4" w:rsidRDefault="00885E71" w:rsidP="00A32C92">
      <w:pPr>
        <w:pStyle w:val="Caption"/>
        <w:jc w:val="center"/>
      </w:pPr>
      <w:bookmarkStart w:id="159" w:name="_Ref226794760"/>
      <w:bookmarkStart w:id="160" w:name="_Toc226730789"/>
      <w:r>
        <w:t xml:space="preserve">Figure </w:t>
      </w:r>
      <w:fldSimple w:instr=" SEQ Figure \* ARABIC ">
        <w:r w:rsidR="00651A0D">
          <w:rPr>
            <w:noProof/>
          </w:rPr>
          <w:t>17</w:t>
        </w:r>
      </w:fldSimple>
      <w:bookmarkEnd w:id="159"/>
      <w:r>
        <w:tab/>
        <w:t>Changes in light when a) a trough was obstructing direct lighting, b) the trough was not present, c) a LedLenser P7R torch was used to illuminate the space.</w:t>
      </w:r>
      <w:bookmarkEnd w:id="160"/>
    </w:p>
    <w:p w14:paraId="61A33BB5" w14:textId="77777777" w:rsidR="00A32C92" w:rsidRPr="00A32C92" w:rsidRDefault="00A32C92" w:rsidP="00A32C92"/>
    <w:p w14:paraId="3FE95842" w14:textId="7D80B992" w:rsidR="003E15C2" w:rsidRDefault="003E15C2" w:rsidP="00D419FE">
      <w:pPr>
        <w:pStyle w:val="Caption"/>
      </w:pPr>
      <w:bookmarkStart w:id="161" w:name="_Ref219281117"/>
      <w:bookmarkStart w:id="162" w:name="_Toc219289935"/>
      <w:bookmarkStart w:id="163" w:name="_Toc226794708"/>
      <w:r>
        <w:lastRenderedPageBreak/>
        <w:t xml:space="preserve">Table </w:t>
      </w:r>
      <w:fldSimple w:instr=" SEQ Table \* ARABIC ">
        <w:r w:rsidR="00651A0D">
          <w:rPr>
            <w:noProof/>
          </w:rPr>
          <w:t>5</w:t>
        </w:r>
      </w:fldSimple>
      <w:bookmarkEnd w:id="161"/>
      <w:r>
        <w:tab/>
      </w:r>
      <w:r w:rsidRPr="00003444">
        <w:t xml:space="preserve">Light measurements (lux) taken on vessels berthed in Darwin during daylight and </w:t>
      </w:r>
      <w:r w:rsidR="006F0FD8">
        <w:t>night-time</w:t>
      </w:r>
      <w:r w:rsidRPr="00003444">
        <w:t>.</w:t>
      </w:r>
      <w:bookmarkEnd w:id="162"/>
      <w:bookmarkEnd w:id="163"/>
    </w:p>
    <w:tbl>
      <w:tblPr>
        <w:tblStyle w:val="2"/>
        <w:tblW w:w="9026" w:type="dxa"/>
        <w:tblBorders>
          <w:top w:val="single" w:sz="4" w:space="0" w:color="004F83"/>
          <w:bottom w:val="single" w:sz="4" w:space="0" w:color="004F83"/>
          <w:insideH w:val="single" w:sz="4" w:space="0" w:color="004F83"/>
        </w:tblBorders>
        <w:tblLayout w:type="fixed"/>
        <w:tblLook w:val="0420" w:firstRow="1" w:lastRow="0" w:firstColumn="0" w:lastColumn="0" w:noHBand="0" w:noVBand="1"/>
      </w:tblPr>
      <w:tblGrid>
        <w:gridCol w:w="2799"/>
        <w:gridCol w:w="3970"/>
        <w:gridCol w:w="1199"/>
        <w:gridCol w:w="1058"/>
      </w:tblGrid>
      <w:tr w:rsidR="003E15C2" w:rsidRPr="006D0AF7" w14:paraId="186F8BD4" w14:textId="77777777">
        <w:trPr>
          <w:cantSplit/>
          <w:trHeight w:val="315"/>
          <w:tblHeader/>
        </w:trPr>
        <w:tc>
          <w:tcPr>
            <w:tcW w:w="2799" w:type="dxa"/>
          </w:tcPr>
          <w:p w14:paraId="75EBA7BA" w14:textId="77777777" w:rsidR="003E15C2" w:rsidRPr="006D0AF7" w:rsidRDefault="003E15C2">
            <w:pPr>
              <w:keepNext/>
              <w:pBdr>
                <w:top w:val="nil"/>
                <w:left w:val="nil"/>
                <w:bottom w:val="nil"/>
                <w:right w:val="nil"/>
                <w:between w:val="nil"/>
              </w:pBdr>
              <w:spacing w:before="60" w:after="60"/>
              <w:rPr>
                <w:b/>
                <w:bCs/>
                <w:color w:val="004F83"/>
                <w:sz w:val="20"/>
                <w:szCs w:val="20"/>
              </w:rPr>
            </w:pPr>
            <w:bookmarkStart w:id="164" w:name="_heading=h.1t3nigjsfwdh" w:colFirst="0" w:colLast="0"/>
            <w:bookmarkEnd w:id="164"/>
            <w:r w:rsidRPr="006D0AF7">
              <w:rPr>
                <w:b/>
                <w:bCs/>
                <w:color w:val="004F83"/>
                <w:sz w:val="20"/>
                <w:szCs w:val="20"/>
              </w:rPr>
              <w:t>Vessel</w:t>
            </w:r>
          </w:p>
        </w:tc>
        <w:tc>
          <w:tcPr>
            <w:tcW w:w="3970" w:type="dxa"/>
          </w:tcPr>
          <w:p w14:paraId="6C8E7CE9" w14:textId="77777777" w:rsidR="003E15C2" w:rsidRPr="006D0AF7" w:rsidRDefault="003E15C2">
            <w:pPr>
              <w:keepNext/>
              <w:pBdr>
                <w:top w:val="nil"/>
                <w:left w:val="nil"/>
                <w:bottom w:val="nil"/>
                <w:right w:val="nil"/>
                <w:between w:val="nil"/>
              </w:pBdr>
              <w:spacing w:before="60" w:after="60"/>
              <w:rPr>
                <w:b/>
                <w:bCs/>
                <w:color w:val="004F83"/>
                <w:sz w:val="20"/>
                <w:szCs w:val="20"/>
              </w:rPr>
            </w:pPr>
            <w:r w:rsidRPr="006D0AF7">
              <w:rPr>
                <w:b/>
                <w:bCs/>
                <w:color w:val="004F83"/>
                <w:sz w:val="20"/>
                <w:szCs w:val="20"/>
              </w:rPr>
              <w:t>Location</w:t>
            </w:r>
          </w:p>
        </w:tc>
        <w:tc>
          <w:tcPr>
            <w:tcW w:w="1199" w:type="dxa"/>
          </w:tcPr>
          <w:p w14:paraId="315AD787" w14:textId="77777777" w:rsidR="003E15C2" w:rsidRPr="006D0AF7" w:rsidRDefault="003E15C2">
            <w:pPr>
              <w:keepNext/>
              <w:pBdr>
                <w:top w:val="nil"/>
                <w:left w:val="nil"/>
                <w:bottom w:val="nil"/>
                <w:right w:val="nil"/>
                <w:between w:val="nil"/>
              </w:pBdr>
              <w:spacing w:before="60" w:after="60"/>
              <w:rPr>
                <w:b/>
                <w:bCs/>
                <w:color w:val="004F83"/>
                <w:sz w:val="20"/>
                <w:szCs w:val="20"/>
              </w:rPr>
            </w:pPr>
            <w:r w:rsidRPr="006D0AF7">
              <w:rPr>
                <w:b/>
                <w:bCs/>
                <w:color w:val="004F83"/>
                <w:sz w:val="20"/>
                <w:szCs w:val="20"/>
              </w:rPr>
              <w:t>Day</w:t>
            </w:r>
          </w:p>
        </w:tc>
        <w:tc>
          <w:tcPr>
            <w:tcW w:w="1058" w:type="dxa"/>
          </w:tcPr>
          <w:p w14:paraId="050B2AA4" w14:textId="77777777" w:rsidR="003E15C2" w:rsidRPr="006D0AF7" w:rsidRDefault="003E15C2">
            <w:pPr>
              <w:keepNext/>
              <w:pBdr>
                <w:top w:val="nil"/>
                <w:left w:val="nil"/>
                <w:bottom w:val="nil"/>
                <w:right w:val="nil"/>
                <w:between w:val="nil"/>
              </w:pBdr>
              <w:spacing w:before="60" w:after="60"/>
              <w:rPr>
                <w:b/>
                <w:bCs/>
                <w:color w:val="004F83"/>
                <w:sz w:val="20"/>
                <w:szCs w:val="20"/>
              </w:rPr>
            </w:pPr>
            <w:r w:rsidRPr="006D0AF7">
              <w:rPr>
                <w:b/>
                <w:bCs/>
                <w:color w:val="004F83"/>
                <w:sz w:val="20"/>
                <w:szCs w:val="20"/>
              </w:rPr>
              <w:t>Night</w:t>
            </w:r>
          </w:p>
        </w:tc>
      </w:tr>
      <w:tr w:rsidR="003E15C2" w:rsidRPr="006D0AF7" w14:paraId="118FCA82" w14:textId="77777777">
        <w:trPr>
          <w:cantSplit/>
          <w:trHeight w:val="315"/>
        </w:trPr>
        <w:tc>
          <w:tcPr>
            <w:tcW w:w="2799" w:type="dxa"/>
          </w:tcPr>
          <w:p w14:paraId="0A540AFA"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Brahman Express</w:t>
            </w:r>
          </w:p>
        </w:tc>
        <w:tc>
          <w:tcPr>
            <w:tcW w:w="3970" w:type="dxa"/>
          </w:tcPr>
          <w:p w14:paraId="5535CCD2"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Dock</w:t>
            </w:r>
          </w:p>
        </w:tc>
        <w:tc>
          <w:tcPr>
            <w:tcW w:w="1199" w:type="dxa"/>
          </w:tcPr>
          <w:p w14:paraId="0BFF7061"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6800</w:t>
            </w:r>
          </w:p>
        </w:tc>
        <w:tc>
          <w:tcPr>
            <w:tcW w:w="1058" w:type="dxa"/>
          </w:tcPr>
          <w:p w14:paraId="6186F5C7" w14:textId="77777777" w:rsidR="003E15C2" w:rsidRPr="006D0AF7" w:rsidRDefault="003E15C2">
            <w:pPr>
              <w:keepNext/>
              <w:pBdr>
                <w:top w:val="nil"/>
                <w:left w:val="nil"/>
                <w:bottom w:val="nil"/>
                <w:right w:val="nil"/>
                <w:between w:val="nil"/>
              </w:pBdr>
              <w:spacing w:before="60" w:after="60"/>
              <w:rPr>
                <w:rFonts w:ascii="Arial" w:eastAsia="Arial" w:hAnsi="Arial" w:cs="Arial"/>
                <w:color w:val="000000"/>
                <w:sz w:val="20"/>
                <w:szCs w:val="20"/>
              </w:rPr>
            </w:pPr>
            <w:r w:rsidRPr="006D0AF7">
              <w:rPr>
                <w:color w:val="000000"/>
                <w:sz w:val="20"/>
                <w:szCs w:val="20"/>
              </w:rPr>
              <w:t>12.7</w:t>
            </w:r>
          </w:p>
        </w:tc>
      </w:tr>
      <w:tr w:rsidR="003E15C2" w:rsidRPr="006D0AF7" w14:paraId="4E36A8CE" w14:textId="77777777">
        <w:trPr>
          <w:cantSplit/>
          <w:trHeight w:val="315"/>
        </w:trPr>
        <w:tc>
          <w:tcPr>
            <w:tcW w:w="2799" w:type="dxa"/>
          </w:tcPr>
          <w:p w14:paraId="54589054" w14:textId="77777777" w:rsidR="003E15C2" w:rsidRPr="006D0AF7" w:rsidRDefault="003E15C2">
            <w:pPr>
              <w:keepNext/>
              <w:pBdr>
                <w:top w:val="nil"/>
                <w:left w:val="nil"/>
                <w:bottom w:val="nil"/>
                <w:right w:val="nil"/>
                <w:between w:val="nil"/>
              </w:pBdr>
              <w:spacing w:before="60" w:after="60"/>
              <w:rPr>
                <w:rFonts w:ascii="Times New Roman" w:eastAsia="Times New Roman" w:hAnsi="Times New Roman" w:cs="Times New Roman"/>
                <w:color w:val="000000"/>
                <w:sz w:val="20"/>
                <w:szCs w:val="20"/>
              </w:rPr>
            </w:pPr>
          </w:p>
        </w:tc>
        <w:tc>
          <w:tcPr>
            <w:tcW w:w="3970" w:type="dxa"/>
          </w:tcPr>
          <w:p w14:paraId="64A5BBB5"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 xml:space="preserve">Top deck </w:t>
            </w:r>
          </w:p>
        </w:tc>
        <w:tc>
          <w:tcPr>
            <w:tcW w:w="1199" w:type="dxa"/>
          </w:tcPr>
          <w:p w14:paraId="451EFCC0"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6120</w:t>
            </w:r>
          </w:p>
        </w:tc>
        <w:tc>
          <w:tcPr>
            <w:tcW w:w="1058" w:type="dxa"/>
          </w:tcPr>
          <w:p w14:paraId="50D31E1A"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8.8</w:t>
            </w:r>
          </w:p>
        </w:tc>
      </w:tr>
      <w:tr w:rsidR="003E15C2" w:rsidRPr="006D0AF7" w14:paraId="12B8DE31" w14:textId="77777777">
        <w:trPr>
          <w:cantSplit/>
          <w:trHeight w:val="315"/>
        </w:trPr>
        <w:tc>
          <w:tcPr>
            <w:tcW w:w="2799" w:type="dxa"/>
          </w:tcPr>
          <w:p w14:paraId="21F6CD1D"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Gelbray</w:t>
            </w:r>
          </w:p>
        </w:tc>
        <w:tc>
          <w:tcPr>
            <w:tcW w:w="3970" w:type="dxa"/>
          </w:tcPr>
          <w:p w14:paraId="1427A90E"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1 mid deck stairs</w:t>
            </w:r>
          </w:p>
        </w:tc>
        <w:tc>
          <w:tcPr>
            <w:tcW w:w="1199" w:type="dxa"/>
          </w:tcPr>
          <w:p w14:paraId="508D378E"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41.9</w:t>
            </w:r>
          </w:p>
        </w:tc>
        <w:tc>
          <w:tcPr>
            <w:tcW w:w="1058" w:type="dxa"/>
          </w:tcPr>
          <w:p w14:paraId="549928A3"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14</w:t>
            </w:r>
          </w:p>
        </w:tc>
      </w:tr>
      <w:tr w:rsidR="003E15C2" w:rsidRPr="006D0AF7" w14:paraId="54B6B811" w14:textId="77777777">
        <w:trPr>
          <w:cantSplit/>
          <w:trHeight w:val="315"/>
        </w:trPr>
        <w:tc>
          <w:tcPr>
            <w:tcW w:w="2799" w:type="dxa"/>
          </w:tcPr>
          <w:p w14:paraId="5930C3A2" w14:textId="77777777" w:rsidR="003E15C2" w:rsidRPr="006D0AF7" w:rsidRDefault="003E15C2">
            <w:pPr>
              <w:keepNext/>
              <w:pBdr>
                <w:top w:val="nil"/>
                <w:left w:val="nil"/>
                <w:bottom w:val="nil"/>
                <w:right w:val="nil"/>
                <w:between w:val="nil"/>
              </w:pBdr>
              <w:spacing w:before="60" w:after="60"/>
              <w:rPr>
                <w:rFonts w:ascii="Times New Roman" w:eastAsia="Times New Roman" w:hAnsi="Times New Roman" w:cs="Times New Roman"/>
                <w:color w:val="000000"/>
                <w:sz w:val="20"/>
                <w:szCs w:val="20"/>
              </w:rPr>
            </w:pPr>
          </w:p>
        </w:tc>
        <w:tc>
          <w:tcPr>
            <w:tcW w:w="3970" w:type="dxa"/>
          </w:tcPr>
          <w:p w14:paraId="3ECE02C8"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2 Bow end</w:t>
            </w:r>
          </w:p>
        </w:tc>
        <w:tc>
          <w:tcPr>
            <w:tcW w:w="1199" w:type="dxa"/>
          </w:tcPr>
          <w:p w14:paraId="004D7FD6"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10.9</w:t>
            </w:r>
          </w:p>
        </w:tc>
        <w:tc>
          <w:tcPr>
            <w:tcW w:w="1058" w:type="dxa"/>
          </w:tcPr>
          <w:p w14:paraId="382DEBAA"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11.9</w:t>
            </w:r>
          </w:p>
        </w:tc>
      </w:tr>
      <w:tr w:rsidR="003E15C2" w:rsidRPr="006D0AF7" w14:paraId="52280FE1" w14:textId="77777777">
        <w:trPr>
          <w:cantSplit/>
          <w:trHeight w:val="315"/>
        </w:trPr>
        <w:tc>
          <w:tcPr>
            <w:tcW w:w="2799" w:type="dxa"/>
          </w:tcPr>
          <w:p w14:paraId="00C04E34"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6C84D530"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2 Bow end – floor level</w:t>
            </w:r>
          </w:p>
        </w:tc>
        <w:tc>
          <w:tcPr>
            <w:tcW w:w="1199" w:type="dxa"/>
          </w:tcPr>
          <w:p w14:paraId="3EF38A66"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8.1</w:t>
            </w:r>
          </w:p>
        </w:tc>
        <w:tc>
          <w:tcPr>
            <w:tcW w:w="1058" w:type="dxa"/>
          </w:tcPr>
          <w:p w14:paraId="201148F1"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16.6</w:t>
            </w:r>
          </w:p>
        </w:tc>
      </w:tr>
      <w:tr w:rsidR="003E15C2" w:rsidRPr="006D0AF7" w14:paraId="12D65AF4" w14:textId="77777777">
        <w:trPr>
          <w:cantSplit/>
          <w:trHeight w:val="315"/>
        </w:trPr>
        <w:tc>
          <w:tcPr>
            <w:tcW w:w="2799" w:type="dxa"/>
          </w:tcPr>
          <w:p w14:paraId="65F60BC5"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2B2E6706"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2 mid deck stairs</w:t>
            </w:r>
          </w:p>
        </w:tc>
        <w:tc>
          <w:tcPr>
            <w:tcW w:w="1199" w:type="dxa"/>
          </w:tcPr>
          <w:p w14:paraId="2E331E95"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46.8</w:t>
            </w:r>
          </w:p>
        </w:tc>
        <w:tc>
          <w:tcPr>
            <w:tcW w:w="1058" w:type="dxa"/>
          </w:tcPr>
          <w:p w14:paraId="7A2905F4"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44.5</w:t>
            </w:r>
          </w:p>
        </w:tc>
      </w:tr>
      <w:tr w:rsidR="003E15C2" w:rsidRPr="006D0AF7" w14:paraId="1862D5D3" w14:textId="77777777">
        <w:trPr>
          <w:cantSplit/>
          <w:trHeight w:val="315"/>
        </w:trPr>
        <w:tc>
          <w:tcPr>
            <w:tcW w:w="2799" w:type="dxa"/>
          </w:tcPr>
          <w:p w14:paraId="446BF91D"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7D40A965"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2 Stern end</w:t>
            </w:r>
          </w:p>
        </w:tc>
        <w:tc>
          <w:tcPr>
            <w:tcW w:w="1199" w:type="dxa"/>
          </w:tcPr>
          <w:p w14:paraId="34AF7C0E"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7.6</w:t>
            </w:r>
          </w:p>
        </w:tc>
        <w:tc>
          <w:tcPr>
            <w:tcW w:w="1058" w:type="dxa"/>
          </w:tcPr>
          <w:p w14:paraId="4B37025F"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10</w:t>
            </w:r>
          </w:p>
        </w:tc>
      </w:tr>
      <w:tr w:rsidR="003E15C2" w:rsidRPr="006D0AF7" w14:paraId="1E2E047F" w14:textId="77777777">
        <w:trPr>
          <w:cantSplit/>
          <w:trHeight w:val="315"/>
        </w:trPr>
        <w:tc>
          <w:tcPr>
            <w:tcW w:w="2799" w:type="dxa"/>
          </w:tcPr>
          <w:p w14:paraId="22B1B4EE"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1676C78F"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2 Stern end – floor level</w:t>
            </w:r>
          </w:p>
        </w:tc>
        <w:tc>
          <w:tcPr>
            <w:tcW w:w="1199" w:type="dxa"/>
          </w:tcPr>
          <w:p w14:paraId="65D27C28"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4.7</w:t>
            </w:r>
          </w:p>
        </w:tc>
        <w:tc>
          <w:tcPr>
            <w:tcW w:w="1058" w:type="dxa"/>
          </w:tcPr>
          <w:p w14:paraId="56F2081C"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6.4</w:t>
            </w:r>
          </w:p>
        </w:tc>
      </w:tr>
      <w:tr w:rsidR="003E15C2" w:rsidRPr="006D0AF7" w14:paraId="62048F46" w14:textId="77777777">
        <w:trPr>
          <w:cantSplit/>
          <w:trHeight w:val="315"/>
        </w:trPr>
        <w:tc>
          <w:tcPr>
            <w:tcW w:w="2799" w:type="dxa"/>
          </w:tcPr>
          <w:p w14:paraId="666F4C4F"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56CF5A2D"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3 Bow end</w:t>
            </w:r>
          </w:p>
        </w:tc>
        <w:tc>
          <w:tcPr>
            <w:tcW w:w="1199" w:type="dxa"/>
          </w:tcPr>
          <w:p w14:paraId="6BC34444"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7.2</w:t>
            </w:r>
          </w:p>
        </w:tc>
        <w:tc>
          <w:tcPr>
            <w:tcW w:w="1058" w:type="dxa"/>
          </w:tcPr>
          <w:p w14:paraId="3D1ECF54"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8</w:t>
            </w:r>
          </w:p>
        </w:tc>
      </w:tr>
      <w:tr w:rsidR="003E15C2" w:rsidRPr="006D0AF7" w14:paraId="5B69F953" w14:textId="77777777">
        <w:trPr>
          <w:cantSplit/>
          <w:trHeight w:val="315"/>
        </w:trPr>
        <w:tc>
          <w:tcPr>
            <w:tcW w:w="2799" w:type="dxa"/>
          </w:tcPr>
          <w:p w14:paraId="63F94E63"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6E41239F"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3 Bow end – floor level</w:t>
            </w:r>
          </w:p>
        </w:tc>
        <w:tc>
          <w:tcPr>
            <w:tcW w:w="1199" w:type="dxa"/>
          </w:tcPr>
          <w:p w14:paraId="54008E09"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4.6</w:t>
            </w:r>
          </w:p>
        </w:tc>
        <w:tc>
          <w:tcPr>
            <w:tcW w:w="1058" w:type="dxa"/>
          </w:tcPr>
          <w:p w14:paraId="3455D21A"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3.5</w:t>
            </w:r>
          </w:p>
        </w:tc>
      </w:tr>
      <w:tr w:rsidR="003E15C2" w:rsidRPr="006D0AF7" w14:paraId="78E35E62" w14:textId="77777777">
        <w:trPr>
          <w:cantSplit/>
          <w:trHeight w:val="315"/>
        </w:trPr>
        <w:tc>
          <w:tcPr>
            <w:tcW w:w="2799" w:type="dxa"/>
          </w:tcPr>
          <w:p w14:paraId="0B8EC2BE"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7ED1A17A"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3 mid deck stairs</w:t>
            </w:r>
          </w:p>
        </w:tc>
        <w:tc>
          <w:tcPr>
            <w:tcW w:w="1199" w:type="dxa"/>
          </w:tcPr>
          <w:p w14:paraId="4B2CB6D6"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46.8</w:t>
            </w:r>
          </w:p>
        </w:tc>
        <w:tc>
          <w:tcPr>
            <w:tcW w:w="1058" w:type="dxa"/>
          </w:tcPr>
          <w:p w14:paraId="0D6F10C7"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43.3</w:t>
            </w:r>
          </w:p>
        </w:tc>
      </w:tr>
      <w:tr w:rsidR="003E15C2" w:rsidRPr="006D0AF7" w14:paraId="14F166D4" w14:textId="77777777">
        <w:trPr>
          <w:cantSplit/>
          <w:trHeight w:val="315"/>
        </w:trPr>
        <w:tc>
          <w:tcPr>
            <w:tcW w:w="2799" w:type="dxa"/>
          </w:tcPr>
          <w:p w14:paraId="45A8C95E"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7741E70C"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3 Stern end</w:t>
            </w:r>
          </w:p>
        </w:tc>
        <w:tc>
          <w:tcPr>
            <w:tcW w:w="1199" w:type="dxa"/>
          </w:tcPr>
          <w:p w14:paraId="3649B7A3"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12.9</w:t>
            </w:r>
          </w:p>
        </w:tc>
        <w:tc>
          <w:tcPr>
            <w:tcW w:w="1058" w:type="dxa"/>
          </w:tcPr>
          <w:p w14:paraId="4516C0DB"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8.9</w:t>
            </w:r>
          </w:p>
        </w:tc>
      </w:tr>
      <w:tr w:rsidR="003E15C2" w:rsidRPr="006D0AF7" w14:paraId="30B15925" w14:textId="77777777">
        <w:trPr>
          <w:cantSplit/>
          <w:trHeight w:val="315"/>
        </w:trPr>
        <w:tc>
          <w:tcPr>
            <w:tcW w:w="2799" w:type="dxa"/>
          </w:tcPr>
          <w:p w14:paraId="0C02A19E"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5BFEF2A1"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3 Stern end – floor level</w:t>
            </w:r>
          </w:p>
        </w:tc>
        <w:tc>
          <w:tcPr>
            <w:tcW w:w="1199" w:type="dxa"/>
          </w:tcPr>
          <w:p w14:paraId="5EAEE839"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5.5</w:t>
            </w:r>
          </w:p>
        </w:tc>
        <w:tc>
          <w:tcPr>
            <w:tcW w:w="1058" w:type="dxa"/>
          </w:tcPr>
          <w:p w14:paraId="770FB576"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11.1</w:t>
            </w:r>
          </w:p>
        </w:tc>
      </w:tr>
      <w:tr w:rsidR="003E15C2" w:rsidRPr="006D0AF7" w14:paraId="7A8ECBAA" w14:textId="77777777">
        <w:trPr>
          <w:cantSplit/>
          <w:trHeight w:val="315"/>
        </w:trPr>
        <w:tc>
          <w:tcPr>
            <w:tcW w:w="2799" w:type="dxa"/>
          </w:tcPr>
          <w:p w14:paraId="1EB59BDD"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38292256"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4 Bow end</w:t>
            </w:r>
          </w:p>
        </w:tc>
        <w:tc>
          <w:tcPr>
            <w:tcW w:w="1199" w:type="dxa"/>
          </w:tcPr>
          <w:p w14:paraId="1D1707CC"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3.3</w:t>
            </w:r>
          </w:p>
        </w:tc>
        <w:tc>
          <w:tcPr>
            <w:tcW w:w="1058" w:type="dxa"/>
          </w:tcPr>
          <w:p w14:paraId="1792ECB0"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6.8</w:t>
            </w:r>
          </w:p>
        </w:tc>
      </w:tr>
      <w:tr w:rsidR="003E15C2" w:rsidRPr="006D0AF7" w14:paraId="73F6C0D0" w14:textId="77777777">
        <w:trPr>
          <w:cantSplit/>
          <w:trHeight w:val="315"/>
        </w:trPr>
        <w:tc>
          <w:tcPr>
            <w:tcW w:w="2799" w:type="dxa"/>
          </w:tcPr>
          <w:p w14:paraId="53282DA5"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476BFA91"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4 Bow end – floor level</w:t>
            </w:r>
          </w:p>
        </w:tc>
        <w:tc>
          <w:tcPr>
            <w:tcW w:w="1199" w:type="dxa"/>
          </w:tcPr>
          <w:p w14:paraId="14786E89"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3.3</w:t>
            </w:r>
          </w:p>
        </w:tc>
        <w:tc>
          <w:tcPr>
            <w:tcW w:w="1058" w:type="dxa"/>
          </w:tcPr>
          <w:p w14:paraId="6B3539C9"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5.1</w:t>
            </w:r>
          </w:p>
        </w:tc>
      </w:tr>
      <w:tr w:rsidR="003E15C2" w:rsidRPr="006D0AF7" w14:paraId="784CE935" w14:textId="77777777">
        <w:trPr>
          <w:cantSplit/>
          <w:trHeight w:val="315"/>
        </w:trPr>
        <w:tc>
          <w:tcPr>
            <w:tcW w:w="2799" w:type="dxa"/>
          </w:tcPr>
          <w:p w14:paraId="5C4FE1DF"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7F992104"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4 mid deck</w:t>
            </w:r>
          </w:p>
        </w:tc>
        <w:tc>
          <w:tcPr>
            <w:tcW w:w="1199" w:type="dxa"/>
          </w:tcPr>
          <w:p w14:paraId="3094A412"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49.7</w:t>
            </w:r>
          </w:p>
        </w:tc>
        <w:tc>
          <w:tcPr>
            <w:tcW w:w="1058" w:type="dxa"/>
          </w:tcPr>
          <w:p w14:paraId="5167058E"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46.1</w:t>
            </w:r>
          </w:p>
        </w:tc>
      </w:tr>
      <w:tr w:rsidR="003E15C2" w:rsidRPr="006D0AF7" w14:paraId="6BE09A9F" w14:textId="77777777">
        <w:trPr>
          <w:cantSplit/>
          <w:trHeight w:val="315"/>
        </w:trPr>
        <w:tc>
          <w:tcPr>
            <w:tcW w:w="2799" w:type="dxa"/>
          </w:tcPr>
          <w:p w14:paraId="399B812D"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1DB77CFB"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4 Stern end</w:t>
            </w:r>
          </w:p>
        </w:tc>
        <w:tc>
          <w:tcPr>
            <w:tcW w:w="1199" w:type="dxa"/>
          </w:tcPr>
          <w:p w14:paraId="234276A9"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7.4</w:t>
            </w:r>
          </w:p>
        </w:tc>
        <w:tc>
          <w:tcPr>
            <w:tcW w:w="1058" w:type="dxa"/>
          </w:tcPr>
          <w:p w14:paraId="47CF0431"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6.2</w:t>
            </w:r>
          </w:p>
        </w:tc>
      </w:tr>
      <w:tr w:rsidR="003E15C2" w:rsidRPr="006D0AF7" w14:paraId="6005A2C9" w14:textId="77777777">
        <w:trPr>
          <w:cantSplit/>
          <w:trHeight w:val="315"/>
        </w:trPr>
        <w:tc>
          <w:tcPr>
            <w:tcW w:w="2799" w:type="dxa"/>
          </w:tcPr>
          <w:p w14:paraId="2298C943"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5A6DE0C9"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4 Stern end – floor level</w:t>
            </w:r>
          </w:p>
        </w:tc>
        <w:tc>
          <w:tcPr>
            <w:tcW w:w="1199" w:type="dxa"/>
          </w:tcPr>
          <w:p w14:paraId="445569DE"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16</w:t>
            </w:r>
          </w:p>
        </w:tc>
        <w:tc>
          <w:tcPr>
            <w:tcW w:w="1058" w:type="dxa"/>
          </w:tcPr>
          <w:p w14:paraId="1BCB443D"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4.7</w:t>
            </w:r>
          </w:p>
        </w:tc>
      </w:tr>
      <w:tr w:rsidR="003E15C2" w:rsidRPr="006D0AF7" w14:paraId="0442B100" w14:textId="77777777">
        <w:trPr>
          <w:cantSplit/>
          <w:trHeight w:val="315"/>
        </w:trPr>
        <w:tc>
          <w:tcPr>
            <w:tcW w:w="2799" w:type="dxa"/>
          </w:tcPr>
          <w:p w14:paraId="5342F5ED"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4AE15712"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5 Bow end</w:t>
            </w:r>
          </w:p>
        </w:tc>
        <w:tc>
          <w:tcPr>
            <w:tcW w:w="1199" w:type="dxa"/>
          </w:tcPr>
          <w:p w14:paraId="41D61C70"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3.4</w:t>
            </w:r>
          </w:p>
        </w:tc>
        <w:tc>
          <w:tcPr>
            <w:tcW w:w="1058" w:type="dxa"/>
          </w:tcPr>
          <w:p w14:paraId="4E0DD8CB"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5.2</w:t>
            </w:r>
          </w:p>
        </w:tc>
      </w:tr>
      <w:tr w:rsidR="003E15C2" w:rsidRPr="006D0AF7" w14:paraId="4137B897" w14:textId="77777777">
        <w:trPr>
          <w:cantSplit/>
          <w:trHeight w:val="315"/>
        </w:trPr>
        <w:tc>
          <w:tcPr>
            <w:tcW w:w="2799" w:type="dxa"/>
          </w:tcPr>
          <w:p w14:paraId="0D8D0AE5"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76E7A803"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5 Bow end – floor level</w:t>
            </w:r>
          </w:p>
        </w:tc>
        <w:tc>
          <w:tcPr>
            <w:tcW w:w="1199" w:type="dxa"/>
          </w:tcPr>
          <w:p w14:paraId="30257D77"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4.3</w:t>
            </w:r>
          </w:p>
        </w:tc>
        <w:tc>
          <w:tcPr>
            <w:tcW w:w="1058" w:type="dxa"/>
          </w:tcPr>
          <w:p w14:paraId="294B1A2B"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6.9</w:t>
            </w:r>
          </w:p>
        </w:tc>
      </w:tr>
      <w:tr w:rsidR="003E15C2" w:rsidRPr="006D0AF7" w14:paraId="07560656" w14:textId="77777777">
        <w:trPr>
          <w:cantSplit/>
          <w:trHeight w:val="315"/>
        </w:trPr>
        <w:tc>
          <w:tcPr>
            <w:tcW w:w="2799" w:type="dxa"/>
          </w:tcPr>
          <w:p w14:paraId="11B151F3"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5AA189A1"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5 mid deck stairs</w:t>
            </w:r>
          </w:p>
        </w:tc>
        <w:tc>
          <w:tcPr>
            <w:tcW w:w="1199" w:type="dxa"/>
          </w:tcPr>
          <w:p w14:paraId="0229C1BB"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332</w:t>
            </w:r>
          </w:p>
        </w:tc>
        <w:tc>
          <w:tcPr>
            <w:tcW w:w="1058" w:type="dxa"/>
          </w:tcPr>
          <w:p w14:paraId="16F9C70D"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279</w:t>
            </w:r>
          </w:p>
        </w:tc>
      </w:tr>
      <w:tr w:rsidR="003E15C2" w:rsidRPr="006D0AF7" w14:paraId="5C428EFD" w14:textId="77777777">
        <w:trPr>
          <w:cantSplit/>
          <w:trHeight w:val="315"/>
        </w:trPr>
        <w:tc>
          <w:tcPr>
            <w:tcW w:w="2799" w:type="dxa"/>
          </w:tcPr>
          <w:p w14:paraId="0A3DB5BC"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7C71B261"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5 Stern end</w:t>
            </w:r>
          </w:p>
        </w:tc>
        <w:tc>
          <w:tcPr>
            <w:tcW w:w="1199" w:type="dxa"/>
          </w:tcPr>
          <w:p w14:paraId="30D51F36"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5.9</w:t>
            </w:r>
          </w:p>
        </w:tc>
        <w:tc>
          <w:tcPr>
            <w:tcW w:w="1058" w:type="dxa"/>
          </w:tcPr>
          <w:p w14:paraId="7B1B2AB6"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10.2</w:t>
            </w:r>
          </w:p>
        </w:tc>
      </w:tr>
      <w:tr w:rsidR="003E15C2" w:rsidRPr="006D0AF7" w14:paraId="4A12DFC7" w14:textId="77777777">
        <w:trPr>
          <w:cantSplit/>
          <w:trHeight w:val="315"/>
        </w:trPr>
        <w:tc>
          <w:tcPr>
            <w:tcW w:w="2799" w:type="dxa"/>
          </w:tcPr>
          <w:p w14:paraId="007457F5"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0A5EEF87"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5 Stern end – floor level</w:t>
            </w:r>
          </w:p>
        </w:tc>
        <w:tc>
          <w:tcPr>
            <w:tcW w:w="1199" w:type="dxa"/>
          </w:tcPr>
          <w:p w14:paraId="7717D73F"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3.8</w:t>
            </w:r>
          </w:p>
        </w:tc>
        <w:tc>
          <w:tcPr>
            <w:tcW w:w="1058" w:type="dxa"/>
          </w:tcPr>
          <w:p w14:paraId="68A982FC"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4.7</w:t>
            </w:r>
          </w:p>
        </w:tc>
      </w:tr>
      <w:tr w:rsidR="003E15C2" w:rsidRPr="006D0AF7" w14:paraId="7C01552D" w14:textId="77777777">
        <w:trPr>
          <w:cantSplit/>
          <w:trHeight w:val="315"/>
        </w:trPr>
        <w:tc>
          <w:tcPr>
            <w:tcW w:w="2799" w:type="dxa"/>
          </w:tcPr>
          <w:p w14:paraId="511FB427"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484F145C"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 xml:space="preserve">Top deck </w:t>
            </w:r>
          </w:p>
        </w:tc>
        <w:tc>
          <w:tcPr>
            <w:tcW w:w="1199" w:type="dxa"/>
          </w:tcPr>
          <w:p w14:paraId="1CCCDF3F"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52600</w:t>
            </w:r>
          </w:p>
        </w:tc>
        <w:tc>
          <w:tcPr>
            <w:tcW w:w="1058" w:type="dxa"/>
          </w:tcPr>
          <w:p w14:paraId="7A9D34D9"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13</w:t>
            </w:r>
          </w:p>
        </w:tc>
      </w:tr>
      <w:tr w:rsidR="003E15C2" w:rsidRPr="006D0AF7" w14:paraId="725BDC68" w14:textId="77777777">
        <w:trPr>
          <w:cantSplit/>
          <w:trHeight w:val="315"/>
        </w:trPr>
        <w:tc>
          <w:tcPr>
            <w:tcW w:w="2799" w:type="dxa"/>
          </w:tcPr>
          <w:p w14:paraId="5A2D9236"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Girolando</w:t>
            </w:r>
          </w:p>
        </w:tc>
        <w:tc>
          <w:tcPr>
            <w:tcW w:w="3970" w:type="dxa"/>
          </w:tcPr>
          <w:p w14:paraId="214F0CFE"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5 Bow end</w:t>
            </w:r>
          </w:p>
        </w:tc>
        <w:tc>
          <w:tcPr>
            <w:tcW w:w="1199" w:type="dxa"/>
          </w:tcPr>
          <w:p w14:paraId="70B22AE9"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13.6</w:t>
            </w:r>
          </w:p>
        </w:tc>
        <w:tc>
          <w:tcPr>
            <w:tcW w:w="1058" w:type="dxa"/>
          </w:tcPr>
          <w:p w14:paraId="7E252726"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11.8</w:t>
            </w:r>
          </w:p>
        </w:tc>
      </w:tr>
      <w:tr w:rsidR="003E15C2" w:rsidRPr="006D0AF7" w14:paraId="32CC1841" w14:textId="77777777">
        <w:trPr>
          <w:cantSplit/>
          <w:trHeight w:val="315"/>
        </w:trPr>
        <w:tc>
          <w:tcPr>
            <w:tcW w:w="2799" w:type="dxa"/>
          </w:tcPr>
          <w:p w14:paraId="49236882" w14:textId="77777777" w:rsidR="003E15C2" w:rsidRPr="006D0AF7" w:rsidRDefault="003E15C2">
            <w:pPr>
              <w:keepNext/>
              <w:pBdr>
                <w:top w:val="nil"/>
                <w:left w:val="nil"/>
                <w:bottom w:val="nil"/>
                <w:right w:val="nil"/>
                <w:between w:val="nil"/>
              </w:pBdr>
              <w:spacing w:before="60" w:after="60"/>
              <w:rPr>
                <w:rFonts w:ascii="Times New Roman" w:eastAsia="Times New Roman" w:hAnsi="Times New Roman" w:cs="Times New Roman"/>
                <w:color w:val="000000"/>
                <w:sz w:val="20"/>
                <w:szCs w:val="20"/>
              </w:rPr>
            </w:pPr>
          </w:p>
        </w:tc>
        <w:tc>
          <w:tcPr>
            <w:tcW w:w="3970" w:type="dxa"/>
          </w:tcPr>
          <w:p w14:paraId="6E6D1E43"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5 Bow end – floor level</w:t>
            </w:r>
          </w:p>
        </w:tc>
        <w:tc>
          <w:tcPr>
            <w:tcW w:w="1199" w:type="dxa"/>
          </w:tcPr>
          <w:p w14:paraId="6B2EE4C7"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12.2</w:t>
            </w:r>
          </w:p>
        </w:tc>
        <w:tc>
          <w:tcPr>
            <w:tcW w:w="1058" w:type="dxa"/>
          </w:tcPr>
          <w:p w14:paraId="010B8A7A"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8.7</w:t>
            </w:r>
          </w:p>
        </w:tc>
      </w:tr>
      <w:tr w:rsidR="003E15C2" w:rsidRPr="006D0AF7" w14:paraId="5AB34FEE" w14:textId="77777777">
        <w:trPr>
          <w:cantSplit/>
          <w:trHeight w:val="315"/>
        </w:trPr>
        <w:tc>
          <w:tcPr>
            <w:tcW w:w="2799" w:type="dxa"/>
          </w:tcPr>
          <w:p w14:paraId="5ACB365A"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40F0FDA3"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5 mid deck stairs</w:t>
            </w:r>
          </w:p>
        </w:tc>
        <w:tc>
          <w:tcPr>
            <w:tcW w:w="1199" w:type="dxa"/>
          </w:tcPr>
          <w:p w14:paraId="783F3DC3"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397</w:t>
            </w:r>
          </w:p>
        </w:tc>
        <w:tc>
          <w:tcPr>
            <w:tcW w:w="1058" w:type="dxa"/>
          </w:tcPr>
          <w:p w14:paraId="2D316318"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0</w:t>
            </w:r>
          </w:p>
        </w:tc>
      </w:tr>
      <w:tr w:rsidR="003E15C2" w:rsidRPr="006D0AF7" w14:paraId="6C8E5063" w14:textId="77777777">
        <w:trPr>
          <w:cantSplit/>
          <w:trHeight w:val="315"/>
        </w:trPr>
        <w:tc>
          <w:tcPr>
            <w:tcW w:w="2799" w:type="dxa"/>
          </w:tcPr>
          <w:p w14:paraId="2C0E50DA"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3C408A8C"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Deck 5 Stern end</w:t>
            </w:r>
          </w:p>
        </w:tc>
        <w:tc>
          <w:tcPr>
            <w:tcW w:w="1199" w:type="dxa"/>
          </w:tcPr>
          <w:p w14:paraId="130FDE0D"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3.2</w:t>
            </w:r>
          </w:p>
        </w:tc>
        <w:tc>
          <w:tcPr>
            <w:tcW w:w="1058" w:type="dxa"/>
          </w:tcPr>
          <w:p w14:paraId="62C64D3F"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5.9</w:t>
            </w:r>
          </w:p>
        </w:tc>
      </w:tr>
      <w:tr w:rsidR="003E15C2" w:rsidRPr="006D0AF7" w14:paraId="6807BB97" w14:textId="77777777">
        <w:trPr>
          <w:cantSplit/>
          <w:trHeight w:val="315"/>
        </w:trPr>
        <w:tc>
          <w:tcPr>
            <w:tcW w:w="2799" w:type="dxa"/>
          </w:tcPr>
          <w:p w14:paraId="2AAED263" w14:textId="77777777" w:rsidR="003E15C2" w:rsidRPr="006D0AF7" w:rsidRDefault="003E15C2">
            <w:pPr>
              <w:keepNext/>
              <w:pBdr>
                <w:top w:val="nil"/>
                <w:left w:val="nil"/>
                <w:bottom w:val="nil"/>
                <w:right w:val="nil"/>
                <w:between w:val="nil"/>
              </w:pBdr>
              <w:spacing w:before="60" w:after="60"/>
              <w:rPr>
                <w:rFonts w:ascii="Times New Roman" w:eastAsia="Times New Roman" w:hAnsi="Times New Roman" w:cs="Times New Roman"/>
                <w:color w:val="000000"/>
                <w:sz w:val="20"/>
                <w:szCs w:val="20"/>
              </w:rPr>
            </w:pPr>
          </w:p>
        </w:tc>
        <w:tc>
          <w:tcPr>
            <w:tcW w:w="3970" w:type="dxa"/>
          </w:tcPr>
          <w:p w14:paraId="0FC9F383"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Dock</w:t>
            </w:r>
          </w:p>
        </w:tc>
        <w:tc>
          <w:tcPr>
            <w:tcW w:w="1199" w:type="dxa"/>
          </w:tcPr>
          <w:p w14:paraId="518FB05F"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84000</w:t>
            </w:r>
          </w:p>
        </w:tc>
        <w:tc>
          <w:tcPr>
            <w:tcW w:w="1058" w:type="dxa"/>
          </w:tcPr>
          <w:p w14:paraId="106E06CE"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21.8</w:t>
            </w:r>
          </w:p>
        </w:tc>
      </w:tr>
      <w:tr w:rsidR="003E15C2" w:rsidRPr="006D0AF7" w14:paraId="12F947F7" w14:textId="77777777">
        <w:trPr>
          <w:cantSplit/>
          <w:trHeight w:val="315"/>
        </w:trPr>
        <w:tc>
          <w:tcPr>
            <w:tcW w:w="2799" w:type="dxa"/>
          </w:tcPr>
          <w:p w14:paraId="0BB476E3" w14:textId="77777777" w:rsidR="003E15C2" w:rsidRPr="006D0AF7" w:rsidRDefault="003E15C2">
            <w:pPr>
              <w:keepNext/>
              <w:pBdr>
                <w:top w:val="nil"/>
                <w:left w:val="nil"/>
                <w:bottom w:val="nil"/>
                <w:right w:val="nil"/>
                <w:between w:val="nil"/>
              </w:pBdr>
              <w:spacing w:before="60" w:after="60"/>
              <w:rPr>
                <w:color w:val="000000"/>
                <w:sz w:val="20"/>
                <w:szCs w:val="20"/>
              </w:rPr>
            </w:pPr>
          </w:p>
        </w:tc>
        <w:tc>
          <w:tcPr>
            <w:tcW w:w="3970" w:type="dxa"/>
          </w:tcPr>
          <w:p w14:paraId="25418C94"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Top deck</w:t>
            </w:r>
          </w:p>
        </w:tc>
        <w:tc>
          <w:tcPr>
            <w:tcW w:w="1199" w:type="dxa"/>
          </w:tcPr>
          <w:p w14:paraId="5EBAC063"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94600</w:t>
            </w:r>
          </w:p>
        </w:tc>
        <w:tc>
          <w:tcPr>
            <w:tcW w:w="1058" w:type="dxa"/>
          </w:tcPr>
          <w:p w14:paraId="3D737FC4" w14:textId="77777777" w:rsidR="003E15C2" w:rsidRPr="006D0AF7" w:rsidRDefault="003E15C2">
            <w:pPr>
              <w:keepNext/>
              <w:pBdr>
                <w:top w:val="nil"/>
                <w:left w:val="nil"/>
                <w:bottom w:val="nil"/>
                <w:right w:val="nil"/>
                <w:between w:val="nil"/>
              </w:pBdr>
              <w:spacing w:before="60" w:after="60"/>
              <w:rPr>
                <w:color w:val="000000"/>
                <w:sz w:val="20"/>
                <w:szCs w:val="20"/>
              </w:rPr>
            </w:pPr>
            <w:r w:rsidRPr="006D0AF7">
              <w:rPr>
                <w:color w:val="000000"/>
                <w:sz w:val="20"/>
                <w:szCs w:val="20"/>
              </w:rPr>
              <w:t>71.9</w:t>
            </w:r>
          </w:p>
        </w:tc>
      </w:tr>
    </w:tbl>
    <w:p w14:paraId="004A8655" w14:textId="77777777" w:rsidR="003E15C2" w:rsidRDefault="003E15C2">
      <w:pPr>
        <w:tabs>
          <w:tab w:val="right" w:pos="9000"/>
        </w:tabs>
        <w:spacing w:after="240"/>
      </w:pPr>
    </w:p>
    <w:p w14:paraId="7765A8BC" w14:textId="738993E4" w:rsidR="003E15C2" w:rsidRDefault="009140BF" w:rsidP="009E1EA2">
      <w:pPr>
        <w:pStyle w:val="Heading1"/>
      </w:pPr>
      <w:bookmarkStart w:id="165" w:name="_Toc226464264"/>
      <w:bookmarkStart w:id="166" w:name="_Toc226464328"/>
      <w:bookmarkStart w:id="167" w:name="_Toc226464392"/>
      <w:bookmarkStart w:id="168" w:name="_Toc226464265"/>
      <w:bookmarkStart w:id="169" w:name="_Toc226464329"/>
      <w:bookmarkStart w:id="170" w:name="_Toc226464393"/>
      <w:bookmarkStart w:id="171" w:name="_Toc226464266"/>
      <w:bookmarkStart w:id="172" w:name="_Toc226464330"/>
      <w:bookmarkStart w:id="173" w:name="_Toc226464394"/>
      <w:bookmarkStart w:id="174" w:name="_Toc226464267"/>
      <w:bookmarkStart w:id="175" w:name="_Toc226464331"/>
      <w:bookmarkStart w:id="176" w:name="_Toc226464395"/>
      <w:bookmarkStart w:id="177" w:name="_Toc226464268"/>
      <w:bookmarkStart w:id="178" w:name="_Toc226464332"/>
      <w:bookmarkStart w:id="179" w:name="_Toc226464396"/>
      <w:bookmarkStart w:id="180" w:name="_Toc226464269"/>
      <w:bookmarkStart w:id="181" w:name="_Toc226464333"/>
      <w:bookmarkStart w:id="182" w:name="_Toc226464397"/>
      <w:bookmarkStart w:id="183" w:name="_Toc226464270"/>
      <w:bookmarkStart w:id="184" w:name="_Toc226464334"/>
      <w:bookmarkStart w:id="185" w:name="_Toc226464398"/>
      <w:bookmarkStart w:id="186" w:name="_Toc226464271"/>
      <w:bookmarkStart w:id="187" w:name="_Toc226464335"/>
      <w:bookmarkStart w:id="188" w:name="_Toc226464399"/>
      <w:bookmarkStart w:id="189" w:name="_Toc226464272"/>
      <w:bookmarkStart w:id="190" w:name="_Toc226464336"/>
      <w:bookmarkStart w:id="191" w:name="_Toc226464400"/>
      <w:bookmarkStart w:id="192" w:name="_Toc226464273"/>
      <w:bookmarkStart w:id="193" w:name="_Toc226464337"/>
      <w:bookmarkStart w:id="194" w:name="_Toc226464401"/>
      <w:bookmarkStart w:id="195" w:name="_Toc226464274"/>
      <w:bookmarkStart w:id="196" w:name="_Toc226464338"/>
      <w:bookmarkStart w:id="197" w:name="_Toc226464402"/>
      <w:bookmarkStart w:id="198" w:name="_Toc226464275"/>
      <w:bookmarkStart w:id="199" w:name="_Toc226464339"/>
      <w:bookmarkStart w:id="200" w:name="_Toc226464403"/>
      <w:bookmarkStart w:id="201" w:name="_Toc226464276"/>
      <w:bookmarkStart w:id="202" w:name="_Toc226464340"/>
      <w:bookmarkStart w:id="203" w:name="_Toc226464404"/>
      <w:bookmarkStart w:id="204" w:name="_Toc226464277"/>
      <w:bookmarkStart w:id="205" w:name="_Toc226464341"/>
      <w:bookmarkStart w:id="206" w:name="_Toc226464405"/>
      <w:bookmarkStart w:id="207" w:name="_Toc226464278"/>
      <w:bookmarkStart w:id="208" w:name="_Toc226464342"/>
      <w:bookmarkStart w:id="209" w:name="_Toc226464406"/>
      <w:bookmarkStart w:id="210" w:name="_Toc226464279"/>
      <w:bookmarkStart w:id="211" w:name="_Toc226464343"/>
      <w:bookmarkStart w:id="212" w:name="_Toc226464407"/>
      <w:bookmarkStart w:id="213" w:name="_Toc226464280"/>
      <w:bookmarkStart w:id="214" w:name="_Toc226464344"/>
      <w:bookmarkStart w:id="215" w:name="_Toc226464408"/>
      <w:bookmarkStart w:id="216" w:name="_Toc22679697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lastRenderedPageBreak/>
        <w:t>Discussion</w:t>
      </w:r>
      <w:bookmarkEnd w:id="216"/>
    </w:p>
    <w:p w14:paraId="12073494" w14:textId="5A66D0A6" w:rsidR="003E15C2" w:rsidRDefault="003E15C2" w:rsidP="004D6005">
      <w:pPr>
        <w:pStyle w:val="Heading2"/>
        <w:spacing w:before="240" w:after="240"/>
        <w:ind w:left="578" w:hanging="578"/>
      </w:pPr>
      <w:bookmarkStart w:id="217" w:name="_Toc226796978"/>
      <w:bookmarkStart w:id="218" w:name="_Toc219290023"/>
      <w:r>
        <w:t>Key findings</w:t>
      </w:r>
      <w:bookmarkEnd w:id="217"/>
      <w:r>
        <w:t xml:space="preserve"> </w:t>
      </w:r>
      <w:bookmarkEnd w:id="218"/>
    </w:p>
    <w:p w14:paraId="3978C40B" w14:textId="68F05E84" w:rsidR="003E15C2" w:rsidRDefault="003E15C2">
      <w:pPr>
        <w:spacing w:before="120"/>
        <w:rPr>
          <w:rFonts w:eastAsia="Garamond" w:cs="Garamond"/>
          <w:szCs w:val="22"/>
        </w:rPr>
      </w:pPr>
      <w:r>
        <w:rPr>
          <w:rFonts w:eastAsia="Garamond" w:cs="Garamond"/>
          <w:szCs w:val="22"/>
        </w:rPr>
        <w:t>Incoming livestock carrier vessels are classified as high biosecurity risk</w:t>
      </w:r>
      <w:r w:rsidR="001C78D5">
        <w:rPr>
          <w:rFonts w:eastAsia="Garamond" w:cs="Garamond"/>
          <w:szCs w:val="22"/>
        </w:rPr>
        <w:t xml:space="preserve">. Appropriately, on arrival at an Australian port the vessels must withstand </w:t>
      </w:r>
      <w:r>
        <w:rPr>
          <w:rFonts w:eastAsia="Garamond" w:cs="Garamond"/>
          <w:szCs w:val="22"/>
        </w:rPr>
        <w:t>a high standard of scrutiny</w:t>
      </w:r>
      <w:r w:rsidR="001C78D5">
        <w:rPr>
          <w:rFonts w:eastAsia="Garamond" w:cs="Garamond"/>
          <w:szCs w:val="22"/>
        </w:rPr>
        <w:t>; this includes 100%</w:t>
      </w:r>
      <w:r>
        <w:rPr>
          <w:rFonts w:eastAsia="Garamond" w:cs="Garamond"/>
          <w:szCs w:val="22"/>
        </w:rPr>
        <w:t xml:space="preserve"> in-person inspections </w:t>
      </w:r>
      <w:r w:rsidR="00091661">
        <w:rPr>
          <w:rFonts w:eastAsia="Garamond" w:cs="Garamond"/>
          <w:szCs w:val="22"/>
        </w:rPr>
        <w:t xml:space="preserve">at the port of entry </w:t>
      </w:r>
      <w:r>
        <w:rPr>
          <w:rFonts w:eastAsia="Garamond" w:cs="Garamond"/>
          <w:szCs w:val="22"/>
        </w:rPr>
        <w:t>on every return</w:t>
      </w:r>
      <w:r w:rsidR="006D6647">
        <w:rPr>
          <w:rFonts w:eastAsia="Garamond" w:cs="Garamond"/>
          <w:szCs w:val="22"/>
        </w:rPr>
        <w:t xml:space="preserve"> trip</w:t>
      </w:r>
      <w:r>
        <w:rPr>
          <w:rFonts w:eastAsia="Garamond" w:cs="Garamond"/>
          <w:szCs w:val="22"/>
        </w:rPr>
        <w:t xml:space="preserve"> to Australia, regardless of visit history</w:t>
      </w:r>
      <w:r w:rsidR="00A33CBE">
        <w:rPr>
          <w:rFonts w:eastAsia="Garamond" w:cs="Garamond"/>
          <w:szCs w:val="22"/>
        </w:rPr>
        <w:t xml:space="preserve"> and accrual </w:t>
      </w:r>
      <w:r w:rsidR="004D6005">
        <w:rPr>
          <w:rFonts w:eastAsia="Garamond" w:cs="Garamond"/>
          <w:szCs w:val="22"/>
        </w:rPr>
        <w:t>(</w:t>
      </w:r>
      <w:r w:rsidR="00A33CBE">
        <w:rPr>
          <w:rFonts w:eastAsia="Garamond" w:cs="Garamond"/>
          <w:szCs w:val="22"/>
        </w:rPr>
        <w:t>or not</w:t>
      </w:r>
      <w:r w:rsidR="004D6005">
        <w:rPr>
          <w:rFonts w:eastAsia="Garamond" w:cs="Garamond"/>
          <w:szCs w:val="22"/>
        </w:rPr>
        <w:t>)</w:t>
      </w:r>
      <w:r w:rsidR="00A33CBE">
        <w:rPr>
          <w:rFonts w:eastAsia="Garamond" w:cs="Garamond"/>
          <w:szCs w:val="22"/>
        </w:rPr>
        <w:t xml:space="preserve"> of demerit points</w:t>
      </w:r>
      <w:r>
        <w:rPr>
          <w:rFonts w:eastAsia="Garamond" w:cs="Garamond"/>
          <w:szCs w:val="22"/>
        </w:rPr>
        <w:t xml:space="preserve">. On the return voyage, they must undergo cleaning, disinfection and disinsection, as well as complying with routine </w:t>
      </w:r>
      <w:r w:rsidR="00A33CBE">
        <w:rPr>
          <w:rFonts w:eastAsia="Garamond" w:cs="Garamond"/>
          <w:szCs w:val="22"/>
        </w:rPr>
        <w:t>Pre-arrival Reporting (</w:t>
      </w:r>
      <w:r>
        <w:rPr>
          <w:rFonts w:eastAsia="Garamond" w:cs="Garamond"/>
          <w:szCs w:val="22"/>
        </w:rPr>
        <w:t>PAR</w:t>
      </w:r>
      <w:r w:rsidR="00A33CBE">
        <w:rPr>
          <w:rFonts w:eastAsia="Garamond" w:cs="Garamond"/>
          <w:szCs w:val="22"/>
        </w:rPr>
        <w:t>)</w:t>
      </w:r>
      <w:r>
        <w:rPr>
          <w:rFonts w:eastAsia="Garamond" w:cs="Garamond"/>
          <w:szCs w:val="22"/>
        </w:rPr>
        <w:t xml:space="preserve"> requirements.</w:t>
      </w:r>
      <w:r w:rsidR="001C78D5">
        <w:rPr>
          <w:rFonts w:eastAsia="Garamond" w:cs="Garamond"/>
          <w:szCs w:val="22"/>
        </w:rPr>
        <w:t xml:space="preserve"> </w:t>
      </w:r>
    </w:p>
    <w:p w14:paraId="6905AF43" w14:textId="43DDE184" w:rsidR="003E15C2" w:rsidRDefault="003E15C2">
      <w:pPr>
        <w:spacing w:before="120"/>
        <w:rPr>
          <w:rFonts w:eastAsia="Garamond" w:cs="Garamond"/>
          <w:szCs w:val="22"/>
        </w:rPr>
      </w:pPr>
      <w:r>
        <w:rPr>
          <w:rFonts w:eastAsia="Garamond" w:cs="Garamond"/>
          <w:szCs w:val="22"/>
        </w:rPr>
        <w:t>Inspection performance is influenced by a number of factors that can be categorised by task, individual, environment, organisation and other social factors</w:t>
      </w:r>
      <w:r w:rsidR="0019568A">
        <w:rPr>
          <w:rFonts w:eastAsia="Garamond" w:cs="Garamond"/>
          <w:szCs w:val="22"/>
        </w:rPr>
        <w:t xml:space="preserve"> </w:t>
      </w:r>
      <w:r w:rsidR="0019568A">
        <w:rPr>
          <w:rFonts w:eastAsia="Garamond" w:cs="Garamond"/>
          <w:szCs w:val="22"/>
        </w:rPr>
        <w:fldChar w:fldCharType="begin"/>
      </w:r>
      <w:r w:rsidR="001E0B07">
        <w:rPr>
          <w:rFonts w:eastAsia="Garamond" w:cs="Garamond"/>
          <w:szCs w:val="22"/>
        </w:rPr>
        <w:instrText xml:space="preserve"> ADDIN ZOTERO_ITEM CSL_CITATION {"citationID":"nS5IPmRr","properties":{"formattedCitation":"(See 2012)","plainCitation":"(See 2012)","noteIndex":0},"citationItems":[{"id":22628,"uris":["http://zotero.org/groups/6289862/items/QPIF8SBI"],"itemData":{"id":22628,"type":"report","abstract":"This report provides a review of 212 documents published in the visual inspection literature from the 1950s to the present. The inspection task is defined and characterized and trends in inspection research are reviewed. The prevailing twocomponent model of inspection and various techniques to measure inspection performance are discussed. The majority of the report reviews the parameters that may impact inspection performance and describes the relevant findings from the literature. The report concludes with a re-iteration of the value of inspection research and a summary of the major recommendations for improving inspection performance.","language":"en","publisher":"United States Department of Energy","publisher-place":"Albuquerque, New Mexico","source":"Zotero","title":"Visual Inspection: A Review of the Literature","author":[{"family":"See","given":"Judi E"}],"issued":{"date-parts":[["2012"]]}}}],"schema":"https://github.com/citation-style-language/schema/raw/master/csl-citation.json"} </w:instrText>
      </w:r>
      <w:r w:rsidR="0019568A">
        <w:rPr>
          <w:rFonts w:eastAsia="Garamond" w:cs="Garamond"/>
          <w:szCs w:val="22"/>
        </w:rPr>
        <w:fldChar w:fldCharType="separate"/>
      </w:r>
      <w:r w:rsidR="0019568A">
        <w:rPr>
          <w:rFonts w:eastAsia="Garamond" w:cs="Garamond"/>
          <w:noProof/>
          <w:szCs w:val="22"/>
        </w:rPr>
        <w:t>(See 2012)</w:t>
      </w:r>
      <w:r w:rsidR="0019568A">
        <w:rPr>
          <w:rFonts w:eastAsia="Garamond" w:cs="Garamond"/>
          <w:szCs w:val="22"/>
        </w:rPr>
        <w:fldChar w:fldCharType="end"/>
      </w:r>
      <w:r>
        <w:rPr>
          <w:rFonts w:eastAsia="Garamond" w:cs="Garamond"/>
          <w:szCs w:val="22"/>
        </w:rPr>
        <w:t xml:space="preserve">. Lighting is a critical environmental factor when considering inspections for the detection of </w:t>
      </w:r>
      <w:r w:rsidR="00A33CBE">
        <w:rPr>
          <w:rFonts w:eastAsia="Garamond" w:cs="Garamond"/>
          <w:szCs w:val="22"/>
        </w:rPr>
        <w:t>Biological Risk Material (</w:t>
      </w:r>
      <w:r>
        <w:rPr>
          <w:rFonts w:eastAsia="Garamond" w:cs="Garamond"/>
          <w:szCs w:val="22"/>
        </w:rPr>
        <w:t>BRM</w:t>
      </w:r>
      <w:r w:rsidR="00A33CBE">
        <w:rPr>
          <w:rFonts w:eastAsia="Garamond" w:cs="Garamond"/>
          <w:szCs w:val="22"/>
        </w:rPr>
        <w:t>)</w:t>
      </w:r>
      <w:r w:rsidR="001C78D5">
        <w:rPr>
          <w:rFonts w:eastAsia="Garamond" w:cs="Garamond"/>
          <w:szCs w:val="22"/>
        </w:rPr>
        <w:t xml:space="preserve">, hitchhiker </w:t>
      </w:r>
      <w:r w:rsidR="00A33CBE">
        <w:rPr>
          <w:rFonts w:eastAsia="Garamond" w:cs="Garamond"/>
          <w:szCs w:val="22"/>
        </w:rPr>
        <w:t xml:space="preserve">pests </w:t>
      </w:r>
      <w:r>
        <w:rPr>
          <w:rFonts w:eastAsia="Garamond" w:cs="Garamond"/>
          <w:szCs w:val="22"/>
        </w:rPr>
        <w:t xml:space="preserve">and work </w:t>
      </w:r>
      <w:r w:rsidR="00AC7A06">
        <w:rPr>
          <w:rFonts w:eastAsia="Garamond" w:cs="Garamond"/>
          <w:szCs w:val="22"/>
        </w:rPr>
        <w:t xml:space="preserve">health and </w:t>
      </w:r>
      <w:r>
        <w:rPr>
          <w:rFonts w:eastAsia="Garamond" w:cs="Garamond"/>
          <w:szCs w:val="22"/>
        </w:rPr>
        <w:t xml:space="preserve">safety. While airports and international mail centres have strict minimum lighting requirements, </w:t>
      </w:r>
      <w:r w:rsidR="00091661">
        <w:rPr>
          <w:rFonts w:eastAsia="Garamond" w:cs="Garamond"/>
          <w:szCs w:val="22"/>
        </w:rPr>
        <w:t xml:space="preserve">the levels of lighting required for </w:t>
      </w:r>
      <w:r>
        <w:rPr>
          <w:rFonts w:eastAsia="Garamond" w:cs="Garamond"/>
          <w:szCs w:val="22"/>
        </w:rPr>
        <w:t>livestock carrier vessels</w:t>
      </w:r>
      <w:r w:rsidR="00091661">
        <w:rPr>
          <w:rFonts w:eastAsia="Garamond" w:cs="Garamond"/>
          <w:szCs w:val="22"/>
        </w:rPr>
        <w:t xml:space="preserve"> are much lower than for other workplaces</w:t>
      </w:r>
      <w:r>
        <w:rPr>
          <w:rFonts w:eastAsia="Garamond" w:cs="Garamond"/>
          <w:szCs w:val="22"/>
        </w:rPr>
        <w:t>. Other factors such as personnel fatigue, visual acuity and experience</w:t>
      </w:r>
      <w:r w:rsidRPr="009105DC">
        <w:rPr>
          <w:rFonts w:eastAsia="Garamond" w:cs="Garamond"/>
          <w:szCs w:val="22"/>
        </w:rPr>
        <w:t xml:space="preserve"> </w:t>
      </w:r>
      <w:r>
        <w:rPr>
          <w:rFonts w:eastAsia="Garamond" w:cs="Garamond"/>
          <w:szCs w:val="22"/>
        </w:rPr>
        <w:t xml:space="preserve">may all play a role in an inspectors ability to properly conduct an inspection and need to be managed accordingly.  </w:t>
      </w:r>
    </w:p>
    <w:p w14:paraId="35B9A048" w14:textId="1DB4B3DD" w:rsidR="008B7663" w:rsidRDefault="008B7663">
      <w:pPr>
        <w:spacing w:before="120"/>
        <w:rPr>
          <w:rFonts w:eastAsia="Garamond" w:cs="Garamond"/>
          <w:szCs w:val="22"/>
        </w:rPr>
      </w:pPr>
      <w:r>
        <w:rPr>
          <w:rFonts w:eastAsia="Garamond" w:cs="Garamond"/>
          <w:szCs w:val="22"/>
        </w:rPr>
        <w:t xml:space="preserve">Commercial and non-commercial vessels are known vectors for terrestrial invertebrates. There are </w:t>
      </w:r>
      <w:r w:rsidR="00B04B32">
        <w:rPr>
          <w:rFonts w:eastAsia="Garamond" w:cs="Garamond"/>
          <w:szCs w:val="22"/>
        </w:rPr>
        <w:t>three</w:t>
      </w:r>
      <w:r>
        <w:rPr>
          <w:rFonts w:eastAsia="Garamond" w:cs="Garamond"/>
          <w:szCs w:val="22"/>
        </w:rPr>
        <w:t xml:space="preserve"> main </w:t>
      </w:r>
      <w:r w:rsidR="00B04B32">
        <w:rPr>
          <w:rFonts w:eastAsia="Garamond" w:cs="Garamond"/>
          <w:szCs w:val="22"/>
        </w:rPr>
        <w:t>introductory</w:t>
      </w:r>
      <w:r>
        <w:rPr>
          <w:rFonts w:eastAsia="Garamond" w:cs="Garamond"/>
          <w:szCs w:val="22"/>
        </w:rPr>
        <w:t xml:space="preserve"> pathways including - contamination of food stores (human and cattle), ornamental plants, wood, animals, and freshwater storage; hitch hiker or stowaways associated with cargo; and within </w:t>
      </w:r>
      <w:r w:rsidR="00AC7A06">
        <w:rPr>
          <w:rFonts w:eastAsia="Garamond" w:cs="Garamond"/>
          <w:szCs w:val="22"/>
        </w:rPr>
        <w:t>vessel infrastructure</w:t>
      </w:r>
      <w:r>
        <w:rPr>
          <w:rFonts w:eastAsia="Garamond" w:cs="Garamond"/>
          <w:szCs w:val="22"/>
        </w:rPr>
        <w:t xml:space="preserve"> </w:t>
      </w:r>
      <w:r>
        <w:rPr>
          <w:rFonts w:eastAsia="Garamond" w:cs="Garamond"/>
          <w:szCs w:val="22"/>
        </w:rPr>
        <w:fldChar w:fldCharType="begin"/>
      </w:r>
      <w:r w:rsidR="001E0B07">
        <w:rPr>
          <w:rFonts w:eastAsia="Garamond" w:cs="Garamond"/>
          <w:szCs w:val="22"/>
        </w:rPr>
        <w:instrText xml:space="preserve"> ADDIN ZOTERO_ITEM CSL_CITATION {"citationID":"nO5QHlQ5","properties":{"formattedCitation":"(McKirdy et al. 2019)","plainCitation":"(McKirdy et al. 2019)","noteIndex":0},"citationItems":[{"id":22362,"uris":["http://zotero.org/groups/6289862/items/8ZLXAI4E"],"itemData":{"id":22362,"type":"article-journal","abstract":"Large sea-going passenger vessels can pose a high biosecurity risk. The risk posed by marine species is well documented, but rarely the risk posed by terrestrial arthropods. We conducted the longest running, most extensive monitoring program of terrestrial arthropods undertaken on board a passenger vessel. Surveillance was conducted over a 19-month period on a large passenger (cruise) vessel that originated in the Baltic Sea (Estonia). The vessel was used as an accommodation facility to house workers at Barrow Island (Australia) for 15 months, during which 73,061 terrestrial arthropods (222 species - four non-indigenous (NIS) to Australia) were collected and identified on board. Detection of Tribolium destructor Uytt., a high-risk NIS to Australia, triggered an eradication effort on the vessel. This effort totalled more than 13,700 human hours and included strict biosecurity protocols to ensure that this and other non-indigenous species (NIS) were not spread from the vessel to Barrow Island or mainland Australia. Our data demonstrate that despite the difficulties of biosecurity on large vessels, stringent protocols can stop NIS spreading from vessels, even where vessel-wide eradication is not possible. We highlight the difficulties associated with detecting and eradicating NIS on large vessels and provide the first detailed list of species that inhabit a vessel of this kind.","container-title":"Scientific Reports","DOI":"10.1038/s41598-019-55554-4","ISSN":"2045-2322","issue":"1","journalAbbreviation":"Sci Rep","language":"en","license":"2019 The Author(s)","page":"19339","publisher":"Nature Publishing Group","source":"www.nature.com","title":"Biosecurity risks posed by a large sea-going passenger vessel: challenges of terrestrial arthropod species detection and eradication","title-short":"Biosecurity risks posed by a large sea-going passenger vessel","volume":"9","author":[{"family":"McKirdy","given":"Simon J."},{"family":"O’Connor","given":"Simon"},{"family":"Thomas","given":"Melissa L."},{"family":"Horton","given":"Kristin L."},{"family":"Williams","given":"Angus"},{"family":"Hardie","given":"Darryl"},{"family":"Coupland","given":"Grey T."},{"family":"Merwe","given":"Johann","non-dropping-particle":"van der"}],"issued":{"date-parts":[["2019",12,18]]}}}],"schema":"https://github.com/citation-style-language/schema/raw/master/csl-citation.json"} </w:instrText>
      </w:r>
      <w:r>
        <w:rPr>
          <w:rFonts w:eastAsia="Garamond" w:cs="Garamond"/>
          <w:szCs w:val="22"/>
        </w:rPr>
        <w:fldChar w:fldCharType="separate"/>
      </w:r>
      <w:r>
        <w:rPr>
          <w:rFonts w:eastAsia="Garamond" w:cs="Garamond"/>
          <w:noProof/>
          <w:szCs w:val="22"/>
        </w:rPr>
        <w:t>(McKirdy et al. 2019)</w:t>
      </w:r>
      <w:r>
        <w:rPr>
          <w:rFonts w:eastAsia="Garamond" w:cs="Garamond"/>
          <w:szCs w:val="22"/>
        </w:rPr>
        <w:fldChar w:fldCharType="end"/>
      </w:r>
      <w:r>
        <w:rPr>
          <w:rFonts w:eastAsia="Garamond" w:cs="Garamond"/>
          <w:szCs w:val="22"/>
        </w:rPr>
        <w:t>.</w:t>
      </w:r>
      <w:r w:rsidR="0019568A">
        <w:rPr>
          <w:rFonts w:eastAsia="Garamond" w:cs="Garamond"/>
          <w:szCs w:val="22"/>
        </w:rPr>
        <w:t xml:space="preserve"> The most commonly used departure ports</w:t>
      </w:r>
      <w:r w:rsidR="00B04B32">
        <w:rPr>
          <w:rFonts w:eastAsia="Garamond" w:cs="Garamond"/>
          <w:szCs w:val="22"/>
        </w:rPr>
        <w:t xml:space="preserve"> by livestock </w:t>
      </w:r>
      <w:r w:rsidR="00AC7A06">
        <w:rPr>
          <w:rFonts w:eastAsia="Garamond" w:cs="Garamond"/>
          <w:szCs w:val="22"/>
        </w:rPr>
        <w:t xml:space="preserve">carrier </w:t>
      </w:r>
      <w:r w:rsidR="00B04B32">
        <w:rPr>
          <w:rFonts w:eastAsia="Garamond" w:cs="Garamond"/>
          <w:szCs w:val="22"/>
        </w:rPr>
        <w:t>export vessels</w:t>
      </w:r>
      <w:r w:rsidR="0019568A">
        <w:rPr>
          <w:rFonts w:eastAsia="Garamond" w:cs="Garamond"/>
          <w:szCs w:val="22"/>
        </w:rPr>
        <w:t xml:space="preserve"> included Jakarta (Java), Singapore and Panjang. Indonesia </w:t>
      </w:r>
      <w:r w:rsidR="001E0B07">
        <w:rPr>
          <w:rFonts w:eastAsia="Garamond" w:cs="Garamond"/>
          <w:szCs w:val="22"/>
        </w:rPr>
        <w:t xml:space="preserve">and Singapore have </w:t>
      </w:r>
      <w:r w:rsidR="0019568A">
        <w:rPr>
          <w:rFonts w:eastAsia="Garamond" w:cs="Garamond"/>
          <w:szCs w:val="22"/>
        </w:rPr>
        <w:t xml:space="preserve">a number of </w:t>
      </w:r>
      <w:r w:rsidR="001E0B07">
        <w:rPr>
          <w:rFonts w:eastAsia="Garamond" w:cs="Garamond"/>
          <w:szCs w:val="22"/>
        </w:rPr>
        <w:t>insect vectors and diseases</w:t>
      </w:r>
      <w:r w:rsidR="00B04B32">
        <w:rPr>
          <w:rFonts w:eastAsia="Garamond" w:cs="Garamond"/>
          <w:szCs w:val="22"/>
        </w:rPr>
        <w:t xml:space="preserve"> that are a concern to Australia, including LSD</w:t>
      </w:r>
      <w:r w:rsidR="001E0B07">
        <w:rPr>
          <w:rFonts w:eastAsia="Garamond" w:cs="Garamond"/>
          <w:szCs w:val="22"/>
        </w:rPr>
        <w:t xml:space="preserve">, old world screw-worm fly and surra (transmitted by biting flies) </w:t>
      </w:r>
      <w:r w:rsidR="001E0B07">
        <w:rPr>
          <w:rFonts w:eastAsia="Garamond" w:cs="Garamond"/>
          <w:szCs w:val="22"/>
        </w:rPr>
        <w:fldChar w:fldCharType="begin"/>
      </w:r>
      <w:r w:rsidR="00E459F3">
        <w:rPr>
          <w:rFonts w:eastAsia="Garamond" w:cs="Garamond"/>
          <w:szCs w:val="22"/>
        </w:rPr>
        <w:instrText xml:space="preserve"> ADDIN ZOTERO_ITEM CSL_CITATION {"citationID":"v3Nb56Bi","properties":{"formattedCitation":"(Alimsijah et al. 2024; Qudsiyati et al. 2025)","plainCitation":"(Alimsijah et al. 2024; Qudsiyati et al. 2025)","noteIndex":0},"citationItems":[{"id":23838,"uris":["http://zotero.org/groups/6289862/items/Y2UJ9VE8"],"itemData":{"id":23838,"type":"article-journal","abstract":"A German Shepherd dog was presented to a referral practice for screwworm myiasis affecting the ear. The successful management involved killing the larvae with afoxolaner plus milbemycin oxime and using video otoscopy to completely remove dead larvae. To the best of our knowledge, this is the first case report of auricular myiasis by Chrysomya bezziana in a dog in Singapore and the first report of video otoscopic management of myiasis.","container-title":"Veterinary Parasitology, Regional Studies and Reports","DOI":"10.1016/j.vprsr.2024.100991","ISSN":"2405-9390","journalAbbreviation":"Vet Parasitol Reg Stud Reports","language":"eng","page":"100991","PMID":"38316506","source":"PubMed","title":"Old World Screwworm myiasis: First report of auricular Chrysomya bezziana myiasis in a dog in Singapore","title-short":"Old World Screwworm myiasis","volume":"48","author":[{"family":"Alimsijah","given":"P. I."},{"family":"Ang","given":"C. Y."},{"family":"Han","given":"H. S."}],"issued":{"date-parts":[["2024",2]]}}},{"id":23842,"uris":["http://zotero.org/groups/6289862/items/46JU6I6G"],"itemData":{"id":23842,"type":"article-journal","abstract":"PDF | On Apr 14, 2025, Nila Qudsiyati and others published Diversity of Flies and Molecular Detection in Blood Sucking Flies in Surra Endemic Area in Indonesia | Find, read and cite all the research you need on ResearchGate","container-title":"Advances in Animal and Veterinary Sciences","DOI":"10.17582/journal.aavs/2025/13.5.987.993","language":"en","source":"www.researchgate.net","title":"Diversity of Flies and Molecular Detection in Blood Sucking Flies in Surra Endemic Area in Indonesia","URL":"https://www.researchgate.net/publication/390746984_Diversity_of_Flies_and_Molecular_Detection_in_Blood_Sucking_Flies_in_Surra_Endemic_Area_in_Indonesia","author":[{"family":"Qudsiyati","given":"N"},{"family":"Nurcahyo","given":"W"},{"family":"Priyomidodo","given":"D"},{"family":"Soedarmanto","given":"I"}],"accessed":{"date-parts":[["2026",2,4]]},"issued":{"date-parts":[["2025"]]}}}],"schema":"https://github.com/citation-style-language/schema/raw/master/csl-citation.json"} </w:instrText>
      </w:r>
      <w:r w:rsidR="001E0B07">
        <w:rPr>
          <w:rFonts w:eastAsia="Garamond" w:cs="Garamond"/>
          <w:szCs w:val="22"/>
        </w:rPr>
        <w:fldChar w:fldCharType="separate"/>
      </w:r>
      <w:r w:rsidR="00E459F3">
        <w:rPr>
          <w:rFonts w:eastAsia="Garamond" w:cs="Garamond"/>
          <w:noProof/>
          <w:szCs w:val="22"/>
        </w:rPr>
        <w:t>(Alimsijah et al. 2024; Qudsiyati et al. 2025)</w:t>
      </w:r>
      <w:r w:rsidR="001E0B07">
        <w:rPr>
          <w:rFonts w:eastAsia="Garamond" w:cs="Garamond"/>
          <w:szCs w:val="22"/>
        </w:rPr>
        <w:fldChar w:fldCharType="end"/>
      </w:r>
      <w:r w:rsidR="00B04B32">
        <w:rPr>
          <w:rFonts w:eastAsia="Garamond" w:cs="Garamond"/>
          <w:szCs w:val="22"/>
        </w:rPr>
        <w:t>.</w:t>
      </w:r>
      <w:r w:rsidR="001E0B07">
        <w:rPr>
          <w:rFonts w:eastAsia="Garamond" w:cs="Garamond"/>
          <w:szCs w:val="22"/>
        </w:rPr>
        <w:t xml:space="preserve"> Indonesia also presents a risk for FMD introduction. </w:t>
      </w:r>
    </w:p>
    <w:p w14:paraId="18CAA8D5" w14:textId="596C1ACD" w:rsidR="003E15C2" w:rsidRDefault="003E15C2">
      <w:pPr>
        <w:spacing w:before="120"/>
        <w:rPr>
          <w:rFonts w:eastAsia="Garamond" w:cs="Garamond"/>
          <w:szCs w:val="22"/>
        </w:rPr>
      </w:pPr>
      <w:r>
        <w:rPr>
          <w:rFonts w:eastAsia="Garamond" w:cs="Garamond"/>
          <w:szCs w:val="22"/>
        </w:rPr>
        <w:t xml:space="preserve">Vessel inspection observations </w:t>
      </w:r>
      <w:r w:rsidR="00024338">
        <w:rPr>
          <w:rFonts w:eastAsia="Garamond" w:cs="Garamond"/>
          <w:szCs w:val="22"/>
        </w:rPr>
        <w:t xml:space="preserve">demonstrate </w:t>
      </w:r>
      <w:r>
        <w:rPr>
          <w:rFonts w:eastAsia="Garamond" w:cs="Garamond"/>
          <w:szCs w:val="22"/>
        </w:rPr>
        <w:t xml:space="preserve">that </w:t>
      </w:r>
      <w:r w:rsidR="00821D0E">
        <w:rPr>
          <w:rFonts w:eastAsia="Garamond" w:cs="Garamond"/>
          <w:szCs w:val="22"/>
        </w:rPr>
        <w:t xml:space="preserve">there </w:t>
      </w:r>
      <w:r w:rsidR="00D80818">
        <w:rPr>
          <w:rFonts w:eastAsia="Garamond" w:cs="Garamond"/>
          <w:szCs w:val="22"/>
        </w:rPr>
        <w:t xml:space="preserve">are </w:t>
      </w:r>
      <w:r w:rsidR="00821D0E">
        <w:rPr>
          <w:rFonts w:eastAsia="Garamond" w:cs="Garamond"/>
          <w:szCs w:val="22"/>
        </w:rPr>
        <w:t>no reason</w:t>
      </w:r>
      <w:r w:rsidR="00D80818">
        <w:rPr>
          <w:rFonts w:eastAsia="Garamond" w:cs="Garamond"/>
          <w:szCs w:val="22"/>
        </w:rPr>
        <w:t>s that</w:t>
      </w:r>
      <w:r w:rsidR="00821D0E">
        <w:rPr>
          <w:rFonts w:eastAsia="Garamond" w:cs="Garamond"/>
          <w:szCs w:val="22"/>
        </w:rPr>
        <w:t xml:space="preserve"> </w:t>
      </w:r>
      <w:r>
        <w:rPr>
          <w:rFonts w:eastAsia="Garamond" w:cs="Garamond"/>
          <w:szCs w:val="22"/>
        </w:rPr>
        <w:t xml:space="preserve">fully enclosed decks </w:t>
      </w:r>
      <w:r w:rsidR="00821D0E">
        <w:rPr>
          <w:rFonts w:eastAsia="Garamond" w:cs="Garamond"/>
          <w:szCs w:val="22"/>
        </w:rPr>
        <w:t xml:space="preserve">could not </w:t>
      </w:r>
      <w:r>
        <w:rPr>
          <w:rFonts w:eastAsia="Garamond" w:cs="Garamond"/>
          <w:szCs w:val="22"/>
        </w:rPr>
        <w:t xml:space="preserve">be inspected at any time of day as artificial lighting is the only </w:t>
      </w:r>
      <w:r w:rsidR="00D80818">
        <w:rPr>
          <w:rFonts w:eastAsia="Garamond" w:cs="Garamond"/>
          <w:szCs w:val="22"/>
        </w:rPr>
        <w:t xml:space="preserve">light </w:t>
      </w:r>
      <w:r>
        <w:rPr>
          <w:rFonts w:eastAsia="Garamond" w:cs="Garamond"/>
          <w:szCs w:val="22"/>
        </w:rPr>
        <w:t>source available. However, open decks (livestock and non-livestock) may be impacted by lighting availability and shadows</w:t>
      </w:r>
      <w:r w:rsidR="00821D0E">
        <w:rPr>
          <w:rFonts w:eastAsia="Garamond" w:cs="Garamond"/>
          <w:szCs w:val="22"/>
        </w:rPr>
        <w:t>. Regardless of time of day, light levels on open decks and other parts of the boat were variable</w:t>
      </w:r>
      <w:r>
        <w:rPr>
          <w:rFonts w:eastAsia="Garamond" w:cs="Garamond"/>
          <w:szCs w:val="22"/>
        </w:rPr>
        <w:t>. Light level measurements taken on the enclosed decks were far below the recommended minimum of 400 lux for workplaces</w:t>
      </w:r>
      <w:r w:rsidR="00BA7C13">
        <w:rPr>
          <w:rFonts w:eastAsia="Garamond" w:cs="Garamond"/>
          <w:szCs w:val="22"/>
        </w:rPr>
        <w:t xml:space="preserve"> such as airports </w:t>
      </w:r>
      <w:r w:rsidR="00BA7C13">
        <w:rPr>
          <w:rFonts w:eastAsia="Garamond" w:cs="Garamond"/>
          <w:szCs w:val="22"/>
        </w:rPr>
        <w:fldChar w:fldCharType="begin"/>
      </w:r>
      <w:r w:rsidR="001E0B07">
        <w:rPr>
          <w:rFonts w:eastAsia="Garamond" w:cs="Garamond"/>
          <w:szCs w:val="22"/>
        </w:rPr>
        <w:instrText xml:space="preserve"> ADDIN ZOTERO_ITEM CSL_CITATION {"citationID":"EDLrpJLr","properties":{"formattedCitation":"(Safe Work Australia 2011)","plainCitation":"(Safe Work Australia 2011)","dontUpdate":true,"noteIndex":0},"citationItems":[{"id":22419,"uris":["http://zotero.org/groups/6289862/items/TMJIDATR"],"itemData":{"id":22419,"type":"book","ISBN":"978-0-642-33295-0","language":"en","note":"OCLC: 957262723","publisher":"Safe Work Australia","publisher-place":"Sydney","source":"Open WorldCat","title":"Managing the work environment and facilities: Code of Practice","title-short":"Managing the work environment and facilities","author":[{"literal":"Safe Work Australia"}],"issued":{"date-parts":[["2011"]]}}}],"schema":"https://github.com/citation-style-language/schema/raw/master/csl-citation.json"} </w:instrText>
      </w:r>
      <w:r w:rsidR="00BA7C13">
        <w:rPr>
          <w:rFonts w:eastAsia="Garamond" w:cs="Garamond"/>
          <w:szCs w:val="22"/>
        </w:rPr>
        <w:fldChar w:fldCharType="separate"/>
      </w:r>
      <w:r w:rsidR="00BA7C13">
        <w:rPr>
          <w:rFonts w:eastAsia="Garamond" w:cs="Garamond"/>
          <w:noProof/>
          <w:szCs w:val="22"/>
        </w:rPr>
        <w:t>(Safe Work Australia 2011; pers comm. Tracey Stonehouse)</w:t>
      </w:r>
      <w:r w:rsidR="00BA7C13">
        <w:rPr>
          <w:rFonts w:eastAsia="Garamond" w:cs="Garamond"/>
          <w:szCs w:val="22"/>
        </w:rPr>
        <w:fldChar w:fldCharType="end"/>
      </w:r>
      <w:r w:rsidR="00BA7C13">
        <w:rPr>
          <w:rFonts w:eastAsia="Garamond" w:cs="Garamond"/>
          <w:szCs w:val="22"/>
        </w:rPr>
        <w:t>.</w:t>
      </w:r>
      <w:r>
        <w:rPr>
          <w:rFonts w:eastAsia="Garamond" w:cs="Garamond"/>
          <w:szCs w:val="22"/>
        </w:rPr>
        <w:t xml:space="preserve"> </w:t>
      </w:r>
      <w:r w:rsidR="00024338">
        <w:rPr>
          <w:rFonts w:eastAsia="Garamond" w:cs="Garamond"/>
          <w:szCs w:val="22"/>
        </w:rPr>
        <w:t>I</w:t>
      </w:r>
      <w:r w:rsidR="00091661">
        <w:rPr>
          <w:rFonts w:eastAsia="Garamond" w:cs="Garamond"/>
          <w:szCs w:val="22"/>
        </w:rPr>
        <w:t>nspectors were observed using torches to conduct almost all of their inspections</w:t>
      </w:r>
      <w:r w:rsidR="00024338">
        <w:rPr>
          <w:rFonts w:eastAsia="Garamond" w:cs="Garamond"/>
          <w:szCs w:val="22"/>
        </w:rPr>
        <w:t xml:space="preserve">, regardless of </w:t>
      </w:r>
      <w:r w:rsidR="00A400F7">
        <w:rPr>
          <w:rFonts w:eastAsia="Garamond" w:cs="Garamond"/>
          <w:szCs w:val="22"/>
        </w:rPr>
        <w:t>light availability</w:t>
      </w:r>
      <w:r w:rsidR="00091661">
        <w:rPr>
          <w:rFonts w:eastAsia="Garamond" w:cs="Garamond"/>
          <w:szCs w:val="22"/>
        </w:rPr>
        <w:t>.</w:t>
      </w:r>
      <w:r w:rsidR="004D6005">
        <w:rPr>
          <w:rFonts w:eastAsia="Garamond" w:cs="Garamond"/>
          <w:szCs w:val="22"/>
        </w:rPr>
        <w:t xml:space="preserve"> This allows almost all inspection</w:t>
      </w:r>
      <w:r w:rsidR="00460CE5">
        <w:rPr>
          <w:rFonts w:eastAsia="Garamond" w:cs="Garamond"/>
          <w:szCs w:val="22"/>
        </w:rPr>
        <w:t>s</w:t>
      </w:r>
      <w:r w:rsidR="004D6005">
        <w:rPr>
          <w:rFonts w:eastAsia="Garamond" w:cs="Garamond"/>
          <w:szCs w:val="22"/>
        </w:rPr>
        <w:t xml:space="preserve"> to take place under acceptable </w:t>
      </w:r>
      <w:r w:rsidR="00FE0927">
        <w:rPr>
          <w:rFonts w:eastAsia="Garamond" w:cs="Garamond"/>
          <w:szCs w:val="22"/>
        </w:rPr>
        <w:t>il</w:t>
      </w:r>
      <w:r w:rsidR="004D6005">
        <w:rPr>
          <w:rFonts w:eastAsia="Garamond" w:cs="Garamond"/>
          <w:szCs w:val="22"/>
        </w:rPr>
        <w:t xml:space="preserve">luminance, but </w:t>
      </w:r>
      <w:r w:rsidR="00FE0927">
        <w:rPr>
          <w:rFonts w:eastAsia="Garamond" w:cs="Garamond"/>
          <w:szCs w:val="22"/>
        </w:rPr>
        <w:t xml:space="preserve">the contrast between the areas illuminated by the torch, and the surrounding darker areas </w:t>
      </w:r>
      <w:r w:rsidR="004D6005">
        <w:rPr>
          <w:rFonts w:eastAsia="Garamond" w:cs="Garamond"/>
          <w:szCs w:val="22"/>
        </w:rPr>
        <w:t xml:space="preserve">will increase fatigue due to </w:t>
      </w:r>
      <w:r w:rsidR="00FE0927">
        <w:rPr>
          <w:rFonts w:eastAsia="Garamond" w:cs="Garamond"/>
          <w:szCs w:val="22"/>
        </w:rPr>
        <w:t>the aforementioned pupillary unrest and increased concentration required in these environments where full dilation is unlikely to occur.</w:t>
      </w:r>
    </w:p>
    <w:p w14:paraId="31BBAEB9" w14:textId="6D1463BB" w:rsidR="003E15C2" w:rsidRDefault="003E15C2">
      <w:pPr>
        <w:spacing w:before="120"/>
        <w:rPr>
          <w:rFonts w:eastAsia="Garamond" w:cs="Garamond"/>
          <w:szCs w:val="22"/>
        </w:rPr>
      </w:pPr>
      <w:r>
        <w:rPr>
          <w:rFonts w:eastAsia="Garamond" w:cs="Garamond"/>
          <w:szCs w:val="22"/>
        </w:rPr>
        <w:t xml:space="preserve">The BRM that was observed </w:t>
      </w:r>
      <w:r w:rsidR="00441A50">
        <w:rPr>
          <w:rFonts w:eastAsia="Garamond" w:cs="Garamond"/>
          <w:szCs w:val="22"/>
        </w:rPr>
        <w:t>during vessel inspections</w:t>
      </w:r>
      <w:r>
        <w:rPr>
          <w:rFonts w:eastAsia="Garamond" w:cs="Garamond"/>
          <w:szCs w:val="22"/>
        </w:rPr>
        <w:t xml:space="preserve"> in Darwin</w:t>
      </w:r>
      <w:r w:rsidR="00091661">
        <w:rPr>
          <w:rFonts w:eastAsia="Garamond" w:cs="Garamond"/>
          <w:szCs w:val="22"/>
        </w:rPr>
        <w:t xml:space="preserve"> and Fremantle was very limited, mostly desiccated and</w:t>
      </w:r>
      <w:r>
        <w:rPr>
          <w:rFonts w:eastAsia="Garamond" w:cs="Garamond"/>
          <w:szCs w:val="22"/>
        </w:rPr>
        <w:t xml:space="preserve"> unlikely to pose a significant likelihood of </w:t>
      </w:r>
      <w:r w:rsidR="00D80818">
        <w:rPr>
          <w:rFonts w:eastAsia="Garamond" w:cs="Garamond"/>
          <w:szCs w:val="22"/>
        </w:rPr>
        <w:t>pathogen or pest introduction</w:t>
      </w:r>
      <w:r>
        <w:rPr>
          <w:rFonts w:eastAsia="Garamond" w:cs="Garamond"/>
          <w:szCs w:val="22"/>
        </w:rPr>
        <w:t xml:space="preserve"> into Australia. However, the vessels observed </w:t>
      </w:r>
      <w:r w:rsidR="00C86FE9">
        <w:rPr>
          <w:rFonts w:eastAsia="Garamond" w:cs="Garamond"/>
          <w:szCs w:val="22"/>
        </w:rPr>
        <w:t xml:space="preserve">during this investigation </w:t>
      </w:r>
      <w:r>
        <w:rPr>
          <w:rFonts w:eastAsia="Garamond" w:cs="Garamond"/>
          <w:szCs w:val="22"/>
        </w:rPr>
        <w:t xml:space="preserve">were presented at a high biosecurity standard. </w:t>
      </w:r>
      <w:r w:rsidR="00091661">
        <w:rPr>
          <w:rFonts w:eastAsia="Garamond" w:cs="Garamond"/>
          <w:szCs w:val="22"/>
        </w:rPr>
        <w:t>Concurrent</w:t>
      </w:r>
      <w:r w:rsidR="00821D0E">
        <w:rPr>
          <w:rFonts w:eastAsia="Garamond" w:cs="Garamond"/>
          <w:szCs w:val="22"/>
        </w:rPr>
        <w:t xml:space="preserve"> with this project,</w:t>
      </w:r>
      <w:r w:rsidR="00091661">
        <w:rPr>
          <w:rFonts w:eastAsia="Garamond" w:cs="Garamond"/>
          <w:szCs w:val="22"/>
        </w:rPr>
        <w:t xml:space="preserve"> two vessels were presented on arrival and failed inspection</w:t>
      </w:r>
      <w:r w:rsidR="00821D0E">
        <w:rPr>
          <w:rFonts w:eastAsia="Garamond" w:cs="Garamond"/>
          <w:szCs w:val="22"/>
        </w:rPr>
        <w:t xml:space="preserve"> (</w:t>
      </w:r>
      <w:r w:rsidR="00091661">
        <w:rPr>
          <w:rFonts w:eastAsia="Garamond" w:cs="Garamond"/>
          <w:szCs w:val="22"/>
        </w:rPr>
        <w:t>one repeatedly</w:t>
      </w:r>
      <w:r w:rsidR="00821D0E">
        <w:rPr>
          <w:rFonts w:eastAsia="Garamond" w:cs="Garamond"/>
          <w:szCs w:val="22"/>
        </w:rPr>
        <w:t>)</w:t>
      </w:r>
      <w:r w:rsidR="00091661">
        <w:rPr>
          <w:rFonts w:eastAsia="Garamond" w:cs="Garamond"/>
          <w:szCs w:val="22"/>
        </w:rPr>
        <w:t xml:space="preserve"> when project personnel were </w:t>
      </w:r>
      <w:r w:rsidR="00024338">
        <w:rPr>
          <w:rFonts w:eastAsia="Garamond" w:cs="Garamond"/>
          <w:szCs w:val="22"/>
        </w:rPr>
        <w:t xml:space="preserve">unfortunately </w:t>
      </w:r>
      <w:r w:rsidR="00091661">
        <w:rPr>
          <w:rFonts w:eastAsia="Garamond" w:cs="Garamond"/>
          <w:szCs w:val="22"/>
        </w:rPr>
        <w:t xml:space="preserve">unavailable to attend (photographs </w:t>
      </w:r>
      <w:r w:rsidR="003B19C8">
        <w:rPr>
          <w:rFonts w:eastAsia="Garamond" w:cs="Garamond"/>
          <w:szCs w:val="22"/>
        </w:rPr>
        <w:t>were subsequently available).</w:t>
      </w:r>
    </w:p>
    <w:p w14:paraId="0A372421" w14:textId="22A4270D" w:rsidR="00024338" w:rsidRDefault="00024338">
      <w:pPr>
        <w:spacing w:before="120"/>
        <w:rPr>
          <w:rFonts w:eastAsia="Garamond" w:cs="Garamond"/>
          <w:szCs w:val="22"/>
        </w:rPr>
      </w:pPr>
      <w:r>
        <w:rPr>
          <w:rFonts w:eastAsia="Garamond" w:cs="Garamond"/>
          <w:szCs w:val="22"/>
        </w:rPr>
        <w:t>Vessels may spend some time berthed or at anchorage before being inspected, while within visual range of lights on the shore. This waiting period may increase the likelihood of hitchhiker/stowaway invertebrates escaping the vessel.</w:t>
      </w:r>
    </w:p>
    <w:p w14:paraId="04D2BE2F" w14:textId="71051F68" w:rsidR="003B19C8" w:rsidRDefault="00907DAC" w:rsidP="009E67A9">
      <w:pPr>
        <w:rPr>
          <w:rFonts w:eastAsia="Garamond" w:cs="Garamond"/>
          <w:szCs w:val="22"/>
        </w:rPr>
      </w:pPr>
      <w:r>
        <w:lastRenderedPageBreak/>
        <w:t>Observation</w:t>
      </w:r>
      <w:r w:rsidR="005F6073">
        <w:t>s</w:t>
      </w:r>
      <w:r>
        <w:t xml:space="preserve"> of the inspection process </w:t>
      </w:r>
      <w:r w:rsidR="005F6073">
        <w:t xml:space="preserve">were </w:t>
      </w:r>
      <w:r>
        <w:t>an important part of this project</w:t>
      </w:r>
      <w:r w:rsidR="009E67A9">
        <w:t xml:space="preserve">. Aside the questions asked in the project, two other observations should be recorded. </w:t>
      </w:r>
      <w:r>
        <w:t>From a research perspective</w:t>
      </w:r>
      <w:r w:rsidR="000C0D55">
        <w:t>,</w:t>
      </w:r>
      <w:r>
        <w:t xml:space="preserve"> </w:t>
      </w:r>
      <w:r w:rsidR="00FE0927">
        <w:t>there is a</w:t>
      </w:r>
      <w:r w:rsidR="00720693">
        <w:t xml:space="preserve"> risk of confounding in assessing the inspections by observation in person, especially when accompanied by senior staff</w:t>
      </w:r>
      <w:r w:rsidR="00FE0927">
        <w:rPr>
          <w:rStyle w:val="FootnoteReference"/>
        </w:rPr>
        <w:footnoteReference w:id="9"/>
      </w:r>
      <w:r w:rsidR="00720693">
        <w:t xml:space="preserve">. </w:t>
      </w:r>
      <w:r w:rsidR="009E67A9">
        <w:t xml:space="preserve">Second, the </w:t>
      </w:r>
      <w:r w:rsidR="00720693">
        <w:t>inspectors were clearly well trained</w:t>
      </w:r>
      <w:r w:rsidR="00024338">
        <w:t xml:space="preserve">, </w:t>
      </w:r>
      <w:r w:rsidR="00720693">
        <w:t>experienced</w:t>
      </w:r>
      <w:r w:rsidR="009E67A9">
        <w:t xml:space="preserve">, </w:t>
      </w:r>
      <w:r w:rsidR="00024338">
        <w:t>thorough</w:t>
      </w:r>
      <w:r w:rsidR="009E67A9">
        <w:t xml:space="preserve"> and professional</w:t>
      </w:r>
      <w:r w:rsidR="00024338">
        <w:t xml:space="preserve">; </w:t>
      </w:r>
      <w:r w:rsidR="00720693">
        <w:t>performance review was being undertaken continuously</w:t>
      </w:r>
      <w:r w:rsidR="00024338">
        <w:t>.</w:t>
      </w:r>
      <w:r w:rsidR="009E67A9" w:rsidDel="00024338">
        <w:t xml:space="preserve"> </w:t>
      </w:r>
    </w:p>
    <w:p w14:paraId="6BA0AC57" w14:textId="77777777" w:rsidR="003E15C2" w:rsidRDefault="003E15C2" w:rsidP="00CB6B42">
      <w:pPr>
        <w:pStyle w:val="Heading2"/>
        <w:spacing w:before="240" w:after="240"/>
        <w:ind w:left="578" w:hanging="578"/>
      </w:pPr>
      <w:bookmarkStart w:id="219" w:name="_Toc219290025"/>
      <w:bookmarkStart w:id="220" w:name="_Toc226796979"/>
      <w:r>
        <w:t xml:space="preserve">Knowledge </w:t>
      </w:r>
      <w:r w:rsidRPr="00B12684">
        <w:t>gaps</w:t>
      </w:r>
      <w:bookmarkEnd w:id="219"/>
      <w:bookmarkEnd w:id="220"/>
    </w:p>
    <w:p w14:paraId="0E007B2C" w14:textId="42E00033" w:rsidR="003E15C2" w:rsidRDefault="003E15C2">
      <w:pPr>
        <w:spacing w:before="120"/>
        <w:rPr>
          <w:rFonts w:eastAsia="Garamond" w:cs="Garamond"/>
          <w:szCs w:val="22"/>
        </w:rPr>
      </w:pPr>
      <w:r>
        <w:rPr>
          <w:rFonts w:eastAsia="Garamond" w:cs="Garamond"/>
          <w:szCs w:val="22"/>
        </w:rPr>
        <w:t xml:space="preserve">There </w:t>
      </w:r>
      <w:r w:rsidR="004B5B0D">
        <w:rPr>
          <w:rFonts w:eastAsia="Garamond" w:cs="Garamond"/>
          <w:szCs w:val="22"/>
        </w:rPr>
        <w:t xml:space="preserve">were </w:t>
      </w:r>
      <w:r>
        <w:rPr>
          <w:rFonts w:eastAsia="Garamond" w:cs="Garamond"/>
          <w:szCs w:val="22"/>
        </w:rPr>
        <w:t>a number of significant gaps</w:t>
      </w:r>
      <w:r w:rsidR="004B5B0D">
        <w:rPr>
          <w:rFonts w:eastAsia="Garamond" w:cs="Garamond"/>
          <w:szCs w:val="22"/>
        </w:rPr>
        <w:t xml:space="preserve"> identified</w:t>
      </w:r>
      <w:r>
        <w:rPr>
          <w:rFonts w:eastAsia="Garamond" w:cs="Garamond"/>
          <w:szCs w:val="22"/>
        </w:rPr>
        <w:t xml:space="preserve"> in published literature, outlined below</w:t>
      </w:r>
      <w:r w:rsidR="004B5B0D">
        <w:rPr>
          <w:rFonts w:eastAsia="Garamond" w:cs="Garamond"/>
          <w:szCs w:val="22"/>
        </w:rPr>
        <w:t>. These</w:t>
      </w:r>
      <w:r>
        <w:rPr>
          <w:rFonts w:eastAsia="Garamond" w:cs="Garamond"/>
          <w:szCs w:val="22"/>
        </w:rPr>
        <w:t xml:space="preserve"> impact the understanding and knowledge needed to determine whether biosecurity inspections on incoming livestock carrier vessels at night pose an elevated biosecurity risk. </w:t>
      </w:r>
    </w:p>
    <w:p w14:paraId="4381FA4F" w14:textId="77777777" w:rsidR="003E15C2" w:rsidRDefault="003E15C2" w:rsidP="003807D5">
      <w:pPr>
        <w:pStyle w:val="Heading3"/>
      </w:pPr>
      <w:bookmarkStart w:id="221" w:name="_Toc219290026"/>
      <w:bookmarkStart w:id="222" w:name="_Toc226796980"/>
      <w:r>
        <w:t xml:space="preserve">Lighting </w:t>
      </w:r>
      <w:r w:rsidRPr="00B12684">
        <w:t>requirements</w:t>
      </w:r>
      <w:bookmarkEnd w:id="221"/>
      <w:bookmarkEnd w:id="222"/>
    </w:p>
    <w:p w14:paraId="31475741" w14:textId="7C93D214" w:rsidR="00907DAC" w:rsidRDefault="003E15C2">
      <w:pPr>
        <w:rPr>
          <w:rFonts w:eastAsia="Garamond" w:cs="Garamond"/>
          <w:szCs w:val="22"/>
        </w:rPr>
      </w:pPr>
      <w:r>
        <w:rPr>
          <w:rFonts w:eastAsia="Garamond" w:cs="Garamond"/>
          <w:szCs w:val="22"/>
        </w:rPr>
        <w:t xml:space="preserve">There are no stipulated minimum lighting requirements for </w:t>
      </w:r>
      <w:r w:rsidR="00821D0E">
        <w:rPr>
          <w:rFonts w:eastAsia="Garamond" w:cs="Garamond"/>
          <w:szCs w:val="22"/>
        </w:rPr>
        <w:t>biosecurity inspection</w:t>
      </w:r>
      <w:r w:rsidR="00077028">
        <w:rPr>
          <w:rFonts w:eastAsia="Garamond" w:cs="Garamond"/>
          <w:szCs w:val="22"/>
        </w:rPr>
        <w:t>s</w:t>
      </w:r>
      <w:r w:rsidR="00821D0E">
        <w:rPr>
          <w:rFonts w:eastAsia="Garamond" w:cs="Garamond"/>
          <w:szCs w:val="22"/>
        </w:rPr>
        <w:t xml:space="preserve"> on </w:t>
      </w:r>
      <w:r>
        <w:rPr>
          <w:rFonts w:eastAsia="Garamond" w:cs="Garamond"/>
          <w:szCs w:val="22"/>
        </w:rPr>
        <w:t xml:space="preserve">livestock carrier vessels. </w:t>
      </w:r>
      <w:r w:rsidR="00821D0E">
        <w:rPr>
          <w:rFonts w:eastAsia="Garamond" w:cs="Garamond"/>
          <w:szCs w:val="22"/>
        </w:rPr>
        <w:t>The only requirements are for light levels well below those required for inspection in other biosecurity domains (i</w:t>
      </w:r>
      <w:r w:rsidR="00336F6F">
        <w:rPr>
          <w:rFonts w:eastAsia="Garamond" w:cs="Garamond"/>
          <w:szCs w:val="22"/>
        </w:rPr>
        <w:t>.</w:t>
      </w:r>
      <w:r w:rsidR="00821D0E">
        <w:rPr>
          <w:rFonts w:eastAsia="Garamond" w:cs="Garamond"/>
          <w:szCs w:val="22"/>
        </w:rPr>
        <w:t>e</w:t>
      </w:r>
      <w:r w:rsidR="00336F6F">
        <w:rPr>
          <w:rFonts w:eastAsia="Garamond" w:cs="Garamond"/>
          <w:szCs w:val="22"/>
        </w:rPr>
        <w:t>.</w:t>
      </w:r>
      <w:r w:rsidR="00821D0E">
        <w:rPr>
          <w:rFonts w:eastAsia="Garamond" w:cs="Garamond"/>
          <w:szCs w:val="22"/>
        </w:rPr>
        <w:t xml:space="preserve"> airports and mail</w:t>
      </w:r>
      <w:r w:rsidR="001F278F">
        <w:rPr>
          <w:rFonts w:eastAsia="Garamond" w:cs="Garamond"/>
          <w:szCs w:val="22"/>
        </w:rPr>
        <w:t xml:space="preserve"> </w:t>
      </w:r>
      <w:r w:rsidR="00821D0E">
        <w:rPr>
          <w:rFonts w:eastAsia="Garamond" w:cs="Garamond"/>
          <w:szCs w:val="22"/>
        </w:rPr>
        <w:t xml:space="preserve">centres). </w:t>
      </w:r>
      <w:r>
        <w:rPr>
          <w:rFonts w:eastAsia="Garamond" w:cs="Garamond"/>
          <w:szCs w:val="22"/>
        </w:rPr>
        <w:t>While fully enclosed decks have artificial lighting and inspectors use good quality torches, the available lighting on open-penned and top decks can be variable. Further, the colour of flooring and surface paint may differ between vessels which may impact the ability to detect invertebrates, and the amount of glare that may be produced at different times of day.</w:t>
      </w:r>
      <w:r w:rsidR="00821D0E">
        <w:rPr>
          <w:rFonts w:eastAsia="Garamond" w:cs="Garamond"/>
          <w:szCs w:val="22"/>
        </w:rPr>
        <w:t xml:space="preserve"> </w:t>
      </w:r>
      <w:r w:rsidR="00907DAC">
        <w:rPr>
          <w:rFonts w:eastAsia="Garamond" w:cs="Garamond"/>
          <w:szCs w:val="22"/>
        </w:rPr>
        <w:t>Low light levels during inspection was not limited to the livestock decks.</w:t>
      </w:r>
    </w:p>
    <w:p w14:paraId="1C487DBE" w14:textId="77777777" w:rsidR="003E15C2" w:rsidRDefault="003E15C2" w:rsidP="003807D5">
      <w:pPr>
        <w:pStyle w:val="Heading3"/>
      </w:pPr>
      <w:bookmarkStart w:id="223" w:name="_Toc219290027"/>
      <w:bookmarkStart w:id="224" w:name="_Toc226796981"/>
      <w:r>
        <w:t xml:space="preserve">Invertebrate biology and </w:t>
      </w:r>
      <w:r w:rsidRPr="00B12684">
        <w:t>detection</w:t>
      </w:r>
      <w:bookmarkEnd w:id="223"/>
      <w:bookmarkEnd w:id="224"/>
    </w:p>
    <w:p w14:paraId="240CAF94" w14:textId="78D36E2B" w:rsidR="003E15C2" w:rsidRDefault="003E15C2">
      <w:pPr>
        <w:spacing w:before="120"/>
        <w:rPr>
          <w:rFonts w:eastAsia="Garamond" w:cs="Garamond"/>
          <w:szCs w:val="22"/>
        </w:rPr>
      </w:pPr>
      <w:r>
        <w:rPr>
          <w:rFonts w:eastAsia="Garamond" w:cs="Garamond"/>
          <w:szCs w:val="22"/>
        </w:rPr>
        <w:t xml:space="preserve">It is well established that insects have a circadian rhythm that dictates progression of life stages, migration and activity levels </w:t>
      </w:r>
      <w:r w:rsidR="00C465B1">
        <w:rPr>
          <w:rFonts w:eastAsia="Garamond" w:cs="Garamond"/>
          <w:szCs w:val="22"/>
        </w:rPr>
        <w:fldChar w:fldCharType="begin"/>
      </w:r>
      <w:r w:rsidR="001E0B07">
        <w:rPr>
          <w:rFonts w:eastAsia="Garamond" w:cs="Garamond"/>
          <w:szCs w:val="22"/>
        </w:rPr>
        <w:instrText xml:space="preserve"> ADDIN ZOTERO_ITEM CSL_CITATION {"citationID":"Lhf0bcrW","properties":{"formattedCitation":"(Kuriwada 2025; Numata et al. 2015)","plainCitation":"(Kuriwada 2025; Numata et al. 2015)","noteIndex":0},"citationItems":[{"id":22342,"uris":["http://zotero.org/groups/6289862/items/8WC9JMK2"],"itemData":{"id":22342,"type":"article-journal","abstract":"Many insects regulate diapause—a dormant physiological state—in response to photoperiod, with short day length typically signaling approach of winter and inducing diapause. However, artificial light at night (ALAN), often associated with urbanization, can disrupt these photoperiodic cues and inhibit diapause induction. This review examines the disruption of diapause induction by ALAN, a topic that has only recently attracted considerable attention. First, it summarizes recent empirical studies on ALAN-induced diapause inhibition. Then, it outlines the physiological and molecular genetic mechanisms involved, which remain only partially understood. Next, it discusses potential factors limiting adaptation to ALAN-induced diapause disruption. Finally, this review presents key perspectives from physiological, evolutionary, and applied entomological standpoints to guide future research, emphasizing the need to integrate existing knowledge of diapause regulation with field and laboratory studies to better understand the effects of ALAN and guide mitigation efforts.","container-title":"Journal of Insect Physiology","DOI":"10.1016/j.jinsphys.2025.104901","ISSN":"0022-1910","journalAbbreviation":"Journal of Insect Physiology","page":"104901","source":"ScienceDirect","title":"The age of bright nights: Photoperiodic disruption of insect diapause by artificial light at night","title-short":"The age of bright nights","volume":"167","author":[{"family":"Kuriwada","given":"Takashi"}],"issued":{"date-parts":[["2025",12,1]]}}},{"id":22345,"uris":["http://zotero.org/groups/6289862/items/WDAPJ4F6"],"itemData":{"id":22345,"type":"article-journal","abstract":"This review describes common features among diverse biological clocks in insects, including circadian, circatidal, circalunar/circasemilunar, and circannual clocks. These clocks control various behaviors, physiological functions, and developmental events, enabling adaptation to periodic environmental changes. Circadian clocks also function in time-compensation for celestial navigation and in the measurement of day or night length for photoperiodism. Phase response curves for such clocks reported thus far exhibit close similarities; specifically, the circannual clock in Anthrenus verbasci shows striking similarity to circadian clocks in its phase response. It is suggested that diverse biological clocks share physiological properties in their phase responses irrespective of period length. Molecular and physiological mechanisms are best understood for the optic-lobe and mid-brain circadian clocks, although there is no direct evidence that these clocks are involved in rhythmic phenomena other than circadian rhythms in daily events. Circadian clocks have also been localized in peripheral tissues, and research on their role in various rhythmic phenomena has been started. Although clock genes have been identified as controllers of circadian rhythms in daily events, some of these genes have also been shown to be involved in photoperiodism and possibly in time-compensated celestial navigation. In contrast, there is no experimental evidence indicating that any known clock gene is involved in biological clocks other than circadian clocks.","container-title":"Zoological Letters","DOI":"10.1186/s40851-014-0003-y","ISSN":"2056-306X","issue":"1","journalAbbreviation":"Zoological Letters","page":"10","source":"BioMed Central","title":"Common features in diverse insect clocks","volume":"1","author":[{"family":"Numata","given":"Hideharu"},{"family":"Miyazaki","given":"Yosuke"},{"family":"Ikeno","given":"Tomoko"}],"issued":{"date-parts":[["2015",2,20]]}}}],"schema":"https://github.com/citation-style-language/schema/raw/master/csl-citation.json"} </w:instrText>
      </w:r>
      <w:r w:rsidR="00C465B1">
        <w:rPr>
          <w:rFonts w:eastAsia="Garamond" w:cs="Garamond"/>
          <w:szCs w:val="22"/>
        </w:rPr>
        <w:fldChar w:fldCharType="separate"/>
      </w:r>
      <w:r w:rsidR="00B6407D">
        <w:rPr>
          <w:rFonts w:eastAsia="Garamond" w:cs="Garamond"/>
          <w:noProof/>
          <w:szCs w:val="22"/>
        </w:rPr>
        <w:t>(Kuriwada 2025; Numata et al. 2015)</w:t>
      </w:r>
      <w:r w:rsidR="00C465B1">
        <w:rPr>
          <w:rFonts w:eastAsia="Garamond" w:cs="Garamond"/>
          <w:szCs w:val="22"/>
        </w:rPr>
        <w:fldChar w:fldCharType="end"/>
      </w:r>
      <w:r>
        <w:rPr>
          <w:rFonts w:eastAsia="Garamond" w:cs="Garamond"/>
          <w:szCs w:val="22"/>
        </w:rPr>
        <w:t xml:space="preserve">. </w:t>
      </w:r>
      <w:r w:rsidR="008D4781" w:rsidRPr="008D4781">
        <w:rPr>
          <w:rFonts w:eastAsia="Garamond" w:cs="Garamond"/>
          <w:szCs w:val="22"/>
        </w:rPr>
        <w:t>The lack of data on insect circadian rhythms in 100% artificial environments represents a primary biosecurity uncertainty</w:t>
      </w:r>
      <w:r>
        <w:rPr>
          <w:rFonts w:eastAsia="Garamond" w:cs="Garamond"/>
          <w:szCs w:val="22"/>
        </w:rPr>
        <w:t xml:space="preserve">. </w:t>
      </w:r>
    </w:p>
    <w:p w14:paraId="15B8742B" w14:textId="11F41116" w:rsidR="003E15C2" w:rsidRDefault="003E15C2">
      <w:pPr>
        <w:spacing w:before="120"/>
        <w:rPr>
          <w:rFonts w:eastAsia="Garamond" w:cs="Garamond"/>
          <w:szCs w:val="22"/>
        </w:rPr>
      </w:pPr>
      <w:r>
        <w:rPr>
          <w:rFonts w:eastAsia="Garamond" w:cs="Garamond"/>
          <w:szCs w:val="22"/>
        </w:rPr>
        <w:t xml:space="preserve">Most invertebrate studies </w:t>
      </w:r>
      <w:r w:rsidR="00F54F56">
        <w:rPr>
          <w:rFonts w:eastAsia="Garamond" w:cs="Garamond"/>
          <w:szCs w:val="22"/>
        </w:rPr>
        <w:t xml:space="preserve">have been </w:t>
      </w:r>
      <w:r>
        <w:rPr>
          <w:rFonts w:eastAsia="Garamond" w:cs="Garamond"/>
          <w:szCs w:val="22"/>
        </w:rPr>
        <w:t xml:space="preserve">conducted in laboratory settings. This makes it difficult to extrapolate and determine how valid findings are in field settings. For example, while there are data stating how long an </w:t>
      </w:r>
      <w:r w:rsidR="00821D0E">
        <w:rPr>
          <w:rFonts w:eastAsia="Garamond" w:cs="Garamond"/>
          <w:szCs w:val="22"/>
        </w:rPr>
        <w:t xml:space="preserve">old world screwworm fly </w:t>
      </w:r>
      <w:r>
        <w:rPr>
          <w:rFonts w:eastAsia="Garamond" w:cs="Garamond"/>
          <w:szCs w:val="22"/>
        </w:rPr>
        <w:t xml:space="preserve">may live for, data investigating how long a female may survive between meals is lacking. </w:t>
      </w:r>
    </w:p>
    <w:p w14:paraId="2DF23188" w14:textId="6FA8CE25" w:rsidR="008B7663" w:rsidRDefault="003E15C2">
      <w:pPr>
        <w:spacing w:before="120"/>
        <w:rPr>
          <w:rFonts w:eastAsia="Garamond" w:cs="Garamond"/>
          <w:szCs w:val="22"/>
        </w:rPr>
      </w:pPr>
      <w:r>
        <w:rPr>
          <w:rFonts w:eastAsia="Garamond" w:cs="Garamond"/>
          <w:szCs w:val="22"/>
        </w:rPr>
        <w:t xml:space="preserve">There are still significant knowledge gaps regarding the minimum infective dose and minimum number of infected vectors required to transmit diseases, such as LSD. </w:t>
      </w:r>
    </w:p>
    <w:p w14:paraId="13752DAA" w14:textId="77777777" w:rsidR="003E15C2" w:rsidRDefault="003E15C2" w:rsidP="003807D5">
      <w:pPr>
        <w:pStyle w:val="Heading3"/>
      </w:pPr>
      <w:bookmarkStart w:id="225" w:name="_Toc219290028"/>
      <w:bookmarkStart w:id="226" w:name="_Toc226796982"/>
      <w:r>
        <w:t>Foot and mouth disease virus viability in tropical/</w:t>
      </w:r>
      <w:r w:rsidRPr="00B12684">
        <w:t>maritime</w:t>
      </w:r>
      <w:r>
        <w:t xml:space="preserve"> climates</w:t>
      </w:r>
      <w:bookmarkEnd w:id="225"/>
      <w:bookmarkEnd w:id="226"/>
    </w:p>
    <w:p w14:paraId="1165A09D" w14:textId="4606DE40" w:rsidR="003E15C2" w:rsidRDefault="00EE42CE">
      <w:pPr>
        <w:spacing w:before="120"/>
        <w:rPr>
          <w:rFonts w:eastAsia="Garamond" w:cs="Garamond"/>
          <w:szCs w:val="22"/>
        </w:rPr>
      </w:pPr>
      <w:r>
        <w:rPr>
          <w:rFonts w:eastAsia="Garamond" w:cs="Garamond"/>
          <w:szCs w:val="22"/>
        </w:rPr>
        <w:t xml:space="preserve">Risks associated with introduction or establishment of specific pathogens were not studied in this review, but provide important context for the inspection process. In particular, FMD and LSD are active in countries where livestock carrier vessels are travelling from. The risk associated with BRM is highly dependent on the viability of any pathogens or pests which may have survived the voyage to an Australian port. </w:t>
      </w:r>
      <w:r w:rsidR="003E15C2">
        <w:rPr>
          <w:rFonts w:eastAsia="Garamond" w:cs="Garamond"/>
          <w:szCs w:val="22"/>
        </w:rPr>
        <w:t xml:space="preserve">A considerable proportion of FMDV viability research has been conducted in cool or temperate climates. It remains unclear how </w:t>
      </w:r>
      <w:r w:rsidR="00AC7A06">
        <w:rPr>
          <w:rFonts w:eastAsia="Garamond" w:cs="Garamond"/>
          <w:szCs w:val="22"/>
        </w:rPr>
        <w:t xml:space="preserve">the </w:t>
      </w:r>
      <w:r w:rsidR="003E15C2">
        <w:rPr>
          <w:rFonts w:eastAsia="Garamond" w:cs="Garamond"/>
          <w:szCs w:val="22"/>
        </w:rPr>
        <w:t xml:space="preserve">temperature and relative humidity present on a </w:t>
      </w:r>
      <w:r w:rsidR="00CB6B42">
        <w:rPr>
          <w:rFonts w:eastAsia="Garamond" w:cs="Garamond"/>
          <w:szCs w:val="22"/>
        </w:rPr>
        <w:t xml:space="preserve">marine </w:t>
      </w:r>
      <w:r w:rsidR="003E15C2">
        <w:rPr>
          <w:rFonts w:eastAsia="Garamond" w:cs="Garamond"/>
          <w:szCs w:val="22"/>
        </w:rPr>
        <w:lastRenderedPageBreak/>
        <w:t>voyage may impact the viability of FMDV if a vessel happens to become contaminated due to transporting clinically infected livestock.</w:t>
      </w:r>
      <w:r w:rsidR="00CB6B42">
        <w:rPr>
          <w:rFonts w:eastAsia="Garamond" w:cs="Garamond"/>
          <w:szCs w:val="22"/>
        </w:rPr>
        <w:t xml:space="preserve"> Nevertheless, the origin of the livestock transported on the vessel immediately prior to the vessel returning to an Australian port should be known in order to assess the risk of livestock origin BRM.</w:t>
      </w:r>
    </w:p>
    <w:p w14:paraId="02CF4FF3" w14:textId="77777777" w:rsidR="003E15C2" w:rsidRDefault="003E15C2" w:rsidP="003807D5">
      <w:pPr>
        <w:pStyle w:val="Heading3"/>
      </w:pPr>
      <w:bookmarkStart w:id="227" w:name="_Toc219290029"/>
      <w:bookmarkStart w:id="228" w:name="_Toc226796983"/>
      <w:r>
        <w:t xml:space="preserve">Vessel port history and </w:t>
      </w:r>
      <w:r w:rsidRPr="00B12684">
        <w:t>other</w:t>
      </w:r>
      <w:r>
        <w:t xml:space="preserve"> data parameters</w:t>
      </w:r>
      <w:bookmarkEnd w:id="227"/>
      <w:bookmarkEnd w:id="228"/>
    </w:p>
    <w:p w14:paraId="663AD77F" w14:textId="5729C3CB" w:rsidR="003E15C2" w:rsidRDefault="003E15C2">
      <w:pPr>
        <w:rPr>
          <w:rFonts w:eastAsia="Garamond" w:cs="Garamond"/>
          <w:szCs w:val="22"/>
        </w:rPr>
      </w:pPr>
      <w:r>
        <w:rPr>
          <w:rFonts w:eastAsia="Garamond" w:cs="Garamond"/>
          <w:szCs w:val="22"/>
        </w:rPr>
        <w:t>Currently, only the last port of departure</w:t>
      </w:r>
      <w:r w:rsidR="00821D0E">
        <w:rPr>
          <w:rFonts w:eastAsia="Garamond" w:cs="Garamond"/>
          <w:szCs w:val="22"/>
        </w:rPr>
        <w:t xml:space="preserve"> before entry to Australia</w:t>
      </w:r>
      <w:r>
        <w:rPr>
          <w:rFonts w:eastAsia="Garamond" w:cs="Garamond"/>
          <w:szCs w:val="22"/>
        </w:rPr>
        <w:t xml:space="preserve"> is recorded by the Department. Knowledge of all ports visited since last departing Australian territory would be useful information to collect to help determine the likelihood of contamination and subsequent risk a vessel may pose. This information is available through </w:t>
      </w:r>
      <w:r w:rsidR="009E67A9">
        <w:rPr>
          <w:rFonts w:eastAsia="Garamond" w:cs="Garamond"/>
          <w:szCs w:val="22"/>
        </w:rPr>
        <w:t xml:space="preserve">other responsible agencies or </w:t>
      </w:r>
      <w:r w:rsidR="00821D0E">
        <w:rPr>
          <w:rFonts w:eastAsia="Garamond" w:cs="Garamond"/>
          <w:szCs w:val="22"/>
        </w:rPr>
        <w:t>AIS data aggregators (e</w:t>
      </w:r>
      <w:r w:rsidR="00CE5CEF">
        <w:rPr>
          <w:rFonts w:eastAsia="Garamond" w:cs="Garamond"/>
          <w:szCs w:val="22"/>
        </w:rPr>
        <w:t>.</w:t>
      </w:r>
      <w:r w:rsidR="00821D0E">
        <w:rPr>
          <w:rFonts w:eastAsia="Garamond" w:cs="Garamond"/>
          <w:szCs w:val="22"/>
        </w:rPr>
        <w:t>g</w:t>
      </w:r>
      <w:r w:rsidR="00CE5CEF">
        <w:rPr>
          <w:rFonts w:eastAsia="Garamond" w:cs="Garamond"/>
          <w:szCs w:val="22"/>
        </w:rPr>
        <w:t>.</w:t>
      </w:r>
      <w:r w:rsidR="00821D0E">
        <w:rPr>
          <w:rFonts w:eastAsia="Garamond" w:cs="Garamond"/>
          <w:szCs w:val="22"/>
        </w:rPr>
        <w:t xml:space="preserve"> </w:t>
      </w:r>
      <w:r>
        <w:rPr>
          <w:rFonts w:eastAsia="Garamond" w:cs="Garamond"/>
          <w:szCs w:val="22"/>
        </w:rPr>
        <w:t>Marine Traffic</w:t>
      </w:r>
      <w:r w:rsidR="00821D0E">
        <w:rPr>
          <w:rFonts w:eastAsia="Garamond" w:cs="Garamond"/>
          <w:szCs w:val="22"/>
        </w:rPr>
        <w:t>, Vessel Finder)</w:t>
      </w:r>
      <w:r>
        <w:rPr>
          <w:rFonts w:eastAsia="Garamond" w:cs="Garamond"/>
          <w:szCs w:val="22"/>
        </w:rPr>
        <w:t>. There are other notable parameters that would be beneficial to record to support risk assessment of vessels when returning to Australia, such as the Master, the location of previous breaches on a vessel and fodder presence as well as whether the vessel is purpose built or retrofitted.</w:t>
      </w:r>
    </w:p>
    <w:p w14:paraId="6A472189" w14:textId="0255ABCC" w:rsidR="008B7663" w:rsidRDefault="008B7663">
      <w:pPr>
        <w:rPr>
          <w:rFonts w:eastAsia="Garamond" w:cs="Garamond"/>
          <w:szCs w:val="22"/>
        </w:rPr>
      </w:pPr>
      <w:r>
        <w:rPr>
          <w:rFonts w:eastAsia="Garamond" w:cs="Garamond"/>
          <w:szCs w:val="22"/>
        </w:rPr>
        <w:t>A target list of invertebrate vector species has not been developed</w:t>
      </w:r>
      <w:r w:rsidR="00C86FE9">
        <w:rPr>
          <w:rFonts w:eastAsia="Garamond" w:cs="Garamond"/>
          <w:szCs w:val="22"/>
        </w:rPr>
        <w:t xml:space="preserve"> for vessel inspections</w:t>
      </w:r>
      <w:r>
        <w:rPr>
          <w:rFonts w:eastAsia="Garamond" w:cs="Garamond"/>
          <w:szCs w:val="22"/>
        </w:rPr>
        <w:t xml:space="preserve">. This </w:t>
      </w:r>
      <w:r w:rsidR="00F349D9">
        <w:rPr>
          <w:rFonts w:eastAsia="Garamond" w:cs="Garamond"/>
          <w:szCs w:val="22"/>
        </w:rPr>
        <w:t>should be prioritised as it will help to support vessel inspection and surveillance approaches and to guide future research areas.</w:t>
      </w:r>
    </w:p>
    <w:p w14:paraId="2E8BCEC1" w14:textId="5DFFBB6F" w:rsidR="0070593C" w:rsidRDefault="0070593C" w:rsidP="004D129F">
      <w:pPr>
        <w:pStyle w:val="Heading2"/>
        <w:spacing w:before="240" w:after="240"/>
        <w:ind w:left="578" w:hanging="578"/>
      </w:pPr>
      <w:bookmarkStart w:id="229" w:name="_Toc226796984"/>
      <w:bookmarkStart w:id="230" w:name="_Toc219290030"/>
      <w:r>
        <w:t>Recommendations</w:t>
      </w:r>
      <w:bookmarkEnd w:id="229"/>
    </w:p>
    <w:p w14:paraId="557E49E4" w14:textId="16874134" w:rsidR="005E46B5" w:rsidRDefault="00F86C25" w:rsidP="00E14B86">
      <w:pPr>
        <w:rPr>
          <w:lang w:eastAsia="en-US"/>
        </w:rPr>
      </w:pPr>
      <w:r>
        <w:rPr>
          <w:lang w:eastAsia="en-US"/>
        </w:rPr>
        <w:t>The following recommendations aim to improve</w:t>
      </w:r>
      <w:r w:rsidR="00E14B86">
        <w:rPr>
          <w:lang w:eastAsia="en-US"/>
        </w:rPr>
        <w:t xml:space="preserve"> understanding around vessel risk to support a decision on the reintroduction of </w:t>
      </w:r>
      <w:r w:rsidR="006F0FD8">
        <w:rPr>
          <w:lang w:eastAsia="en-US"/>
        </w:rPr>
        <w:t>night-time</w:t>
      </w:r>
      <w:r w:rsidR="00E14B86">
        <w:rPr>
          <w:lang w:eastAsia="en-US"/>
        </w:rPr>
        <w:t xml:space="preserve"> biosecurity inspections. These include: </w:t>
      </w:r>
    </w:p>
    <w:p w14:paraId="52C4792F" w14:textId="7B2FD9C8" w:rsidR="00E14B86" w:rsidRDefault="00E14B86" w:rsidP="00EE42CE">
      <w:pPr>
        <w:pStyle w:val="Heading3"/>
        <w:rPr>
          <w:lang w:eastAsia="en-US"/>
        </w:rPr>
      </w:pPr>
      <w:bookmarkStart w:id="231" w:name="_Toc226796985"/>
      <w:r>
        <w:rPr>
          <w:lang w:eastAsia="en-US"/>
        </w:rPr>
        <w:t>Comprehensive</w:t>
      </w:r>
      <w:r w:rsidR="0070593C" w:rsidRPr="00E14B86">
        <w:rPr>
          <w:lang w:eastAsia="en-US"/>
        </w:rPr>
        <w:t xml:space="preserve"> data capture</w:t>
      </w:r>
      <w:r w:rsidR="00E44D39" w:rsidRPr="00E14B86">
        <w:rPr>
          <w:lang w:eastAsia="en-US"/>
        </w:rPr>
        <w:t xml:space="preserve"> </w:t>
      </w:r>
      <w:r w:rsidRPr="00E14B86">
        <w:rPr>
          <w:lang w:eastAsia="en-US"/>
        </w:rPr>
        <w:t>and vessel risk profiling</w:t>
      </w:r>
      <w:bookmarkEnd w:id="231"/>
    </w:p>
    <w:p w14:paraId="57EF8D9C" w14:textId="47F03401" w:rsidR="00E14B86" w:rsidRPr="00E14B86" w:rsidRDefault="00E14B86" w:rsidP="00E14B86">
      <w:pPr>
        <w:rPr>
          <w:lang w:eastAsia="en-US"/>
        </w:rPr>
      </w:pPr>
      <w:r>
        <w:rPr>
          <w:lang w:eastAsia="en-US"/>
        </w:rPr>
        <w:t xml:space="preserve">Current inspection protocols can be improved be capturing more detailed historical and operational data to better understand the potential risk of each arriving vessel. These </w:t>
      </w:r>
      <w:r w:rsidR="0093717C">
        <w:rPr>
          <w:lang w:eastAsia="en-US"/>
        </w:rPr>
        <w:t xml:space="preserve">data </w:t>
      </w:r>
      <w:r>
        <w:rPr>
          <w:lang w:eastAsia="en-US"/>
        </w:rPr>
        <w:t xml:space="preserve">need to be reviewed prior to a </w:t>
      </w:r>
      <w:r w:rsidR="0093717C">
        <w:rPr>
          <w:lang w:eastAsia="en-US"/>
        </w:rPr>
        <w:t>vessel arrival</w:t>
      </w:r>
      <w:r w:rsidR="00CB6B42">
        <w:rPr>
          <w:lang w:eastAsia="en-US"/>
        </w:rPr>
        <w:t xml:space="preserve"> and may impact on a decision to issue pratique</w:t>
      </w:r>
      <w:r>
        <w:rPr>
          <w:lang w:eastAsia="en-US"/>
        </w:rPr>
        <w:t xml:space="preserve">. Key data points include: </w:t>
      </w:r>
    </w:p>
    <w:p w14:paraId="4C43AF91" w14:textId="08F421B1" w:rsidR="00663191" w:rsidRDefault="00E14B86">
      <w:pPr>
        <w:pStyle w:val="ListParagraph"/>
        <w:numPr>
          <w:ilvl w:val="1"/>
          <w:numId w:val="15"/>
        </w:numPr>
        <w:ind w:left="851"/>
        <w:rPr>
          <w:lang w:eastAsia="en-US"/>
        </w:rPr>
      </w:pPr>
      <w:r>
        <w:rPr>
          <w:lang w:eastAsia="en-US"/>
        </w:rPr>
        <w:t xml:space="preserve">Port history: a </w:t>
      </w:r>
      <w:r w:rsidR="0093717C">
        <w:rPr>
          <w:lang w:eastAsia="en-US"/>
        </w:rPr>
        <w:t>complete</w:t>
      </w:r>
      <w:r>
        <w:rPr>
          <w:lang w:eastAsia="en-US"/>
        </w:rPr>
        <w:t xml:space="preserve"> record of all ports visited since the vessel was last in </w:t>
      </w:r>
      <w:r w:rsidR="0093717C">
        <w:rPr>
          <w:lang w:eastAsia="en-US"/>
        </w:rPr>
        <w:t>Australia to identify the risk of potential diseases or pests.</w:t>
      </w:r>
    </w:p>
    <w:p w14:paraId="16D29A82" w14:textId="6B91D614" w:rsidR="0093717C" w:rsidRDefault="0093717C">
      <w:pPr>
        <w:pStyle w:val="ListParagraph"/>
        <w:numPr>
          <w:ilvl w:val="1"/>
          <w:numId w:val="15"/>
        </w:numPr>
        <w:ind w:left="851"/>
        <w:rPr>
          <w:lang w:eastAsia="en-US"/>
        </w:rPr>
      </w:pPr>
      <w:r>
        <w:rPr>
          <w:lang w:eastAsia="en-US"/>
        </w:rPr>
        <w:t>Animal transport history: a full record of animals transported by the vessel and their country of origin to identify the risk of potential diseases or pests.</w:t>
      </w:r>
    </w:p>
    <w:p w14:paraId="081932E9" w14:textId="56F04D9F" w:rsidR="00663191" w:rsidRDefault="00663191">
      <w:pPr>
        <w:pStyle w:val="ListParagraph"/>
        <w:numPr>
          <w:ilvl w:val="1"/>
          <w:numId w:val="15"/>
        </w:numPr>
        <w:ind w:left="851"/>
        <w:rPr>
          <w:lang w:eastAsia="en-US"/>
        </w:rPr>
      </w:pPr>
      <w:r>
        <w:rPr>
          <w:lang w:eastAsia="en-US"/>
        </w:rPr>
        <w:t>Vessel master and related changes</w:t>
      </w:r>
      <w:r w:rsidR="0093717C">
        <w:rPr>
          <w:lang w:eastAsia="en-US"/>
        </w:rPr>
        <w:t xml:space="preserve">: documentation of vessel Masters on each voyage, due to the association of Master in relation to biosecurity compliance. </w:t>
      </w:r>
    </w:p>
    <w:p w14:paraId="691CB737" w14:textId="0D4885E3" w:rsidR="00663191" w:rsidRDefault="00663191">
      <w:pPr>
        <w:pStyle w:val="ListParagraph"/>
        <w:numPr>
          <w:ilvl w:val="1"/>
          <w:numId w:val="15"/>
        </w:numPr>
        <w:ind w:left="851"/>
        <w:rPr>
          <w:lang w:eastAsia="en-US"/>
        </w:rPr>
      </w:pPr>
      <w:r>
        <w:rPr>
          <w:lang w:eastAsia="en-US"/>
        </w:rPr>
        <w:t xml:space="preserve">Demerit </w:t>
      </w:r>
      <w:r w:rsidR="0093717C">
        <w:rPr>
          <w:lang w:eastAsia="en-US"/>
        </w:rPr>
        <w:t xml:space="preserve">and compliance </w:t>
      </w:r>
      <w:r>
        <w:rPr>
          <w:lang w:eastAsia="en-US"/>
        </w:rPr>
        <w:t>history</w:t>
      </w:r>
      <w:r w:rsidR="0093717C">
        <w:rPr>
          <w:lang w:eastAsia="en-US"/>
        </w:rPr>
        <w:t xml:space="preserve">: a complete record of past non-compliance to identify the potential likelihood of recurring issues. </w:t>
      </w:r>
    </w:p>
    <w:p w14:paraId="74F01E53" w14:textId="606CB25E" w:rsidR="00663191" w:rsidRDefault="00663191">
      <w:pPr>
        <w:pStyle w:val="ListParagraph"/>
        <w:numPr>
          <w:ilvl w:val="1"/>
          <w:numId w:val="15"/>
        </w:numPr>
        <w:ind w:left="851"/>
        <w:rPr>
          <w:lang w:eastAsia="en-US"/>
        </w:rPr>
      </w:pPr>
      <w:r>
        <w:rPr>
          <w:lang w:eastAsia="en-US"/>
        </w:rPr>
        <w:t xml:space="preserve">Enhanced </w:t>
      </w:r>
      <w:r w:rsidR="0093717C">
        <w:rPr>
          <w:lang w:eastAsia="en-US"/>
        </w:rPr>
        <w:t>reporting</w:t>
      </w:r>
      <w:r>
        <w:rPr>
          <w:lang w:eastAsia="en-US"/>
        </w:rPr>
        <w:t xml:space="preserve"> on BRM</w:t>
      </w:r>
      <w:r w:rsidR="0093717C">
        <w:rPr>
          <w:lang w:eastAsia="en-US"/>
        </w:rPr>
        <w:t>: more granular details need to be collected on BRM and non-compliance, such as</w:t>
      </w:r>
      <w:r>
        <w:rPr>
          <w:lang w:eastAsia="en-US"/>
        </w:rPr>
        <w:t xml:space="preserve"> where on the vessel </w:t>
      </w:r>
      <w:r w:rsidR="0093717C">
        <w:rPr>
          <w:lang w:eastAsia="en-US"/>
        </w:rPr>
        <w:t xml:space="preserve">this occurred. This will support future inspections by identifying high-risk structural features on different vessels. </w:t>
      </w:r>
    </w:p>
    <w:p w14:paraId="379C526A" w14:textId="513473D9" w:rsidR="0070593C" w:rsidRPr="00CA4E98" w:rsidRDefault="00663191">
      <w:pPr>
        <w:pStyle w:val="ListParagraph"/>
        <w:numPr>
          <w:ilvl w:val="1"/>
          <w:numId w:val="15"/>
        </w:numPr>
        <w:spacing w:before="120"/>
        <w:ind w:left="851" w:hanging="357"/>
        <w:rPr>
          <w:lang w:eastAsia="en-US"/>
        </w:rPr>
      </w:pPr>
      <w:r>
        <w:rPr>
          <w:lang w:eastAsia="en-US"/>
        </w:rPr>
        <w:t xml:space="preserve">Target list of </w:t>
      </w:r>
      <w:r>
        <w:rPr>
          <w:rFonts w:eastAsia="Garamond" w:cs="Garamond"/>
          <w:szCs w:val="22"/>
        </w:rPr>
        <w:t>invertebrate vector species</w:t>
      </w:r>
      <w:r w:rsidR="00723721">
        <w:rPr>
          <w:rFonts w:eastAsia="Garamond" w:cs="Garamond"/>
          <w:szCs w:val="22"/>
        </w:rPr>
        <w:t>: A refined list of high-priority invertebrate species will help to support vessel inspection and surveillance approaches and to guide future research areas.</w:t>
      </w:r>
    </w:p>
    <w:p w14:paraId="09C6EF5E" w14:textId="77777777" w:rsidR="00CA4E98" w:rsidRPr="00AC0D66" w:rsidRDefault="00CA4E98" w:rsidP="00CA4E98">
      <w:pPr>
        <w:pStyle w:val="ListParagraph"/>
        <w:numPr>
          <w:ilvl w:val="0"/>
          <w:numId w:val="0"/>
        </w:numPr>
        <w:spacing w:before="120"/>
        <w:ind w:left="1434"/>
        <w:rPr>
          <w:sz w:val="2"/>
          <w:szCs w:val="2"/>
          <w:lang w:eastAsia="en-US"/>
        </w:rPr>
      </w:pPr>
    </w:p>
    <w:p w14:paraId="50AE72CB" w14:textId="20DD7703" w:rsidR="00723721" w:rsidRPr="00723721" w:rsidRDefault="00723721" w:rsidP="00EE42CE">
      <w:pPr>
        <w:pStyle w:val="Heading3"/>
        <w:rPr>
          <w:lang w:eastAsia="en-US"/>
        </w:rPr>
      </w:pPr>
      <w:bookmarkStart w:id="232" w:name="_Toc226796986"/>
      <w:r w:rsidRPr="00723721">
        <w:rPr>
          <w:lang w:eastAsia="en-US"/>
        </w:rPr>
        <w:t>Implementation of a standardised demerit system</w:t>
      </w:r>
      <w:bookmarkEnd w:id="232"/>
    </w:p>
    <w:p w14:paraId="75C859D5" w14:textId="41B6B8A9" w:rsidR="00723721" w:rsidRDefault="00723721" w:rsidP="00723721">
      <w:pPr>
        <w:rPr>
          <w:lang w:eastAsia="en-US"/>
        </w:rPr>
      </w:pPr>
      <w:r>
        <w:rPr>
          <w:lang w:eastAsia="en-US"/>
        </w:rPr>
        <w:t xml:space="preserve">There are currently no formal procedures for vessels that consistently fail to meet biosecurity standards. </w:t>
      </w:r>
      <w:r w:rsidR="004D6005">
        <w:rPr>
          <w:lang w:eastAsia="en-US"/>
        </w:rPr>
        <w:t xml:space="preserve">That said, there is currently little incentive to avoid demerits for livestock vessels. </w:t>
      </w:r>
      <w:r>
        <w:rPr>
          <w:lang w:eastAsia="en-US"/>
        </w:rPr>
        <w:t xml:space="preserve">To support better compliance, the allocation and management of demerit points could be improved by: </w:t>
      </w:r>
    </w:p>
    <w:p w14:paraId="539BD24B" w14:textId="77777777" w:rsidR="00A240BC" w:rsidRDefault="00723721">
      <w:pPr>
        <w:pStyle w:val="ListParagraph"/>
        <w:numPr>
          <w:ilvl w:val="0"/>
          <w:numId w:val="25"/>
        </w:numPr>
        <w:ind w:left="851"/>
        <w:rPr>
          <w:lang w:eastAsia="en-US"/>
        </w:rPr>
      </w:pPr>
      <w:r>
        <w:rPr>
          <w:lang w:eastAsia="en-US"/>
        </w:rPr>
        <w:lastRenderedPageBreak/>
        <w:t>Define with greater granularity what constitutes a demerit point to ensure a transparent and consistent process.</w:t>
      </w:r>
    </w:p>
    <w:p w14:paraId="6670FBA4" w14:textId="77777777" w:rsidR="00A240BC" w:rsidRDefault="00CB6B42">
      <w:pPr>
        <w:pStyle w:val="ListParagraph"/>
        <w:numPr>
          <w:ilvl w:val="0"/>
          <w:numId w:val="25"/>
        </w:numPr>
        <w:ind w:left="851"/>
        <w:rPr>
          <w:lang w:eastAsia="en-US"/>
        </w:rPr>
      </w:pPr>
      <w:r>
        <w:rPr>
          <w:lang w:eastAsia="en-US"/>
        </w:rPr>
        <w:t>Enhanced reporting on the inspection to ensure standardised and repeatable</w:t>
      </w:r>
      <w:r w:rsidR="004D6005">
        <w:rPr>
          <w:lang w:eastAsia="en-US"/>
        </w:rPr>
        <w:t>, and the issue of demerits is defensible.</w:t>
      </w:r>
    </w:p>
    <w:p w14:paraId="0EBB19AD" w14:textId="77777777" w:rsidR="00A240BC" w:rsidRDefault="00723721">
      <w:pPr>
        <w:pStyle w:val="ListParagraph"/>
        <w:numPr>
          <w:ilvl w:val="0"/>
          <w:numId w:val="25"/>
        </w:numPr>
        <w:ind w:left="851"/>
        <w:rPr>
          <w:lang w:eastAsia="en-US"/>
        </w:rPr>
      </w:pPr>
      <w:r>
        <w:rPr>
          <w:lang w:eastAsia="en-US"/>
        </w:rPr>
        <w:t>Compliance incentives: demerits should serve as a practical tool for enforcement</w:t>
      </w:r>
      <w:r w:rsidR="00CA4E98">
        <w:rPr>
          <w:lang w:eastAsia="en-US"/>
        </w:rPr>
        <w:t xml:space="preserve">. For example, poor demerit history could be used to determine a vessel’s eligibility for certain inspection time windows. This should undergo further discussions and considerations for implementation. </w:t>
      </w:r>
    </w:p>
    <w:p w14:paraId="398FC33D" w14:textId="041E0539" w:rsidR="00723721" w:rsidRDefault="00CA4E98">
      <w:pPr>
        <w:pStyle w:val="ListParagraph"/>
        <w:numPr>
          <w:ilvl w:val="0"/>
          <w:numId w:val="25"/>
        </w:numPr>
        <w:ind w:left="851"/>
        <w:rPr>
          <w:lang w:eastAsia="en-US"/>
        </w:rPr>
      </w:pPr>
      <w:r>
        <w:rPr>
          <w:lang w:eastAsia="en-US"/>
        </w:rPr>
        <w:t xml:space="preserve">Centralised management: A centralised system is needed to compile demerit and vessel information to provide a central location for information that can be used for vessel risk profiling prior to inspections.   </w:t>
      </w:r>
      <w:r w:rsidR="00723721">
        <w:rPr>
          <w:lang w:eastAsia="en-US"/>
        </w:rPr>
        <w:t xml:space="preserve"> </w:t>
      </w:r>
    </w:p>
    <w:p w14:paraId="665FD280" w14:textId="77777777" w:rsidR="00CA4E98" w:rsidRPr="00AC0D66" w:rsidRDefault="00CA4E98" w:rsidP="00CA4E98">
      <w:pPr>
        <w:pStyle w:val="ListParagraph"/>
        <w:numPr>
          <w:ilvl w:val="0"/>
          <w:numId w:val="0"/>
        </w:numPr>
        <w:ind w:left="1440"/>
        <w:rPr>
          <w:sz w:val="2"/>
          <w:szCs w:val="2"/>
          <w:lang w:eastAsia="en-US"/>
        </w:rPr>
      </w:pPr>
    </w:p>
    <w:p w14:paraId="0A08421B" w14:textId="0BAE277C" w:rsidR="00CA4E98" w:rsidRPr="00CA4E98" w:rsidRDefault="00CA4E98" w:rsidP="00EE42CE">
      <w:pPr>
        <w:pStyle w:val="Heading3"/>
        <w:rPr>
          <w:rFonts w:eastAsia="Garamond"/>
        </w:rPr>
      </w:pPr>
      <w:bookmarkStart w:id="233" w:name="_Toc226796987"/>
      <w:r w:rsidRPr="00CA4E98">
        <w:rPr>
          <w:rFonts w:eastAsia="Garamond"/>
        </w:rPr>
        <w:t>Lighting optimisation and management of inspector fatigue</w:t>
      </w:r>
      <w:bookmarkEnd w:id="233"/>
      <w:r w:rsidRPr="00CA4E98">
        <w:rPr>
          <w:rFonts w:eastAsia="Garamond"/>
        </w:rPr>
        <w:t xml:space="preserve"> </w:t>
      </w:r>
    </w:p>
    <w:p w14:paraId="64FA46B1" w14:textId="2DA8902B" w:rsidR="00EA763D" w:rsidRPr="00122DB1" w:rsidRDefault="00EA763D" w:rsidP="009E67A9">
      <w:pPr>
        <w:rPr>
          <w:rFonts w:eastAsia="Garamond" w:cs="Garamond"/>
          <w:szCs w:val="22"/>
        </w:rPr>
      </w:pPr>
      <w:r>
        <w:rPr>
          <w:rFonts w:eastAsia="Garamond" w:cs="Garamond"/>
          <w:szCs w:val="22"/>
        </w:rPr>
        <w:t>E</w:t>
      </w:r>
      <w:r w:rsidRPr="00122DB1">
        <w:rPr>
          <w:rFonts w:eastAsia="Garamond" w:cs="Garamond"/>
          <w:szCs w:val="22"/>
        </w:rPr>
        <w:t xml:space="preserve">nsuring suitable </w:t>
      </w:r>
      <w:r>
        <w:rPr>
          <w:rFonts w:eastAsia="Garamond" w:cs="Garamond"/>
          <w:szCs w:val="22"/>
        </w:rPr>
        <w:t>illumination is</w:t>
      </w:r>
      <w:r w:rsidRPr="00122DB1">
        <w:rPr>
          <w:rFonts w:eastAsia="Garamond" w:cs="Garamond"/>
          <w:szCs w:val="22"/>
        </w:rPr>
        <w:t xml:space="preserve"> available </w:t>
      </w:r>
      <w:r>
        <w:rPr>
          <w:rFonts w:eastAsia="Garamond" w:cs="Garamond"/>
          <w:szCs w:val="22"/>
        </w:rPr>
        <w:t xml:space="preserve">during all parts of the inspection is </w:t>
      </w:r>
      <w:r w:rsidRPr="00122DB1">
        <w:rPr>
          <w:rFonts w:eastAsia="Garamond" w:cs="Garamond"/>
          <w:szCs w:val="22"/>
        </w:rPr>
        <w:t xml:space="preserve">important to </w:t>
      </w:r>
      <w:r>
        <w:rPr>
          <w:rFonts w:eastAsia="Garamond" w:cs="Garamond"/>
          <w:szCs w:val="22"/>
        </w:rPr>
        <w:t>ensure consistent, effective observation and detection of BRM. This includes managing low and high light levels, and managing the effects of continuously changing light. Team resource management (which includes noise, fatigue, provision of on-demand services and other work health and safety issues) is critical to maintaining inspection performance.</w:t>
      </w:r>
    </w:p>
    <w:p w14:paraId="09E9A6F5" w14:textId="0997727C" w:rsidR="00122DB1" w:rsidRPr="00643567" w:rsidRDefault="00643567" w:rsidP="00EE42CE">
      <w:pPr>
        <w:pStyle w:val="Heading3"/>
        <w:rPr>
          <w:lang w:eastAsia="en-US"/>
        </w:rPr>
      </w:pPr>
      <w:bookmarkStart w:id="234" w:name="_Toc226796988"/>
      <w:r w:rsidRPr="00643567">
        <w:rPr>
          <w:lang w:eastAsia="en-US"/>
        </w:rPr>
        <w:t xml:space="preserve">Comparative trial of </w:t>
      </w:r>
      <w:r w:rsidR="001F3EE2">
        <w:rPr>
          <w:lang w:eastAsia="en-US"/>
        </w:rPr>
        <w:t xml:space="preserve">daytime and </w:t>
      </w:r>
      <w:r w:rsidR="006F0FD8">
        <w:rPr>
          <w:lang w:eastAsia="en-US"/>
        </w:rPr>
        <w:t>night-time</w:t>
      </w:r>
      <w:r w:rsidRPr="00643567">
        <w:rPr>
          <w:lang w:eastAsia="en-US"/>
        </w:rPr>
        <w:t xml:space="preserve"> inspections</w:t>
      </w:r>
      <w:bookmarkEnd w:id="234"/>
    </w:p>
    <w:p w14:paraId="71E1A536" w14:textId="69BA3D82" w:rsidR="0027530D" w:rsidRDefault="004D6005" w:rsidP="009E67A9">
      <w:pPr>
        <w:rPr>
          <w:lang w:eastAsia="en-US"/>
        </w:rPr>
      </w:pPr>
      <w:r>
        <w:rPr>
          <w:lang w:eastAsia="en-US"/>
        </w:rPr>
        <w:t xml:space="preserve">Given the gaps in knowledge and the lack of recent experience with </w:t>
      </w:r>
      <w:r w:rsidR="006F0FD8">
        <w:rPr>
          <w:lang w:eastAsia="en-US"/>
        </w:rPr>
        <w:t>night-time</w:t>
      </w:r>
      <w:r>
        <w:rPr>
          <w:lang w:eastAsia="en-US"/>
        </w:rPr>
        <w:t xml:space="preserve"> inspection,</w:t>
      </w:r>
      <w:r w:rsidR="0070593C">
        <w:rPr>
          <w:lang w:eastAsia="en-US"/>
        </w:rPr>
        <w:t xml:space="preserve"> </w:t>
      </w:r>
      <w:r w:rsidR="005E46B5">
        <w:rPr>
          <w:lang w:eastAsia="en-US"/>
        </w:rPr>
        <w:t xml:space="preserve">a </w:t>
      </w:r>
      <w:r w:rsidR="0070593C">
        <w:rPr>
          <w:lang w:eastAsia="en-US"/>
        </w:rPr>
        <w:t xml:space="preserve">trial </w:t>
      </w:r>
      <w:r w:rsidR="00386278">
        <w:rPr>
          <w:lang w:eastAsia="en-US"/>
        </w:rPr>
        <w:t>comparing</w:t>
      </w:r>
      <w:r w:rsidR="0070593C">
        <w:rPr>
          <w:lang w:eastAsia="en-US"/>
        </w:rPr>
        <w:t xml:space="preserve"> </w:t>
      </w:r>
      <w:r w:rsidR="006F0FD8">
        <w:rPr>
          <w:lang w:eastAsia="en-US"/>
        </w:rPr>
        <w:t>night-time</w:t>
      </w:r>
      <w:r w:rsidR="00386278">
        <w:rPr>
          <w:lang w:eastAsia="en-US"/>
        </w:rPr>
        <w:t xml:space="preserve"> and daytime</w:t>
      </w:r>
      <w:r w:rsidR="0070593C">
        <w:rPr>
          <w:lang w:eastAsia="en-US"/>
        </w:rPr>
        <w:t xml:space="preserve"> inspections</w:t>
      </w:r>
      <w:r>
        <w:rPr>
          <w:lang w:eastAsia="en-US"/>
        </w:rPr>
        <w:t xml:space="preserve"> is recommended</w:t>
      </w:r>
      <w:r w:rsidR="005E46B5">
        <w:rPr>
          <w:lang w:eastAsia="en-US"/>
        </w:rPr>
        <w:t xml:space="preserve">. This should involve </w:t>
      </w:r>
      <w:r w:rsidR="008A00F9">
        <w:rPr>
          <w:lang w:eastAsia="en-US"/>
        </w:rPr>
        <w:t xml:space="preserve">the development of a study design and identification </w:t>
      </w:r>
      <w:r>
        <w:rPr>
          <w:lang w:eastAsia="en-US"/>
        </w:rPr>
        <w:t xml:space="preserve">of </w:t>
      </w:r>
      <w:r w:rsidR="008A00F9">
        <w:rPr>
          <w:lang w:eastAsia="en-US"/>
        </w:rPr>
        <w:t>all appropriate data parameters that require collection to ensure there is sufficient information at the end to enable analysis with adequate power for decision making. The</w:t>
      </w:r>
      <w:r w:rsidR="0027530D">
        <w:rPr>
          <w:lang w:eastAsia="en-US"/>
        </w:rPr>
        <w:t xml:space="preserve"> trial </w:t>
      </w:r>
      <w:r w:rsidR="00643567">
        <w:rPr>
          <w:lang w:eastAsia="en-US"/>
        </w:rPr>
        <w:t xml:space="preserve">should involve direct comparison between the same vessels, being observed </w:t>
      </w:r>
      <w:r w:rsidR="0027530D">
        <w:rPr>
          <w:lang w:eastAsia="en-US"/>
        </w:rPr>
        <w:t xml:space="preserve">during the day and night, to understand detection efficiency </w:t>
      </w:r>
      <w:r w:rsidR="00643567">
        <w:rPr>
          <w:lang w:eastAsia="en-US"/>
        </w:rPr>
        <w:t>of</w:t>
      </w:r>
      <w:r w:rsidR="0027530D">
        <w:rPr>
          <w:lang w:eastAsia="en-US"/>
        </w:rPr>
        <w:t xml:space="preserve"> BRM</w:t>
      </w:r>
      <w:r w:rsidR="008A00F9">
        <w:rPr>
          <w:lang w:eastAsia="en-US"/>
        </w:rPr>
        <w:t xml:space="preserve"> and other risk factors</w:t>
      </w:r>
      <w:r w:rsidR="0027530D">
        <w:rPr>
          <w:lang w:eastAsia="en-US"/>
        </w:rPr>
        <w:t>.</w:t>
      </w:r>
      <w:r w:rsidR="00CA70D5">
        <w:rPr>
          <w:lang w:eastAsia="en-US"/>
        </w:rPr>
        <w:t xml:space="preserve"> It will be important to consider </w:t>
      </w:r>
      <w:r w:rsidR="008A00F9">
        <w:rPr>
          <w:lang w:eastAsia="en-US"/>
        </w:rPr>
        <w:t xml:space="preserve">environmental </w:t>
      </w:r>
      <w:r w:rsidR="00CA70D5">
        <w:rPr>
          <w:lang w:eastAsia="en-US"/>
        </w:rPr>
        <w:t>factors such as season, that may influence the risk of diseases or pests</w:t>
      </w:r>
      <w:r>
        <w:rPr>
          <w:lang w:eastAsia="en-US"/>
        </w:rPr>
        <w:t>; a minimum trial duration of 12 months is recommended</w:t>
      </w:r>
      <w:r w:rsidR="00CA70D5">
        <w:rPr>
          <w:lang w:eastAsia="en-US"/>
        </w:rPr>
        <w:t>.</w:t>
      </w:r>
      <w:r w:rsidR="0027530D">
        <w:rPr>
          <w:lang w:eastAsia="en-US"/>
        </w:rPr>
        <w:t xml:space="preserve"> </w:t>
      </w:r>
      <w:r w:rsidR="005E46B5">
        <w:rPr>
          <w:lang w:eastAsia="en-US"/>
        </w:rPr>
        <w:t xml:space="preserve">To support this next step, a </w:t>
      </w:r>
      <w:r w:rsidR="0027530D">
        <w:rPr>
          <w:lang w:eastAsia="en-US"/>
        </w:rPr>
        <w:t xml:space="preserve">preliminary </w:t>
      </w:r>
      <w:r w:rsidR="005E46B5">
        <w:rPr>
          <w:lang w:eastAsia="en-US"/>
        </w:rPr>
        <w:t xml:space="preserve">decision </w:t>
      </w:r>
      <w:r w:rsidR="0027530D">
        <w:rPr>
          <w:lang w:eastAsia="en-US"/>
        </w:rPr>
        <w:t xml:space="preserve">support </w:t>
      </w:r>
      <w:r w:rsidR="005E46B5">
        <w:rPr>
          <w:lang w:eastAsia="en-US"/>
        </w:rPr>
        <w:t xml:space="preserve">tool to </w:t>
      </w:r>
      <w:r w:rsidR="0027530D">
        <w:rPr>
          <w:lang w:eastAsia="en-US"/>
        </w:rPr>
        <w:t xml:space="preserve">implement a risk-based approach for vessel eligibility for </w:t>
      </w:r>
      <w:r w:rsidR="006F0FD8">
        <w:rPr>
          <w:lang w:eastAsia="en-US"/>
        </w:rPr>
        <w:t>night-time</w:t>
      </w:r>
      <w:r w:rsidR="0027530D">
        <w:rPr>
          <w:lang w:eastAsia="en-US"/>
        </w:rPr>
        <w:t xml:space="preserve"> inspection</w:t>
      </w:r>
      <w:r w:rsidR="00C25539">
        <w:rPr>
          <w:lang w:eastAsia="en-US"/>
        </w:rPr>
        <w:t xml:space="preserve"> to minimise biosecurity risk</w:t>
      </w:r>
      <w:r w:rsidR="009E67A9">
        <w:rPr>
          <w:lang w:eastAsia="en-US"/>
        </w:rPr>
        <w:t xml:space="preserve"> is presented in </w:t>
      </w:r>
      <w:r w:rsidR="0027530D">
        <w:rPr>
          <w:lang w:eastAsia="en-US"/>
        </w:rPr>
        <w:t>Section 7.</w:t>
      </w:r>
    </w:p>
    <w:p w14:paraId="1531FE21" w14:textId="77777777" w:rsidR="00AC7A06" w:rsidRDefault="00AC7A06" w:rsidP="009E67A9">
      <w:pPr>
        <w:pStyle w:val="ListParagraph"/>
        <w:numPr>
          <w:ilvl w:val="0"/>
          <w:numId w:val="0"/>
        </w:numPr>
        <w:ind w:left="720"/>
        <w:rPr>
          <w:lang w:eastAsia="en-US"/>
        </w:rPr>
      </w:pPr>
    </w:p>
    <w:p w14:paraId="7A6A0225" w14:textId="647D1B43" w:rsidR="003E15C2" w:rsidRDefault="003E15C2" w:rsidP="004D6005">
      <w:pPr>
        <w:pStyle w:val="Heading1"/>
      </w:pPr>
      <w:bookmarkStart w:id="235" w:name="_Ref226451112"/>
      <w:bookmarkStart w:id="236" w:name="_Toc226796989"/>
      <w:r>
        <w:lastRenderedPageBreak/>
        <w:t xml:space="preserve">Decision </w:t>
      </w:r>
      <w:r w:rsidRPr="00B12684">
        <w:t>support</w:t>
      </w:r>
      <w:r>
        <w:t xml:space="preserve"> </w:t>
      </w:r>
      <w:bookmarkEnd w:id="230"/>
      <w:r>
        <w:t>tool</w:t>
      </w:r>
      <w:bookmarkEnd w:id="235"/>
      <w:bookmarkEnd w:id="236"/>
    </w:p>
    <w:p w14:paraId="4FE14292" w14:textId="262EA19D" w:rsidR="003E15C2" w:rsidRDefault="003E15C2">
      <w:pPr>
        <w:spacing w:before="120"/>
        <w:rPr>
          <w:rFonts w:eastAsia="Garamond" w:cs="Garamond"/>
          <w:szCs w:val="22"/>
        </w:rPr>
      </w:pPr>
      <w:r>
        <w:rPr>
          <w:rFonts w:eastAsia="Garamond" w:cs="Garamond"/>
          <w:szCs w:val="22"/>
        </w:rPr>
        <w:t xml:space="preserve">Vessel inspections present a number of various risks for the introduction of BRM. However, based on the current findings, there is limited scientific evidence to support the exclusion of </w:t>
      </w:r>
      <w:r w:rsidR="006F0FD8">
        <w:rPr>
          <w:rFonts w:eastAsia="Garamond" w:cs="Garamond"/>
          <w:szCs w:val="22"/>
        </w:rPr>
        <w:t>night-time</w:t>
      </w:r>
      <w:r>
        <w:rPr>
          <w:rFonts w:eastAsia="Garamond" w:cs="Garamond"/>
          <w:szCs w:val="22"/>
        </w:rPr>
        <w:t xml:space="preserve"> inspections on </w:t>
      </w:r>
      <w:r w:rsidR="006A5F9C">
        <w:rPr>
          <w:rFonts w:eastAsia="Garamond" w:cs="Garamond"/>
          <w:szCs w:val="22"/>
        </w:rPr>
        <w:t xml:space="preserve">livestock carrier </w:t>
      </w:r>
      <w:r>
        <w:rPr>
          <w:rFonts w:eastAsia="Garamond" w:cs="Garamond"/>
          <w:szCs w:val="22"/>
        </w:rPr>
        <w:t xml:space="preserve">vessels. </w:t>
      </w:r>
      <w:r w:rsidR="00DE3BA4">
        <w:rPr>
          <w:rFonts w:eastAsia="Garamond" w:cs="Garamond"/>
          <w:szCs w:val="22"/>
        </w:rPr>
        <w:t>T</w:t>
      </w:r>
      <w:r>
        <w:rPr>
          <w:rFonts w:eastAsia="Garamond" w:cs="Garamond"/>
          <w:szCs w:val="22"/>
        </w:rPr>
        <w:t xml:space="preserve">he development of a decision support tool to mitigate these risks and to determine which vessels might be eligible for </w:t>
      </w:r>
      <w:r w:rsidR="006F0FD8">
        <w:rPr>
          <w:rFonts w:eastAsia="Garamond" w:cs="Garamond"/>
          <w:szCs w:val="22"/>
        </w:rPr>
        <w:t>night-time</w:t>
      </w:r>
      <w:r>
        <w:rPr>
          <w:rFonts w:eastAsia="Garamond" w:cs="Garamond"/>
          <w:szCs w:val="22"/>
        </w:rPr>
        <w:t xml:space="preserve"> inspection</w:t>
      </w:r>
      <w:r w:rsidR="00DE3BA4">
        <w:rPr>
          <w:rFonts w:eastAsia="Garamond" w:cs="Garamond"/>
          <w:szCs w:val="22"/>
        </w:rPr>
        <w:t xml:space="preserve"> is highly recommended</w:t>
      </w:r>
      <w:r>
        <w:rPr>
          <w:rFonts w:eastAsia="Garamond" w:cs="Garamond"/>
          <w:szCs w:val="22"/>
        </w:rPr>
        <w:t xml:space="preserve">. It should be noted that this support tool does not account for staffing or </w:t>
      </w:r>
      <w:r w:rsidR="00EC0881">
        <w:rPr>
          <w:rFonts w:eastAsia="Garamond" w:cs="Garamond"/>
          <w:szCs w:val="22"/>
        </w:rPr>
        <w:t xml:space="preserve">any </w:t>
      </w:r>
      <w:r>
        <w:rPr>
          <w:rFonts w:eastAsia="Garamond" w:cs="Garamond"/>
          <w:szCs w:val="22"/>
        </w:rPr>
        <w:t>additional budget required</w:t>
      </w:r>
      <w:r w:rsidR="006A5F9C">
        <w:rPr>
          <w:rFonts w:eastAsia="Garamond" w:cs="Garamond"/>
          <w:szCs w:val="22"/>
        </w:rPr>
        <w:t xml:space="preserve"> (out of project scope)</w:t>
      </w:r>
      <w:r>
        <w:rPr>
          <w:rFonts w:eastAsia="Garamond" w:cs="Garamond"/>
          <w:szCs w:val="22"/>
        </w:rPr>
        <w:t>.</w:t>
      </w:r>
    </w:p>
    <w:p w14:paraId="0FC3C1EB" w14:textId="3E126124" w:rsidR="003E15C2" w:rsidRDefault="003E15C2">
      <w:pPr>
        <w:spacing w:before="120"/>
        <w:rPr>
          <w:rFonts w:eastAsia="Garamond" w:cs="Garamond"/>
          <w:szCs w:val="22"/>
        </w:rPr>
      </w:pPr>
      <w:r>
        <w:rPr>
          <w:rFonts w:eastAsia="Garamond" w:cs="Garamond"/>
          <w:szCs w:val="22"/>
        </w:rPr>
        <w:t xml:space="preserve">Based on </w:t>
      </w:r>
      <w:r w:rsidR="00DE3BA4">
        <w:rPr>
          <w:rFonts w:eastAsia="Garamond" w:cs="Garamond"/>
          <w:szCs w:val="22"/>
        </w:rPr>
        <w:t>the</w:t>
      </w:r>
      <w:r>
        <w:rPr>
          <w:rFonts w:eastAsia="Garamond" w:cs="Garamond"/>
          <w:szCs w:val="22"/>
        </w:rPr>
        <w:t xml:space="preserve"> findings</w:t>
      </w:r>
      <w:r w:rsidR="00DE3BA4">
        <w:rPr>
          <w:rFonts w:eastAsia="Garamond" w:cs="Garamond"/>
          <w:szCs w:val="22"/>
        </w:rPr>
        <w:t xml:space="preserve"> detailed in this report</w:t>
      </w:r>
      <w:r>
        <w:rPr>
          <w:rFonts w:eastAsia="Garamond" w:cs="Garamond"/>
          <w:szCs w:val="22"/>
        </w:rPr>
        <w:t>, a list of risk factors that may be considered for inclusion in the decision framework</w:t>
      </w:r>
      <w:r w:rsidR="00DE3BA4">
        <w:rPr>
          <w:rFonts w:eastAsia="Garamond" w:cs="Garamond"/>
          <w:szCs w:val="22"/>
        </w:rPr>
        <w:t xml:space="preserve"> has been developed. This will aid in building </w:t>
      </w:r>
      <w:r>
        <w:rPr>
          <w:rFonts w:eastAsia="Garamond" w:cs="Garamond"/>
          <w:szCs w:val="22"/>
        </w:rPr>
        <w:t xml:space="preserve">a risk profile for vessels in which they must meet strict criteria for </w:t>
      </w:r>
      <w:r w:rsidR="006F0FD8">
        <w:rPr>
          <w:rFonts w:eastAsia="Garamond" w:cs="Garamond"/>
          <w:szCs w:val="22"/>
        </w:rPr>
        <w:t>night-time</w:t>
      </w:r>
      <w:r>
        <w:rPr>
          <w:rFonts w:eastAsia="Garamond" w:cs="Garamond"/>
          <w:szCs w:val="22"/>
        </w:rPr>
        <w:t xml:space="preserve"> inspection eligibility. </w:t>
      </w:r>
      <w:r w:rsidR="00C44AF7">
        <w:rPr>
          <w:rFonts w:eastAsia="Garamond" w:cs="Garamond"/>
          <w:szCs w:val="22"/>
        </w:rPr>
        <w:fldChar w:fldCharType="begin"/>
      </w:r>
      <w:r w:rsidR="00C44AF7">
        <w:rPr>
          <w:rFonts w:eastAsia="Garamond" w:cs="Garamond"/>
          <w:szCs w:val="22"/>
        </w:rPr>
        <w:instrText xml:space="preserve"> REF _Ref221098375 \h </w:instrText>
      </w:r>
      <w:r w:rsidR="00C44AF7">
        <w:rPr>
          <w:rFonts w:eastAsia="Garamond" w:cs="Garamond"/>
          <w:szCs w:val="22"/>
        </w:rPr>
      </w:r>
      <w:r w:rsidR="00C44AF7">
        <w:rPr>
          <w:rFonts w:eastAsia="Garamond" w:cs="Garamond"/>
          <w:szCs w:val="22"/>
        </w:rPr>
        <w:fldChar w:fldCharType="separate"/>
      </w:r>
      <w:r w:rsidR="00651A0D">
        <w:t xml:space="preserve">Table </w:t>
      </w:r>
      <w:r w:rsidR="00651A0D">
        <w:rPr>
          <w:noProof/>
        </w:rPr>
        <w:t>6</w:t>
      </w:r>
      <w:r w:rsidR="00C44AF7">
        <w:rPr>
          <w:rFonts w:eastAsia="Garamond" w:cs="Garamond"/>
          <w:szCs w:val="22"/>
        </w:rPr>
        <w:fldChar w:fldCharType="end"/>
      </w:r>
      <w:r>
        <w:rPr>
          <w:rFonts w:eastAsia="Garamond" w:cs="Garamond"/>
          <w:szCs w:val="22"/>
        </w:rPr>
        <w:t xml:space="preserve"> includes some of the initial risk factors to be considered when determining the risk a vessel may pose on return to Australian territory.</w:t>
      </w:r>
      <w:r w:rsidR="00DC6AB7">
        <w:rPr>
          <w:rFonts w:eastAsia="Garamond" w:cs="Garamond"/>
          <w:szCs w:val="22"/>
        </w:rPr>
        <w:t xml:space="preserve"> These risk factors and framework should be re-evaluated and adjusted based on findings from the </w:t>
      </w:r>
      <w:r w:rsidR="00047D1C">
        <w:rPr>
          <w:rFonts w:eastAsia="Garamond" w:cs="Garamond"/>
          <w:szCs w:val="22"/>
        </w:rPr>
        <w:t>inspection</w:t>
      </w:r>
      <w:r w:rsidR="00DC6AB7">
        <w:rPr>
          <w:rFonts w:eastAsia="Garamond" w:cs="Garamond"/>
          <w:szCs w:val="22"/>
        </w:rPr>
        <w:t xml:space="preserve"> trial.</w:t>
      </w:r>
    </w:p>
    <w:p w14:paraId="63F316E8" w14:textId="215F0E9E" w:rsidR="003E15C2" w:rsidRDefault="003E15C2" w:rsidP="00EA763D">
      <w:pPr>
        <w:rPr>
          <w:rFonts w:asciiTheme="minorHAnsi" w:eastAsia="Garamond" w:hAnsiTheme="minorHAnsi" w:cs="Garamond"/>
          <w:szCs w:val="22"/>
        </w:rPr>
      </w:pPr>
      <w:r>
        <w:rPr>
          <w:rFonts w:eastAsia="Garamond" w:cs="Garamond"/>
          <w:szCs w:val="22"/>
        </w:rPr>
        <w:t xml:space="preserve">To simplify and maintain transparency of the decision making process, the eligibility criteria </w:t>
      </w:r>
      <w:r w:rsidR="00DE3BA4">
        <w:rPr>
          <w:rFonts w:eastAsia="Garamond" w:cs="Garamond"/>
          <w:szCs w:val="22"/>
        </w:rPr>
        <w:t>is</w:t>
      </w:r>
      <w:r>
        <w:rPr>
          <w:rFonts w:eastAsia="Garamond" w:cs="Garamond"/>
          <w:szCs w:val="22"/>
        </w:rPr>
        <w:t xml:space="preserve"> divided into “vessel eligibility criteria” and “DAFF eligibility criteria”</w:t>
      </w:r>
      <w:r w:rsidR="00EB3AC1">
        <w:rPr>
          <w:rFonts w:eastAsia="Garamond" w:cs="Garamond"/>
          <w:szCs w:val="22"/>
        </w:rPr>
        <w:t xml:space="preserve"> (</w:t>
      </w:r>
      <w:r w:rsidR="00EB3AC1">
        <w:rPr>
          <w:rFonts w:eastAsia="Garamond" w:cs="Garamond"/>
          <w:szCs w:val="22"/>
        </w:rPr>
        <w:fldChar w:fldCharType="begin"/>
      </w:r>
      <w:r w:rsidR="00EB3AC1">
        <w:rPr>
          <w:rFonts w:eastAsia="Garamond" w:cs="Garamond"/>
          <w:szCs w:val="22"/>
        </w:rPr>
        <w:instrText xml:space="preserve"> REF _Ref219212295 \h </w:instrText>
      </w:r>
      <w:r w:rsidR="00EB3AC1">
        <w:rPr>
          <w:rFonts w:eastAsia="Garamond" w:cs="Garamond"/>
          <w:szCs w:val="22"/>
        </w:rPr>
      </w:r>
      <w:r w:rsidR="00EB3AC1">
        <w:rPr>
          <w:rFonts w:eastAsia="Garamond" w:cs="Garamond"/>
          <w:szCs w:val="22"/>
        </w:rPr>
        <w:fldChar w:fldCharType="separate"/>
      </w:r>
      <w:r w:rsidR="00651A0D">
        <w:t xml:space="preserve">Figure </w:t>
      </w:r>
      <w:r w:rsidR="00651A0D">
        <w:rPr>
          <w:noProof/>
        </w:rPr>
        <w:t>18</w:t>
      </w:r>
      <w:r w:rsidR="00EB3AC1">
        <w:rPr>
          <w:rFonts w:eastAsia="Garamond" w:cs="Garamond"/>
          <w:szCs w:val="22"/>
        </w:rPr>
        <w:fldChar w:fldCharType="end"/>
      </w:r>
      <w:r w:rsidR="00EB3AC1">
        <w:rPr>
          <w:rFonts w:eastAsia="Garamond" w:cs="Garamond"/>
          <w:szCs w:val="22"/>
        </w:rPr>
        <w:t xml:space="preserve"> and </w:t>
      </w:r>
      <w:r w:rsidR="00EB3AC1">
        <w:rPr>
          <w:rFonts w:eastAsia="Garamond" w:cs="Garamond"/>
          <w:szCs w:val="22"/>
        </w:rPr>
        <w:fldChar w:fldCharType="begin"/>
      </w:r>
      <w:r w:rsidR="00EB3AC1">
        <w:rPr>
          <w:rFonts w:eastAsia="Garamond" w:cs="Garamond"/>
          <w:szCs w:val="22"/>
        </w:rPr>
        <w:instrText xml:space="preserve"> REF _Ref219280713 \h </w:instrText>
      </w:r>
      <w:r w:rsidR="00EB3AC1">
        <w:rPr>
          <w:rFonts w:eastAsia="Garamond" w:cs="Garamond"/>
          <w:szCs w:val="22"/>
        </w:rPr>
      </w:r>
      <w:r w:rsidR="00EB3AC1">
        <w:rPr>
          <w:rFonts w:eastAsia="Garamond" w:cs="Garamond"/>
          <w:szCs w:val="22"/>
        </w:rPr>
        <w:fldChar w:fldCharType="separate"/>
      </w:r>
      <w:r w:rsidR="00651A0D">
        <w:t xml:space="preserve">Figure </w:t>
      </w:r>
      <w:r w:rsidR="00651A0D">
        <w:rPr>
          <w:noProof/>
        </w:rPr>
        <w:t>19</w:t>
      </w:r>
      <w:r w:rsidR="00EB3AC1">
        <w:rPr>
          <w:rFonts w:eastAsia="Garamond" w:cs="Garamond"/>
          <w:szCs w:val="22"/>
        </w:rPr>
        <w:fldChar w:fldCharType="end"/>
      </w:r>
      <w:r w:rsidR="00EB3AC1">
        <w:rPr>
          <w:rFonts w:eastAsia="Garamond" w:cs="Garamond"/>
          <w:szCs w:val="22"/>
        </w:rPr>
        <w:t>)</w:t>
      </w:r>
      <w:r>
        <w:rPr>
          <w:rFonts w:eastAsia="Garamond" w:cs="Garamond"/>
          <w:szCs w:val="22"/>
        </w:rPr>
        <w:t xml:space="preserve">. This two-step process allows the Department to make decisions based on their workforce capacity, while also placing responsibility on the vessel to meet certain requirements before a </w:t>
      </w:r>
      <w:r w:rsidR="006F0FD8">
        <w:rPr>
          <w:rFonts w:eastAsia="Garamond" w:cs="Garamond"/>
          <w:szCs w:val="22"/>
        </w:rPr>
        <w:t>night-time</w:t>
      </w:r>
      <w:r>
        <w:rPr>
          <w:rFonts w:eastAsia="Garamond" w:cs="Garamond"/>
          <w:szCs w:val="22"/>
        </w:rPr>
        <w:t xml:space="preserve"> inspection will be granted. Both criteria are presented as easy to follow flow charts, to assist in rapid assessment. </w:t>
      </w:r>
      <w:r w:rsidRPr="00200E19">
        <w:rPr>
          <w:rFonts w:asciiTheme="minorHAnsi" w:eastAsia="Garamond" w:hAnsiTheme="minorHAnsi" w:cs="Garamond"/>
          <w:szCs w:val="22"/>
        </w:rPr>
        <w:fldChar w:fldCharType="begin"/>
      </w:r>
      <w:r w:rsidRPr="00200E19">
        <w:rPr>
          <w:rFonts w:asciiTheme="minorHAnsi" w:eastAsia="Garamond" w:hAnsiTheme="minorHAnsi" w:cs="Garamond"/>
          <w:szCs w:val="22"/>
        </w:rPr>
        <w:instrText xml:space="preserve"> REF _Ref219212295 \h  \* MERGEFORMAT </w:instrText>
      </w:r>
      <w:r w:rsidRPr="00200E19">
        <w:rPr>
          <w:rFonts w:asciiTheme="minorHAnsi" w:eastAsia="Garamond" w:hAnsiTheme="minorHAnsi" w:cs="Garamond"/>
          <w:szCs w:val="22"/>
        </w:rPr>
      </w:r>
      <w:r w:rsidRPr="00200E19">
        <w:rPr>
          <w:rFonts w:asciiTheme="minorHAnsi" w:eastAsia="Garamond" w:hAnsiTheme="minorHAnsi" w:cs="Garamond"/>
          <w:szCs w:val="22"/>
        </w:rPr>
        <w:fldChar w:fldCharType="separate"/>
      </w:r>
      <w:r w:rsidR="00651A0D" w:rsidRPr="00651A0D">
        <w:rPr>
          <w:rFonts w:asciiTheme="minorHAnsi" w:hAnsiTheme="minorHAnsi"/>
          <w:szCs w:val="22"/>
        </w:rPr>
        <w:t xml:space="preserve">Figure </w:t>
      </w:r>
      <w:r w:rsidR="00651A0D" w:rsidRPr="00651A0D">
        <w:rPr>
          <w:rFonts w:asciiTheme="minorHAnsi" w:hAnsiTheme="minorHAnsi"/>
          <w:noProof/>
          <w:szCs w:val="22"/>
        </w:rPr>
        <w:t>18</w:t>
      </w:r>
      <w:r w:rsidRPr="00200E19">
        <w:rPr>
          <w:rFonts w:asciiTheme="minorHAnsi" w:eastAsia="Garamond" w:hAnsiTheme="minorHAnsi" w:cs="Garamond"/>
          <w:szCs w:val="22"/>
        </w:rPr>
        <w:fldChar w:fldCharType="end"/>
      </w:r>
      <w:r>
        <w:rPr>
          <w:rFonts w:asciiTheme="minorHAnsi" w:eastAsia="Garamond" w:hAnsiTheme="minorHAnsi" w:cs="Garamond"/>
          <w:szCs w:val="22"/>
        </w:rPr>
        <w:t xml:space="preserve"> </w:t>
      </w:r>
      <w:r w:rsidR="00EB3AC1">
        <w:rPr>
          <w:rFonts w:asciiTheme="minorHAnsi" w:eastAsia="Garamond" w:hAnsiTheme="minorHAnsi" w:cs="Garamond"/>
          <w:szCs w:val="22"/>
        </w:rPr>
        <w:t>presents</w:t>
      </w:r>
      <w:r>
        <w:rPr>
          <w:rFonts w:asciiTheme="minorHAnsi" w:eastAsia="Garamond" w:hAnsiTheme="minorHAnsi" w:cs="Garamond"/>
          <w:szCs w:val="22"/>
        </w:rPr>
        <w:t xml:space="preserve"> the vessel eligibility criteria. Based on the literature review, and inspection observations, these five questions were determined to be the most significant to determine the potential risk a vessel may pose. </w:t>
      </w:r>
    </w:p>
    <w:p w14:paraId="01B25AD6" w14:textId="2FF68D7D" w:rsidR="00EC0881" w:rsidRPr="000148B5" w:rsidRDefault="00EC0881" w:rsidP="000148B5">
      <w:pPr>
        <w:rPr>
          <w:rFonts w:asciiTheme="minorHAnsi" w:hAnsiTheme="minorHAnsi"/>
          <w:szCs w:val="22"/>
        </w:rPr>
      </w:pPr>
      <w:r>
        <w:rPr>
          <w:rFonts w:asciiTheme="minorHAnsi" w:eastAsia="Garamond" w:hAnsiTheme="minorHAnsi" w:cs="Garamond"/>
          <w:szCs w:val="22"/>
        </w:rPr>
        <w:t xml:space="preserve">It is recommended that a target invertebrate species list be developed to guide use of the decision support tool. </w:t>
      </w:r>
    </w:p>
    <w:p w14:paraId="7FC2A781" w14:textId="77777777" w:rsidR="003E15C2" w:rsidRDefault="003E15C2">
      <w:pPr>
        <w:spacing w:before="120"/>
        <w:rPr>
          <w:rFonts w:eastAsia="Garamond" w:cs="Garamond"/>
          <w:szCs w:val="22"/>
        </w:rPr>
      </w:pPr>
    </w:p>
    <w:p w14:paraId="69A10F46" w14:textId="77777777" w:rsidR="003E15C2" w:rsidRDefault="003E15C2">
      <w:pPr>
        <w:spacing w:before="120"/>
        <w:rPr>
          <w:rFonts w:eastAsia="Garamond" w:cs="Garamond"/>
          <w:szCs w:val="22"/>
        </w:rPr>
        <w:sectPr w:rsidR="003E15C2" w:rsidSect="003E15C2">
          <w:pgSz w:w="11906" w:h="16838"/>
          <w:pgMar w:top="1440" w:right="1440" w:bottom="1440" w:left="1440" w:header="578" w:footer="578" w:gutter="0"/>
          <w:cols w:space="720"/>
        </w:sectPr>
      </w:pPr>
    </w:p>
    <w:p w14:paraId="1A429A07" w14:textId="1F34CB31" w:rsidR="00C44AF7" w:rsidRDefault="00C44AF7" w:rsidP="000148B5">
      <w:pPr>
        <w:pStyle w:val="Caption"/>
      </w:pPr>
      <w:bookmarkStart w:id="237" w:name="_heading=h.ugncir8es9p" w:colFirst="0" w:colLast="0"/>
      <w:bookmarkStart w:id="238" w:name="_Ref221098375"/>
      <w:bookmarkStart w:id="239" w:name="_Toc226794709"/>
      <w:bookmarkEnd w:id="237"/>
      <w:r>
        <w:lastRenderedPageBreak/>
        <w:t xml:space="preserve">Table </w:t>
      </w:r>
      <w:fldSimple w:instr=" SEQ Table \* ARABIC ">
        <w:r w:rsidR="00651A0D">
          <w:rPr>
            <w:noProof/>
          </w:rPr>
          <w:t>6</w:t>
        </w:r>
      </w:fldSimple>
      <w:bookmarkEnd w:id="238"/>
      <w:r>
        <w:tab/>
      </w:r>
      <w:r w:rsidRPr="003B5EDA">
        <w:t>Potential incoming livestock carrier vessel risk factors.</w:t>
      </w:r>
      <w:bookmarkEnd w:id="239"/>
    </w:p>
    <w:tbl>
      <w:tblPr>
        <w:tblStyle w:val="1"/>
        <w:tblW w:w="0" w:type="auto"/>
        <w:tblBorders>
          <w:top w:val="single" w:sz="4" w:space="0" w:color="004F83"/>
          <w:bottom w:val="single" w:sz="4" w:space="0" w:color="004F83"/>
          <w:insideH w:val="single" w:sz="4" w:space="0" w:color="004F83"/>
        </w:tblBorders>
        <w:tblLook w:val="0420" w:firstRow="1" w:lastRow="0" w:firstColumn="0" w:lastColumn="0" w:noHBand="0" w:noVBand="1"/>
      </w:tblPr>
      <w:tblGrid>
        <w:gridCol w:w="2409"/>
        <w:gridCol w:w="6617"/>
      </w:tblGrid>
      <w:tr w:rsidR="003E15C2" w:rsidRPr="006A5F9C" w14:paraId="07F6FB90" w14:textId="77777777" w:rsidTr="00D93B4A">
        <w:trPr>
          <w:cantSplit/>
          <w:trHeight w:val="315"/>
          <w:tblHeader/>
        </w:trPr>
        <w:tc>
          <w:tcPr>
            <w:tcW w:w="0" w:type="auto"/>
          </w:tcPr>
          <w:p w14:paraId="75CF1F06" w14:textId="77777777" w:rsidR="003E15C2" w:rsidRPr="00775C84" w:rsidRDefault="003E15C2">
            <w:pPr>
              <w:keepNext/>
              <w:pBdr>
                <w:top w:val="nil"/>
                <w:left w:val="nil"/>
                <w:bottom w:val="nil"/>
                <w:right w:val="nil"/>
                <w:between w:val="nil"/>
              </w:pBdr>
              <w:spacing w:before="60" w:after="60"/>
              <w:rPr>
                <w:b/>
                <w:bCs/>
                <w:color w:val="004F83"/>
                <w:sz w:val="20"/>
                <w:szCs w:val="20"/>
              </w:rPr>
            </w:pPr>
            <w:r w:rsidRPr="00775C84">
              <w:rPr>
                <w:b/>
                <w:bCs/>
                <w:color w:val="004F83"/>
                <w:sz w:val="20"/>
                <w:szCs w:val="20"/>
              </w:rPr>
              <w:t>Risk Factor</w:t>
            </w:r>
          </w:p>
        </w:tc>
        <w:tc>
          <w:tcPr>
            <w:tcW w:w="0" w:type="auto"/>
          </w:tcPr>
          <w:p w14:paraId="25E61D18" w14:textId="77777777" w:rsidR="003E15C2" w:rsidRPr="00775C84" w:rsidRDefault="003E15C2">
            <w:pPr>
              <w:keepNext/>
              <w:pBdr>
                <w:top w:val="nil"/>
                <w:left w:val="nil"/>
                <w:bottom w:val="nil"/>
                <w:right w:val="nil"/>
                <w:between w:val="nil"/>
              </w:pBdr>
              <w:spacing w:before="60" w:after="60"/>
              <w:rPr>
                <w:b/>
                <w:bCs/>
                <w:color w:val="004F83"/>
                <w:sz w:val="20"/>
                <w:szCs w:val="20"/>
              </w:rPr>
            </w:pPr>
            <w:r w:rsidRPr="00775C84">
              <w:rPr>
                <w:b/>
                <w:bCs/>
                <w:color w:val="004F83"/>
                <w:sz w:val="20"/>
                <w:szCs w:val="20"/>
              </w:rPr>
              <w:t>Rationale</w:t>
            </w:r>
          </w:p>
        </w:tc>
      </w:tr>
      <w:tr w:rsidR="003E15C2" w:rsidRPr="006A5F9C" w14:paraId="7D64DD64" w14:textId="77777777" w:rsidTr="00D93B4A">
        <w:trPr>
          <w:cantSplit/>
          <w:trHeight w:val="315"/>
        </w:trPr>
        <w:tc>
          <w:tcPr>
            <w:tcW w:w="0" w:type="auto"/>
          </w:tcPr>
          <w:p w14:paraId="291D6E9F" w14:textId="77777777" w:rsidR="003E15C2" w:rsidRPr="00FB6FEC" w:rsidRDefault="003E15C2">
            <w:pPr>
              <w:keepNext/>
              <w:pBdr>
                <w:top w:val="nil"/>
                <w:left w:val="nil"/>
                <w:bottom w:val="nil"/>
                <w:right w:val="nil"/>
                <w:between w:val="nil"/>
              </w:pBdr>
              <w:spacing w:before="60" w:after="60"/>
              <w:rPr>
                <w:b/>
                <w:bCs/>
                <w:color w:val="000000"/>
                <w:sz w:val="20"/>
                <w:szCs w:val="20"/>
              </w:rPr>
            </w:pPr>
            <w:r w:rsidRPr="00FB6FEC">
              <w:rPr>
                <w:b/>
                <w:bCs/>
                <w:color w:val="000000"/>
                <w:sz w:val="20"/>
                <w:szCs w:val="20"/>
              </w:rPr>
              <w:t>Previous departure port</w:t>
            </w:r>
          </w:p>
        </w:tc>
        <w:tc>
          <w:tcPr>
            <w:tcW w:w="0" w:type="auto"/>
          </w:tcPr>
          <w:p w14:paraId="6929A326" w14:textId="77777777" w:rsidR="003E15C2" w:rsidRPr="00775C84" w:rsidRDefault="003E15C2">
            <w:pPr>
              <w:keepNext/>
              <w:pBdr>
                <w:top w:val="nil"/>
                <w:left w:val="nil"/>
                <w:bottom w:val="nil"/>
                <w:right w:val="nil"/>
                <w:between w:val="nil"/>
              </w:pBdr>
              <w:spacing w:before="60" w:after="60"/>
              <w:rPr>
                <w:color w:val="000000"/>
                <w:sz w:val="20"/>
                <w:szCs w:val="20"/>
              </w:rPr>
            </w:pPr>
          </w:p>
        </w:tc>
      </w:tr>
      <w:tr w:rsidR="003E15C2" w:rsidRPr="006A5F9C" w14:paraId="44A3A915" w14:textId="77777777" w:rsidTr="00D93B4A">
        <w:trPr>
          <w:cantSplit/>
          <w:trHeight w:val="315"/>
        </w:trPr>
        <w:tc>
          <w:tcPr>
            <w:tcW w:w="0" w:type="auto"/>
          </w:tcPr>
          <w:p w14:paraId="218E3772" w14:textId="7D30A8DD" w:rsidR="003E15C2" w:rsidRPr="00EB3AC1" w:rsidRDefault="003E15C2" w:rsidP="00EB3AC1">
            <w:pPr>
              <w:keepNext/>
              <w:pBdr>
                <w:top w:val="nil"/>
                <w:left w:val="nil"/>
                <w:bottom w:val="nil"/>
                <w:right w:val="nil"/>
                <w:between w:val="nil"/>
              </w:pBdr>
              <w:spacing w:before="60" w:after="60"/>
              <w:rPr>
                <w:color w:val="000000"/>
                <w:sz w:val="20"/>
                <w:szCs w:val="20"/>
              </w:rPr>
            </w:pPr>
            <w:r w:rsidRPr="00EB3AC1">
              <w:rPr>
                <w:color w:val="000000"/>
                <w:sz w:val="20"/>
                <w:szCs w:val="20"/>
              </w:rPr>
              <w:t>Disease status of country</w:t>
            </w:r>
          </w:p>
        </w:tc>
        <w:tc>
          <w:tcPr>
            <w:tcW w:w="0" w:type="auto"/>
          </w:tcPr>
          <w:p w14:paraId="67F1DC77" w14:textId="3260F913"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 xml:space="preserve">Presence of FMD and important vector borne diseases may increase the likelihood of vessel contamination. Some FMD-endemic countries may pose a higher risk than others, depending on the Progressive Control Pathway stage the country is designated </w:t>
            </w:r>
            <w:r w:rsidRPr="00775C84">
              <w:rPr>
                <w:color w:val="000000"/>
                <w:sz w:val="20"/>
                <w:szCs w:val="20"/>
              </w:rPr>
              <w:fldChar w:fldCharType="begin"/>
            </w:r>
            <w:r w:rsidR="001E0B07">
              <w:rPr>
                <w:color w:val="000000"/>
                <w:sz w:val="20"/>
                <w:szCs w:val="20"/>
              </w:rPr>
              <w:instrText xml:space="preserve"> ADDIN ZOTERO_ITEM CSL_CITATION {"citationID":"giX9YWg8","properties":{"formattedCitation":"(WOAH 2018)","plainCitation":"(WOAH 2018)","noteIndex":0},"citationItems":[{"id":22624,"uris":["http://zotero.org/groups/6289862/items/XB7NDU5Y"],"itemData":{"id":22624,"type":"report","publisher":"World Organisation for Animal Health","publisher-place":"Paris, France","title":"The Progressive Control Pathway for Foot and Mouth Disease control (PCP-FMD) Principles, Stage Descriptions and Standards","URL":"https://openknowledge.fao.org/server/api/core/bitstreams/117c6cd3-3a59-473f-82a9-19390271b610/content","author":[{"family":"WOAH","given":""}],"accessed":{"date-parts":[["2026",1,12]]},"issued":{"date-parts":[["2018"]]}}}],"schema":"https://github.com/citation-style-language/schema/raw/master/csl-citation.json"} </w:instrText>
            </w:r>
            <w:r w:rsidRPr="00775C84">
              <w:rPr>
                <w:color w:val="000000"/>
                <w:sz w:val="20"/>
                <w:szCs w:val="20"/>
              </w:rPr>
              <w:fldChar w:fldCharType="separate"/>
            </w:r>
            <w:r w:rsidRPr="00775C84">
              <w:rPr>
                <w:noProof/>
                <w:color w:val="000000"/>
                <w:sz w:val="20"/>
                <w:szCs w:val="20"/>
              </w:rPr>
              <w:t>(WOAH 2018)</w:t>
            </w:r>
            <w:r w:rsidRPr="00775C84">
              <w:rPr>
                <w:color w:val="000000"/>
                <w:sz w:val="20"/>
                <w:szCs w:val="20"/>
              </w:rPr>
              <w:fldChar w:fldCharType="end"/>
            </w:r>
            <w:r w:rsidRPr="00775C84">
              <w:rPr>
                <w:color w:val="000000"/>
                <w:sz w:val="20"/>
                <w:szCs w:val="20"/>
              </w:rPr>
              <w:t xml:space="preserve">. </w:t>
            </w:r>
          </w:p>
        </w:tc>
      </w:tr>
      <w:tr w:rsidR="003E15C2" w:rsidRPr="006A5F9C" w14:paraId="0F19E8DF" w14:textId="77777777" w:rsidTr="00D93B4A">
        <w:trPr>
          <w:cantSplit/>
          <w:trHeight w:val="315"/>
        </w:trPr>
        <w:tc>
          <w:tcPr>
            <w:tcW w:w="0" w:type="auto"/>
          </w:tcPr>
          <w:p w14:paraId="559A5B07" w14:textId="77777777" w:rsidR="003E15C2" w:rsidRPr="00EB3AC1" w:rsidRDefault="003E15C2" w:rsidP="00EB3AC1">
            <w:pPr>
              <w:keepNext/>
              <w:pBdr>
                <w:top w:val="nil"/>
                <w:left w:val="nil"/>
                <w:bottom w:val="nil"/>
                <w:right w:val="nil"/>
                <w:between w:val="nil"/>
              </w:pBdr>
              <w:spacing w:before="60" w:after="60"/>
              <w:rPr>
                <w:color w:val="000000"/>
                <w:sz w:val="20"/>
                <w:szCs w:val="20"/>
              </w:rPr>
            </w:pPr>
            <w:r w:rsidRPr="00EB3AC1">
              <w:rPr>
                <w:color w:val="000000"/>
                <w:sz w:val="20"/>
                <w:szCs w:val="20"/>
              </w:rPr>
              <w:t>Presence of key insect vector species</w:t>
            </w:r>
          </w:p>
        </w:tc>
        <w:tc>
          <w:tcPr>
            <w:tcW w:w="0" w:type="auto"/>
          </w:tcPr>
          <w:p w14:paraId="1DA2F190" w14:textId="4D402DA9"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May increase the likelihood of stowaway/hitchhiker insects. Arthropods of concern would be OWS/NWS, haematophagus flying insects and ticks.</w:t>
            </w:r>
          </w:p>
        </w:tc>
      </w:tr>
      <w:tr w:rsidR="003E15C2" w:rsidRPr="006A5F9C" w14:paraId="1E4E29F7" w14:textId="77777777" w:rsidTr="00D93B4A">
        <w:trPr>
          <w:cantSplit/>
          <w:trHeight w:val="315"/>
        </w:trPr>
        <w:tc>
          <w:tcPr>
            <w:tcW w:w="0" w:type="auto"/>
          </w:tcPr>
          <w:p w14:paraId="70077865" w14:textId="77777777"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Voyage history in the past 12 months including the intervals between returning to an Australian port.</w:t>
            </w:r>
          </w:p>
        </w:tc>
        <w:tc>
          <w:tcPr>
            <w:tcW w:w="0" w:type="auto"/>
          </w:tcPr>
          <w:p w14:paraId="69A29C2C" w14:textId="4B13865B"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 xml:space="preserve">Vessels that have not frequently returned to Australia may have a higher likelihood of BRM due to less strict biosecurity measures enforced by other countries. Those vessels that have been conducting back-to-back voyages between Australia and a foreign port are expected to have a higher standard of cleanliness. </w:t>
            </w:r>
          </w:p>
        </w:tc>
      </w:tr>
      <w:tr w:rsidR="003E15C2" w:rsidRPr="006A5F9C" w14:paraId="04346993" w14:textId="77777777" w:rsidTr="00D93B4A">
        <w:trPr>
          <w:cantSplit/>
          <w:trHeight w:val="315"/>
        </w:trPr>
        <w:tc>
          <w:tcPr>
            <w:tcW w:w="0" w:type="auto"/>
          </w:tcPr>
          <w:p w14:paraId="37ACA460" w14:textId="77777777"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Arrival time at dock or anchorage – e.g. between dusk and midnight vs midnight and dawn.</w:t>
            </w:r>
          </w:p>
        </w:tc>
        <w:tc>
          <w:tcPr>
            <w:tcW w:w="0" w:type="auto"/>
          </w:tcPr>
          <w:p w14:paraId="752AC0D4" w14:textId="18403AF2"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 xml:space="preserve">The duration that a vessel must remain at dock or anchorage may present a risk for the escape of non-indigenous insects. </w:t>
            </w:r>
            <w:r w:rsidR="00B40DA2">
              <w:rPr>
                <w:color w:val="000000"/>
                <w:sz w:val="20"/>
                <w:szCs w:val="20"/>
              </w:rPr>
              <w:t>However</w:t>
            </w:r>
            <w:r w:rsidRPr="00775C84">
              <w:rPr>
                <w:color w:val="000000"/>
                <w:sz w:val="20"/>
                <w:szCs w:val="20"/>
              </w:rPr>
              <w:t xml:space="preserve">, </w:t>
            </w:r>
            <w:r w:rsidR="006F0FD8">
              <w:rPr>
                <w:color w:val="000000"/>
                <w:sz w:val="20"/>
                <w:szCs w:val="20"/>
              </w:rPr>
              <w:t>night-time</w:t>
            </w:r>
            <w:r w:rsidRPr="00775C84">
              <w:rPr>
                <w:color w:val="000000"/>
                <w:sz w:val="20"/>
                <w:szCs w:val="20"/>
              </w:rPr>
              <w:t xml:space="preserve"> inspections </w:t>
            </w:r>
            <w:r w:rsidR="00B40DA2">
              <w:rPr>
                <w:color w:val="000000"/>
                <w:sz w:val="20"/>
                <w:szCs w:val="20"/>
              </w:rPr>
              <w:t xml:space="preserve">after midnight are not recommended due to the </w:t>
            </w:r>
            <w:r w:rsidR="00683C5A">
              <w:rPr>
                <w:color w:val="000000"/>
                <w:sz w:val="20"/>
                <w:szCs w:val="20"/>
              </w:rPr>
              <w:t>aforementioned</w:t>
            </w:r>
            <w:r w:rsidR="00B40DA2">
              <w:rPr>
                <w:color w:val="000000"/>
                <w:sz w:val="20"/>
                <w:szCs w:val="20"/>
              </w:rPr>
              <w:t xml:space="preserve"> limits on inspector performance</w:t>
            </w:r>
            <w:r w:rsidRPr="00775C84">
              <w:rPr>
                <w:color w:val="000000"/>
                <w:sz w:val="20"/>
                <w:szCs w:val="20"/>
              </w:rPr>
              <w:t>.</w:t>
            </w:r>
          </w:p>
        </w:tc>
      </w:tr>
      <w:tr w:rsidR="003E15C2" w:rsidRPr="006A5F9C" w14:paraId="1F6FFAE0" w14:textId="77777777" w:rsidTr="00D93B4A">
        <w:trPr>
          <w:cantSplit/>
          <w:trHeight w:val="315"/>
        </w:trPr>
        <w:tc>
          <w:tcPr>
            <w:tcW w:w="0" w:type="auto"/>
          </w:tcPr>
          <w:p w14:paraId="69C2D6BC" w14:textId="77777777"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Duration of previous livestock voyage (e.g. short haul vs long haul)</w:t>
            </w:r>
          </w:p>
        </w:tc>
        <w:tc>
          <w:tcPr>
            <w:tcW w:w="0" w:type="auto"/>
          </w:tcPr>
          <w:p w14:paraId="72B4DC2F" w14:textId="25A13255"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 xml:space="preserve">Long haul voyages may provide more opportunity for insects to breed and invade structures of the vessel. Short haul voyages (&lt;10 days) may still provide the conditions for insects to breed, but it is less likely that multiple generations will occur. </w:t>
            </w:r>
          </w:p>
        </w:tc>
      </w:tr>
      <w:tr w:rsidR="003E15C2" w:rsidRPr="006A5F9C" w14:paraId="1CA6FB9D" w14:textId="77777777" w:rsidTr="00D93B4A">
        <w:trPr>
          <w:cantSplit/>
          <w:trHeight w:val="315"/>
        </w:trPr>
        <w:tc>
          <w:tcPr>
            <w:tcW w:w="0" w:type="auto"/>
          </w:tcPr>
          <w:p w14:paraId="25F82A56" w14:textId="77777777"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Duration of return voyage (i.e. without livestock)</w:t>
            </w:r>
          </w:p>
        </w:tc>
        <w:tc>
          <w:tcPr>
            <w:tcW w:w="0" w:type="auto"/>
          </w:tcPr>
          <w:p w14:paraId="3C7CD93E" w14:textId="17A2ED84"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Return voyage duration may influence insect survival in the absence of a food source i.e. a longer voyage may allow for more thorough cleaning and disinsection of the vessel. Moreover, this is likely to support degradation of other BRM, with a longer duration of time in high and humid temperatures influencing pathogen inactivation.</w:t>
            </w:r>
          </w:p>
        </w:tc>
      </w:tr>
      <w:tr w:rsidR="003E15C2" w:rsidRPr="006A5F9C" w14:paraId="1ED92880" w14:textId="77777777" w:rsidTr="00D93B4A">
        <w:trPr>
          <w:cantSplit/>
          <w:trHeight w:val="315"/>
        </w:trPr>
        <w:tc>
          <w:tcPr>
            <w:tcW w:w="0" w:type="auto"/>
          </w:tcPr>
          <w:p w14:paraId="4D0F7294" w14:textId="77777777"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Vessel integrity - purpose built or retro-fitted</w:t>
            </w:r>
          </w:p>
        </w:tc>
        <w:tc>
          <w:tcPr>
            <w:tcW w:w="0" w:type="auto"/>
          </w:tcPr>
          <w:p w14:paraId="64AB689D" w14:textId="607E9600"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 xml:space="preserve">Retro-fitted vessels may have more areas within internal infrastructure for insects to colonise and hide. Vessels with open livestock decks may be more challenging to conduct a thorough inspection due to different light sources, such as diffuse light from the dock. </w:t>
            </w:r>
          </w:p>
        </w:tc>
      </w:tr>
      <w:tr w:rsidR="003E15C2" w:rsidRPr="006A5F9C" w14:paraId="387C76F6" w14:textId="77777777" w:rsidTr="00D93B4A">
        <w:trPr>
          <w:cantSplit/>
          <w:trHeight w:val="315"/>
        </w:trPr>
        <w:tc>
          <w:tcPr>
            <w:tcW w:w="0" w:type="auto"/>
          </w:tcPr>
          <w:p w14:paraId="0BF38BB2" w14:textId="77777777"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Available lighting on open decks and dockside</w:t>
            </w:r>
          </w:p>
        </w:tc>
        <w:tc>
          <w:tcPr>
            <w:tcW w:w="0" w:type="auto"/>
          </w:tcPr>
          <w:p w14:paraId="1942F34C" w14:textId="77777777"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 xml:space="preserve">Artificial lighting at night may create shadows or glare that increase the difficulty in observing structures. Solar glare during daylight hours can also impede an inspectors ability to detect BRM. </w:t>
            </w:r>
          </w:p>
        </w:tc>
      </w:tr>
      <w:tr w:rsidR="003E15C2" w:rsidRPr="006A5F9C" w14:paraId="75364558" w14:textId="77777777" w:rsidTr="00D93B4A">
        <w:trPr>
          <w:cantSplit/>
          <w:trHeight w:val="315"/>
        </w:trPr>
        <w:tc>
          <w:tcPr>
            <w:tcW w:w="0" w:type="auto"/>
          </w:tcPr>
          <w:p w14:paraId="19EC98BB" w14:textId="734D6EEA"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Master, crew and previous vessel inspection records (this record would need to be started)</w:t>
            </w:r>
          </w:p>
        </w:tc>
        <w:tc>
          <w:tcPr>
            <w:tcW w:w="0" w:type="auto"/>
          </w:tcPr>
          <w:p w14:paraId="24ABFDD9" w14:textId="2E78CAAD"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Masters tend to dictate the hygiene status of vessels and inspection records should be note Master details. Significant crew changes since last docking in Australia may also potentially lead to a higher likelihood of BRM being present if the crew is unfamiliar with the Australian biosecurity standard.</w:t>
            </w:r>
          </w:p>
        </w:tc>
      </w:tr>
      <w:tr w:rsidR="003E15C2" w:rsidRPr="006A5F9C" w14:paraId="44C42B8B" w14:textId="77777777" w:rsidTr="00D93B4A">
        <w:trPr>
          <w:cantSplit/>
          <w:trHeight w:val="315"/>
        </w:trPr>
        <w:tc>
          <w:tcPr>
            <w:tcW w:w="0" w:type="auto"/>
          </w:tcPr>
          <w:p w14:paraId="3E0F472A" w14:textId="77777777"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Returning with feed</w:t>
            </w:r>
          </w:p>
        </w:tc>
        <w:tc>
          <w:tcPr>
            <w:tcW w:w="0" w:type="auto"/>
          </w:tcPr>
          <w:p w14:paraId="6B29FC62" w14:textId="77777777"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Increases the likelihood of stowaway insects or rodents. Feed should be stored in silos. Some vessels may not have this capacity and may store on open decks leading to a higher likelihood of attracting insects or pests.</w:t>
            </w:r>
          </w:p>
        </w:tc>
      </w:tr>
      <w:tr w:rsidR="00EF135F" w:rsidRPr="006A5F9C" w14:paraId="665CA026" w14:textId="77777777" w:rsidTr="00D93B4A">
        <w:trPr>
          <w:cantSplit/>
          <w:trHeight w:val="315"/>
        </w:trPr>
        <w:tc>
          <w:tcPr>
            <w:tcW w:w="0" w:type="auto"/>
          </w:tcPr>
          <w:p w14:paraId="34DBCA73" w14:textId="77777777" w:rsidR="00EF135F" w:rsidRPr="00775C84" w:rsidRDefault="00EF135F" w:rsidP="00D93B4A">
            <w:pPr>
              <w:keepNext/>
              <w:pBdr>
                <w:top w:val="nil"/>
                <w:left w:val="nil"/>
                <w:bottom w:val="nil"/>
                <w:right w:val="nil"/>
                <w:between w:val="nil"/>
              </w:pBdr>
              <w:spacing w:before="60" w:after="60"/>
              <w:rPr>
                <w:color w:val="000000"/>
                <w:sz w:val="20"/>
                <w:szCs w:val="20"/>
              </w:rPr>
            </w:pPr>
            <w:r w:rsidRPr="00775C84">
              <w:rPr>
                <w:color w:val="000000"/>
                <w:sz w:val="20"/>
                <w:szCs w:val="20"/>
              </w:rPr>
              <w:t>Presence of landed goods on open decks</w:t>
            </w:r>
          </w:p>
        </w:tc>
        <w:tc>
          <w:tcPr>
            <w:tcW w:w="0" w:type="auto"/>
          </w:tcPr>
          <w:p w14:paraId="6EF27418" w14:textId="77777777" w:rsidR="00EF135F" w:rsidRPr="00775C84" w:rsidRDefault="00EF135F" w:rsidP="00D93B4A">
            <w:pPr>
              <w:keepNext/>
              <w:pBdr>
                <w:top w:val="nil"/>
                <w:left w:val="nil"/>
                <w:bottom w:val="nil"/>
                <w:right w:val="nil"/>
                <w:between w:val="nil"/>
              </w:pBdr>
              <w:spacing w:before="60" w:after="60"/>
              <w:rPr>
                <w:color w:val="000000"/>
                <w:sz w:val="20"/>
                <w:szCs w:val="20"/>
              </w:rPr>
            </w:pPr>
            <w:r w:rsidRPr="00775C84">
              <w:rPr>
                <w:color w:val="000000"/>
                <w:sz w:val="20"/>
                <w:szCs w:val="20"/>
              </w:rPr>
              <w:t>In this context ‘landed goods’ is referring to goods that are destined to be discharged in Australia – may be to another vessel. The presence of these on open decks can create difficulties in inspections and may harbour pest species.</w:t>
            </w:r>
          </w:p>
        </w:tc>
      </w:tr>
    </w:tbl>
    <w:p w14:paraId="52972807" w14:textId="77777777" w:rsidR="00EF135F" w:rsidRDefault="00EF135F"/>
    <w:p w14:paraId="3D37C098" w14:textId="42875840" w:rsidR="00EF135F" w:rsidRDefault="00EF135F">
      <w:r>
        <w:br w:type="page"/>
      </w:r>
    </w:p>
    <w:tbl>
      <w:tblPr>
        <w:tblStyle w:val="1"/>
        <w:tblW w:w="0" w:type="auto"/>
        <w:tblBorders>
          <w:top w:val="single" w:sz="4" w:space="0" w:color="004F83"/>
          <w:bottom w:val="single" w:sz="4" w:space="0" w:color="004F83"/>
          <w:insideH w:val="single" w:sz="4" w:space="0" w:color="004F83"/>
        </w:tblBorders>
        <w:tblLook w:val="0420" w:firstRow="1" w:lastRow="0" w:firstColumn="0" w:lastColumn="0" w:noHBand="0" w:noVBand="1"/>
      </w:tblPr>
      <w:tblGrid>
        <w:gridCol w:w="2683"/>
        <w:gridCol w:w="6343"/>
      </w:tblGrid>
      <w:tr w:rsidR="00EF135F" w:rsidRPr="006A5F9C" w14:paraId="102FEEB2" w14:textId="77777777" w:rsidTr="00D93B4A">
        <w:trPr>
          <w:cantSplit/>
          <w:trHeight w:val="315"/>
          <w:tblHeader/>
        </w:trPr>
        <w:tc>
          <w:tcPr>
            <w:tcW w:w="0" w:type="auto"/>
          </w:tcPr>
          <w:p w14:paraId="0F5ED9A7" w14:textId="77777777" w:rsidR="00EF135F" w:rsidRPr="00775C84" w:rsidRDefault="00EF135F" w:rsidP="00D93B4A">
            <w:pPr>
              <w:keepNext/>
              <w:pBdr>
                <w:top w:val="nil"/>
                <w:left w:val="nil"/>
                <w:bottom w:val="nil"/>
                <w:right w:val="nil"/>
                <w:between w:val="nil"/>
              </w:pBdr>
              <w:spacing w:before="60" w:after="60"/>
              <w:rPr>
                <w:b/>
                <w:bCs/>
                <w:color w:val="004F83"/>
                <w:sz w:val="20"/>
                <w:szCs w:val="20"/>
              </w:rPr>
            </w:pPr>
            <w:r w:rsidRPr="00775C84">
              <w:rPr>
                <w:b/>
                <w:bCs/>
                <w:color w:val="004F83"/>
                <w:sz w:val="20"/>
                <w:szCs w:val="20"/>
              </w:rPr>
              <w:lastRenderedPageBreak/>
              <w:t>Risk Factor</w:t>
            </w:r>
          </w:p>
        </w:tc>
        <w:tc>
          <w:tcPr>
            <w:tcW w:w="0" w:type="auto"/>
          </w:tcPr>
          <w:p w14:paraId="44D08FF8" w14:textId="77777777" w:rsidR="00EF135F" w:rsidRPr="00775C84" w:rsidRDefault="00EF135F" w:rsidP="00D93B4A">
            <w:pPr>
              <w:keepNext/>
              <w:pBdr>
                <w:top w:val="nil"/>
                <w:left w:val="nil"/>
                <w:bottom w:val="nil"/>
                <w:right w:val="nil"/>
                <w:between w:val="nil"/>
              </w:pBdr>
              <w:spacing w:before="60" w:after="60"/>
              <w:rPr>
                <w:b/>
                <w:bCs/>
                <w:color w:val="004F83"/>
                <w:sz w:val="20"/>
                <w:szCs w:val="20"/>
              </w:rPr>
            </w:pPr>
            <w:r w:rsidRPr="00775C84">
              <w:rPr>
                <w:b/>
                <w:bCs/>
                <w:color w:val="004F83"/>
                <w:sz w:val="20"/>
                <w:szCs w:val="20"/>
              </w:rPr>
              <w:t>Rationale</w:t>
            </w:r>
          </w:p>
        </w:tc>
      </w:tr>
      <w:tr w:rsidR="003E15C2" w:rsidRPr="006A5F9C" w14:paraId="39035DD9" w14:textId="77777777" w:rsidTr="00D93B4A">
        <w:trPr>
          <w:cantSplit/>
          <w:trHeight w:val="315"/>
        </w:trPr>
        <w:tc>
          <w:tcPr>
            <w:tcW w:w="0" w:type="auto"/>
          </w:tcPr>
          <w:p w14:paraId="4B0274CE" w14:textId="77777777"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Deck paint colour</w:t>
            </w:r>
          </w:p>
        </w:tc>
        <w:tc>
          <w:tcPr>
            <w:tcW w:w="0" w:type="auto"/>
          </w:tcPr>
          <w:p w14:paraId="3847E405" w14:textId="7AEBD789"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 xml:space="preserve">Dark surface paint may make it more difficult to identify BRM at </w:t>
            </w:r>
            <w:r w:rsidR="006F0FD8">
              <w:rPr>
                <w:color w:val="000000"/>
                <w:sz w:val="20"/>
                <w:szCs w:val="20"/>
              </w:rPr>
              <w:t>night-time</w:t>
            </w:r>
            <w:r w:rsidRPr="00775C84">
              <w:rPr>
                <w:color w:val="000000"/>
                <w:sz w:val="20"/>
                <w:szCs w:val="20"/>
              </w:rPr>
              <w:t xml:space="preserve"> due to less colour contrast, light surface paint may create more glare with artificial or bright natural light.</w:t>
            </w:r>
          </w:p>
        </w:tc>
      </w:tr>
      <w:tr w:rsidR="003E15C2" w:rsidRPr="006A5F9C" w14:paraId="2A7B8519" w14:textId="77777777" w:rsidTr="00D93B4A">
        <w:trPr>
          <w:cantSplit/>
          <w:trHeight w:val="315"/>
        </w:trPr>
        <w:tc>
          <w:tcPr>
            <w:tcW w:w="0" w:type="auto"/>
          </w:tcPr>
          <w:p w14:paraId="513412FD" w14:textId="77687D9F"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 xml:space="preserve">Logistics/availability of </w:t>
            </w:r>
            <w:r w:rsidR="006F0FD8">
              <w:rPr>
                <w:color w:val="000000"/>
                <w:sz w:val="20"/>
                <w:szCs w:val="20"/>
              </w:rPr>
              <w:t>night-time</w:t>
            </w:r>
            <w:r w:rsidRPr="00775C84">
              <w:rPr>
                <w:color w:val="000000"/>
                <w:sz w:val="20"/>
                <w:szCs w:val="20"/>
              </w:rPr>
              <w:t xml:space="preserve"> staff</w:t>
            </w:r>
          </w:p>
        </w:tc>
        <w:tc>
          <w:tcPr>
            <w:tcW w:w="0" w:type="auto"/>
          </w:tcPr>
          <w:p w14:paraId="55C966D9" w14:textId="77777777" w:rsidR="003E15C2" w:rsidRPr="00775C84" w:rsidRDefault="003E15C2">
            <w:pPr>
              <w:keepNext/>
              <w:pBdr>
                <w:top w:val="nil"/>
                <w:left w:val="nil"/>
                <w:bottom w:val="nil"/>
                <w:right w:val="nil"/>
                <w:between w:val="nil"/>
              </w:pBdr>
              <w:spacing w:before="60" w:after="60"/>
              <w:rPr>
                <w:color w:val="000000"/>
                <w:sz w:val="20"/>
                <w:szCs w:val="20"/>
              </w:rPr>
            </w:pPr>
          </w:p>
        </w:tc>
      </w:tr>
      <w:tr w:rsidR="003E15C2" w:rsidRPr="006A5F9C" w14:paraId="6C6EDD0F" w14:textId="77777777" w:rsidTr="00D93B4A">
        <w:trPr>
          <w:cantSplit/>
          <w:trHeight w:val="315"/>
        </w:trPr>
        <w:tc>
          <w:tcPr>
            <w:tcW w:w="0" w:type="auto"/>
          </w:tcPr>
          <w:p w14:paraId="5FADE9FF" w14:textId="77777777" w:rsidR="003E15C2" w:rsidRPr="00775C84" w:rsidRDefault="003E15C2">
            <w:pPr>
              <w:keepNext/>
              <w:pBdr>
                <w:top w:val="nil"/>
                <w:left w:val="nil"/>
                <w:bottom w:val="nil"/>
                <w:right w:val="nil"/>
                <w:between w:val="nil"/>
              </w:pBdr>
              <w:spacing w:before="60" w:after="60"/>
              <w:jc w:val="right"/>
              <w:rPr>
                <w:color w:val="000000"/>
                <w:sz w:val="20"/>
                <w:szCs w:val="20"/>
              </w:rPr>
            </w:pPr>
            <w:r w:rsidRPr="00775C84">
              <w:rPr>
                <w:color w:val="000000"/>
                <w:sz w:val="20"/>
                <w:szCs w:val="20"/>
              </w:rPr>
              <w:t>Biosecurity officer experience and past performance</w:t>
            </w:r>
          </w:p>
        </w:tc>
        <w:tc>
          <w:tcPr>
            <w:tcW w:w="0" w:type="auto"/>
          </w:tcPr>
          <w:p w14:paraId="2DF6B447" w14:textId="1620CDF3"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 xml:space="preserve">Some inspectors, if they have a history of suboptimal performance, may be less suitable for conducting </w:t>
            </w:r>
            <w:r w:rsidR="006F0FD8">
              <w:rPr>
                <w:color w:val="000000"/>
                <w:sz w:val="20"/>
                <w:szCs w:val="20"/>
              </w:rPr>
              <w:t>night-time</w:t>
            </w:r>
            <w:r w:rsidRPr="00775C84">
              <w:rPr>
                <w:color w:val="000000"/>
                <w:sz w:val="20"/>
                <w:szCs w:val="20"/>
              </w:rPr>
              <w:t xml:space="preserve"> inspections, due to the higher likelihood of potential errors due to fatigue.  </w:t>
            </w:r>
          </w:p>
        </w:tc>
      </w:tr>
      <w:tr w:rsidR="003E15C2" w:rsidRPr="006A5F9C" w14:paraId="5BF7F757" w14:textId="77777777" w:rsidTr="00D93B4A">
        <w:trPr>
          <w:cantSplit/>
          <w:trHeight w:val="315"/>
        </w:trPr>
        <w:tc>
          <w:tcPr>
            <w:tcW w:w="0" w:type="auto"/>
          </w:tcPr>
          <w:p w14:paraId="74237D69" w14:textId="77777777" w:rsidR="003E15C2" w:rsidRPr="00775C84" w:rsidRDefault="003E15C2">
            <w:pPr>
              <w:keepNext/>
              <w:pBdr>
                <w:top w:val="nil"/>
                <w:left w:val="nil"/>
                <w:bottom w:val="nil"/>
                <w:right w:val="nil"/>
                <w:between w:val="nil"/>
              </w:pBdr>
              <w:spacing w:before="60" w:after="60"/>
              <w:jc w:val="right"/>
              <w:rPr>
                <w:color w:val="000000"/>
                <w:sz w:val="20"/>
                <w:szCs w:val="20"/>
              </w:rPr>
            </w:pPr>
            <w:r w:rsidRPr="00775C84">
              <w:rPr>
                <w:color w:val="000000"/>
                <w:sz w:val="20"/>
                <w:szCs w:val="20"/>
              </w:rPr>
              <w:t>Managing fatigue and availability</w:t>
            </w:r>
          </w:p>
        </w:tc>
        <w:tc>
          <w:tcPr>
            <w:tcW w:w="0" w:type="auto"/>
          </w:tcPr>
          <w:p w14:paraId="108F13D1" w14:textId="35921CF4" w:rsidR="003E15C2" w:rsidRPr="00775C84" w:rsidRDefault="003E15C2">
            <w:pPr>
              <w:keepNext/>
              <w:pBdr>
                <w:top w:val="nil"/>
                <w:left w:val="nil"/>
                <w:bottom w:val="nil"/>
                <w:right w:val="nil"/>
                <w:between w:val="nil"/>
              </w:pBdr>
              <w:spacing w:before="60" w:after="60"/>
              <w:rPr>
                <w:color w:val="000000"/>
                <w:sz w:val="20"/>
                <w:szCs w:val="20"/>
              </w:rPr>
            </w:pPr>
            <w:r w:rsidRPr="00775C84">
              <w:rPr>
                <w:color w:val="000000"/>
                <w:sz w:val="20"/>
                <w:szCs w:val="20"/>
              </w:rPr>
              <w:t xml:space="preserve">Staff require a </w:t>
            </w:r>
            <w:r w:rsidR="009234AD">
              <w:rPr>
                <w:color w:val="000000"/>
                <w:sz w:val="20"/>
                <w:szCs w:val="20"/>
              </w:rPr>
              <w:t>8</w:t>
            </w:r>
            <w:r w:rsidR="009234AD" w:rsidRPr="00775C84">
              <w:rPr>
                <w:color w:val="000000"/>
                <w:sz w:val="20"/>
                <w:szCs w:val="20"/>
              </w:rPr>
              <w:t xml:space="preserve"> </w:t>
            </w:r>
            <w:r w:rsidRPr="00775C84">
              <w:rPr>
                <w:color w:val="000000"/>
                <w:sz w:val="20"/>
                <w:szCs w:val="20"/>
              </w:rPr>
              <w:t>hr standdown period between shifts and fatigue is known to impact detail oriented tasks. Mental fatigue and physical exertion can negatively impact detail-oriented task performance.</w:t>
            </w:r>
          </w:p>
        </w:tc>
      </w:tr>
    </w:tbl>
    <w:p w14:paraId="27EDDBAB" w14:textId="77777777" w:rsidR="00EE42CE" w:rsidRDefault="00EE42CE" w:rsidP="00D93B4A">
      <w:pPr>
        <w:keepNext/>
      </w:pPr>
    </w:p>
    <w:p w14:paraId="03222A20" w14:textId="77777777" w:rsidR="00EE42CE" w:rsidRDefault="00EE42CE" w:rsidP="00D93B4A">
      <w:pPr>
        <w:keepNext/>
      </w:pPr>
    </w:p>
    <w:p w14:paraId="1087B830" w14:textId="77777777" w:rsidR="00EE42CE" w:rsidRDefault="00EE42CE" w:rsidP="00D93B4A">
      <w:pPr>
        <w:keepNext/>
      </w:pPr>
    </w:p>
    <w:p w14:paraId="5CDF7533" w14:textId="77777777" w:rsidR="00EE42CE" w:rsidRDefault="00EE42CE" w:rsidP="00D93B4A">
      <w:pPr>
        <w:keepNext/>
      </w:pPr>
    </w:p>
    <w:p w14:paraId="5D0698C8" w14:textId="206398E9" w:rsidR="003E15C2" w:rsidRDefault="004C2857" w:rsidP="00D93B4A">
      <w:pPr>
        <w:keepNext/>
      </w:pPr>
      <w:r w:rsidRPr="004C2857">
        <w:rPr>
          <w:noProof/>
        </w:rPr>
        <w:drawing>
          <wp:inline distT="0" distB="0" distL="0" distR="0" wp14:anchorId="0DDAD815" wp14:editId="13450942">
            <wp:extent cx="5731510" cy="3804285"/>
            <wp:effectExtent l="0" t="0" r="0" b="5715"/>
            <wp:docPr id="199924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42175" name=""/>
                    <pic:cNvPicPr/>
                  </pic:nvPicPr>
                  <pic:blipFill>
                    <a:blip r:embed="rId41"/>
                    <a:stretch>
                      <a:fillRect/>
                    </a:stretch>
                  </pic:blipFill>
                  <pic:spPr>
                    <a:xfrm>
                      <a:off x="0" y="0"/>
                      <a:ext cx="5731510" cy="3804285"/>
                    </a:xfrm>
                    <a:prstGeom prst="rect">
                      <a:avLst/>
                    </a:prstGeom>
                  </pic:spPr>
                </pic:pic>
              </a:graphicData>
            </a:graphic>
          </wp:inline>
        </w:drawing>
      </w:r>
    </w:p>
    <w:p w14:paraId="61200F37" w14:textId="35059C86" w:rsidR="003E15C2" w:rsidRDefault="003E15C2" w:rsidP="00D419FE">
      <w:pPr>
        <w:pStyle w:val="Caption"/>
      </w:pPr>
      <w:bookmarkStart w:id="240" w:name="_Ref219212295"/>
      <w:bookmarkStart w:id="241" w:name="_Toc219289955"/>
      <w:bookmarkStart w:id="242" w:name="_Toc226730790"/>
      <w:r>
        <w:t xml:space="preserve">Figure </w:t>
      </w:r>
      <w:fldSimple w:instr=" SEQ Figure \* ARABIC ">
        <w:r w:rsidR="00651A0D">
          <w:rPr>
            <w:noProof/>
          </w:rPr>
          <w:t>18</w:t>
        </w:r>
      </w:fldSimple>
      <w:bookmarkEnd w:id="240"/>
      <w:r>
        <w:tab/>
        <w:t xml:space="preserve">Vessel eligibility criteria for consideration of </w:t>
      </w:r>
      <w:r w:rsidR="006F0FD8">
        <w:t>night-time</w:t>
      </w:r>
      <w:r>
        <w:t xml:space="preserve"> inspections</w:t>
      </w:r>
      <w:bookmarkEnd w:id="241"/>
      <w:r w:rsidR="00125D13">
        <w:t>.</w:t>
      </w:r>
      <w:bookmarkEnd w:id="242"/>
    </w:p>
    <w:p w14:paraId="32FF398C" w14:textId="77777777" w:rsidR="003E15C2" w:rsidRDefault="003E15C2" w:rsidP="00D93B4A"/>
    <w:p w14:paraId="044F86C8" w14:textId="5B65CE5E" w:rsidR="003E15C2" w:rsidRDefault="00D45453" w:rsidP="00D93B4A">
      <w:pPr>
        <w:keepNext/>
      </w:pPr>
      <w:r w:rsidRPr="00D45453">
        <w:rPr>
          <w:noProof/>
        </w:rPr>
        <w:lastRenderedPageBreak/>
        <w:t xml:space="preserve"> </w:t>
      </w:r>
      <w:r w:rsidRPr="00D45453">
        <w:rPr>
          <w:noProof/>
        </w:rPr>
        <w:drawing>
          <wp:inline distT="0" distB="0" distL="0" distR="0" wp14:anchorId="08C7A034" wp14:editId="0A32FB65">
            <wp:extent cx="5731510" cy="3219450"/>
            <wp:effectExtent l="0" t="0" r="0" b="6350"/>
            <wp:docPr id="150237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71594" name=""/>
                    <pic:cNvPicPr/>
                  </pic:nvPicPr>
                  <pic:blipFill>
                    <a:blip r:embed="rId42"/>
                    <a:stretch>
                      <a:fillRect/>
                    </a:stretch>
                  </pic:blipFill>
                  <pic:spPr>
                    <a:xfrm>
                      <a:off x="0" y="0"/>
                      <a:ext cx="5731510" cy="3219450"/>
                    </a:xfrm>
                    <a:prstGeom prst="rect">
                      <a:avLst/>
                    </a:prstGeom>
                  </pic:spPr>
                </pic:pic>
              </a:graphicData>
            </a:graphic>
          </wp:inline>
        </w:drawing>
      </w:r>
    </w:p>
    <w:p w14:paraId="79F24EBD" w14:textId="73C94318" w:rsidR="003E15C2" w:rsidRDefault="003E15C2" w:rsidP="00D419FE">
      <w:pPr>
        <w:pStyle w:val="Caption"/>
      </w:pPr>
      <w:bookmarkStart w:id="243" w:name="_Ref219280713"/>
      <w:bookmarkStart w:id="244" w:name="_Toc219289956"/>
      <w:bookmarkStart w:id="245" w:name="_Toc226730791"/>
      <w:r>
        <w:t xml:space="preserve">Figure </w:t>
      </w:r>
      <w:fldSimple w:instr=" SEQ Figure \* ARABIC ">
        <w:r w:rsidR="00651A0D">
          <w:rPr>
            <w:noProof/>
          </w:rPr>
          <w:t>19</w:t>
        </w:r>
      </w:fldSimple>
      <w:bookmarkEnd w:id="243"/>
      <w:r>
        <w:tab/>
      </w:r>
      <w:r w:rsidR="001700A7">
        <w:t xml:space="preserve">Department of Agriculture, Fisheries and Forestry </w:t>
      </w:r>
      <w:r>
        <w:t xml:space="preserve">decision criteria for </w:t>
      </w:r>
      <w:r w:rsidR="006F0FD8">
        <w:t>night-time</w:t>
      </w:r>
      <w:r>
        <w:t xml:space="preserve"> inspections</w:t>
      </w:r>
      <w:bookmarkEnd w:id="244"/>
      <w:r w:rsidR="00D45453">
        <w:t xml:space="preserve"> (* refers to the risk posed by a vessel for the escape of non-indigenous insects due to </w:t>
      </w:r>
      <w:r w:rsidR="00FE71AA">
        <w:t xml:space="preserve">an </w:t>
      </w:r>
      <w:r w:rsidR="00D45453">
        <w:t xml:space="preserve">extended duration at anchorage or </w:t>
      </w:r>
      <w:r w:rsidR="00FE71AA">
        <w:t>dock</w:t>
      </w:r>
      <w:r w:rsidR="00D45453">
        <w:t xml:space="preserve"> prior to inspection).</w:t>
      </w:r>
      <w:bookmarkEnd w:id="245"/>
    </w:p>
    <w:p w14:paraId="4CA56A04" w14:textId="77777777" w:rsidR="003E15C2" w:rsidRPr="00C17AAB" w:rsidRDefault="003E15C2" w:rsidP="00D93B4A"/>
    <w:p w14:paraId="00E0FB5E" w14:textId="2B3CC30E" w:rsidR="003E15C2" w:rsidRDefault="003E15C2" w:rsidP="009E1EA2">
      <w:pPr>
        <w:pStyle w:val="Heading1"/>
      </w:pPr>
      <w:bookmarkStart w:id="246" w:name="_Toc219290031"/>
      <w:bookmarkStart w:id="247" w:name="_Toc226796990"/>
      <w:r w:rsidRPr="00B12684">
        <w:lastRenderedPageBreak/>
        <w:t>Conclusion</w:t>
      </w:r>
      <w:bookmarkEnd w:id="246"/>
      <w:bookmarkEnd w:id="247"/>
    </w:p>
    <w:p w14:paraId="79CA04E7" w14:textId="3D612E35" w:rsidR="003E15C2" w:rsidRDefault="003E15C2" w:rsidP="00D93B4A">
      <w:pPr>
        <w:rPr>
          <w:rFonts w:asciiTheme="minorHAnsi" w:hAnsiTheme="minorHAnsi"/>
          <w:szCs w:val="22"/>
        </w:rPr>
      </w:pPr>
      <w:r w:rsidRPr="00300CF8">
        <w:rPr>
          <w:rFonts w:asciiTheme="minorHAnsi" w:hAnsiTheme="minorHAnsi"/>
          <w:szCs w:val="22"/>
        </w:rPr>
        <w:t>Based o</w:t>
      </w:r>
      <w:r>
        <w:rPr>
          <w:rFonts w:asciiTheme="minorHAnsi" w:hAnsiTheme="minorHAnsi"/>
          <w:szCs w:val="22"/>
        </w:rPr>
        <w:t xml:space="preserve">n available literature, data and vessel observations, there </w:t>
      </w:r>
      <w:r w:rsidR="006A5F9C">
        <w:rPr>
          <w:rFonts w:asciiTheme="minorHAnsi" w:hAnsiTheme="minorHAnsi"/>
          <w:szCs w:val="22"/>
        </w:rPr>
        <w:t xml:space="preserve">is </w:t>
      </w:r>
      <w:r>
        <w:rPr>
          <w:rFonts w:asciiTheme="minorHAnsi" w:hAnsiTheme="minorHAnsi"/>
          <w:szCs w:val="22"/>
        </w:rPr>
        <w:t xml:space="preserve">no definitive </w:t>
      </w:r>
      <w:r w:rsidR="006A5F9C">
        <w:rPr>
          <w:rFonts w:asciiTheme="minorHAnsi" w:hAnsiTheme="minorHAnsi"/>
          <w:szCs w:val="22"/>
        </w:rPr>
        <w:t xml:space="preserve">evidence </w:t>
      </w:r>
      <w:r>
        <w:rPr>
          <w:rFonts w:asciiTheme="minorHAnsi" w:hAnsiTheme="minorHAnsi"/>
          <w:szCs w:val="22"/>
        </w:rPr>
        <w:t xml:space="preserve">confirming that livestock vessel inspections at </w:t>
      </w:r>
      <w:r w:rsidR="006F0FD8">
        <w:rPr>
          <w:rFonts w:asciiTheme="minorHAnsi" w:hAnsiTheme="minorHAnsi"/>
          <w:szCs w:val="22"/>
        </w:rPr>
        <w:t>night-time</w:t>
      </w:r>
      <w:r>
        <w:rPr>
          <w:rFonts w:asciiTheme="minorHAnsi" w:hAnsiTheme="minorHAnsi"/>
          <w:szCs w:val="22"/>
        </w:rPr>
        <w:t xml:space="preserve"> pose a higher risk of disease or invertebrate incursion than </w:t>
      </w:r>
      <w:r w:rsidR="006A5F9C">
        <w:rPr>
          <w:rFonts w:asciiTheme="minorHAnsi" w:hAnsiTheme="minorHAnsi"/>
          <w:szCs w:val="22"/>
        </w:rPr>
        <w:t xml:space="preserve">those </w:t>
      </w:r>
      <w:r>
        <w:rPr>
          <w:rFonts w:asciiTheme="minorHAnsi" w:hAnsiTheme="minorHAnsi"/>
          <w:szCs w:val="22"/>
        </w:rPr>
        <w:t>conducted during daylight hours</w:t>
      </w:r>
      <w:r w:rsidR="000148B5">
        <w:rPr>
          <w:rFonts w:asciiTheme="minorHAnsi" w:hAnsiTheme="minorHAnsi"/>
          <w:szCs w:val="22"/>
        </w:rPr>
        <w:t xml:space="preserve">. It is recognised that failure to ensure </w:t>
      </w:r>
      <w:r w:rsidR="00FB6FEC">
        <w:rPr>
          <w:rFonts w:asciiTheme="minorHAnsi" w:hAnsiTheme="minorHAnsi"/>
          <w:szCs w:val="22"/>
        </w:rPr>
        <w:t xml:space="preserve">appropriate </w:t>
      </w:r>
      <w:r w:rsidR="000148B5">
        <w:rPr>
          <w:rFonts w:asciiTheme="minorHAnsi" w:hAnsiTheme="minorHAnsi"/>
          <w:szCs w:val="22"/>
        </w:rPr>
        <w:t xml:space="preserve">lighting and </w:t>
      </w:r>
      <w:r w:rsidR="00A71A21">
        <w:rPr>
          <w:rFonts w:asciiTheme="minorHAnsi" w:hAnsiTheme="minorHAnsi"/>
          <w:szCs w:val="22"/>
        </w:rPr>
        <w:t xml:space="preserve">managing </w:t>
      </w:r>
      <w:r w:rsidR="000148B5">
        <w:rPr>
          <w:rFonts w:asciiTheme="minorHAnsi" w:hAnsiTheme="minorHAnsi"/>
          <w:szCs w:val="22"/>
        </w:rPr>
        <w:t>operator fatigue are vital, regardless of the time of day</w:t>
      </w:r>
      <w:r>
        <w:rPr>
          <w:rFonts w:asciiTheme="minorHAnsi" w:hAnsiTheme="minorHAnsi"/>
          <w:szCs w:val="22"/>
        </w:rPr>
        <w:t xml:space="preserve">. Further, there is concern that having vessels at anchorage at night prior to inspection may pose a risk for hitchhiker insects to fly to land if there is sufficient </w:t>
      </w:r>
      <w:r w:rsidR="00EE42CE" w:rsidRPr="00EE42CE">
        <w:rPr>
          <w:rFonts w:asciiTheme="minorHAnsi" w:hAnsiTheme="minorHAnsi"/>
          <w:szCs w:val="22"/>
        </w:rPr>
        <w:t xml:space="preserve">artificial light at night </w:t>
      </w:r>
      <w:r>
        <w:rPr>
          <w:rFonts w:asciiTheme="minorHAnsi" w:hAnsiTheme="minorHAnsi"/>
          <w:szCs w:val="22"/>
        </w:rPr>
        <w:t>present on shore.</w:t>
      </w:r>
    </w:p>
    <w:p w14:paraId="4C29AF08" w14:textId="798E70E7" w:rsidR="003E15C2" w:rsidRDefault="00CA70D5" w:rsidP="00B12684">
      <w:pPr>
        <w:rPr>
          <w:rFonts w:asciiTheme="minorHAnsi" w:hAnsiTheme="minorHAnsi"/>
          <w:szCs w:val="22"/>
        </w:rPr>
      </w:pPr>
      <w:r>
        <w:rPr>
          <w:rFonts w:asciiTheme="minorHAnsi" w:hAnsiTheme="minorHAnsi"/>
          <w:szCs w:val="22"/>
        </w:rPr>
        <w:t xml:space="preserve">Conducting a </w:t>
      </w:r>
      <w:r w:rsidR="00FB6FEC">
        <w:rPr>
          <w:rFonts w:asciiTheme="minorHAnsi" w:hAnsiTheme="minorHAnsi"/>
          <w:szCs w:val="22"/>
        </w:rPr>
        <w:t>well-designed</w:t>
      </w:r>
      <w:r>
        <w:rPr>
          <w:rFonts w:asciiTheme="minorHAnsi" w:hAnsiTheme="minorHAnsi"/>
          <w:szCs w:val="22"/>
        </w:rPr>
        <w:t xml:space="preserve"> trial will enable data to be collected for a comparative study</w:t>
      </w:r>
      <w:r w:rsidR="008A00F9">
        <w:rPr>
          <w:rFonts w:asciiTheme="minorHAnsi" w:hAnsiTheme="minorHAnsi"/>
          <w:szCs w:val="22"/>
        </w:rPr>
        <w:t xml:space="preserve"> between daytime and </w:t>
      </w:r>
      <w:r w:rsidR="006F0FD8">
        <w:rPr>
          <w:rFonts w:asciiTheme="minorHAnsi" w:hAnsiTheme="minorHAnsi"/>
          <w:szCs w:val="22"/>
        </w:rPr>
        <w:t>night-time</w:t>
      </w:r>
      <w:r w:rsidR="008A00F9">
        <w:rPr>
          <w:rFonts w:asciiTheme="minorHAnsi" w:hAnsiTheme="minorHAnsi"/>
          <w:szCs w:val="22"/>
        </w:rPr>
        <w:t xml:space="preserve"> inspection.</w:t>
      </w:r>
      <w:r>
        <w:rPr>
          <w:rFonts w:asciiTheme="minorHAnsi" w:hAnsiTheme="minorHAnsi"/>
          <w:szCs w:val="22"/>
        </w:rPr>
        <w:t xml:space="preserve"> </w:t>
      </w:r>
      <w:r w:rsidR="003E15C2">
        <w:rPr>
          <w:rFonts w:asciiTheme="minorHAnsi" w:hAnsiTheme="minorHAnsi"/>
          <w:szCs w:val="22"/>
        </w:rPr>
        <w:t xml:space="preserve">By implementing </w:t>
      </w:r>
      <w:r>
        <w:rPr>
          <w:rFonts w:asciiTheme="minorHAnsi" w:hAnsiTheme="minorHAnsi"/>
          <w:szCs w:val="22"/>
        </w:rPr>
        <w:t xml:space="preserve">the trial with the </w:t>
      </w:r>
      <w:r w:rsidR="003E15C2">
        <w:rPr>
          <w:rFonts w:asciiTheme="minorHAnsi" w:hAnsiTheme="minorHAnsi"/>
          <w:szCs w:val="22"/>
        </w:rPr>
        <w:t xml:space="preserve">decision support tool, only those vessels that meet strict eligibility criteria will be authorised for </w:t>
      </w:r>
      <w:r w:rsidR="006F0FD8">
        <w:rPr>
          <w:rFonts w:asciiTheme="minorHAnsi" w:hAnsiTheme="minorHAnsi"/>
          <w:szCs w:val="22"/>
        </w:rPr>
        <w:t>night-time</w:t>
      </w:r>
      <w:r w:rsidR="003E15C2">
        <w:rPr>
          <w:rFonts w:asciiTheme="minorHAnsi" w:hAnsiTheme="minorHAnsi"/>
          <w:szCs w:val="22"/>
        </w:rPr>
        <w:t xml:space="preserve"> inspection. This will ensure the necessary mitigation strategies are in place to ensure higher risk vessels will only undergo daytime inspections.</w:t>
      </w:r>
      <w:r w:rsidR="00987E6E">
        <w:rPr>
          <w:rFonts w:asciiTheme="minorHAnsi" w:hAnsiTheme="minorHAnsi"/>
          <w:szCs w:val="22"/>
        </w:rPr>
        <w:t xml:space="preserve"> Moreover, this places responsibility for meeting eligibility criteria on the vessel operator.</w:t>
      </w:r>
      <w:r w:rsidR="003E15C2">
        <w:rPr>
          <w:rFonts w:asciiTheme="minorHAnsi" w:hAnsiTheme="minorHAnsi"/>
          <w:szCs w:val="22"/>
        </w:rPr>
        <w:t xml:space="preserve"> Resourcing, financial and staffing may play a more significant role in the Department’s ability to conduct high quality inspections during after</w:t>
      </w:r>
      <w:r w:rsidR="000148B5">
        <w:rPr>
          <w:rFonts w:asciiTheme="minorHAnsi" w:hAnsiTheme="minorHAnsi"/>
          <w:szCs w:val="22"/>
        </w:rPr>
        <w:t>-</w:t>
      </w:r>
      <w:r w:rsidR="003E15C2">
        <w:rPr>
          <w:rFonts w:asciiTheme="minorHAnsi" w:hAnsiTheme="minorHAnsi"/>
          <w:szCs w:val="22"/>
        </w:rPr>
        <w:t>hours than hygiene of the vessel. Due to</w:t>
      </w:r>
      <w:r w:rsidR="004C2857">
        <w:rPr>
          <w:rFonts w:asciiTheme="minorHAnsi" w:hAnsiTheme="minorHAnsi"/>
          <w:szCs w:val="22"/>
        </w:rPr>
        <w:t xml:space="preserve"> work health and safety </w:t>
      </w:r>
      <w:r w:rsidR="003E15C2">
        <w:rPr>
          <w:rFonts w:asciiTheme="minorHAnsi" w:hAnsiTheme="minorHAnsi"/>
          <w:szCs w:val="22"/>
        </w:rPr>
        <w:t xml:space="preserve">responsibilities of employers, and the detrimental effect of fatigue on inspectors, these would be valid considerations for the Department to take into account when deciding whether to approve a </w:t>
      </w:r>
      <w:r w:rsidR="006F0FD8">
        <w:rPr>
          <w:rFonts w:asciiTheme="minorHAnsi" w:hAnsiTheme="minorHAnsi"/>
          <w:szCs w:val="22"/>
        </w:rPr>
        <w:t>night-time</w:t>
      </w:r>
      <w:r w:rsidR="003E15C2">
        <w:rPr>
          <w:rFonts w:asciiTheme="minorHAnsi" w:hAnsiTheme="minorHAnsi"/>
          <w:szCs w:val="22"/>
        </w:rPr>
        <w:t xml:space="preserve"> inspection of a livestock carrier vessel. </w:t>
      </w:r>
    </w:p>
    <w:p w14:paraId="762C9421" w14:textId="609CA50E" w:rsidR="003E15C2" w:rsidRDefault="003E15C2" w:rsidP="00D93B4A">
      <w:pPr>
        <w:spacing w:before="240"/>
        <w:rPr>
          <w:rFonts w:asciiTheme="minorHAnsi" w:hAnsiTheme="minorHAnsi"/>
          <w:szCs w:val="22"/>
        </w:rPr>
      </w:pPr>
      <w:r>
        <w:rPr>
          <w:rFonts w:asciiTheme="minorHAnsi" w:hAnsiTheme="minorHAnsi"/>
          <w:szCs w:val="22"/>
        </w:rPr>
        <w:t xml:space="preserve">Further research to address the knowledge gaps is warranted to </w:t>
      </w:r>
      <w:r w:rsidR="00127095">
        <w:rPr>
          <w:rFonts w:asciiTheme="minorHAnsi" w:hAnsiTheme="minorHAnsi"/>
          <w:szCs w:val="22"/>
        </w:rPr>
        <w:t>support future decisions in this area.</w:t>
      </w:r>
      <w:r>
        <w:rPr>
          <w:rFonts w:asciiTheme="minorHAnsi" w:hAnsiTheme="minorHAnsi"/>
          <w:szCs w:val="22"/>
        </w:rPr>
        <w:t xml:space="preserve"> </w:t>
      </w:r>
    </w:p>
    <w:p w14:paraId="7BB00CBB" w14:textId="77777777" w:rsidR="00B433D8" w:rsidRDefault="00B433D8" w:rsidP="00D93B4A">
      <w:pPr>
        <w:spacing w:before="240"/>
        <w:rPr>
          <w:rFonts w:asciiTheme="minorHAnsi" w:hAnsiTheme="minorHAnsi"/>
          <w:szCs w:val="22"/>
        </w:rPr>
      </w:pPr>
    </w:p>
    <w:p w14:paraId="273BA81B" w14:textId="3529B4E5" w:rsidR="003E15C2" w:rsidRDefault="00A221B5" w:rsidP="009E67A9">
      <w:pPr>
        <w:pStyle w:val="Heading1"/>
        <w:numPr>
          <w:ilvl w:val="0"/>
          <w:numId w:val="0"/>
        </w:numPr>
        <w:ind w:left="432" w:hanging="432"/>
      </w:pPr>
      <w:bookmarkStart w:id="248" w:name="_Toc219290032"/>
      <w:bookmarkStart w:id="249" w:name="_Toc226796991"/>
      <w:r>
        <w:lastRenderedPageBreak/>
        <w:t>9</w:t>
      </w:r>
      <w:r w:rsidR="00DF1474">
        <w:t xml:space="preserve"> </w:t>
      </w:r>
      <w:r w:rsidR="00F44451">
        <w:tab/>
      </w:r>
      <w:r w:rsidR="003E15C2">
        <w:t>References</w:t>
      </w:r>
      <w:bookmarkEnd w:id="248"/>
      <w:bookmarkEnd w:id="249"/>
    </w:p>
    <w:p w14:paraId="696C2A56" w14:textId="77777777" w:rsidR="00660730" w:rsidRPr="00660730" w:rsidRDefault="003E15C2" w:rsidP="00660730">
      <w:pPr>
        <w:pStyle w:val="Bibliography"/>
        <w:rPr>
          <w:lang w:val="en-GB" w:eastAsia="en-AU"/>
        </w:rPr>
      </w:pPr>
      <w:r>
        <w:rPr>
          <w:rFonts w:eastAsia="Garamond" w:cs="Garamond"/>
          <w:color w:val="000000"/>
          <w:szCs w:val="22"/>
        </w:rPr>
        <w:fldChar w:fldCharType="begin"/>
      </w:r>
      <w:r w:rsidR="00B6407D">
        <w:rPr>
          <w:rFonts w:eastAsia="Garamond" w:cs="Garamond"/>
          <w:color w:val="000000"/>
          <w:szCs w:val="22"/>
        </w:rPr>
        <w:instrText xml:space="preserve"> ADDIN ZOTERO_BIBL {"uncited":[],"omitted":[],"custom":[]} CSL_BIBLIOGRAPHY </w:instrText>
      </w:r>
      <w:r>
        <w:rPr>
          <w:rFonts w:eastAsia="Garamond" w:cs="Garamond"/>
          <w:color w:val="000000"/>
          <w:szCs w:val="22"/>
        </w:rPr>
        <w:fldChar w:fldCharType="separate"/>
      </w:r>
      <w:r w:rsidR="00660730" w:rsidRPr="00660730">
        <w:rPr>
          <w:lang w:val="en-GB" w:eastAsia="en-AU"/>
        </w:rPr>
        <w:t xml:space="preserve">AHA (2020) </w:t>
      </w:r>
      <w:r w:rsidR="00660730" w:rsidRPr="00660730">
        <w:rPr>
          <w:i/>
          <w:iCs/>
          <w:lang w:val="en-GB" w:eastAsia="en-AU"/>
        </w:rPr>
        <w:t>A manual for the identification of Screw-worm Fly</w:t>
      </w:r>
      <w:r w:rsidR="00660730" w:rsidRPr="00660730">
        <w:rPr>
          <w:lang w:val="en-GB" w:eastAsia="en-AU"/>
        </w:rPr>
        <w:t>, 4th Edition, Animal Health Australia, Canberra.</w:t>
      </w:r>
    </w:p>
    <w:p w14:paraId="75A12046" w14:textId="77777777" w:rsidR="00660730" w:rsidRPr="00660730" w:rsidRDefault="00660730" w:rsidP="00660730">
      <w:pPr>
        <w:pStyle w:val="Bibliography"/>
        <w:rPr>
          <w:lang w:val="en-GB" w:eastAsia="en-AU"/>
        </w:rPr>
      </w:pPr>
      <w:r w:rsidRPr="00660730">
        <w:rPr>
          <w:lang w:val="en-GB" w:eastAsia="en-AU"/>
        </w:rPr>
        <w:t xml:space="preserve">ALE (2023) </w:t>
      </w:r>
      <w:r w:rsidRPr="00660730">
        <w:rPr>
          <w:i/>
          <w:iCs/>
          <w:lang w:val="en-GB" w:eastAsia="en-AU"/>
        </w:rPr>
        <w:t>Shipping capacity for livestock exports</w:t>
      </w:r>
      <w:r w:rsidRPr="00660730">
        <w:rPr>
          <w:lang w:val="en-GB" w:eastAsia="en-AU"/>
        </w:rPr>
        <w:t>, https://www.australiaslivestockexporters.com/shipping-australian-livestock.html, accessed 1 May 2023.</w:t>
      </w:r>
    </w:p>
    <w:p w14:paraId="41600102" w14:textId="77777777" w:rsidR="00660730" w:rsidRPr="00660730" w:rsidRDefault="00660730" w:rsidP="00660730">
      <w:pPr>
        <w:pStyle w:val="Bibliography"/>
        <w:rPr>
          <w:lang w:val="en-GB" w:eastAsia="en-AU"/>
        </w:rPr>
      </w:pPr>
      <w:r w:rsidRPr="00660730">
        <w:rPr>
          <w:lang w:val="en-GB" w:eastAsia="en-AU"/>
        </w:rPr>
        <w:t xml:space="preserve">Alimsijah PI, Ang CY and Han HS (2024) ‘Old World Screwworm myiasis: First report of auricular Chrysomya bezziana myiasis in a dog in Singapore’, </w:t>
      </w:r>
      <w:r w:rsidRPr="00660730">
        <w:rPr>
          <w:i/>
          <w:iCs/>
          <w:lang w:val="en-GB" w:eastAsia="en-AU"/>
        </w:rPr>
        <w:t>Veterinary Parasitology, Regional Studies and Reports</w:t>
      </w:r>
      <w:r w:rsidRPr="00660730">
        <w:rPr>
          <w:lang w:val="en-GB" w:eastAsia="en-AU"/>
        </w:rPr>
        <w:t>, 48:100991, doi:10.1016/j.vprsr.2024.100991.</w:t>
      </w:r>
    </w:p>
    <w:p w14:paraId="1B139301" w14:textId="77777777" w:rsidR="00660730" w:rsidRPr="00660730" w:rsidRDefault="00660730" w:rsidP="00660730">
      <w:pPr>
        <w:pStyle w:val="Bibliography"/>
        <w:rPr>
          <w:lang w:val="en-GB" w:eastAsia="en-AU"/>
        </w:rPr>
      </w:pPr>
      <w:r w:rsidRPr="00660730">
        <w:rPr>
          <w:lang w:val="en-GB" w:eastAsia="en-AU"/>
        </w:rPr>
        <w:t xml:space="preserve">AMSA (2019) </w:t>
      </w:r>
      <w:r w:rsidRPr="00660730">
        <w:rPr>
          <w:i/>
          <w:iCs/>
          <w:lang w:val="en-GB" w:eastAsia="en-AU"/>
        </w:rPr>
        <w:t>Marine Order 43 (Cargo and cargo handling — livestock) 2018</w:t>
      </w:r>
      <w:r w:rsidRPr="00660730">
        <w:rPr>
          <w:lang w:val="en-GB" w:eastAsia="en-AU"/>
        </w:rPr>
        <w:t>, Attorney-General’s Department, Canberra, ACT, https://www.legislation.gov.au/Details/F2019C00887/Html/Text, http://www.legislation.gov.au/Details/F2019C00887, accessed 12 April 2023.</w:t>
      </w:r>
    </w:p>
    <w:p w14:paraId="58FB48B5" w14:textId="3864DCA8" w:rsidR="00660730" w:rsidRPr="00660730" w:rsidRDefault="00DB0E30" w:rsidP="00660730">
      <w:pPr>
        <w:pStyle w:val="Bibliography"/>
        <w:rPr>
          <w:lang w:val="en-GB" w:eastAsia="en-AU"/>
        </w:rPr>
      </w:pPr>
      <w:r>
        <w:rPr>
          <w:lang w:val="en-GB" w:eastAsia="en-AU"/>
        </w:rPr>
        <w:t>AMSA</w:t>
      </w:r>
      <w:r w:rsidRPr="00660730">
        <w:rPr>
          <w:lang w:val="en-GB" w:eastAsia="en-AU"/>
        </w:rPr>
        <w:t xml:space="preserve"> </w:t>
      </w:r>
      <w:r w:rsidR="00660730" w:rsidRPr="00660730">
        <w:rPr>
          <w:lang w:val="en-GB" w:eastAsia="en-AU"/>
        </w:rPr>
        <w:t xml:space="preserve">(2022) </w:t>
      </w:r>
      <w:r w:rsidR="00660730" w:rsidRPr="00660730">
        <w:rPr>
          <w:i/>
          <w:iCs/>
          <w:lang w:val="en-GB" w:eastAsia="en-AU"/>
        </w:rPr>
        <w:t>Transporting livestock from Australia</w:t>
      </w:r>
      <w:r w:rsidR="00660730" w:rsidRPr="00660730">
        <w:rPr>
          <w:lang w:val="en-GB" w:eastAsia="en-AU"/>
        </w:rPr>
        <w:t xml:space="preserve">, </w:t>
      </w:r>
      <w:r w:rsidR="00660730" w:rsidRPr="00660730">
        <w:rPr>
          <w:i/>
          <w:iCs/>
          <w:lang w:val="en-GB" w:eastAsia="en-AU"/>
        </w:rPr>
        <w:t>Australian Maritime Safety Authority</w:t>
      </w:r>
      <w:r w:rsidR="00660730" w:rsidRPr="00660730">
        <w:rPr>
          <w:lang w:val="en-GB" w:eastAsia="en-AU"/>
        </w:rPr>
        <w:t>, https://www.amsa.gov.au/vessels-operators/cargoes-and-dangerous-goods/transporting-livestock-australia, accessed 14 April 2023.</w:t>
      </w:r>
    </w:p>
    <w:p w14:paraId="3B211C33" w14:textId="77777777" w:rsidR="00660730" w:rsidRPr="00660730" w:rsidRDefault="00660730" w:rsidP="00660730">
      <w:pPr>
        <w:pStyle w:val="Bibliography"/>
        <w:rPr>
          <w:lang w:val="en-GB" w:eastAsia="en-AU"/>
        </w:rPr>
      </w:pPr>
      <w:r w:rsidRPr="00660730">
        <w:rPr>
          <w:lang w:val="en-GB" w:eastAsia="en-AU"/>
        </w:rPr>
        <w:t>Animal Health Australia (2022) ‘AUSVETPLAN response strategy: foot-and-mouth disease’, https://animalhealthaustralia.com.au//wp-content/uploads/dlm_uploads/2022/12/AVP_FMD_v5.0_2022.pdf, accessed 5 April 2023.</w:t>
      </w:r>
    </w:p>
    <w:p w14:paraId="00439F35" w14:textId="77777777" w:rsidR="00660730" w:rsidRPr="00660730" w:rsidRDefault="00660730" w:rsidP="00660730">
      <w:pPr>
        <w:pStyle w:val="Bibliography"/>
        <w:rPr>
          <w:lang w:val="en-GB" w:eastAsia="en-AU"/>
        </w:rPr>
      </w:pPr>
      <w:r w:rsidRPr="00660730">
        <w:rPr>
          <w:lang w:val="en-GB" w:eastAsia="en-AU"/>
        </w:rPr>
        <w:t xml:space="preserve">Bartley LM, Donnelly CA and Anderson RM (2002) ‘Review of foot-and mouth disease virus survival in animal excretions and on fomites’, </w:t>
      </w:r>
      <w:r w:rsidRPr="00660730">
        <w:rPr>
          <w:i/>
          <w:iCs/>
          <w:lang w:val="en-GB" w:eastAsia="en-AU"/>
        </w:rPr>
        <w:t>Veterinary Record</w:t>
      </w:r>
      <w:r w:rsidRPr="00660730">
        <w:rPr>
          <w:lang w:val="en-GB" w:eastAsia="en-AU"/>
        </w:rPr>
        <w:t>, 151(22):667–669, doi:10.1136/vr.151.22.667.</w:t>
      </w:r>
    </w:p>
    <w:p w14:paraId="3D3F5D17" w14:textId="77777777" w:rsidR="00660730" w:rsidRPr="00660730" w:rsidRDefault="00660730" w:rsidP="00660730">
      <w:pPr>
        <w:pStyle w:val="Bibliography"/>
        <w:rPr>
          <w:lang w:val="en-GB" w:eastAsia="en-AU"/>
        </w:rPr>
      </w:pPr>
      <w:r w:rsidRPr="00660730">
        <w:rPr>
          <w:lang w:val="en-GB" w:eastAsia="en-AU"/>
        </w:rPr>
        <w:t xml:space="preserve">Bedson SP, Maitland HB and Burbury YM (1927) ‘Further Observations on Foot-and-Mouth Disease’, </w:t>
      </w:r>
      <w:r w:rsidRPr="00660730">
        <w:rPr>
          <w:i/>
          <w:iCs/>
          <w:lang w:val="en-GB" w:eastAsia="en-AU"/>
        </w:rPr>
        <w:t>Journal of Comparative Pathology and Therapeutics</w:t>
      </w:r>
      <w:r w:rsidRPr="00660730">
        <w:rPr>
          <w:lang w:val="en-GB" w:eastAsia="en-AU"/>
        </w:rPr>
        <w:t>, 40:5–36, doi:10.1016/S0368-1742(27)80002-0.</w:t>
      </w:r>
    </w:p>
    <w:p w14:paraId="42E314F9" w14:textId="77777777" w:rsidR="00660730" w:rsidRPr="00660730" w:rsidRDefault="00660730" w:rsidP="00660730">
      <w:pPr>
        <w:pStyle w:val="Bibliography"/>
        <w:rPr>
          <w:lang w:val="en-GB" w:eastAsia="en-AU"/>
        </w:rPr>
      </w:pPr>
      <w:r w:rsidRPr="00660730">
        <w:rPr>
          <w:lang w:val="en-GB" w:eastAsia="en-AU"/>
        </w:rPr>
        <w:t xml:space="preserve">Bex PJ, Solomon SG and Dakin SC (2009) ‘Contrast sensitivity in natural scenes depends on edge as well as spatial frequency structure’, </w:t>
      </w:r>
      <w:r w:rsidRPr="00660730">
        <w:rPr>
          <w:i/>
          <w:iCs/>
          <w:lang w:val="en-GB" w:eastAsia="en-AU"/>
        </w:rPr>
        <w:t>Journal of Vision</w:t>
      </w:r>
      <w:r w:rsidRPr="00660730">
        <w:rPr>
          <w:lang w:val="en-GB" w:eastAsia="en-AU"/>
        </w:rPr>
        <w:t>, 9(10):1, doi:10.1167/9.10.1.</w:t>
      </w:r>
    </w:p>
    <w:p w14:paraId="1CA85F9D" w14:textId="77777777" w:rsidR="00660730" w:rsidRPr="00660730" w:rsidRDefault="00660730" w:rsidP="00660730">
      <w:pPr>
        <w:pStyle w:val="Bibliography"/>
        <w:rPr>
          <w:lang w:val="en-GB" w:eastAsia="en-AU"/>
        </w:rPr>
      </w:pPr>
      <w:r w:rsidRPr="00660730">
        <w:rPr>
          <w:lang w:val="en-GB" w:eastAsia="en-AU"/>
        </w:rPr>
        <w:t xml:space="preserve">Bøtner A and Belsham GJ (2012) ‘Virus survival in slurry: Analysis of the stability of foot-and-mouth disease, classical swine fever, bovine viral diarrhoea and swine influenza viruses’, </w:t>
      </w:r>
      <w:r w:rsidRPr="00660730">
        <w:rPr>
          <w:i/>
          <w:iCs/>
          <w:lang w:val="en-GB" w:eastAsia="en-AU"/>
        </w:rPr>
        <w:t>Veterinary Microbiology</w:t>
      </w:r>
      <w:r w:rsidRPr="00660730">
        <w:rPr>
          <w:lang w:val="en-GB" w:eastAsia="en-AU"/>
        </w:rPr>
        <w:t>, 157(1–2):41–49, doi:10.1016/j.vetmic.2011.12.010.</w:t>
      </w:r>
    </w:p>
    <w:p w14:paraId="0268C4A2" w14:textId="77777777" w:rsidR="00660730" w:rsidRPr="00660730" w:rsidRDefault="00660730" w:rsidP="00660730">
      <w:pPr>
        <w:pStyle w:val="Bibliography"/>
        <w:rPr>
          <w:lang w:val="en-GB" w:eastAsia="en-AU"/>
        </w:rPr>
      </w:pPr>
      <w:r w:rsidRPr="00660730">
        <w:rPr>
          <w:lang w:val="en-GB" w:eastAsia="en-AU"/>
        </w:rPr>
        <w:t xml:space="preserve">Broadbent DE and Gregory M (1963) ‘Vigilance Considered as a Statistical Decision’, </w:t>
      </w:r>
      <w:r w:rsidRPr="00660730">
        <w:rPr>
          <w:i/>
          <w:iCs/>
          <w:lang w:val="en-GB" w:eastAsia="en-AU"/>
        </w:rPr>
        <w:t>British Journal of Psychology</w:t>
      </w:r>
      <w:r w:rsidRPr="00660730">
        <w:rPr>
          <w:lang w:val="en-GB" w:eastAsia="en-AU"/>
        </w:rPr>
        <w:t>, 54(4):309–323, doi:10.1111/j.2044-8295.1963.tb00886.x.</w:t>
      </w:r>
    </w:p>
    <w:p w14:paraId="084C2FFB" w14:textId="77777777" w:rsidR="00660730" w:rsidRPr="00660730" w:rsidRDefault="00660730" w:rsidP="00660730">
      <w:pPr>
        <w:pStyle w:val="Bibliography"/>
        <w:rPr>
          <w:lang w:val="en-GB" w:eastAsia="en-AU"/>
        </w:rPr>
      </w:pPr>
      <w:r w:rsidRPr="00660730">
        <w:rPr>
          <w:lang w:val="en-GB" w:eastAsia="en-AU"/>
        </w:rPr>
        <w:t xml:space="preserve">Brotas L and Wienold J (2014) ‘Solar reflected glare affecting visual performance’, in </w:t>
      </w:r>
      <w:r w:rsidRPr="00660730">
        <w:rPr>
          <w:i/>
          <w:iCs/>
          <w:lang w:val="en-GB" w:eastAsia="en-AU"/>
        </w:rPr>
        <w:t>Proceedings of 8th Windsor Conference: Counting the Cost of Comfort in a changing world</w:t>
      </w:r>
      <w:r w:rsidRPr="00660730">
        <w:rPr>
          <w:lang w:val="en-GB" w:eastAsia="en-AU"/>
        </w:rPr>
        <w:t xml:space="preserve">, </w:t>
      </w:r>
      <w:r w:rsidRPr="00660730">
        <w:rPr>
          <w:i/>
          <w:iCs/>
          <w:lang w:val="en-GB" w:eastAsia="en-AU"/>
        </w:rPr>
        <w:t>Windsor Conference</w:t>
      </w:r>
      <w:r w:rsidRPr="00660730">
        <w:rPr>
          <w:lang w:val="en-GB" w:eastAsia="en-AU"/>
        </w:rPr>
        <w:t>, Network for Comfort and Energy Use in Buildings, Cumberland Lodge, Windsor, UK, https://d1wqtxts1xzle7.cloudfront.net/79169686/W14154_Brotas-libre.pdf?1642693505=&amp;response-content-disposition=inline%3B+filename%3DSolar_reflected_glare_affecting_visual_p.pdf&amp;Expires=1767852478&amp;Signature=fhzlPiVeDxIScn1-pqcspoZZPb0ac40jlBn-WW3WzeKiTjoZ3yovTWGNqtUzdvjAPUp1yBz~QqKqRAK4Mbqq0yWeI7hMi4dq3iM12gOKUASugkHti-GpF-0d~-76alK9z7wvdEEZIWLuN2Nj4~dojsu2rRyE8G0YtMkID2fdZ-xWOkgxwZjPVwRUyAaADM-f-zwN7zx5zWlD0CGon8tTpm1BjoTFQm9Ze9RiGiZYTKj8Naz-ZSyFgplKER5i25Yd9AwfGTCD1iBJvWOyq9CBkDANRDW-0gSATaMaUcM9DdSXpuneuac-7yeUIEqSbGud3PI7cqj52BZKftW5~fefTA__&amp;Key-Pair-Id=APKAJLOHF5GGSLRBV4ZA, accessed 8 January 2026.</w:t>
      </w:r>
    </w:p>
    <w:p w14:paraId="6DD95B58" w14:textId="77777777" w:rsidR="00660730" w:rsidRPr="00660730" w:rsidRDefault="00660730" w:rsidP="00660730">
      <w:pPr>
        <w:pStyle w:val="Bibliography"/>
        <w:rPr>
          <w:lang w:val="en-GB" w:eastAsia="en-AU"/>
        </w:rPr>
      </w:pPr>
      <w:r w:rsidRPr="00660730">
        <w:rPr>
          <w:lang w:val="en-GB" w:eastAsia="en-AU"/>
        </w:rPr>
        <w:lastRenderedPageBreak/>
        <w:t xml:space="preserve">Chihota CM, Rennie LF, Kitching RP and Mellor PS (2001) ‘Mechanical transmission of lumpy skin disease virus by </w:t>
      </w:r>
      <w:r w:rsidRPr="00660730">
        <w:rPr>
          <w:i/>
          <w:iCs/>
          <w:lang w:val="en-GB" w:eastAsia="en-AU"/>
        </w:rPr>
        <w:t>Aedes aegypti</w:t>
      </w:r>
      <w:r w:rsidRPr="00660730">
        <w:rPr>
          <w:lang w:val="en-GB" w:eastAsia="en-AU"/>
        </w:rPr>
        <w:t xml:space="preserve"> (Diptera: Culicidae)’, </w:t>
      </w:r>
      <w:r w:rsidRPr="00660730">
        <w:rPr>
          <w:i/>
          <w:iCs/>
          <w:lang w:val="en-GB" w:eastAsia="en-AU"/>
        </w:rPr>
        <w:t>Epidemiology and Infection</w:t>
      </w:r>
      <w:r w:rsidRPr="00660730">
        <w:rPr>
          <w:lang w:val="en-GB" w:eastAsia="en-AU"/>
        </w:rPr>
        <w:t>, 126(2):317–321, doi:10.1017/S0950268801005179.</w:t>
      </w:r>
    </w:p>
    <w:p w14:paraId="4692216A" w14:textId="77777777" w:rsidR="00660730" w:rsidRPr="00660730" w:rsidRDefault="00660730" w:rsidP="00660730">
      <w:pPr>
        <w:pStyle w:val="Bibliography"/>
        <w:rPr>
          <w:lang w:val="en-GB" w:eastAsia="en-AU"/>
        </w:rPr>
      </w:pPr>
      <w:r w:rsidRPr="00660730">
        <w:rPr>
          <w:lang w:val="en-GB" w:eastAsia="en-AU"/>
        </w:rPr>
        <w:t xml:space="preserve">Csathó Á, Van Der Linden D, Hernádi I, Buzás P and Kalmár G (2012) ‘Effects of mental fatigue on the capacity limits of visual attention’, </w:t>
      </w:r>
      <w:r w:rsidRPr="00660730">
        <w:rPr>
          <w:i/>
          <w:iCs/>
          <w:lang w:val="en-GB" w:eastAsia="en-AU"/>
        </w:rPr>
        <w:t>Journal of Cognitive Psychology</w:t>
      </w:r>
      <w:r w:rsidRPr="00660730">
        <w:rPr>
          <w:lang w:val="en-GB" w:eastAsia="en-AU"/>
        </w:rPr>
        <w:t>, 24(5):511–524, doi:10.1080/20445911.2012.658039.</w:t>
      </w:r>
    </w:p>
    <w:p w14:paraId="6F18C3FC" w14:textId="77777777" w:rsidR="00660730" w:rsidRPr="00660730" w:rsidRDefault="00660730" w:rsidP="00660730">
      <w:pPr>
        <w:pStyle w:val="Bibliography"/>
        <w:rPr>
          <w:lang w:val="en-GB" w:eastAsia="en-AU"/>
        </w:rPr>
      </w:pPr>
      <w:r w:rsidRPr="00660730">
        <w:rPr>
          <w:lang w:val="en-GB" w:eastAsia="en-AU"/>
        </w:rPr>
        <w:t xml:space="preserve">DAFF (2022a) </w:t>
      </w:r>
      <w:r w:rsidRPr="00660730">
        <w:rPr>
          <w:i/>
          <w:iCs/>
          <w:lang w:val="en-GB" w:eastAsia="en-AU"/>
        </w:rPr>
        <w:t>Undertaking a livestock vessel inspection</w:t>
      </w:r>
      <w:r w:rsidRPr="00660730">
        <w:rPr>
          <w:lang w:val="en-GB" w:eastAsia="en-AU"/>
        </w:rPr>
        <w:t>, Department of Agriculture, Forestry and Fisheries, Canberra.</w:t>
      </w:r>
    </w:p>
    <w:p w14:paraId="24238AA4" w14:textId="7FD5374A" w:rsidR="00660730" w:rsidRPr="00660730" w:rsidRDefault="00EE2F27" w:rsidP="00660730">
      <w:pPr>
        <w:pStyle w:val="Bibliography"/>
        <w:rPr>
          <w:lang w:val="en-GB" w:eastAsia="en-AU"/>
        </w:rPr>
      </w:pPr>
      <w:r>
        <w:rPr>
          <w:lang w:val="en-GB" w:eastAsia="en-AU"/>
        </w:rPr>
        <w:t>DAFF</w:t>
      </w:r>
      <w:r w:rsidRPr="00660730">
        <w:rPr>
          <w:lang w:val="en-GB" w:eastAsia="en-AU"/>
        </w:rPr>
        <w:t xml:space="preserve"> </w:t>
      </w:r>
      <w:r w:rsidR="00660730" w:rsidRPr="00660730">
        <w:rPr>
          <w:lang w:val="en-GB" w:eastAsia="en-AU"/>
        </w:rPr>
        <w:t xml:space="preserve">(2022b) </w:t>
      </w:r>
      <w:r w:rsidR="00660730" w:rsidRPr="00660730">
        <w:rPr>
          <w:i/>
          <w:iCs/>
          <w:lang w:val="en-GB" w:eastAsia="en-AU"/>
        </w:rPr>
        <w:t xml:space="preserve">Check cargo, containers and vessels for pests - </w:t>
      </w:r>
      <w:r w:rsidRPr="00761D24">
        <w:rPr>
          <w:lang w:val="en-GB" w:eastAsia="en-AU"/>
        </w:rPr>
        <w:t>Department of Agriculture, Fisheries and Forestry</w:t>
      </w:r>
      <w:r w:rsidR="00660730" w:rsidRPr="00660730">
        <w:rPr>
          <w:lang w:val="en-GB" w:eastAsia="en-AU"/>
        </w:rPr>
        <w:t>, https://www.agriculture.gov.au/biosecurity-trade/import/arrival/pests, accessed 24 November 2025.</w:t>
      </w:r>
    </w:p>
    <w:p w14:paraId="028A853B" w14:textId="586B7A15" w:rsidR="00660730" w:rsidRPr="00660730" w:rsidRDefault="00EE2F27" w:rsidP="00660730">
      <w:pPr>
        <w:pStyle w:val="Bibliography"/>
        <w:rPr>
          <w:lang w:val="en-GB" w:eastAsia="en-AU"/>
        </w:rPr>
      </w:pPr>
      <w:r>
        <w:rPr>
          <w:lang w:val="en-GB" w:eastAsia="en-AU"/>
        </w:rPr>
        <w:t>BICON</w:t>
      </w:r>
      <w:r w:rsidRPr="00660730">
        <w:rPr>
          <w:lang w:val="en-GB" w:eastAsia="en-AU"/>
        </w:rPr>
        <w:t xml:space="preserve"> </w:t>
      </w:r>
      <w:r w:rsidR="00660730" w:rsidRPr="00660730">
        <w:rPr>
          <w:lang w:val="en-GB" w:eastAsia="en-AU"/>
        </w:rPr>
        <w:t xml:space="preserve">(2023) </w:t>
      </w:r>
      <w:r w:rsidRPr="00761D24">
        <w:rPr>
          <w:i/>
          <w:iCs/>
          <w:lang w:val="en-GB" w:eastAsia="en-AU"/>
        </w:rPr>
        <w:t>Australian</w:t>
      </w:r>
      <w:r>
        <w:rPr>
          <w:lang w:val="en-GB" w:eastAsia="en-AU"/>
        </w:rPr>
        <w:t xml:space="preserve"> </w:t>
      </w:r>
      <w:r>
        <w:rPr>
          <w:i/>
          <w:iCs/>
          <w:lang w:val="en-GB" w:eastAsia="en-AU"/>
        </w:rPr>
        <w:t>Biosecurity Import Conditions and Food Safety Requirements</w:t>
      </w:r>
      <w:r w:rsidRPr="00660730">
        <w:rPr>
          <w:i/>
          <w:iCs/>
          <w:lang w:val="en-GB" w:eastAsia="en-AU"/>
        </w:rPr>
        <w:t xml:space="preserve"> </w:t>
      </w:r>
      <w:r w:rsidR="00660730" w:rsidRPr="00660730">
        <w:rPr>
          <w:i/>
          <w:iCs/>
          <w:lang w:val="en-GB" w:eastAsia="en-AU"/>
        </w:rPr>
        <w:t>- Import Conditions - Conditions</w:t>
      </w:r>
      <w:r w:rsidR="00660730" w:rsidRPr="00660730">
        <w:rPr>
          <w:lang w:val="en-GB" w:eastAsia="en-AU"/>
        </w:rPr>
        <w:t>, https://bicon.agriculture.gov.au/BiconWeb4.0/ImportConditions/Conditions?EvaluatableElementId=718623&amp;Path=UNDEFINED&amp;UserContext=External&amp;EvaluationStateId=93c01821-e269-4aae-81a3-9f17ac3bcc6c&amp;CaseElementPk=2070855&amp;EvaluationPhase=ImportDefinition&amp;HasAlerts=True&amp;HasChangeNotices=False&amp;IsAEP=False, accessed 20 April 2023.</w:t>
      </w:r>
    </w:p>
    <w:p w14:paraId="1725DF22" w14:textId="1F50AB53" w:rsidR="00660730" w:rsidRPr="00660730" w:rsidRDefault="00EE2F27" w:rsidP="00660730">
      <w:pPr>
        <w:pStyle w:val="Bibliography"/>
        <w:rPr>
          <w:lang w:val="en-GB" w:eastAsia="en-AU"/>
        </w:rPr>
      </w:pPr>
      <w:r>
        <w:rPr>
          <w:lang w:val="en-GB" w:eastAsia="en-AU"/>
        </w:rPr>
        <w:t xml:space="preserve">DAFF </w:t>
      </w:r>
      <w:r w:rsidR="00660730" w:rsidRPr="00660730">
        <w:rPr>
          <w:lang w:val="en-GB" w:eastAsia="en-AU"/>
        </w:rPr>
        <w:t xml:space="preserve">(2025a) </w:t>
      </w:r>
      <w:r w:rsidR="00660730" w:rsidRPr="00660730">
        <w:rPr>
          <w:i/>
          <w:iCs/>
          <w:lang w:val="en-GB" w:eastAsia="en-AU"/>
        </w:rPr>
        <w:t xml:space="preserve">Vessel Pratique - </w:t>
      </w:r>
      <w:r w:rsidRPr="00761D24">
        <w:rPr>
          <w:lang w:val="en-GB" w:eastAsia="en-AU"/>
        </w:rPr>
        <w:t>Department of Agriculture, Fisheries and Forestry</w:t>
      </w:r>
      <w:r w:rsidR="00660730" w:rsidRPr="00660730">
        <w:rPr>
          <w:lang w:val="en-GB" w:eastAsia="en-AU"/>
        </w:rPr>
        <w:t>, https://www.agriculture.gov.au/biosecurity-trade/aircraft-vessels-military/vessels/vessel-pratique, accessed 21 November 2025.</w:t>
      </w:r>
    </w:p>
    <w:p w14:paraId="22EDE5C3" w14:textId="68054C8C" w:rsidR="00660730" w:rsidRPr="00660730" w:rsidRDefault="00EE2F27" w:rsidP="00660730">
      <w:pPr>
        <w:pStyle w:val="Bibliography"/>
        <w:rPr>
          <w:lang w:val="en-GB" w:eastAsia="en-AU"/>
        </w:rPr>
      </w:pPr>
      <w:r>
        <w:rPr>
          <w:lang w:val="en-GB" w:eastAsia="en-AU"/>
        </w:rPr>
        <w:t>DAFF</w:t>
      </w:r>
      <w:r w:rsidRPr="00660730">
        <w:rPr>
          <w:lang w:val="en-GB" w:eastAsia="en-AU"/>
        </w:rPr>
        <w:t xml:space="preserve"> </w:t>
      </w:r>
      <w:r w:rsidR="00660730" w:rsidRPr="00660730">
        <w:rPr>
          <w:lang w:val="en-GB" w:eastAsia="en-AU"/>
        </w:rPr>
        <w:t xml:space="preserve">(2025b) </w:t>
      </w:r>
      <w:r w:rsidR="00660730" w:rsidRPr="00660730">
        <w:rPr>
          <w:i/>
          <w:iCs/>
          <w:lang w:val="en-GB" w:eastAsia="en-AU"/>
        </w:rPr>
        <w:t xml:space="preserve">Vessels - </w:t>
      </w:r>
      <w:r w:rsidRPr="00761D24">
        <w:rPr>
          <w:lang w:val="en-GB" w:eastAsia="en-AU"/>
        </w:rPr>
        <w:t>Department of Agriculture, Fisheries and Forestry</w:t>
      </w:r>
      <w:r w:rsidR="00660730" w:rsidRPr="00EE2F27">
        <w:rPr>
          <w:lang w:val="en-GB" w:eastAsia="en-AU"/>
        </w:rPr>
        <w:t>,</w:t>
      </w:r>
      <w:r w:rsidR="00660730" w:rsidRPr="00660730">
        <w:rPr>
          <w:lang w:val="en-GB" w:eastAsia="en-AU"/>
        </w:rPr>
        <w:t xml:space="preserve"> https://www.agriculture.gov.au/biosecurity-trade/aircraft-vessels-military/vessels, accessed 19 January 2026.</w:t>
      </w:r>
    </w:p>
    <w:p w14:paraId="1B941C1F" w14:textId="46FA4002" w:rsidR="00660730" w:rsidRPr="00660730" w:rsidRDefault="00EE2F27" w:rsidP="00660730">
      <w:pPr>
        <w:pStyle w:val="Bibliography"/>
        <w:rPr>
          <w:lang w:val="en-GB" w:eastAsia="en-AU"/>
        </w:rPr>
      </w:pPr>
      <w:r>
        <w:rPr>
          <w:lang w:val="en-GB" w:eastAsia="en-AU"/>
        </w:rPr>
        <w:t>DAFF</w:t>
      </w:r>
      <w:r w:rsidRPr="00660730">
        <w:rPr>
          <w:lang w:val="en-GB" w:eastAsia="en-AU"/>
        </w:rPr>
        <w:t xml:space="preserve"> </w:t>
      </w:r>
      <w:r w:rsidR="00660730" w:rsidRPr="00660730">
        <w:rPr>
          <w:lang w:val="en-GB" w:eastAsia="en-AU"/>
        </w:rPr>
        <w:t xml:space="preserve">(2025c) </w:t>
      </w:r>
      <w:r w:rsidR="00660730" w:rsidRPr="00660730">
        <w:rPr>
          <w:i/>
          <w:iCs/>
          <w:lang w:val="en-GB" w:eastAsia="en-AU"/>
        </w:rPr>
        <w:t>Commercial vessel biosecurity reporting -</w:t>
      </w:r>
      <w:r w:rsidRPr="00EE2F27">
        <w:rPr>
          <w:i/>
          <w:iCs/>
          <w:lang w:val="en-GB" w:eastAsia="en-AU"/>
        </w:rPr>
        <w:t xml:space="preserve"> </w:t>
      </w:r>
      <w:r w:rsidRPr="00761D24">
        <w:rPr>
          <w:lang w:val="en-GB" w:eastAsia="en-AU"/>
        </w:rPr>
        <w:t>Department of Agriculture, Fisheries and Forestry</w:t>
      </w:r>
      <w:r w:rsidR="00660730" w:rsidRPr="00EE2F27">
        <w:rPr>
          <w:lang w:val="en-GB" w:eastAsia="en-AU"/>
        </w:rPr>
        <w:t>,</w:t>
      </w:r>
      <w:r w:rsidR="00660730" w:rsidRPr="00660730">
        <w:rPr>
          <w:lang w:val="en-GB" w:eastAsia="en-AU"/>
        </w:rPr>
        <w:t xml:space="preserve"> https://www.agriculture.gov.au/biosecurity-trade/aircraft-vessels-military/vessels/commercial-vessels, accessed 19 January 2026.</w:t>
      </w:r>
    </w:p>
    <w:p w14:paraId="1C07802B" w14:textId="77777777" w:rsidR="00660730" w:rsidRPr="00660730" w:rsidRDefault="00660730" w:rsidP="00660730">
      <w:pPr>
        <w:pStyle w:val="Bibliography"/>
        <w:rPr>
          <w:lang w:val="en-GB" w:eastAsia="en-AU"/>
        </w:rPr>
      </w:pPr>
      <w:r w:rsidRPr="00660730">
        <w:rPr>
          <w:lang w:val="en-GB" w:eastAsia="en-AU"/>
        </w:rPr>
        <w:t xml:space="preserve">DAWE (2021) </w:t>
      </w:r>
      <w:r w:rsidRPr="00660730">
        <w:rPr>
          <w:i/>
          <w:iCs/>
          <w:lang w:val="en-GB" w:eastAsia="en-AU"/>
        </w:rPr>
        <w:t>Australian Standards for the Export of Livestock 3.2</w:t>
      </w:r>
      <w:r w:rsidRPr="00660730">
        <w:rPr>
          <w:lang w:val="en-GB" w:eastAsia="en-AU"/>
        </w:rPr>
        <w:t>, Department of Agriculture, Water and the Environment, Canberra, Australia.</w:t>
      </w:r>
    </w:p>
    <w:p w14:paraId="66CCC038" w14:textId="77777777" w:rsidR="00660730" w:rsidRPr="00660730" w:rsidRDefault="00660730" w:rsidP="00660730">
      <w:pPr>
        <w:pStyle w:val="Bibliography"/>
        <w:rPr>
          <w:lang w:val="en-GB" w:eastAsia="en-AU"/>
        </w:rPr>
      </w:pPr>
      <w:r w:rsidRPr="00660730">
        <w:rPr>
          <w:lang w:val="en-GB" w:eastAsia="en-AU"/>
        </w:rPr>
        <w:t xml:space="preserve">Esfandi K, Afsar S, Richards K, Hedderley D, Brown SDJ, Najar-Rodriguez A and Ormsby M (2024) ‘Determining the efficacy of visual inspections at detecting non-biosecurity–compliant goods’, </w:t>
      </w:r>
      <w:r w:rsidRPr="00660730">
        <w:rPr>
          <w:i/>
          <w:iCs/>
          <w:lang w:val="en-GB" w:eastAsia="en-AU"/>
        </w:rPr>
        <w:t>Journal of Vision</w:t>
      </w:r>
      <w:r w:rsidRPr="00660730">
        <w:rPr>
          <w:lang w:val="en-GB" w:eastAsia="en-AU"/>
        </w:rPr>
        <w:t>, 24(8):8, doi:10.1167/jov.24.8.8.</w:t>
      </w:r>
    </w:p>
    <w:p w14:paraId="57F712F0" w14:textId="77777777" w:rsidR="00660730" w:rsidRPr="00660730" w:rsidRDefault="00660730" w:rsidP="00660730">
      <w:pPr>
        <w:pStyle w:val="Bibliography"/>
        <w:rPr>
          <w:lang w:val="en-GB" w:eastAsia="en-AU"/>
        </w:rPr>
      </w:pPr>
      <w:r w:rsidRPr="00660730">
        <w:rPr>
          <w:lang w:val="en-GB" w:eastAsia="en-AU"/>
        </w:rPr>
        <w:t xml:space="preserve">Flynn-Evans EE, Tyson TL, Costedoat G, Pradhan S and Stone LS (2026) ‘Chronic sleep restriction induces oculomotor impairment with inadequate compensation’, </w:t>
      </w:r>
      <w:r w:rsidRPr="00660730">
        <w:rPr>
          <w:i/>
          <w:iCs/>
          <w:lang w:val="en-GB" w:eastAsia="en-AU"/>
        </w:rPr>
        <w:t>Sleep Advances: A Journal of the Sleep Research Society</w:t>
      </w:r>
      <w:r w:rsidRPr="00660730">
        <w:rPr>
          <w:lang w:val="en-GB" w:eastAsia="en-AU"/>
        </w:rPr>
        <w:t>, 7(1):zpaf095, doi:10.1093/sleepadvances/zpaf095.</w:t>
      </w:r>
    </w:p>
    <w:p w14:paraId="3C9E5EEC" w14:textId="77777777" w:rsidR="00660730" w:rsidRPr="00660730" w:rsidRDefault="00660730" w:rsidP="00660730">
      <w:pPr>
        <w:pStyle w:val="Bibliography"/>
        <w:rPr>
          <w:lang w:val="en-GB" w:eastAsia="en-AU"/>
        </w:rPr>
      </w:pPr>
      <w:r w:rsidRPr="00660730">
        <w:rPr>
          <w:lang w:val="en-GB" w:eastAsia="en-AU"/>
        </w:rPr>
        <w:t xml:space="preserve">Fransson PA, Patel M, Magnusson M, Berg S, Almbladh P and Gomez S (2008) ‘Effects of 24-hour and 36-hour sleep deprivation on smooth pursuit and saccadic eye movements’, </w:t>
      </w:r>
      <w:r w:rsidRPr="00660730">
        <w:rPr>
          <w:i/>
          <w:iCs/>
          <w:lang w:val="en-GB" w:eastAsia="en-AU"/>
        </w:rPr>
        <w:t>Journal of Vestibular Research</w:t>
      </w:r>
      <w:r w:rsidRPr="00660730">
        <w:rPr>
          <w:lang w:val="en-GB" w:eastAsia="en-AU"/>
        </w:rPr>
        <w:t>, 18(4):209–222, doi:10.3233/VES-2008-18404.</w:t>
      </w:r>
    </w:p>
    <w:p w14:paraId="22AC667E" w14:textId="77777777" w:rsidR="00660730" w:rsidRPr="00660730" w:rsidRDefault="00660730" w:rsidP="00660730">
      <w:pPr>
        <w:pStyle w:val="Bibliography"/>
        <w:rPr>
          <w:lang w:val="en-GB" w:eastAsia="en-AU"/>
        </w:rPr>
      </w:pPr>
      <w:r w:rsidRPr="00660730">
        <w:rPr>
          <w:lang w:val="en-GB" w:eastAsia="en-AU"/>
        </w:rPr>
        <w:t xml:space="preserve">Gailiunas P, Cottral GE and Scott FW (1969) ‘Survival of foot-and-mouth disease virus on meat packaging materials’, </w:t>
      </w:r>
      <w:r w:rsidRPr="00660730">
        <w:rPr>
          <w:i/>
          <w:iCs/>
          <w:lang w:val="en-GB" w:eastAsia="en-AU"/>
        </w:rPr>
        <w:t>Proceedings, Annual Meeting of the United States Animal Health Association</w:t>
      </w:r>
      <w:r w:rsidRPr="00660730">
        <w:rPr>
          <w:lang w:val="en-GB" w:eastAsia="en-AU"/>
        </w:rPr>
        <w:t>, 73:425–436.</w:t>
      </w:r>
    </w:p>
    <w:p w14:paraId="4AE4B2AF" w14:textId="77777777" w:rsidR="00660730" w:rsidRPr="00660730" w:rsidRDefault="00660730" w:rsidP="00660730">
      <w:pPr>
        <w:pStyle w:val="Bibliography"/>
        <w:rPr>
          <w:lang w:val="en-GB" w:eastAsia="en-AU"/>
        </w:rPr>
      </w:pPr>
      <w:r w:rsidRPr="00660730">
        <w:rPr>
          <w:lang w:val="en-GB" w:eastAsia="en-AU"/>
        </w:rPr>
        <w:t xml:space="preserve">Hall RN, Torpy JR, Nye R, Zalcman E and Cowled BD (2023) ‘A quantitative risk assessment for the incursion of lumpy skin disease virus into Australia via long-distance windborne dispersal of arthropod vectors’, </w:t>
      </w:r>
      <w:r w:rsidRPr="00660730">
        <w:rPr>
          <w:i/>
          <w:iCs/>
          <w:lang w:val="en-GB" w:eastAsia="en-AU"/>
        </w:rPr>
        <w:t>Preventive Veterinary Medicine</w:t>
      </w:r>
      <w:r w:rsidRPr="00660730">
        <w:rPr>
          <w:lang w:val="en-GB" w:eastAsia="en-AU"/>
        </w:rPr>
        <w:t>, 218:105990, doi:10.1016/j.prevetmed.2023.105990.</w:t>
      </w:r>
    </w:p>
    <w:p w14:paraId="42A7C548" w14:textId="77777777" w:rsidR="00660730" w:rsidRPr="00660730" w:rsidRDefault="00660730" w:rsidP="00660730">
      <w:pPr>
        <w:pStyle w:val="Bibliography"/>
        <w:rPr>
          <w:lang w:val="en-GB" w:eastAsia="en-AU"/>
        </w:rPr>
      </w:pPr>
      <w:r w:rsidRPr="00660730">
        <w:rPr>
          <w:lang w:val="en-GB" w:eastAsia="en-AU"/>
        </w:rPr>
        <w:lastRenderedPageBreak/>
        <w:t xml:space="preserve">Hamedani Z, Solgi E, Hine T, Skates H and Et. A (2020) ‘Lighting for work: A study of the relationships among discomfort glare, physiological responses and visual performance’, </w:t>
      </w:r>
      <w:r w:rsidRPr="00660730">
        <w:rPr>
          <w:i/>
          <w:iCs/>
          <w:lang w:val="en-GB" w:eastAsia="en-AU"/>
        </w:rPr>
        <w:t>Building and Environment</w:t>
      </w:r>
      <w:r w:rsidRPr="00660730">
        <w:rPr>
          <w:lang w:val="en-GB" w:eastAsia="en-AU"/>
        </w:rPr>
        <w:t>, doi:10.1016/j.buildenv.2019.106478.</w:t>
      </w:r>
    </w:p>
    <w:p w14:paraId="39482F9A" w14:textId="77777777" w:rsidR="00660730" w:rsidRPr="00660730" w:rsidRDefault="00660730" w:rsidP="00660730">
      <w:pPr>
        <w:pStyle w:val="Bibliography"/>
        <w:rPr>
          <w:lang w:val="en-GB" w:eastAsia="en-AU"/>
        </w:rPr>
      </w:pPr>
      <w:r w:rsidRPr="00660730">
        <w:rPr>
          <w:lang w:val="en-GB" w:eastAsia="en-AU"/>
        </w:rPr>
        <w:t xml:space="preserve">Harrison Y and Horne JA (2000) ‘The impact of sleep deprivation on decision making: a review’, </w:t>
      </w:r>
      <w:r w:rsidRPr="00660730">
        <w:rPr>
          <w:i/>
          <w:iCs/>
          <w:lang w:val="en-GB" w:eastAsia="en-AU"/>
        </w:rPr>
        <w:t>Journal of Experimental Psychology. Applied</w:t>
      </w:r>
      <w:r w:rsidRPr="00660730">
        <w:rPr>
          <w:lang w:val="en-GB" w:eastAsia="en-AU"/>
        </w:rPr>
        <w:t>, 6(3):236–249, doi:10.1037//1076-898x.6.3.236.</w:t>
      </w:r>
    </w:p>
    <w:p w14:paraId="2156F59F" w14:textId="77777777" w:rsidR="00660730" w:rsidRPr="00660730" w:rsidRDefault="00660730" w:rsidP="00660730">
      <w:pPr>
        <w:pStyle w:val="Bibliography"/>
        <w:rPr>
          <w:lang w:val="en-GB" w:eastAsia="en-AU"/>
        </w:rPr>
      </w:pPr>
      <w:r w:rsidRPr="00660730">
        <w:rPr>
          <w:lang w:val="en-GB" w:eastAsia="en-AU"/>
        </w:rPr>
        <w:t xml:space="preserve">Hecht S, Haig C and Chase AM (1937) ‘The influence of light adaptation on subsequent dark adaptation of the eye’, </w:t>
      </w:r>
      <w:r w:rsidRPr="00660730">
        <w:rPr>
          <w:i/>
          <w:iCs/>
          <w:lang w:val="en-GB" w:eastAsia="en-AU"/>
        </w:rPr>
        <w:t>The Journal of General Physiology</w:t>
      </w:r>
      <w:r w:rsidRPr="00660730">
        <w:rPr>
          <w:lang w:val="en-GB" w:eastAsia="en-AU"/>
        </w:rPr>
        <w:t>, 20(6):831–850, doi:10.1085/jgp.20.6.831.</w:t>
      </w:r>
    </w:p>
    <w:p w14:paraId="2019A3F7" w14:textId="77777777" w:rsidR="00660730" w:rsidRPr="00660730" w:rsidRDefault="00660730" w:rsidP="00660730">
      <w:pPr>
        <w:pStyle w:val="Bibliography"/>
        <w:rPr>
          <w:lang w:val="en-GB" w:eastAsia="en-AU"/>
        </w:rPr>
      </w:pPr>
      <w:r w:rsidRPr="00660730">
        <w:rPr>
          <w:lang w:val="en-GB" w:eastAsia="en-AU"/>
        </w:rPr>
        <w:t xml:space="preserve">Inzecto (2023) </w:t>
      </w:r>
      <w:r w:rsidRPr="00660730">
        <w:rPr>
          <w:i/>
          <w:iCs/>
          <w:lang w:val="en-GB" w:eastAsia="en-AU"/>
        </w:rPr>
        <w:t>Learn About Mosquito Biology, Life Cycle and Habitats</w:t>
      </w:r>
      <w:r w:rsidRPr="00660730">
        <w:rPr>
          <w:lang w:val="en-GB" w:eastAsia="en-AU"/>
        </w:rPr>
        <w:t xml:space="preserve">, </w:t>
      </w:r>
      <w:r w:rsidRPr="00660730">
        <w:rPr>
          <w:i/>
          <w:iCs/>
          <w:lang w:val="en-GB" w:eastAsia="en-AU"/>
        </w:rPr>
        <w:t>INZECTO</w:t>
      </w:r>
      <w:r w:rsidRPr="00660730">
        <w:rPr>
          <w:lang w:val="en-GB" w:eastAsia="en-AU"/>
        </w:rPr>
        <w:t>, https://inzecto.com/post/learn-about-mosquito-biology-life-cycle-and-habitats/, accessed 8 December 2025.</w:t>
      </w:r>
    </w:p>
    <w:p w14:paraId="12B3EDFC" w14:textId="77777777" w:rsidR="00660730" w:rsidRPr="00660730" w:rsidRDefault="00660730" w:rsidP="00660730">
      <w:pPr>
        <w:pStyle w:val="Bibliography"/>
        <w:rPr>
          <w:lang w:val="en-GB" w:eastAsia="en-AU"/>
        </w:rPr>
      </w:pPr>
      <w:r w:rsidRPr="00660730">
        <w:rPr>
          <w:lang w:val="en-GB" w:eastAsia="en-AU"/>
        </w:rPr>
        <w:t xml:space="preserve">Jiang X, Ren Z, Hai X, Zhang L, Wang Z and Lyu F (2023) ‘Exposure to artificial light at night mediates the locomotion activity and oviposition capacity of </w:t>
      </w:r>
      <w:r w:rsidRPr="00660730">
        <w:rPr>
          <w:i/>
          <w:iCs/>
          <w:lang w:val="en-GB" w:eastAsia="en-AU"/>
        </w:rPr>
        <w:t>Dastarcus helophoroides</w:t>
      </w:r>
      <w:r w:rsidRPr="00660730">
        <w:rPr>
          <w:lang w:val="en-GB" w:eastAsia="en-AU"/>
        </w:rPr>
        <w:t xml:space="preserve"> (Fairmaire)’, </w:t>
      </w:r>
      <w:r w:rsidRPr="00660730">
        <w:rPr>
          <w:i/>
          <w:iCs/>
          <w:lang w:val="en-GB" w:eastAsia="en-AU"/>
        </w:rPr>
        <w:t>Frontiers in Physiology</w:t>
      </w:r>
      <w:r w:rsidRPr="00660730">
        <w:rPr>
          <w:lang w:val="en-GB" w:eastAsia="en-AU"/>
        </w:rPr>
        <w:t>, 14, doi:10.3389/fphys.2023.1063601.</w:t>
      </w:r>
    </w:p>
    <w:p w14:paraId="1BBD9951" w14:textId="77777777" w:rsidR="00660730" w:rsidRPr="00660730" w:rsidRDefault="00660730" w:rsidP="00660730">
      <w:pPr>
        <w:pStyle w:val="Bibliography"/>
        <w:rPr>
          <w:lang w:val="en-GB" w:eastAsia="en-AU"/>
        </w:rPr>
      </w:pPr>
      <w:r w:rsidRPr="00660730">
        <w:rPr>
          <w:lang w:val="en-GB" w:eastAsia="en-AU"/>
        </w:rPr>
        <w:t xml:space="preserve">Khan D, Edgell H, Rotondi M and Tamim H (2023) ‘The association between shift work exposure and cognitive impairment among middle-aged and older adults: Results from the Canadian Longitudinal Study on Aging (CLSA)’, </w:t>
      </w:r>
      <w:r w:rsidRPr="00660730">
        <w:rPr>
          <w:i/>
          <w:iCs/>
          <w:lang w:val="en-GB" w:eastAsia="en-AU"/>
        </w:rPr>
        <w:t>PloS One</w:t>
      </w:r>
      <w:r w:rsidRPr="00660730">
        <w:rPr>
          <w:lang w:val="en-GB" w:eastAsia="en-AU"/>
        </w:rPr>
        <w:t>, 18(8):e0289718, doi:10.1371/journal.pone.0289718.</w:t>
      </w:r>
    </w:p>
    <w:p w14:paraId="53AF77D0" w14:textId="77777777" w:rsidR="00660730" w:rsidRPr="00660730" w:rsidRDefault="00660730" w:rsidP="00660730">
      <w:pPr>
        <w:pStyle w:val="Bibliography"/>
        <w:rPr>
          <w:lang w:val="en-GB" w:eastAsia="en-AU"/>
        </w:rPr>
      </w:pPr>
      <w:r w:rsidRPr="00660730">
        <w:rPr>
          <w:lang w:val="en-GB" w:eastAsia="en-AU"/>
        </w:rPr>
        <w:t xml:space="preserve">Klein RM and Feltmate BBT (2025) ‘The vigilance decrement: its first 75 years’, </w:t>
      </w:r>
      <w:r w:rsidRPr="00660730">
        <w:rPr>
          <w:i/>
          <w:iCs/>
          <w:lang w:val="en-GB" w:eastAsia="en-AU"/>
        </w:rPr>
        <w:t>Frontiers in Cognition</w:t>
      </w:r>
      <w:r w:rsidRPr="00660730">
        <w:rPr>
          <w:lang w:val="en-GB" w:eastAsia="en-AU"/>
        </w:rPr>
        <w:t>, 4, doi:10.3389/fcogn.2025.1632885.</w:t>
      </w:r>
    </w:p>
    <w:p w14:paraId="0D945A08" w14:textId="77777777" w:rsidR="00660730" w:rsidRPr="00660730" w:rsidRDefault="00660730" w:rsidP="00660730">
      <w:pPr>
        <w:pStyle w:val="Bibliography"/>
        <w:rPr>
          <w:lang w:val="en-GB" w:eastAsia="en-AU"/>
        </w:rPr>
      </w:pPr>
      <w:r w:rsidRPr="00660730">
        <w:rPr>
          <w:lang w:val="en-GB" w:eastAsia="en-AU"/>
        </w:rPr>
        <w:t xml:space="preserve">Kuriwada T (2025) ‘The age of bright nights: Photoperiodic disruption of insect diapause by artificial light at night’, </w:t>
      </w:r>
      <w:r w:rsidRPr="00660730">
        <w:rPr>
          <w:i/>
          <w:iCs/>
          <w:lang w:val="en-GB" w:eastAsia="en-AU"/>
        </w:rPr>
        <w:t>Journal of Insect Physiology</w:t>
      </w:r>
      <w:r w:rsidRPr="00660730">
        <w:rPr>
          <w:lang w:val="en-GB" w:eastAsia="en-AU"/>
        </w:rPr>
        <w:t>, 167:104901, doi:10.1016/j.jinsphys.2025.104901.</w:t>
      </w:r>
    </w:p>
    <w:p w14:paraId="0F4E94DD" w14:textId="77777777" w:rsidR="00660730" w:rsidRPr="00660730" w:rsidRDefault="00660730" w:rsidP="00660730">
      <w:pPr>
        <w:pStyle w:val="Bibliography"/>
        <w:rPr>
          <w:lang w:val="en-GB" w:eastAsia="en-AU"/>
        </w:rPr>
      </w:pPr>
      <w:r w:rsidRPr="00660730">
        <w:rPr>
          <w:lang w:val="en-GB" w:eastAsia="en-AU"/>
        </w:rPr>
        <w:t xml:space="preserve">Levy K, Wegrzyn Y, Moaraf S, Barnea A and Ayali A (2024) ‘When night becomes day: Artificial light at night alters insect behavior under semi-natural conditions’, </w:t>
      </w:r>
      <w:r w:rsidRPr="00660730">
        <w:rPr>
          <w:i/>
          <w:iCs/>
          <w:lang w:val="en-GB" w:eastAsia="en-AU"/>
        </w:rPr>
        <w:t>Science of The Total Environment</w:t>
      </w:r>
      <w:r w:rsidRPr="00660730">
        <w:rPr>
          <w:lang w:val="en-GB" w:eastAsia="en-AU"/>
        </w:rPr>
        <w:t>, 926:171905, doi:10.1016/j.scitotenv.2024.171905.</w:t>
      </w:r>
    </w:p>
    <w:p w14:paraId="54B19F5A" w14:textId="77777777" w:rsidR="00660730" w:rsidRPr="00660730" w:rsidRDefault="00660730" w:rsidP="00660730">
      <w:pPr>
        <w:pStyle w:val="Bibliography"/>
        <w:rPr>
          <w:lang w:val="en-GB" w:eastAsia="en-AU"/>
        </w:rPr>
      </w:pPr>
      <w:r w:rsidRPr="00660730">
        <w:rPr>
          <w:lang w:val="en-GB" w:eastAsia="en-AU"/>
        </w:rPr>
        <w:t xml:space="preserve">Lin Y, Fotios S, Wei M, Liu Y, Guo W and Sun Y (2015) ‘Eye Movement and Pupil Size Constriction Under Discomfort Glare’, </w:t>
      </w:r>
      <w:r w:rsidRPr="00660730">
        <w:rPr>
          <w:i/>
          <w:iCs/>
          <w:lang w:val="en-GB" w:eastAsia="en-AU"/>
        </w:rPr>
        <w:t>Investigative Ophthalmology &amp; Visual Science</w:t>
      </w:r>
      <w:r w:rsidRPr="00660730">
        <w:rPr>
          <w:lang w:val="en-GB" w:eastAsia="en-AU"/>
        </w:rPr>
        <w:t>, 56(3):1649–1656, doi:10.1167/iovs.14-15963.</w:t>
      </w:r>
    </w:p>
    <w:p w14:paraId="3D3B1AF5" w14:textId="77777777" w:rsidR="00660730" w:rsidRPr="00660730" w:rsidRDefault="00660730" w:rsidP="00660730">
      <w:pPr>
        <w:pStyle w:val="Bibliography"/>
        <w:rPr>
          <w:lang w:val="en-GB" w:eastAsia="en-AU"/>
        </w:rPr>
      </w:pPr>
      <w:r w:rsidRPr="00660730">
        <w:rPr>
          <w:lang w:val="en-GB" w:eastAsia="en-AU"/>
        </w:rPr>
        <w:t xml:space="preserve">Mainster MA and Turner PL (2012) ‘Glare’s Causes, Consequences, and Clinical Challenges After a Century of Ophthalmic Study’, </w:t>
      </w:r>
      <w:r w:rsidRPr="00660730">
        <w:rPr>
          <w:i/>
          <w:iCs/>
          <w:lang w:val="en-GB" w:eastAsia="en-AU"/>
        </w:rPr>
        <w:t>American Journal of Ophthalmology</w:t>
      </w:r>
      <w:r w:rsidRPr="00660730">
        <w:rPr>
          <w:lang w:val="en-GB" w:eastAsia="en-AU"/>
        </w:rPr>
        <w:t>, doi:10.1016/j.ajo.2012.01.008.</w:t>
      </w:r>
    </w:p>
    <w:p w14:paraId="1F860BFD" w14:textId="77777777" w:rsidR="00660730" w:rsidRPr="00660730" w:rsidRDefault="00660730" w:rsidP="00660730">
      <w:pPr>
        <w:pStyle w:val="Bibliography"/>
        <w:rPr>
          <w:lang w:val="en-GB" w:eastAsia="en-AU"/>
        </w:rPr>
      </w:pPr>
      <w:r w:rsidRPr="00660730">
        <w:rPr>
          <w:lang w:val="en-GB" w:eastAsia="en-AU"/>
        </w:rPr>
        <w:t xml:space="preserve">Maniglia M, Thurman SM, Seitz AR and Davey PG (2018) ‘Effect of Varying Levels of Glare on Contrast Sensitivity Measurements of Young Healthy Individuals Under Photopic and Mesopic Vision’, </w:t>
      </w:r>
      <w:r w:rsidRPr="00660730">
        <w:rPr>
          <w:i/>
          <w:iCs/>
          <w:lang w:val="en-GB" w:eastAsia="en-AU"/>
        </w:rPr>
        <w:t>Frontiers in Psychology</w:t>
      </w:r>
      <w:r w:rsidRPr="00660730">
        <w:rPr>
          <w:lang w:val="en-GB" w:eastAsia="en-AU"/>
        </w:rPr>
        <w:t>, 9, doi:10.3389/fpsyg.2018.00899.</w:t>
      </w:r>
    </w:p>
    <w:p w14:paraId="74869A5C" w14:textId="77777777" w:rsidR="00660730" w:rsidRPr="00660730" w:rsidRDefault="00660730" w:rsidP="00660730">
      <w:pPr>
        <w:pStyle w:val="Bibliography"/>
        <w:rPr>
          <w:lang w:val="en-GB" w:eastAsia="en-AU"/>
        </w:rPr>
      </w:pPr>
      <w:r w:rsidRPr="00660730">
        <w:rPr>
          <w:lang w:val="en-GB" w:eastAsia="en-AU"/>
        </w:rPr>
        <w:t xml:space="preserve">McKirdy SJ, O’Connor S, Thomas ML, Horton KL, Williams A, Hardie D, Coupland GT and van der Merwe J (2019) ‘Biosecurity risks posed by a large sea-going passenger vessel: challenges of terrestrial arthropod species detection and eradication’, </w:t>
      </w:r>
      <w:r w:rsidRPr="00660730">
        <w:rPr>
          <w:i/>
          <w:iCs/>
          <w:lang w:val="en-GB" w:eastAsia="en-AU"/>
        </w:rPr>
        <w:t>Scientific Reports</w:t>
      </w:r>
      <w:r w:rsidRPr="00660730">
        <w:rPr>
          <w:lang w:val="en-GB" w:eastAsia="en-AU"/>
        </w:rPr>
        <w:t>, 9(1):19339, doi:10.1038/s41598-019-55554-4.</w:t>
      </w:r>
    </w:p>
    <w:p w14:paraId="6ADCB720" w14:textId="77777777" w:rsidR="00660730" w:rsidRPr="00660730" w:rsidRDefault="00660730" w:rsidP="00660730">
      <w:pPr>
        <w:pStyle w:val="Bibliography"/>
        <w:rPr>
          <w:lang w:val="en-GB" w:eastAsia="en-AU"/>
        </w:rPr>
      </w:pPr>
      <w:r w:rsidRPr="00660730">
        <w:rPr>
          <w:lang w:val="en-GB" w:eastAsia="en-AU"/>
        </w:rPr>
        <w:t xml:space="preserve">Mehra D and Le PH (2025) ‘Physiology, Night Vision’, in </w:t>
      </w:r>
      <w:r w:rsidRPr="00660730">
        <w:rPr>
          <w:i/>
          <w:iCs/>
          <w:lang w:val="en-GB" w:eastAsia="en-AU"/>
        </w:rPr>
        <w:t>StatPearls</w:t>
      </w:r>
      <w:r w:rsidRPr="00660730">
        <w:rPr>
          <w:lang w:val="en-GB" w:eastAsia="en-AU"/>
        </w:rPr>
        <w:t>, StatPearls Publishing, Treasure Island (FL), http://www.ncbi.nlm.nih.gov/books/NBK545246/, accessed 6 January 2026.</w:t>
      </w:r>
    </w:p>
    <w:p w14:paraId="306A42A2" w14:textId="77777777" w:rsidR="00660730" w:rsidRPr="00660730" w:rsidRDefault="00660730" w:rsidP="00660730">
      <w:pPr>
        <w:pStyle w:val="Bibliography"/>
        <w:rPr>
          <w:lang w:val="en-GB" w:eastAsia="en-AU"/>
        </w:rPr>
      </w:pPr>
      <w:r w:rsidRPr="00660730">
        <w:rPr>
          <w:lang w:val="en-GB" w:eastAsia="en-AU"/>
        </w:rPr>
        <w:t xml:space="preserve">Mielke SR and Garabed R (2020) ‘Environmental persistence of foot-and-mouth disease virus applied to endemic regions’, </w:t>
      </w:r>
      <w:r w:rsidRPr="00660730">
        <w:rPr>
          <w:i/>
          <w:iCs/>
          <w:lang w:val="en-GB" w:eastAsia="en-AU"/>
        </w:rPr>
        <w:t>Transboundary and Emerging Diseases</w:t>
      </w:r>
      <w:r w:rsidRPr="00660730">
        <w:rPr>
          <w:lang w:val="en-GB" w:eastAsia="en-AU"/>
        </w:rPr>
        <w:t>, 67(2):543–554, doi:10.1111/tbed.13383.</w:t>
      </w:r>
    </w:p>
    <w:p w14:paraId="778B0C00" w14:textId="77777777" w:rsidR="00660730" w:rsidRPr="00660730" w:rsidRDefault="00660730" w:rsidP="00660730">
      <w:pPr>
        <w:pStyle w:val="Bibliography"/>
        <w:rPr>
          <w:lang w:val="en-GB" w:eastAsia="en-AU"/>
        </w:rPr>
      </w:pPr>
      <w:r w:rsidRPr="00660730">
        <w:rPr>
          <w:lang w:val="en-GB" w:eastAsia="en-AU"/>
        </w:rPr>
        <w:lastRenderedPageBreak/>
        <w:t>Mills MK, Michel K, Pfannenstiel RS, Ruder MG, Veronesi E and Nayduch D (2017) ‘</w:t>
      </w:r>
      <w:r w:rsidRPr="00660730">
        <w:rPr>
          <w:i/>
          <w:iCs/>
          <w:lang w:val="en-GB" w:eastAsia="en-AU"/>
        </w:rPr>
        <w:t>Culicoides</w:t>
      </w:r>
      <w:r w:rsidRPr="00660730">
        <w:rPr>
          <w:lang w:val="en-GB" w:eastAsia="en-AU"/>
        </w:rPr>
        <w:t xml:space="preserve">–virus interactions: infection barriers and possible factors underlying vector competence’, </w:t>
      </w:r>
      <w:r w:rsidRPr="00660730">
        <w:rPr>
          <w:i/>
          <w:iCs/>
          <w:lang w:val="en-GB" w:eastAsia="en-AU"/>
        </w:rPr>
        <w:t>Current Opinion in Insect Science</w:t>
      </w:r>
      <w:r w:rsidRPr="00660730">
        <w:rPr>
          <w:lang w:val="en-GB" w:eastAsia="en-AU"/>
        </w:rPr>
        <w:t>, 22:7–15, doi:10.1016/j.cois.2017.05.003.</w:t>
      </w:r>
    </w:p>
    <w:p w14:paraId="2C586352" w14:textId="77777777" w:rsidR="00660730" w:rsidRPr="00660730" w:rsidRDefault="00660730" w:rsidP="00660730">
      <w:pPr>
        <w:pStyle w:val="Bibliography"/>
        <w:rPr>
          <w:lang w:val="en-GB" w:eastAsia="en-AU"/>
        </w:rPr>
      </w:pPr>
      <w:r w:rsidRPr="00660730">
        <w:rPr>
          <w:lang w:val="en-GB" w:eastAsia="en-AU"/>
        </w:rPr>
        <w:t xml:space="preserve">Morgan IR (1993) </w:t>
      </w:r>
      <w:r w:rsidRPr="00660730">
        <w:rPr>
          <w:i/>
          <w:iCs/>
          <w:lang w:val="en-GB" w:eastAsia="en-AU"/>
        </w:rPr>
        <w:t>Spread of foot-and-mouth disease, review prepared for the Australian Meat Research Corporation</w:t>
      </w:r>
      <w:r w:rsidRPr="00660730">
        <w:rPr>
          <w:lang w:val="en-GB" w:eastAsia="en-AU"/>
        </w:rPr>
        <w:t>, Victorian Institute of Animal Science, Victoria.</w:t>
      </w:r>
    </w:p>
    <w:p w14:paraId="55E71C47" w14:textId="77777777" w:rsidR="00660730" w:rsidRPr="00660730" w:rsidRDefault="00660730" w:rsidP="00660730">
      <w:pPr>
        <w:pStyle w:val="Bibliography"/>
        <w:rPr>
          <w:lang w:val="en-GB" w:eastAsia="en-AU"/>
        </w:rPr>
      </w:pPr>
      <w:r w:rsidRPr="00660730">
        <w:rPr>
          <w:lang w:val="en-GB" w:eastAsia="en-AU"/>
        </w:rPr>
        <w:t xml:space="preserve">Namazi F and Khodakaram Tafti A (2021) ‘Lumpy skin disease, an emerging transboundary viral disease: A review’, </w:t>
      </w:r>
      <w:r w:rsidRPr="00660730">
        <w:rPr>
          <w:i/>
          <w:iCs/>
          <w:lang w:val="en-GB" w:eastAsia="en-AU"/>
        </w:rPr>
        <w:t>Veterinary Medicine and Science</w:t>
      </w:r>
      <w:r w:rsidRPr="00660730">
        <w:rPr>
          <w:lang w:val="en-GB" w:eastAsia="en-AU"/>
        </w:rPr>
        <w:t>, 7(3):888–896, doi:10.1002/vms3.434.</w:t>
      </w:r>
    </w:p>
    <w:p w14:paraId="1E34A151" w14:textId="77777777" w:rsidR="00660730" w:rsidRPr="00660730" w:rsidRDefault="00660730" w:rsidP="00660730">
      <w:pPr>
        <w:pStyle w:val="Bibliography"/>
        <w:rPr>
          <w:lang w:val="en-GB" w:eastAsia="en-AU"/>
        </w:rPr>
      </w:pPr>
      <w:r w:rsidRPr="00660730">
        <w:rPr>
          <w:lang w:val="en-GB" w:eastAsia="en-AU"/>
        </w:rPr>
        <w:t xml:space="preserve">Numata H, Miyazaki Y and Ikeno T (2015) ‘Common features in diverse insect clocks’, </w:t>
      </w:r>
      <w:r w:rsidRPr="00660730">
        <w:rPr>
          <w:i/>
          <w:iCs/>
          <w:lang w:val="en-GB" w:eastAsia="en-AU"/>
        </w:rPr>
        <w:t>Zoological Letters</w:t>
      </w:r>
      <w:r w:rsidRPr="00660730">
        <w:rPr>
          <w:lang w:val="en-GB" w:eastAsia="en-AU"/>
        </w:rPr>
        <w:t>, 1(1):10, doi:10.1186/s40851-014-0003-y.</w:t>
      </w:r>
    </w:p>
    <w:p w14:paraId="641D6BE0" w14:textId="77777777" w:rsidR="00660730" w:rsidRPr="00660730" w:rsidRDefault="00660730" w:rsidP="00660730">
      <w:pPr>
        <w:pStyle w:val="Bibliography"/>
        <w:rPr>
          <w:lang w:val="en-GB" w:eastAsia="en-AU"/>
        </w:rPr>
      </w:pPr>
      <w:r w:rsidRPr="00660730">
        <w:rPr>
          <w:lang w:val="en-GB" w:eastAsia="en-AU"/>
        </w:rPr>
        <w:t xml:space="preserve">Pan H, Liang G, Lu Y, Pan H, Liang G and Lu Y (2021) ‘Response of Different Insect Groups to Various Wavelengths of Light under Field Conditions’, </w:t>
      </w:r>
      <w:r w:rsidRPr="00660730">
        <w:rPr>
          <w:i/>
          <w:iCs/>
          <w:lang w:val="en-GB" w:eastAsia="en-AU"/>
        </w:rPr>
        <w:t>Insects</w:t>
      </w:r>
      <w:r w:rsidRPr="00660730">
        <w:rPr>
          <w:lang w:val="en-GB" w:eastAsia="en-AU"/>
        </w:rPr>
        <w:t>, 12(5), doi:10.3390/insects12050427.</w:t>
      </w:r>
    </w:p>
    <w:p w14:paraId="57C06D34" w14:textId="77777777" w:rsidR="00660730" w:rsidRPr="00660730" w:rsidRDefault="00660730" w:rsidP="00660730">
      <w:pPr>
        <w:pStyle w:val="Bibliography"/>
        <w:rPr>
          <w:lang w:val="en-GB" w:eastAsia="en-AU"/>
        </w:rPr>
      </w:pPr>
      <w:r w:rsidRPr="00660730">
        <w:rPr>
          <w:lang w:val="en-GB" w:eastAsia="en-AU"/>
        </w:rPr>
        <w:t xml:space="preserve">Podrezova E (1969) ‘Viability of foot-and-mouth disease virus in pastures’, </w:t>
      </w:r>
      <w:r w:rsidRPr="00660730">
        <w:rPr>
          <w:i/>
          <w:iCs/>
          <w:lang w:val="en-GB" w:eastAsia="en-AU"/>
        </w:rPr>
        <w:t>Veterinariia</w:t>
      </w:r>
      <w:r w:rsidRPr="00660730">
        <w:rPr>
          <w:lang w:val="en-GB" w:eastAsia="en-AU"/>
        </w:rPr>
        <w:t>, 5:94–96.</w:t>
      </w:r>
    </w:p>
    <w:p w14:paraId="0C2A5543" w14:textId="77777777" w:rsidR="00660730" w:rsidRPr="00660730" w:rsidRDefault="00660730" w:rsidP="00660730">
      <w:pPr>
        <w:pStyle w:val="Bibliography"/>
        <w:rPr>
          <w:lang w:val="en-GB" w:eastAsia="en-AU"/>
        </w:rPr>
      </w:pPr>
      <w:r w:rsidRPr="00660730">
        <w:rPr>
          <w:lang w:val="en-GB" w:eastAsia="en-AU"/>
        </w:rPr>
        <w:t xml:space="preserve">Qudsiyati N, Nurcahyo W, Priyomidodo D and Soedarmanto I (2025) ‘Diversity of Flies and Molecular Detection in Blood Sucking Flies in Surra Endemic Area in Indonesia’, </w:t>
      </w:r>
      <w:r w:rsidRPr="00660730">
        <w:rPr>
          <w:i/>
          <w:iCs/>
          <w:lang w:val="en-GB" w:eastAsia="en-AU"/>
        </w:rPr>
        <w:t>Advances in Animal and Veterinary Sciences</w:t>
      </w:r>
      <w:r w:rsidRPr="00660730">
        <w:rPr>
          <w:lang w:val="en-GB" w:eastAsia="en-AU"/>
        </w:rPr>
        <w:t>, doi:10.17582/journal.aavs/2025/13.5.987.993.</w:t>
      </w:r>
    </w:p>
    <w:p w14:paraId="4F1597FF" w14:textId="77777777" w:rsidR="00660730" w:rsidRPr="00660730" w:rsidRDefault="00660730" w:rsidP="00660730">
      <w:pPr>
        <w:pStyle w:val="Bibliography"/>
        <w:rPr>
          <w:lang w:val="en-GB" w:eastAsia="en-AU"/>
        </w:rPr>
      </w:pPr>
      <w:r w:rsidRPr="00660730">
        <w:rPr>
          <w:lang w:val="en-GB" w:eastAsia="en-AU"/>
        </w:rPr>
        <w:t xml:space="preserve">Queensland Government (2024) </w:t>
      </w:r>
      <w:r w:rsidRPr="00660730">
        <w:rPr>
          <w:i/>
          <w:iCs/>
          <w:lang w:val="en-GB" w:eastAsia="en-AU"/>
        </w:rPr>
        <w:t>Screwworm fly | Business Queensland</w:t>
      </w:r>
      <w:r w:rsidRPr="00660730">
        <w:rPr>
          <w:lang w:val="en-GB" w:eastAsia="en-AU"/>
        </w:rPr>
        <w:t>, https://www.business.qld.gov.au/industries/farms-fishing-forestry/agriculture/biosecurity/animals/diseases/guide/screw-worm-fly, accessed 4 December 2025.</w:t>
      </w:r>
    </w:p>
    <w:p w14:paraId="0A74F55F" w14:textId="77777777" w:rsidR="00660730" w:rsidRPr="00660730" w:rsidRDefault="00660730" w:rsidP="00660730">
      <w:pPr>
        <w:pStyle w:val="Bibliography"/>
        <w:rPr>
          <w:lang w:val="en-GB" w:eastAsia="en-AU"/>
        </w:rPr>
      </w:pPr>
      <w:r w:rsidRPr="00660730">
        <w:rPr>
          <w:lang w:val="en-GB" w:eastAsia="en-AU"/>
        </w:rPr>
        <w:t xml:space="preserve">Sadler R, Leslie E, Hillman A, Black A and Madin B (2021) </w:t>
      </w:r>
      <w:r w:rsidRPr="00660730">
        <w:rPr>
          <w:i/>
          <w:iCs/>
          <w:lang w:val="en-GB" w:eastAsia="en-AU"/>
        </w:rPr>
        <w:t>A review of Shipboard Mortality Data 1988–2017</w:t>
      </w:r>
      <w:r w:rsidRPr="00660730">
        <w:rPr>
          <w:lang w:val="en-GB" w:eastAsia="en-AU"/>
        </w:rPr>
        <w:t>, MLA.</w:t>
      </w:r>
    </w:p>
    <w:p w14:paraId="43F5E7EC" w14:textId="77777777" w:rsidR="00660730" w:rsidRPr="00660730" w:rsidRDefault="00660730" w:rsidP="00660730">
      <w:pPr>
        <w:pStyle w:val="Bibliography"/>
        <w:rPr>
          <w:lang w:val="en-GB" w:eastAsia="en-AU"/>
        </w:rPr>
      </w:pPr>
      <w:r w:rsidRPr="00660730">
        <w:rPr>
          <w:lang w:val="en-GB" w:eastAsia="en-AU"/>
        </w:rPr>
        <w:t xml:space="preserve">Safe Work Australia (2011) </w:t>
      </w:r>
      <w:r w:rsidRPr="00660730">
        <w:rPr>
          <w:i/>
          <w:iCs/>
          <w:lang w:val="en-GB" w:eastAsia="en-AU"/>
        </w:rPr>
        <w:t>Managing the work environment and facilities: Code of Practice</w:t>
      </w:r>
      <w:r w:rsidRPr="00660730">
        <w:rPr>
          <w:lang w:val="en-GB" w:eastAsia="en-AU"/>
        </w:rPr>
        <w:t>, Safe Work Australia, Sydney.</w:t>
      </w:r>
    </w:p>
    <w:p w14:paraId="4BCF1B3B" w14:textId="77777777" w:rsidR="00660730" w:rsidRPr="00660730" w:rsidRDefault="00660730" w:rsidP="00660730">
      <w:pPr>
        <w:pStyle w:val="Bibliography"/>
        <w:rPr>
          <w:lang w:val="en-GB" w:eastAsia="en-AU"/>
        </w:rPr>
      </w:pPr>
      <w:r w:rsidRPr="00660730">
        <w:rPr>
          <w:lang w:val="en-GB" w:eastAsia="en-AU"/>
        </w:rPr>
        <w:t xml:space="preserve">Sánchez López de Nava A, Somani AN and Salini B (2025) ‘Physiology, Vision’, in </w:t>
      </w:r>
      <w:r w:rsidRPr="00660730">
        <w:rPr>
          <w:i/>
          <w:iCs/>
          <w:lang w:val="en-GB" w:eastAsia="en-AU"/>
        </w:rPr>
        <w:t>StatPearls</w:t>
      </w:r>
      <w:r w:rsidRPr="00660730">
        <w:rPr>
          <w:lang w:val="en-GB" w:eastAsia="en-AU"/>
        </w:rPr>
        <w:t>, StatPearls Publishing, Treasure Island (FL), http://www.ncbi.nlm.nih.gov/books/NBK538493/, accessed 6 January 2026.</w:t>
      </w:r>
    </w:p>
    <w:p w14:paraId="63547FBF" w14:textId="77777777" w:rsidR="00660730" w:rsidRPr="00660730" w:rsidRDefault="00660730" w:rsidP="00660730">
      <w:pPr>
        <w:pStyle w:val="Bibliography"/>
        <w:rPr>
          <w:lang w:val="en-GB" w:eastAsia="en-AU"/>
        </w:rPr>
      </w:pPr>
      <w:r w:rsidRPr="00660730">
        <w:rPr>
          <w:lang w:val="en-GB" w:eastAsia="en-AU"/>
        </w:rPr>
        <w:t xml:space="preserve">See JE (2012) </w:t>
      </w:r>
      <w:r w:rsidRPr="00660730">
        <w:rPr>
          <w:i/>
          <w:iCs/>
          <w:lang w:val="en-GB" w:eastAsia="en-AU"/>
        </w:rPr>
        <w:t>Visual Inspection: A Review of the Literature</w:t>
      </w:r>
      <w:r w:rsidRPr="00660730">
        <w:rPr>
          <w:lang w:val="en-GB" w:eastAsia="en-AU"/>
        </w:rPr>
        <w:t>, United States Department of Energy, Albuquerque, New Mexico.</w:t>
      </w:r>
    </w:p>
    <w:p w14:paraId="3BB5B002" w14:textId="77777777" w:rsidR="00660730" w:rsidRPr="00660730" w:rsidRDefault="00660730" w:rsidP="00660730">
      <w:pPr>
        <w:pStyle w:val="Bibliography"/>
        <w:rPr>
          <w:lang w:val="en-GB" w:eastAsia="en-AU"/>
        </w:rPr>
      </w:pPr>
      <w:r w:rsidRPr="00660730">
        <w:rPr>
          <w:lang w:val="en-GB" w:eastAsia="en-AU"/>
        </w:rPr>
        <w:t xml:space="preserve">Shimoda M and Honda K (2013) ‘Insect reactions to light and its applications to pest management’, </w:t>
      </w:r>
      <w:r w:rsidRPr="00660730">
        <w:rPr>
          <w:i/>
          <w:iCs/>
          <w:lang w:val="en-GB" w:eastAsia="en-AU"/>
        </w:rPr>
        <w:t>Applied Entomology and Zoology</w:t>
      </w:r>
      <w:r w:rsidRPr="00660730">
        <w:rPr>
          <w:lang w:val="en-GB" w:eastAsia="en-AU"/>
        </w:rPr>
        <w:t>, 48(4):413–421, doi:10.1007/s13355-013-0219-x.</w:t>
      </w:r>
    </w:p>
    <w:p w14:paraId="442E0C9A" w14:textId="77777777" w:rsidR="00660730" w:rsidRPr="00660730" w:rsidRDefault="00660730" w:rsidP="00660730">
      <w:pPr>
        <w:pStyle w:val="Bibliography"/>
        <w:rPr>
          <w:lang w:val="en-GB" w:eastAsia="en-AU"/>
        </w:rPr>
      </w:pPr>
      <w:r w:rsidRPr="00660730">
        <w:rPr>
          <w:lang w:val="en-GB" w:eastAsia="en-AU"/>
        </w:rPr>
        <w:t xml:space="preserve">Sprygin A, Pestova Y, Wallace DB, Tuppurainen E and Kononov AV (2019) ‘Transmission of lumpy skin disease virus: A short review’, </w:t>
      </w:r>
      <w:r w:rsidRPr="00660730">
        <w:rPr>
          <w:i/>
          <w:iCs/>
          <w:lang w:val="en-GB" w:eastAsia="en-AU"/>
        </w:rPr>
        <w:t>Virus Research</w:t>
      </w:r>
      <w:r w:rsidRPr="00660730">
        <w:rPr>
          <w:lang w:val="en-GB" w:eastAsia="en-AU"/>
        </w:rPr>
        <w:t>, 269:197637, doi:10.1016/j.virusres.2019.05.015.</w:t>
      </w:r>
    </w:p>
    <w:p w14:paraId="35A63B8D" w14:textId="77777777" w:rsidR="00660730" w:rsidRPr="00660730" w:rsidRDefault="00660730" w:rsidP="00660730">
      <w:pPr>
        <w:pStyle w:val="Bibliography"/>
        <w:rPr>
          <w:lang w:val="en-GB" w:eastAsia="en-AU"/>
        </w:rPr>
      </w:pPr>
      <w:r w:rsidRPr="00660730">
        <w:rPr>
          <w:lang w:val="en-GB" w:eastAsia="en-AU"/>
        </w:rPr>
        <w:t>Stone LS, Tyson TL, Cravalho PF, Feick NH and Flynn</w:t>
      </w:r>
      <w:r w:rsidRPr="00660730">
        <w:rPr>
          <w:rFonts w:ascii="Cambria Math" w:hAnsi="Cambria Math" w:cs="Cambria Math"/>
          <w:lang w:val="en-GB" w:eastAsia="en-AU"/>
        </w:rPr>
        <w:t>‐</w:t>
      </w:r>
      <w:r w:rsidRPr="00660730">
        <w:rPr>
          <w:lang w:val="en-GB" w:eastAsia="en-AU"/>
        </w:rPr>
        <w:t xml:space="preserve">Evans EE (2019) ‘Distinct pattern of oculomotor impairment associated with acute sleep loss and circadian misalignment’, </w:t>
      </w:r>
      <w:r w:rsidRPr="00660730">
        <w:rPr>
          <w:i/>
          <w:iCs/>
          <w:lang w:val="en-GB" w:eastAsia="en-AU"/>
        </w:rPr>
        <w:t>The Journal of Physiology</w:t>
      </w:r>
      <w:r w:rsidRPr="00660730">
        <w:rPr>
          <w:lang w:val="en-GB" w:eastAsia="en-AU"/>
        </w:rPr>
        <w:t>, 597(17):4643–4660, doi:10.1113/JP277779.</w:t>
      </w:r>
    </w:p>
    <w:p w14:paraId="45474E43" w14:textId="77777777" w:rsidR="00660730" w:rsidRPr="00660730" w:rsidRDefault="00660730" w:rsidP="00660730">
      <w:pPr>
        <w:pStyle w:val="Bibliography"/>
        <w:rPr>
          <w:lang w:val="en-GB" w:eastAsia="en-AU"/>
        </w:rPr>
      </w:pPr>
      <w:r w:rsidRPr="00660730">
        <w:rPr>
          <w:lang w:val="en-GB" w:eastAsia="en-AU"/>
        </w:rPr>
        <w:t xml:space="preserve">Tekavcic B, Milić RČ and Pompe MT (2017) ‘Does Physical Fatigue Affect Color Vision?’, </w:t>
      </w:r>
      <w:r w:rsidRPr="00660730">
        <w:rPr>
          <w:i/>
          <w:iCs/>
          <w:lang w:val="en-GB" w:eastAsia="en-AU"/>
        </w:rPr>
        <w:t>Sports Medicine International Open</w:t>
      </w:r>
      <w:r w:rsidRPr="00660730">
        <w:rPr>
          <w:lang w:val="en-GB" w:eastAsia="en-AU"/>
        </w:rPr>
        <w:t>, 1(5):E155–E159, doi:10.1055/s-0043-115378.</w:t>
      </w:r>
    </w:p>
    <w:p w14:paraId="5B924976" w14:textId="77777777" w:rsidR="00660730" w:rsidRPr="00660730" w:rsidRDefault="00660730" w:rsidP="00660730">
      <w:pPr>
        <w:pStyle w:val="Bibliography"/>
        <w:rPr>
          <w:lang w:val="en-GB" w:eastAsia="en-AU"/>
        </w:rPr>
      </w:pPr>
      <w:r w:rsidRPr="00660730">
        <w:rPr>
          <w:lang w:val="en-GB" w:eastAsia="en-AU"/>
        </w:rPr>
        <w:t xml:space="preserve">Tuppurainen ESM and Oura C a. L (2012) ‘Review: Lumpy Skin Disease: An Emerging Threat to Europe, the Middle East and Asia’, </w:t>
      </w:r>
      <w:r w:rsidRPr="00660730">
        <w:rPr>
          <w:i/>
          <w:iCs/>
          <w:lang w:val="en-GB" w:eastAsia="en-AU"/>
        </w:rPr>
        <w:t>Transboundary and Emerging Diseases</w:t>
      </w:r>
      <w:r w:rsidRPr="00660730">
        <w:rPr>
          <w:lang w:val="en-GB" w:eastAsia="en-AU"/>
        </w:rPr>
        <w:t>, 59(1):40–48, doi:10.1111/j.1865-1682.2011.01242.x.</w:t>
      </w:r>
    </w:p>
    <w:p w14:paraId="16192E01" w14:textId="77777777" w:rsidR="00660730" w:rsidRPr="00660730" w:rsidRDefault="00660730" w:rsidP="00660730">
      <w:pPr>
        <w:pStyle w:val="Bibliography"/>
        <w:rPr>
          <w:lang w:val="en-GB" w:eastAsia="en-AU"/>
        </w:rPr>
      </w:pPr>
      <w:r w:rsidRPr="00660730">
        <w:rPr>
          <w:lang w:val="en-GB" w:eastAsia="en-AU"/>
        </w:rPr>
        <w:lastRenderedPageBreak/>
        <w:t xml:space="preserve">University of Saskatchewan (2021) </w:t>
      </w:r>
      <w:r w:rsidRPr="00660730">
        <w:rPr>
          <w:i/>
          <w:iCs/>
          <w:lang w:val="en-GB" w:eastAsia="en-AU"/>
        </w:rPr>
        <w:t>Tabanids: Tabanus species - Horse Flies; Chrysops species – Deer Flies; Haematopota species - Clegs</w:t>
      </w:r>
      <w:r w:rsidRPr="00660730">
        <w:rPr>
          <w:lang w:val="en-GB" w:eastAsia="en-AU"/>
        </w:rPr>
        <w:t xml:space="preserve">, </w:t>
      </w:r>
      <w:r w:rsidRPr="00660730">
        <w:rPr>
          <w:i/>
          <w:iCs/>
          <w:lang w:val="en-GB" w:eastAsia="en-AU"/>
        </w:rPr>
        <w:t>Learn About Parasites</w:t>
      </w:r>
      <w:r w:rsidRPr="00660730">
        <w:rPr>
          <w:lang w:val="en-GB" w:eastAsia="en-AU"/>
        </w:rPr>
        <w:t>, https://wcvm.usask.ca/learnaboutparasites/parasites/tabanids.php, accessed 8 December 2025.</w:t>
      </w:r>
    </w:p>
    <w:p w14:paraId="5F0692AF" w14:textId="77777777" w:rsidR="00660730" w:rsidRPr="00660730" w:rsidRDefault="00660730" w:rsidP="00660730">
      <w:pPr>
        <w:pStyle w:val="Bibliography"/>
        <w:rPr>
          <w:lang w:val="en-GB" w:eastAsia="en-AU"/>
        </w:rPr>
      </w:pPr>
      <w:r w:rsidRPr="00660730">
        <w:rPr>
          <w:lang w:val="en-GB" w:eastAsia="en-AU"/>
        </w:rPr>
        <w:t xml:space="preserve">Valdez P (2019) ‘Circadian Rhythms in Attention’, </w:t>
      </w:r>
      <w:r w:rsidRPr="00660730">
        <w:rPr>
          <w:i/>
          <w:iCs/>
          <w:lang w:val="en-GB" w:eastAsia="en-AU"/>
        </w:rPr>
        <w:t>The Yale Journal of Biology and Medicine</w:t>
      </w:r>
      <w:r w:rsidRPr="00660730">
        <w:rPr>
          <w:lang w:val="en-GB" w:eastAsia="en-AU"/>
        </w:rPr>
        <w:t>, 92(1):81–92.</w:t>
      </w:r>
    </w:p>
    <w:p w14:paraId="1A3637DE" w14:textId="77777777" w:rsidR="00660730" w:rsidRPr="00660730" w:rsidRDefault="00660730" w:rsidP="00660730">
      <w:pPr>
        <w:pStyle w:val="Bibliography"/>
        <w:rPr>
          <w:lang w:val="en-GB" w:eastAsia="en-AU"/>
        </w:rPr>
      </w:pPr>
      <w:r w:rsidRPr="00660730">
        <w:rPr>
          <w:lang w:val="en-GB" w:eastAsia="en-AU"/>
        </w:rPr>
        <w:t xml:space="preserve">Wang Y, Durmus D, Wang Y and Durmus D (2025) ‘The Effect of Color Contrast on the Visual Clarity of Images of Complex Indoor Environments’, </w:t>
      </w:r>
      <w:r w:rsidRPr="00660730">
        <w:rPr>
          <w:i/>
          <w:iCs/>
          <w:lang w:val="en-GB" w:eastAsia="en-AU"/>
        </w:rPr>
        <w:t>Buildings</w:t>
      </w:r>
      <w:r w:rsidRPr="00660730">
        <w:rPr>
          <w:lang w:val="en-GB" w:eastAsia="en-AU"/>
        </w:rPr>
        <w:t>, 15(7), doi:10.3390/buildings15071157.</w:t>
      </w:r>
    </w:p>
    <w:p w14:paraId="2D09EF87" w14:textId="77777777" w:rsidR="00660730" w:rsidRPr="00660730" w:rsidRDefault="00660730" w:rsidP="00660730">
      <w:pPr>
        <w:pStyle w:val="Bibliography"/>
        <w:rPr>
          <w:lang w:val="en-GB" w:eastAsia="en-AU"/>
        </w:rPr>
      </w:pPr>
      <w:r w:rsidRPr="00660730">
        <w:rPr>
          <w:lang w:val="en-GB" w:eastAsia="en-AU"/>
        </w:rPr>
        <w:t xml:space="preserve">WOAH (2018) </w:t>
      </w:r>
      <w:r w:rsidRPr="00660730">
        <w:rPr>
          <w:i/>
          <w:iCs/>
          <w:lang w:val="en-GB" w:eastAsia="en-AU"/>
        </w:rPr>
        <w:t>The Progressive Control Pathway for Foot and Mouth Disease control (PCP-FMD) Principles, Stage Descriptions and Standards</w:t>
      </w:r>
      <w:r w:rsidRPr="00660730">
        <w:rPr>
          <w:lang w:val="en-GB" w:eastAsia="en-AU"/>
        </w:rPr>
        <w:t>, World Organisation for Animal Health, Paris, France, https://openknowledge.fao.org/server/api/core/bitstreams/117c6cd3-3a59-473f-82a9-19390271b610/content, accessed 12 January 2026.</w:t>
      </w:r>
    </w:p>
    <w:p w14:paraId="28268958" w14:textId="7136EA80" w:rsidR="002E37C2" w:rsidRPr="002E37C2" w:rsidRDefault="003E15C2" w:rsidP="00660730">
      <w:pPr>
        <w:pStyle w:val="Bibliography"/>
      </w:pPr>
      <w:r>
        <w:rPr>
          <w:rFonts w:eastAsia="Garamond" w:cs="Garamond"/>
          <w:color w:val="000000"/>
          <w:szCs w:val="22"/>
        </w:rPr>
        <w:fldChar w:fldCharType="end"/>
      </w:r>
    </w:p>
    <w:sectPr w:rsidR="002E37C2" w:rsidRPr="002E37C2" w:rsidSect="004B1F95">
      <w:headerReference w:type="default" r:id="rId43"/>
      <w:footnotePr>
        <w:numRestart w:val="eachSect"/>
      </w:footnotePr>
      <w:pgSz w:w="11906" w:h="16838" w:code="9"/>
      <w:pgMar w:top="1440" w:right="1440" w:bottom="1440" w:left="1440" w:header="578" w:footer="57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BEBBB" w14:textId="77777777" w:rsidR="00DB6D56" w:rsidRDefault="00DB6D56" w:rsidP="00A1505E">
      <w:r>
        <w:separator/>
      </w:r>
    </w:p>
    <w:p w14:paraId="0FEF1677" w14:textId="77777777" w:rsidR="00DB6D56" w:rsidRDefault="00DB6D56" w:rsidP="00A1505E"/>
    <w:p w14:paraId="623D892E" w14:textId="77777777" w:rsidR="00DB6D56" w:rsidRDefault="00DB6D56" w:rsidP="00A1505E"/>
  </w:endnote>
  <w:endnote w:type="continuationSeparator" w:id="0">
    <w:p w14:paraId="276ED491" w14:textId="77777777" w:rsidR="00DB6D56" w:rsidRDefault="00DB6D56" w:rsidP="00A1505E">
      <w:r>
        <w:continuationSeparator/>
      </w:r>
    </w:p>
    <w:p w14:paraId="61DD8A20" w14:textId="77777777" w:rsidR="00DB6D56" w:rsidRDefault="00DB6D56" w:rsidP="00A1505E"/>
    <w:p w14:paraId="0B08EA76" w14:textId="77777777" w:rsidR="00DB6D56" w:rsidRDefault="00DB6D56" w:rsidP="00A15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0DD8F" w14:textId="3F74449D" w:rsidR="001A07C1" w:rsidRDefault="00320381" w:rsidP="003B19C8">
    <w:pPr>
      <w:pStyle w:val="Footer"/>
      <w:rPr>
        <w:rStyle w:val="PageNumber"/>
      </w:rPr>
    </w:pPr>
    <w:r>
      <w:rPr>
        <w:rFonts w:ascii="Corbel" w:hAnsi="Corbel"/>
        <w:b/>
        <w:sz w:val="20"/>
        <w14:numForm w14:val="default"/>
        <w14:numSpacing w14:val="default"/>
      </w:rPr>
      <mc:AlternateContent>
        <mc:Choice Requires="wps">
          <w:drawing>
            <wp:anchor distT="0" distB="0" distL="0" distR="0" simplePos="0" relativeHeight="251672576" behindDoc="0" locked="0" layoutInCell="1" allowOverlap="1" wp14:anchorId="6A791D6A" wp14:editId="70FB1D69">
              <wp:simplePos x="635" y="635"/>
              <wp:positionH relativeFrom="page">
                <wp:align>center</wp:align>
              </wp:positionH>
              <wp:positionV relativeFrom="page">
                <wp:align>bottom</wp:align>
              </wp:positionV>
              <wp:extent cx="622300" cy="404495"/>
              <wp:effectExtent l="0" t="0" r="6350" b="0"/>
              <wp:wrapNone/>
              <wp:docPr id="10961638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F755B18" w14:textId="443461A3"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791D6A" id="_x0000_t202" coordsize="21600,21600" o:spt="202" path="m,l,21600r21600,l21600,xe">
              <v:stroke joinstyle="miter"/>
              <v:path gradientshapeok="t" o:connecttype="rect"/>
            </v:shapetype>
            <v:shape id="Text Box 10" o:spid="_x0000_s1030" type="#_x0000_t202" alt="OFFICIAL" style="position:absolute;margin-left:0;margin-top:0;width:49pt;height:31.8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fill o:detectmouseclick="t"/>
              <v:textbox style="mso-fit-shape-to-text:t" inset="0,0,0,15pt">
                <w:txbxContent>
                  <w:p w14:paraId="2F755B18" w14:textId="443461A3"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v:textbox>
              <w10:wrap anchorx="page" anchory="page"/>
            </v:shape>
          </w:pict>
        </mc:Fallback>
      </mc:AlternateContent>
    </w:r>
    <w:r w:rsidR="001A07C1">
      <w:rPr>
        <w:rStyle w:val="PageNumber"/>
      </w:rPr>
      <w:fldChar w:fldCharType="begin"/>
    </w:r>
    <w:r w:rsidR="001A07C1">
      <w:rPr>
        <w:rStyle w:val="PageNumber"/>
      </w:rPr>
      <w:instrText xml:space="preserve">PAGE  </w:instrText>
    </w:r>
    <w:r w:rsidR="001A07C1">
      <w:rPr>
        <w:rStyle w:val="PageNumber"/>
      </w:rPr>
      <w:fldChar w:fldCharType="end"/>
    </w:r>
  </w:p>
  <w:p w14:paraId="085076B8" w14:textId="77777777" w:rsidR="001A07C1" w:rsidRDefault="001A07C1" w:rsidP="003B19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030B1" w14:textId="7184616D" w:rsidR="00320381" w:rsidRDefault="00320381">
    <w:pPr>
      <w:pStyle w:val="Footer"/>
    </w:pPr>
    <w:r>
      <w:rPr>
        <w14:numForm w14:val="default"/>
        <w14:numSpacing w14:val="default"/>
      </w:rPr>
      <mc:AlternateContent>
        <mc:Choice Requires="wps">
          <w:drawing>
            <wp:anchor distT="0" distB="0" distL="0" distR="0" simplePos="0" relativeHeight="251673600" behindDoc="0" locked="0" layoutInCell="1" allowOverlap="1" wp14:anchorId="7E9A86CF" wp14:editId="54332C09">
              <wp:simplePos x="635" y="635"/>
              <wp:positionH relativeFrom="page">
                <wp:align>center</wp:align>
              </wp:positionH>
              <wp:positionV relativeFrom="page">
                <wp:align>bottom</wp:align>
              </wp:positionV>
              <wp:extent cx="622300" cy="404495"/>
              <wp:effectExtent l="0" t="0" r="6350" b="0"/>
              <wp:wrapNone/>
              <wp:docPr id="190928165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B706AED" w14:textId="72C2C243"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9A86CF" id="_x0000_t202" coordsize="21600,21600" o:spt="202" path="m,l,21600r21600,l21600,xe">
              <v:stroke joinstyle="miter"/>
              <v:path gradientshapeok="t" o:connecttype="rect"/>
            </v:shapetype>
            <v:shape id="Text Box 11" o:spid="_x0000_s1031" type="#_x0000_t202" alt="OFFICIAL" style="position:absolute;margin-left:0;margin-top:0;width:49pt;height:31.8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fill o:detectmouseclick="t"/>
              <v:textbox style="mso-fit-shape-to-text:t" inset="0,0,0,15pt">
                <w:txbxContent>
                  <w:p w14:paraId="0B706AED" w14:textId="72C2C243"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01D7C" w14:textId="2FE0B94D" w:rsidR="00320381" w:rsidRDefault="00320381">
    <w:pPr>
      <w:pStyle w:val="Footer"/>
    </w:pPr>
    <w:r>
      <w:rPr>
        <w14:numForm w14:val="default"/>
        <w14:numSpacing w14:val="default"/>
      </w:rPr>
      <mc:AlternateContent>
        <mc:Choice Requires="wps">
          <w:drawing>
            <wp:anchor distT="0" distB="0" distL="0" distR="0" simplePos="0" relativeHeight="251671552" behindDoc="0" locked="0" layoutInCell="1" allowOverlap="1" wp14:anchorId="5B3191C4" wp14:editId="5EADB992">
              <wp:simplePos x="635" y="635"/>
              <wp:positionH relativeFrom="page">
                <wp:align>center</wp:align>
              </wp:positionH>
              <wp:positionV relativeFrom="page">
                <wp:align>bottom</wp:align>
              </wp:positionV>
              <wp:extent cx="622300" cy="404495"/>
              <wp:effectExtent l="0" t="0" r="6350" b="0"/>
              <wp:wrapNone/>
              <wp:docPr id="21420014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AF2449A" w14:textId="1B3EABD4"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191C4" id="_x0000_t202" coordsize="21600,21600" o:spt="202" path="m,l,21600r21600,l21600,xe">
              <v:stroke joinstyle="miter"/>
              <v:path gradientshapeok="t" o:connecttype="rect"/>
            </v:shapetype>
            <v:shape id="Text Box 9" o:spid="_x0000_s1033" type="#_x0000_t202" alt="OFFICIAL" style="position:absolute;margin-left:0;margin-top:0;width:49pt;height:31.8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fill o:detectmouseclick="t"/>
              <v:textbox style="mso-fit-shape-to-text:t" inset="0,0,0,15pt">
                <w:txbxContent>
                  <w:p w14:paraId="5AF2449A" w14:textId="1B3EABD4"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0534" w14:textId="2E882B31" w:rsidR="001A07C1" w:rsidRPr="00F14040" w:rsidRDefault="00320381" w:rsidP="00A1505E">
    <w:r>
      <w:rPr>
        <w:noProof/>
      </w:rPr>
      <mc:AlternateContent>
        <mc:Choice Requires="wps">
          <w:drawing>
            <wp:anchor distT="0" distB="0" distL="0" distR="0" simplePos="0" relativeHeight="251675648" behindDoc="0" locked="0" layoutInCell="1" allowOverlap="1" wp14:anchorId="38EDCA59" wp14:editId="33C05596">
              <wp:simplePos x="635" y="635"/>
              <wp:positionH relativeFrom="page">
                <wp:align>center</wp:align>
              </wp:positionH>
              <wp:positionV relativeFrom="page">
                <wp:align>bottom</wp:align>
              </wp:positionV>
              <wp:extent cx="622300" cy="404495"/>
              <wp:effectExtent l="0" t="0" r="6350" b="0"/>
              <wp:wrapNone/>
              <wp:docPr id="58964991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FF41DC5" w14:textId="6326F597"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EDCA59" id="_x0000_t202" coordsize="21600,21600" o:spt="202" path="m,l,21600r21600,l21600,xe">
              <v:stroke joinstyle="miter"/>
              <v:path gradientshapeok="t" o:connecttype="rect"/>
            </v:shapetype>
            <v:shape id="Text Box 13" o:spid="_x0000_s1034" type="#_x0000_t202" alt="OFFICIAL" style="position:absolute;margin-left:0;margin-top:0;width:49pt;height:31.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jg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ypqZOx+B9WJhkIY9u2dXDdUeiN8eBJIC6ZuSbTh&#10;kQ5toCs5nC3OasCff/PHfOKdopx1JJiSW1I0Z+a7pX1EbY0GjsYuGdOb/CrSYw/tHZAMp/QinEwm&#10;eTGY0dQI7QvJeRULUUhYSeVKvhvNuzAol56DVKtVSiIZORE2dutkhI50RS6f+xeB7kx4oE09wKgm&#10;UbzjfciNN71bHQKxn5YSqR2IPDNOEkxrPT+XqPG3/ynr8qiXvwA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LzzOOANAgAAHAQA&#10;AA4AAAAAAAAAAAAAAAAALgIAAGRycy9lMm9Eb2MueG1sUEsBAi0AFAAGAAgAAAAhAFanuMraAAAA&#10;AwEAAA8AAAAAAAAAAAAAAAAAZwQAAGRycy9kb3ducmV2LnhtbFBLBQYAAAAABAAEAPMAAABuBQAA&#10;AAA=&#10;" filled="f" stroked="f">
              <v:fill o:detectmouseclick="t"/>
              <v:textbox style="mso-fit-shape-to-text:t" inset="0,0,0,15pt">
                <w:txbxContent>
                  <w:p w14:paraId="4FF41DC5" w14:textId="6326F597"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1638" w14:textId="45B3D178" w:rsidR="00156444" w:rsidRDefault="00320381" w:rsidP="003B19C8">
    <w:pPr>
      <w:pStyle w:val="Footer"/>
    </w:pPr>
    <w:r>
      <w:rPr>
        <w14:numForm w14:val="default"/>
        <w14:numSpacing w14:val="default"/>
      </w:rPr>
      <mc:AlternateContent>
        <mc:Choice Requires="wps">
          <w:drawing>
            <wp:anchor distT="0" distB="0" distL="0" distR="0" simplePos="0" relativeHeight="251674624" behindDoc="0" locked="0" layoutInCell="1" allowOverlap="1" wp14:anchorId="1E77C043" wp14:editId="51AEBC13">
              <wp:simplePos x="635" y="635"/>
              <wp:positionH relativeFrom="page">
                <wp:align>center</wp:align>
              </wp:positionH>
              <wp:positionV relativeFrom="page">
                <wp:align>bottom</wp:align>
              </wp:positionV>
              <wp:extent cx="622300" cy="404495"/>
              <wp:effectExtent l="0" t="0" r="6350" b="0"/>
              <wp:wrapNone/>
              <wp:docPr id="88042874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442A9E4" w14:textId="5C7C4E9E"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7C043" id="_x0000_t202" coordsize="21600,21600" o:spt="202" path="m,l,21600r21600,l21600,xe">
              <v:stroke joinstyle="miter"/>
              <v:path gradientshapeok="t" o:connecttype="rect"/>
            </v:shapetype>
            <v:shape id="Text Box 12" o:spid="_x0000_s1035" type="#_x0000_t202" alt="OFFICIAL" style="position:absolute;margin-left:0;margin-top:0;width:49pt;height:31.8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RTIrdDgIAABwE&#10;AAAOAAAAAAAAAAAAAAAAAC4CAABkcnMvZTJvRG9jLnhtbFBLAQItABQABgAIAAAAIQBWp7jK2gAA&#10;AAMBAAAPAAAAAAAAAAAAAAAAAGgEAABkcnMvZG93bnJldi54bWxQSwUGAAAAAAQABADzAAAAbwUA&#10;AAAA&#10;" filled="f" stroked="f">
              <v:fill o:detectmouseclick="t"/>
              <v:textbox style="mso-fit-shape-to-text:t" inset="0,0,0,15pt">
                <w:txbxContent>
                  <w:p w14:paraId="1442A9E4" w14:textId="5C7C4E9E"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217F0" w14:textId="41A0AA40" w:rsidR="003E15C2" w:rsidRPr="003B19C8" w:rsidRDefault="00320381" w:rsidP="003B19C8">
    <w:pPr>
      <w:pStyle w:val="Footer"/>
      <w:pBdr>
        <w:top w:val="single" w:sz="6" w:space="6" w:color="EF7D00"/>
      </w:pBdr>
      <w:rPr>
        <w:bCs/>
        <w:sz w:val="15"/>
        <w:szCs w:val="13"/>
      </w:rPr>
    </w:pPr>
    <w:r>
      <w:rPr>
        <w14:numForm w14:val="default"/>
        <w14:numSpacing w14:val="default"/>
      </w:rPr>
      <mc:AlternateContent>
        <mc:Choice Requires="wps">
          <w:drawing>
            <wp:anchor distT="0" distB="0" distL="0" distR="0" simplePos="0" relativeHeight="251676672" behindDoc="0" locked="0" layoutInCell="1" allowOverlap="1" wp14:anchorId="4BB02334" wp14:editId="478E0205">
              <wp:simplePos x="914400" y="10104120"/>
              <wp:positionH relativeFrom="page">
                <wp:align>center</wp:align>
              </wp:positionH>
              <wp:positionV relativeFrom="page">
                <wp:align>bottom</wp:align>
              </wp:positionV>
              <wp:extent cx="622300" cy="404495"/>
              <wp:effectExtent l="0" t="0" r="6350" b="0"/>
              <wp:wrapNone/>
              <wp:docPr id="961056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D4AC80F" w14:textId="68E9EB3F"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B02334" id="_x0000_t202" coordsize="21600,21600" o:spt="202" path="m,l,21600r21600,l21600,xe">
              <v:stroke joinstyle="miter"/>
              <v:path gradientshapeok="t" o:connecttype="rect"/>
            </v:shapetype>
            <v:shape id="Text Box 14" o:spid="_x0000_s1036" type="#_x0000_t202" alt="OFFICIAL" style="position:absolute;margin-left:0;margin-top:0;width:49pt;height:31.8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7jXNbDgIAABwE&#10;AAAOAAAAAAAAAAAAAAAAAC4CAABkcnMvZTJvRG9jLnhtbFBLAQItABQABgAIAAAAIQBWp7jK2gAA&#10;AAMBAAAPAAAAAAAAAAAAAAAAAGgEAABkcnMvZG93bnJldi54bWxQSwUGAAAAAAQABADzAAAAbwUA&#10;AAAA&#10;" filled="f" stroked="f">
              <v:fill o:detectmouseclick="t"/>
              <v:textbox style="mso-fit-shape-to-text:t" inset="0,0,0,15pt">
                <w:txbxContent>
                  <w:p w14:paraId="6D4AC80F" w14:textId="68E9EB3F"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v:textbox>
              <w10:wrap anchorx="page" anchory="page"/>
            </v:shape>
          </w:pict>
        </mc:Fallback>
      </mc:AlternateContent>
    </w:r>
    <w:r w:rsidR="003E15C2" w:rsidRPr="003B19C8">
      <w:drawing>
        <wp:anchor distT="0" distB="0" distL="114300" distR="114300" simplePos="0" relativeHeight="251665408" behindDoc="0" locked="0" layoutInCell="1" allowOverlap="1" wp14:anchorId="0A07A8AF" wp14:editId="15A762C5">
          <wp:simplePos x="0" y="0"/>
          <wp:positionH relativeFrom="column">
            <wp:posOffset>0</wp:posOffset>
          </wp:positionH>
          <wp:positionV relativeFrom="paragraph">
            <wp:posOffset>-6440</wp:posOffset>
          </wp:positionV>
          <wp:extent cx="295692" cy="283473"/>
          <wp:effectExtent l="0" t="0" r="0" b="0"/>
          <wp:wrapSquare wrapText="bothSides"/>
          <wp:docPr id="12960244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95692" cy="283473"/>
                  </a:xfrm>
                  <a:prstGeom prst="rect">
                    <a:avLst/>
                  </a:prstGeom>
                  <a:ln/>
                </pic:spPr>
              </pic:pic>
            </a:graphicData>
          </a:graphic>
          <wp14:sizeRelH relativeFrom="page">
            <wp14:pctWidth>0</wp14:pctWidth>
          </wp14:sizeRelH>
          <wp14:sizeRelV relativeFrom="page">
            <wp14:pctHeight>0</wp14:pctHeight>
          </wp14:sizeRelV>
        </wp:anchor>
      </w:drawing>
    </w:r>
    <w:fldSimple w:instr=" TITLE  \* MERGEFORMAT ">
      <w:r w:rsidR="00651A0D">
        <w:t>Independent review of viability of night-time livestock vessel inspections</w:t>
      </w:r>
    </w:fldSimple>
    <w:r w:rsidR="003E15C2" w:rsidRPr="003B19C8">
      <w:tab/>
    </w:r>
    <w:r w:rsidR="003E15C2" w:rsidRPr="003B19C8">
      <w:fldChar w:fldCharType="begin"/>
    </w:r>
    <w:r w:rsidR="003E15C2" w:rsidRPr="003B19C8">
      <w:instrText>PAGE</w:instrText>
    </w:r>
    <w:r w:rsidR="003E15C2" w:rsidRPr="003B19C8">
      <w:fldChar w:fldCharType="separate"/>
    </w:r>
    <w:r w:rsidR="003E15C2" w:rsidRPr="003B19C8">
      <w:t>3</w:t>
    </w:r>
    <w:r w:rsidR="003E15C2" w:rsidRPr="003B19C8">
      <w:fldChar w:fldCharType="end"/>
    </w:r>
    <w:r w:rsidR="003E15C2" w:rsidRPr="003B19C8">
      <mc:AlternateContent>
        <mc:Choice Requires="wps">
          <w:drawing>
            <wp:anchor distT="0" distB="0" distL="114300" distR="114300" simplePos="0" relativeHeight="251664384" behindDoc="0" locked="0" layoutInCell="1" hidden="0" allowOverlap="1" wp14:anchorId="369D1FE1" wp14:editId="6BC6DDE6">
              <wp:simplePos x="0" y="0"/>
              <wp:positionH relativeFrom="column">
                <wp:posOffset>395020</wp:posOffset>
              </wp:positionH>
              <wp:positionV relativeFrom="paragraph">
                <wp:posOffset>-3834</wp:posOffset>
              </wp:positionV>
              <wp:extent cx="0" cy="12700"/>
              <wp:effectExtent l="0" t="0" r="0" b="0"/>
              <wp:wrapNone/>
              <wp:docPr id="1443966955" name="Straight Arrow Connector 1443966955"/>
              <wp:cNvGraphicFramePr/>
              <a:graphic xmlns:a="http://schemas.openxmlformats.org/drawingml/2006/main">
                <a:graphicData uri="http://schemas.microsoft.com/office/word/2010/wordprocessingShape">
                  <wps:wsp>
                    <wps:cNvCnPr/>
                    <wps:spPr>
                      <a:xfrm>
                        <a:off x="2690583" y="3780000"/>
                        <a:ext cx="5310835" cy="0"/>
                      </a:xfrm>
                      <a:prstGeom prst="straightConnector1">
                        <a:avLst/>
                      </a:prstGeom>
                      <a:noFill/>
                      <a:ln w="12700" cap="flat" cmpd="sng">
                        <a:solidFill>
                          <a:srgbClr val="F6B918"/>
                        </a:solidFill>
                        <a:prstDash val="solid"/>
                        <a:bevel/>
                        <a:headEnd type="none" w="sm" len="sm"/>
                        <a:tailEnd type="none" w="sm" len="sm"/>
                      </a:ln>
                    </wps:spPr>
                    <wps:bodyPr/>
                  </wps:wsp>
                </a:graphicData>
              </a:graphic>
            </wp:anchor>
          </w:drawing>
        </mc:Choice>
        <mc:Fallback>
          <w:pict>
            <v:shapetype w14:anchorId="3BA8857B" id="_x0000_t32" coordsize="21600,21600" o:spt="32" o:oned="t" path="m,l21600,21600e" filled="f">
              <v:path arrowok="t" fillok="f" o:connecttype="none"/>
              <o:lock v:ext="edit" shapetype="t"/>
            </v:shapetype>
            <v:shape id="Straight Arrow Connector 1443966955" o:spid="_x0000_s1026" type="#_x0000_t32" style="position:absolute;margin-left:31.1pt;margin-top:-.3pt;width:0;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" strokecolor="#f6b918" strokeweight="1pt">
              <v:stroke startarrowwidth="narrow" startarrowlength="short" endarrowwidth="narrow" endarrowlength="short" joinstyle="bevel"/>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607F9" w14:textId="77777777" w:rsidR="00DB6D56" w:rsidRDefault="00DB6D56" w:rsidP="00A1505E">
      <w:r>
        <w:separator/>
      </w:r>
    </w:p>
    <w:p w14:paraId="468CCF85" w14:textId="77777777" w:rsidR="00DB6D56" w:rsidRDefault="00DB6D56" w:rsidP="00A1505E"/>
    <w:p w14:paraId="23020905" w14:textId="77777777" w:rsidR="00DB6D56" w:rsidRDefault="00DB6D56" w:rsidP="00A1505E"/>
  </w:footnote>
  <w:footnote w:type="continuationSeparator" w:id="0">
    <w:p w14:paraId="2489CD0E" w14:textId="77777777" w:rsidR="00DB6D56" w:rsidRDefault="00DB6D56" w:rsidP="00A1505E">
      <w:r>
        <w:continuationSeparator/>
      </w:r>
    </w:p>
    <w:p w14:paraId="558C58E4" w14:textId="77777777" w:rsidR="00DB6D56" w:rsidRDefault="00DB6D56" w:rsidP="00A1505E"/>
    <w:p w14:paraId="043B159F" w14:textId="77777777" w:rsidR="00DB6D56" w:rsidRDefault="00DB6D56" w:rsidP="00A1505E"/>
  </w:footnote>
  <w:footnote w:id="1">
    <w:p w14:paraId="7531A5AB" w14:textId="3204FCA1" w:rsidR="00A94FB6" w:rsidRDefault="00A94FB6">
      <w:pPr>
        <w:pStyle w:val="FootnoteText"/>
      </w:pPr>
      <w:r>
        <w:rPr>
          <w:rStyle w:val="FootnoteReference"/>
        </w:rPr>
        <w:footnoteRef/>
      </w:r>
      <w:r>
        <w:t xml:space="preserve"> Other commercial and non-commercial vessel</w:t>
      </w:r>
      <w:r w:rsidR="00AD0E42">
        <w:t>s</w:t>
      </w:r>
      <w:r>
        <w:t xml:space="preserve"> may be exempt from in-person inspections based on the risk they pose and compliance history.</w:t>
      </w:r>
    </w:p>
  </w:footnote>
  <w:footnote w:id="2">
    <w:p w14:paraId="634DD1C9" w14:textId="188B9D61" w:rsidR="000F253D" w:rsidRDefault="000F253D">
      <w:pPr>
        <w:pStyle w:val="FootnoteText"/>
      </w:pPr>
      <w:r>
        <w:rPr>
          <w:rStyle w:val="FootnoteReference"/>
        </w:rPr>
        <w:footnoteRef/>
      </w:r>
      <w:r>
        <w:t xml:space="preserve"> Disinsection is the procedure of using insecticides and other methods to kill or control insects in vessels, cargo, aircraft etc to comply with health and biosecurity requirements.</w:t>
      </w:r>
      <w:r w:rsidR="00F11025">
        <w:t xml:space="preserve"> It can refer to use of residual or knockdown products, as well as attractant traps.</w:t>
      </w:r>
    </w:p>
  </w:footnote>
  <w:footnote w:id="3">
    <w:p w14:paraId="07A1100F" w14:textId="75A177A7" w:rsidR="00C44AF7" w:rsidRDefault="00C44AF7">
      <w:pPr>
        <w:pStyle w:val="FootnoteText"/>
      </w:pPr>
      <w:r>
        <w:rPr>
          <w:rStyle w:val="FootnoteReference"/>
        </w:rPr>
        <w:footnoteRef/>
      </w:r>
      <w:r>
        <w:t xml:space="preserve"> Insectocutors are </w:t>
      </w:r>
      <w:r w:rsidRPr="00343C2D">
        <w:t>electronic devices that use ultraviolet (UV-A) light to attract flying insects, killing them instantly via an electrified grid</w:t>
      </w:r>
      <w:r w:rsidR="00283B60">
        <w:t>. Alternate designs include</w:t>
      </w:r>
      <w:r w:rsidRPr="00343C2D">
        <w:t xml:space="preserve"> trapping the</w:t>
      </w:r>
      <w:r w:rsidR="00283B60">
        <w:t xml:space="preserve"> insects</w:t>
      </w:r>
      <w:r w:rsidRPr="00343C2D">
        <w:t xml:space="preserve"> on a glue board</w:t>
      </w:r>
      <w:r w:rsidR="00283B60">
        <w:t>.</w:t>
      </w:r>
    </w:p>
  </w:footnote>
  <w:footnote w:id="4">
    <w:p w14:paraId="17621C43" w14:textId="1CBA0C47" w:rsidR="00BA4AEA" w:rsidRDefault="00BA4AEA">
      <w:pPr>
        <w:pStyle w:val="FootnoteText"/>
      </w:pPr>
      <w:r>
        <w:rPr>
          <w:rStyle w:val="FootnoteReference"/>
        </w:rPr>
        <w:footnoteRef/>
      </w:r>
      <w:r>
        <w:t xml:space="preserve"> </w:t>
      </w:r>
      <w:r w:rsidRPr="00BA4AEA">
        <w:t>https://www.agriculture.gov.au/biosecurity-trade/import/industry-advice/2022/29-2022</w:t>
      </w:r>
    </w:p>
  </w:footnote>
  <w:footnote w:id="5">
    <w:p w14:paraId="5FA5E343" w14:textId="0BF2B85F" w:rsidR="00BA4AEA" w:rsidRDefault="00BA4AEA">
      <w:pPr>
        <w:pStyle w:val="FootnoteText"/>
      </w:pPr>
      <w:r>
        <w:rPr>
          <w:rStyle w:val="FootnoteReference"/>
        </w:rPr>
        <w:footnoteRef/>
      </w:r>
      <w:r>
        <w:t xml:space="preserve"> </w:t>
      </w:r>
      <w:r w:rsidRPr="00BA4AEA">
        <w:t>https://www.agriculture.gov.au/biosecurity-trade/import/industry-advice/2022/162-2022</w:t>
      </w:r>
    </w:p>
  </w:footnote>
  <w:footnote w:id="6">
    <w:p w14:paraId="036A7621" w14:textId="4CB031B2" w:rsidR="00F11025" w:rsidRDefault="00F11025">
      <w:pPr>
        <w:pStyle w:val="FootnoteText"/>
      </w:pPr>
      <w:r>
        <w:rPr>
          <w:rStyle w:val="FootnoteReference"/>
        </w:rPr>
        <w:footnoteRef/>
      </w:r>
      <w:r>
        <w:t xml:space="preserve"> Lux </w:t>
      </w:r>
      <w:r w:rsidR="00620EAB">
        <w:t xml:space="preserve">is the SI unit used to measure the intensity of illumination of a surface. It is calculated as the amount of light (in lumens) divided by the area (in square metres). As the same light source is spread over a larger area, the lux falls inversely proportional to the coverage. </w:t>
      </w:r>
    </w:p>
  </w:footnote>
  <w:footnote w:id="7">
    <w:p w14:paraId="417FE78B" w14:textId="716A3F6A" w:rsidR="00997AD7" w:rsidRDefault="00997AD7">
      <w:pPr>
        <w:pStyle w:val="FootnoteText"/>
      </w:pPr>
      <w:r>
        <w:rPr>
          <w:rStyle w:val="FootnoteReference"/>
        </w:rPr>
        <w:footnoteRef/>
      </w:r>
      <w:r>
        <w:t xml:space="preserve"> </w:t>
      </w:r>
      <w:hyperlink r:id="rId1">
        <w:r w:rsidRPr="00997AD7">
          <w:rPr>
            <w:rStyle w:val="Hyperlink"/>
          </w:rPr>
          <w:t xml:space="preserve"> </w:t>
        </w:r>
      </w:hyperlink>
      <w:r w:rsidRPr="00997AD7">
        <w:t>https://www.amsa.gov.au/vessels-operators/cargoes-and-dangerous-goods/transporting-livestock-australia</w:t>
      </w:r>
    </w:p>
  </w:footnote>
  <w:footnote w:id="8">
    <w:p w14:paraId="08E2C359" w14:textId="57B26DFD" w:rsidR="00C44AF7" w:rsidRDefault="00C44AF7">
      <w:pPr>
        <w:pStyle w:val="FootnoteText"/>
      </w:pPr>
      <w:r>
        <w:rPr>
          <w:rStyle w:val="FootnoteReference"/>
        </w:rPr>
        <w:footnoteRef/>
      </w:r>
      <w:r>
        <w:t xml:space="preserve"> Eclosion refers to invertebrates emerging from a pupal case or hatching from an egg.</w:t>
      </w:r>
    </w:p>
  </w:footnote>
  <w:footnote w:id="9">
    <w:p w14:paraId="6F3451F4" w14:textId="60924F67" w:rsidR="00FE0927" w:rsidRDefault="00FE0927">
      <w:pPr>
        <w:pStyle w:val="FootnoteText"/>
      </w:pPr>
      <w:r>
        <w:rPr>
          <w:rStyle w:val="FootnoteReference"/>
        </w:rPr>
        <w:footnoteRef/>
      </w:r>
      <w:r>
        <w:t xml:space="preserve"> </w:t>
      </w:r>
      <w:r w:rsidRPr="00FE0927">
        <w:t xml:space="preserve">Statistical confounding occurs when a hidden third factor influences both the presumed cause and the effect, creating a false or misleading impression that the two are directly connected. </w:t>
      </w:r>
      <w:r>
        <w:t xml:space="preserve">In management, this is sometimes referred to as the Hawthorne Effect.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CD62F" w14:textId="088CFDF1" w:rsidR="00320381" w:rsidRDefault="00320381">
    <w:pPr>
      <w:pStyle w:val="Header"/>
    </w:pPr>
    <w:r>
      <w:rPr>
        <w:noProof/>
      </w:rPr>
      <mc:AlternateContent>
        <mc:Choice Requires="wps">
          <w:drawing>
            <wp:anchor distT="0" distB="0" distL="0" distR="0" simplePos="0" relativeHeight="251667456" behindDoc="0" locked="0" layoutInCell="1" allowOverlap="1" wp14:anchorId="23F6CAAA" wp14:editId="43196C12">
              <wp:simplePos x="635" y="635"/>
              <wp:positionH relativeFrom="page">
                <wp:align>center</wp:align>
              </wp:positionH>
              <wp:positionV relativeFrom="page">
                <wp:align>top</wp:align>
              </wp:positionV>
              <wp:extent cx="622300" cy="404495"/>
              <wp:effectExtent l="0" t="0" r="6350" b="14605"/>
              <wp:wrapNone/>
              <wp:docPr id="96498756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F46E2C0" w14:textId="6D75C354"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F6CAAA" id="_x0000_t202" coordsize="21600,21600" o:spt="202" path="m,l,21600r21600,l21600,xe">
              <v:stroke joinstyle="miter"/>
              <v:path gradientshapeok="t" o:connecttype="rect"/>
            </v:shapetype>
            <v:shape id="Text Box 5" o:spid="_x0000_s1028" type="#_x0000_t202" alt="OFFICIAL" style="position:absolute;margin-left:0;margin-top:0;width:49pt;height:31.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fill o:detectmouseclick="t"/>
              <v:textbox style="mso-fit-shape-to-text:t" inset="0,15pt,0,0">
                <w:txbxContent>
                  <w:p w14:paraId="4F46E2C0" w14:textId="6D75C354"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A7F95" w14:textId="4757961B" w:rsidR="00320381" w:rsidRDefault="00320381">
    <w:pPr>
      <w:pStyle w:val="Header"/>
    </w:pPr>
    <w:r>
      <w:rPr>
        <w:noProof/>
      </w:rPr>
      <mc:AlternateContent>
        <mc:Choice Requires="wps">
          <w:drawing>
            <wp:anchor distT="0" distB="0" distL="0" distR="0" simplePos="0" relativeHeight="251668480" behindDoc="0" locked="0" layoutInCell="1" allowOverlap="1" wp14:anchorId="06267137" wp14:editId="5ED6AA08">
              <wp:simplePos x="635" y="635"/>
              <wp:positionH relativeFrom="page">
                <wp:align>center</wp:align>
              </wp:positionH>
              <wp:positionV relativeFrom="page">
                <wp:align>top</wp:align>
              </wp:positionV>
              <wp:extent cx="622300" cy="404495"/>
              <wp:effectExtent l="0" t="0" r="6350" b="14605"/>
              <wp:wrapNone/>
              <wp:docPr id="103669078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18D928B" w14:textId="1F3BB903"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67137" id="_x0000_t202" coordsize="21600,21600" o:spt="202" path="m,l,21600r21600,l21600,xe">
              <v:stroke joinstyle="miter"/>
              <v:path gradientshapeok="t" o:connecttype="rect"/>
            </v:shapetype>
            <v:shape id="Text Box 6" o:spid="_x0000_s1029" type="#_x0000_t202" alt="OFFICIAL" style="position:absolute;margin-left:0;margin-top:0;width:49pt;height:31.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fill o:detectmouseclick="t"/>
              <v:textbox style="mso-fit-shape-to-text:t" inset="0,15pt,0,0">
                <w:txbxContent>
                  <w:p w14:paraId="318D928B" w14:textId="1F3BB903"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96B86" w14:textId="00D3BFC4" w:rsidR="00F574B8" w:rsidRDefault="00320381" w:rsidP="00A1505E">
    <w:pPr>
      <w:pStyle w:val="Header"/>
    </w:pPr>
    <w:r>
      <w:rPr>
        <w:noProof/>
        <w:lang w:val="en-GB"/>
      </w:rPr>
      <mc:AlternateContent>
        <mc:Choice Requires="wps">
          <w:drawing>
            <wp:anchor distT="0" distB="0" distL="0" distR="0" simplePos="0" relativeHeight="251666432" behindDoc="0" locked="0" layoutInCell="1" allowOverlap="1" wp14:anchorId="56706D96" wp14:editId="57A383AF">
              <wp:simplePos x="635" y="635"/>
              <wp:positionH relativeFrom="page">
                <wp:align>center</wp:align>
              </wp:positionH>
              <wp:positionV relativeFrom="page">
                <wp:align>top</wp:align>
              </wp:positionV>
              <wp:extent cx="622300" cy="404495"/>
              <wp:effectExtent l="0" t="0" r="6350" b="14605"/>
              <wp:wrapNone/>
              <wp:docPr id="111441884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63F6E51" w14:textId="6A77D12C"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06D96" id="_x0000_t202" coordsize="21600,21600" o:spt="202" path="m,l,21600r21600,l21600,xe">
              <v:stroke joinstyle="miter"/>
              <v:path gradientshapeok="t" o:connecttype="rect"/>
            </v:shapetype>
            <v:shape id="Text Box 4" o:spid="_x0000_s1032" type="#_x0000_t202" alt="OFFICIAL" style="position:absolute;margin-left:0;margin-top:0;width:49pt;height:31.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263F6E51" w14:textId="6A77D12C"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v:textbox>
              <w10:wrap anchorx="page" anchory="page"/>
            </v:shape>
          </w:pict>
        </mc:Fallback>
      </mc:AlternateContent>
    </w:r>
    <w:r w:rsidR="00756151">
      <w:rPr>
        <w:noProof/>
        <w:lang w:val="en-GB"/>
      </w:rPr>
      <w:drawing>
        <wp:anchor distT="0" distB="0" distL="114300" distR="114300" simplePos="0" relativeHeight="251658240" behindDoc="1" locked="1" layoutInCell="1" allowOverlap="1" wp14:anchorId="52FA38F0" wp14:editId="646739F5">
          <wp:simplePos x="0" y="0"/>
          <wp:positionH relativeFrom="page">
            <wp:posOffset>0</wp:posOffset>
          </wp:positionH>
          <wp:positionV relativeFrom="page">
            <wp:posOffset>1905</wp:posOffset>
          </wp:positionV>
          <wp:extent cx="7563485" cy="10685145"/>
          <wp:effectExtent l="0" t="0" r="5715" b="0"/>
          <wp:wrapNone/>
          <wp:docPr id="1883303042" name="Picture 188330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2.jpg"/>
                  <pic:cNvPicPr/>
                </pic:nvPicPr>
                <pic:blipFill>
                  <a:blip r:embed="rId1"/>
                  <a:stretch>
                    <a:fillRect/>
                  </a:stretch>
                </pic:blipFill>
                <pic:spPr>
                  <a:xfrm>
                    <a:off x="0" y="0"/>
                    <a:ext cx="7563485" cy="1068514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FA407" w14:textId="514C56B1" w:rsidR="003E15C2" w:rsidRDefault="00320381">
    <w:pPr>
      <w:pBdr>
        <w:top w:val="nil"/>
        <w:left w:val="nil"/>
        <w:bottom w:val="nil"/>
        <w:right w:val="nil"/>
        <w:between w:val="nil"/>
      </w:pBdr>
      <w:tabs>
        <w:tab w:val="right" w:pos="9000"/>
      </w:tabs>
      <w:rPr>
        <w:rFonts w:eastAsia="Garamond" w:cs="Garamond"/>
        <w:color w:val="000000"/>
        <w:sz w:val="18"/>
        <w:szCs w:val="18"/>
      </w:rPr>
    </w:pPr>
    <w:r>
      <w:rPr>
        <w:rFonts w:eastAsia="Garamond" w:cs="Garamond"/>
        <w:noProof/>
        <w:color w:val="000000"/>
        <w:sz w:val="18"/>
        <w:szCs w:val="18"/>
      </w:rPr>
      <mc:AlternateContent>
        <mc:Choice Requires="wps">
          <w:drawing>
            <wp:anchor distT="0" distB="0" distL="0" distR="0" simplePos="0" relativeHeight="251669504" behindDoc="0" locked="0" layoutInCell="1" allowOverlap="1" wp14:anchorId="78A696F2" wp14:editId="2340CE8E">
              <wp:simplePos x="914400" y="365760"/>
              <wp:positionH relativeFrom="page">
                <wp:align>center</wp:align>
              </wp:positionH>
              <wp:positionV relativeFrom="page">
                <wp:align>top</wp:align>
              </wp:positionV>
              <wp:extent cx="622300" cy="404495"/>
              <wp:effectExtent l="0" t="0" r="6350" b="14605"/>
              <wp:wrapNone/>
              <wp:docPr id="17873510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80E1E95" w14:textId="40B7F672"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A696F2" id="_x0000_t202" coordsize="21600,21600" o:spt="202" path="m,l,21600r21600,l21600,xe">
              <v:stroke joinstyle="miter"/>
              <v:path gradientshapeok="t" o:connecttype="rect"/>
            </v:shapetype>
            <v:shape id="Text Box 7" o:spid="_x0000_s1037" type="#_x0000_t202" alt="OFFICIAL" style="position:absolute;margin-left:0;margin-top:0;width:49pt;height:31.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CPWQ0g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280E1E95" w14:textId="40B7F672"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8C264" w14:textId="3BE5E15D" w:rsidR="004B1F95" w:rsidRDefault="00320381" w:rsidP="00A1505E">
    <w:pPr>
      <w:pStyle w:val="Header"/>
    </w:pPr>
    <w:r>
      <w:rPr>
        <w:noProof/>
      </w:rPr>
      <mc:AlternateContent>
        <mc:Choice Requires="wps">
          <w:drawing>
            <wp:anchor distT="0" distB="0" distL="0" distR="0" simplePos="0" relativeHeight="251670528" behindDoc="0" locked="0" layoutInCell="1" allowOverlap="1" wp14:anchorId="7D0388A5" wp14:editId="08F2FBA2">
              <wp:simplePos x="635" y="635"/>
              <wp:positionH relativeFrom="page">
                <wp:align>center</wp:align>
              </wp:positionH>
              <wp:positionV relativeFrom="page">
                <wp:align>top</wp:align>
              </wp:positionV>
              <wp:extent cx="622300" cy="404495"/>
              <wp:effectExtent l="0" t="0" r="6350" b="14605"/>
              <wp:wrapNone/>
              <wp:docPr id="186369388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75B3212" w14:textId="609CB82D"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0388A5" id="_x0000_t202" coordsize="21600,21600" o:spt="202" path="m,l,21600r21600,l21600,xe">
              <v:stroke joinstyle="miter"/>
              <v:path gradientshapeok="t" o:connecttype="rect"/>
            </v:shapetype>
            <v:shape id="Text Box 8" o:spid="_x0000_s1038" type="#_x0000_t202" alt="OFFICIAL" style="position:absolute;margin-left:0;margin-top:0;width:49pt;height:31.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B/KE9wDAIAAB0EAAAO&#10;AAAAAAAAAAAAAAAAAC4CAABkcnMvZTJvRG9jLnhtbFBLAQItABQABgAIAAAAIQC1VGR12QAAAAMB&#10;AAAPAAAAAAAAAAAAAAAAAGYEAABkcnMvZG93bnJldi54bWxQSwUGAAAAAAQABADzAAAAbAUAAAAA&#10;" filled="f" stroked="f">
              <v:fill o:detectmouseclick="t"/>
              <v:textbox style="mso-fit-shape-to-text:t" inset="0,15pt,0,0">
                <w:txbxContent>
                  <w:p w14:paraId="575B3212" w14:textId="609CB82D" w:rsidR="00320381" w:rsidRPr="00320381" w:rsidRDefault="00320381" w:rsidP="00320381">
                    <w:pPr>
                      <w:spacing w:after="0"/>
                      <w:rPr>
                        <w:rFonts w:ascii="Aptos" w:eastAsia="Aptos" w:hAnsi="Aptos" w:cs="Aptos"/>
                        <w:noProof/>
                        <w:color w:val="FF0000"/>
                        <w:sz w:val="24"/>
                      </w:rPr>
                    </w:pPr>
                    <w:r w:rsidRPr="00320381">
                      <w:rPr>
                        <w:rFonts w:ascii="Aptos" w:eastAsia="Aptos" w:hAnsi="Aptos" w:cs="Aptos"/>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C8E23BA"/>
    <w:lvl w:ilvl="0">
      <w:start w:val="1"/>
      <w:numFmt w:val="decimal"/>
      <w:pStyle w:val="ListNumber"/>
      <w:lvlText w:val="%1."/>
      <w:lvlJc w:val="left"/>
      <w:pPr>
        <w:tabs>
          <w:tab w:val="num" w:pos="360"/>
        </w:tabs>
        <w:ind w:left="360" w:hanging="360"/>
      </w:pPr>
    </w:lvl>
  </w:abstractNum>
  <w:abstractNum w:abstractNumId="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203906"/>
    <w:multiLevelType w:val="hybridMultilevel"/>
    <w:tmpl w:val="C77C6D0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D647A4D"/>
    <w:multiLevelType w:val="hybridMultilevel"/>
    <w:tmpl w:val="42E6DE28"/>
    <w:lvl w:ilvl="0" w:tplc="624EB1B8">
      <w:start w:val="1"/>
      <w:numFmt w:val="bullet"/>
      <w:pStyle w:val="ListParagraph"/>
      <w:lvlText w:val="•"/>
      <w:lvlJc w:val="left"/>
      <w:pPr>
        <w:ind w:left="720" w:hanging="360"/>
      </w:pPr>
      <w:rPr>
        <w:rFonts w:ascii="Garamond" w:hAnsi="Garamond" w:hint="default"/>
      </w:rPr>
    </w:lvl>
    <w:lvl w:ilvl="1" w:tplc="2A66EEFC">
      <w:start w:val="1"/>
      <w:numFmt w:val="bullet"/>
      <w:lvlText w:val="-"/>
      <w:lvlJc w:val="left"/>
      <w:pPr>
        <w:ind w:left="1440" w:hanging="360"/>
      </w:pPr>
      <w:rPr>
        <w:rFonts w:ascii="Garamond" w:hAnsi="Garamon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4723B"/>
    <w:multiLevelType w:val="hybridMultilevel"/>
    <w:tmpl w:val="621409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64428C2"/>
    <w:multiLevelType w:val="hybridMultilevel"/>
    <w:tmpl w:val="9BCEAE42"/>
    <w:lvl w:ilvl="0" w:tplc="FD90176A">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C4A5962"/>
    <w:multiLevelType w:val="multilevel"/>
    <w:tmpl w:val="D6203668"/>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D7C2D50"/>
    <w:multiLevelType w:val="hybridMultilevel"/>
    <w:tmpl w:val="46826E4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51AA3"/>
    <w:multiLevelType w:val="hybridMultilevel"/>
    <w:tmpl w:val="1C38D97A"/>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A5C1820"/>
    <w:multiLevelType w:val="hybridMultilevel"/>
    <w:tmpl w:val="029C60A8"/>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D749AB"/>
    <w:multiLevelType w:val="multilevel"/>
    <w:tmpl w:val="B8EE28E8"/>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3F3C1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B553BC9"/>
    <w:multiLevelType w:val="multilevel"/>
    <w:tmpl w:val="B8EE28E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1B424BD"/>
    <w:multiLevelType w:val="multilevel"/>
    <w:tmpl w:val="F15277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475421F"/>
    <w:multiLevelType w:val="hybridMultilevel"/>
    <w:tmpl w:val="C45A56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4D1426"/>
    <w:multiLevelType w:val="hybridMultilevel"/>
    <w:tmpl w:val="06FC59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3D3FC5"/>
    <w:multiLevelType w:val="hybridMultilevel"/>
    <w:tmpl w:val="70C0E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3640A4"/>
    <w:multiLevelType w:val="hybridMultilevel"/>
    <w:tmpl w:val="0A8284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136268"/>
    <w:multiLevelType w:val="hybridMultilevel"/>
    <w:tmpl w:val="10004D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5A192D"/>
    <w:multiLevelType w:val="hybridMultilevel"/>
    <w:tmpl w:val="26087B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8278002">
    <w:abstractNumId w:val="13"/>
  </w:num>
  <w:num w:numId="2" w16cid:durableId="2074228613">
    <w:abstractNumId w:val="18"/>
  </w:num>
  <w:num w:numId="3" w16cid:durableId="68424676">
    <w:abstractNumId w:val="1"/>
  </w:num>
  <w:num w:numId="4" w16cid:durableId="655963748">
    <w:abstractNumId w:val="0"/>
  </w:num>
  <w:num w:numId="5" w16cid:durableId="477722969">
    <w:abstractNumId w:val="19"/>
  </w:num>
  <w:num w:numId="6" w16cid:durableId="685668030">
    <w:abstractNumId w:val="6"/>
  </w:num>
  <w:num w:numId="7" w16cid:durableId="1510949826">
    <w:abstractNumId w:val="4"/>
  </w:num>
  <w:num w:numId="8" w16cid:durableId="671837235">
    <w:abstractNumId w:val="3"/>
  </w:num>
  <w:num w:numId="9" w16cid:durableId="1535918886">
    <w:abstractNumId w:val="14"/>
  </w:num>
  <w:num w:numId="10" w16cid:durableId="1395392526">
    <w:abstractNumId w:val="16"/>
  </w:num>
  <w:num w:numId="11" w16cid:durableId="1279675637">
    <w:abstractNumId w:val="15"/>
  </w:num>
  <w:num w:numId="12" w16cid:durableId="1593467283">
    <w:abstractNumId w:val="12"/>
  </w:num>
  <w:num w:numId="13" w16cid:durableId="1164929014">
    <w:abstractNumId w:val="8"/>
  </w:num>
  <w:num w:numId="14" w16cid:durableId="1925987192">
    <w:abstractNumId w:val="9"/>
  </w:num>
  <w:num w:numId="15" w16cid:durableId="1812089685">
    <w:abstractNumId w:val="5"/>
  </w:num>
  <w:num w:numId="16" w16cid:durableId="289285384">
    <w:abstractNumId w:val="17"/>
  </w:num>
  <w:num w:numId="17" w16cid:durableId="1243876992">
    <w:abstractNumId w:val="24"/>
  </w:num>
  <w:num w:numId="18" w16cid:durableId="649990005">
    <w:abstractNumId w:val="10"/>
  </w:num>
  <w:num w:numId="19" w16cid:durableId="1995908017">
    <w:abstractNumId w:val="23"/>
  </w:num>
  <w:num w:numId="20" w16cid:durableId="848298103">
    <w:abstractNumId w:val="22"/>
  </w:num>
  <w:num w:numId="21" w16cid:durableId="706025402">
    <w:abstractNumId w:val="20"/>
  </w:num>
  <w:num w:numId="22" w16cid:durableId="1791051879">
    <w:abstractNumId w:val="2"/>
  </w:num>
  <w:num w:numId="23" w16cid:durableId="452529096">
    <w:abstractNumId w:val="21"/>
  </w:num>
  <w:num w:numId="24" w16cid:durableId="1778210294">
    <w:abstractNumId w:val="11"/>
  </w:num>
  <w:num w:numId="25" w16cid:durableId="115101560">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5C2"/>
    <w:rsid w:val="00007640"/>
    <w:rsid w:val="00007A2D"/>
    <w:rsid w:val="000109A1"/>
    <w:rsid w:val="000119C1"/>
    <w:rsid w:val="0001394C"/>
    <w:rsid w:val="00013A29"/>
    <w:rsid w:val="000148B5"/>
    <w:rsid w:val="000207F9"/>
    <w:rsid w:val="00024338"/>
    <w:rsid w:val="00032657"/>
    <w:rsid w:val="00032E14"/>
    <w:rsid w:val="0003484F"/>
    <w:rsid w:val="00035F43"/>
    <w:rsid w:val="00047D1C"/>
    <w:rsid w:val="00053E84"/>
    <w:rsid w:val="000544D2"/>
    <w:rsid w:val="00056538"/>
    <w:rsid w:val="00056EDE"/>
    <w:rsid w:val="00061E09"/>
    <w:rsid w:val="0007619D"/>
    <w:rsid w:val="00077028"/>
    <w:rsid w:val="00080EA9"/>
    <w:rsid w:val="00080EB6"/>
    <w:rsid w:val="00082B60"/>
    <w:rsid w:val="00085904"/>
    <w:rsid w:val="00091661"/>
    <w:rsid w:val="00092961"/>
    <w:rsid w:val="00097480"/>
    <w:rsid w:val="000A2721"/>
    <w:rsid w:val="000B1C14"/>
    <w:rsid w:val="000B2A1D"/>
    <w:rsid w:val="000C0D55"/>
    <w:rsid w:val="000C10BA"/>
    <w:rsid w:val="000C17B8"/>
    <w:rsid w:val="000C4320"/>
    <w:rsid w:val="000C5DB0"/>
    <w:rsid w:val="000C5F9E"/>
    <w:rsid w:val="000D280C"/>
    <w:rsid w:val="000D5F9A"/>
    <w:rsid w:val="000D6B7B"/>
    <w:rsid w:val="000D7E2C"/>
    <w:rsid w:val="000E096B"/>
    <w:rsid w:val="000F1020"/>
    <w:rsid w:val="000F1DB6"/>
    <w:rsid w:val="000F253D"/>
    <w:rsid w:val="000F704E"/>
    <w:rsid w:val="00100909"/>
    <w:rsid w:val="00103BBC"/>
    <w:rsid w:val="0010454D"/>
    <w:rsid w:val="00104E39"/>
    <w:rsid w:val="00107CFF"/>
    <w:rsid w:val="00110E6B"/>
    <w:rsid w:val="0011265A"/>
    <w:rsid w:val="00114BAC"/>
    <w:rsid w:val="00116770"/>
    <w:rsid w:val="00121C62"/>
    <w:rsid w:val="00121F46"/>
    <w:rsid w:val="00122DB1"/>
    <w:rsid w:val="00122FF0"/>
    <w:rsid w:val="00123FDA"/>
    <w:rsid w:val="00125D13"/>
    <w:rsid w:val="00126A4A"/>
    <w:rsid w:val="00127095"/>
    <w:rsid w:val="001273BD"/>
    <w:rsid w:val="00131FFC"/>
    <w:rsid w:val="001363B7"/>
    <w:rsid w:val="00136FFD"/>
    <w:rsid w:val="0014147E"/>
    <w:rsid w:val="00143F77"/>
    <w:rsid w:val="001441D2"/>
    <w:rsid w:val="00155B43"/>
    <w:rsid w:val="00156444"/>
    <w:rsid w:val="001700A7"/>
    <w:rsid w:val="0017263F"/>
    <w:rsid w:val="00173F97"/>
    <w:rsid w:val="0018429B"/>
    <w:rsid w:val="00186DA1"/>
    <w:rsid w:val="00192A9D"/>
    <w:rsid w:val="001946D2"/>
    <w:rsid w:val="0019568A"/>
    <w:rsid w:val="001979BF"/>
    <w:rsid w:val="001A07C1"/>
    <w:rsid w:val="001A0906"/>
    <w:rsid w:val="001A0E0C"/>
    <w:rsid w:val="001A3C79"/>
    <w:rsid w:val="001A46E7"/>
    <w:rsid w:val="001B2499"/>
    <w:rsid w:val="001B2712"/>
    <w:rsid w:val="001B2EC1"/>
    <w:rsid w:val="001C31C0"/>
    <w:rsid w:val="001C3B25"/>
    <w:rsid w:val="001C650F"/>
    <w:rsid w:val="001C78D5"/>
    <w:rsid w:val="001D3B24"/>
    <w:rsid w:val="001D3C26"/>
    <w:rsid w:val="001D4D1F"/>
    <w:rsid w:val="001E0B07"/>
    <w:rsid w:val="001F07F4"/>
    <w:rsid w:val="001F278F"/>
    <w:rsid w:val="001F3741"/>
    <w:rsid w:val="001F3EE2"/>
    <w:rsid w:val="002020E5"/>
    <w:rsid w:val="0020319C"/>
    <w:rsid w:val="0020345D"/>
    <w:rsid w:val="002143A5"/>
    <w:rsid w:val="00223521"/>
    <w:rsid w:val="00232C56"/>
    <w:rsid w:val="00242916"/>
    <w:rsid w:val="00260A40"/>
    <w:rsid w:val="0026280F"/>
    <w:rsid w:val="00271B40"/>
    <w:rsid w:val="00271F64"/>
    <w:rsid w:val="0027530D"/>
    <w:rsid w:val="002772DC"/>
    <w:rsid w:val="00277324"/>
    <w:rsid w:val="00280C55"/>
    <w:rsid w:val="0028190D"/>
    <w:rsid w:val="00282298"/>
    <w:rsid w:val="0028236E"/>
    <w:rsid w:val="00283659"/>
    <w:rsid w:val="00283B60"/>
    <w:rsid w:val="00284611"/>
    <w:rsid w:val="002846AF"/>
    <w:rsid w:val="0029345F"/>
    <w:rsid w:val="00294893"/>
    <w:rsid w:val="002A10EB"/>
    <w:rsid w:val="002A32FD"/>
    <w:rsid w:val="002B1B9F"/>
    <w:rsid w:val="002C19BF"/>
    <w:rsid w:val="002C3F92"/>
    <w:rsid w:val="002C61F5"/>
    <w:rsid w:val="002D0313"/>
    <w:rsid w:val="002D6A54"/>
    <w:rsid w:val="002E37C2"/>
    <w:rsid w:val="002E447B"/>
    <w:rsid w:val="002E52DD"/>
    <w:rsid w:val="002E6060"/>
    <w:rsid w:val="002E7894"/>
    <w:rsid w:val="002F2B07"/>
    <w:rsid w:val="002F52BA"/>
    <w:rsid w:val="002F776D"/>
    <w:rsid w:val="003033DA"/>
    <w:rsid w:val="0030397D"/>
    <w:rsid w:val="00305529"/>
    <w:rsid w:val="00320381"/>
    <w:rsid w:val="0032231F"/>
    <w:rsid w:val="00330291"/>
    <w:rsid w:val="0033188B"/>
    <w:rsid w:val="00336F6F"/>
    <w:rsid w:val="00337496"/>
    <w:rsid w:val="003375F1"/>
    <w:rsid w:val="00343C2D"/>
    <w:rsid w:val="00350370"/>
    <w:rsid w:val="00352CA1"/>
    <w:rsid w:val="00355810"/>
    <w:rsid w:val="00356C3D"/>
    <w:rsid w:val="00357482"/>
    <w:rsid w:val="00365BE2"/>
    <w:rsid w:val="00375338"/>
    <w:rsid w:val="003807D5"/>
    <w:rsid w:val="00381A6B"/>
    <w:rsid w:val="0038355E"/>
    <w:rsid w:val="003857C6"/>
    <w:rsid w:val="00386278"/>
    <w:rsid w:val="00390A6D"/>
    <w:rsid w:val="0039361E"/>
    <w:rsid w:val="003A22D1"/>
    <w:rsid w:val="003A76E4"/>
    <w:rsid w:val="003B0F9A"/>
    <w:rsid w:val="003B172F"/>
    <w:rsid w:val="003B19C8"/>
    <w:rsid w:val="003C7041"/>
    <w:rsid w:val="003D0620"/>
    <w:rsid w:val="003D38D6"/>
    <w:rsid w:val="003E15C2"/>
    <w:rsid w:val="003E1C6D"/>
    <w:rsid w:val="003E542E"/>
    <w:rsid w:val="003F0D42"/>
    <w:rsid w:val="003F0EB8"/>
    <w:rsid w:val="003F2413"/>
    <w:rsid w:val="003F2BF1"/>
    <w:rsid w:val="003F6532"/>
    <w:rsid w:val="003F6FF6"/>
    <w:rsid w:val="00400C21"/>
    <w:rsid w:val="0040217D"/>
    <w:rsid w:val="00405E40"/>
    <w:rsid w:val="004107D3"/>
    <w:rsid w:val="00417069"/>
    <w:rsid w:val="00421AAE"/>
    <w:rsid w:val="00422945"/>
    <w:rsid w:val="00422EF0"/>
    <w:rsid w:val="00430BDC"/>
    <w:rsid w:val="004357E4"/>
    <w:rsid w:val="004359CE"/>
    <w:rsid w:val="0044143B"/>
    <w:rsid w:val="00441A50"/>
    <w:rsid w:val="004439F9"/>
    <w:rsid w:val="00444669"/>
    <w:rsid w:val="00455061"/>
    <w:rsid w:val="0045759D"/>
    <w:rsid w:val="00460CE5"/>
    <w:rsid w:val="00470554"/>
    <w:rsid w:val="004745BB"/>
    <w:rsid w:val="004822BC"/>
    <w:rsid w:val="0048295D"/>
    <w:rsid w:val="00485B4A"/>
    <w:rsid w:val="0048716B"/>
    <w:rsid w:val="004900B9"/>
    <w:rsid w:val="0049163E"/>
    <w:rsid w:val="004957C3"/>
    <w:rsid w:val="00497D20"/>
    <w:rsid w:val="004A3816"/>
    <w:rsid w:val="004B1F95"/>
    <w:rsid w:val="004B3496"/>
    <w:rsid w:val="004B5B0D"/>
    <w:rsid w:val="004C01F9"/>
    <w:rsid w:val="004C2857"/>
    <w:rsid w:val="004D0564"/>
    <w:rsid w:val="004D129F"/>
    <w:rsid w:val="004D49C1"/>
    <w:rsid w:val="004D4B62"/>
    <w:rsid w:val="004D56EC"/>
    <w:rsid w:val="004D6005"/>
    <w:rsid w:val="004D665E"/>
    <w:rsid w:val="004D6BBC"/>
    <w:rsid w:val="004D79BE"/>
    <w:rsid w:val="004F2879"/>
    <w:rsid w:val="004F324E"/>
    <w:rsid w:val="004F526D"/>
    <w:rsid w:val="005056F7"/>
    <w:rsid w:val="00507384"/>
    <w:rsid w:val="005108A3"/>
    <w:rsid w:val="00510A83"/>
    <w:rsid w:val="00523F72"/>
    <w:rsid w:val="00527C5F"/>
    <w:rsid w:val="00527EBF"/>
    <w:rsid w:val="005300D0"/>
    <w:rsid w:val="00535E60"/>
    <w:rsid w:val="00543CF4"/>
    <w:rsid w:val="005529A9"/>
    <w:rsid w:val="00553A68"/>
    <w:rsid w:val="00553BB9"/>
    <w:rsid w:val="00555395"/>
    <w:rsid w:val="00561CB3"/>
    <w:rsid w:val="00564A8E"/>
    <w:rsid w:val="005672AF"/>
    <w:rsid w:val="0056746A"/>
    <w:rsid w:val="00574E9A"/>
    <w:rsid w:val="005771D2"/>
    <w:rsid w:val="00586FC7"/>
    <w:rsid w:val="00596B52"/>
    <w:rsid w:val="005A1825"/>
    <w:rsid w:val="005A1D7A"/>
    <w:rsid w:val="005A3244"/>
    <w:rsid w:val="005A362B"/>
    <w:rsid w:val="005A72C4"/>
    <w:rsid w:val="005B7395"/>
    <w:rsid w:val="005B76C8"/>
    <w:rsid w:val="005C7BCB"/>
    <w:rsid w:val="005D0672"/>
    <w:rsid w:val="005D1CBB"/>
    <w:rsid w:val="005D3DBA"/>
    <w:rsid w:val="005E3087"/>
    <w:rsid w:val="005E46B5"/>
    <w:rsid w:val="005E5A75"/>
    <w:rsid w:val="005F1827"/>
    <w:rsid w:val="005F394E"/>
    <w:rsid w:val="005F4FE4"/>
    <w:rsid w:val="005F6073"/>
    <w:rsid w:val="005F7E36"/>
    <w:rsid w:val="00600D70"/>
    <w:rsid w:val="00603A2A"/>
    <w:rsid w:val="00610C4A"/>
    <w:rsid w:val="00612156"/>
    <w:rsid w:val="00615DC6"/>
    <w:rsid w:val="00620EAB"/>
    <w:rsid w:val="00625C17"/>
    <w:rsid w:val="00626EE2"/>
    <w:rsid w:val="00636932"/>
    <w:rsid w:val="00643567"/>
    <w:rsid w:val="00644978"/>
    <w:rsid w:val="00651A0D"/>
    <w:rsid w:val="006527EF"/>
    <w:rsid w:val="0065631A"/>
    <w:rsid w:val="006604A4"/>
    <w:rsid w:val="00660730"/>
    <w:rsid w:val="00663191"/>
    <w:rsid w:val="00665081"/>
    <w:rsid w:val="006678D2"/>
    <w:rsid w:val="0067382B"/>
    <w:rsid w:val="00683C5A"/>
    <w:rsid w:val="006928ED"/>
    <w:rsid w:val="00692B58"/>
    <w:rsid w:val="00696FEB"/>
    <w:rsid w:val="006A09D6"/>
    <w:rsid w:val="006A1C61"/>
    <w:rsid w:val="006A3A42"/>
    <w:rsid w:val="006A5F9C"/>
    <w:rsid w:val="006A718B"/>
    <w:rsid w:val="006B4086"/>
    <w:rsid w:val="006B7092"/>
    <w:rsid w:val="006C1472"/>
    <w:rsid w:val="006C1769"/>
    <w:rsid w:val="006C1AF9"/>
    <w:rsid w:val="006C62B2"/>
    <w:rsid w:val="006D0AF7"/>
    <w:rsid w:val="006D1F9A"/>
    <w:rsid w:val="006D2F05"/>
    <w:rsid w:val="006D3870"/>
    <w:rsid w:val="006D4E76"/>
    <w:rsid w:val="006D6647"/>
    <w:rsid w:val="006E326D"/>
    <w:rsid w:val="006E4672"/>
    <w:rsid w:val="006E7CA3"/>
    <w:rsid w:val="006F0FD8"/>
    <w:rsid w:val="006F37AA"/>
    <w:rsid w:val="006F3E72"/>
    <w:rsid w:val="006F48D6"/>
    <w:rsid w:val="006F5743"/>
    <w:rsid w:val="00701E70"/>
    <w:rsid w:val="00704FE3"/>
    <w:rsid w:val="0070593C"/>
    <w:rsid w:val="00710729"/>
    <w:rsid w:val="00711766"/>
    <w:rsid w:val="00712EAB"/>
    <w:rsid w:val="0071521F"/>
    <w:rsid w:val="00720693"/>
    <w:rsid w:val="00721310"/>
    <w:rsid w:val="00721A64"/>
    <w:rsid w:val="00721C1C"/>
    <w:rsid w:val="00722F06"/>
    <w:rsid w:val="00723721"/>
    <w:rsid w:val="00724FC5"/>
    <w:rsid w:val="007350FF"/>
    <w:rsid w:val="00737658"/>
    <w:rsid w:val="00743EFC"/>
    <w:rsid w:val="007450A1"/>
    <w:rsid w:val="00746C62"/>
    <w:rsid w:val="00752E5E"/>
    <w:rsid w:val="007532F6"/>
    <w:rsid w:val="00756151"/>
    <w:rsid w:val="007561DD"/>
    <w:rsid w:val="00757B2A"/>
    <w:rsid w:val="00761D24"/>
    <w:rsid w:val="00765BA8"/>
    <w:rsid w:val="00766482"/>
    <w:rsid w:val="00767971"/>
    <w:rsid w:val="00770969"/>
    <w:rsid w:val="00772D67"/>
    <w:rsid w:val="00773806"/>
    <w:rsid w:val="00773F22"/>
    <w:rsid w:val="007754ED"/>
    <w:rsid w:val="00775C84"/>
    <w:rsid w:val="007851E5"/>
    <w:rsid w:val="00786A91"/>
    <w:rsid w:val="00792FEB"/>
    <w:rsid w:val="0079310C"/>
    <w:rsid w:val="00793655"/>
    <w:rsid w:val="00793721"/>
    <w:rsid w:val="007A0C25"/>
    <w:rsid w:val="007A108E"/>
    <w:rsid w:val="007B6376"/>
    <w:rsid w:val="007B714A"/>
    <w:rsid w:val="007C097D"/>
    <w:rsid w:val="007C1D1B"/>
    <w:rsid w:val="007C2043"/>
    <w:rsid w:val="007C3B62"/>
    <w:rsid w:val="007C4FDA"/>
    <w:rsid w:val="007D0149"/>
    <w:rsid w:val="007D0F05"/>
    <w:rsid w:val="007D50E9"/>
    <w:rsid w:val="007D6DAB"/>
    <w:rsid w:val="007E375E"/>
    <w:rsid w:val="007E483D"/>
    <w:rsid w:val="007F4F2C"/>
    <w:rsid w:val="007F7939"/>
    <w:rsid w:val="00800085"/>
    <w:rsid w:val="00810D93"/>
    <w:rsid w:val="00821D0E"/>
    <w:rsid w:val="00826A26"/>
    <w:rsid w:val="0083124B"/>
    <w:rsid w:val="00831306"/>
    <w:rsid w:val="00833C97"/>
    <w:rsid w:val="00842FEF"/>
    <w:rsid w:val="00846EFD"/>
    <w:rsid w:val="00850CFD"/>
    <w:rsid w:val="00867E10"/>
    <w:rsid w:val="0087087F"/>
    <w:rsid w:val="0087276E"/>
    <w:rsid w:val="00874403"/>
    <w:rsid w:val="00874EAF"/>
    <w:rsid w:val="0088030E"/>
    <w:rsid w:val="00881039"/>
    <w:rsid w:val="00882ACB"/>
    <w:rsid w:val="00884BBE"/>
    <w:rsid w:val="00884DA9"/>
    <w:rsid w:val="00885E71"/>
    <w:rsid w:val="008A00F9"/>
    <w:rsid w:val="008B0325"/>
    <w:rsid w:val="008B37AD"/>
    <w:rsid w:val="008B5A39"/>
    <w:rsid w:val="008B62F4"/>
    <w:rsid w:val="008B63D8"/>
    <w:rsid w:val="008B7077"/>
    <w:rsid w:val="008B7663"/>
    <w:rsid w:val="008C7E52"/>
    <w:rsid w:val="008D09FB"/>
    <w:rsid w:val="008D32BA"/>
    <w:rsid w:val="008D3E6F"/>
    <w:rsid w:val="008D4781"/>
    <w:rsid w:val="008D4F90"/>
    <w:rsid w:val="008D5825"/>
    <w:rsid w:val="008E619A"/>
    <w:rsid w:val="008F0125"/>
    <w:rsid w:val="008F16AB"/>
    <w:rsid w:val="008F3423"/>
    <w:rsid w:val="008F3AA8"/>
    <w:rsid w:val="009003D6"/>
    <w:rsid w:val="00905195"/>
    <w:rsid w:val="009064EF"/>
    <w:rsid w:val="00907019"/>
    <w:rsid w:val="00907DAC"/>
    <w:rsid w:val="009101C6"/>
    <w:rsid w:val="009140BF"/>
    <w:rsid w:val="0091442C"/>
    <w:rsid w:val="00916A47"/>
    <w:rsid w:val="00916B19"/>
    <w:rsid w:val="0091721B"/>
    <w:rsid w:val="009234AD"/>
    <w:rsid w:val="00927481"/>
    <w:rsid w:val="00932C6D"/>
    <w:rsid w:val="0093349D"/>
    <w:rsid w:val="00935EBF"/>
    <w:rsid w:val="009360A4"/>
    <w:rsid w:val="0093717C"/>
    <w:rsid w:val="00941AAE"/>
    <w:rsid w:val="00942585"/>
    <w:rsid w:val="00944D02"/>
    <w:rsid w:val="0094579E"/>
    <w:rsid w:val="00945E3D"/>
    <w:rsid w:val="00952275"/>
    <w:rsid w:val="00953794"/>
    <w:rsid w:val="0096081E"/>
    <w:rsid w:val="00961243"/>
    <w:rsid w:val="00962D75"/>
    <w:rsid w:val="009656F3"/>
    <w:rsid w:val="009704ED"/>
    <w:rsid w:val="00976D59"/>
    <w:rsid w:val="0098365F"/>
    <w:rsid w:val="009847F5"/>
    <w:rsid w:val="009874DF"/>
    <w:rsid w:val="00987E6E"/>
    <w:rsid w:val="00993A54"/>
    <w:rsid w:val="0099501A"/>
    <w:rsid w:val="00997AD7"/>
    <w:rsid w:val="009A1D87"/>
    <w:rsid w:val="009B7624"/>
    <w:rsid w:val="009C014B"/>
    <w:rsid w:val="009C02CD"/>
    <w:rsid w:val="009C0B89"/>
    <w:rsid w:val="009C6E71"/>
    <w:rsid w:val="009C6EE8"/>
    <w:rsid w:val="009C7BA5"/>
    <w:rsid w:val="009C7DEA"/>
    <w:rsid w:val="009D2D3B"/>
    <w:rsid w:val="009D7752"/>
    <w:rsid w:val="009E1EA2"/>
    <w:rsid w:val="009E3B68"/>
    <w:rsid w:val="009E6676"/>
    <w:rsid w:val="009E67A9"/>
    <w:rsid w:val="009F0A68"/>
    <w:rsid w:val="009F7472"/>
    <w:rsid w:val="00A12EAC"/>
    <w:rsid w:val="00A1505E"/>
    <w:rsid w:val="00A15D96"/>
    <w:rsid w:val="00A16E8D"/>
    <w:rsid w:val="00A20105"/>
    <w:rsid w:val="00A221B5"/>
    <w:rsid w:val="00A240BC"/>
    <w:rsid w:val="00A32C92"/>
    <w:rsid w:val="00A33CBE"/>
    <w:rsid w:val="00A400F7"/>
    <w:rsid w:val="00A456EA"/>
    <w:rsid w:val="00A45DF8"/>
    <w:rsid w:val="00A51861"/>
    <w:rsid w:val="00A549AC"/>
    <w:rsid w:val="00A54EB1"/>
    <w:rsid w:val="00A564A7"/>
    <w:rsid w:val="00A657DE"/>
    <w:rsid w:val="00A71A21"/>
    <w:rsid w:val="00A73510"/>
    <w:rsid w:val="00A74193"/>
    <w:rsid w:val="00A8129E"/>
    <w:rsid w:val="00A91569"/>
    <w:rsid w:val="00A9331B"/>
    <w:rsid w:val="00A94FB6"/>
    <w:rsid w:val="00AA0FD7"/>
    <w:rsid w:val="00AA4A1C"/>
    <w:rsid w:val="00AB454B"/>
    <w:rsid w:val="00AB5F3E"/>
    <w:rsid w:val="00AC0D66"/>
    <w:rsid w:val="00AC246D"/>
    <w:rsid w:val="00AC3CC3"/>
    <w:rsid w:val="00AC5DAA"/>
    <w:rsid w:val="00AC775E"/>
    <w:rsid w:val="00AC7A06"/>
    <w:rsid w:val="00AC7F16"/>
    <w:rsid w:val="00AD0CD0"/>
    <w:rsid w:val="00AD0E42"/>
    <w:rsid w:val="00AE74CA"/>
    <w:rsid w:val="00AF0E4C"/>
    <w:rsid w:val="00AF6C86"/>
    <w:rsid w:val="00B04B32"/>
    <w:rsid w:val="00B078E2"/>
    <w:rsid w:val="00B1068C"/>
    <w:rsid w:val="00B12684"/>
    <w:rsid w:val="00B14786"/>
    <w:rsid w:val="00B14E97"/>
    <w:rsid w:val="00B1647E"/>
    <w:rsid w:val="00B20444"/>
    <w:rsid w:val="00B215C3"/>
    <w:rsid w:val="00B2487F"/>
    <w:rsid w:val="00B31050"/>
    <w:rsid w:val="00B32351"/>
    <w:rsid w:val="00B40DA2"/>
    <w:rsid w:val="00B433D8"/>
    <w:rsid w:val="00B469B7"/>
    <w:rsid w:val="00B50D30"/>
    <w:rsid w:val="00B53A89"/>
    <w:rsid w:val="00B53D44"/>
    <w:rsid w:val="00B553DF"/>
    <w:rsid w:val="00B55F41"/>
    <w:rsid w:val="00B6407D"/>
    <w:rsid w:val="00B64994"/>
    <w:rsid w:val="00B65F59"/>
    <w:rsid w:val="00B7037D"/>
    <w:rsid w:val="00B72C06"/>
    <w:rsid w:val="00B743B7"/>
    <w:rsid w:val="00B849FB"/>
    <w:rsid w:val="00B859E2"/>
    <w:rsid w:val="00B9146A"/>
    <w:rsid w:val="00B94A53"/>
    <w:rsid w:val="00BA4AEA"/>
    <w:rsid w:val="00BA7C13"/>
    <w:rsid w:val="00BA7CAC"/>
    <w:rsid w:val="00BB02B7"/>
    <w:rsid w:val="00BB1574"/>
    <w:rsid w:val="00BB201B"/>
    <w:rsid w:val="00BB41A7"/>
    <w:rsid w:val="00BB55F9"/>
    <w:rsid w:val="00BB5800"/>
    <w:rsid w:val="00BC29B0"/>
    <w:rsid w:val="00BC3DBA"/>
    <w:rsid w:val="00BC7E12"/>
    <w:rsid w:val="00BD1B8B"/>
    <w:rsid w:val="00BD346C"/>
    <w:rsid w:val="00BD7181"/>
    <w:rsid w:val="00BE4AF7"/>
    <w:rsid w:val="00BF0233"/>
    <w:rsid w:val="00BF0969"/>
    <w:rsid w:val="00BF5151"/>
    <w:rsid w:val="00C03704"/>
    <w:rsid w:val="00C049B6"/>
    <w:rsid w:val="00C15A1F"/>
    <w:rsid w:val="00C231B4"/>
    <w:rsid w:val="00C23451"/>
    <w:rsid w:val="00C24C69"/>
    <w:rsid w:val="00C25539"/>
    <w:rsid w:val="00C271EA"/>
    <w:rsid w:val="00C354F3"/>
    <w:rsid w:val="00C35F46"/>
    <w:rsid w:val="00C44AF7"/>
    <w:rsid w:val="00C45C28"/>
    <w:rsid w:val="00C465B1"/>
    <w:rsid w:val="00C46B33"/>
    <w:rsid w:val="00C56DE8"/>
    <w:rsid w:val="00C65883"/>
    <w:rsid w:val="00C704D8"/>
    <w:rsid w:val="00C74CBF"/>
    <w:rsid w:val="00C75DE5"/>
    <w:rsid w:val="00C7688B"/>
    <w:rsid w:val="00C77604"/>
    <w:rsid w:val="00C80DCC"/>
    <w:rsid w:val="00C82680"/>
    <w:rsid w:val="00C831DF"/>
    <w:rsid w:val="00C86FE9"/>
    <w:rsid w:val="00C92341"/>
    <w:rsid w:val="00C94D9E"/>
    <w:rsid w:val="00C9562E"/>
    <w:rsid w:val="00CA15C8"/>
    <w:rsid w:val="00CA4E98"/>
    <w:rsid w:val="00CA65EF"/>
    <w:rsid w:val="00CA6AAF"/>
    <w:rsid w:val="00CA70D5"/>
    <w:rsid w:val="00CA738F"/>
    <w:rsid w:val="00CB55FD"/>
    <w:rsid w:val="00CB6B42"/>
    <w:rsid w:val="00CC1E19"/>
    <w:rsid w:val="00CC2685"/>
    <w:rsid w:val="00CD07E9"/>
    <w:rsid w:val="00CD4E02"/>
    <w:rsid w:val="00CE1FAC"/>
    <w:rsid w:val="00CE5CEF"/>
    <w:rsid w:val="00CE68C0"/>
    <w:rsid w:val="00CF4C32"/>
    <w:rsid w:val="00CF6C64"/>
    <w:rsid w:val="00D006AB"/>
    <w:rsid w:val="00D00DEB"/>
    <w:rsid w:val="00D028D7"/>
    <w:rsid w:val="00D03C40"/>
    <w:rsid w:val="00D114D3"/>
    <w:rsid w:val="00D13634"/>
    <w:rsid w:val="00D15783"/>
    <w:rsid w:val="00D15A49"/>
    <w:rsid w:val="00D163A4"/>
    <w:rsid w:val="00D17055"/>
    <w:rsid w:val="00D20FD9"/>
    <w:rsid w:val="00D21DB1"/>
    <w:rsid w:val="00D222E6"/>
    <w:rsid w:val="00D30C35"/>
    <w:rsid w:val="00D34EB1"/>
    <w:rsid w:val="00D419FE"/>
    <w:rsid w:val="00D43A14"/>
    <w:rsid w:val="00D45453"/>
    <w:rsid w:val="00D705A1"/>
    <w:rsid w:val="00D70EE4"/>
    <w:rsid w:val="00D71A5E"/>
    <w:rsid w:val="00D72544"/>
    <w:rsid w:val="00D73860"/>
    <w:rsid w:val="00D74AC6"/>
    <w:rsid w:val="00D752B8"/>
    <w:rsid w:val="00D80818"/>
    <w:rsid w:val="00D82A91"/>
    <w:rsid w:val="00D84536"/>
    <w:rsid w:val="00D84722"/>
    <w:rsid w:val="00D84C13"/>
    <w:rsid w:val="00D85147"/>
    <w:rsid w:val="00D863BE"/>
    <w:rsid w:val="00D86656"/>
    <w:rsid w:val="00D87AD6"/>
    <w:rsid w:val="00D90F26"/>
    <w:rsid w:val="00D93B4A"/>
    <w:rsid w:val="00D958AE"/>
    <w:rsid w:val="00D96F7C"/>
    <w:rsid w:val="00DA59D7"/>
    <w:rsid w:val="00DB0E30"/>
    <w:rsid w:val="00DB3125"/>
    <w:rsid w:val="00DB4375"/>
    <w:rsid w:val="00DB6CF0"/>
    <w:rsid w:val="00DB6D56"/>
    <w:rsid w:val="00DB76F4"/>
    <w:rsid w:val="00DC122C"/>
    <w:rsid w:val="00DC6AB7"/>
    <w:rsid w:val="00DD192A"/>
    <w:rsid w:val="00DE3582"/>
    <w:rsid w:val="00DE3BA4"/>
    <w:rsid w:val="00DE3FBF"/>
    <w:rsid w:val="00DF1474"/>
    <w:rsid w:val="00DF56DD"/>
    <w:rsid w:val="00E01534"/>
    <w:rsid w:val="00E030DB"/>
    <w:rsid w:val="00E14B86"/>
    <w:rsid w:val="00E261EB"/>
    <w:rsid w:val="00E2713D"/>
    <w:rsid w:val="00E31DDC"/>
    <w:rsid w:val="00E34E86"/>
    <w:rsid w:val="00E35DF1"/>
    <w:rsid w:val="00E44D39"/>
    <w:rsid w:val="00E459F3"/>
    <w:rsid w:val="00E46F4F"/>
    <w:rsid w:val="00E5098A"/>
    <w:rsid w:val="00E50CBE"/>
    <w:rsid w:val="00E555C2"/>
    <w:rsid w:val="00E601A6"/>
    <w:rsid w:val="00E618F2"/>
    <w:rsid w:val="00E61CC5"/>
    <w:rsid w:val="00E62540"/>
    <w:rsid w:val="00E638AC"/>
    <w:rsid w:val="00E6657A"/>
    <w:rsid w:val="00E729C6"/>
    <w:rsid w:val="00E77C0A"/>
    <w:rsid w:val="00E810DD"/>
    <w:rsid w:val="00E834BF"/>
    <w:rsid w:val="00E84D86"/>
    <w:rsid w:val="00E868A5"/>
    <w:rsid w:val="00E869A2"/>
    <w:rsid w:val="00E914CA"/>
    <w:rsid w:val="00E958C5"/>
    <w:rsid w:val="00EA4416"/>
    <w:rsid w:val="00EA5E42"/>
    <w:rsid w:val="00EA763D"/>
    <w:rsid w:val="00EB2953"/>
    <w:rsid w:val="00EB3AC1"/>
    <w:rsid w:val="00EB58C7"/>
    <w:rsid w:val="00EB785F"/>
    <w:rsid w:val="00EB7879"/>
    <w:rsid w:val="00EC0881"/>
    <w:rsid w:val="00EC162A"/>
    <w:rsid w:val="00EC2AB7"/>
    <w:rsid w:val="00EC342D"/>
    <w:rsid w:val="00EC6BF3"/>
    <w:rsid w:val="00EC7159"/>
    <w:rsid w:val="00ED0901"/>
    <w:rsid w:val="00EE2F27"/>
    <w:rsid w:val="00EE3A0E"/>
    <w:rsid w:val="00EE42CE"/>
    <w:rsid w:val="00EE6312"/>
    <w:rsid w:val="00EE6938"/>
    <w:rsid w:val="00EE7B06"/>
    <w:rsid w:val="00EF135F"/>
    <w:rsid w:val="00F03228"/>
    <w:rsid w:val="00F11025"/>
    <w:rsid w:val="00F11600"/>
    <w:rsid w:val="00F14040"/>
    <w:rsid w:val="00F1615C"/>
    <w:rsid w:val="00F21FFE"/>
    <w:rsid w:val="00F31128"/>
    <w:rsid w:val="00F31A59"/>
    <w:rsid w:val="00F349D9"/>
    <w:rsid w:val="00F36008"/>
    <w:rsid w:val="00F44451"/>
    <w:rsid w:val="00F46B8F"/>
    <w:rsid w:val="00F531F4"/>
    <w:rsid w:val="00F54572"/>
    <w:rsid w:val="00F54F56"/>
    <w:rsid w:val="00F55769"/>
    <w:rsid w:val="00F574B8"/>
    <w:rsid w:val="00F605FA"/>
    <w:rsid w:val="00F72300"/>
    <w:rsid w:val="00F76BD5"/>
    <w:rsid w:val="00F83349"/>
    <w:rsid w:val="00F85224"/>
    <w:rsid w:val="00F85832"/>
    <w:rsid w:val="00F86C25"/>
    <w:rsid w:val="00F90D07"/>
    <w:rsid w:val="00F91585"/>
    <w:rsid w:val="00F922AA"/>
    <w:rsid w:val="00F92762"/>
    <w:rsid w:val="00F9550C"/>
    <w:rsid w:val="00F95633"/>
    <w:rsid w:val="00F96875"/>
    <w:rsid w:val="00FA04BB"/>
    <w:rsid w:val="00FA5DE1"/>
    <w:rsid w:val="00FB25ED"/>
    <w:rsid w:val="00FB2918"/>
    <w:rsid w:val="00FB2F6C"/>
    <w:rsid w:val="00FB6CA8"/>
    <w:rsid w:val="00FB6FEC"/>
    <w:rsid w:val="00FB798A"/>
    <w:rsid w:val="00FD2FAD"/>
    <w:rsid w:val="00FE0927"/>
    <w:rsid w:val="00FE2BF4"/>
    <w:rsid w:val="00FE4EB9"/>
    <w:rsid w:val="00FE71AA"/>
    <w:rsid w:val="00FF2FAC"/>
    <w:rsid w:val="00FF3A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1E64A3"/>
  <w15:docId w15:val="{5806BA34-A0EF-0E4B-BFF1-5E2DC0F36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6407D"/>
    <w:pPr>
      <w:spacing w:after="120" w:line="276" w:lineRule="auto"/>
    </w:pPr>
    <w:rPr>
      <w:rFonts w:ascii="Garamond" w:hAnsi="Garamond"/>
      <w:sz w:val="22"/>
      <w:szCs w:val="24"/>
      <w:lang w:eastAsia="en-GB"/>
    </w:rPr>
  </w:style>
  <w:style w:type="paragraph" w:styleId="Heading1">
    <w:name w:val="heading 1"/>
    <w:next w:val="Normal"/>
    <w:link w:val="Heading1Char"/>
    <w:uiPriority w:val="9"/>
    <w:qFormat/>
    <w:rsid w:val="009E1EA2"/>
    <w:pPr>
      <w:keepNext/>
      <w:pageBreakBefore/>
      <w:numPr>
        <w:numId w:val="10"/>
      </w:numPr>
      <w:pBdr>
        <w:bottom w:val="single" w:sz="4" w:space="1" w:color="004F83"/>
      </w:pBdr>
      <w:spacing w:after="480"/>
      <w:outlineLvl w:val="0"/>
    </w:pPr>
    <w:rPr>
      <w:rFonts w:ascii="Open Sans SemiBold" w:hAnsi="Open Sans SemiBold" w:cs="Open Sans SemiBold"/>
      <w:b/>
      <w:bCs/>
      <w:color w:val="004F83"/>
      <w:kern w:val="32"/>
      <w:sz w:val="36"/>
      <w:szCs w:val="28"/>
      <w:lang w:eastAsia="en-US"/>
      <w14:numForm w14:val="lining"/>
    </w:rPr>
  </w:style>
  <w:style w:type="paragraph" w:styleId="Heading2">
    <w:name w:val="heading 2"/>
    <w:basedOn w:val="Heading1"/>
    <w:next w:val="Normal"/>
    <w:link w:val="Heading2Char"/>
    <w:uiPriority w:val="9"/>
    <w:qFormat/>
    <w:rsid w:val="00743EFC"/>
    <w:pPr>
      <w:keepLines/>
      <w:pageBreakBefore w:val="0"/>
      <w:numPr>
        <w:ilvl w:val="1"/>
      </w:numPr>
      <w:pBdr>
        <w:bottom w:val="none" w:sz="0" w:space="0" w:color="auto"/>
      </w:pBdr>
      <w:spacing w:before="120" w:after="360"/>
      <w:outlineLvl w:val="1"/>
    </w:pPr>
    <w:rPr>
      <w:bCs w:val="0"/>
      <w:iCs/>
      <w:sz w:val="28"/>
    </w:rPr>
  </w:style>
  <w:style w:type="paragraph" w:styleId="Heading3">
    <w:name w:val="heading 3"/>
    <w:basedOn w:val="Normal"/>
    <w:next w:val="Normal"/>
    <w:link w:val="Heading3Char"/>
    <w:uiPriority w:val="9"/>
    <w:qFormat/>
    <w:rsid w:val="003807D5"/>
    <w:pPr>
      <w:keepNext/>
      <w:numPr>
        <w:ilvl w:val="2"/>
        <w:numId w:val="10"/>
      </w:numPr>
      <w:spacing w:before="240"/>
      <w:outlineLvl w:val="2"/>
    </w:pPr>
    <w:rPr>
      <w:rFonts w:ascii="Open Sans SemiBold" w:hAnsi="Open Sans SemiBold" w:cs="Open Sans SemiBold"/>
      <w:b/>
      <w:bCs/>
      <w:color w:val="004F83"/>
      <w:szCs w:val="26"/>
      <w14:numForm w14:val="lining"/>
    </w:rPr>
  </w:style>
  <w:style w:type="paragraph" w:styleId="Heading4">
    <w:name w:val="heading 4"/>
    <w:basedOn w:val="Normal"/>
    <w:next w:val="Normal"/>
    <w:link w:val="Heading4Char"/>
    <w:uiPriority w:val="9"/>
    <w:qFormat/>
    <w:rsid w:val="003807D5"/>
    <w:pPr>
      <w:keepNext/>
      <w:numPr>
        <w:ilvl w:val="3"/>
        <w:numId w:val="10"/>
      </w:numPr>
      <w:spacing w:before="120"/>
      <w:outlineLvl w:val="3"/>
    </w:pPr>
    <w:rPr>
      <w:rFonts w:ascii="Open Sans" w:hAnsi="Open Sans" w:cs="Open Sans"/>
      <w:i/>
      <w:iCs/>
      <w:sz w:val="20"/>
      <w:szCs w:val="22"/>
      <w14:numForm w14:val="lining"/>
    </w:rPr>
  </w:style>
  <w:style w:type="paragraph" w:styleId="Heading5">
    <w:name w:val="heading 5"/>
    <w:basedOn w:val="Normal"/>
    <w:next w:val="Normal"/>
    <w:link w:val="Heading5Char"/>
    <w:uiPriority w:val="9"/>
    <w:qFormat/>
    <w:rsid w:val="00743EFC"/>
    <w:pPr>
      <w:keepNext/>
      <w:numPr>
        <w:ilvl w:val="4"/>
        <w:numId w:val="10"/>
      </w:numPr>
      <w:spacing w:before="60" w:after="60"/>
      <w:outlineLvl w:val="4"/>
    </w:pPr>
    <w:rPr>
      <w:rFonts w:ascii="Corbel" w:hAnsi="Corbel"/>
      <w:bCs/>
      <w:i/>
      <w:iCs/>
      <w:szCs w:val="26"/>
      <w14:numForm w14:val="lining"/>
    </w:rPr>
  </w:style>
  <w:style w:type="paragraph" w:styleId="Heading6">
    <w:name w:val="heading 6"/>
    <w:basedOn w:val="Normal"/>
    <w:next w:val="Normal"/>
    <w:link w:val="Heading6Char"/>
    <w:uiPriority w:val="9"/>
    <w:semiHidden/>
    <w:unhideWhenUsed/>
    <w:qFormat/>
    <w:rsid w:val="00743EFC"/>
    <w:pPr>
      <w:keepNext/>
      <w:keepLines/>
      <w:numPr>
        <w:ilvl w:val="5"/>
        <w:numId w:val="10"/>
      </w:numPr>
      <w:tabs>
        <w:tab w:val="num" w:pos="360"/>
      </w:tabs>
      <w:spacing w:before="40" w:after="0"/>
      <w:ind w:left="0" w:firstLine="0"/>
      <w:outlineLvl w:val="5"/>
    </w:pPr>
    <w:rPr>
      <w:rFonts w:asciiTheme="majorHAnsi" w:eastAsiaTheme="majorEastAsia" w:hAnsiTheme="majorHAnsi" w:cstheme="majorBidi"/>
      <w:color w:val="00274B" w:themeColor="accent1" w:themeShade="7F"/>
    </w:rPr>
  </w:style>
  <w:style w:type="paragraph" w:styleId="Heading7">
    <w:name w:val="heading 7"/>
    <w:basedOn w:val="Normal"/>
    <w:next w:val="Normal"/>
    <w:link w:val="Heading7Char"/>
    <w:uiPriority w:val="9"/>
    <w:semiHidden/>
    <w:unhideWhenUsed/>
    <w:qFormat/>
    <w:rsid w:val="00743EFC"/>
    <w:pPr>
      <w:keepNext/>
      <w:keepLines/>
      <w:numPr>
        <w:ilvl w:val="6"/>
        <w:numId w:val="10"/>
      </w:numPr>
      <w:tabs>
        <w:tab w:val="num" w:pos="360"/>
      </w:tabs>
      <w:spacing w:before="40" w:after="0"/>
      <w:ind w:left="0" w:firstLine="0"/>
      <w:outlineLvl w:val="6"/>
    </w:pPr>
    <w:rPr>
      <w:rFonts w:asciiTheme="majorHAnsi" w:eastAsiaTheme="majorEastAsia" w:hAnsiTheme="majorHAnsi" w:cstheme="majorBidi"/>
      <w:i/>
      <w:iCs/>
      <w:color w:val="00274B" w:themeColor="accent1" w:themeShade="7F"/>
    </w:rPr>
  </w:style>
  <w:style w:type="paragraph" w:styleId="Heading8">
    <w:name w:val="heading 8"/>
    <w:basedOn w:val="Normal"/>
    <w:next w:val="Normal"/>
    <w:link w:val="Heading8Char"/>
    <w:uiPriority w:val="9"/>
    <w:semiHidden/>
    <w:unhideWhenUsed/>
    <w:qFormat/>
    <w:rsid w:val="00743EFC"/>
    <w:pPr>
      <w:keepNext/>
      <w:keepLines/>
      <w:numPr>
        <w:ilvl w:val="7"/>
        <w:numId w:val="10"/>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3EFC"/>
    <w:pPr>
      <w:keepNext/>
      <w:keepLines/>
      <w:numPr>
        <w:ilvl w:val="8"/>
        <w:numId w:val="10"/>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Title"/>
    <w:next w:val="Normal"/>
    <w:link w:val="SubtitleChar"/>
    <w:uiPriority w:val="11"/>
    <w:qFormat/>
    <w:rsid w:val="00B72C06"/>
    <w:pPr>
      <w:numPr>
        <w:ilvl w:val="1"/>
      </w:numPr>
      <w:spacing w:after="840"/>
    </w:pPr>
    <w:rPr>
      <w:iCs/>
      <w:color w:val="000000" w:themeColor="text1"/>
      <w:kern w:val="0"/>
      <w:sz w:val="56"/>
      <w:szCs w:val="24"/>
    </w:rPr>
  </w:style>
  <w:style w:type="paragraph" w:customStyle="1" w:styleId="ReportDate">
    <w:name w:val="ReportDate"/>
    <w:basedOn w:val="Normal"/>
    <w:rsid w:val="0045759D"/>
    <w:pPr>
      <w:contextualSpacing/>
    </w:pPr>
    <w:rPr>
      <w:rFonts w:ascii="Corbel" w:hAnsi="Corbel"/>
      <w:b/>
      <w:color w:val="FFFFFF" w:themeColor="background1"/>
      <w:spacing w:val="-8"/>
      <w:kern w:val="22"/>
      <w:sz w:val="40"/>
      <w14:numForm w14:val="lining"/>
    </w:rPr>
  </w:style>
  <w:style w:type="paragraph" w:customStyle="1" w:styleId="Heading1a">
    <w:name w:val="Heading 1a"/>
    <w:basedOn w:val="Heading1"/>
    <w:next w:val="Normal"/>
    <w:qFormat/>
    <w:rsid w:val="00357482"/>
    <w:pPr>
      <w:numPr>
        <w:numId w:val="0"/>
      </w:numPr>
      <w:outlineLvl w:val="9"/>
    </w:pPr>
    <w:rPr>
      <w:bCs w:val="0"/>
    </w:rPr>
  </w:style>
  <w:style w:type="paragraph" w:customStyle="1" w:styleId="Heading2a">
    <w:name w:val="Heading 2a"/>
    <w:basedOn w:val="Heading2"/>
    <w:next w:val="Normal"/>
    <w:rsid w:val="00357482"/>
    <w:pPr>
      <w:numPr>
        <w:ilvl w:val="0"/>
        <w:numId w:val="0"/>
      </w:numPr>
      <w:outlineLvl w:val="9"/>
    </w:pPr>
  </w:style>
  <w:style w:type="paragraph" w:customStyle="1" w:styleId="Heading3a">
    <w:name w:val="Heading 3a"/>
    <w:basedOn w:val="Heading3"/>
    <w:next w:val="Normal"/>
    <w:rsid w:val="00357482"/>
    <w:pPr>
      <w:numPr>
        <w:ilvl w:val="0"/>
        <w:numId w:val="0"/>
      </w:numPr>
      <w:outlineLvl w:val="9"/>
    </w:pPr>
  </w:style>
  <w:style w:type="paragraph" w:styleId="Header">
    <w:name w:val="header"/>
    <w:basedOn w:val="Normal"/>
    <w:semiHidden/>
    <w:rsid w:val="00D20FD9"/>
    <w:pPr>
      <w:tabs>
        <w:tab w:val="right" w:pos="9000"/>
      </w:tabs>
    </w:pPr>
    <w:rPr>
      <w:sz w:val="18"/>
    </w:rPr>
  </w:style>
  <w:style w:type="paragraph" w:styleId="Footer">
    <w:name w:val="footer"/>
    <w:basedOn w:val="Normal"/>
    <w:link w:val="FooterChar"/>
    <w:autoRedefine/>
    <w:uiPriority w:val="99"/>
    <w:qFormat/>
    <w:rsid w:val="003B19C8"/>
    <w:pPr>
      <w:tabs>
        <w:tab w:val="right" w:pos="9000"/>
      </w:tabs>
      <w:spacing w:after="0" w:line="240" w:lineRule="auto"/>
    </w:pPr>
    <w:rPr>
      <w:rFonts w:ascii="Open Sans" w:eastAsia="Corbel" w:hAnsi="Open Sans" w:cs="Open Sans"/>
      <w:noProof/>
      <w:color w:val="004F97"/>
      <w:sz w:val="16"/>
      <w:szCs w:val="16"/>
      <w14:numForm w14:val="lining"/>
      <w14:numSpacing w14:val="tabular"/>
    </w:rPr>
  </w:style>
  <w:style w:type="character" w:styleId="PageNumber">
    <w:name w:val="page number"/>
    <w:basedOn w:val="DefaultParagraphFont"/>
    <w:semiHidden/>
    <w:qFormat/>
    <w:rsid w:val="00F55769"/>
    <w:rPr>
      <w:rFonts w:ascii="Corbel" w:hAnsi="Corbel"/>
      <w:b/>
      <w:i w:val="0"/>
      <w:sz w:val="20"/>
      <w:bdr w:val="none" w:sz="0" w:space="0" w:color="auto"/>
      <w14:ligatures w14:val="none"/>
      <w14:numForm w14:val="lining"/>
      <w14:numSpacing w14:val="default"/>
      <w14:cntxtAlts w14:val="0"/>
    </w:rPr>
  </w:style>
  <w:style w:type="paragraph" w:customStyle="1" w:styleId="TableText">
    <w:name w:val="TableText"/>
    <w:basedOn w:val="Normal"/>
    <w:rsid w:val="00D20FD9"/>
    <w:pPr>
      <w:keepNext/>
      <w:spacing w:before="60" w:after="60"/>
    </w:pPr>
    <w:rPr>
      <w:sz w:val="21"/>
      <w:szCs w:val="21"/>
    </w:rPr>
  </w:style>
  <w:style w:type="paragraph" w:customStyle="1" w:styleId="TableListNotesSpace">
    <w:name w:val="TableListNotes+Space"/>
    <w:basedOn w:val="TableText"/>
    <w:next w:val="Normal"/>
    <w:rsid w:val="00F31128"/>
    <w:pPr>
      <w:keepNext w:val="0"/>
      <w:keepLines/>
      <w:spacing w:before="0" w:after="360"/>
      <w:ind w:left="170" w:hanging="170"/>
    </w:pPr>
    <w:rPr>
      <w:sz w:val="18"/>
      <w:szCs w:val="18"/>
    </w:rPr>
  </w:style>
  <w:style w:type="paragraph" w:customStyle="1" w:styleId="TableListNotes">
    <w:name w:val="TableListNotes"/>
    <w:basedOn w:val="TableListNotesSpace"/>
    <w:rsid w:val="00F31128"/>
    <w:pPr>
      <w:keepNext/>
      <w:spacing w:after="0"/>
    </w:pPr>
  </w:style>
  <w:style w:type="paragraph" w:customStyle="1" w:styleId="TableName">
    <w:name w:val="TableName"/>
    <w:basedOn w:val="TableText"/>
    <w:rsid w:val="0045759D"/>
    <w:pPr>
      <w:pBdr>
        <w:top w:val="single" w:sz="4" w:space="1" w:color="004F83"/>
      </w:pBdr>
      <w:tabs>
        <w:tab w:val="left" w:pos="1080"/>
      </w:tabs>
      <w:spacing w:before="120" w:after="120"/>
      <w:ind w:left="1080" w:hanging="1080"/>
    </w:pPr>
    <w:rPr>
      <w:rFonts w:ascii="Corbel" w:hAnsi="Corbel"/>
      <w:b/>
      <w:bCs/>
      <w:color w:val="004F83"/>
      <w:sz w:val="22"/>
      <w14:numForm w14:val="lining"/>
    </w:rPr>
  </w:style>
  <w:style w:type="paragraph" w:customStyle="1" w:styleId="TableHeading">
    <w:name w:val="TableHeading"/>
    <w:basedOn w:val="TableText"/>
    <w:rsid w:val="002B1B9F"/>
    <w:rPr>
      <w:b/>
      <w:bCs/>
      <w:color w:val="004F83"/>
    </w:rPr>
  </w:style>
  <w:style w:type="paragraph" w:customStyle="1" w:styleId="TableBullet">
    <w:name w:val="TableBullet"/>
    <w:basedOn w:val="TableText"/>
    <w:rsid w:val="00D20FD9"/>
    <w:pPr>
      <w:numPr>
        <w:numId w:val="1"/>
      </w:numPr>
      <w:tabs>
        <w:tab w:val="clear" w:pos="360"/>
        <w:tab w:val="left" w:pos="216"/>
      </w:tabs>
      <w:ind w:left="216" w:hanging="216"/>
    </w:pPr>
  </w:style>
  <w:style w:type="paragraph" w:customStyle="1" w:styleId="TableDash">
    <w:name w:val="TableDash"/>
    <w:basedOn w:val="TableText"/>
    <w:rsid w:val="00D20FD9"/>
    <w:pPr>
      <w:numPr>
        <w:numId w:val="2"/>
      </w:numPr>
      <w:tabs>
        <w:tab w:val="clear" w:pos="216"/>
        <w:tab w:val="num" w:pos="432"/>
      </w:tabs>
    </w:pPr>
  </w:style>
  <w:style w:type="paragraph" w:styleId="Quote">
    <w:name w:val="Quote"/>
    <w:basedOn w:val="Normal"/>
    <w:link w:val="QuoteChar"/>
    <w:uiPriority w:val="29"/>
    <w:qFormat/>
    <w:rsid w:val="00D20FD9"/>
    <w:pPr>
      <w:ind w:left="720" w:right="720"/>
    </w:pPr>
    <w:rPr>
      <w:sz w:val="20"/>
    </w:rPr>
  </w:style>
  <w:style w:type="paragraph" w:customStyle="1" w:styleId="References">
    <w:name w:val="References"/>
    <w:basedOn w:val="Normal"/>
    <w:rsid w:val="00BD346C"/>
    <w:pPr>
      <w:keepLines/>
      <w:ind w:left="720" w:hanging="720"/>
    </w:pPr>
  </w:style>
  <w:style w:type="character" w:customStyle="1" w:styleId="FooterChar">
    <w:name w:val="Footer Char"/>
    <w:basedOn w:val="DefaultParagraphFont"/>
    <w:link w:val="Footer"/>
    <w:uiPriority w:val="99"/>
    <w:rsid w:val="003B19C8"/>
    <w:rPr>
      <w:rFonts w:ascii="Open Sans" w:eastAsia="Corbel" w:hAnsi="Open Sans" w:cs="Open Sans"/>
      <w:noProof/>
      <w:color w:val="004F97"/>
      <w:sz w:val="16"/>
      <w:szCs w:val="16"/>
      <w:lang w:eastAsia="en-GB"/>
      <w14:numForm w14:val="lining"/>
      <w14:numSpacing w14:val="tabular"/>
    </w:rPr>
  </w:style>
  <w:style w:type="paragraph" w:styleId="FootnoteText">
    <w:name w:val="footnote text"/>
    <w:basedOn w:val="Normal"/>
    <w:semiHidden/>
    <w:rsid w:val="00D20FD9"/>
    <w:pPr>
      <w:ind w:left="360" w:hanging="360"/>
    </w:pPr>
    <w:rPr>
      <w:sz w:val="20"/>
    </w:rPr>
  </w:style>
  <w:style w:type="character" w:styleId="FootnoteReference">
    <w:name w:val="footnote reference"/>
    <w:basedOn w:val="DefaultParagraphFont"/>
    <w:semiHidden/>
    <w:rsid w:val="00D20FD9"/>
    <w:rPr>
      <w:vertAlign w:val="superscript"/>
    </w:rPr>
  </w:style>
  <w:style w:type="paragraph" w:styleId="TOC1">
    <w:name w:val="toc 1"/>
    <w:basedOn w:val="Normal"/>
    <w:next w:val="Normal"/>
    <w:autoRedefine/>
    <w:uiPriority w:val="39"/>
    <w:rsid w:val="005F7E36"/>
    <w:pPr>
      <w:tabs>
        <w:tab w:val="left" w:pos="397"/>
        <w:tab w:val="right" w:leader="dot" w:pos="9016"/>
      </w:tabs>
      <w:spacing w:before="120" w:after="60"/>
      <w:ind w:left="720" w:right="720" w:hanging="720"/>
    </w:pPr>
    <w:rPr>
      <w:b/>
      <w:bCs/>
      <w:noProof/>
    </w:rPr>
  </w:style>
  <w:style w:type="paragraph" w:styleId="TOC2">
    <w:name w:val="toc 2"/>
    <w:basedOn w:val="Normal"/>
    <w:next w:val="Normal"/>
    <w:autoRedefine/>
    <w:uiPriority w:val="39"/>
    <w:rsid w:val="001A07C1"/>
    <w:pPr>
      <w:tabs>
        <w:tab w:val="left" w:pos="794"/>
        <w:tab w:val="left" w:pos="851"/>
        <w:tab w:val="left" w:pos="964"/>
        <w:tab w:val="left" w:pos="1021"/>
        <w:tab w:val="right" w:leader="dot" w:pos="9016"/>
      </w:tabs>
      <w:spacing w:before="120" w:after="60"/>
      <w:ind w:left="1117" w:right="720" w:hanging="720"/>
    </w:pPr>
  </w:style>
  <w:style w:type="paragraph" w:styleId="TOC3">
    <w:name w:val="toc 3"/>
    <w:basedOn w:val="Normal"/>
    <w:next w:val="Normal"/>
    <w:autoRedefine/>
    <w:uiPriority w:val="39"/>
    <w:rsid w:val="001A07C1"/>
    <w:pPr>
      <w:tabs>
        <w:tab w:val="left" w:pos="1247"/>
        <w:tab w:val="right" w:leader="dot" w:pos="9016"/>
      </w:tabs>
      <w:spacing w:after="20"/>
      <w:ind w:left="1588" w:right="720" w:hanging="794"/>
    </w:pPr>
  </w:style>
  <w:style w:type="paragraph" w:styleId="TableofFigures">
    <w:name w:val="table of figures"/>
    <w:basedOn w:val="Normal"/>
    <w:next w:val="Normal"/>
    <w:uiPriority w:val="99"/>
    <w:rsid w:val="007754ED"/>
    <w:pPr>
      <w:tabs>
        <w:tab w:val="left" w:pos="1080"/>
        <w:tab w:val="right" w:leader="dot" w:pos="9000"/>
      </w:tabs>
      <w:ind w:left="1080" w:right="720" w:hangingChars="450" w:hanging="1080"/>
    </w:pPr>
  </w:style>
  <w:style w:type="paragraph" w:customStyle="1" w:styleId="Dash">
    <w:name w:val="Dash"/>
    <w:basedOn w:val="Normal"/>
    <w:rsid w:val="00D20FD9"/>
    <w:pPr>
      <w:numPr>
        <w:numId w:val="3"/>
      </w:numPr>
      <w:tabs>
        <w:tab w:val="clear" w:pos="216"/>
        <w:tab w:val="left" w:pos="720"/>
      </w:tabs>
      <w:ind w:left="720" w:hanging="360"/>
    </w:pPr>
  </w:style>
  <w:style w:type="paragraph" w:customStyle="1" w:styleId="DashLast">
    <w:name w:val="DashLast"/>
    <w:basedOn w:val="Dash"/>
    <w:rsid w:val="00D20FD9"/>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D20FD9"/>
    <w:pPr>
      <w:keepNext/>
    </w:pPr>
  </w:style>
  <w:style w:type="paragraph" w:customStyle="1" w:styleId="BoxText">
    <w:name w:val="BoxText"/>
    <w:basedOn w:val="Normal"/>
    <w:qFormat/>
    <w:rsid w:val="00A51861"/>
    <w:pPr>
      <w:pBdr>
        <w:top w:val="single" w:sz="4" w:space="4" w:color="004F83"/>
        <w:left w:val="single" w:sz="4" w:space="4" w:color="004F83"/>
        <w:bottom w:val="single" w:sz="4" w:space="4" w:color="004F83"/>
        <w:right w:val="single" w:sz="4" w:space="4" w:color="004F83"/>
      </w:pBdr>
    </w:pPr>
  </w:style>
  <w:style w:type="paragraph" w:customStyle="1" w:styleId="BoxNotes">
    <w:name w:val="BoxNotes"/>
    <w:basedOn w:val="BoxText"/>
    <w:rsid w:val="00D20FD9"/>
    <w:pPr>
      <w:spacing w:before="120" w:after="60"/>
    </w:pPr>
    <w:rPr>
      <w:sz w:val="18"/>
    </w:rPr>
  </w:style>
  <w:style w:type="paragraph" w:customStyle="1" w:styleId="BoxName">
    <w:name w:val="BoxName"/>
    <w:basedOn w:val="BoxText"/>
    <w:rsid w:val="0018429B"/>
    <w:pPr>
      <w:keepNext/>
      <w:shd w:val="clear" w:color="auto" w:fill="004F83"/>
      <w:spacing w:before="180"/>
      <w:ind w:left="1080" w:hanging="1080"/>
    </w:pPr>
    <w:rPr>
      <w:rFonts w:ascii="Corbel" w:hAnsi="Corbel"/>
      <w:b/>
      <w:bCs/>
      <w:color w:val="FFFFFF" w:themeColor="background1"/>
      <w:sz w:val="24"/>
    </w:rPr>
  </w:style>
  <w:style w:type="paragraph" w:customStyle="1" w:styleId="BoxHeading">
    <w:name w:val="BoxHeading"/>
    <w:basedOn w:val="BoxText"/>
    <w:rsid w:val="0018429B"/>
    <w:pPr>
      <w:keepNext/>
      <w:spacing w:before="120" w:after="60"/>
    </w:pPr>
    <w:rPr>
      <w:rFonts w:ascii="Corbel" w:hAnsi="Corbel"/>
      <w:b/>
      <w:bCs/>
      <w:color w:val="004F83"/>
    </w:rPr>
  </w:style>
  <w:style w:type="paragraph" w:customStyle="1" w:styleId="BoxBullet">
    <w:name w:val="BoxBullet"/>
    <w:basedOn w:val="BoxText"/>
    <w:rsid w:val="00A9331B"/>
    <w:pPr>
      <w:numPr>
        <w:numId w:val="7"/>
      </w:numPr>
    </w:pPr>
  </w:style>
  <w:style w:type="paragraph" w:customStyle="1" w:styleId="BoxDash">
    <w:name w:val="BoxDash"/>
    <w:basedOn w:val="BoxText"/>
    <w:rsid w:val="00D20FD9"/>
    <w:pPr>
      <w:tabs>
        <w:tab w:val="left" w:pos="360"/>
        <w:tab w:val="left" w:pos="720"/>
      </w:tabs>
      <w:ind w:left="720" w:hanging="720"/>
    </w:pPr>
  </w:style>
  <w:style w:type="paragraph" w:styleId="TOC4">
    <w:name w:val="toc 4"/>
    <w:basedOn w:val="Normal"/>
    <w:next w:val="Normal"/>
    <w:autoRedefine/>
    <w:uiPriority w:val="39"/>
    <w:rsid w:val="00D20FD9"/>
    <w:pPr>
      <w:tabs>
        <w:tab w:val="right" w:leader="dot" w:pos="9016"/>
      </w:tabs>
      <w:ind w:left="2160" w:right="720"/>
    </w:pPr>
    <w:rPr>
      <w:noProof/>
    </w:rPr>
  </w:style>
  <w:style w:type="paragraph" w:customStyle="1" w:styleId="TableNotesSpace">
    <w:name w:val="TableNotes+Space"/>
    <w:basedOn w:val="TableListNotesSpace"/>
    <w:next w:val="Normal"/>
    <w:rsid w:val="00192A9D"/>
  </w:style>
  <w:style w:type="paragraph" w:customStyle="1" w:styleId="TableNotes">
    <w:name w:val="TableNotes"/>
    <w:basedOn w:val="TableNotesSpace"/>
    <w:rsid w:val="00192A9D"/>
    <w:pPr>
      <w:spacing w:after="0"/>
    </w:pPr>
  </w:style>
  <w:style w:type="table" w:styleId="TableGrid">
    <w:name w:val="Table Grid"/>
    <w:basedOn w:val="TableNormal"/>
    <w:uiPriority w:val="39"/>
    <w:rsid w:val="00BB1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Code">
    <w:name w:val="ComputerCode"/>
    <w:basedOn w:val="Normal"/>
    <w:rsid w:val="00773806"/>
    <w:pPr>
      <w:ind w:left="567"/>
      <w:contextualSpacing/>
    </w:pPr>
    <w:rPr>
      <w:rFonts w:ascii="Courier New" w:hAnsi="Courier New"/>
      <w:sz w:val="20"/>
    </w:rPr>
  </w:style>
  <w:style w:type="paragraph" w:customStyle="1" w:styleId="BulletChecklist">
    <w:name w:val="BulletChecklist"/>
    <w:basedOn w:val="Normal"/>
    <w:rsid w:val="00A1505E"/>
    <w:pPr>
      <w:numPr>
        <w:numId w:val="5"/>
      </w:numPr>
      <w:ind w:left="360"/>
    </w:pPr>
    <w:rPr>
      <w:noProof/>
    </w:rPr>
  </w:style>
  <w:style w:type="paragraph" w:customStyle="1" w:styleId="ImprintText">
    <w:name w:val="ImprintText"/>
    <w:basedOn w:val="Normal"/>
    <w:rsid w:val="001D4D1F"/>
    <w:rPr>
      <w:sz w:val="20"/>
    </w:rPr>
  </w:style>
  <w:style w:type="paragraph" w:customStyle="1" w:styleId="TableTextDecimalAlign">
    <w:name w:val="TableTextDecimalAlign"/>
    <w:basedOn w:val="TableText"/>
    <w:rsid w:val="009C7BA5"/>
    <w:pPr>
      <w:tabs>
        <w:tab w:val="decimal" w:pos="1119"/>
      </w:tabs>
    </w:pPr>
  </w:style>
  <w:style w:type="paragraph" w:customStyle="1" w:styleId="NormalIndent">
    <w:name w:val="NormalIndent"/>
    <w:basedOn w:val="Normal"/>
    <w:rsid w:val="008D32BA"/>
    <w:pPr>
      <w:ind w:left="357"/>
    </w:pPr>
  </w:style>
  <w:style w:type="paragraph" w:styleId="Title">
    <w:name w:val="Title"/>
    <w:next w:val="Subtitle"/>
    <w:link w:val="TitleChar"/>
    <w:uiPriority w:val="10"/>
    <w:qFormat/>
    <w:rsid w:val="002E37C2"/>
    <w:pPr>
      <w:spacing w:after="300"/>
      <w:contextualSpacing/>
    </w:pPr>
    <w:rPr>
      <w:rFonts w:ascii="Corbel" w:eastAsiaTheme="majorEastAsia" w:hAnsi="Corbel" w:cs="Times New Roman (Headings CS)"/>
      <w:b/>
      <w:color w:val="FFFFFF" w:themeColor="background1"/>
      <w:kern w:val="28"/>
      <w:sz w:val="96"/>
      <w:szCs w:val="52"/>
      <w:lang w:eastAsia="en-US"/>
      <w14:numForm w14:val="lining"/>
    </w:rPr>
  </w:style>
  <w:style w:type="character" w:customStyle="1" w:styleId="TitleChar">
    <w:name w:val="Title Char"/>
    <w:basedOn w:val="DefaultParagraphFont"/>
    <w:link w:val="Title"/>
    <w:uiPriority w:val="10"/>
    <w:rsid w:val="002E37C2"/>
    <w:rPr>
      <w:rFonts w:ascii="Corbel" w:eastAsiaTheme="majorEastAsia" w:hAnsi="Corbel" w:cs="Times New Roman (Headings CS)"/>
      <w:b/>
      <w:color w:val="FFFFFF" w:themeColor="background1"/>
      <w:kern w:val="28"/>
      <w:sz w:val="96"/>
      <w:szCs w:val="52"/>
      <w:lang w:eastAsia="en-US"/>
      <w14:numForm w14:val="lining"/>
    </w:rPr>
  </w:style>
  <w:style w:type="character" w:customStyle="1" w:styleId="SubtitleChar">
    <w:name w:val="Subtitle Char"/>
    <w:basedOn w:val="DefaultParagraphFont"/>
    <w:link w:val="Subtitle"/>
    <w:uiPriority w:val="11"/>
    <w:rsid w:val="00B72C06"/>
    <w:rPr>
      <w:rFonts w:ascii="Corbel" w:eastAsiaTheme="majorEastAsia" w:hAnsi="Corbel" w:cs="Times New Roman (Headings CS)"/>
      <w:b/>
      <w:iCs/>
      <w:color w:val="000000" w:themeColor="text1"/>
      <w:sz w:val="56"/>
      <w:szCs w:val="24"/>
      <w14:numForm w14:val="lining"/>
    </w:rPr>
  </w:style>
  <w:style w:type="paragraph" w:customStyle="1" w:styleId="QuoteNumberList">
    <w:name w:val="QuoteNumberList"/>
    <w:basedOn w:val="Quote"/>
    <w:rsid w:val="00BD346C"/>
    <w:pPr>
      <w:ind w:left="1117" w:hanging="397"/>
    </w:pPr>
    <w:rPr>
      <w:noProof/>
    </w:rPr>
  </w:style>
  <w:style w:type="paragraph" w:customStyle="1" w:styleId="QuoteBullet">
    <w:name w:val="QuoteBullet"/>
    <w:basedOn w:val="Quote"/>
    <w:rsid w:val="00BD346C"/>
    <w:pPr>
      <w:numPr>
        <w:numId w:val="6"/>
      </w:numPr>
      <w:ind w:left="1117" w:hanging="397"/>
    </w:pPr>
    <w:rPr>
      <w:noProof/>
    </w:rPr>
  </w:style>
  <w:style w:type="character" w:styleId="Hyperlink">
    <w:name w:val="Hyperlink"/>
    <w:basedOn w:val="DefaultParagraphFont"/>
    <w:uiPriority w:val="99"/>
    <w:unhideWhenUsed/>
    <w:rsid w:val="00527EBF"/>
    <w:rPr>
      <w:color w:val="0563C1" w:themeColor="hyperlink"/>
      <w:u w:val="single"/>
    </w:rPr>
  </w:style>
  <w:style w:type="paragraph" w:customStyle="1" w:styleId="PullQuote">
    <w:name w:val="PullQuote"/>
    <w:basedOn w:val="Normal"/>
    <w:qFormat/>
    <w:rsid w:val="002B1B9F"/>
    <w:pPr>
      <w:ind w:left="170" w:right="340"/>
    </w:pPr>
    <w:rPr>
      <w:rFonts w:ascii="Corbel" w:hAnsi="Corbel"/>
      <w:b/>
      <w:i/>
      <w:color w:val="DA7D00"/>
      <w:sz w:val="24"/>
    </w:rPr>
  </w:style>
  <w:style w:type="table" w:customStyle="1" w:styleId="Ausvet">
    <w:name w:val="Ausvet"/>
    <w:basedOn w:val="TableNormal"/>
    <w:uiPriority w:val="99"/>
    <w:rsid w:val="00355810"/>
    <w:rPr>
      <w:rFonts w:ascii="Garamond" w:hAnsi="Garamond"/>
      <w:sz w:val="21"/>
    </w:rPr>
    <w:tblPr>
      <w:tblBorders>
        <w:top w:val="single" w:sz="2" w:space="0" w:color="004F83"/>
        <w:bottom w:val="single" w:sz="2" w:space="0" w:color="004F83"/>
        <w:insideH w:val="single" w:sz="2" w:space="0" w:color="004F83"/>
      </w:tblBorders>
    </w:tblPr>
    <w:trPr>
      <w:cantSplit/>
    </w:trPr>
    <w:tblStylePr w:type="firstRow">
      <w:tblPr/>
      <w:trPr>
        <w:cantSplit/>
        <w:tblHeader/>
      </w:trPr>
    </w:tblStylePr>
  </w:style>
  <w:style w:type="paragraph" w:styleId="Caption">
    <w:name w:val="caption"/>
    <w:basedOn w:val="Normal"/>
    <w:next w:val="Normal"/>
    <w:uiPriority w:val="35"/>
    <w:unhideWhenUsed/>
    <w:qFormat/>
    <w:rsid w:val="00D419FE"/>
    <w:pPr>
      <w:keepNext/>
      <w:spacing w:before="120"/>
      <w:ind w:left="1077" w:hanging="1077"/>
    </w:pPr>
    <w:rPr>
      <w:rFonts w:ascii="Open Sans" w:hAnsi="Open Sans" w:cs="Open Sans"/>
      <w:bCs/>
      <w:iCs/>
      <w:color w:val="44546A" w:themeColor="text2"/>
      <w:sz w:val="16"/>
      <w:szCs w:val="15"/>
    </w:rPr>
  </w:style>
  <w:style w:type="paragraph" w:styleId="ListParagraph">
    <w:name w:val="List Paragraph"/>
    <w:basedOn w:val="Normal"/>
    <w:uiPriority w:val="34"/>
    <w:qFormat/>
    <w:rsid w:val="000207F9"/>
    <w:pPr>
      <w:numPr>
        <w:numId w:val="8"/>
      </w:numPr>
      <w:contextualSpacing/>
    </w:pPr>
  </w:style>
  <w:style w:type="paragraph" w:styleId="ListNumber">
    <w:name w:val="List Number"/>
    <w:basedOn w:val="Normal"/>
    <w:uiPriority w:val="99"/>
    <w:unhideWhenUsed/>
    <w:rsid w:val="00F531F4"/>
    <w:pPr>
      <w:numPr>
        <w:numId w:val="4"/>
      </w:numPr>
      <w:ind w:left="357" w:hanging="357"/>
    </w:pPr>
  </w:style>
  <w:style w:type="paragraph" w:customStyle="1" w:styleId="Author">
    <w:name w:val="Author"/>
    <w:basedOn w:val="Normal"/>
    <w:qFormat/>
    <w:rsid w:val="00944D02"/>
    <w:pPr>
      <w:spacing w:before="480"/>
    </w:pPr>
    <w:rPr>
      <w:rFonts w:ascii="Corbel" w:hAnsi="Corbel"/>
      <w:b/>
      <w:spacing w:val="4"/>
      <w:sz w:val="28"/>
    </w:rPr>
  </w:style>
  <w:style w:type="character" w:customStyle="1" w:styleId="Footerunderline">
    <w:name w:val="Footer underline"/>
    <w:basedOn w:val="FooterChar"/>
    <w:uiPriority w:val="1"/>
    <w:qFormat/>
    <w:rsid w:val="00574E9A"/>
    <w:rPr>
      <w:rFonts w:ascii="Corbel" w:eastAsia="Corbel" w:hAnsi="Corbel" w:cs="Open Sans"/>
      <w:b/>
      <w:i w:val="0"/>
      <w:strike w:val="0"/>
      <w:dstrike w:val="0"/>
      <w:noProof/>
      <w:color w:val="FFFFFF" w:themeColor="background1"/>
      <w:spacing w:val="4"/>
      <w:position w:val="6"/>
      <w:sz w:val="18"/>
      <w:szCs w:val="16"/>
      <w:u w:val="thick" w:color="F6B818"/>
      <w:bdr w:val="none" w:sz="0" w:space="0" w:color="auto"/>
      <w:lang w:eastAsia="en-GB"/>
      <w14:numForm w14:val="lining"/>
      <w14:numSpacing w14:val="tabular"/>
    </w:rPr>
  </w:style>
  <w:style w:type="character" w:styleId="PlaceholderText">
    <w:name w:val="Placeholder Text"/>
    <w:basedOn w:val="DefaultParagraphFont"/>
    <w:uiPriority w:val="99"/>
    <w:semiHidden/>
    <w:rsid w:val="00B72C06"/>
    <w:rPr>
      <w:color w:val="808080"/>
    </w:rPr>
  </w:style>
  <w:style w:type="paragraph" w:styleId="BalloonText">
    <w:name w:val="Balloon Text"/>
    <w:basedOn w:val="Normal"/>
    <w:link w:val="BalloonTextChar"/>
    <w:uiPriority w:val="99"/>
    <w:semiHidden/>
    <w:unhideWhenUsed/>
    <w:rsid w:val="00C74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CBF"/>
    <w:rPr>
      <w:rFonts w:ascii="Segoe UI" w:hAnsi="Segoe UI" w:cs="Segoe UI"/>
      <w:color w:val="000000"/>
      <w:sz w:val="18"/>
      <w:szCs w:val="18"/>
    </w:rPr>
  </w:style>
  <w:style w:type="character" w:customStyle="1" w:styleId="Heading6Char">
    <w:name w:val="Heading 6 Char"/>
    <w:basedOn w:val="DefaultParagraphFont"/>
    <w:link w:val="Heading6"/>
    <w:uiPriority w:val="9"/>
    <w:semiHidden/>
    <w:rsid w:val="00F605FA"/>
    <w:rPr>
      <w:rFonts w:asciiTheme="majorHAnsi" w:eastAsiaTheme="majorEastAsia" w:hAnsiTheme="majorHAnsi" w:cstheme="majorBidi"/>
      <w:color w:val="00274B" w:themeColor="accent1" w:themeShade="7F"/>
      <w:sz w:val="22"/>
      <w:szCs w:val="24"/>
      <w:lang w:eastAsia="en-GB"/>
    </w:rPr>
  </w:style>
  <w:style w:type="character" w:customStyle="1" w:styleId="Heading7Char">
    <w:name w:val="Heading 7 Char"/>
    <w:basedOn w:val="DefaultParagraphFont"/>
    <w:link w:val="Heading7"/>
    <w:uiPriority w:val="9"/>
    <w:semiHidden/>
    <w:rsid w:val="00F605FA"/>
    <w:rPr>
      <w:rFonts w:asciiTheme="majorHAnsi" w:eastAsiaTheme="majorEastAsia" w:hAnsiTheme="majorHAnsi" w:cstheme="majorBidi"/>
      <w:i/>
      <w:iCs/>
      <w:color w:val="00274B" w:themeColor="accent1" w:themeShade="7F"/>
      <w:sz w:val="22"/>
      <w:szCs w:val="24"/>
      <w:lang w:eastAsia="en-GB"/>
    </w:rPr>
  </w:style>
  <w:style w:type="character" w:customStyle="1" w:styleId="Heading8Char">
    <w:name w:val="Heading 8 Char"/>
    <w:basedOn w:val="DefaultParagraphFont"/>
    <w:link w:val="Heading8"/>
    <w:uiPriority w:val="9"/>
    <w:semiHidden/>
    <w:rsid w:val="00F605FA"/>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F605FA"/>
    <w:rPr>
      <w:rFonts w:asciiTheme="majorHAnsi" w:eastAsiaTheme="majorEastAsia" w:hAnsiTheme="majorHAnsi" w:cstheme="majorBidi"/>
      <w:i/>
      <w:iCs/>
      <w:color w:val="272727" w:themeColor="text1" w:themeTint="D8"/>
      <w:sz w:val="21"/>
      <w:szCs w:val="21"/>
      <w:lang w:eastAsia="en-GB"/>
    </w:rPr>
  </w:style>
  <w:style w:type="paragraph" w:styleId="Revision">
    <w:name w:val="Revision"/>
    <w:hidden/>
    <w:uiPriority w:val="99"/>
    <w:semiHidden/>
    <w:rsid w:val="00357482"/>
    <w:rPr>
      <w:rFonts w:ascii="Garamond" w:hAnsi="Garamond"/>
      <w:sz w:val="22"/>
      <w:szCs w:val="24"/>
      <w:lang w:eastAsia="en-GB"/>
    </w:rPr>
  </w:style>
  <w:style w:type="numbering" w:customStyle="1" w:styleId="CurrentList1">
    <w:name w:val="Current List1"/>
    <w:uiPriority w:val="99"/>
    <w:rsid w:val="00357482"/>
    <w:pPr>
      <w:numPr>
        <w:numId w:val="9"/>
      </w:numPr>
    </w:pPr>
  </w:style>
  <w:style w:type="numbering" w:customStyle="1" w:styleId="CurrentList2">
    <w:name w:val="Current List2"/>
    <w:uiPriority w:val="99"/>
    <w:rsid w:val="00357482"/>
    <w:pPr>
      <w:numPr>
        <w:numId w:val="11"/>
      </w:numPr>
    </w:pPr>
  </w:style>
  <w:style w:type="numbering" w:customStyle="1" w:styleId="CurrentList3">
    <w:name w:val="Current List3"/>
    <w:uiPriority w:val="99"/>
    <w:rsid w:val="00357482"/>
    <w:pPr>
      <w:numPr>
        <w:numId w:val="12"/>
      </w:numPr>
    </w:pPr>
  </w:style>
  <w:style w:type="numbering" w:customStyle="1" w:styleId="CurrentList4">
    <w:name w:val="Current List4"/>
    <w:uiPriority w:val="99"/>
    <w:rsid w:val="00357482"/>
    <w:pPr>
      <w:numPr>
        <w:numId w:val="13"/>
      </w:numPr>
    </w:pPr>
  </w:style>
  <w:style w:type="table" w:customStyle="1" w:styleId="TableNormal0">
    <w:name w:val="TableNormal"/>
    <w:rsid w:val="003E15C2"/>
    <w:rPr>
      <w:sz w:val="24"/>
      <w:szCs w:val="24"/>
      <w:lang w:eastAsia="en-GB"/>
    </w:rPr>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3E15C2"/>
    <w:rPr>
      <w:sz w:val="16"/>
      <w:szCs w:val="16"/>
    </w:rPr>
  </w:style>
  <w:style w:type="paragraph" w:styleId="CommentText">
    <w:name w:val="annotation text"/>
    <w:basedOn w:val="Normal"/>
    <w:link w:val="CommentTextChar"/>
    <w:uiPriority w:val="99"/>
    <w:semiHidden/>
    <w:unhideWhenUsed/>
    <w:rsid w:val="003E15C2"/>
    <w:pPr>
      <w:spacing w:line="240" w:lineRule="auto"/>
    </w:pPr>
    <w:rPr>
      <w:sz w:val="20"/>
      <w:szCs w:val="20"/>
    </w:rPr>
  </w:style>
  <w:style w:type="character" w:customStyle="1" w:styleId="CommentTextChar">
    <w:name w:val="Comment Text Char"/>
    <w:basedOn w:val="DefaultParagraphFont"/>
    <w:link w:val="CommentText"/>
    <w:uiPriority w:val="99"/>
    <w:semiHidden/>
    <w:rsid w:val="003E15C2"/>
    <w:rPr>
      <w:rFonts w:ascii="Garamond" w:hAnsi="Garamond"/>
      <w:lang w:eastAsia="en-GB"/>
    </w:rPr>
  </w:style>
  <w:style w:type="paragraph" w:styleId="Bibliography">
    <w:name w:val="Bibliography"/>
    <w:basedOn w:val="Normal"/>
    <w:next w:val="Normal"/>
    <w:uiPriority w:val="37"/>
    <w:unhideWhenUsed/>
    <w:rsid w:val="003E15C2"/>
    <w:pPr>
      <w:spacing w:after="240" w:line="240" w:lineRule="auto"/>
    </w:pPr>
  </w:style>
  <w:style w:type="character" w:styleId="UnresolvedMention">
    <w:name w:val="Unresolved Mention"/>
    <w:basedOn w:val="DefaultParagraphFont"/>
    <w:uiPriority w:val="99"/>
    <w:rsid w:val="003E15C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E15C2"/>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3E15C2"/>
    <w:rPr>
      <w:rFonts w:ascii="Garamond" w:hAnsi="Garamond"/>
      <w:b/>
      <w:bCs/>
      <w:lang w:eastAsia="en-GB"/>
    </w:rPr>
  </w:style>
  <w:style w:type="table" w:customStyle="1" w:styleId="8">
    <w:name w:val="8"/>
    <w:basedOn w:val="TableNormal"/>
    <w:rsid w:val="003E15C2"/>
    <w:rPr>
      <w:rFonts w:ascii="Garamond" w:eastAsia="Garamond" w:hAnsi="Garamond" w:cs="Garamond"/>
      <w:sz w:val="21"/>
      <w:szCs w:val="21"/>
      <w:lang w:eastAsia="en-GB"/>
    </w:rPr>
    <w:tblPr>
      <w:tblStyleRowBandSize w:val="1"/>
      <w:tblStyleColBandSize w:val="1"/>
    </w:tblPr>
  </w:style>
  <w:style w:type="table" w:customStyle="1" w:styleId="7">
    <w:name w:val="7"/>
    <w:basedOn w:val="TableNormal"/>
    <w:rsid w:val="003E15C2"/>
    <w:rPr>
      <w:rFonts w:ascii="Garamond" w:eastAsia="Garamond" w:hAnsi="Garamond" w:cs="Garamond"/>
      <w:sz w:val="21"/>
      <w:szCs w:val="21"/>
      <w:lang w:eastAsia="en-GB"/>
    </w:rPr>
    <w:tblPr>
      <w:tblStyleRowBandSize w:val="1"/>
      <w:tblStyleColBandSize w:val="1"/>
    </w:tblPr>
  </w:style>
  <w:style w:type="table" w:customStyle="1" w:styleId="6">
    <w:name w:val="6"/>
    <w:basedOn w:val="TableNormal"/>
    <w:rsid w:val="003E15C2"/>
    <w:rPr>
      <w:rFonts w:ascii="Garamond" w:eastAsia="Garamond" w:hAnsi="Garamond" w:cs="Garamond"/>
      <w:sz w:val="21"/>
      <w:szCs w:val="21"/>
      <w:lang w:eastAsia="en-GB"/>
    </w:rPr>
    <w:tblPr>
      <w:tblStyleRowBandSize w:val="1"/>
      <w:tblStyleColBandSize w:val="1"/>
    </w:tblPr>
  </w:style>
  <w:style w:type="table" w:customStyle="1" w:styleId="5">
    <w:name w:val="5"/>
    <w:basedOn w:val="TableNormal"/>
    <w:rsid w:val="003E15C2"/>
    <w:rPr>
      <w:sz w:val="24"/>
      <w:szCs w:val="24"/>
      <w:lang w:eastAsia="en-GB"/>
    </w:rPr>
    <w:tblPr>
      <w:tblStyleRowBandSize w:val="1"/>
      <w:tblStyleColBandSize w:val="1"/>
      <w:tblCellMar>
        <w:left w:w="115" w:type="dxa"/>
        <w:right w:w="115" w:type="dxa"/>
      </w:tblCellMar>
    </w:tblPr>
  </w:style>
  <w:style w:type="table" w:customStyle="1" w:styleId="4">
    <w:name w:val="4"/>
    <w:basedOn w:val="TableNormal"/>
    <w:rsid w:val="003E15C2"/>
    <w:rPr>
      <w:sz w:val="24"/>
      <w:szCs w:val="24"/>
      <w:lang w:eastAsia="en-GB"/>
    </w:rPr>
    <w:tblPr>
      <w:tblStyleRowBandSize w:val="1"/>
      <w:tblStyleColBandSize w:val="1"/>
      <w:tblCellMar>
        <w:left w:w="115" w:type="dxa"/>
        <w:right w:w="115" w:type="dxa"/>
      </w:tblCellMar>
    </w:tblPr>
  </w:style>
  <w:style w:type="table" w:customStyle="1" w:styleId="3">
    <w:name w:val="3"/>
    <w:basedOn w:val="TableNormal"/>
    <w:rsid w:val="003E15C2"/>
    <w:rPr>
      <w:rFonts w:ascii="Garamond" w:eastAsia="Garamond" w:hAnsi="Garamond" w:cs="Garamond"/>
      <w:sz w:val="21"/>
      <w:szCs w:val="21"/>
      <w:lang w:eastAsia="en-GB"/>
    </w:rPr>
    <w:tblPr>
      <w:tblStyleRowBandSize w:val="1"/>
      <w:tblStyleColBandSize w:val="1"/>
    </w:tblPr>
  </w:style>
  <w:style w:type="table" w:customStyle="1" w:styleId="2">
    <w:name w:val="2"/>
    <w:basedOn w:val="TableNormal"/>
    <w:rsid w:val="003E15C2"/>
    <w:rPr>
      <w:rFonts w:ascii="Garamond" w:eastAsia="Garamond" w:hAnsi="Garamond" w:cs="Garamond"/>
      <w:sz w:val="21"/>
      <w:szCs w:val="21"/>
      <w:lang w:eastAsia="en-GB"/>
    </w:rPr>
    <w:tblPr>
      <w:tblStyleRowBandSize w:val="1"/>
      <w:tblStyleColBandSize w:val="1"/>
    </w:tblPr>
  </w:style>
  <w:style w:type="table" w:customStyle="1" w:styleId="1">
    <w:name w:val="1"/>
    <w:basedOn w:val="TableNormal"/>
    <w:rsid w:val="003E15C2"/>
    <w:rPr>
      <w:rFonts w:ascii="Garamond" w:eastAsia="Garamond" w:hAnsi="Garamond" w:cs="Garamond"/>
      <w:sz w:val="21"/>
      <w:szCs w:val="21"/>
      <w:lang w:eastAsia="en-GB"/>
    </w:rPr>
    <w:tblPr>
      <w:tblStyleRowBandSize w:val="1"/>
      <w:tblStyleColBandSize w:val="1"/>
    </w:tblPr>
  </w:style>
  <w:style w:type="character" w:styleId="FollowedHyperlink">
    <w:name w:val="FollowedHyperlink"/>
    <w:basedOn w:val="DefaultParagraphFont"/>
    <w:uiPriority w:val="99"/>
    <w:semiHidden/>
    <w:unhideWhenUsed/>
    <w:rsid w:val="003E15C2"/>
    <w:rPr>
      <w:color w:val="954F72" w:themeColor="followedHyperlink"/>
      <w:u w:val="single"/>
    </w:rPr>
  </w:style>
  <w:style w:type="paragraph" w:styleId="NormalWeb">
    <w:name w:val="Normal (Web)"/>
    <w:basedOn w:val="Normal"/>
    <w:uiPriority w:val="99"/>
    <w:semiHidden/>
    <w:unhideWhenUsed/>
    <w:rsid w:val="00D028D7"/>
    <w:pPr>
      <w:spacing w:before="100" w:beforeAutospacing="1" w:after="100" w:afterAutospacing="1" w:line="240" w:lineRule="auto"/>
    </w:pPr>
    <w:rPr>
      <w:rFonts w:ascii="Times New Roman" w:hAnsi="Times New Roman"/>
      <w:sz w:val="24"/>
    </w:rPr>
  </w:style>
  <w:style w:type="table" w:styleId="GridTable5Dark-Accent1">
    <w:name w:val="Grid Table 5 Dark Accent 1"/>
    <w:basedOn w:val="TableNormal"/>
    <w:uiPriority w:val="50"/>
    <w:rsid w:val="00D028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F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F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F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F97" w:themeFill="accent1"/>
      </w:tcPr>
    </w:tblStylePr>
    <w:tblStylePr w:type="band1Vert">
      <w:tblPr/>
      <w:tcPr>
        <w:shd w:val="clear" w:color="auto" w:fill="6FBAFF" w:themeFill="accent1" w:themeFillTint="66"/>
      </w:tcPr>
    </w:tblStylePr>
    <w:tblStylePr w:type="band1Horz">
      <w:tblPr/>
      <w:tcPr>
        <w:shd w:val="clear" w:color="auto" w:fill="6FBAFF" w:themeFill="accent1" w:themeFillTint="66"/>
      </w:tcPr>
    </w:tblStylePr>
  </w:style>
  <w:style w:type="character" w:customStyle="1" w:styleId="Heading1Char">
    <w:name w:val="Heading 1 Char"/>
    <w:basedOn w:val="DefaultParagraphFont"/>
    <w:link w:val="Heading1"/>
    <w:uiPriority w:val="9"/>
    <w:rsid w:val="006B7092"/>
    <w:rPr>
      <w:rFonts w:ascii="Open Sans SemiBold" w:hAnsi="Open Sans SemiBold" w:cs="Open Sans SemiBold"/>
      <w:b/>
      <w:bCs/>
      <w:color w:val="004F83"/>
      <w:kern w:val="32"/>
      <w:sz w:val="36"/>
      <w:szCs w:val="28"/>
      <w:lang w:eastAsia="en-US"/>
      <w14:numForm w14:val="lining"/>
    </w:rPr>
  </w:style>
  <w:style w:type="character" w:customStyle="1" w:styleId="Heading2Char">
    <w:name w:val="Heading 2 Char"/>
    <w:basedOn w:val="DefaultParagraphFont"/>
    <w:link w:val="Heading2"/>
    <w:uiPriority w:val="9"/>
    <w:rsid w:val="006B7092"/>
    <w:rPr>
      <w:rFonts w:ascii="Open Sans SemiBold" w:hAnsi="Open Sans SemiBold" w:cs="Open Sans SemiBold"/>
      <w:b/>
      <w:iCs/>
      <w:color w:val="004F83"/>
      <w:kern w:val="32"/>
      <w:sz w:val="28"/>
      <w:szCs w:val="28"/>
      <w:lang w:eastAsia="en-US"/>
      <w14:numForm w14:val="lining"/>
    </w:rPr>
  </w:style>
  <w:style w:type="character" w:customStyle="1" w:styleId="Heading3Char">
    <w:name w:val="Heading 3 Char"/>
    <w:basedOn w:val="DefaultParagraphFont"/>
    <w:link w:val="Heading3"/>
    <w:uiPriority w:val="9"/>
    <w:rsid w:val="006B7092"/>
    <w:rPr>
      <w:rFonts w:ascii="Open Sans SemiBold" w:hAnsi="Open Sans SemiBold" w:cs="Open Sans SemiBold"/>
      <w:b/>
      <w:bCs/>
      <w:color w:val="004F83"/>
      <w:sz w:val="22"/>
      <w:szCs w:val="26"/>
      <w:lang w:eastAsia="en-GB"/>
      <w14:numForm w14:val="lining"/>
    </w:rPr>
  </w:style>
  <w:style w:type="character" w:customStyle="1" w:styleId="Heading4Char">
    <w:name w:val="Heading 4 Char"/>
    <w:basedOn w:val="DefaultParagraphFont"/>
    <w:link w:val="Heading4"/>
    <w:uiPriority w:val="9"/>
    <w:rsid w:val="006B7092"/>
    <w:rPr>
      <w:rFonts w:ascii="Open Sans" w:hAnsi="Open Sans" w:cs="Open Sans"/>
      <w:i/>
      <w:iCs/>
      <w:szCs w:val="22"/>
      <w:lang w:eastAsia="en-GB"/>
      <w14:numForm w14:val="lining"/>
    </w:rPr>
  </w:style>
  <w:style w:type="character" w:customStyle="1" w:styleId="Heading5Char">
    <w:name w:val="Heading 5 Char"/>
    <w:basedOn w:val="DefaultParagraphFont"/>
    <w:link w:val="Heading5"/>
    <w:uiPriority w:val="9"/>
    <w:rsid w:val="006B7092"/>
    <w:rPr>
      <w:rFonts w:ascii="Corbel" w:hAnsi="Corbel"/>
      <w:bCs/>
      <w:i/>
      <w:iCs/>
      <w:sz w:val="22"/>
      <w:szCs w:val="26"/>
      <w:lang w:eastAsia="en-GB"/>
      <w14:numForm w14:val="lining"/>
    </w:rPr>
  </w:style>
  <w:style w:type="character" w:customStyle="1" w:styleId="QuoteChar">
    <w:name w:val="Quote Char"/>
    <w:basedOn w:val="DefaultParagraphFont"/>
    <w:link w:val="Quote"/>
    <w:uiPriority w:val="29"/>
    <w:rsid w:val="006B7092"/>
    <w:rPr>
      <w:rFonts w:ascii="Garamond" w:hAnsi="Garamond"/>
      <w:szCs w:val="24"/>
      <w:lang w:eastAsia="en-GB"/>
    </w:rPr>
  </w:style>
  <w:style w:type="character" w:styleId="IntenseEmphasis">
    <w:name w:val="Intense Emphasis"/>
    <w:basedOn w:val="DefaultParagraphFont"/>
    <w:uiPriority w:val="21"/>
    <w:qFormat/>
    <w:rsid w:val="006B7092"/>
    <w:rPr>
      <w:i/>
      <w:iCs/>
      <w:color w:val="003A71" w:themeColor="accent1" w:themeShade="BF"/>
    </w:rPr>
  </w:style>
  <w:style w:type="paragraph" w:styleId="IntenseQuote">
    <w:name w:val="Intense Quote"/>
    <w:basedOn w:val="Normal"/>
    <w:next w:val="Normal"/>
    <w:link w:val="IntenseQuoteChar"/>
    <w:uiPriority w:val="30"/>
    <w:qFormat/>
    <w:rsid w:val="006B7092"/>
    <w:pPr>
      <w:pBdr>
        <w:top w:val="single" w:sz="4" w:space="10" w:color="003A71" w:themeColor="accent1" w:themeShade="BF"/>
        <w:bottom w:val="single" w:sz="4" w:space="10" w:color="003A71" w:themeColor="accent1" w:themeShade="BF"/>
      </w:pBdr>
      <w:spacing w:before="360" w:after="360" w:line="240" w:lineRule="auto"/>
      <w:ind w:left="864" w:right="864"/>
      <w:jc w:val="center"/>
    </w:pPr>
    <w:rPr>
      <w:rFonts w:asciiTheme="minorHAnsi" w:eastAsiaTheme="minorHAnsi" w:hAnsiTheme="minorHAnsi" w:cstheme="minorBidi"/>
      <w:i/>
      <w:iCs/>
      <w:color w:val="003A71" w:themeColor="accent1" w:themeShade="BF"/>
      <w:kern w:val="2"/>
      <w:sz w:val="24"/>
      <w:lang w:eastAsia="en-US"/>
      <w14:ligatures w14:val="standardContextual"/>
    </w:rPr>
  </w:style>
  <w:style w:type="character" w:customStyle="1" w:styleId="IntenseQuoteChar">
    <w:name w:val="Intense Quote Char"/>
    <w:basedOn w:val="DefaultParagraphFont"/>
    <w:link w:val="IntenseQuote"/>
    <w:uiPriority w:val="30"/>
    <w:rsid w:val="006B7092"/>
    <w:rPr>
      <w:rFonts w:asciiTheme="minorHAnsi" w:eastAsiaTheme="minorHAnsi" w:hAnsiTheme="minorHAnsi" w:cstheme="minorBidi"/>
      <w:i/>
      <w:iCs/>
      <w:color w:val="003A71" w:themeColor="accent1" w:themeShade="BF"/>
      <w:kern w:val="2"/>
      <w:sz w:val="24"/>
      <w:szCs w:val="24"/>
      <w:lang w:eastAsia="en-US"/>
      <w14:ligatures w14:val="standardContextual"/>
    </w:rPr>
  </w:style>
  <w:style w:type="character" w:styleId="IntenseReference">
    <w:name w:val="Intense Reference"/>
    <w:basedOn w:val="DefaultParagraphFont"/>
    <w:uiPriority w:val="32"/>
    <w:qFormat/>
    <w:rsid w:val="006B7092"/>
    <w:rPr>
      <w:b/>
      <w:bCs/>
      <w:smallCaps/>
      <w:color w:val="003A7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223639590">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681348748">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legislation.gov.au/Series/C2015A00061" TargetMode="External"/><Relationship Id="rId26" Type="http://schemas.openxmlformats.org/officeDocument/2006/relationships/image" Target="media/image7.png"/><Relationship Id="rId39" Type="http://schemas.openxmlformats.org/officeDocument/2006/relationships/image" Target="media/image18.jpeg"/><Relationship Id="rId21" Type="http://schemas.openxmlformats.org/officeDocument/2006/relationships/image" Target="media/image3.jpeg"/><Relationship Id="rId34" Type="http://schemas.openxmlformats.org/officeDocument/2006/relationships/image" Target="media/image14.png"/><Relationship Id="rId42"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amsa.gov.au/vessels-operators/cargoes-and-dangerous-goods/transporting-livestock-australia" TargetMode="External"/><Relationship Id="rId28" Type="http://schemas.openxmlformats.org/officeDocument/2006/relationships/image" Target="media/image9.png"/><Relationship Id="rId36" Type="http://schemas.openxmlformats.org/officeDocument/2006/relationships/hyperlink" Target="https://ledlenser.com.au/collections/p-series" TargetMode="External"/><Relationship Id="rId10" Type="http://schemas.openxmlformats.org/officeDocument/2006/relationships/footer" Target="footer1.xml"/><Relationship Id="rId19" Type="http://schemas.openxmlformats.org/officeDocument/2006/relationships/hyperlink" Target="https://www.agriculture.gov.au/biosecurity-trade/import/industry-advice/2022/29-2022"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usvet.com.au/" TargetMode="External"/><Relationship Id="rId22"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6.png"/><Relationship Id="rId33" Type="http://schemas.openxmlformats.org/officeDocument/2006/relationships/image" Target="media/image13.emf"/><Relationship Id="rId38" Type="http://schemas.openxmlformats.org/officeDocument/2006/relationships/image" Target="media/image17.emf"/><Relationship Id="rId20" Type="http://schemas.openxmlformats.org/officeDocument/2006/relationships/hyperlink" Target="https://www.agriculture.gov.au/biosecurity-trade/import/industry-advice/2022/162-2022" TargetMode="External"/><Relationship Id="rId41" Type="http://schemas.openxmlformats.org/officeDocument/2006/relationships/image" Target="media/image20.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amsa.gov.au/vessels-operators/cargoes-and-dangerous-goods/transporting-livestock-australi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Ausvet2018">
  <a:themeElements>
    <a:clrScheme name="Ausvet2018">
      <a:dk1>
        <a:sysClr val="windowText" lastClr="000000"/>
      </a:dk1>
      <a:lt1>
        <a:sysClr val="window" lastClr="FFFFFF"/>
      </a:lt1>
      <a:dk2>
        <a:srgbClr val="44546A"/>
      </a:dk2>
      <a:lt2>
        <a:srgbClr val="E7E6E6"/>
      </a:lt2>
      <a:accent1>
        <a:srgbClr val="004F97"/>
      </a:accent1>
      <a:accent2>
        <a:srgbClr val="EF7D00"/>
      </a:accent2>
      <a:accent3>
        <a:srgbClr val="FBBA00"/>
      </a:accent3>
      <a:accent4>
        <a:srgbClr val="00AB84"/>
      </a:accent4>
      <a:accent5>
        <a:srgbClr val="00B5CA"/>
      </a:accent5>
      <a:accent6>
        <a:srgbClr val="E30613"/>
      </a:accent6>
      <a:hlink>
        <a:srgbClr val="0563C1"/>
      </a:hlink>
      <a:folHlink>
        <a:srgbClr val="954F72"/>
      </a:folHlink>
    </a:clrScheme>
    <a:fontScheme name="Ausvet">
      <a:majorFont>
        <a:latin typeface="Open Sans"/>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CE1DC-0D67-CA41-9E59-C2D92C59EC17}">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55</Pages>
  <Words>43559</Words>
  <Characters>248290</Characters>
  <Application>Microsoft Office Word</Application>
  <DocSecurity>4</DocSecurity>
  <Lines>2069</Lines>
  <Paragraphs>582</Paragraphs>
  <ScaleCrop>false</ScaleCrop>
  <HeadingPairs>
    <vt:vector size="2" baseType="variant">
      <vt:variant>
        <vt:lpstr>Title</vt:lpstr>
      </vt:variant>
      <vt:variant>
        <vt:i4>1</vt:i4>
      </vt:variant>
    </vt:vector>
  </HeadingPairs>
  <TitlesOfParts>
    <vt:vector size="1" baseType="lpstr">
      <vt:lpstr>Independent review of viability of night-time livestock vessel inspections</vt:lpstr>
    </vt:vector>
  </TitlesOfParts>
  <Manager>Ben Madin</Manager>
  <Company>Ausvet</Company>
  <LinksUpToDate>false</LinksUpToDate>
  <CharactersWithSpaces>291267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viability of night-time livestock vessel inspections</dc:title>
  <dc:subject>Final report</dc:subject>
  <dc:creator>Edwina Leslie</dc:creator>
  <cp:keywords/>
  <dc:description/>
  <cp:lastModifiedBy>Langeveld, Rohan</cp:lastModifiedBy>
  <cp:revision>2</cp:revision>
  <cp:lastPrinted>2026-05-20T23:56:00Z</cp:lastPrinted>
  <dcterms:created xsi:type="dcterms:W3CDTF">2026-05-21T05:01:00Z</dcterms:created>
  <dcterms:modified xsi:type="dcterms:W3CDTF">2026-05-21T05:01:00Z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Name of client</vt:lpwstr>
  </property>
  <property fmtid="{D5CDD505-2E9C-101B-9397-08002B2CF9AE}" pid="3" name="Report Date">
    <vt:filetime>2019-12-25T10:00:00Z</vt:filetime>
  </property>
  <property fmtid="{D5CDD505-2E9C-101B-9397-08002B2CF9AE}" pid="4" name="ZOTERO_PREF_1">
    <vt:lpwstr>&lt;data data-version="3" zotero-version="7.0.32"&gt;&lt;session id="js4VmBrN"/&gt;&lt;style id="http://www.zotero.org/styles/style-manual-australian-government" hasBibliography="1" bibliographyStyleHasBeenSet="1"/&gt;&lt;prefs&gt;&lt;pref name="fieldType" value="Field"/&gt;&lt;/prefs&gt;&lt;/</vt:lpwstr>
  </property>
  <property fmtid="{D5CDD505-2E9C-101B-9397-08002B2CF9AE}" pid="5" name="ZOTERO_PREF_2">
    <vt:lpwstr>data&gt;</vt:lpwstr>
  </property>
  <property fmtid="{D5CDD505-2E9C-101B-9397-08002B2CF9AE}" pid="6" name="ClassificationContentMarkingHeaderShapeIds">
    <vt:lpwstr>426cae9e,39848aaf,3dcaa564,6a88cff9,6f15b63d</vt:lpwstr>
  </property>
  <property fmtid="{D5CDD505-2E9C-101B-9397-08002B2CF9AE}" pid="7" name="ClassificationContentMarkingHeaderFontProps">
    <vt:lpwstr>#ff0000,12,Aptos</vt:lpwstr>
  </property>
  <property fmtid="{D5CDD505-2E9C-101B-9397-08002B2CF9AE}" pid="8" name="ClassificationContentMarkingHeaderText">
    <vt:lpwstr>OFFICIAL</vt:lpwstr>
  </property>
  <property fmtid="{D5CDD505-2E9C-101B-9397-08002B2CF9AE}" pid="9" name="ClassificationContentMarkingFooterShapeIds">
    <vt:lpwstr>cc46f55,6889d05,71cd537a,347a46c6,232557f8,92a543</vt:lpwstr>
  </property>
  <property fmtid="{D5CDD505-2E9C-101B-9397-08002B2CF9AE}" pid="10" name="ClassificationContentMarkingFooterFontProps">
    <vt:lpwstr>#ff0000,12,Aptos</vt:lpwstr>
  </property>
  <property fmtid="{D5CDD505-2E9C-101B-9397-08002B2CF9AE}" pid="11" name="ClassificationContentMarkingFooterText">
    <vt:lpwstr>OFFICIAL</vt:lpwstr>
  </property>
</Properties>
</file>